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6CD2" w:rsidR="00B60421" w:rsidP="007E0FEE" w:rsidRDefault="00716CD2" w14:paraId="233BD1AD" w14:textId="0699CD3B">
      <w:pPr>
        <w:tabs>
          <w:tab w:val="center" w:pos="4680"/>
          <w:tab w:val="right" w:pos="9360"/>
        </w:tabs>
        <w:spacing w:line="240" w:lineRule="auto"/>
        <w:ind w:firstLine="0"/>
      </w:pPr>
      <w:r>
        <w:t>ALJ/</w:t>
      </w:r>
      <w:proofErr w:type="spellStart"/>
      <w:r>
        <w:t>ADW</w:t>
      </w:r>
      <w:proofErr w:type="spellEnd"/>
      <w:r>
        <w:t>/nd3</w:t>
      </w:r>
      <w:r w:rsidRPr="00716CD2" w:rsidR="007E0FEE">
        <w:tab/>
      </w:r>
      <w:r w:rsidRPr="00716CD2" w:rsidR="00DA7B5D">
        <w:rPr>
          <w:rFonts w:cs="Arial"/>
          <w:b/>
          <w:szCs w:val="32"/>
        </w:rPr>
        <w:t>PROPOSED DECISION</w:t>
      </w:r>
      <w:r w:rsidRPr="00716CD2" w:rsidR="00DA7B5D">
        <w:tab/>
      </w:r>
      <w:r w:rsidRPr="00716CD2" w:rsidR="00DA7B5D">
        <w:rPr>
          <w:b/>
        </w:rPr>
        <w:t>Agenda ID #</w:t>
      </w:r>
      <w:r w:rsidR="00647EED">
        <w:rPr>
          <w:b/>
        </w:rPr>
        <w:t>23736</w:t>
      </w:r>
      <w:r w:rsidR="00D72914">
        <w:rPr>
          <w:b/>
        </w:rPr>
        <w:t xml:space="preserve"> (Rev.1)</w:t>
      </w:r>
    </w:p>
    <w:p w:rsidR="00DA7B5D" w:rsidP="00632207" w:rsidRDefault="0017156F" w14:paraId="48E7AF57" w14:textId="36279E4C">
      <w:pPr>
        <w:spacing w:line="240" w:lineRule="auto"/>
        <w:jc w:val="right"/>
        <w:rPr>
          <w:b/>
        </w:rPr>
      </w:pPr>
      <w:r>
        <w:rPr>
          <w:b/>
        </w:rPr>
        <w:t>Ratesetting</w:t>
      </w:r>
    </w:p>
    <w:p w:rsidRPr="00716CD2" w:rsidR="00D72914" w:rsidP="00632207" w:rsidRDefault="00D72914" w14:paraId="5939AB79" w14:textId="1A2A9D2B">
      <w:pPr>
        <w:spacing w:line="240" w:lineRule="auto"/>
        <w:jc w:val="right"/>
        <w:rPr>
          <w:b/>
        </w:rPr>
      </w:pPr>
      <w:r>
        <w:rPr>
          <w:b/>
        </w:rPr>
        <w:t>10/30/2025  Item #</w:t>
      </w:r>
      <w:r w:rsidRPr="00D72914">
        <w:rPr>
          <w:b/>
        </w:rPr>
        <w:t>5</w:t>
      </w:r>
    </w:p>
    <w:p w:rsidR="00DA7B5D" w:rsidP="00716CD2" w:rsidRDefault="00DA7B5D" w14:paraId="7B3E801B" w14:textId="77777777">
      <w:pPr>
        <w:spacing w:line="240" w:lineRule="auto"/>
        <w:ind w:firstLine="0"/>
      </w:pPr>
    </w:p>
    <w:p w:rsidR="00716CD2" w:rsidP="00716CD2" w:rsidRDefault="00716CD2" w14:paraId="46A093D6" w14:textId="77777777">
      <w:pPr>
        <w:spacing w:line="240" w:lineRule="auto"/>
        <w:ind w:firstLine="0"/>
      </w:pPr>
    </w:p>
    <w:p w:rsidRPr="00EE3060" w:rsidR="00DA7B5D" w:rsidP="00716CD2" w:rsidRDefault="00DA7B5D" w14:paraId="27C59468" w14:textId="787AFB4B">
      <w:pPr>
        <w:spacing w:line="240" w:lineRule="auto"/>
        <w:ind w:firstLine="0"/>
      </w:pPr>
      <w:r>
        <w:t xml:space="preserve">Decision </w:t>
      </w:r>
      <w:r w:rsidRPr="008C033E" w:rsidR="0084707B">
        <w:rPr>
          <w:b/>
          <w:bCs/>
          <w:u w:val="single"/>
        </w:rPr>
        <w:t xml:space="preserve">PROPOSED DECISION OF ALJ </w:t>
      </w:r>
      <w:r w:rsidR="0084707B">
        <w:rPr>
          <w:b/>
          <w:bCs/>
          <w:u w:val="single"/>
        </w:rPr>
        <w:t>DUGOWSON</w:t>
      </w:r>
      <w:r w:rsidRPr="008C033E" w:rsidR="0084707B">
        <w:rPr>
          <w:b/>
          <w:bCs/>
        </w:rPr>
        <w:t xml:space="preserve"> (Mailed </w:t>
      </w:r>
      <w:r w:rsidR="00F87275">
        <w:rPr>
          <w:b/>
          <w:bCs/>
        </w:rPr>
        <w:t>9/8/2025</w:t>
      </w:r>
      <w:r w:rsidRPr="008C033E" w:rsidR="0084707B">
        <w:rPr>
          <w:b/>
          <w:bCs/>
        </w:rPr>
        <w:t>)</w:t>
      </w:r>
    </w:p>
    <w:p w:rsidR="00DA7B5D" w:rsidP="00716CD2" w:rsidRDefault="00DA7B5D" w14:paraId="61DB125A" w14:textId="77777777">
      <w:pPr>
        <w:spacing w:line="240" w:lineRule="auto"/>
        <w:ind w:firstLine="0"/>
        <w:rPr>
          <w:u w:val="single"/>
        </w:rPr>
      </w:pPr>
    </w:p>
    <w:p w:rsidR="00716CD2" w:rsidP="00716CD2" w:rsidRDefault="00716CD2" w14:paraId="11C624C7" w14:textId="77777777">
      <w:pPr>
        <w:spacing w:line="240" w:lineRule="auto"/>
        <w:ind w:firstLine="0"/>
        <w:rPr>
          <w:u w:val="single"/>
        </w:rPr>
      </w:pPr>
    </w:p>
    <w:p w:rsidR="00DA7B5D" w:rsidP="00BB0243" w:rsidRDefault="00DA7B5D" w14:paraId="2C5BE5DB"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5C8DD042" w14:textId="77777777">
      <w:pPr>
        <w:spacing w:line="240" w:lineRule="auto"/>
        <w:ind w:firstLine="0"/>
        <w:rPr>
          <w:rFonts w:ascii="Arial" w:hAnsi="Arial" w:cs="Arial"/>
          <w:sz w:val="24"/>
          <w:szCs w:val="24"/>
        </w:rPr>
      </w:pPr>
    </w:p>
    <w:tbl>
      <w:tblPr>
        <w:tblStyle w:val="TableGrid"/>
        <w:tblW w:w="9360" w:type="dxa"/>
        <w:tblLayout w:type="fixed"/>
        <w:tblLook w:val="04A0" w:firstRow="1" w:lastRow="0" w:firstColumn="1" w:lastColumn="0" w:noHBand="0" w:noVBand="1"/>
      </w:tblPr>
      <w:tblGrid>
        <w:gridCol w:w="4680"/>
        <w:gridCol w:w="4680"/>
      </w:tblGrid>
      <w:tr w:rsidR="00DA7B5D" w:rsidTr="00E75A43" w14:paraId="52E978BE" w14:textId="77777777">
        <w:tc>
          <w:tcPr>
            <w:tcW w:w="5040" w:type="dxa"/>
            <w:tcBorders>
              <w:top w:val="nil"/>
              <w:left w:val="nil"/>
              <w:bottom w:val="single" w:color="auto" w:sz="4" w:space="0"/>
              <w:right w:val="single" w:color="auto" w:sz="4" w:space="0"/>
            </w:tcBorders>
          </w:tcPr>
          <w:p w:rsidR="00DA7B5D" w:rsidP="0063742D" w:rsidRDefault="00716CD2" w14:paraId="29A2C2E4" w14:textId="1CC7A221">
            <w:pPr>
              <w:spacing w:line="240" w:lineRule="auto"/>
              <w:ind w:firstLine="0"/>
              <w:rPr>
                <w:rFonts w:cs="Arial"/>
                <w:szCs w:val="26"/>
              </w:rPr>
            </w:pPr>
            <w:r w:rsidRPr="00716CD2">
              <w:rPr>
                <w:rFonts w:cs="Arial"/>
                <w:szCs w:val="26"/>
              </w:rPr>
              <w:t xml:space="preserve">Application of </w:t>
            </w:r>
            <w:r w:rsidR="00C23EB9">
              <w:rPr>
                <w:rFonts w:cs="Arial"/>
                <w:szCs w:val="26"/>
              </w:rPr>
              <w:t>San </w:t>
            </w:r>
            <w:r w:rsidRPr="00716CD2">
              <w:rPr>
                <w:rFonts w:cs="Arial"/>
                <w:szCs w:val="26"/>
              </w:rPr>
              <w:t>Diego Gas</w:t>
            </w:r>
            <w:r w:rsidR="00C23EB9">
              <w:rPr>
                <w:rFonts w:cs="Arial"/>
                <w:szCs w:val="26"/>
              </w:rPr>
              <w:t xml:space="preserve"> &amp; </w:t>
            </w:r>
            <w:r w:rsidRPr="00716CD2">
              <w:rPr>
                <w:rFonts w:cs="Arial"/>
                <w:szCs w:val="26"/>
              </w:rPr>
              <w:t xml:space="preserve">Electric Company (U902E) for Authority to Establish a Ratemaking Mechanism for Energization Projects Pursuant to Senate </w:t>
            </w:r>
            <w:r w:rsidR="006326BB">
              <w:rPr>
                <w:rFonts w:cs="Arial"/>
                <w:szCs w:val="26"/>
              </w:rPr>
              <w:t>Bill </w:t>
            </w:r>
            <w:r w:rsidRPr="00716CD2">
              <w:rPr>
                <w:rFonts w:cs="Arial"/>
                <w:szCs w:val="26"/>
              </w:rPr>
              <w:t>410</w:t>
            </w:r>
            <w:r>
              <w:rPr>
                <w:rFonts w:cs="Arial"/>
                <w:szCs w:val="26"/>
              </w:rPr>
              <w:t>.</w:t>
            </w:r>
          </w:p>
          <w:p w:rsidRPr="00DA7B5D" w:rsidR="00716CD2" w:rsidP="0063742D" w:rsidRDefault="00716CD2" w14:paraId="477B5BAD" w14:textId="359D3FA2">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63742D" w14:paraId="6278E4AC" w14:textId="7E77A113">
            <w:pPr>
              <w:spacing w:line="240" w:lineRule="auto"/>
              <w:ind w:firstLine="0"/>
              <w:jc w:val="center"/>
              <w:rPr>
                <w:rFonts w:cs="Arial"/>
                <w:szCs w:val="26"/>
              </w:rPr>
            </w:pPr>
            <w:r>
              <w:rPr>
                <w:rFonts w:cs="Arial"/>
                <w:szCs w:val="26"/>
              </w:rPr>
              <w:t>Application 25</w:t>
            </w:r>
            <w:r w:rsidR="00503215">
              <w:rPr>
                <w:rFonts w:cs="Arial"/>
                <w:szCs w:val="26"/>
              </w:rPr>
              <w:noBreakHyphen/>
            </w:r>
            <w:r>
              <w:rPr>
                <w:rFonts w:cs="Arial"/>
                <w:szCs w:val="26"/>
              </w:rPr>
              <w:t>04</w:t>
            </w:r>
            <w:r w:rsidR="00503215">
              <w:rPr>
                <w:rFonts w:cs="Arial"/>
                <w:szCs w:val="26"/>
              </w:rPr>
              <w:noBreakHyphen/>
            </w:r>
            <w:r>
              <w:rPr>
                <w:rFonts w:cs="Arial"/>
                <w:szCs w:val="26"/>
              </w:rPr>
              <w:t>015</w:t>
            </w:r>
          </w:p>
        </w:tc>
      </w:tr>
    </w:tbl>
    <w:p w:rsidR="00DA7B5D" w:rsidP="008F0116" w:rsidRDefault="00DA7B5D" w14:paraId="61C9FE31" w14:textId="77777777">
      <w:pPr>
        <w:spacing w:line="240" w:lineRule="auto"/>
        <w:ind w:firstLine="0"/>
        <w:rPr>
          <w:rFonts w:ascii="Arial" w:hAnsi="Arial" w:cs="Arial"/>
          <w:sz w:val="24"/>
          <w:szCs w:val="24"/>
        </w:rPr>
      </w:pPr>
    </w:p>
    <w:p w:rsidR="00DA7B5D" w:rsidP="008F0116" w:rsidRDefault="00DA7B5D" w14:paraId="1D299098" w14:textId="77777777">
      <w:pPr>
        <w:spacing w:line="240" w:lineRule="auto"/>
        <w:ind w:firstLine="0"/>
        <w:rPr>
          <w:rFonts w:ascii="Arial" w:hAnsi="Arial" w:cs="Arial"/>
          <w:sz w:val="24"/>
          <w:szCs w:val="24"/>
        </w:rPr>
      </w:pPr>
    </w:p>
    <w:p w:rsidR="00F849D0" w:rsidP="00F849D0" w:rsidRDefault="00F849D0" w14:paraId="008F21A7" w14:textId="59F43E5B">
      <w:pPr>
        <w:pStyle w:val="Dummy"/>
        <w:jc w:val="center"/>
      </w:pPr>
      <w:r>
        <w:fldChar w:fldCharType="begin"/>
      </w:r>
      <w:r>
        <w:instrText xml:space="preserve"> REF Title \h  \* MERGEFORMAT </w:instrText>
      </w:r>
      <w:r>
        <w:fldChar w:fldCharType="separate"/>
      </w:r>
      <w:bookmarkStart w:name="_Toc212538519" w:id="0"/>
      <w:r w:rsidR="00991AE6">
        <w:t>DECISION AUTHORIZING A RATEMAKING MECHANISM FOR ENERGIZATION PROJECTS PURSUANT TO SENATE BILL 410</w:t>
      </w:r>
      <w:bookmarkEnd w:id="0"/>
      <w:r>
        <w:fldChar w:fldCharType="end"/>
      </w:r>
    </w:p>
    <w:p w:rsidRPr="00F849D0" w:rsidR="00F849D0" w:rsidP="00F849D0" w:rsidRDefault="00F849D0" w14:paraId="6058BDA7" w14:textId="77777777"/>
    <w:p w:rsidRPr="00716CD2" w:rsidR="00716CD2" w:rsidP="00716CD2" w:rsidRDefault="00716CD2" w14:paraId="5E9CD52F" w14:textId="7103E545">
      <w:pPr>
        <w:sectPr w:rsidRPr="00716CD2" w:rsidR="00716CD2" w:rsidSect="0009770B">
          <w:headerReference w:type="default" r:id="rId11"/>
          <w:footerReference w:type="default" r:id="rId12"/>
          <w:footerReference w:type="first" r:id="rId13"/>
          <w:pgSz w:w="12240" w:h="15840"/>
          <w:pgMar w:top="1728" w:right="1440" w:bottom="1440" w:left="1440" w:header="720" w:footer="720" w:gutter="0"/>
          <w:pgNumType w:start="1"/>
          <w:cols w:space="720"/>
          <w:titlePg/>
          <w:docGrid w:linePitch="360"/>
        </w:sectPr>
      </w:pPr>
    </w:p>
    <w:p w:rsidRPr="001E2A62" w:rsidR="00D50119" w:rsidP="00F849D0" w:rsidRDefault="00D50119" w14:paraId="41AB4E3B" w14:textId="77777777">
      <w:pPr>
        <w:pStyle w:val="TOCHeading"/>
      </w:pPr>
      <w:r w:rsidRPr="001E2A62">
        <w:lastRenderedPageBreak/>
        <w:t>TABLE OF CONTENTS</w:t>
      </w:r>
    </w:p>
    <w:p w:rsidRPr="00D50119" w:rsidR="00D50119" w:rsidP="00F849D0" w:rsidRDefault="00D50119" w14:paraId="63E50553" w14:textId="77777777">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991AE6" w:rsidP="00991AE6" w:rsidRDefault="00CB0148" w14:paraId="5A1167C6" w14:textId="4191FC04">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"1-5" \h \z \t "Mainex,1" </w:instrText>
          </w:r>
          <w:r>
            <w:rPr>
              <w:rFonts w:asciiTheme="minorHAnsi" w:hAnsiTheme="minorHAnsi"/>
              <w:sz w:val="22"/>
            </w:rPr>
            <w:fldChar w:fldCharType="separate"/>
          </w:r>
          <w:hyperlink w:history="1" w:anchor="_Toc212538519">
            <w:r w:rsidRPr="00D8539C" w:rsidR="00991AE6">
              <w:rPr>
                <w:rStyle w:val="Hyperlink"/>
                <w:noProof/>
              </w:rPr>
              <w:t>DECISION AUTHORIZING A RATEMAKING MECHANISM FOR ENERGIZATION PROJECTS PURSUANT TO SENATE BILL 410</w:t>
            </w:r>
            <w:r w:rsidR="00991AE6">
              <w:rPr>
                <w:noProof/>
                <w:webHidden/>
              </w:rPr>
              <w:tab/>
            </w:r>
            <w:r w:rsidR="00991AE6">
              <w:rPr>
                <w:noProof/>
                <w:webHidden/>
              </w:rPr>
              <w:fldChar w:fldCharType="begin"/>
            </w:r>
            <w:r w:rsidR="00991AE6">
              <w:rPr>
                <w:noProof/>
                <w:webHidden/>
              </w:rPr>
              <w:instrText xml:space="preserve"> PAGEREF _Toc212538519 \h </w:instrText>
            </w:r>
            <w:r w:rsidR="00991AE6">
              <w:rPr>
                <w:noProof/>
                <w:webHidden/>
              </w:rPr>
            </w:r>
            <w:r w:rsidR="00991AE6">
              <w:rPr>
                <w:noProof/>
                <w:webHidden/>
              </w:rPr>
              <w:fldChar w:fldCharType="separate"/>
            </w:r>
            <w:r w:rsidR="00991AE6">
              <w:rPr>
                <w:noProof/>
                <w:webHidden/>
              </w:rPr>
              <w:t>1</w:t>
            </w:r>
            <w:r w:rsidR="00991AE6">
              <w:rPr>
                <w:noProof/>
                <w:webHidden/>
              </w:rPr>
              <w:fldChar w:fldCharType="end"/>
            </w:r>
          </w:hyperlink>
        </w:p>
        <w:p w:rsidR="00991AE6" w:rsidRDefault="00991AE6" w14:paraId="68C6F4D0" w14:textId="3233CEE3">
          <w:pPr>
            <w:pStyle w:val="TOC1"/>
            <w:tabs>
              <w:tab w:val="right" w:leader="dot" w:pos="9350"/>
            </w:tabs>
            <w:rPr>
              <w:rFonts w:asciiTheme="minorHAnsi" w:hAnsiTheme="minorHAnsi" w:cstheme="minorBidi"/>
              <w:noProof/>
              <w:kern w:val="2"/>
              <w:sz w:val="24"/>
              <w:szCs w:val="24"/>
              <w14:ligatures w14:val="standardContextual"/>
            </w:rPr>
          </w:pPr>
          <w:hyperlink w:history="1" w:anchor="_Toc212538520">
            <w:r w:rsidRPr="00D8539C">
              <w:rPr>
                <w:rStyle w:val="Hyperlink"/>
                <w:noProof/>
              </w:rPr>
              <w:t>Summary</w:t>
            </w:r>
            <w:r>
              <w:rPr>
                <w:noProof/>
                <w:webHidden/>
              </w:rPr>
              <w:tab/>
            </w:r>
            <w:r>
              <w:rPr>
                <w:noProof/>
                <w:webHidden/>
              </w:rPr>
              <w:fldChar w:fldCharType="begin"/>
            </w:r>
            <w:r>
              <w:rPr>
                <w:noProof/>
                <w:webHidden/>
              </w:rPr>
              <w:instrText xml:space="preserve"> PAGEREF _Toc212538520 \h </w:instrText>
            </w:r>
            <w:r>
              <w:rPr>
                <w:noProof/>
                <w:webHidden/>
              </w:rPr>
            </w:r>
            <w:r>
              <w:rPr>
                <w:noProof/>
                <w:webHidden/>
              </w:rPr>
              <w:fldChar w:fldCharType="separate"/>
            </w:r>
            <w:r>
              <w:rPr>
                <w:noProof/>
                <w:webHidden/>
              </w:rPr>
              <w:t>2</w:t>
            </w:r>
            <w:r>
              <w:rPr>
                <w:noProof/>
                <w:webHidden/>
              </w:rPr>
              <w:fldChar w:fldCharType="end"/>
            </w:r>
          </w:hyperlink>
        </w:p>
        <w:p w:rsidR="00991AE6" w:rsidRDefault="00991AE6" w14:paraId="33AAC041" w14:textId="4C20A2A5">
          <w:pPr>
            <w:pStyle w:val="TOC1"/>
            <w:tabs>
              <w:tab w:val="right" w:leader="dot" w:pos="9350"/>
            </w:tabs>
            <w:rPr>
              <w:rFonts w:asciiTheme="minorHAnsi" w:hAnsiTheme="minorHAnsi" w:cstheme="minorBidi"/>
              <w:noProof/>
              <w:kern w:val="2"/>
              <w:sz w:val="24"/>
              <w:szCs w:val="24"/>
              <w14:ligatures w14:val="standardContextual"/>
            </w:rPr>
          </w:pPr>
          <w:hyperlink w:history="1" w:anchor="_Toc212538521">
            <w:r w:rsidRPr="00D8539C">
              <w:rPr>
                <w:rStyle w:val="Hyperlink"/>
                <w:noProof/>
              </w:rPr>
              <w:t>1.</w:t>
            </w:r>
            <w:r>
              <w:rPr>
                <w:rFonts w:asciiTheme="minorHAnsi" w:hAnsiTheme="minorHAnsi" w:cstheme="minorBidi"/>
                <w:noProof/>
                <w:kern w:val="2"/>
                <w:sz w:val="24"/>
                <w:szCs w:val="24"/>
                <w14:ligatures w14:val="standardContextual"/>
              </w:rPr>
              <w:tab/>
            </w:r>
            <w:r w:rsidRPr="00D8539C">
              <w:rPr>
                <w:rStyle w:val="Hyperlink"/>
                <w:noProof/>
              </w:rPr>
              <w:t>Background</w:t>
            </w:r>
            <w:r>
              <w:rPr>
                <w:noProof/>
                <w:webHidden/>
              </w:rPr>
              <w:tab/>
            </w:r>
            <w:r>
              <w:rPr>
                <w:noProof/>
                <w:webHidden/>
              </w:rPr>
              <w:fldChar w:fldCharType="begin"/>
            </w:r>
            <w:r>
              <w:rPr>
                <w:noProof/>
                <w:webHidden/>
              </w:rPr>
              <w:instrText xml:space="preserve"> PAGEREF _Toc212538521 \h </w:instrText>
            </w:r>
            <w:r>
              <w:rPr>
                <w:noProof/>
                <w:webHidden/>
              </w:rPr>
            </w:r>
            <w:r>
              <w:rPr>
                <w:noProof/>
                <w:webHidden/>
              </w:rPr>
              <w:fldChar w:fldCharType="separate"/>
            </w:r>
            <w:r>
              <w:rPr>
                <w:noProof/>
                <w:webHidden/>
              </w:rPr>
              <w:t>3</w:t>
            </w:r>
            <w:r>
              <w:rPr>
                <w:noProof/>
                <w:webHidden/>
              </w:rPr>
              <w:fldChar w:fldCharType="end"/>
            </w:r>
          </w:hyperlink>
        </w:p>
        <w:p w:rsidR="00991AE6" w:rsidRDefault="00991AE6" w14:paraId="389E5EA5" w14:textId="47FBD665">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22">
            <w:r w:rsidRPr="00D8539C">
              <w:rPr>
                <w:rStyle w:val="Hyperlink"/>
                <w:noProof/>
              </w:rPr>
              <w:t>1.1.</w:t>
            </w:r>
            <w:r>
              <w:rPr>
                <w:rFonts w:asciiTheme="minorHAnsi" w:hAnsiTheme="minorHAnsi" w:cstheme="minorBidi"/>
                <w:noProof/>
                <w:kern w:val="2"/>
                <w:sz w:val="24"/>
                <w:szCs w:val="24"/>
                <w14:ligatures w14:val="standardContextual"/>
              </w:rPr>
              <w:tab/>
            </w:r>
            <w:r w:rsidRPr="00D8539C">
              <w:rPr>
                <w:rStyle w:val="Hyperlink"/>
                <w:noProof/>
              </w:rPr>
              <w:t>Submission Date</w:t>
            </w:r>
            <w:r>
              <w:rPr>
                <w:noProof/>
                <w:webHidden/>
              </w:rPr>
              <w:tab/>
            </w:r>
            <w:r>
              <w:rPr>
                <w:noProof/>
                <w:webHidden/>
              </w:rPr>
              <w:fldChar w:fldCharType="begin"/>
            </w:r>
            <w:r>
              <w:rPr>
                <w:noProof/>
                <w:webHidden/>
              </w:rPr>
              <w:instrText xml:space="preserve"> PAGEREF _Toc212538522 \h </w:instrText>
            </w:r>
            <w:r>
              <w:rPr>
                <w:noProof/>
                <w:webHidden/>
              </w:rPr>
            </w:r>
            <w:r>
              <w:rPr>
                <w:noProof/>
                <w:webHidden/>
              </w:rPr>
              <w:fldChar w:fldCharType="separate"/>
            </w:r>
            <w:r>
              <w:rPr>
                <w:noProof/>
                <w:webHidden/>
              </w:rPr>
              <w:t>5</w:t>
            </w:r>
            <w:r>
              <w:rPr>
                <w:noProof/>
                <w:webHidden/>
              </w:rPr>
              <w:fldChar w:fldCharType="end"/>
            </w:r>
          </w:hyperlink>
        </w:p>
        <w:p w:rsidR="00991AE6" w:rsidRDefault="00991AE6" w14:paraId="2EA1C266" w14:textId="38D6F4C9">
          <w:pPr>
            <w:pStyle w:val="TOC1"/>
            <w:tabs>
              <w:tab w:val="right" w:leader="dot" w:pos="9350"/>
            </w:tabs>
            <w:rPr>
              <w:rFonts w:asciiTheme="minorHAnsi" w:hAnsiTheme="minorHAnsi" w:cstheme="minorBidi"/>
              <w:noProof/>
              <w:kern w:val="2"/>
              <w:sz w:val="24"/>
              <w:szCs w:val="24"/>
              <w14:ligatures w14:val="standardContextual"/>
            </w:rPr>
          </w:pPr>
          <w:hyperlink w:history="1" w:anchor="_Toc212538523">
            <w:r w:rsidRPr="00D8539C">
              <w:rPr>
                <w:rStyle w:val="Hyperlink"/>
                <w:noProof/>
              </w:rPr>
              <w:t>2.</w:t>
            </w:r>
            <w:r>
              <w:rPr>
                <w:rFonts w:asciiTheme="minorHAnsi" w:hAnsiTheme="minorHAnsi" w:cstheme="minorBidi"/>
                <w:noProof/>
                <w:kern w:val="2"/>
                <w:sz w:val="24"/>
                <w:szCs w:val="24"/>
                <w14:ligatures w14:val="standardContextual"/>
              </w:rPr>
              <w:tab/>
            </w:r>
            <w:r w:rsidRPr="00D8539C">
              <w:rPr>
                <w:rStyle w:val="Hyperlink"/>
                <w:noProof/>
              </w:rPr>
              <w:t>Issues Before the Commission</w:t>
            </w:r>
            <w:r>
              <w:rPr>
                <w:noProof/>
                <w:webHidden/>
              </w:rPr>
              <w:tab/>
            </w:r>
            <w:r>
              <w:rPr>
                <w:noProof/>
                <w:webHidden/>
              </w:rPr>
              <w:fldChar w:fldCharType="begin"/>
            </w:r>
            <w:r>
              <w:rPr>
                <w:noProof/>
                <w:webHidden/>
              </w:rPr>
              <w:instrText xml:space="preserve"> PAGEREF _Toc212538523 \h </w:instrText>
            </w:r>
            <w:r>
              <w:rPr>
                <w:noProof/>
                <w:webHidden/>
              </w:rPr>
            </w:r>
            <w:r>
              <w:rPr>
                <w:noProof/>
                <w:webHidden/>
              </w:rPr>
              <w:fldChar w:fldCharType="separate"/>
            </w:r>
            <w:r>
              <w:rPr>
                <w:noProof/>
                <w:webHidden/>
              </w:rPr>
              <w:t>5</w:t>
            </w:r>
            <w:r>
              <w:rPr>
                <w:noProof/>
                <w:webHidden/>
              </w:rPr>
              <w:fldChar w:fldCharType="end"/>
            </w:r>
          </w:hyperlink>
        </w:p>
        <w:p w:rsidR="00991AE6" w:rsidRDefault="00991AE6" w14:paraId="0EAB9075" w14:textId="365E99CE">
          <w:pPr>
            <w:pStyle w:val="TOC1"/>
            <w:tabs>
              <w:tab w:val="right" w:leader="dot" w:pos="9350"/>
            </w:tabs>
            <w:rPr>
              <w:rFonts w:asciiTheme="minorHAnsi" w:hAnsiTheme="minorHAnsi" w:cstheme="minorBidi"/>
              <w:noProof/>
              <w:kern w:val="2"/>
              <w:sz w:val="24"/>
              <w:szCs w:val="24"/>
              <w14:ligatures w14:val="standardContextual"/>
            </w:rPr>
          </w:pPr>
          <w:hyperlink w:history="1" w:anchor="_Toc212538524">
            <w:r w:rsidRPr="00D8539C">
              <w:rPr>
                <w:rStyle w:val="Hyperlink"/>
                <w:noProof/>
              </w:rPr>
              <w:t>3.</w:t>
            </w:r>
            <w:r>
              <w:rPr>
                <w:rFonts w:asciiTheme="minorHAnsi" w:hAnsiTheme="minorHAnsi" w:cstheme="minorBidi"/>
                <w:noProof/>
                <w:kern w:val="2"/>
                <w:sz w:val="24"/>
                <w:szCs w:val="24"/>
                <w14:ligatures w14:val="standardContextual"/>
              </w:rPr>
              <w:tab/>
            </w:r>
            <w:r w:rsidRPr="00D8539C">
              <w:rPr>
                <w:rStyle w:val="Hyperlink"/>
                <w:noProof/>
              </w:rPr>
              <w:t>Overview of San Diego Gas &amp; Electric Company’s Application</w:t>
            </w:r>
            <w:r>
              <w:rPr>
                <w:noProof/>
                <w:webHidden/>
              </w:rPr>
              <w:tab/>
            </w:r>
            <w:r>
              <w:rPr>
                <w:noProof/>
                <w:webHidden/>
              </w:rPr>
              <w:fldChar w:fldCharType="begin"/>
            </w:r>
            <w:r>
              <w:rPr>
                <w:noProof/>
                <w:webHidden/>
              </w:rPr>
              <w:instrText xml:space="preserve"> PAGEREF _Toc212538524 \h </w:instrText>
            </w:r>
            <w:r>
              <w:rPr>
                <w:noProof/>
                <w:webHidden/>
              </w:rPr>
            </w:r>
            <w:r>
              <w:rPr>
                <w:noProof/>
                <w:webHidden/>
              </w:rPr>
              <w:fldChar w:fldCharType="separate"/>
            </w:r>
            <w:r>
              <w:rPr>
                <w:noProof/>
                <w:webHidden/>
              </w:rPr>
              <w:t>6</w:t>
            </w:r>
            <w:r>
              <w:rPr>
                <w:noProof/>
                <w:webHidden/>
              </w:rPr>
              <w:fldChar w:fldCharType="end"/>
            </w:r>
          </w:hyperlink>
        </w:p>
        <w:p w:rsidR="00991AE6" w:rsidRDefault="00991AE6" w14:paraId="66D1A454" w14:textId="25F57320">
          <w:pPr>
            <w:pStyle w:val="TOC1"/>
            <w:tabs>
              <w:tab w:val="right" w:leader="dot" w:pos="9350"/>
            </w:tabs>
            <w:rPr>
              <w:rFonts w:asciiTheme="minorHAnsi" w:hAnsiTheme="minorHAnsi" w:cstheme="minorBidi"/>
              <w:noProof/>
              <w:kern w:val="2"/>
              <w:sz w:val="24"/>
              <w:szCs w:val="24"/>
              <w14:ligatures w14:val="standardContextual"/>
            </w:rPr>
          </w:pPr>
          <w:hyperlink w:history="1" w:anchor="_Toc212538525">
            <w:r w:rsidRPr="00D8539C">
              <w:rPr>
                <w:rStyle w:val="Hyperlink"/>
                <w:noProof/>
              </w:rPr>
              <w:t>4.</w:t>
            </w:r>
            <w:r>
              <w:rPr>
                <w:rFonts w:asciiTheme="minorHAnsi" w:hAnsiTheme="minorHAnsi" w:cstheme="minorBidi"/>
                <w:noProof/>
                <w:kern w:val="2"/>
                <w:sz w:val="24"/>
                <w:szCs w:val="24"/>
                <w14:ligatures w14:val="standardContextual"/>
              </w:rPr>
              <w:tab/>
            </w:r>
            <w:r w:rsidRPr="00D8539C">
              <w:rPr>
                <w:rStyle w:val="Hyperlink"/>
                <w:noProof/>
              </w:rPr>
              <w:t>Threshold Issues</w:t>
            </w:r>
            <w:r>
              <w:rPr>
                <w:noProof/>
                <w:webHidden/>
              </w:rPr>
              <w:tab/>
            </w:r>
            <w:r>
              <w:rPr>
                <w:noProof/>
                <w:webHidden/>
              </w:rPr>
              <w:fldChar w:fldCharType="begin"/>
            </w:r>
            <w:r>
              <w:rPr>
                <w:noProof/>
                <w:webHidden/>
              </w:rPr>
              <w:instrText xml:space="preserve"> PAGEREF _Toc212538525 \h </w:instrText>
            </w:r>
            <w:r>
              <w:rPr>
                <w:noProof/>
                <w:webHidden/>
              </w:rPr>
            </w:r>
            <w:r>
              <w:rPr>
                <w:noProof/>
                <w:webHidden/>
              </w:rPr>
              <w:fldChar w:fldCharType="separate"/>
            </w:r>
            <w:r>
              <w:rPr>
                <w:noProof/>
                <w:webHidden/>
              </w:rPr>
              <w:t>8</w:t>
            </w:r>
            <w:r>
              <w:rPr>
                <w:noProof/>
                <w:webHidden/>
              </w:rPr>
              <w:fldChar w:fldCharType="end"/>
            </w:r>
          </w:hyperlink>
        </w:p>
        <w:p w:rsidR="00991AE6" w:rsidRDefault="00991AE6" w14:paraId="139A23D4" w14:textId="5BD28EDF">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26">
            <w:r w:rsidRPr="00D8539C">
              <w:rPr>
                <w:rStyle w:val="Hyperlink"/>
                <w:noProof/>
              </w:rPr>
              <w:t>4.1.</w:t>
            </w:r>
            <w:r>
              <w:rPr>
                <w:rFonts w:asciiTheme="minorHAnsi" w:hAnsiTheme="minorHAnsi" w:cstheme="minorBidi"/>
                <w:noProof/>
                <w:kern w:val="2"/>
                <w:sz w:val="24"/>
                <w:szCs w:val="24"/>
                <w14:ligatures w14:val="standardContextual"/>
              </w:rPr>
              <w:tab/>
            </w:r>
            <w:r w:rsidRPr="00D8539C">
              <w:rPr>
                <w:rStyle w:val="Hyperlink"/>
                <w:noProof/>
              </w:rPr>
              <w:t>Whether San Diego Gas &amp; Electric Company’s Application Merits Denial Due to Lack of Supporting Evidence</w:t>
            </w:r>
            <w:r>
              <w:rPr>
                <w:noProof/>
                <w:webHidden/>
              </w:rPr>
              <w:tab/>
            </w:r>
            <w:r>
              <w:rPr>
                <w:noProof/>
                <w:webHidden/>
              </w:rPr>
              <w:fldChar w:fldCharType="begin"/>
            </w:r>
            <w:r>
              <w:rPr>
                <w:noProof/>
                <w:webHidden/>
              </w:rPr>
              <w:instrText xml:space="preserve"> PAGEREF _Toc212538526 \h </w:instrText>
            </w:r>
            <w:r>
              <w:rPr>
                <w:noProof/>
                <w:webHidden/>
              </w:rPr>
            </w:r>
            <w:r>
              <w:rPr>
                <w:noProof/>
                <w:webHidden/>
              </w:rPr>
              <w:fldChar w:fldCharType="separate"/>
            </w:r>
            <w:r>
              <w:rPr>
                <w:noProof/>
                <w:webHidden/>
              </w:rPr>
              <w:t>8</w:t>
            </w:r>
            <w:r>
              <w:rPr>
                <w:noProof/>
                <w:webHidden/>
              </w:rPr>
              <w:fldChar w:fldCharType="end"/>
            </w:r>
          </w:hyperlink>
        </w:p>
        <w:p w:rsidR="00991AE6" w:rsidRDefault="00991AE6" w14:paraId="1B5D326B" w14:textId="592CCCFC">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27">
            <w:r w:rsidRPr="00D8539C">
              <w:rPr>
                <w:rStyle w:val="Hyperlink"/>
                <w:noProof/>
              </w:rPr>
              <w:t>4.2.</w:t>
            </w:r>
            <w:r>
              <w:rPr>
                <w:rFonts w:asciiTheme="minorHAnsi" w:hAnsiTheme="minorHAnsi" w:cstheme="minorBidi"/>
                <w:noProof/>
                <w:kern w:val="2"/>
                <w:sz w:val="24"/>
                <w:szCs w:val="24"/>
                <w14:ligatures w14:val="standardContextual"/>
              </w:rPr>
              <w:tab/>
            </w:r>
            <w:r w:rsidRPr="00D8539C">
              <w:rPr>
                <w:rStyle w:val="Hyperlink"/>
                <w:noProof/>
              </w:rPr>
              <w:t>Whether San Diego Gas &amp; Electric Company’s Current Energization Performance Disqualifies It from Seeking to Record Additional Capital Spend</w:t>
            </w:r>
            <w:r>
              <w:rPr>
                <w:noProof/>
                <w:webHidden/>
              </w:rPr>
              <w:tab/>
            </w:r>
            <w:r>
              <w:rPr>
                <w:noProof/>
                <w:webHidden/>
              </w:rPr>
              <w:fldChar w:fldCharType="begin"/>
            </w:r>
            <w:r>
              <w:rPr>
                <w:noProof/>
                <w:webHidden/>
              </w:rPr>
              <w:instrText xml:space="preserve"> PAGEREF _Toc212538527 \h </w:instrText>
            </w:r>
            <w:r>
              <w:rPr>
                <w:noProof/>
                <w:webHidden/>
              </w:rPr>
            </w:r>
            <w:r>
              <w:rPr>
                <w:noProof/>
                <w:webHidden/>
              </w:rPr>
              <w:fldChar w:fldCharType="separate"/>
            </w:r>
            <w:r>
              <w:rPr>
                <w:noProof/>
                <w:webHidden/>
              </w:rPr>
              <w:t>9</w:t>
            </w:r>
            <w:r>
              <w:rPr>
                <w:noProof/>
                <w:webHidden/>
              </w:rPr>
              <w:fldChar w:fldCharType="end"/>
            </w:r>
          </w:hyperlink>
        </w:p>
        <w:p w:rsidR="00991AE6" w:rsidRDefault="00991AE6" w14:paraId="6163E166" w14:textId="49AEE6FC">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28">
            <w:r w:rsidRPr="00D8539C">
              <w:rPr>
                <w:rStyle w:val="Hyperlink"/>
                <w:noProof/>
              </w:rPr>
              <w:t>4.3.</w:t>
            </w:r>
            <w:r>
              <w:rPr>
                <w:rFonts w:asciiTheme="minorHAnsi" w:hAnsiTheme="minorHAnsi" w:cstheme="minorBidi"/>
                <w:noProof/>
                <w:kern w:val="2"/>
                <w:sz w:val="24"/>
                <w:szCs w:val="24"/>
                <w14:ligatures w14:val="standardContextual"/>
              </w:rPr>
              <w:tab/>
            </w:r>
            <w:r w:rsidRPr="00D8539C">
              <w:rPr>
                <w:rStyle w:val="Hyperlink"/>
                <w:noProof/>
              </w:rPr>
              <w:t>Whether SDG&amp;E’s Application Merits Denial Due to Its Historical Underspend Relative to Its GRC-Authorized Spend on Electric Distribution Capital</w:t>
            </w:r>
            <w:r>
              <w:rPr>
                <w:noProof/>
                <w:webHidden/>
              </w:rPr>
              <w:tab/>
            </w:r>
            <w:r>
              <w:rPr>
                <w:noProof/>
                <w:webHidden/>
              </w:rPr>
              <w:fldChar w:fldCharType="begin"/>
            </w:r>
            <w:r>
              <w:rPr>
                <w:noProof/>
                <w:webHidden/>
              </w:rPr>
              <w:instrText xml:space="preserve"> PAGEREF _Toc212538528 \h </w:instrText>
            </w:r>
            <w:r>
              <w:rPr>
                <w:noProof/>
                <w:webHidden/>
              </w:rPr>
            </w:r>
            <w:r>
              <w:rPr>
                <w:noProof/>
                <w:webHidden/>
              </w:rPr>
              <w:fldChar w:fldCharType="separate"/>
            </w:r>
            <w:r>
              <w:rPr>
                <w:noProof/>
                <w:webHidden/>
              </w:rPr>
              <w:t>11</w:t>
            </w:r>
            <w:r>
              <w:rPr>
                <w:noProof/>
                <w:webHidden/>
              </w:rPr>
              <w:fldChar w:fldCharType="end"/>
            </w:r>
          </w:hyperlink>
        </w:p>
        <w:p w:rsidR="00991AE6" w:rsidRDefault="00991AE6" w14:paraId="4FCAFE8A" w14:textId="11862251">
          <w:pPr>
            <w:pStyle w:val="TOC1"/>
            <w:tabs>
              <w:tab w:val="right" w:leader="dot" w:pos="9350"/>
            </w:tabs>
            <w:rPr>
              <w:rFonts w:asciiTheme="minorHAnsi" w:hAnsiTheme="minorHAnsi" w:cstheme="minorBidi"/>
              <w:noProof/>
              <w:kern w:val="2"/>
              <w:sz w:val="24"/>
              <w:szCs w:val="24"/>
              <w14:ligatures w14:val="standardContextual"/>
            </w:rPr>
          </w:pPr>
          <w:hyperlink w:history="1" w:anchor="_Toc212538529">
            <w:r w:rsidRPr="00D8539C">
              <w:rPr>
                <w:rStyle w:val="Hyperlink"/>
                <w:noProof/>
              </w:rPr>
              <w:t>5.</w:t>
            </w:r>
            <w:r>
              <w:rPr>
                <w:rFonts w:asciiTheme="minorHAnsi" w:hAnsiTheme="minorHAnsi" w:cstheme="minorBidi"/>
                <w:noProof/>
                <w:kern w:val="2"/>
                <w:sz w:val="24"/>
                <w:szCs w:val="24"/>
                <w14:ligatures w14:val="standardContextual"/>
              </w:rPr>
              <w:tab/>
            </w:r>
            <w:r w:rsidRPr="00D8539C">
              <w:rPr>
                <w:rStyle w:val="Hyperlink"/>
                <w:noProof/>
              </w:rPr>
              <w:t>Costs Eligible to Be Recorded in a Senate Bill 410 Ratemaking Mechanism</w:t>
            </w:r>
            <w:r>
              <w:rPr>
                <w:noProof/>
                <w:webHidden/>
              </w:rPr>
              <w:tab/>
            </w:r>
            <w:r>
              <w:rPr>
                <w:noProof/>
                <w:webHidden/>
              </w:rPr>
              <w:fldChar w:fldCharType="begin"/>
            </w:r>
            <w:r>
              <w:rPr>
                <w:noProof/>
                <w:webHidden/>
              </w:rPr>
              <w:instrText xml:space="preserve"> PAGEREF _Toc212538529 \h </w:instrText>
            </w:r>
            <w:r>
              <w:rPr>
                <w:noProof/>
                <w:webHidden/>
              </w:rPr>
            </w:r>
            <w:r>
              <w:rPr>
                <w:noProof/>
                <w:webHidden/>
              </w:rPr>
              <w:fldChar w:fldCharType="separate"/>
            </w:r>
            <w:r>
              <w:rPr>
                <w:noProof/>
                <w:webHidden/>
              </w:rPr>
              <w:t>12</w:t>
            </w:r>
            <w:r>
              <w:rPr>
                <w:noProof/>
                <w:webHidden/>
              </w:rPr>
              <w:fldChar w:fldCharType="end"/>
            </w:r>
          </w:hyperlink>
        </w:p>
        <w:p w:rsidR="00991AE6" w:rsidRDefault="00991AE6" w14:paraId="3993D0F8" w14:textId="4A41612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30">
            <w:r w:rsidRPr="00D8539C">
              <w:rPr>
                <w:rStyle w:val="Hyperlink"/>
                <w:noProof/>
              </w:rPr>
              <w:t>5.1.</w:t>
            </w:r>
            <w:r>
              <w:rPr>
                <w:rFonts w:asciiTheme="minorHAnsi" w:hAnsiTheme="minorHAnsi" w:cstheme="minorBidi"/>
                <w:noProof/>
                <w:kern w:val="2"/>
                <w:sz w:val="24"/>
                <w:szCs w:val="24"/>
                <w14:ligatures w14:val="standardContextual"/>
              </w:rPr>
              <w:tab/>
            </w:r>
            <w:r w:rsidRPr="00D8539C">
              <w:rPr>
                <w:rStyle w:val="Hyperlink"/>
                <w:noProof/>
              </w:rPr>
              <w:t>Costs Incurred After January 1, 2024, But Before San Diego Gas &amp; Electric Company Filed the Instant Application</w:t>
            </w:r>
            <w:r>
              <w:rPr>
                <w:noProof/>
                <w:webHidden/>
              </w:rPr>
              <w:tab/>
            </w:r>
            <w:r>
              <w:rPr>
                <w:noProof/>
                <w:webHidden/>
              </w:rPr>
              <w:fldChar w:fldCharType="begin"/>
            </w:r>
            <w:r>
              <w:rPr>
                <w:noProof/>
                <w:webHidden/>
              </w:rPr>
              <w:instrText xml:space="preserve"> PAGEREF _Toc212538530 \h </w:instrText>
            </w:r>
            <w:r>
              <w:rPr>
                <w:noProof/>
                <w:webHidden/>
              </w:rPr>
            </w:r>
            <w:r>
              <w:rPr>
                <w:noProof/>
                <w:webHidden/>
              </w:rPr>
              <w:fldChar w:fldCharType="separate"/>
            </w:r>
            <w:r>
              <w:rPr>
                <w:noProof/>
                <w:webHidden/>
              </w:rPr>
              <w:t>12</w:t>
            </w:r>
            <w:r>
              <w:rPr>
                <w:noProof/>
                <w:webHidden/>
              </w:rPr>
              <w:fldChar w:fldCharType="end"/>
            </w:r>
          </w:hyperlink>
        </w:p>
        <w:p w:rsidR="00991AE6" w:rsidRDefault="00991AE6" w14:paraId="76C495F4" w14:textId="188EE5A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31">
            <w:r w:rsidRPr="00D8539C">
              <w:rPr>
                <w:rStyle w:val="Hyperlink"/>
                <w:noProof/>
              </w:rPr>
              <w:t>5.2.</w:t>
            </w:r>
            <w:r>
              <w:rPr>
                <w:rFonts w:asciiTheme="minorHAnsi" w:hAnsiTheme="minorHAnsi" w:cstheme="minorBidi"/>
                <w:noProof/>
                <w:kern w:val="2"/>
                <w:sz w:val="24"/>
                <w:szCs w:val="24"/>
                <w14:ligatures w14:val="standardContextual"/>
              </w:rPr>
              <w:tab/>
            </w:r>
            <w:r w:rsidRPr="00D8539C">
              <w:rPr>
                <w:rStyle w:val="Hyperlink"/>
                <w:noProof/>
              </w:rPr>
              <w:t>Costs for Projects Not Placed in Service Before January 1, 2027</w:t>
            </w:r>
            <w:r>
              <w:rPr>
                <w:noProof/>
                <w:webHidden/>
              </w:rPr>
              <w:tab/>
            </w:r>
            <w:r>
              <w:rPr>
                <w:noProof/>
                <w:webHidden/>
              </w:rPr>
              <w:fldChar w:fldCharType="begin"/>
            </w:r>
            <w:r>
              <w:rPr>
                <w:noProof/>
                <w:webHidden/>
              </w:rPr>
              <w:instrText xml:space="preserve"> PAGEREF _Toc212538531 \h </w:instrText>
            </w:r>
            <w:r>
              <w:rPr>
                <w:noProof/>
                <w:webHidden/>
              </w:rPr>
            </w:r>
            <w:r>
              <w:rPr>
                <w:noProof/>
                <w:webHidden/>
              </w:rPr>
              <w:fldChar w:fldCharType="separate"/>
            </w:r>
            <w:r>
              <w:rPr>
                <w:noProof/>
                <w:webHidden/>
              </w:rPr>
              <w:t>13</w:t>
            </w:r>
            <w:r>
              <w:rPr>
                <w:noProof/>
                <w:webHidden/>
              </w:rPr>
              <w:fldChar w:fldCharType="end"/>
            </w:r>
          </w:hyperlink>
        </w:p>
        <w:p w:rsidR="00991AE6" w:rsidRDefault="00991AE6" w14:paraId="6EB9A600" w14:textId="601CBBFB">
          <w:pPr>
            <w:pStyle w:val="TOC1"/>
            <w:tabs>
              <w:tab w:val="right" w:leader="dot" w:pos="9350"/>
            </w:tabs>
            <w:rPr>
              <w:rFonts w:asciiTheme="minorHAnsi" w:hAnsiTheme="minorHAnsi" w:cstheme="minorBidi"/>
              <w:noProof/>
              <w:kern w:val="2"/>
              <w:sz w:val="24"/>
              <w:szCs w:val="24"/>
              <w14:ligatures w14:val="standardContextual"/>
            </w:rPr>
          </w:pPr>
          <w:hyperlink w:history="1" w:anchor="_Toc212538532">
            <w:r w:rsidRPr="00D8539C">
              <w:rPr>
                <w:rStyle w:val="Hyperlink"/>
                <w:noProof/>
              </w:rPr>
              <w:t>6.</w:t>
            </w:r>
            <w:r>
              <w:rPr>
                <w:rFonts w:asciiTheme="minorHAnsi" w:hAnsiTheme="minorHAnsi" w:cstheme="minorBidi"/>
                <w:noProof/>
                <w:kern w:val="2"/>
                <w:sz w:val="24"/>
                <w:szCs w:val="24"/>
                <w14:ligatures w14:val="standardContextual"/>
              </w:rPr>
              <w:tab/>
            </w:r>
            <w:r w:rsidRPr="00D8539C">
              <w:rPr>
                <w:rStyle w:val="Hyperlink"/>
                <w:noProof/>
              </w:rPr>
              <w:t>Cost Categories’ Contributions to Cap</w:t>
            </w:r>
            <w:r>
              <w:rPr>
                <w:noProof/>
                <w:webHidden/>
              </w:rPr>
              <w:tab/>
            </w:r>
            <w:r>
              <w:rPr>
                <w:noProof/>
                <w:webHidden/>
              </w:rPr>
              <w:fldChar w:fldCharType="begin"/>
            </w:r>
            <w:r>
              <w:rPr>
                <w:noProof/>
                <w:webHidden/>
              </w:rPr>
              <w:instrText xml:space="preserve"> PAGEREF _Toc212538532 \h </w:instrText>
            </w:r>
            <w:r>
              <w:rPr>
                <w:noProof/>
                <w:webHidden/>
              </w:rPr>
            </w:r>
            <w:r>
              <w:rPr>
                <w:noProof/>
                <w:webHidden/>
              </w:rPr>
              <w:fldChar w:fldCharType="separate"/>
            </w:r>
            <w:r>
              <w:rPr>
                <w:noProof/>
                <w:webHidden/>
              </w:rPr>
              <w:t>15</w:t>
            </w:r>
            <w:r>
              <w:rPr>
                <w:noProof/>
                <w:webHidden/>
              </w:rPr>
              <w:fldChar w:fldCharType="end"/>
            </w:r>
          </w:hyperlink>
        </w:p>
        <w:p w:rsidR="00991AE6" w:rsidRDefault="00991AE6" w14:paraId="632251A6" w14:textId="2F1A5E47">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33">
            <w:r w:rsidRPr="00D8539C">
              <w:rPr>
                <w:rStyle w:val="Hyperlink"/>
                <w:noProof/>
              </w:rPr>
              <w:t>6.1.</w:t>
            </w:r>
            <w:r>
              <w:rPr>
                <w:rFonts w:asciiTheme="minorHAnsi" w:hAnsiTheme="minorHAnsi" w:cstheme="minorBidi"/>
                <w:noProof/>
                <w:kern w:val="2"/>
                <w:sz w:val="24"/>
                <w:szCs w:val="24"/>
                <w14:ligatures w14:val="standardContextual"/>
              </w:rPr>
              <w:tab/>
            </w:r>
            <w:r w:rsidRPr="00D8539C">
              <w:rPr>
                <w:rStyle w:val="Hyperlink"/>
                <w:noProof/>
              </w:rPr>
              <w:t>Summary of Cost Categories’ Contributions to Cost Cap</w:t>
            </w:r>
            <w:r>
              <w:rPr>
                <w:noProof/>
                <w:webHidden/>
              </w:rPr>
              <w:tab/>
            </w:r>
            <w:r>
              <w:rPr>
                <w:noProof/>
                <w:webHidden/>
              </w:rPr>
              <w:fldChar w:fldCharType="begin"/>
            </w:r>
            <w:r>
              <w:rPr>
                <w:noProof/>
                <w:webHidden/>
              </w:rPr>
              <w:instrText xml:space="preserve"> PAGEREF _Toc212538533 \h </w:instrText>
            </w:r>
            <w:r>
              <w:rPr>
                <w:noProof/>
                <w:webHidden/>
              </w:rPr>
            </w:r>
            <w:r>
              <w:rPr>
                <w:noProof/>
                <w:webHidden/>
              </w:rPr>
              <w:fldChar w:fldCharType="separate"/>
            </w:r>
            <w:r>
              <w:rPr>
                <w:noProof/>
                <w:webHidden/>
              </w:rPr>
              <w:t>15</w:t>
            </w:r>
            <w:r>
              <w:rPr>
                <w:noProof/>
                <w:webHidden/>
              </w:rPr>
              <w:fldChar w:fldCharType="end"/>
            </w:r>
          </w:hyperlink>
        </w:p>
        <w:p w:rsidR="00991AE6" w:rsidRDefault="00991AE6" w14:paraId="36A32CB0" w14:textId="0501C7C5">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34">
            <w:r w:rsidRPr="00D8539C">
              <w:rPr>
                <w:rStyle w:val="Hyperlink"/>
                <w:noProof/>
              </w:rPr>
              <w:t>6.2.</w:t>
            </w:r>
            <w:r>
              <w:rPr>
                <w:rFonts w:asciiTheme="minorHAnsi" w:hAnsiTheme="minorHAnsi" w:cstheme="minorBidi"/>
                <w:noProof/>
                <w:kern w:val="2"/>
                <w:sz w:val="24"/>
                <w:szCs w:val="24"/>
                <w14:ligatures w14:val="standardContextual"/>
              </w:rPr>
              <w:tab/>
            </w:r>
            <w:r w:rsidRPr="00D8539C">
              <w:rPr>
                <w:rStyle w:val="Hyperlink"/>
                <w:noProof/>
              </w:rPr>
              <w:t>Capacity/Expansion</w:t>
            </w:r>
            <w:r>
              <w:rPr>
                <w:noProof/>
                <w:webHidden/>
              </w:rPr>
              <w:tab/>
            </w:r>
            <w:r>
              <w:rPr>
                <w:noProof/>
                <w:webHidden/>
              </w:rPr>
              <w:fldChar w:fldCharType="begin"/>
            </w:r>
            <w:r>
              <w:rPr>
                <w:noProof/>
                <w:webHidden/>
              </w:rPr>
              <w:instrText xml:space="preserve"> PAGEREF _Toc212538534 \h </w:instrText>
            </w:r>
            <w:r>
              <w:rPr>
                <w:noProof/>
                <w:webHidden/>
              </w:rPr>
            </w:r>
            <w:r>
              <w:rPr>
                <w:noProof/>
                <w:webHidden/>
              </w:rPr>
              <w:fldChar w:fldCharType="separate"/>
            </w:r>
            <w:r>
              <w:rPr>
                <w:noProof/>
                <w:webHidden/>
              </w:rPr>
              <w:t>16</w:t>
            </w:r>
            <w:r>
              <w:rPr>
                <w:noProof/>
                <w:webHidden/>
              </w:rPr>
              <w:fldChar w:fldCharType="end"/>
            </w:r>
          </w:hyperlink>
        </w:p>
        <w:p w:rsidR="00991AE6" w:rsidRDefault="00991AE6" w14:paraId="2CF63E8B" w14:textId="728AC9E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35">
            <w:r w:rsidRPr="00D8539C">
              <w:rPr>
                <w:rStyle w:val="Hyperlink"/>
                <w:noProof/>
              </w:rPr>
              <w:t>6.2.1.</w:t>
            </w:r>
            <w:r>
              <w:rPr>
                <w:rFonts w:asciiTheme="minorHAnsi" w:hAnsiTheme="minorHAnsi" w:cstheme="minorBidi"/>
                <w:noProof/>
                <w:kern w:val="2"/>
                <w:sz w:val="24"/>
                <w:szCs w:val="24"/>
                <w14:ligatures w14:val="standardContextual"/>
              </w:rPr>
              <w:tab/>
            </w:r>
            <w:r w:rsidRPr="00D8539C">
              <w:rPr>
                <w:rStyle w:val="Hyperlink"/>
                <w:noProof/>
              </w:rPr>
              <w:t>Category Overview and Drivers of Incremental Need</w:t>
            </w:r>
            <w:r>
              <w:rPr>
                <w:noProof/>
                <w:webHidden/>
              </w:rPr>
              <w:tab/>
            </w:r>
            <w:r>
              <w:rPr>
                <w:noProof/>
                <w:webHidden/>
              </w:rPr>
              <w:fldChar w:fldCharType="begin"/>
            </w:r>
            <w:r>
              <w:rPr>
                <w:noProof/>
                <w:webHidden/>
              </w:rPr>
              <w:instrText xml:space="preserve"> PAGEREF _Toc212538535 \h </w:instrText>
            </w:r>
            <w:r>
              <w:rPr>
                <w:noProof/>
                <w:webHidden/>
              </w:rPr>
            </w:r>
            <w:r>
              <w:rPr>
                <w:noProof/>
                <w:webHidden/>
              </w:rPr>
              <w:fldChar w:fldCharType="separate"/>
            </w:r>
            <w:r>
              <w:rPr>
                <w:noProof/>
                <w:webHidden/>
              </w:rPr>
              <w:t>16</w:t>
            </w:r>
            <w:r>
              <w:rPr>
                <w:noProof/>
                <w:webHidden/>
              </w:rPr>
              <w:fldChar w:fldCharType="end"/>
            </w:r>
          </w:hyperlink>
        </w:p>
        <w:p w:rsidR="00991AE6" w:rsidRDefault="00991AE6" w14:paraId="7DCA35D5" w14:textId="0C65187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36">
            <w:r w:rsidRPr="00D8539C">
              <w:rPr>
                <w:rStyle w:val="Hyperlink"/>
                <w:noProof/>
              </w:rPr>
              <w:t>6.2.2.</w:t>
            </w:r>
            <w:r>
              <w:rPr>
                <w:rFonts w:asciiTheme="minorHAnsi" w:hAnsiTheme="minorHAnsi" w:cstheme="minorBidi"/>
                <w:noProof/>
                <w:kern w:val="2"/>
                <w:sz w:val="24"/>
                <w:szCs w:val="24"/>
                <w14:ligatures w14:val="standardContextual"/>
              </w:rPr>
              <w:tab/>
            </w:r>
            <w:r w:rsidRPr="00D8539C">
              <w:rPr>
                <w:rStyle w:val="Hyperlink"/>
                <w:noProof/>
              </w:rPr>
              <w:t>Capacity/Expansion Costs Authorized by San Diego Gas &amp; Electric Company’s 2024 General Rate Case</w:t>
            </w:r>
            <w:r>
              <w:rPr>
                <w:noProof/>
                <w:webHidden/>
              </w:rPr>
              <w:tab/>
            </w:r>
            <w:r>
              <w:rPr>
                <w:noProof/>
                <w:webHidden/>
              </w:rPr>
              <w:fldChar w:fldCharType="begin"/>
            </w:r>
            <w:r>
              <w:rPr>
                <w:noProof/>
                <w:webHidden/>
              </w:rPr>
              <w:instrText xml:space="preserve"> PAGEREF _Toc212538536 \h </w:instrText>
            </w:r>
            <w:r>
              <w:rPr>
                <w:noProof/>
                <w:webHidden/>
              </w:rPr>
            </w:r>
            <w:r>
              <w:rPr>
                <w:noProof/>
                <w:webHidden/>
              </w:rPr>
              <w:fldChar w:fldCharType="separate"/>
            </w:r>
            <w:r>
              <w:rPr>
                <w:noProof/>
                <w:webHidden/>
              </w:rPr>
              <w:t>17</w:t>
            </w:r>
            <w:r>
              <w:rPr>
                <w:noProof/>
                <w:webHidden/>
              </w:rPr>
              <w:fldChar w:fldCharType="end"/>
            </w:r>
          </w:hyperlink>
        </w:p>
        <w:p w:rsidR="00991AE6" w:rsidRDefault="00991AE6" w14:paraId="51801654" w14:textId="287A88F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37">
            <w:r w:rsidRPr="00D8539C">
              <w:rPr>
                <w:rStyle w:val="Hyperlink"/>
                <w:noProof/>
              </w:rPr>
              <w:t>6.2.3.</w:t>
            </w:r>
            <w:r>
              <w:rPr>
                <w:rFonts w:asciiTheme="minorHAnsi" w:hAnsiTheme="minorHAnsi" w:cstheme="minorBidi"/>
                <w:noProof/>
                <w:kern w:val="2"/>
                <w:sz w:val="24"/>
                <w:szCs w:val="24"/>
                <w14:ligatures w14:val="standardContextual"/>
              </w:rPr>
              <w:tab/>
            </w:r>
            <w:r w:rsidRPr="00D8539C">
              <w:rPr>
                <w:rStyle w:val="Hyperlink"/>
                <w:noProof/>
              </w:rPr>
              <w:t>Forecast Methodology for Capacity/Expansion Costs</w:t>
            </w:r>
            <w:r>
              <w:rPr>
                <w:noProof/>
                <w:webHidden/>
              </w:rPr>
              <w:tab/>
            </w:r>
            <w:r>
              <w:rPr>
                <w:noProof/>
                <w:webHidden/>
              </w:rPr>
              <w:fldChar w:fldCharType="begin"/>
            </w:r>
            <w:r>
              <w:rPr>
                <w:noProof/>
                <w:webHidden/>
              </w:rPr>
              <w:instrText xml:space="preserve"> PAGEREF _Toc212538537 \h </w:instrText>
            </w:r>
            <w:r>
              <w:rPr>
                <w:noProof/>
                <w:webHidden/>
              </w:rPr>
            </w:r>
            <w:r>
              <w:rPr>
                <w:noProof/>
                <w:webHidden/>
              </w:rPr>
              <w:fldChar w:fldCharType="separate"/>
            </w:r>
            <w:r>
              <w:rPr>
                <w:noProof/>
                <w:webHidden/>
              </w:rPr>
              <w:t>18</w:t>
            </w:r>
            <w:r>
              <w:rPr>
                <w:noProof/>
                <w:webHidden/>
              </w:rPr>
              <w:fldChar w:fldCharType="end"/>
            </w:r>
          </w:hyperlink>
        </w:p>
        <w:p w:rsidR="00991AE6" w:rsidRDefault="00991AE6" w14:paraId="39E5685C" w14:textId="23D42EA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38">
            <w:r w:rsidRPr="00D8539C">
              <w:rPr>
                <w:rStyle w:val="Hyperlink"/>
                <w:noProof/>
              </w:rPr>
              <w:t>6.2.4.</w:t>
            </w:r>
            <w:r>
              <w:rPr>
                <w:rFonts w:asciiTheme="minorHAnsi" w:hAnsiTheme="minorHAnsi" w:cstheme="minorBidi"/>
                <w:noProof/>
                <w:kern w:val="2"/>
                <w:sz w:val="24"/>
                <w:szCs w:val="24"/>
                <w14:ligatures w14:val="standardContextual"/>
              </w:rPr>
              <w:tab/>
            </w:r>
            <w:r w:rsidRPr="00D8539C">
              <w:rPr>
                <w:rStyle w:val="Hyperlink"/>
                <w:noProof/>
              </w:rPr>
              <w:t>Reactive Small Capital Projects’ Contribution to Cap</w:t>
            </w:r>
            <w:r>
              <w:rPr>
                <w:noProof/>
                <w:webHidden/>
              </w:rPr>
              <w:tab/>
            </w:r>
            <w:r>
              <w:rPr>
                <w:noProof/>
                <w:webHidden/>
              </w:rPr>
              <w:fldChar w:fldCharType="begin"/>
            </w:r>
            <w:r>
              <w:rPr>
                <w:noProof/>
                <w:webHidden/>
              </w:rPr>
              <w:instrText xml:space="preserve"> PAGEREF _Toc212538538 \h </w:instrText>
            </w:r>
            <w:r>
              <w:rPr>
                <w:noProof/>
                <w:webHidden/>
              </w:rPr>
            </w:r>
            <w:r>
              <w:rPr>
                <w:noProof/>
                <w:webHidden/>
              </w:rPr>
              <w:fldChar w:fldCharType="separate"/>
            </w:r>
            <w:r>
              <w:rPr>
                <w:noProof/>
                <w:webHidden/>
              </w:rPr>
              <w:t>19</w:t>
            </w:r>
            <w:r>
              <w:rPr>
                <w:noProof/>
                <w:webHidden/>
              </w:rPr>
              <w:fldChar w:fldCharType="end"/>
            </w:r>
          </w:hyperlink>
        </w:p>
        <w:p w:rsidR="00991AE6" w:rsidRDefault="00991AE6" w14:paraId="30E17514" w14:textId="4C220ED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39">
            <w:r w:rsidRPr="00D8539C">
              <w:rPr>
                <w:rStyle w:val="Hyperlink"/>
                <w:noProof/>
              </w:rPr>
              <w:t>6.2.5.</w:t>
            </w:r>
            <w:r>
              <w:rPr>
                <w:rFonts w:asciiTheme="minorHAnsi" w:hAnsiTheme="minorHAnsi" w:cstheme="minorBidi"/>
                <w:noProof/>
                <w:kern w:val="2"/>
                <w:sz w:val="24"/>
                <w:szCs w:val="24"/>
                <w14:ligatures w14:val="standardContextual"/>
              </w:rPr>
              <w:tab/>
            </w:r>
            <w:r w:rsidRPr="00D8539C">
              <w:rPr>
                <w:rStyle w:val="Hyperlink"/>
                <w:noProof/>
              </w:rPr>
              <w:t>East Gate C1154’s and Sampson C369’s Contributions to Cap</w:t>
            </w:r>
            <w:r>
              <w:rPr>
                <w:noProof/>
                <w:webHidden/>
              </w:rPr>
              <w:tab/>
            </w:r>
            <w:r>
              <w:rPr>
                <w:noProof/>
                <w:webHidden/>
              </w:rPr>
              <w:fldChar w:fldCharType="begin"/>
            </w:r>
            <w:r>
              <w:rPr>
                <w:noProof/>
                <w:webHidden/>
              </w:rPr>
              <w:instrText xml:space="preserve"> PAGEREF _Toc212538539 \h </w:instrText>
            </w:r>
            <w:r>
              <w:rPr>
                <w:noProof/>
                <w:webHidden/>
              </w:rPr>
            </w:r>
            <w:r>
              <w:rPr>
                <w:noProof/>
                <w:webHidden/>
              </w:rPr>
              <w:fldChar w:fldCharType="separate"/>
            </w:r>
            <w:r>
              <w:rPr>
                <w:noProof/>
                <w:webHidden/>
              </w:rPr>
              <w:t>19</w:t>
            </w:r>
            <w:r>
              <w:rPr>
                <w:noProof/>
                <w:webHidden/>
              </w:rPr>
              <w:fldChar w:fldCharType="end"/>
            </w:r>
          </w:hyperlink>
        </w:p>
        <w:p w:rsidR="00991AE6" w:rsidRDefault="00991AE6" w14:paraId="54554A12" w14:textId="73BF6BB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40">
            <w:r w:rsidRPr="00D8539C">
              <w:rPr>
                <w:rStyle w:val="Hyperlink"/>
                <w:noProof/>
              </w:rPr>
              <w:t>6.2.6.</w:t>
            </w:r>
            <w:r>
              <w:rPr>
                <w:rFonts w:asciiTheme="minorHAnsi" w:hAnsiTheme="minorHAnsi" w:cstheme="minorBidi"/>
                <w:noProof/>
                <w:kern w:val="2"/>
                <w:sz w:val="24"/>
                <w:szCs w:val="24"/>
                <w14:ligatures w14:val="standardContextual"/>
              </w:rPr>
              <w:tab/>
            </w:r>
            <w:r w:rsidRPr="00D8539C">
              <w:rPr>
                <w:rStyle w:val="Hyperlink"/>
                <w:noProof/>
              </w:rPr>
              <w:t>Planned Investments’ Contribution to Cap</w:t>
            </w:r>
            <w:r>
              <w:rPr>
                <w:noProof/>
                <w:webHidden/>
              </w:rPr>
              <w:tab/>
            </w:r>
            <w:r>
              <w:rPr>
                <w:noProof/>
                <w:webHidden/>
              </w:rPr>
              <w:fldChar w:fldCharType="begin"/>
            </w:r>
            <w:r>
              <w:rPr>
                <w:noProof/>
                <w:webHidden/>
              </w:rPr>
              <w:instrText xml:space="preserve"> PAGEREF _Toc212538540 \h </w:instrText>
            </w:r>
            <w:r>
              <w:rPr>
                <w:noProof/>
                <w:webHidden/>
              </w:rPr>
            </w:r>
            <w:r>
              <w:rPr>
                <w:noProof/>
                <w:webHidden/>
              </w:rPr>
              <w:fldChar w:fldCharType="separate"/>
            </w:r>
            <w:r>
              <w:rPr>
                <w:noProof/>
                <w:webHidden/>
              </w:rPr>
              <w:t>21</w:t>
            </w:r>
            <w:r>
              <w:rPr>
                <w:noProof/>
                <w:webHidden/>
              </w:rPr>
              <w:fldChar w:fldCharType="end"/>
            </w:r>
          </w:hyperlink>
        </w:p>
        <w:p w:rsidR="00991AE6" w:rsidRDefault="00991AE6" w14:paraId="67076B27" w14:textId="660782C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41">
            <w:r w:rsidRPr="00D8539C">
              <w:rPr>
                <w:rStyle w:val="Hyperlink"/>
                <w:noProof/>
              </w:rPr>
              <w:t>6.2.7.</w:t>
            </w:r>
            <w:r>
              <w:rPr>
                <w:rFonts w:asciiTheme="minorHAnsi" w:hAnsiTheme="minorHAnsi" w:cstheme="minorBidi"/>
                <w:noProof/>
                <w:kern w:val="2"/>
                <w:sz w:val="24"/>
                <w:szCs w:val="24"/>
                <w14:ligatures w14:val="standardContextual"/>
              </w:rPr>
              <w:tab/>
            </w:r>
            <w:r w:rsidRPr="00D8539C">
              <w:rPr>
                <w:rStyle w:val="Hyperlink"/>
                <w:noProof/>
              </w:rPr>
              <w:t>Future Capacity Projects’ Contribution to Cap</w:t>
            </w:r>
            <w:r>
              <w:rPr>
                <w:noProof/>
                <w:webHidden/>
              </w:rPr>
              <w:tab/>
            </w:r>
            <w:r>
              <w:rPr>
                <w:noProof/>
                <w:webHidden/>
              </w:rPr>
              <w:fldChar w:fldCharType="begin"/>
            </w:r>
            <w:r>
              <w:rPr>
                <w:noProof/>
                <w:webHidden/>
              </w:rPr>
              <w:instrText xml:space="preserve"> PAGEREF _Toc212538541 \h </w:instrText>
            </w:r>
            <w:r>
              <w:rPr>
                <w:noProof/>
                <w:webHidden/>
              </w:rPr>
            </w:r>
            <w:r>
              <w:rPr>
                <w:noProof/>
                <w:webHidden/>
              </w:rPr>
              <w:fldChar w:fldCharType="separate"/>
            </w:r>
            <w:r>
              <w:rPr>
                <w:noProof/>
                <w:webHidden/>
              </w:rPr>
              <w:t>23</w:t>
            </w:r>
            <w:r>
              <w:rPr>
                <w:noProof/>
                <w:webHidden/>
              </w:rPr>
              <w:fldChar w:fldCharType="end"/>
            </w:r>
          </w:hyperlink>
        </w:p>
        <w:p w:rsidR="00991AE6" w:rsidRDefault="00991AE6" w14:paraId="22A6B679" w14:textId="6C81EE06">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42">
            <w:r w:rsidRPr="00D8539C">
              <w:rPr>
                <w:rStyle w:val="Hyperlink"/>
                <w:noProof/>
              </w:rPr>
              <w:t>6.2.8.</w:t>
            </w:r>
            <w:r>
              <w:rPr>
                <w:rFonts w:asciiTheme="minorHAnsi" w:hAnsiTheme="minorHAnsi" w:cstheme="minorBidi"/>
                <w:noProof/>
                <w:kern w:val="2"/>
                <w:sz w:val="24"/>
                <w:szCs w:val="24"/>
                <w14:ligatures w14:val="standardContextual"/>
              </w:rPr>
              <w:tab/>
            </w:r>
            <w:r w:rsidRPr="00D8539C">
              <w:rPr>
                <w:rStyle w:val="Hyperlink"/>
                <w:noProof/>
              </w:rPr>
              <w:t>Substation Land Acquisitions’ Contribution to Cap</w:t>
            </w:r>
            <w:r>
              <w:rPr>
                <w:noProof/>
                <w:webHidden/>
              </w:rPr>
              <w:tab/>
            </w:r>
            <w:r>
              <w:rPr>
                <w:noProof/>
                <w:webHidden/>
              </w:rPr>
              <w:fldChar w:fldCharType="begin"/>
            </w:r>
            <w:r>
              <w:rPr>
                <w:noProof/>
                <w:webHidden/>
              </w:rPr>
              <w:instrText xml:space="preserve"> PAGEREF _Toc212538542 \h </w:instrText>
            </w:r>
            <w:r>
              <w:rPr>
                <w:noProof/>
                <w:webHidden/>
              </w:rPr>
            </w:r>
            <w:r>
              <w:rPr>
                <w:noProof/>
                <w:webHidden/>
              </w:rPr>
              <w:fldChar w:fldCharType="separate"/>
            </w:r>
            <w:r>
              <w:rPr>
                <w:noProof/>
                <w:webHidden/>
              </w:rPr>
              <w:t>25</w:t>
            </w:r>
            <w:r>
              <w:rPr>
                <w:noProof/>
                <w:webHidden/>
              </w:rPr>
              <w:fldChar w:fldCharType="end"/>
            </w:r>
          </w:hyperlink>
        </w:p>
        <w:p w:rsidR="00991AE6" w:rsidRDefault="00991AE6" w14:paraId="70B30ABC" w14:textId="2CB5F36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43">
            <w:r w:rsidRPr="00D8539C">
              <w:rPr>
                <w:rStyle w:val="Hyperlink"/>
                <w:noProof/>
              </w:rPr>
              <w:t>6.3.</w:t>
            </w:r>
            <w:r>
              <w:rPr>
                <w:rFonts w:asciiTheme="minorHAnsi" w:hAnsiTheme="minorHAnsi" w:cstheme="minorBidi"/>
                <w:noProof/>
                <w:kern w:val="2"/>
                <w:sz w:val="24"/>
                <w:szCs w:val="24"/>
                <w14:ligatures w14:val="standardContextual"/>
              </w:rPr>
              <w:tab/>
            </w:r>
            <w:r w:rsidRPr="00D8539C">
              <w:rPr>
                <w:rStyle w:val="Hyperlink"/>
                <w:noProof/>
              </w:rPr>
              <w:t>New Business</w:t>
            </w:r>
            <w:r>
              <w:rPr>
                <w:noProof/>
                <w:webHidden/>
              </w:rPr>
              <w:tab/>
            </w:r>
            <w:r>
              <w:rPr>
                <w:noProof/>
                <w:webHidden/>
              </w:rPr>
              <w:fldChar w:fldCharType="begin"/>
            </w:r>
            <w:r>
              <w:rPr>
                <w:noProof/>
                <w:webHidden/>
              </w:rPr>
              <w:instrText xml:space="preserve"> PAGEREF _Toc212538543 \h </w:instrText>
            </w:r>
            <w:r>
              <w:rPr>
                <w:noProof/>
                <w:webHidden/>
              </w:rPr>
            </w:r>
            <w:r>
              <w:rPr>
                <w:noProof/>
                <w:webHidden/>
              </w:rPr>
              <w:fldChar w:fldCharType="separate"/>
            </w:r>
            <w:r>
              <w:rPr>
                <w:noProof/>
                <w:webHidden/>
              </w:rPr>
              <w:t>27</w:t>
            </w:r>
            <w:r>
              <w:rPr>
                <w:noProof/>
                <w:webHidden/>
              </w:rPr>
              <w:fldChar w:fldCharType="end"/>
            </w:r>
          </w:hyperlink>
        </w:p>
        <w:p w:rsidR="00991AE6" w:rsidRDefault="00991AE6" w14:paraId="1FAFB2C7" w14:textId="041A2DB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44">
            <w:r w:rsidRPr="00D8539C">
              <w:rPr>
                <w:rStyle w:val="Hyperlink"/>
                <w:noProof/>
              </w:rPr>
              <w:t>6.3.1.</w:t>
            </w:r>
            <w:r>
              <w:rPr>
                <w:rFonts w:asciiTheme="minorHAnsi" w:hAnsiTheme="minorHAnsi" w:cstheme="minorBidi"/>
                <w:noProof/>
                <w:kern w:val="2"/>
                <w:sz w:val="24"/>
                <w:szCs w:val="24"/>
                <w14:ligatures w14:val="standardContextual"/>
              </w:rPr>
              <w:tab/>
            </w:r>
            <w:r w:rsidRPr="00D8539C">
              <w:rPr>
                <w:rStyle w:val="Hyperlink"/>
                <w:noProof/>
              </w:rPr>
              <w:t>Category Overview and Drivers of Incremental Need</w:t>
            </w:r>
            <w:r>
              <w:rPr>
                <w:noProof/>
                <w:webHidden/>
              </w:rPr>
              <w:tab/>
            </w:r>
            <w:r>
              <w:rPr>
                <w:noProof/>
                <w:webHidden/>
              </w:rPr>
              <w:fldChar w:fldCharType="begin"/>
            </w:r>
            <w:r>
              <w:rPr>
                <w:noProof/>
                <w:webHidden/>
              </w:rPr>
              <w:instrText xml:space="preserve"> PAGEREF _Toc212538544 \h </w:instrText>
            </w:r>
            <w:r>
              <w:rPr>
                <w:noProof/>
                <w:webHidden/>
              </w:rPr>
            </w:r>
            <w:r>
              <w:rPr>
                <w:noProof/>
                <w:webHidden/>
              </w:rPr>
              <w:fldChar w:fldCharType="separate"/>
            </w:r>
            <w:r>
              <w:rPr>
                <w:noProof/>
                <w:webHidden/>
              </w:rPr>
              <w:t>27</w:t>
            </w:r>
            <w:r>
              <w:rPr>
                <w:noProof/>
                <w:webHidden/>
              </w:rPr>
              <w:fldChar w:fldCharType="end"/>
            </w:r>
          </w:hyperlink>
        </w:p>
        <w:p w:rsidR="00991AE6" w:rsidRDefault="00991AE6" w14:paraId="326A4619" w14:textId="793F5A5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45">
            <w:r w:rsidRPr="00D8539C">
              <w:rPr>
                <w:rStyle w:val="Hyperlink"/>
                <w:noProof/>
              </w:rPr>
              <w:t>6.3.2.</w:t>
            </w:r>
            <w:r>
              <w:rPr>
                <w:rFonts w:asciiTheme="minorHAnsi" w:hAnsiTheme="minorHAnsi" w:cstheme="minorBidi"/>
                <w:noProof/>
                <w:kern w:val="2"/>
                <w:sz w:val="24"/>
                <w:szCs w:val="24"/>
                <w14:ligatures w14:val="standardContextual"/>
              </w:rPr>
              <w:tab/>
            </w:r>
            <w:r w:rsidRPr="00D8539C">
              <w:rPr>
                <w:rStyle w:val="Hyperlink"/>
                <w:noProof/>
              </w:rPr>
              <w:t>New Business Subcategories That Are Energization-Related</w:t>
            </w:r>
            <w:r>
              <w:rPr>
                <w:noProof/>
                <w:webHidden/>
              </w:rPr>
              <w:tab/>
            </w:r>
            <w:r>
              <w:rPr>
                <w:noProof/>
                <w:webHidden/>
              </w:rPr>
              <w:fldChar w:fldCharType="begin"/>
            </w:r>
            <w:r>
              <w:rPr>
                <w:noProof/>
                <w:webHidden/>
              </w:rPr>
              <w:instrText xml:space="preserve"> PAGEREF _Toc212538545 \h </w:instrText>
            </w:r>
            <w:r>
              <w:rPr>
                <w:noProof/>
                <w:webHidden/>
              </w:rPr>
            </w:r>
            <w:r>
              <w:rPr>
                <w:noProof/>
                <w:webHidden/>
              </w:rPr>
              <w:fldChar w:fldCharType="separate"/>
            </w:r>
            <w:r>
              <w:rPr>
                <w:noProof/>
                <w:webHidden/>
              </w:rPr>
              <w:t>28</w:t>
            </w:r>
            <w:r>
              <w:rPr>
                <w:noProof/>
                <w:webHidden/>
              </w:rPr>
              <w:fldChar w:fldCharType="end"/>
            </w:r>
          </w:hyperlink>
        </w:p>
        <w:p w:rsidR="00991AE6" w:rsidRDefault="00991AE6" w14:paraId="321003B3" w14:textId="5CA59B1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46">
            <w:r w:rsidRPr="00D8539C">
              <w:rPr>
                <w:rStyle w:val="Hyperlink"/>
                <w:noProof/>
              </w:rPr>
              <w:t>6.3.3.</w:t>
            </w:r>
            <w:r>
              <w:rPr>
                <w:rFonts w:asciiTheme="minorHAnsi" w:hAnsiTheme="minorHAnsi" w:cstheme="minorBidi"/>
                <w:noProof/>
                <w:kern w:val="2"/>
                <w:sz w:val="24"/>
                <w:szCs w:val="24"/>
                <w14:ligatures w14:val="standardContextual"/>
              </w:rPr>
              <w:tab/>
            </w:r>
            <w:r w:rsidRPr="00D8539C">
              <w:rPr>
                <w:rStyle w:val="Hyperlink"/>
                <w:noProof/>
              </w:rPr>
              <w:t>Forecast Methodology</w:t>
            </w:r>
            <w:r>
              <w:rPr>
                <w:noProof/>
                <w:webHidden/>
              </w:rPr>
              <w:tab/>
            </w:r>
            <w:r>
              <w:rPr>
                <w:noProof/>
                <w:webHidden/>
              </w:rPr>
              <w:fldChar w:fldCharType="begin"/>
            </w:r>
            <w:r>
              <w:rPr>
                <w:noProof/>
                <w:webHidden/>
              </w:rPr>
              <w:instrText xml:space="preserve"> PAGEREF _Toc212538546 \h </w:instrText>
            </w:r>
            <w:r>
              <w:rPr>
                <w:noProof/>
                <w:webHidden/>
              </w:rPr>
            </w:r>
            <w:r>
              <w:rPr>
                <w:noProof/>
                <w:webHidden/>
              </w:rPr>
              <w:fldChar w:fldCharType="separate"/>
            </w:r>
            <w:r>
              <w:rPr>
                <w:noProof/>
                <w:webHidden/>
              </w:rPr>
              <w:t>30</w:t>
            </w:r>
            <w:r>
              <w:rPr>
                <w:noProof/>
                <w:webHidden/>
              </w:rPr>
              <w:fldChar w:fldCharType="end"/>
            </w:r>
          </w:hyperlink>
        </w:p>
        <w:p w:rsidR="00991AE6" w:rsidRDefault="00991AE6" w14:paraId="2B6AC2F8" w14:textId="6BE6BA5F">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47">
            <w:r w:rsidRPr="00D8539C">
              <w:rPr>
                <w:rStyle w:val="Hyperlink"/>
                <w:noProof/>
              </w:rPr>
              <w:t>6.3.4.</w:t>
            </w:r>
            <w:r>
              <w:rPr>
                <w:rFonts w:asciiTheme="minorHAnsi" w:hAnsiTheme="minorHAnsi" w:cstheme="minorBidi"/>
                <w:noProof/>
                <w:kern w:val="2"/>
                <w:sz w:val="24"/>
                <w:szCs w:val="24"/>
                <w14:ligatures w14:val="standardContextual"/>
              </w:rPr>
              <w:tab/>
            </w:r>
            <w:r w:rsidRPr="00D8539C">
              <w:rPr>
                <w:rStyle w:val="Hyperlink"/>
                <w:noProof/>
              </w:rPr>
              <w:t>New Business’s Contribution to Cap</w:t>
            </w:r>
            <w:r>
              <w:rPr>
                <w:noProof/>
                <w:webHidden/>
              </w:rPr>
              <w:tab/>
            </w:r>
            <w:r>
              <w:rPr>
                <w:noProof/>
                <w:webHidden/>
              </w:rPr>
              <w:fldChar w:fldCharType="begin"/>
            </w:r>
            <w:r>
              <w:rPr>
                <w:noProof/>
                <w:webHidden/>
              </w:rPr>
              <w:instrText xml:space="preserve"> PAGEREF _Toc212538547 \h </w:instrText>
            </w:r>
            <w:r>
              <w:rPr>
                <w:noProof/>
                <w:webHidden/>
              </w:rPr>
            </w:r>
            <w:r>
              <w:rPr>
                <w:noProof/>
                <w:webHidden/>
              </w:rPr>
              <w:fldChar w:fldCharType="separate"/>
            </w:r>
            <w:r>
              <w:rPr>
                <w:noProof/>
                <w:webHidden/>
              </w:rPr>
              <w:t>34</w:t>
            </w:r>
            <w:r>
              <w:rPr>
                <w:noProof/>
                <w:webHidden/>
              </w:rPr>
              <w:fldChar w:fldCharType="end"/>
            </w:r>
          </w:hyperlink>
        </w:p>
        <w:p w:rsidR="00991AE6" w:rsidRDefault="00991AE6" w14:paraId="39C66EDF" w14:textId="53FEF93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48">
            <w:r w:rsidRPr="00D8539C">
              <w:rPr>
                <w:rStyle w:val="Hyperlink"/>
                <w:noProof/>
              </w:rPr>
              <w:t>6.4.</w:t>
            </w:r>
            <w:r>
              <w:rPr>
                <w:rFonts w:asciiTheme="minorHAnsi" w:hAnsiTheme="minorHAnsi" w:cstheme="minorBidi"/>
                <w:noProof/>
                <w:kern w:val="2"/>
                <w:sz w:val="24"/>
                <w:szCs w:val="24"/>
                <w14:ligatures w14:val="standardContextual"/>
              </w:rPr>
              <w:tab/>
            </w:r>
            <w:r w:rsidRPr="00D8539C">
              <w:rPr>
                <w:rStyle w:val="Hyperlink"/>
                <w:noProof/>
              </w:rPr>
              <w:t>Materials (Transformers)</w:t>
            </w:r>
            <w:r>
              <w:rPr>
                <w:noProof/>
                <w:webHidden/>
              </w:rPr>
              <w:tab/>
            </w:r>
            <w:r>
              <w:rPr>
                <w:noProof/>
                <w:webHidden/>
              </w:rPr>
              <w:fldChar w:fldCharType="begin"/>
            </w:r>
            <w:r>
              <w:rPr>
                <w:noProof/>
                <w:webHidden/>
              </w:rPr>
              <w:instrText xml:space="preserve"> PAGEREF _Toc212538548 \h </w:instrText>
            </w:r>
            <w:r>
              <w:rPr>
                <w:noProof/>
                <w:webHidden/>
              </w:rPr>
            </w:r>
            <w:r>
              <w:rPr>
                <w:noProof/>
                <w:webHidden/>
              </w:rPr>
              <w:fldChar w:fldCharType="separate"/>
            </w:r>
            <w:r>
              <w:rPr>
                <w:noProof/>
                <w:webHidden/>
              </w:rPr>
              <w:t>34</w:t>
            </w:r>
            <w:r>
              <w:rPr>
                <w:noProof/>
                <w:webHidden/>
              </w:rPr>
              <w:fldChar w:fldCharType="end"/>
            </w:r>
          </w:hyperlink>
        </w:p>
        <w:p w:rsidR="00991AE6" w:rsidRDefault="00991AE6" w14:paraId="0C98457E" w14:textId="6F8D054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49">
            <w:r w:rsidRPr="00D8539C">
              <w:rPr>
                <w:rStyle w:val="Hyperlink"/>
                <w:noProof/>
              </w:rPr>
              <w:t>6.4.1.</w:t>
            </w:r>
            <w:r>
              <w:rPr>
                <w:rFonts w:asciiTheme="minorHAnsi" w:hAnsiTheme="minorHAnsi" w:cstheme="minorBidi"/>
                <w:noProof/>
                <w:kern w:val="2"/>
                <w:sz w:val="24"/>
                <w:szCs w:val="24"/>
                <w14:ligatures w14:val="standardContextual"/>
              </w:rPr>
              <w:tab/>
            </w:r>
            <w:r w:rsidRPr="00D8539C">
              <w:rPr>
                <w:rStyle w:val="Hyperlink"/>
                <w:noProof/>
              </w:rPr>
              <w:t>Category Overview and Drivers of Incremental Need</w:t>
            </w:r>
            <w:r>
              <w:rPr>
                <w:noProof/>
                <w:webHidden/>
              </w:rPr>
              <w:tab/>
            </w:r>
            <w:r>
              <w:rPr>
                <w:noProof/>
                <w:webHidden/>
              </w:rPr>
              <w:fldChar w:fldCharType="begin"/>
            </w:r>
            <w:r>
              <w:rPr>
                <w:noProof/>
                <w:webHidden/>
              </w:rPr>
              <w:instrText xml:space="preserve"> PAGEREF _Toc212538549 \h </w:instrText>
            </w:r>
            <w:r>
              <w:rPr>
                <w:noProof/>
                <w:webHidden/>
              </w:rPr>
            </w:r>
            <w:r>
              <w:rPr>
                <w:noProof/>
                <w:webHidden/>
              </w:rPr>
              <w:fldChar w:fldCharType="separate"/>
            </w:r>
            <w:r>
              <w:rPr>
                <w:noProof/>
                <w:webHidden/>
              </w:rPr>
              <w:t>34</w:t>
            </w:r>
            <w:r>
              <w:rPr>
                <w:noProof/>
                <w:webHidden/>
              </w:rPr>
              <w:fldChar w:fldCharType="end"/>
            </w:r>
          </w:hyperlink>
        </w:p>
        <w:p w:rsidR="00991AE6" w:rsidRDefault="00991AE6" w14:paraId="48AEBC81" w14:textId="4CA2670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50">
            <w:r w:rsidRPr="00D8539C">
              <w:rPr>
                <w:rStyle w:val="Hyperlink"/>
                <w:noProof/>
              </w:rPr>
              <w:t>6.4.2.</w:t>
            </w:r>
            <w:r>
              <w:rPr>
                <w:rFonts w:asciiTheme="minorHAnsi" w:hAnsiTheme="minorHAnsi" w:cstheme="minorBidi"/>
                <w:noProof/>
                <w:kern w:val="2"/>
                <w:sz w:val="24"/>
                <w:szCs w:val="24"/>
                <w14:ligatures w14:val="standardContextual"/>
              </w:rPr>
              <w:tab/>
            </w:r>
            <w:r w:rsidRPr="00D8539C">
              <w:rPr>
                <w:rStyle w:val="Hyperlink"/>
                <w:noProof/>
              </w:rPr>
              <w:t>Materials (Transformer) Costs Authorized by San Diego Gas &amp; Electric Company’s 2024 General Rate Case</w:t>
            </w:r>
            <w:r>
              <w:rPr>
                <w:noProof/>
                <w:webHidden/>
              </w:rPr>
              <w:tab/>
            </w:r>
            <w:r>
              <w:rPr>
                <w:noProof/>
                <w:webHidden/>
              </w:rPr>
              <w:fldChar w:fldCharType="begin"/>
            </w:r>
            <w:r>
              <w:rPr>
                <w:noProof/>
                <w:webHidden/>
              </w:rPr>
              <w:instrText xml:space="preserve"> PAGEREF _Toc212538550 \h </w:instrText>
            </w:r>
            <w:r>
              <w:rPr>
                <w:noProof/>
                <w:webHidden/>
              </w:rPr>
            </w:r>
            <w:r>
              <w:rPr>
                <w:noProof/>
                <w:webHidden/>
              </w:rPr>
              <w:fldChar w:fldCharType="separate"/>
            </w:r>
            <w:r>
              <w:rPr>
                <w:noProof/>
                <w:webHidden/>
              </w:rPr>
              <w:t>35</w:t>
            </w:r>
            <w:r>
              <w:rPr>
                <w:noProof/>
                <w:webHidden/>
              </w:rPr>
              <w:fldChar w:fldCharType="end"/>
            </w:r>
          </w:hyperlink>
        </w:p>
        <w:p w:rsidR="00991AE6" w:rsidRDefault="00991AE6" w14:paraId="72827082" w14:textId="5AA2FD8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51">
            <w:r w:rsidRPr="00D8539C">
              <w:rPr>
                <w:rStyle w:val="Hyperlink"/>
                <w:noProof/>
              </w:rPr>
              <w:t>6.4.3.</w:t>
            </w:r>
            <w:r>
              <w:rPr>
                <w:rFonts w:asciiTheme="minorHAnsi" w:hAnsiTheme="minorHAnsi" w:cstheme="minorBidi"/>
                <w:noProof/>
                <w:kern w:val="2"/>
                <w:sz w:val="24"/>
                <w:szCs w:val="24"/>
                <w14:ligatures w14:val="standardContextual"/>
              </w:rPr>
              <w:tab/>
            </w:r>
            <w:r w:rsidRPr="00D8539C">
              <w:rPr>
                <w:rStyle w:val="Hyperlink"/>
                <w:noProof/>
              </w:rPr>
              <w:t>Forecast Methodology</w:t>
            </w:r>
            <w:r>
              <w:rPr>
                <w:noProof/>
                <w:webHidden/>
              </w:rPr>
              <w:tab/>
            </w:r>
            <w:r>
              <w:rPr>
                <w:noProof/>
                <w:webHidden/>
              </w:rPr>
              <w:fldChar w:fldCharType="begin"/>
            </w:r>
            <w:r>
              <w:rPr>
                <w:noProof/>
                <w:webHidden/>
              </w:rPr>
              <w:instrText xml:space="preserve"> PAGEREF _Toc212538551 \h </w:instrText>
            </w:r>
            <w:r>
              <w:rPr>
                <w:noProof/>
                <w:webHidden/>
              </w:rPr>
            </w:r>
            <w:r>
              <w:rPr>
                <w:noProof/>
                <w:webHidden/>
              </w:rPr>
              <w:fldChar w:fldCharType="separate"/>
            </w:r>
            <w:r>
              <w:rPr>
                <w:noProof/>
                <w:webHidden/>
              </w:rPr>
              <w:t>36</w:t>
            </w:r>
            <w:r>
              <w:rPr>
                <w:noProof/>
                <w:webHidden/>
              </w:rPr>
              <w:fldChar w:fldCharType="end"/>
            </w:r>
          </w:hyperlink>
        </w:p>
        <w:p w:rsidR="00991AE6" w:rsidRDefault="00991AE6" w14:paraId="11232EA7" w14:textId="074FDFC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52">
            <w:r w:rsidRPr="00D8539C">
              <w:rPr>
                <w:rStyle w:val="Hyperlink"/>
                <w:noProof/>
              </w:rPr>
              <w:t>6.4.4.</w:t>
            </w:r>
            <w:r>
              <w:rPr>
                <w:rFonts w:asciiTheme="minorHAnsi" w:hAnsiTheme="minorHAnsi" w:cstheme="minorBidi"/>
                <w:noProof/>
                <w:kern w:val="2"/>
                <w:sz w:val="24"/>
                <w:szCs w:val="24"/>
                <w14:ligatures w14:val="standardContextual"/>
              </w:rPr>
              <w:tab/>
            </w:r>
            <w:r w:rsidRPr="00D8539C">
              <w:rPr>
                <w:rStyle w:val="Hyperlink"/>
                <w:noProof/>
              </w:rPr>
              <w:t>Transformer Purchases’ Contribution to Cap</w:t>
            </w:r>
            <w:r>
              <w:rPr>
                <w:noProof/>
                <w:webHidden/>
              </w:rPr>
              <w:tab/>
            </w:r>
            <w:r>
              <w:rPr>
                <w:noProof/>
                <w:webHidden/>
              </w:rPr>
              <w:fldChar w:fldCharType="begin"/>
            </w:r>
            <w:r>
              <w:rPr>
                <w:noProof/>
                <w:webHidden/>
              </w:rPr>
              <w:instrText xml:space="preserve"> PAGEREF _Toc212538552 \h </w:instrText>
            </w:r>
            <w:r>
              <w:rPr>
                <w:noProof/>
                <w:webHidden/>
              </w:rPr>
            </w:r>
            <w:r>
              <w:rPr>
                <w:noProof/>
                <w:webHidden/>
              </w:rPr>
              <w:fldChar w:fldCharType="separate"/>
            </w:r>
            <w:r>
              <w:rPr>
                <w:noProof/>
                <w:webHidden/>
              </w:rPr>
              <w:t>38</w:t>
            </w:r>
            <w:r>
              <w:rPr>
                <w:noProof/>
                <w:webHidden/>
              </w:rPr>
              <w:fldChar w:fldCharType="end"/>
            </w:r>
          </w:hyperlink>
        </w:p>
        <w:p w:rsidR="00991AE6" w:rsidRDefault="00991AE6" w14:paraId="0DC1873A" w14:textId="544E228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53">
            <w:r w:rsidRPr="00D8539C">
              <w:rPr>
                <w:rStyle w:val="Hyperlink"/>
                <w:noProof/>
              </w:rPr>
              <w:t>6.5.</w:t>
            </w:r>
            <w:r>
              <w:rPr>
                <w:rFonts w:asciiTheme="minorHAnsi" w:hAnsiTheme="minorHAnsi" w:cstheme="minorBidi"/>
                <w:noProof/>
                <w:kern w:val="2"/>
                <w:sz w:val="24"/>
                <w:szCs w:val="24"/>
                <w14:ligatures w14:val="standardContextual"/>
              </w:rPr>
              <w:tab/>
            </w:r>
            <w:r w:rsidRPr="00D8539C">
              <w:rPr>
                <w:rStyle w:val="Hyperlink"/>
                <w:noProof/>
              </w:rPr>
              <w:t>Information Technology System Enhancements</w:t>
            </w:r>
            <w:r>
              <w:rPr>
                <w:noProof/>
                <w:webHidden/>
              </w:rPr>
              <w:tab/>
            </w:r>
            <w:r>
              <w:rPr>
                <w:noProof/>
                <w:webHidden/>
              </w:rPr>
              <w:fldChar w:fldCharType="begin"/>
            </w:r>
            <w:r>
              <w:rPr>
                <w:noProof/>
                <w:webHidden/>
              </w:rPr>
              <w:instrText xml:space="preserve"> PAGEREF _Toc212538553 \h </w:instrText>
            </w:r>
            <w:r>
              <w:rPr>
                <w:noProof/>
                <w:webHidden/>
              </w:rPr>
            </w:r>
            <w:r>
              <w:rPr>
                <w:noProof/>
                <w:webHidden/>
              </w:rPr>
              <w:fldChar w:fldCharType="separate"/>
            </w:r>
            <w:r>
              <w:rPr>
                <w:noProof/>
                <w:webHidden/>
              </w:rPr>
              <w:t>39</w:t>
            </w:r>
            <w:r>
              <w:rPr>
                <w:noProof/>
                <w:webHidden/>
              </w:rPr>
              <w:fldChar w:fldCharType="end"/>
            </w:r>
          </w:hyperlink>
        </w:p>
        <w:p w:rsidR="00991AE6" w:rsidRDefault="00991AE6" w14:paraId="546D6548" w14:textId="7B3ED1A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54">
            <w:r w:rsidRPr="00D8539C">
              <w:rPr>
                <w:rStyle w:val="Hyperlink"/>
                <w:noProof/>
              </w:rPr>
              <w:t>6.5.1.</w:t>
            </w:r>
            <w:r>
              <w:rPr>
                <w:rFonts w:asciiTheme="minorHAnsi" w:hAnsiTheme="minorHAnsi" w:cstheme="minorBidi"/>
                <w:noProof/>
                <w:kern w:val="2"/>
                <w:sz w:val="24"/>
                <w:szCs w:val="24"/>
                <w14:ligatures w14:val="standardContextual"/>
              </w:rPr>
              <w:tab/>
            </w:r>
            <w:r w:rsidRPr="00D8539C">
              <w:rPr>
                <w:rStyle w:val="Hyperlink"/>
                <w:noProof/>
              </w:rPr>
              <w:t>Category Overview and Drivers of Incremental Need</w:t>
            </w:r>
            <w:r>
              <w:rPr>
                <w:noProof/>
                <w:webHidden/>
              </w:rPr>
              <w:tab/>
            </w:r>
            <w:r>
              <w:rPr>
                <w:noProof/>
                <w:webHidden/>
              </w:rPr>
              <w:fldChar w:fldCharType="begin"/>
            </w:r>
            <w:r>
              <w:rPr>
                <w:noProof/>
                <w:webHidden/>
              </w:rPr>
              <w:instrText xml:space="preserve"> PAGEREF _Toc212538554 \h </w:instrText>
            </w:r>
            <w:r>
              <w:rPr>
                <w:noProof/>
                <w:webHidden/>
              </w:rPr>
            </w:r>
            <w:r>
              <w:rPr>
                <w:noProof/>
                <w:webHidden/>
              </w:rPr>
              <w:fldChar w:fldCharType="separate"/>
            </w:r>
            <w:r>
              <w:rPr>
                <w:noProof/>
                <w:webHidden/>
              </w:rPr>
              <w:t>39</w:t>
            </w:r>
            <w:r>
              <w:rPr>
                <w:noProof/>
                <w:webHidden/>
              </w:rPr>
              <w:fldChar w:fldCharType="end"/>
            </w:r>
          </w:hyperlink>
        </w:p>
        <w:p w:rsidR="00991AE6" w:rsidRDefault="00991AE6" w14:paraId="03D35141" w14:textId="1865F95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55">
            <w:r w:rsidRPr="00D8539C">
              <w:rPr>
                <w:rStyle w:val="Hyperlink"/>
                <w:noProof/>
              </w:rPr>
              <w:t>6.5.2.</w:t>
            </w:r>
            <w:r>
              <w:rPr>
                <w:rFonts w:asciiTheme="minorHAnsi" w:hAnsiTheme="minorHAnsi" w:cstheme="minorBidi"/>
                <w:noProof/>
                <w:kern w:val="2"/>
                <w:sz w:val="24"/>
                <w:szCs w:val="24"/>
                <w14:ligatures w14:val="standardContextual"/>
              </w:rPr>
              <w:tab/>
            </w:r>
            <w:r w:rsidRPr="00D8539C">
              <w:rPr>
                <w:rStyle w:val="Hyperlink"/>
                <w:noProof/>
              </w:rPr>
              <w:t>Threshold Demonstration of Need for Information Technology Enhancements</w:t>
            </w:r>
            <w:r>
              <w:rPr>
                <w:noProof/>
                <w:webHidden/>
              </w:rPr>
              <w:tab/>
            </w:r>
            <w:r>
              <w:rPr>
                <w:noProof/>
                <w:webHidden/>
              </w:rPr>
              <w:fldChar w:fldCharType="begin"/>
            </w:r>
            <w:r>
              <w:rPr>
                <w:noProof/>
                <w:webHidden/>
              </w:rPr>
              <w:instrText xml:space="preserve"> PAGEREF _Toc212538555 \h </w:instrText>
            </w:r>
            <w:r>
              <w:rPr>
                <w:noProof/>
                <w:webHidden/>
              </w:rPr>
            </w:r>
            <w:r>
              <w:rPr>
                <w:noProof/>
                <w:webHidden/>
              </w:rPr>
              <w:fldChar w:fldCharType="separate"/>
            </w:r>
            <w:r>
              <w:rPr>
                <w:noProof/>
                <w:webHidden/>
              </w:rPr>
              <w:t>39</w:t>
            </w:r>
            <w:r>
              <w:rPr>
                <w:noProof/>
                <w:webHidden/>
              </w:rPr>
              <w:fldChar w:fldCharType="end"/>
            </w:r>
          </w:hyperlink>
        </w:p>
        <w:p w:rsidR="00991AE6" w:rsidRDefault="00991AE6" w14:paraId="5CE0D2C6" w14:textId="0C71939F">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56">
            <w:r w:rsidRPr="00D8539C">
              <w:rPr>
                <w:rStyle w:val="Hyperlink"/>
                <w:noProof/>
              </w:rPr>
              <w:t>6.5.3.</w:t>
            </w:r>
            <w:r>
              <w:rPr>
                <w:rFonts w:asciiTheme="minorHAnsi" w:hAnsiTheme="minorHAnsi" w:cstheme="minorBidi"/>
                <w:noProof/>
                <w:kern w:val="2"/>
                <w:sz w:val="24"/>
                <w:szCs w:val="24"/>
                <w14:ligatures w14:val="standardContextual"/>
              </w:rPr>
              <w:tab/>
            </w:r>
            <w:r w:rsidRPr="00D8539C">
              <w:rPr>
                <w:rStyle w:val="Hyperlink"/>
                <w:noProof/>
              </w:rPr>
              <w:t>Nexus Digital Application</w:t>
            </w:r>
            <w:r>
              <w:rPr>
                <w:noProof/>
                <w:webHidden/>
              </w:rPr>
              <w:tab/>
            </w:r>
            <w:r>
              <w:rPr>
                <w:noProof/>
                <w:webHidden/>
              </w:rPr>
              <w:fldChar w:fldCharType="begin"/>
            </w:r>
            <w:r>
              <w:rPr>
                <w:noProof/>
                <w:webHidden/>
              </w:rPr>
              <w:instrText xml:space="preserve"> PAGEREF _Toc212538556 \h </w:instrText>
            </w:r>
            <w:r>
              <w:rPr>
                <w:noProof/>
                <w:webHidden/>
              </w:rPr>
            </w:r>
            <w:r>
              <w:rPr>
                <w:noProof/>
                <w:webHidden/>
              </w:rPr>
              <w:fldChar w:fldCharType="separate"/>
            </w:r>
            <w:r>
              <w:rPr>
                <w:noProof/>
                <w:webHidden/>
              </w:rPr>
              <w:t>40</w:t>
            </w:r>
            <w:r>
              <w:rPr>
                <w:noProof/>
                <w:webHidden/>
              </w:rPr>
              <w:fldChar w:fldCharType="end"/>
            </w:r>
          </w:hyperlink>
        </w:p>
        <w:p w:rsidR="00991AE6" w:rsidRDefault="00991AE6" w14:paraId="3802DD8E" w14:textId="2D7D5E5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57">
            <w:r w:rsidRPr="00D8539C">
              <w:rPr>
                <w:rStyle w:val="Hyperlink"/>
                <w:noProof/>
              </w:rPr>
              <w:t>6.5.4.</w:t>
            </w:r>
            <w:r>
              <w:rPr>
                <w:rFonts w:asciiTheme="minorHAnsi" w:hAnsiTheme="minorHAnsi" w:cstheme="minorBidi"/>
                <w:noProof/>
                <w:kern w:val="2"/>
                <w:sz w:val="24"/>
                <w:szCs w:val="24"/>
                <w14:ligatures w14:val="standardContextual"/>
              </w:rPr>
              <w:tab/>
            </w:r>
            <w:r w:rsidRPr="00D8539C">
              <w:rPr>
                <w:rStyle w:val="Hyperlink"/>
                <w:noProof/>
              </w:rPr>
              <w:t>Builder Services Portal Modernization</w:t>
            </w:r>
            <w:r>
              <w:rPr>
                <w:noProof/>
                <w:webHidden/>
              </w:rPr>
              <w:tab/>
            </w:r>
            <w:r>
              <w:rPr>
                <w:noProof/>
                <w:webHidden/>
              </w:rPr>
              <w:fldChar w:fldCharType="begin"/>
            </w:r>
            <w:r>
              <w:rPr>
                <w:noProof/>
                <w:webHidden/>
              </w:rPr>
              <w:instrText xml:space="preserve"> PAGEREF _Toc212538557 \h </w:instrText>
            </w:r>
            <w:r>
              <w:rPr>
                <w:noProof/>
                <w:webHidden/>
              </w:rPr>
            </w:r>
            <w:r>
              <w:rPr>
                <w:noProof/>
                <w:webHidden/>
              </w:rPr>
              <w:fldChar w:fldCharType="separate"/>
            </w:r>
            <w:r>
              <w:rPr>
                <w:noProof/>
                <w:webHidden/>
              </w:rPr>
              <w:t>42</w:t>
            </w:r>
            <w:r>
              <w:rPr>
                <w:noProof/>
                <w:webHidden/>
              </w:rPr>
              <w:fldChar w:fldCharType="end"/>
            </w:r>
          </w:hyperlink>
        </w:p>
        <w:p w:rsidR="00991AE6" w:rsidRDefault="00991AE6" w14:paraId="60FA7271" w14:textId="1E129DA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58">
            <w:r w:rsidRPr="00D8539C">
              <w:rPr>
                <w:rStyle w:val="Hyperlink"/>
                <w:noProof/>
              </w:rPr>
              <w:t>6.5.5.</w:t>
            </w:r>
            <w:r>
              <w:rPr>
                <w:rFonts w:asciiTheme="minorHAnsi" w:hAnsiTheme="minorHAnsi" w:cstheme="minorBidi"/>
                <w:noProof/>
                <w:kern w:val="2"/>
                <w:sz w:val="24"/>
                <w:szCs w:val="24"/>
                <w14:ligatures w14:val="standardContextual"/>
              </w:rPr>
              <w:tab/>
            </w:r>
            <w:r w:rsidRPr="00D8539C">
              <w:rPr>
                <w:rStyle w:val="Hyperlink"/>
                <w:noProof/>
              </w:rPr>
              <w:t>Cloud Data Foundation</w:t>
            </w:r>
            <w:r>
              <w:rPr>
                <w:noProof/>
                <w:webHidden/>
              </w:rPr>
              <w:tab/>
            </w:r>
            <w:r>
              <w:rPr>
                <w:noProof/>
                <w:webHidden/>
              </w:rPr>
              <w:fldChar w:fldCharType="begin"/>
            </w:r>
            <w:r>
              <w:rPr>
                <w:noProof/>
                <w:webHidden/>
              </w:rPr>
              <w:instrText xml:space="preserve"> PAGEREF _Toc212538558 \h </w:instrText>
            </w:r>
            <w:r>
              <w:rPr>
                <w:noProof/>
                <w:webHidden/>
              </w:rPr>
            </w:r>
            <w:r>
              <w:rPr>
                <w:noProof/>
                <w:webHidden/>
              </w:rPr>
              <w:fldChar w:fldCharType="separate"/>
            </w:r>
            <w:r>
              <w:rPr>
                <w:noProof/>
                <w:webHidden/>
              </w:rPr>
              <w:t>42</w:t>
            </w:r>
            <w:r>
              <w:rPr>
                <w:noProof/>
                <w:webHidden/>
              </w:rPr>
              <w:fldChar w:fldCharType="end"/>
            </w:r>
          </w:hyperlink>
        </w:p>
        <w:p w:rsidR="00991AE6" w:rsidRDefault="00991AE6" w14:paraId="03053B70" w14:textId="29A84010">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59">
            <w:r w:rsidRPr="00D8539C">
              <w:rPr>
                <w:rStyle w:val="Hyperlink"/>
                <w:noProof/>
              </w:rPr>
              <w:t>6.5.6.</w:t>
            </w:r>
            <w:r>
              <w:rPr>
                <w:rFonts w:asciiTheme="minorHAnsi" w:hAnsiTheme="minorHAnsi" w:cstheme="minorBidi"/>
                <w:noProof/>
                <w:kern w:val="2"/>
                <w:sz w:val="24"/>
                <w:szCs w:val="24"/>
                <w14:ligatures w14:val="standardContextual"/>
              </w:rPr>
              <w:tab/>
            </w:r>
            <w:r w:rsidRPr="00D8539C">
              <w:rPr>
                <w:rStyle w:val="Hyperlink"/>
                <w:noProof/>
              </w:rPr>
              <w:t>Geographic Information System Enhancement</w:t>
            </w:r>
            <w:r>
              <w:rPr>
                <w:noProof/>
                <w:webHidden/>
              </w:rPr>
              <w:tab/>
            </w:r>
            <w:r>
              <w:rPr>
                <w:noProof/>
                <w:webHidden/>
              </w:rPr>
              <w:fldChar w:fldCharType="begin"/>
            </w:r>
            <w:r>
              <w:rPr>
                <w:noProof/>
                <w:webHidden/>
              </w:rPr>
              <w:instrText xml:space="preserve"> PAGEREF _Toc212538559 \h </w:instrText>
            </w:r>
            <w:r>
              <w:rPr>
                <w:noProof/>
                <w:webHidden/>
              </w:rPr>
            </w:r>
            <w:r>
              <w:rPr>
                <w:noProof/>
                <w:webHidden/>
              </w:rPr>
              <w:fldChar w:fldCharType="separate"/>
            </w:r>
            <w:r>
              <w:rPr>
                <w:noProof/>
                <w:webHidden/>
              </w:rPr>
              <w:t>43</w:t>
            </w:r>
            <w:r>
              <w:rPr>
                <w:noProof/>
                <w:webHidden/>
              </w:rPr>
              <w:fldChar w:fldCharType="end"/>
            </w:r>
          </w:hyperlink>
        </w:p>
        <w:p w:rsidR="00991AE6" w:rsidRDefault="00991AE6" w14:paraId="7AC5D7C1" w14:textId="5A453650">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60">
            <w:r w:rsidRPr="00D8539C">
              <w:rPr>
                <w:rStyle w:val="Hyperlink"/>
                <w:noProof/>
              </w:rPr>
              <w:t>6.5.7.</w:t>
            </w:r>
            <w:r>
              <w:rPr>
                <w:rFonts w:asciiTheme="minorHAnsi" w:hAnsiTheme="minorHAnsi" w:cstheme="minorBidi"/>
                <w:noProof/>
                <w:kern w:val="2"/>
                <w:sz w:val="24"/>
                <w:szCs w:val="24"/>
                <w14:ligatures w14:val="standardContextual"/>
              </w:rPr>
              <w:tab/>
            </w:r>
            <w:r w:rsidRPr="00D8539C">
              <w:rPr>
                <w:rStyle w:val="Hyperlink"/>
                <w:noProof/>
              </w:rPr>
              <w:t>Automated Utility Design Enhancement</w:t>
            </w:r>
            <w:r>
              <w:rPr>
                <w:noProof/>
                <w:webHidden/>
              </w:rPr>
              <w:tab/>
            </w:r>
            <w:r>
              <w:rPr>
                <w:noProof/>
                <w:webHidden/>
              </w:rPr>
              <w:fldChar w:fldCharType="begin"/>
            </w:r>
            <w:r>
              <w:rPr>
                <w:noProof/>
                <w:webHidden/>
              </w:rPr>
              <w:instrText xml:space="preserve"> PAGEREF _Toc212538560 \h </w:instrText>
            </w:r>
            <w:r>
              <w:rPr>
                <w:noProof/>
                <w:webHidden/>
              </w:rPr>
            </w:r>
            <w:r>
              <w:rPr>
                <w:noProof/>
                <w:webHidden/>
              </w:rPr>
              <w:fldChar w:fldCharType="separate"/>
            </w:r>
            <w:r>
              <w:rPr>
                <w:noProof/>
                <w:webHidden/>
              </w:rPr>
              <w:t>43</w:t>
            </w:r>
            <w:r>
              <w:rPr>
                <w:noProof/>
                <w:webHidden/>
              </w:rPr>
              <w:fldChar w:fldCharType="end"/>
            </w:r>
          </w:hyperlink>
        </w:p>
        <w:p w:rsidR="00991AE6" w:rsidRDefault="00991AE6" w14:paraId="12F2FD6E" w14:textId="66065566">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61">
            <w:r w:rsidRPr="00D8539C">
              <w:rPr>
                <w:rStyle w:val="Hyperlink"/>
                <w:noProof/>
              </w:rPr>
              <w:t>6.5.8.</w:t>
            </w:r>
            <w:r>
              <w:rPr>
                <w:rFonts w:asciiTheme="minorHAnsi" w:hAnsiTheme="minorHAnsi" w:cstheme="minorBidi"/>
                <w:noProof/>
                <w:kern w:val="2"/>
                <w:sz w:val="24"/>
                <w:szCs w:val="24"/>
                <w14:ligatures w14:val="standardContextual"/>
              </w:rPr>
              <w:tab/>
            </w:r>
            <w:r w:rsidRPr="00D8539C">
              <w:rPr>
                <w:rStyle w:val="Hyperlink"/>
                <w:noProof/>
              </w:rPr>
              <w:t>Automated Intelligence</w:t>
            </w:r>
            <w:r>
              <w:rPr>
                <w:noProof/>
                <w:webHidden/>
              </w:rPr>
              <w:tab/>
            </w:r>
            <w:r>
              <w:rPr>
                <w:noProof/>
                <w:webHidden/>
              </w:rPr>
              <w:fldChar w:fldCharType="begin"/>
            </w:r>
            <w:r>
              <w:rPr>
                <w:noProof/>
                <w:webHidden/>
              </w:rPr>
              <w:instrText xml:space="preserve"> PAGEREF _Toc212538561 \h </w:instrText>
            </w:r>
            <w:r>
              <w:rPr>
                <w:noProof/>
                <w:webHidden/>
              </w:rPr>
            </w:r>
            <w:r>
              <w:rPr>
                <w:noProof/>
                <w:webHidden/>
              </w:rPr>
              <w:fldChar w:fldCharType="separate"/>
            </w:r>
            <w:r>
              <w:rPr>
                <w:noProof/>
                <w:webHidden/>
              </w:rPr>
              <w:t>44</w:t>
            </w:r>
            <w:r>
              <w:rPr>
                <w:noProof/>
                <w:webHidden/>
              </w:rPr>
              <w:fldChar w:fldCharType="end"/>
            </w:r>
          </w:hyperlink>
        </w:p>
        <w:p w:rsidR="00991AE6" w:rsidRDefault="00991AE6" w14:paraId="0EF1282D" w14:textId="57019946">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538562">
            <w:r w:rsidRPr="00D8539C">
              <w:rPr>
                <w:rStyle w:val="Hyperlink"/>
                <w:noProof/>
              </w:rPr>
              <w:t>6.5.9.</w:t>
            </w:r>
            <w:r>
              <w:rPr>
                <w:rFonts w:asciiTheme="minorHAnsi" w:hAnsiTheme="minorHAnsi" w:cstheme="minorBidi"/>
                <w:noProof/>
                <w:kern w:val="2"/>
                <w:sz w:val="24"/>
                <w:szCs w:val="24"/>
                <w14:ligatures w14:val="standardContextual"/>
              </w:rPr>
              <w:tab/>
            </w:r>
            <w:r w:rsidRPr="00D8539C">
              <w:rPr>
                <w:rStyle w:val="Hyperlink"/>
                <w:noProof/>
              </w:rPr>
              <w:t>Threshold Evidence to Support Cost Forecasts</w:t>
            </w:r>
            <w:r>
              <w:rPr>
                <w:noProof/>
                <w:webHidden/>
              </w:rPr>
              <w:tab/>
            </w:r>
            <w:r>
              <w:rPr>
                <w:noProof/>
                <w:webHidden/>
              </w:rPr>
              <w:fldChar w:fldCharType="begin"/>
            </w:r>
            <w:r>
              <w:rPr>
                <w:noProof/>
                <w:webHidden/>
              </w:rPr>
              <w:instrText xml:space="preserve"> PAGEREF _Toc212538562 \h </w:instrText>
            </w:r>
            <w:r>
              <w:rPr>
                <w:noProof/>
                <w:webHidden/>
              </w:rPr>
            </w:r>
            <w:r>
              <w:rPr>
                <w:noProof/>
                <w:webHidden/>
              </w:rPr>
              <w:fldChar w:fldCharType="separate"/>
            </w:r>
            <w:r>
              <w:rPr>
                <w:noProof/>
                <w:webHidden/>
              </w:rPr>
              <w:t>45</w:t>
            </w:r>
            <w:r>
              <w:rPr>
                <w:noProof/>
                <w:webHidden/>
              </w:rPr>
              <w:fldChar w:fldCharType="end"/>
            </w:r>
          </w:hyperlink>
        </w:p>
        <w:p w:rsidR="00991AE6" w:rsidRDefault="00991AE6" w14:paraId="549EF733" w14:textId="0E392A2C">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12538563">
            <w:r w:rsidRPr="00D8539C">
              <w:rPr>
                <w:rStyle w:val="Hyperlink"/>
                <w:noProof/>
              </w:rPr>
              <w:t>6.5.10.</w:t>
            </w:r>
            <w:r>
              <w:rPr>
                <w:rFonts w:asciiTheme="minorHAnsi" w:hAnsiTheme="minorHAnsi" w:cstheme="minorBidi"/>
                <w:noProof/>
                <w:kern w:val="2"/>
                <w:sz w:val="24"/>
                <w:szCs w:val="24"/>
                <w14:ligatures w14:val="standardContextual"/>
              </w:rPr>
              <w:tab/>
            </w:r>
            <w:r w:rsidRPr="00D8539C">
              <w:rPr>
                <w:rStyle w:val="Hyperlink"/>
                <w:noProof/>
              </w:rPr>
              <w:t>Information Technology Enhancements’ Contribution to Cap</w:t>
            </w:r>
            <w:r>
              <w:rPr>
                <w:noProof/>
                <w:webHidden/>
              </w:rPr>
              <w:tab/>
            </w:r>
            <w:r>
              <w:rPr>
                <w:noProof/>
                <w:webHidden/>
              </w:rPr>
              <w:fldChar w:fldCharType="begin"/>
            </w:r>
            <w:r>
              <w:rPr>
                <w:noProof/>
                <w:webHidden/>
              </w:rPr>
              <w:instrText xml:space="preserve"> PAGEREF _Toc212538563 \h </w:instrText>
            </w:r>
            <w:r>
              <w:rPr>
                <w:noProof/>
                <w:webHidden/>
              </w:rPr>
            </w:r>
            <w:r>
              <w:rPr>
                <w:noProof/>
                <w:webHidden/>
              </w:rPr>
              <w:fldChar w:fldCharType="separate"/>
            </w:r>
            <w:r>
              <w:rPr>
                <w:noProof/>
                <w:webHidden/>
              </w:rPr>
              <w:t>47</w:t>
            </w:r>
            <w:r>
              <w:rPr>
                <w:noProof/>
                <w:webHidden/>
              </w:rPr>
              <w:fldChar w:fldCharType="end"/>
            </w:r>
          </w:hyperlink>
        </w:p>
        <w:p w:rsidR="00991AE6" w:rsidRDefault="00991AE6" w14:paraId="717E49D9" w14:textId="0606986F">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64">
            <w:r w:rsidRPr="00D8539C">
              <w:rPr>
                <w:rStyle w:val="Hyperlink"/>
                <w:noProof/>
              </w:rPr>
              <w:t>6.6.</w:t>
            </w:r>
            <w:r>
              <w:rPr>
                <w:rFonts w:asciiTheme="minorHAnsi" w:hAnsiTheme="minorHAnsi" w:cstheme="minorBidi"/>
                <w:noProof/>
                <w:kern w:val="2"/>
                <w:sz w:val="24"/>
                <w:szCs w:val="24"/>
                <w14:ligatures w14:val="standardContextual"/>
              </w:rPr>
              <w:tab/>
            </w:r>
            <w:r w:rsidRPr="00D8539C">
              <w:rPr>
                <w:rStyle w:val="Hyperlink"/>
                <w:noProof/>
              </w:rPr>
              <w:t>Miscellaneous Cost to Comply with Senate Bill 410 and Related Decisions</w:t>
            </w:r>
            <w:r>
              <w:rPr>
                <w:noProof/>
                <w:webHidden/>
              </w:rPr>
              <w:tab/>
            </w:r>
            <w:r>
              <w:rPr>
                <w:noProof/>
                <w:webHidden/>
              </w:rPr>
              <w:fldChar w:fldCharType="begin"/>
            </w:r>
            <w:r>
              <w:rPr>
                <w:noProof/>
                <w:webHidden/>
              </w:rPr>
              <w:instrText xml:space="preserve"> PAGEREF _Toc212538564 \h </w:instrText>
            </w:r>
            <w:r>
              <w:rPr>
                <w:noProof/>
                <w:webHidden/>
              </w:rPr>
            </w:r>
            <w:r>
              <w:rPr>
                <w:noProof/>
                <w:webHidden/>
              </w:rPr>
              <w:fldChar w:fldCharType="separate"/>
            </w:r>
            <w:r>
              <w:rPr>
                <w:noProof/>
                <w:webHidden/>
              </w:rPr>
              <w:t>47</w:t>
            </w:r>
            <w:r>
              <w:rPr>
                <w:noProof/>
                <w:webHidden/>
              </w:rPr>
              <w:fldChar w:fldCharType="end"/>
            </w:r>
          </w:hyperlink>
        </w:p>
        <w:p w:rsidR="00991AE6" w:rsidRDefault="00991AE6" w14:paraId="14E4005F" w14:textId="53A562D0">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65">
            <w:r w:rsidRPr="00D8539C">
              <w:rPr>
                <w:rStyle w:val="Hyperlink"/>
                <w:noProof/>
              </w:rPr>
              <w:t>6.7.</w:t>
            </w:r>
            <w:r>
              <w:rPr>
                <w:rFonts w:asciiTheme="minorHAnsi" w:hAnsiTheme="minorHAnsi" w:cstheme="minorBidi"/>
                <w:noProof/>
                <w:kern w:val="2"/>
                <w:sz w:val="24"/>
                <w:szCs w:val="24"/>
                <w14:ligatures w14:val="standardContextual"/>
              </w:rPr>
              <w:tab/>
            </w:r>
            <w:r w:rsidRPr="00D8539C">
              <w:rPr>
                <w:rStyle w:val="Hyperlink"/>
                <w:noProof/>
              </w:rPr>
              <w:t>Contingency</w:t>
            </w:r>
            <w:r>
              <w:rPr>
                <w:noProof/>
                <w:webHidden/>
              </w:rPr>
              <w:tab/>
            </w:r>
            <w:r>
              <w:rPr>
                <w:noProof/>
                <w:webHidden/>
              </w:rPr>
              <w:fldChar w:fldCharType="begin"/>
            </w:r>
            <w:r>
              <w:rPr>
                <w:noProof/>
                <w:webHidden/>
              </w:rPr>
              <w:instrText xml:space="preserve"> PAGEREF _Toc212538565 \h </w:instrText>
            </w:r>
            <w:r>
              <w:rPr>
                <w:noProof/>
                <w:webHidden/>
              </w:rPr>
            </w:r>
            <w:r>
              <w:rPr>
                <w:noProof/>
                <w:webHidden/>
              </w:rPr>
              <w:fldChar w:fldCharType="separate"/>
            </w:r>
            <w:r>
              <w:rPr>
                <w:noProof/>
                <w:webHidden/>
              </w:rPr>
              <w:t>48</w:t>
            </w:r>
            <w:r>
              <w:rPr>
                <w:noProof/>
                <w:webHidden/>
              </w:rPr>
              <w:fldChar w:fldCharType="end"/>
            </w:r>
          </w:hyperlink>
        </w:p>
        <w:p w:rsidR="00991AE6" w:rsidRDefault="00991AE6" w14:paraId="09EEFDC7" w14:textId="67CF7B4B">
          <w:pPr>
            <w:pStyle w:val="TOC1"/>
            <w:tabs>
              <w:tab w:val="right" w:leader="dot" w:pos="9350"/>
            </w:tabs>
            <w:rPr>
              <w:rFonts w:asciiTheme="minorHAnsi" w:hAnsiTheme="minorHAnsi" w:cstheme="minorBidi"/>
              <w:noProof/>
              <w:kern w:val="2"/>
              <w:sz w:val="24"/>
              <w:szCs w:val="24"/>
              <w14:ligatures w14:val="standardContextual"/>
            </w:rPr>
          </w:pPr>
          <w:hyperlink w:history="1" w:anchor="_Toc212538566">
            <w:r w:rsidRPr="00D8539C">
              <w:rPr>
                <w:rStyle w:val="Hyperlink"/>
                <w:noProof/>
              </w:rPr>
              <w:t>7.</w:t>
            </w:r>
            <w:r>
              <w:rPr>
                <w:rFonts w:asciiTheme="minorHAnsi" w:hAnsiTheme="minorHAnsi" w:cstheme="minorBidi"/>
                <w:noProof/>
                <w:kern w:val="2"/>
                <w:sz w:val="24"/>
                <w:szCs w:val="24"/>
                <w14:ligatures w14:val="standardContextual"/>
              </w:rPr>
              <w:tab/>
            </w:r>
            <w:r w:rsidRPr="00D8539C">
              <w:rPr>
                <w:rStyle w:val="Hyperlink"/>
                <w:noProof/>
              </w:rPr>
              <w:t>Ratemaking Mechanism</w:t>
            </w:r>
            <w:r>
              <w:rPr>
                <w:noProof/>
                <w:webHidden/>
              </w:rPr>
              <w:tab/>
            </w:r>
            <w:r>
              <w:rPr>
                <w:noProof/>
                <w:webHidden/>
              </w:rPr>
              <w:fldChar w:fldCharType="begin"/>
            </w:r>
            <w:r>
              <w:rPr>
                <w:noProof/>
                <w:webHidden/>
              </w:rPr>
              <w:instrText xml:space="preserve"> PAGEREF _Toc212538566 \h </w:instrText>
            </w:r>
            <w:r>
              <w:rPr>
                <w:noProof/>
                <w:webHidden/>
              </w:rPr>
            </w:r>
            <w:r>
              <w:rPr>
                <w:noProof/>
                <w:webHidden/>
              </w:rPr>
              <w:fldChar w:fldCharType="separate"/>
            </w:r>
            <w:r>
              <w:rPr>
                <w:noProof/>
                <w:webHidden/>
              </w:rPr>
              <w:t>49</w:t>
            </w:r>
            <w:r>
              <w:rPr>
                <w:noProof/>
                <w:webHidden/>
              </w:rPr>
              <w:fldChar w:fldCharType="end"/>
            </w:r>
          </w:hyperlink>
        </w:p>
        <w:p w:rsidR="00991AE6" w:rsidRDefault="00991AE6" w14:paraId="308A76CA" w14:textId="7EDF1E65">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67">
            <w:r w:rsidRPr="00D8539C">
              <w:rPr>
                <w:rStyle w:val="Hyperlink"/>
                <w:noProof/>
              </w:rPr>
              <w:t>7.1.</w:t>
            </w:r>
            <w:r>
              <w:rPr>
                <w:rFonts w:asciiTheme="minorHAnsi" w:hAnsiTheme="minorHAnsi" w:cstheme="minorBidi"/>
                <w:noProof/>
                <w:kern w:val="2"/>
                <w:sz w:val="24"/>
                <w:szCs w:val="24"/>
                <w14:ligatures w14:val="standardContextual"/>
              </w:rPr>
              <w:tab/>
            </w:r>
            <w:r w:rsidRPr="00D8539C">
              <w:rPr>
                <w:rStyle w:val="Hyperlink"/>
                <w:noProof/>
              </w:rPr>
              <w:t>Electric Energization Memorandum Account</w:t>
            </w:r>
            <w:r>
              <w:rPr>
                <w:noProof/>
                <w:webHidden/>
              </w:rPr>
              <w:tab/>
            </w:r>
            <w:r>
              <w:rPr>
                <w:noProof/>
                <w:webHidden/>
              </w:rPr>
              <w:fldChar w:fldCharType="begin"/>
            </w:r>
            <w:r>
              <w:rPr>
                <w:noProof/>
                <w:webHidden/>
              </w:rPr>
              <w:instrText xml:space="preserve"> PAGEREF _Toc212538567 \h </w:instrText>
            </w:r>
            <w:r>
              <w:rPr>
                <w:noProof/>
                <w:webHidden/>
              </w:rPr>
            </w:r>
            <w:r>
              <w:rPr>
                <w:noProof/>
                <w:webHidden/>
              </w:rPr>
              <w:fldChar w:fldCharType="separate"/>
            </w:r>
            <w:r>
              <w:rPr>
                <w:noProof/>
                <w:webHidden/>
              </w:rPr>
              <w:t>49</w:t>
            </w:r>
            <w:r>
              <w:rPr>
                <w:noProof/>
                <w:webHidden/>
              </w:rPr>
              <w:fldChar w:fldCharType="end"/>
            </w:r>
          </w:hyperlink>
        </w:p>
        <w:p w:rsidR="00991AE6" w:rsidRDefault="00991AE6" w14:paraId="4AFBDF66" w14:textId="5C06F11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68">
            <w:r w:rsidRPr="00D8539C">
              <w:rPr>
                <w:rStyle w:val="Hyperlink"/>
                <w:noProof/>
              </w:rPr>
              <w:t>7.2.</w:t>
            </w:r>
            <w:r>
              <w:rPr>
                <w:rFonts w:asciiTheme="minorHAnsi" w:hAnsiTheme="minorHAnsi" w:cstheme="minorBidi"/>
                <w:noProof/>
                <w:kern w:val="2"/>
                <w:sz w:val="24"/>
                <w:szCs w:val="24"/>
                <w14:ligatures w14:val="standardContextual"/>
              </w:rPr>
              <w:tab/>
            </w:r>
            <w:r w:rsidRPr="00D8539C">
              <w:rPr>
                <w:rStyle w:val="Hyperlink"/>
                <w:noProof/>
              </w:rPr>
              <w:t>Annual Caps</w:t>
            </w:r>
            <w:r>
              <w:rPr>
                <w:noProof/>
                <w:webHidden/>
              </w:rPr>
              <w:tab/>
            </w:r>
            <w:r>
              <w:rPr>
                <w:noProof/>
                <w:webHidden/>
              </w:rPr>
              <w:fldChar w:fldCharType="begin"/>
            </w:r>
            <w:r>
              <w:rPr>
                <w:noProof/>
                <w:webHidden/>
              </w:rPr>
              <w:instrText xml:space="preserve"> PAGEREF _Toc212538568 \h </w:instrText>
            </w:r>
            <w:r>
              <w:rPr>
                <w:noProof/>
                <w:webHidden/>
              </w:rPr>
            </w:r>
            <w:r>
              <w:rPr>
                <w:noProof/>
                <w:webHidden/>
              </w:rPr>
              <w:fldChar w:fldCharType="separate"/>
            </w:r>
            <w:r>
              <w:rPr>
                <w:noProof/>
                <w:webHidden/>
              </w:rPr>
              <w:t>50</w:t>
            </w:r>
            <w:r>
              <w:rPr>
                <w:noProof/>
                <w:webHidden/>
              </w:rPr>
              <w:fldChar w:fldCharType="end"/>
            </w:r>
          </w:hyperlink>
        </w:p>
        <w:p w:rsidR="00991AE6" w:rsidRDefault="00991AE6" w14:paraId="3BB638DA" w14:textId="72DA628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69">
            <w:r w:rsidRPr="00D8539C">
              <w:rPr>
                <w:rStyle w:val="Hyperlink"/>
                <w:noProof/>
              </w:rPr>
              <w:t>7.3.</w:t>
            </w:r>
            <w:r>
              <w:rPr>
                <w:rFonts w:asciiTheme="minorHAnsi" w:hAnsiTheme="minorHAnsi" w:cstheme="minorBidi"/>
                <w:noProof/>
                <w:kern w:val="2"/>
                <w:sz w:val="24"/>
                <w:szCs w:val="24"/>
                <w14:ligatures w14:val="standardContextual"/>
              </w:rPr>
              <w:tab/>
            </w:r>
            <w:r w:rsidRPr="00D8539C">
              <w:rPr>
                <w:rStyle w:val="Hyperlink"/>
                <w:noProof/>
              </w:rPr>
              <w:t>Incremental Spending Calculations</w:t>
            </w:r>
            <w:r>
              <w:rPr>
                <w:noProof/>
                <w:webHidden/>
              </w:rPr>
              <w:tab/>
            </w:r>
            <w:r>
              <w:rPr>
                <w:noProof/>
                <w:webHidden/>
              </w:rPr>
              <w:fldChar w:fldCharType="begin"/>
            </w:r>
            <w:r>
              <w:rPr>
                <w:noProof/>
                <w:webHidden/>
              </w:rPr>
              <w:instrText xml:space="preserve"> PAGEREF _Toc212538569 \h </w:instrText>
            </w:r>
            <w:r>
              <w:rPr>
                <w:noProof/>
                <w:webHidden/>
              </w:rPr>
            </w:r>
            <w:r>
              <w:rPr>
                <w:noProof/>
                <w:webHidden/>
              </w:rPr>
              <w:fldChar w:fldCharType="separate"/>
            </w:r>
            <w:r>
              <w:rPr>
                <w:noProof/>
                <w:webHidden/>
              </w:rPr>
              <w:t>51</w:t>
            </w:r>
            <w:r>
              <w:rPr>
                <w:noProof/>
                <w:webHidden/>
              </w:rPr>
              <w:fldChar w:fldCharType="end"/>
            </w:r>
          </w:hyperlink>
        </w:p>
        <w:p w:rsidR="00991AE6" w:rsidRDefault="00991AE6" w14:paraId="58AFD325" w14:textId="555D79AA">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70">
            <w:r w:rsidRPr="00D8539C">
              <w:rPr>
                <w:rStyle w:val="Hyperlink"/>
                <w:noProof/>
              </w:rPr>
              <w:t>7.4.</w:t>
            </w:r>
            <w:r>
              <w:rPr>
                <w:rFonts w:asciiTheme="minorHAnsi" w:hAnsiTheme="minorHAnsi" w:cstheme="minorBidi"/>
                <w:noProof/>
                <w:kern w:val="2"/>
                <w:sz w:val="24"/>
                <w:szCs w:val="24"/>
                <w14:ligatures w14:val="standardContextual"/>
              </w:rPr>
              <w:tab/>
            </w:r>
            <w:r w:rsidRPr="00D8539C">
              <w:rPr>
                <w:rStyle w:val="Hyperlink"/>
                <w:noProof/>
              </w:rPr>
              <w:t>“Rolling Over” Unspent Funds</w:t>
            </w:r>
            <w:r>
              <w:rPr>
                <w:noProof/>
                <w:webHidden/>
              </w:rPr>
              <w:tab/>
            </w:r>
            <w:r>
              <w:rPr>
                <w:noProof/>
                <w:webHidden/>
              </w:rPr>
              <w:fldChar w:fldCharType="begin"/>
            </w:r>
            <w:r>
              <w:rPr>
                <w:noProof/>
                <w:webHidden/>
              </w:rPr>
              <w:instrText xml:space="preserve"> PAGEREF _Toc212538570 \h </w:instrText>
            </w:r>
            <w:r>
              <w:rPr>
                <w:noProof/>
                <w:webHidden/>
              </w:rPr>
            </w:r>
            <w:r>
              <w:rPr>
                <w:noProof/>
                <w:webHidden/>
              </w:rPr>
              <w:fldChar w:fldCharType="separate"/>
            </w:r>
            <w:r>
              <w:rPr>
                <w:noProof/>
                <w:webHidden/>
              </w:rPr>
              <w:t>52</w:t>
            </w:r>
            <w:r>
              <w:rPr>
                <w:noProof/>
                <w:webHidden/>
              </w:rPr>
              <w:fldChar w:fldCharType="end"/>
            </w:r>
          </w:hyperlink>
        </w:p>
        <w:p w:rsidR="00991AE6" w:rsidRDefault="00991AE6" w14:paraId="6C440503" w14:textId="7A796BF6">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538571">
            <w:r w:rsidRPr="00D8539C">
              <w:rPr>
                <w:rStyle w:val="Hyperlink"/>
                <w:noProof/>
              </w:rPr>
              <w:t>7.5.</w:t>
            </w:r>
            <w:r>
              <w:rPr>
                <w:rFonts w:asciiTheme="minorHAnsi" w:hAnsiTheme="minorHAnsi" w:cstheme="minorBidi"/>
                <w:noProof/>
                <w:kern w:val="2"/>
                <w:sz w:val="24"/>
                <w:szCs w:val="24"/>
                <w14:ligatures w14:val="standardContextual"/>
              </w:rPr>
              <w:tab/>
            </w:r>
            <w:r w:rsidRPr="00D8539C">
              <w:rPr>
                <w:rStyle w:val="Hyperlink"/>
                <w:noProof/>
              </w:rPr>
              <w:t>Procedural Mechanism for San Diego Gas &amp; Electric Company to Request to Increase the Cap</w:t>
            </w:r>
            <w:r>
              <w:rPr>
                <w:noProof/>
                <w:webHidden/>
              </w:rPr>
              <w:tab/>
            </w:r>
            <w:r>
              <w:rPr>
                <w:noProof/>
                <w:webHidden/>
              </w:rPr>
              <w:fldChar w:fldCharType="begin"/>
            </w:r>
            <w:r>
              <w:rPr>
                <w:noProof/>
                <w:webHidden/>
              </w:rPr>
              <w:instrText xml:space="preserve"> PAGEREF _Toc212538571 \h </w:instrText>
            </w:r>
            <w:r>
              <w:rPr>
                <w:noProof/>
                <w:webHidden/>
              </w:rPr>
            </w:r>
            <w:r>
              <w:rPr>
                <w:noProof/>
                <w:webHidden/>
              </w:rPr>
              <w:fldChar w:fldCharType="separate"/>
            </w:r>
            <w:r>
              <w:rPr>
                <w:noProof/>
                <w:webHidden/>
              </w:rPr>
              <w:t>53</w:t>
            </w:r>
            <w:r>
              <w:rPr>
                <w:noProof/>
                <w:webHidden/>
              </w:rPr>
              <w:fldChar w:fldCharType="end"/>
            </w:r>
          </w:hyperlink>
        </w:p>
        <w:p w:rsidR="00991AE6" w:rsidRDefault="00991AE6" w14:paraId="08812460" w14:textId="073F2952">
          <w:pPr>
            <w:pStyle w:val="TOC1"/>
            <w:tabs>
              <w:tab w:val="right" w:leader="dot" w:pos="9350"/>
            </w:tabs>
            <w:rPr>
              <w:rFonts w:asciiTheme="minorHAnsi" w:hAnsiTheme="minorHAnsi" w:cstheme="minorBidi"/>
              <w:noProof/>
              <w:kern w:val="2"/>
              <w:sz w:val="24"/>
              <w:szCs w:val="24"/>
              <w14:ligatures w14:val="standardContextual"/>
            </w:rPr>
          </w:pPr>
          <w:hyperlink w:history="1" w:anchor="_Toc212538572">
            <w:r w:rsidRPr="00D8539C">
              <w:rPr>
                <w:rStyle w:val="Hyperlink"/>
                <w:noProof/>
              </w:rPr>
              <w:t>8.</w:t>
            </w:r>
            <w:r>
              <w:rPr>
                <w:rFonts w:asciiTheme="minorHAnsi" w:hAnsiTheme="minorHAnsi" w:cstheme="minorBidi"/>
                <w:noProof/>
                <w:kern w:val="2"/>
                <w:sz w:val="24"/>
                <w:szCs w:val="24"/>
                <w14:ligatures w14:val="standardContextual"/>
              </w:rPr>
              <w:tab/>
            </w:r>
            <w:r w:rsidRPr="00D8539C">
              <w:rPr>
                <w:rStyle w:val="Hyperlink"/>
                <w:noProof/>
              </w:rPr>
              <w:t>Reasonableness Demonstrations in Future General Rate Cases</w:t>
            </w:r>
            <w:r>
              <w:rPr>
                <w:noProof/>
                <w:webHidden/>
              </w:rPr>
              <w:tab/>
            </w:r>
            <w:r>
              <w:rPr>
                <w:noProof/>
                <w:webHidden/>
              </w:rPr>
              <w:fldChar w:fldCharType="begin"/>
            </w:r>
            <w:r>
              <w:rPr>
                <w:noProof/>
                <w:webHidden/>
              </w:rPr>
              <w:instrText xml:space="preserve"> PAGEREF _Toc212538572 \h </w:instrText>
            </w:r>
            <w:r>
              <w:rPr>
                <w:noProof/>
                <w:webHidden/>
              </w:rPr>
            </w:r>
            <w:r>
              <w:rPr>
                <w:noProof/>
                <w:webHidden/>
              </w:rPr>
              <w:fldChar w:fldCharType="separate"/>
            </w:r>
            <w:r>
              <w:rPr>
                <w:noProof/>
                <w:webHidden/>
              </w:rPr>
              <w:t>55</w:t>
            </w:r>
            <w:r>
              <w:rPr>
                <w:noProof/>
                <w:webHidden/>
              </w:rPr>
              <w:fldChar w:fldCharType="end"/>
            </w:r>
          </w:hyperlink>
        </w:p>
        <w:p w:rsidR="00991AE6" w:rsidRDefault="00991AE6" w14:paraId="5D5D3A16" w14:textId="13866601">
          <w:pPr>
            <w:pStyle w:val="TOC1"/>
            <w:tabs>
              <w:tab w:val="right" w:leader="dot" w:pos="9350"/>
            </w:tabs>
            <w:rPr>
              <w:rFonts w:asciiTheme="minorHAnsi" w:hAnsiTheme="minorHAnsi" w:cstheme="minorBidi"/>
              <w:noProof/>
              <w:kern w:val="2"/>
              <w:sz w:val="24"/>
              <w:szCs w:val="24"/>
              <w14:ligatures w14:val="standardContextual"/>
            </w:rPr>
          </w:pPr>
          <w:hyperlink w:history="1" w:anchor="_Toc212538573">
            <w:r w:rsidRPr="00D8539C">
              <w:rPr>
                <w:rStyle w:val="Hyperlink"/>
                <w:noProof/>
              </w:rPr>
              <w:t>9.</w:t>
            </w:r>
            <w:r>
              <w:rPr>
                <w:rFonts w:asciiTheme="minorHAnsi" w:hAnsiTheme="minorHAnsi" w:cstheme="minorBidi"/>
                <w:noProof/>
                <w:kern w:val="2"/>
                <w:sz w:val="24"/>
                <w:szCs w:val="24"/>
                <w14:ligatures w14:val="standardContextual"/>
              </w:rPr>
              <w:tab/>
            </w:r>
            <w:r w:rsidRPr="00D8539C">
              <w:rPr>
                <w:rStyle w:val="Hyperlink"/>
                <w:noProof/>
              </w:rPr>
              <w:t>Auditor Selection and Performance Requirements</w:t>
            </w:r>
            <w:r>
              <w:rPr>
                <w:noProof/>
                <w:webHidden/>
              </w:rPr>
              <w:tab/>
            </w:r>
            <w:r>
              <w:rPr>
                <w:noProof/>
                <w:webHidden/>
              </w:rPr>
              <w:fldChar w:fldCharType="begin"/>
            </w:r>
            <w:r>
              <w:rPr>
                <w:noProof/>
                <w:webHidden/>
              </w:rPr>
              <w:instrText xml:space="preserve"> PAGEREF _Toc212538573 \h </w:instrText>
            </w:r>
            <w:r>
              <w:rPr>
                <w:noProof/>
                <w:webHidden/>
              </w:rPr>
            </w:r>
            <w:r>
              <w:rPr>
                <w:noProof/>
                <w:webHidden/>
              </w:rPr>
              <w:fldChar w:fldCharType="separate"/>
            </w:r>
            <w:r>
              <w:rPr>
                <w:noProof/>
                <w:webHidden/>
              </w:rPr>
              <w:t>56</w:t>
            </w:r>
            <w:r>
              <w:rPr>
                <w:noProof/>
                <w:webHidden/>
              </w:rPr>
              <w:fldChar w:fldCharType="end"/>
            </w:r>
          </w:hyperlink>
        </w:p>
        <w:p w:rsidR="00991AE6" w:rsidRDefault="00991AE6" w14:paraId="5C8A3535" w14:textId="0134FA03">
          <w:pPr>
            <w:pStyle w:val="TOC1"/>
            <w:tabs>
              <w:tab w:val="right" w:leader="dot" w:pos="9350"/>
            </w:tabs>
            <w:rPr>
              <w:rFonts w:asciiTheme="minorHAnsi" w:hAnsiTheme="minorHAnsi" w:cstheme="minorBidi"/>
              <w:noProof/>
              <w:kern w:val="2"/>
              <w:sz w:val="24"/>
              <w:szCs w:val="24"/>
              <w14:ligatures w14:val="standardContextual"/>
            </w:rPr>
          </w:pPr>
          <w:hyperlink w:history="1" w:anchor="_Toc212538574">
            <w:r w:rsidRPr="00D8539C">
              <w:rPr>
                <w:rStyle w:val="Hyperlink"/>
                <w:noProof/>
              </w:rPr>
              <w:t>10.</w:t>
            </w:r>
            <w:r>
              <w:rPr>
                <w:rFonts w:asciiTheme="minorHAnsi" w:hAnsiTheme="minorHAnsi" w:cstheme="minorBidi"/>
                <w:noProof/>
                <w:kern w:val="2"/>
                <w:sz w:val="24"/>
                <w:szCs w:val="24"/>
                <w14:ligatures w14:val="standardContextual"/>
              </w:rPr>
              <w:tab/>
            </w:r>
            <w:r w:rsidRPr="00D8539C">
              <w:rPr>
                <w:rStyle w:val="Hyperlink"/>
                <w:noProof/>
              </w:rPr>
              <w:t>Summary of Public Comment</w:t>
            </w:r>
            <w:r>
              <w:rPr>
                <w:noProof/>
                <w:webHidden/>
              </w:rPr>
              <w:tab/>
            </w:r>
            <w:r>
              <w:rPr>
                <w:noProof/>
                <w:webHidden/>
              </w:rPr>
              <w:fldChar w:fldCharType="begin"/>
            </w:r>
            <w:r>
              <w:rPr>
                <w:noProof/>
                <w:webHidden/>
              </w:rPr>
              <w:instrText xml:space="preserve"> PAGEREF _Toc212538574 \h </w:instrText>
            </w:r>
            <w:r>
              <w:rPr>
                <w:noProof/>
                <w:webHidden/>
              </w:rPr>
            </w:r>
            <w:r>
              <w:rPr>
                <w:noProof/>
                <w:webHidden/>
              </w:rPr>
              <w:fldChar w:fldCharType="separate"/>
            </w:r>
            <w:r>
              <w:rPr>
                <w:noProof/>
                <w:webHidden/>
              </w:rPr>
              <w:t>56</w:t>
            </w:r>
            <w:r>
              <w:rPr>
                <w:noProof/>
                <w:webHidden/>
              </w:rPr>
              <w:fldChar w:fldCharType="end"/>
            </w:r>
          </w:hyperlink>
        </w:p>
        <w:p w:rsidR="00991AE6" w:rsidRDefault="00991AE6" w14:paraId="3D281C94" w14:textId="764A94C5">
          <w:pPr>
            <w:pStyle w:val="TOC1"/>
            <w:tabs>
              <w:tab w:val="right" w:leader="dot" w:pos="9350"/>
            </w:tabs>
            <w:rPr>
              <w:rFonts w:asciiTheme="minorHAnsi" w:hAnsiTheme="minorHAnsi" w:cstheme="minorBidi"/>
              <w:noProof/>
              <w:kern w:val="2"/>
              <w:sz w:val="24"/>
              <w:szCs w:val="24"/>
              <w14:ligatures w14:val="standardContextual"/>
            </w:rPr>
          </w:pPr>
          <w:hyperlink w:history="1" w:anchor="_Toc212538575">
            <w:r w:rsidRPr="00D8539C">
              <w:rPr>
                <w:rStyle w:val="Hyperlink"/>
                <w:noProof/>
              </w:rPr>
              <w:t>11.</w:t>
            </w:r>
            <w:r>
              <w:rPr>
                <w:rFonts w:asciiTheme="minorHAnsi" w:hAnsiTheme="minorHAnsi" w:cstheme="minorBidi"/>
                <w:noProof/>
                <w:kern w:val="2"/>
                <w:sz w:val="24"/>
                <w:szCs w:val="24"/>
                <w14:ligatures w14:val="standardContextual"/>
              </w:rPr>
              <w:tab/>
            </w:r>
            <w:r w:rsidRPr="00D8539C">
              <w:rPr>
                <w:rStyle w:val="Hyperlink"/>
                <w:noProof/>
              </w:rPr>
              <w:t>Conclusion</w:t>
            </w:r>
            <w:r>
              <w:rPr>
                <w:noProof/>
                <w:webHidden/>
              </w:rPr>
              <w:tab/>
            </w:r>
            <w:r>
              <w:rPr>
                <w:noProof/>
                <w:webHidden/>
              </w:rPr>
              <w:fldChar w:fldCharType="begin"/>
            </w:r>
            <w:r>
              <w:rPr>
                <w:noProof/>
                <w:webHidden/>
              </w:rPr>
              <w:instrText xml:space="preserve"> PAGEREF _Toc212538575 \h </w:instrText>
            </w:r>
            <w:r>
              <w:rPr>
                <w:noProof/>
                <w:webHidden/>
              </w:rPr>
            </w:r>
            <w:r>
              <w:rPr>
                <w:noProof/>
                <w:webHidden/>
              </w:rPr>
              <w:fldChar w:fldCharType="separate"/>
            </w:r>
            <w:r>
              <w:rPr>
                <w:noProof/>
                <w:webHidden/>
              </w:rPr>
              <w:t>57</w:t>
            </w:r>
            <w:r>
              <w:rPr>
                <w:noProof/>
                <w:webHidden/>
              </w:rPr>
              <w:fldChar w:fldCharType="end"/>
            </w:r>
          </w:hyperlink>
        </w:p>
        <w:p w:rsidR="00991AE6" w:rsidRDefault="00991AE6" w14:paraId="46DD29F0" w14:textId="24C560F9">
          <w:pPr>
            <w:pStyle w:val="TOC1"/>
            <w:tabs>
              <w:tab w:val="right" w:leader="dot" w:pos="9350"/>
            </w:tabs>
            <w:rPr>
              <w:rFonts w:asciiTheme="minorHAnsi" w:hAnsiTheme="minorHAnsi" w:cstheme="minorBidi"/>
              <w:noProof/>
              <w:kern w:val="2"/>
              <w:sz w:val="24"/>
              <w:szCs w:val="24"/>
              <w14:ligatures w14:val="standardContextual"/>
            </w:rPr>
          </w:pPr>
          <w:hyperlink w:history="1" w:anchor="_Toc212538576">
            <w:r w:rsidRPr="00D8539C">
              <w:rPr>
                <w:rStyle w:val="Hyperlink"/>
                <w:noProof/>
              </w:rPr>
              <w:t>12.</w:t>
            </w:r>
            <w:r>
              <w:rPr>
                <w:rFonts w:asciiTheme="minorHAnsi" w:hAnsiTheme="minorHAnsi" w:cstheme="minorBidi"/>
                <w:noProof/>
                <w:kern w:val="2"/>
                <w:sz w:val="24"/>
                <w:szCs w:val="24"/>
                <w14:ligatures w14:val="standardContextual"/>
              </w:rPr>
              <w:tab/>
            </w:r>
            <w:r w:rsidRPr="00D8539C">
              <w:rPr>
                <w:rStyle w:val="Hyperlink"/>
                <w:noProof/>
              </w:rPr>
              <w:t>Procedural Matters</w:t>
            </w:r>
            <w:r>
              <w:rPr>
                <w:noProof/>
                <w:webHidden/>
              </w:rPr>
              <w:tab/>
            </w:r>
            <w:r>
              <w:rPr>
                <w:noProof/>
                <w:webHidden/>
              </w:rPr>
              <w:fldChar w:fldCharType="begin"/>
            </w:r>
            <w:r>
              <w:rPr>
                <w:noProof/>
                <w:webHidden/>
              </w:rPr>
              <w:instrText xml:space="preserve"> PAGEREF _Toc212538576 \h </w:instrText>
            </w:r>
            <w:r>
              <w:rPr>
                <w:noProof/>
                <w:webHidden/>
              </w:rPr>
            </w:r>
            <w:r>
              <w:rPr>
                <w:noProof/>
                <w:webHidden/>
              </w:rPr>
              <w:fldChar w:fldCharType="separate"/>
            </w:r>
            <w:r>
              <w:rPr>
                <w:noProof/>
                <w:webHidden/>
              </w:rPr>
              <w:t>57</w:t>
            </w:r>
            <w:r>
              <w:rPr>
                <w:noProof/>
                <w:webHidden/>
              </w:rPr>
              <w:fldChar w:fldCharType="end"/>
            </w:r>
          </w:hyperlink>
        </w:p>
        <w:p w:rsidR="00991AE6" w:rsidRDefault="00991AE6" w14:paraId="2D9EC3AA" w14:textId="1FDCB70B">
          <w:pPr>
            <w:pStyle w:val="TOC1"/>
            <w:tabs>
              <w:tab w:val="right" w:leader="dot" w:pos="9350"/>
            </w:tabs>
            <w:rPr>
              <w:rFonts w:asciiTheme="minorHAnsi" w:hAnsiTheme="minorHAnsi" w:cstheme="minorBidi"/>
              <w:noProof/>
              <w:kern w:val="2"/>
              <w:sz w:val="24"/>
              <w:szCs w:val="24"/>
              <w14:ligatures w14:val="standardContextual"/>
            </w:rPr>
          </w:pPr>
          <w:hyperlink w:history="1" w:anchor="_Toc212538577">
            <w:r w:rsidRPr="00D8539C">
              <w:rPr>
                <w:rStyle w:val="Hyperlink"/>
                <w:noProof/>
              </w:rPr>
              <w:t>13.</w:t>
            </w:r>
            <w:r>
              <w:rPr>
                <w:rFonts w:asciiTheme="minorHAnsi" w:hAnsiTheme="minorHAnsi" w:cstheme="minorBidi"/>
                <w:noProof/>
                <w:kern w:val="2"/>
                <w:sz w:val="24"/>
                <w:szCs w:val="24"/>
                <w14:ligatures w14:val="standardContextual"/>
              </w:rPr>
              <w:tab/>
            </w:r>
            <w:r w:rsidRPr="00D8539C">
              <w:rPr>
                <w:rStyle w:val="Hyperlink"/>
                <w:noProof/>
              </w:rPr>
              <w:t>Comments on Proposed Decision</w:t>
            </w:r>
            <w:r>
              <w:rPr>
                <w:noProof/>
                <w:webHidden/>
              </w:rPr>
              <w:tab/>
            </w:r>
            <w:r>
              <w:rPr>
                <w:noProof/>
                <w:webHidden/>
              </w:rPr>
              <w:fldChar w:fldCharType="begin"/>
            </w:r>
            <w:r>
              <w:rPr>
                <w:noProof/>
                <w:webHidden/>
              </w:rPr>
              <w:instrText xml:space="preserve"> PAGEREF _Toc212538577 \h </w:instrText>
            </w:r>
            <w:r>
              <w:rPr>
                <w:noProof/>
                <w:webHidden/>
              </w:rPr>
            </w:r>
            <w:r>
              <w:rPr>
                <w:noProof/>
                <w:webHidden/>
              </w:rPr>
              <w:fldChar w:fldCharType="separate"/>
            </w:r>
            <w:r>
              <w:rPr>
                <w:noProof/>
                <w:webHidden/>
              </w:rPr>
              <w:t>59</w:t>
            </w:r>
            <w:r>
              <w:rPr>
                <w:noProof/>
                <w:webHidden/>
              </w:rPr>
              <w:fldChar w:fldCharType="end"/>
            </w:r>
          </w:hyperlink>
        </w:p>
        <w:p w:rsidR="00991AE6" w:rsidRDefault="00991AE6" w14:paraId="3EC524AE" w14:textId="10A45B20">
          <w:pPr>
            <w:pStyle w:val="TOC1"/>
            <w:tabs>
              <w:tab w:val="right" w:leader="dot" w:pos="9350"/>
            </w:tabs>
            <w:rPr>
              <w:rFonts w:asciiTheme="minorHAnsi" w:hAnsiTheme="minorHAnsi" w:cstheme="minorBidi"/>
              <w:noProof/>
              <w:kern w:val="2"/>
              <w:sz w:val="24"/>
              <w:szCs w:val="24"/>
              <w14:ligatures w14:val="standardContextual"/>
            </w:rPr>
          </w:pPr>
          <w:hyperlink w:history="1" w:anchor="_Toc212538578">
            <w:r w:rsidRPr="00D8539C">
              <w:rPr>
                <w:rStyle w:val="Hyperlink"/>
                <w:noProof/>
              </w:rPr>
              <w:t>14.</w:t>
            </w:r>
            <w:r>
              <w:rPr>
                <w:rFonts w:asciiTheme="minorHAnsi" w:hAnsiTheme="minorHAnsi" w:cstheme="minorBidi"/>
                <w:noProof/>
                <w:kern w:val="2"/>
                <w:sz w:val="24"/>
                <w:szCs w:val="24"/>
                <w14:ligatures w14:val="standardContextual"/>
              </w:rPr>
              <w:tab/>
            </w:r>
            <w:r w:rsidRPr="00D8539C">
              <w:rPr>
                <w:rStyle w:val="Hyperlink"/>
                <w:noProof/>
              </w:rPr>
              <w:t>Assignment of Proceeding</w:t>
            </w:r>
            <w:r>
              <w:rPr>
                <w:noProof/>
                <w:webHidden/>
              </w:rPr>
              <w:tab/>
            </w:r>
            <w:r>
              <w:rPr>
                <w:noProof/>
                <w:webHidden/>
              </w:rPr>
              <w:fldChar w:fldCharType="begin"/>
            </w:r>
            <w:r>
              <w:rPr>
                <w:noProof/>
                <w:webHidden/>
              </w:rPr>
              <w:instrText xml:space="preserve"> PAGEREF _Toc212538578 \h </w:instrText>
            </w:r>
            <w:r>
              <w:rPr>
                <w:noProof/>
                <w:webHidden/>
              </w:rPr>
            </w:r>
            <w:r>
              <w:rPr>
                <w:noProof/>
                <w:webHidden/>
              </w:rPr>
              <w:fldChar w:fldCharType="separate"/>
            </w:r>
            <w:r>
              <w:rPr>
                <w:noProof/>
                <w:webHidden/>
              </w:rPr>
              <w:t>65</w:t>
            </w:r>
            <w:r>
              <w:rPr>
                <w:noProof/>
                <w:webHidden/>
              </w:rPr>
              <w:fldChar w:fldCharType="end"/>
            </w:r>
          </w:hyperlink>
        </w:p>
        <w:p w:rsidR="00991AE6" w:rsidRDefault="00991AE6" w14:paraId="2C1CEB79" w14:textId="55DF545C">
          <w:pPr>
            <w:pStyle w:val="TOC1"/>
            <w:tabs>
              <w:tab w:val="right" w:leader="dot" w:pos="9350"/>
            </w:tabs>
            <w:rPr>
              <w:rFonts w:asciiTheme="minorHAnsi" w:hAnsiTheme="minorHAnsi" w:cstheme="minorBidi"/>
              <w:noProof/>
              <w:kern w:val="2"/>
              <w:sz w:val="24"/>
              <w:szCs w:val="24"/>
              <w14:ligatures w14:val="standardContextual"/>
            </w:rPr>
          </w:pPr>
          <w:hyperlink w:history="1" w:anchor="_Toc212538579">
            <w:r w:rsidRPr="00D8539C">
              <w:rPr>
                <w:rStyle w:val="Hyperlink"/>
                <w:noProof/>
              </w:rPr>
              <w:t>Findings of Fact</w:t>
            </w:r>
            <w:r>
              <w:rPr>
                <w:noProof/>
                <w:webHidden/>
              </w:rPr>
              <w:tab/>
            </w:r>
            <w:r>
              <w:rPr>
                <w:noProof/>
                <w:webHidden/>
              </w:rPr>
              <w:fldChar w:fldCharType="begin"/>
            </w:r>
            <w:r>
              <w:rPr>
                <w:noProof/>
                <w:webHidden/>
              </w:rPr>
              <w:instrText xml:space="preserve"> PAGEREF _Toc212538579 \h </w:instrText>
            </w:r>
            <w:r>
              <w:rPr>
                <w:noProof/>
                <w:webHidden/>
              </w:rPr>
            </w:r>
            <w:r>
              <w:rPr>
                <w:noProof/>
                <w:webHidden/>
              </w:rPr>
              <w:fldChar w:fldCharType="separate"/>
            </w:r>
            <w:r>
              <w:rPr>
                <w:noProof/>
                <w:webHidden/>
              </w:rPr>
              <w:t>65</w:t>
            </w:r>
            <w:r>
              <w:rPr>
                <w:noProof/>
                <w:webHidden/>
              </w:rPr>
              <w:fldChar w:fldCharType="end"/>
            </w:r>
          </w:hyperlink>
        </w:p>
        <w:p w:rsidR="00991AE6" w:rsidRDefault="00991AE6" w14:paraId="6C8246A3" w14:textId="6158C6C0">
          <w:pPr>
            <w:pStyle w:val="TOC1"/>
            <w:tabs>
              <w:tab w:val="right" w:leader="dot" w:pos="9350"/>
            </w:tabs>
            <w:rPr>
              <w:rFonts w:asciiTheme="minorHAnsi" w:hAnsiTheme="minorHAnsi" w:cstheme="minorBidi"/>
              <w:noProof/>
              <w:kern w:val="2"/>
              <w:sz w:val="24"/>
              <w:szCs w:val="24"/>
              <w14:ligatures w14:val="standardContextual"/>
            </w:rPr>
          </w:pPr>
          <w:hyperlink w:history="1" w:anchor="_Toc212538580">
            <w:r w:rsidRPr="00D8539C">
              <w:rPr>
                <w:rStyle w:val="Hyperlink"/>
                <w:noProof/>
              </w:rPr>
              <w:t>Conclusions of Law</w:t>
            </w:r>
            <w:r>
              <w:rPr>
                <w:noProof/>
                <w:webHidden/>
              </w:rPr>
              <w:tab/>
            </w:r>
            <w:r>
              <w:rPr>
                <w:noProof/>
                <w:webHidden/>
              </w:rPr>
              <w:fldChar w:fldCharType="begin"/>
            </w:r>
            <w:r>
              <w:rPr>
                <w:noProof/>
                <w:webHidden/>
              </w:rPr>
              <w:instrText xml:space="preserve"> PAGEREF _Toc212538580 \h </w:instrText>
            </w:r>
            <w:r>
              <w:rPr>
                <w:noProof/>
                <w:webHidden/>
              </w:rPr>
            </w:r>
            <w:r>
              <w:rPr>
                <w:noProof/>
                <w:webHidden/>
              </w:rPr>
              <w:fldChar w:fldCharType="separate"/>
            </w:r>
            <w:r>
              <w:rPr>
                <w:noProof/>
                <w:webHidden/>
              </w:rPr>
              <w:t>71</w:t>
            </w:r>
            <w:r>
              <w:rPr>
                <w:noProof/>
                <w:webHidden/>
              </w:rPr>
              <w:fldChar w:fldCharType="end"/>
            </w:r>
          </w:hyperlink>
        </w:p>
        <w:p w:rsidR="00991AE6" w:rsidRDefault="00991AE6" w14:paraId="5CDCD892" w14:textId="5E2FF850">
          <w:pPr>
            <w:pStyle w:val="TOC1"/>
            <w:tabs>
              <w:tab w:val="right" w:leader="dot" w:pos="9350"/>
            </w:tabs>
            <w:rPr>
              <w:rFonts w:asciiTheme="minorHAnsi" w:hAnsiTheme="minorHAnsi" w:cstheme="minorBidi"/>
              <w:noProof/>
              <w:kern w:val="2"/>
              <w:sz w:val="24"/>
              <w:szCs w:val="24"/>
              <w14:ligatures w14:val="standardContextual"/>
            </w:rPr>
          </w:pPr>
          <w:hyperlink w:history="1" w:anchor="_Toc212538581">
            <w:r w:rsidRPr="00D8539C">
              <w:rPr>
                <w:rStyle w:val="Hyperlink"/>
                <w:noProof/>
              </w:rPr>
              <w:t>ORDER</w:t>
            </w:r>
            <w:r>
              <w:rPr>
                <w:noProof/>
                <w:webHidden/>
              </w:rPr>
              <w:tab/>
            </w:r>
            <w:r>
              <w:rPr>
                <w:noProof/>
                <w:webHidden/>
              </w:rPr>
              <w:fldChar w:fldCharType="begin"/>
            </w:r>
            <w:r>
              <w:rPr>
                <w:noProof/>
                <w:webHidden/>
              </w:rPr>
              <w:instrText xml:space="preserve"> PAGEREF _Toc212538581 \h </w:instrText>
            </w:r>
            <w:r>
              <w:rPr>
                <w:noProof/>
                <w:webHidden/>
              </w:rPr>
            </w:r>
            <w:r>
              <w:rPr>
                <w:noProof/>
                <w:webHidden/>
              </w:rPr>
              <w:fldChar w:fldCharType="separate"/>
            </w:r>
            <w:r>
              <w:rPr>
                <w:noProof/>
                <w:webHidden/>
              </w:rPr>
              <w:t>74</w:t>
            </w:r>
            <w:r>
              <w:rPr>
                <w:noProof/>
                <w:webHidden/>
              </w:rPr>
              <w:fldChar w:fldCharType="end"/>
            </w:r>
          </w:hyperlink>
        </w:p>
        <w:p w:rsidR="00D82A43" w:rsidP="00CB0148" w:rsidRDefault="00CB0148" w14:paraId="340D7BF8" w14:textId="1F6D2E89">
          <w:pPr>
            <w:pStyle w:val="TOC1"/>
            <w:tabs>
              <w:tab w:val="right" w:leader="dot" w:pos="9350"/>
            </w:tabs>
          </w:pPr>
          <w:r>
            <w:rPr>
              <w:rFonts w:asciiTheme="minorHAnsi" w:hAnsiTheme="minorHAnsi"/>
              <w:sz w:val="22"/>
            </w:rPr>
            <w:fldChar w:fldCharType="end"/>
          </w:r>
        </w:p>
      </w:sdtContent>
    </w:sdt>
    <w:p w:rsidR="00D44DB6" w:rsidP="00D44DB6" w:rsidRDefault="00D44DB6" w14:paraId="45BD91DD" w14:textId="77777777">
      <w:pPr>
        <w:spacing w:line="240" w:lineRule="auto"/>
        <w:ind w:firstLine="0"/>
        <w:rPr>
          <w:rFonts w:cs="Arial"/>
          <w:b/>
          <w:bCs/>
          <w:i/>
          <w:szCs w:val="26"/>
        </w:rPr>
      </w:pPr>
    </w:p>
    <w:p w:rsidRPr="00D44DB6" w:rsidR="00716CD2" w:rsidP="00D44DB6" w:rsidRDefault="00716CD2" w14:paraId="3F86EDDA" w14:textId="378B1EA6">
      <w:pPr>
        <w:spacing w:line="240" w:lineRule="auto"/>
        <w:ind w:firstLine="0"/>
        <w:rPr>
          <w:rFonts w:cs="Arial"/>
          <w:i/>
          <w:szCs w:val="26"/>
        </w:rPr>
        <w:sectPr w:rsidRPr="00D44DB6" w:rsidR="00716CD2" w:rsidSect="0017156F">
          <w:pgSz w:w="12240" w:h="15840"/>
          <w:pgMar w:top="1728" w:right="1440" w:bottom="1440" w:left="1440" w:header="720" w:footer="720" w:gutter="0"/>
          <w:pgNumType w:fmt="lowerRoman" w:start="1"/>
          <w:cols w:space="720"/>
          <w:docGrid w:linePitch="360"/>
        </w:sectPr>
      </w:pPr>
    </w:p>
    <w:p w:rsidRPr="00F849D0" w:rsidR="0023452B" w:rsidP="00F849D0" w:rsidRDefault="0023452B" w14:paraId="5B5C4945" w14:textId="6CEE1F23">
      <w:pPr>
        <w:pStyle w:val="Main"/>
      </w:pPr>
      <w:bookmarkStart w:name="Title" w:id="1"/>
      <w:r>
        <w:lastRenderedPageBreak/>
        <w:t>DECISION AUTHORIZING A RATEMAKING MECHANISM FOR ENERGIZATION PROJECTS PURSUANT TO SENATE BILL 410</w:t>
      </w:r>
      <w:bookmarkEnd w:id="1"/>
    </w:p>
    <w:p w:rsidRPr="007F33F9" w:rsidR="007F33F9" w:rsidP="007F33F9" w:rsidRDefault="007F33F9" w14:paraId="24B88EB1" w14:textId="77777777">
      <w:pPr>
        <w:pStyle w:val="Main"/>
        <w:jc w:val="left"/>
      </w:pPr>
    </w:p>
    <w:p w:rsidR="005A148C" w:rsidP="00280440" w:rsidRDefault="005A148C" w14:paraId="0BDFE0B9" w14:textId="5AE2F0C6">
      <w:pPr>
        <w:pStyle w:val="Dummy"/>
      </w:pPr>
      <w:bookmarkStart w:name="_Toc8123714" w:id="2"/>
      <w:bookmarkStart w:name="_Toc212538520" w:id="3"/>
      <w:r>
        <w:t>Summary</w:t>
      </w:r>
      <w:bookmarkEnd w:id="2"/>
      <w:bookmarkEnd w:id="3"/>
    </w:p>
    <w:p w:rsidR="00662235" w:rsidP="00662235" w:rsidRDefault="7B83B542" w14:paraId="7EF578B3" w14:textId="38A81A41">
      <w:pPr>
        <w:pStyle w:val="Standard"/>
      </w:pPr>
      <w:r>
        <w:t xml:space="preserve">This decision authorizes </w:t>
      </w:r>
      <w:r w:rsidR="6805D70D">
        <w:t>San </w:t>
      </w:r>
      <w:r>
        <w:t>Diego Gas</w:t>
      </w:r>
      <w:r w:rsidR="6805D70D">
        <w:t xml:space="preserve"> &amp; </w:t>
      </w:r>
      <w:r>
        <w:t>Electric</w:t>
      </w:r>
      <w:r w:rsidR="249B8EE9">
        <w:t xml:space="preserve"> Company</w:t>
      </w:r>
      <w:r>
        <w:t xml:space="preserve"> (SDG&amp;E) to establish a new Electric Energization Memorandum Account </w:t>
      </w:r>
      <w:r w:rsidR="75545F22">
        <w:t xml:space="preserve">(EEMA) </w:t>
      </w:r>
      <w:r>
        <w:t>to record energization cos</w:t>
      </w:r>
      <w:r w:rsidRPr="00613A48">
        <w:t>ts that are incremental to the energization costs approved in SDG&amp;E</w:t>
      </w:r>
      <w:r w:rsidRPr="00613A48" w:rsidR="0C33DEB1">
        <w:t>’</w:t>
      </w:r>
      <w:r w:rsidRPr="00613A48">
        <w:t>s 2024 General Rate Case</w:t>
      </w:r>
      <w:r w:rsidRPr="00613A48" w:rsidR="05B895B2">
        <w:t xml:space="preserve"> (GRC)</w:t>
      </w:r>
      <w:r w:rsidRPr="00613A48">
        <w:t xml:space="preserve">. SDG&amp;E is authorized to record </w:t>
      </w:r>
      <w:r w:rsidRPr="00613A48" w:rsidR="310A6173">
        <w:t>a total of $</w:t>
      </w:r>
      <w:r w:rsidRPr="00613A48" w:rsidR="3A8F1DD4">
        <w:t>51.1</w:t>
      </w:r>
      <w:r w:rsidR="401084DA">
        <w:t>8</w:t>
      </w:r>
      <w:r w:rsidRPr="00613A48" w:rsidR="3A8F1DD4">
        <w:t>8</w:t>
      </w:r>
      <w:r w:rsidRPr="00613A48" w:rsidR="310A6173">
        <w:t xml:space="preserve"> million </w:t>
      </w:r>
      <w:r w:rsidR="65836F26">
        <w:t xml:space="preserve">of incremental costs </w:t>
      </w:r>
      <w:r w:rsidRPr="00613A48" w:rsidR="310A6173">
        <w:t xml:space="preserve">to the EEMA: </w:t>
      </w:r>
      <w:r w:rsidRPr="00613A48" w:rsidR="271F9250">
        <w:t>$</w:t>
      </w:r>
      <w:r w:rsidRPr="00613A48" w:rsidR="3A8F1DD4">
        <w:t xml:space="preserve">10.561 </w:t>
      </w:r>
      <w:r w:rsidRPr="00613A48" w:rsidR="271F9250">
        <w:t xml:space="preserve">million </w:t>
      </w:r>
      <w:r w:rsidRPr="00613A48">
        <w:t xml:space="preserve">in </w:t>
      </w:r>
      <w:r w:rsidRPr="00613A48" w:rsidR="271F9250">
        <w:t xml:space="preserve">2024, </w:t>
      </w:r>
      <w:r w:rsidRPr="00613A48" w:rsidR="266B84DF">
        <w:t>$</w:t>
      </w:r>
      <w:r w:rsidRPr="00613A48" w:rsidR="3A8F1DD4">
        <w:t>20.793</w:t>
      </w:r>
      <w:r w:rsidRPr="00613A48" w:rsidR="266B84DF">
        <w:t xml:space="preserve"> million in </w:t>
      </w:r>
      <w:r w:rsidRPr="00613A48">
        <w:t>2025</w:t>
      </w:r>
      <w:r w:rsidRPr="00613A48" w:rsidR="266B84DF">
        <w:t>,</w:t>
      </w:r>
      <w:r w:rsidRPr="00613A48">
        <w:t xml:space="preserve"> and </w:t>
      </w:r>
      <w:r w:rsidRPr="00613A48" w:rsidR="266B84DF">
        <w:t>$</w:t>
      </w:r>
      <w:r w:rsidRPr="00613A48" w:rsidR="714017D2">
        <w:t>19.8</w:t>
      </w:r>
      <w:r w:rsidR="401084DA">
        <w:t>3</w:t>
      </w:r>
      <w:r w:rsidRPr="00613A48" w:rsidR="714017D2">
        <w:t xml:space="preserve">4 </w:t>
      </w:r>
      <w:r w:rsidRPr="00613A48" w:rsidR="266B84DF">
        <w:t xml:space="preserve">million in </w:t>
      </w:r>
      <w:r w:rsidRPr="00613A48">
        <w:t xml:space="preserve">2026. </w:t>
      </w:r>
      <w:r w:rsidRPr="00613A48" w:rsidR="73EAD19F">
        <w:t xml:space="preserve">This </w:t>
      </w:r>
      <w:r w:rsidRPr="00613A48">
        <w:t>represents an 8</w:t>
      </w:r>
      <w:r w:rsidRPr="00613A48" w:rsidR="714017D2">
        <w:t>3</w:t>
      </w:r>
      <w:r w:rsidRPr="00613A48" w:rsidR="70926CF7">
        <w:t> percent</w:t>
      </w:r>
      <w:r w:rsidRPr="00613A48">
        <w:t xml:space="preserve"> reduction of SDG&amp;E</w:t>
      </w:r>
      <w:r w:rsidRPr="00613A48" w:rsidR="0C33DEB1">
        <w:t>’</w:t>
      </w:r>
      <w:r w:rsidRPr="00613A48">
        <w:t>s requested cap of $310.127</w:t>
      </w:r>
      <w:r w:rsidRPr="00613A48" w:rsidR="782E4732">
        <w:t> million</w:t>
      </w:r>
      <w:r w:rsidRPr="00613A48">
        <w:t xml:space="preserve"> from 2024 to 2026. </w:t>
      </w:r>
      <w:r w:rsidRPr="00613A48" w:rsidR="4BA22F37">
        <w:t>SDG&amp;E</w:t>
      </w:r>
      <w:r w:rsidRPr="00613A48" w:rsidR="0C33DEB1">
        <w:t>’</w:t>
      </w:r>
      <w:r w:rsidRPr="00613A48" w:rsidR="4BA22F37">
        <w:t xml:space="preserve">s initial request </w:t>
      </w:r>
      <w:r w:rsidRPr="00613A48" w:rsidR="05B895B2">
        <w:t xml:space="preserve">would have more than doubled </w:t>
      </w:r>
      <w:r w:rsidRPr="00613A48" w:rsidR="309E72AA">
        <w:t xml:space="preserve">the amount of money it is authorized to spend on </w:t>
      </w:r>
      <w:r w:rsidRPr="00613A48" w:rsidR="36285E25">
        <w:t>energization</w:t>
      </w:r>
      <w:r w:rsidRPr="00613A48" w:rsidR="00503215">
        <w:noBreakHyphen/>
      </w:r>
      <w:r w:rsidRPr="00613A48" w:rsidR="36285E25">
        <w:t>related projects</w:t>
      </w:r>
      <w:r w:rsidRPr="00613A48" w:rsidR="418382DB">
        <w:t xml:space="preserve"> by its 2024 GRC</w:t>
      </w:r>
      <w:r w:rsidRPr="00613A48" w:rsidR="36285E25">
        <w:t xml:space="preserve">; this </w:t>
      </w:r>
      <w:r w:rsidRPr="00613A48" w:rsidR="33E1BDF4">
        <w:t xml:space="preserve">decision </w:t>
      </w:r>
      <w:r w:rsidRPr="00613A48" w:rsidR="10556E4C">
        <w:t>authorizes no more than a</w:t>
      </w:r>
      <w:r w:rsidRPr="00613A48" w:rsidR="2656582E">
        <w:t>n 18</w:t>
      </w:r>
      <w:r w:rsidR="2656582E">
        <w:t xml:space="preserve"> </w:t>
      </w:r>
      <w:r w:rsidR="2D39CF5E">
        <w:t>percent</w:t>
      </w:r>
      <w:r w:rsidR="10556E4C">
        <w:t xml:space="preserve"> increase. </w:t>
      </w:r>
      <w:r>
        <w:t xml:space="preserve">SDG&amp;E is authorized to annually transfer </w:t>
      </w:r>
      <w:r w:rsidR="00BC5DCD">
        <w:t xml:space="preserve">eligible </w:t>
      </w:r>
      <w:r>
        <w:t>costs to the Electric Distribution Fixed Cost Account for recovery from customers.</w:t>
      </w:r>
      <w:r w:rsidR="61AF3C26">
        <w:t xml:space="preserve"> This decision provides guidance for SDG&amp;E to </w:t>
      </w:r>
      <w:r w:rsidR="7F313FBC">
        <w:t>request</w:t>
      </w:r>
      <w:r w:rsidR="7F313FBC">
        <w:t xml:space="preserve"> </w:t>
      </w:r>
      <w:r w:rsidR="00C43CB6">
        <w:t>any</w:t>
      </w:r>
      <w:r w:rsidR="00C43CB6">
        <w:t xml:space="preserve"> </w:t>
      </w:r>
      <w:r w:rsidR="7F313FBC">
        <w:t>revisions to the cap</w:t>
      </w:r>
      <w:r w:rsidR="71424B5B">
        <w:t xml:space="preserve"> via petition for modification</w:t>
      </w:r>
      <w:r w:rsidR="7F313FBC">
        <w:t>.</w:t>
      </w:r>
    </w:p>
    <w:p w:rsidR="00662235" w:rsidP="00662235" w:rsidRDefault="00510A93" w14:paraId="2A246709" w14:textId="4682DD69">
      <w:pPr>
        <w:pStyle w:val="Standard"/>
      </w:pPr>
      <w:r>
        <w:t xml:space="preserve">This decision </w:t>
      </w:r>
      <w:r w:rsidR="0037405F">
        <w:t>authorizes SDG&amp;E</w:t>
      </w:r>
      <w:r w:rsidR="005C27EE">
        <w:t xml:space="preserve"> </w:t>
      </w:r>
      <w:r w:rsidR="00E87928">
        <w:t xml:space="preserve">to, on an annual basis, </w:t>
      </w:r>
      <w:r w:rsidR="002A3212">
        <w:t xml:space="preserve">begin recovering from customers eligible </w:t>
      </w:r>
      <w:r w:rsidR="009219B4">
        <w:t xml:space="preserve">costs </w:t>
      </w:r>
      <w:r w:rsidR="00A267DA">
        <w:t xml:space="preserve">recorded to </w:t>
      </w:r>
      <w:r w:rsidR="009219B4">
        <w:t>the EEMA</w:t>
      </w:r>
      <w:r w:rsidR="00A267DA">
        <w:t xml:space="preserve">. </w:t>
      </w:r>
      <w:r w:rsidR="00E923E6">
        <w:t xml:space="preserve">In its next </w:t>
      </w:r>
      <w:r w:rsidR="00994BC1">
        <w:t xml:space="preserve">GRC </w:t>
      </w:r>
      <w:r w:rsidR="00E923E6">
        <w:t>application</w:t>
      </w:r>
      <w:r w:rsidR="00662235">
        <w:t xml:space="preserve">, SDG&amp;E shall demonstrate that the costs recorded to the </w:t>
      </w:r>
      <w:r w:rsidR="00614F65">
        <w:t xml:space="preserve">EEMA </w:t>
      </w:r>
      <w:r w:rsidR="00662235">
        <w:t xml:space="preserve">were just and reasonable. Any costs the </w:t>
      </w:r>
      <w:r w:rsidR="00481EC9">
        <w:t xml:space="preserve">California Public Utilities </w:t>
      </w:r>
      <w:r w:rsidR="00662235">
        <w:t>Commission does not find to be just and reasonable will be refunded to customers.</w:t>
      </w:r>
      <w:r w:rsidR="00673E00">
        <w:t xml:space="preserve"> </w:t>
      </w:r>
      <w:r w:rsidR="002E0EA0">
        <w:t xml:space="preserve">Pursuant to SB 410, SDG&amp;E </w:t>
      </w:r>
      <w:r w:rsidR="008C0138">
        <w:t xml:space="preserve">shall retain a Commission-selected, third-party auditor </w:t>
      </w:r>
      <w:r w:rsidR="00B934F8">
        <w:t xml:space="preserve">to review SDG&amp;E’s energization activities. </w:t>
      </w:r>
      <w:r w:rsidR="00673E00">
        <w:t>This decision</w:t>
      </w:r>
      <w:r w:rsidR="00ED458D">
        <w:t xml:space="preserve"> provides guidance for the content and timing of </w:t>
      </w:r>
      <w:r w:rsidR="00B934F8">
        <w:t xml:space="preserve">the auditor’s reports. </w:t>
      </w:r>
    </w:p>
    <w:p w:rsidR="00D67663" w:rsidP="00107AC0" w:rsidRDefault="00D67663" w14:paraId="04B4C701" w14:textId="2574EEAF">
      <w:pPr>
        <w:pStyle w:val="Standard"/>
      </w:pPr>
      <w:r>
        <w:t>The table below provides a high</w:t>
      </w:r>
      <w:r w:rsidR="00503215">
        <w:noBreakHyphen/>
      </w:r>
      <w:r>
        <w:t xml:space="preserve">level summary of the </w:t>
      </w:r>
      <w:r w:rsidR="00E1384E">
        <w:t xml:space="preserve">cost forecasts this decision </w:t>
      </w:r>
      <w:r w:rsidR="00350AFC">
        <w:t xml:space="preserve">used to set </w:t>
      </w:r>
      <w:r w:rsidR="00E1384E">
        <w:t>the spending cap</w:t>
      </w:r>
      <w:r w:rsidR="00350AFC">
        <w:t>s</w:t>
      </w:r>
      <w:r w:rsidR="00AB29BC">
        <w:t>:</w:t>
      </w:r>
    </w:p>
    <w:tbl>
      <w:tblPr>
        <w:tblStyle w:val="TableGrid"/>
        <w:tblW w:w="0" w:type="auto"/>
        <w:tblLayout w:type="fixed"/>
        <w:tblCellMar>
          <w:top w:w="58" w:type="dxa"/>
          <w:bottom w:w="58" w:type="dxa"/>
        </w:tblCellMar>
        <w:tblLook w:val="04A0" w:firstRow="1" w:lastRow="0" w:firstColumn="1" w:lastColumn="0" w:noHBand="0" w:noVBand="1"/>
      </w:tblPr>
      <w:tblGrid>
        <w:gridCol w:w="3325"/>
        <w:gridCol w:w="3060"/>
        <w:gridCol w:w="2965"/>
      </w:tblGrid>
      <w:tr w:rsidRPr="00E27237" w:rsidR="007D1C62" w:rsidTr="00AF222F" w14:paraId="3EA152EA" w14:textId="77777777">
        <w:trPr>
          <w:cantSplit/>
          <w:tblHeader/>
        </w:trPr>
        <w:tc>
          <w:tcPr>
            <w:tcW w:w="3325" w:type="dxa"/>
            <w:shd w:val="clear" w:color="auto" w:fill="F2F2F2" w:themeFill="background1" w:themeFillShade="F2"/>
            <w:vAlign w:val="bottom"/>
          </w:tcPr>
          <w:p w:rsidRPr="00E27237" w:rsidR="00D67663" w:rsidP="000D5B50" w:rsidRDefault="00D67663" w14:paraId="166C605D" w14:textId="77777777">
            <w:pPr>
              <w:pStyle w:val="Standard"/>
              <w:keepNext/>
              <w:spacing w:line="240" w:lineRule="auto"/>
              <w:ind w:firstLine="0"/>
              <w:jc w:val="center"/>
              <w:rPr>
                <w:b/>
                <w:bCs/>
                <w:szCs w:val="20"/>
              </w:rPr>
            </w:pPr>
            <w:r w:rsidRPr="00E27237">
              <w:rPr>
                <w:b/>
                <w:bCs/>
                <w:szCs w:val="20"/>
              </w:rPr>
              <w:lastRenderedPageBreak/>
              <w:t>Cost Category</w:t>
            </w:r>
          </w:p>
        </w:tc>
        <w:tc>
          <w:tcPr>
            <w:tcW w:w="3060" w:type="dxa"/>
            <w:shd w:val="clear" w:color="auto" w:fill="F2F2F2" w:themeFill="background1" w:themeFillShade="F2"/>
            <w:vAlign w:val="bottom"/>
          </w:tcPr>
          <w:p w:rsidRPr="00E27237" w:rsidR="007D1C62" w:rsidP="000D5B50" w:rsidRDefault="00D67663" w14:paraId="22D2D080" w14:textId="77777777">
            <w:pPr>
              <w:pStyle w:val="Standard"/>
              <w:keepNext/>
              <w:spacing w:line="240" w:lineRule="auto"/>
              <w:ind w:firstLine="0"/>
              <w:jc w:val="center"/>
              <w:rPr>
                <w:b/>
                <w:bCs/>
                <w:szCs w:val="20"/>
              </w:rPr>
            </w:pPr>
            <w:r w:rsidRPr="00E27237">
              <w:rPr>
                <w:b/>
                <w:bCs/>
                <w:szCs w:val="20"/>
              </w:rPr>
              <w:t>SDG&amp;E Requested</w:t>
            </w:r>
          </w:p>
          <w:p w:rsidRPr="00E27237" w:rsidR="007D1C62" w:rsidP="000D5B50" w:rsidRDefault="00D67663" w14:paraId="22E6FD55" w14:textId="77777777">
            <w:pPr>
              <w:pStyle w:val="Standard"/>
              <w:keepNext/>
              <w:spacing w:line="240" w:lineRule="auto"/>
              <w:ind w:firstLine="0"/>
              <w:jc w:val="center"/>
              <w:rPr>
                <w:b/>
                <w:bCs/>
                <w:szCs w:val="20"/>
              </w:rPr>
            </w:pPr>
            <w:r w:rsidRPr="00E27237">
              <w:rPr>
                <w:b/>
                <w:bCs/>
                <w:szCs w:val="20"/>
              </w:rPr>
              <w:t>Contribution to Cap</w:t>
            </w:r>
          </w:p>
          <w:p w:rsidRPr="00E27237" w:rsidR="00D67663" w:rsidP="000D5B50" w:rsidRDefault="00D67663" w14:paraId="56B988CE" w14:textId="679F2F08">
            <w:pPr>
              <w:pStyle w:val="Standard"/>
              <w:keepNext/>
              <w:spacing w:line="240" w:lineRule="auto"/>
              <w:ind w:firstLine="0"/>
              <w:jc w:val="center"/>
              <w:rPr>
                <w:b/>
                <w:bCs/>
                <w:szCs w:val="20"/>
              </w:rPr>
            </w:pPr>
            <w:r w:rsidRPr="00E27237">
              <w:rPr>
                <w:b/>
                <w:bCs/>
                <w:szCs w:val="20"/>
              </w:rPr>
              <w:t>($, Millions, 2024</w:t>
            </w:r>
            <w:r w:rsidR="00503215">
              <w:rPr>
                <w:b/>
                <w:bCs/>
                <w:szCs w:val="20"/>
              </w:rPr>
              <w:noBreakHyphen/>
            </w:r>
            <w:r w:rsidRPr="00E27237">
              <w:rPr>
                <w:b/>
                <w:bCs/>
                <w:szCs w:val="20"/>
              </w:rPr>
              <w:t>2026)</w:t>
            </w:r>
          </w:p>
        </w:tc>
        <w:tc>
          <w:tcPr>
            <w:tcW w:w="2965" w:type="dxa"/>
            <w:shd w:val="clear" w:color="auto" w:fill="F2F2F2" w:themeFill="background1" w:themeFillShade="F2"/>
            <w:vAlign w:val="bottom"/>
          </w:tcPr>
          <w:p w:rsidRPr="00E27237" w:rsidR="007D1C62" w:rsidP="000D5B50" w:rsidRDefault="00D67663" w14:paraId="281ACCE8" w14:textId="77777777">
            <w:pPr>
              <w:pStyle w:val="Standard"/>
              <w:keepNext/>
              <w:spacing w:line="240" w:lineRule="auto"/>
              <w:ind w:firstLine="0"/>
              <w:jc w:val="center"/>
              <w:rPr>
                <w:b/>
                <w:bCs/>
                <w:szCs w:val="20"/>
              </w:rPr>
            </w:pPr>
            <w:r w:rsidRPr="00E27237">
              <w:rPr>
                <w:b/>
                <w:bCs/>
                <w:szCs w:val="20"/>
              </w:rPr>
              <w:t>Authorized</w:t>
            </w:r>
          </w:p>
          <w:p w:rsidRPr="00E27237" w:rsidR="00D67663" w:rsidP="000D5B50" w:rsidRDefault="00D67663" w14:paraId="26C22972" w14:textId="204C3F08">
            <w:pPr>
              <w:pStyle w:val="Standard"/>
              <w:keepNext/>
              <w:spacing w:line="240" w:lineRule="auto"/>
              <w:ind w:firstLine="0"/>
              <w:jc w:val="center"/>
              <w:rPr>
                <w:b/>
                <w:bCs/>
                <w:szCs w:val="20"/>
              </w:rPr>
            </w:pPr>
            <w:r w:rsidRPr="00E27237">
              <w:rPr>
                <w:b/>
                <w:bCs/>
                <w:szCs w:val="20"/>
              </w:rPr>
              <w:t>Contribution to Cap</w:t>
            </w:r>
          </w:p>
          <w:p w:rsidRPr="00E27237" w:rsidR="00D67663" w:rsidP="000D5B50" w:rsidRDefault="00D67663" w14:paraId="01BCAF64" w14:textId="78672C4C">
            <w:pPr>
              <w:pStyle w:val="Standard"/>
              <w:keepNext/>
              <w:spacing w:line="240" w:lineRule="auto"/>
              <w:ind w:firstLine="0"/>
              <w:jc w:val="center"/>
              <w:rPr>
                <w:b/>
                <w:bCs/>
                <w:szCs w:val="20"/>
              </w:rPr>
            </w:pPr>
            <w:r w:rsidRPr="00E27237">
              <w:rPr>
                <w:b/>
                <w:bCs/>
                <w:szCs w:val="20"/>
              </w:rPr>
              <w:t>($, Millions, 2024</w:t>
            </w:r>
            <w:r w:rsidR="00503215">
              <w:rPr>
                <w:b/>
                <w:bCs/>
                <w:szCs w:val="20"/>
              </w:rPr>
              <w:noBreakHyphen/>
            </w:r>
            <w:r w:rsidRPr="00E27237">
              <w:rPr>
                <w:b/>
                <w:bCs/>
                <w:szCs w:val="20"/>
              </w:rPr>
              <w:t>2026)</w:t>
            </w:r>
          </w:p>
        </w:tc>
      </w:tr>
      <w:tr w:rsidRPr="00E27237" w:rsidR="00D67663" w:rsidTr="00E27237" w14:paraId="042297A6" w14:textId="77777777">
        <w:trPr>
          <w:cantSplit/>
        </w:trPr>
        <w:tc>
          <w:tcPr>
            <w:tcW w:w="3325" w:type="dxa"/>
          </w:tcPr>
          <w:p w:rsidRPr="00E27237" w:rsidR="00D67663" w:rsidP="00FD05EF" w:rsidRDefault="00D67663" w14:paraId="4DF6AEB4" w14:textId="77777777">
            <w:pPr>
              <w:pStyle w:val="Standard"/>
              <w:keepNext/>
              <w:spacing w:line="240" w:lineRule="auto"/>
              <w:ind w:firstLine="0"/>
              <w:rPr>
                <w:szCs w:val="20"/>
              </w:rPr>
            </w:pPr>
            <w:r w:rsidRPr="00E27237">
              <w:rPr>
                <w:szCs w:val="20"/>
              </w:rPr>
              <w:t>Capacity/Expansion</w:t>
            </w:r>
          </w:p>
        </w:tc>
        <w:tc>
          <w:tcPr>
            <w:tcW w:w="3060" w:type="dxa"/>
          </w:tcPr>
          <w:p w:rsidRPr="00E27237" w:rsidR="00D67663" w:rsidP="00FD05EF" w:rsidRDefault="00D67663" w14:paraId="0B991C1D" w14:textId="57BF5D1D">
            <w:pPr>
              <w:pStyle w:val="Standard"/>
              <w:keepNext/>
              <w:spacing w:line="240" w:lineRule="auto"/>
              <w:ind w:firstLine="0"/>
              <w:jc w:val="center"/>
              <w:rPr>
                <w:szCs w:val="20"/>
              </w:rPr>
            </w:pPr>
            <w:r w:rsidRPr="00E27237">
              <w:rPr>
                <w:szCs w:val="20"/>
              </w:rPr>
              <w:t>$101.3</w:t>
            </w:r>
            <w:r w:rsidR="00E26AA9">
              <w:rPr>
                <w:szCs w:val="20"/>
              </w:rPr>
              <w:t>08</w:t>
            </w:r>
          </w:p>
        </w:tc>
        <w:tc>
          <w:tcPr>
            <w:tcW w:w="2965" w:type="dxa"/>
          </w:tcPr>
          <w:p w:rsidRPr="00E27237" w:rsidR="00D67663" w:rsidP="00FD05EF" w:rsidRDefault="00D67663" w14:paraId="0BD84D85" w14:textId="17F1A9B4">
            <w:pPr>
              <w:pStyle w:val="Standard"/>
              <w:keepNext/>
              <w:spacing w:line="240" w:lineRule="auto"/>
              <w:ind w:firstLine="0"/>
              <w:jc w:val="center"/>
              <w:rPr>
                <w:szCs w:val="20"/>
              </w:rPr>
            </w:pPr>
            <w:r w:rsidRPr="00E27237">
              <w:rPr>
                <w:szCs w:val="20"/>
              </w:rPr>
              <w:t>$1</w:t>
            </w:r>
            <w:r w:rsidR="00666968">
              <w:rPr>
                <w:szCs w:val="20"/>
              </w:rPr>
              <w:t>3</w:t>
            </w:r>
            <w:r w:rsidRPr="00E27237">
              <w:rPr>
                <w:szCs w:val="20"/>
              </w:rPr>
              <w:t>.</w:t>
            </w:r>
            <w:r w:rsidR="00666968">
              <w:rPr>
                <w:szCs w:val="20"/>
              </w:rPr>
              <w:t>422</w:t>
            </w:r>
          </w:p>
        </w:tc>
      </w:tr>
      <w:tr w:rsidRPr="00E27237" w:rsidR="00D67663" w:rsidTr="00E27237" w14:paraId="1D590615" w14:textId="77777777">
        <w:trPr>
          <w:cantSplit/>
        </w:trPr>
        <w:tc>
          <w:tcPr>
            <w:tcW w:w="3325" w:type="dxa"/>
          </w:tcPr>
          <w:p w:rsidRPr="00E27237" w:rsidR="00D67663" w:rsidP="007D1C62" w:rsidRDefault="00D67663" w14:paraId="3E2074DA" w14:textId="77777777">
            <w:pPr>
              <w:pStyle w:val="Standard"/>
              <w:spacing w:line="240" w:lineRule="auto"/>
              <w:ind w:firstLine="0"/>
              <w:rPr>
                <w:szCs w:val="20"/>
              </w:rPr>
            </w:pPr>
            <w:r w:rsidRPr="00E27237">
              <w:rPr>
                <w:szCs w:val="20"/>
              </w:rPr>
              <w:t>New Business</w:t>
            </w:r>
          </w:p>
        </w:tc>
        <w:tc>
          <w:tcPr>
            <w:tcW w:w="3060" w:type="dxa"/>
          </w:tcPr>
          <w:p w:rsidRPr="00E27237" w:rsidR="00D67663" w:rsidP="00FD05EF" w:rsidRDefault="00D67663" w14:paraId="7E2F95D9" w14:textId="60CB55AE">
            <w:pPr>
              <w:pStyle w:val="Standard"/>
              <w:spacing w:line="240" w:lineRule="auto"/>
              <w:ind w:firstLine="0"/>
              <w:jc w:val="center"/>
              <w:rPr>
                <w:szCs w:val="20"/>
              </w:rPr>
            </w:pPr>
            <w:r w:rsidRPr="00E27237">
              <w:rPr>
                <w:szCs w:val="20"/>
              </w:rPr>
              <w:t>$58.</w:t>
            </w:r>
            <w:r w:rsidR="00E26AA9">
              <w:rPr>
                <w:szCs w:val="20"/>
              </w:rPr>
              <w:t>534</w:t>
            </w:r>
          </w:p>
        </w:tc>
        <w:tc>
          <w:tcPr>
            <w:tcW w:w="2965" w:type="dxa"/>
          </w:tcPr>
          <w:p w:rsidRPr="00E27237" w:rsidR="00D67663" w:rsidP="00FD05EF" w:rsidRDefault="00D67663" w14:paraId="0294B10E" w14:textId="45940EAB">
            <w:pPr>
              <w:pStyle w:val="Standard"/>
              <w:spacing w:line="240" w:lineRule="auto"/>
              <w:ind w:firstLine="0"/>
              <w:jc w:val="center"/>
              <w:rPr>
                <w:szCs w:val="20"/>
              </w:rPr>
            </w:pPr>
            <w:r w:rsidRPr="00E27237">
              <w:rPr>
                <w:szCs w:val="20"/>
              </w:rPr>
              <w:t>$27.</w:t>
            </w:r>
            <w:r w:rsidR="00666968">
              <w:rPr>
                <w:szCs w:val="20"/>
              </w:rPr>
              <w:t>306</w:t>
            </w:r>
          </w:p>
        </w:tc>
      </w:tr>
      <w:tr w:rsidRPr="00E27237" w:rsidR="00D67663" w:rsidTr="00E27237" w14:paraId="6C715DC1" w14:textId="77777777">
        <w:trPr>
          <w:cantSplit/>
        </w:trPr>
        <w:tc>
          <w:tcPr>
            <w:tcW w:w="3325" w:type="dxa"/>
          </w:tcPr>
          <w:p w:rsidRPr="00E27237" w:rsidR="00D67663" w:rsidP="007D1C62" w:rsidRDefault="00D67663" w14:paraId="7B4B1C9C" w14:textId="77777777">
            <w:pPr>
              <w:pStyle w:val="Standard"/>
              <w:spacing w:line="240" w:lineRule="auto"/>
              <w:ind w:firstLine="0"/>
              <w:rPr>
                <w:szCs w:val="20"/>
              </w:rPr>
            </w:pPr>
            <w:r w:rsidRPr="00E27237">
              <w:rPr>
                <w:szCs w:val="20"/>
              </w:rPr>
              <w:t>Materials (Transformers)</w:t>
            </w:r>
          </w:p>
        </w:tc>
        <w:tc>
          <w:tcPr>
            <w:tcW w:w="3060" w:type="dxa"/>
          </w:tcPr>
          <w:p w:rsidRPr="00E27237" w:rsidR="00D67663" w:rsidP="00FD05EF" w:rsidRDefault="00D67663" w14:paraId="0B957A5F" w14:textId="4AE3D692">
            <w:pPr>
              <w:pStyle w:val="Standard"/>
              <w:spacing w:line="240" w:lineRule="auto"/>
              <w:ind w:firstLine="0"/>
              <w:jc w:val="center"/>
              <w:rPr>
                <w:szCs w:val="20"/>
              </w:rPr>
            </w:pPr>
            <w:r w:rsidRPr="00E27237">
              <w:rPr>
                <w:szCs w:val="20"/>
              </w:rPr>
              <w:t>$26.0</w:t>
            </w:r>
            <w:r w:rsidR="00E26AA9">
              <w:rPr>
                <w:szCs w:val="20"/>
              </w:rPr>
              <w:t>32</w:t>
            </w:r>
          </w:p>
        </w:tc>
        <w:tc>
          <w:tcPr>
            <w:tcW w:w="2965" w:type="dxa"/>
          </w:tcPr>
          <w:p w:rsidRPr="00E27237" w:rsidR="00D67663" w:rsidP="00FD05EF" w:rsidRDefault="00D67663" w14:paraId="00843EFF" w14:textId="333148A5">
            <w:pPr>
              <w:pStyle w:val="Standard"/>
              <w:spacing w:line="240" w:lineRule="auto"/>
              <w:ind w:firstLine="0"/>
              <w:jc w:val="center"/>
              <w:rPr>
                <w:szCs w:val="20"/>
              </w:rPr>
            </w:pPr>
            <w:r w:rsidRPr="00E27237">
              <w:rPr>
                <w:szCs w:val="20"/>
              </w:rPr>
              <w:t>$</w:t>
            </w:r>
            <w:r w:rsidR="00A71C41">
              <w:rPr>
                <w:szCs w:val="20"/>
              </w:rPr>
              <w:t>10.4</w:t>
            </w:r>
            <w:r w:rsidR="00FB128E">
              <w:rPr>
                <w:szCs w:val="20"/>
              </w:rPr>
              <w:t>6</w:t>
            </w:r>
            <w:r w:rsidR="00A71C41">
              <w:rPr>
                <w:szCs w:val="20"/>
              </w:rPr>
              <w:t>0</w:t>
            </w:r>
          </w:p>
        </w:tc>
      </w:tr>
      <w:tr w:rsidRPr="00E27237" w:rsidR="00D67663" w:rsidTr="00E27237" w14:paraId="03E08107" w14:textId="77777777">
        <w:trPr>
          <w:cantSplit/>
        </w:trPr>
        <w:tc>
          <w:tcPr>
            <w:tcW w:w="3325" w:type="dxa"/>
          </w:tcPr>
          <w:p w:rsidR="00BF1DFB" w:rsidP="007D1C62" w:rsidRDefault="00BF1DFB" w14:paraId="4AF61830" w14:textId="77777777">
            <w:pPr>
              <w:pStyle w:val="Standard"/>
              <w:spacing w:line="240" w:lineRule="auto"/>
              <w:ind w:firstLine="0"/>
              <w:rPr>
                <w:szCs w:val="20"/>
              </w:rPr>
            </w:pPr>
            <w:r>
              <w:rPr>
                <w:szCs w:val="20"/>
              </w:rPr>
              <w:t>Information Technology</w:t>
            </w:r>
          </w:p>
          <w:p w:rsidRPr="00E27237" w:rsidR="00D67663" w:rsidP="007D1C62" w:rsidRDefault="00D67663" w14:paraId="542699E4" w14:textId="5E0AC97E">
            <w:pPr>
              <w:pStyle w:val="Standard"/>
              <w:spacing w:line="240" w:lineRule="auto"/>
              <w:ind w:firstLine="0"/>
              <w:rPr>
                <w:szCs w:val="20"/>
              </w:rPr>
            </w:pPr>
            <w:r w:rsidRPr="00E27237">
              <w:rPr>
                <w:szCs w:val="20"/>
              </w:rPr>
              <w:t>System Enhancements</w:t>
            </w:r>
          </w:p>
        </w:tc>
        <w:tc>
          <w:tcPr>
            <w:tcW w:w="3060" w:type="dxa"/>
          </w:tcPr>
          <w:p w:rsidRPr="00E27237" w:rsidR="00D67663" w:rsidP="00FD05EF" w:rsidRDefault="00D67663" w14:paraId="67EAB10B" w14:textId="4A05FE68">
            <w:pPr>
              <w:pStyle w:val="Standard"/>
              <w:spacing w:line="240" w:lineRule="auto"/>
              <w:ind w:firstLine="0"/>
              <w:jc w:val="center"/>
              <w:rPr>
                <w:szCs w:val="20"/>
              </w:rPr>
            </w:pPr>
            <w:r w:rsidRPr="00E27237">
              <w:rPr>
                <w:szCs w:val="20"/>
              </w:rPr>
              <w:t>$52.</w:t>
            </w:r>
            <w:r w:rsidR="005D013A">
              <w:rPr>
                <w:szCs w:val="20"/>
              </w:rPr>
              <w:t>682</w:t>
            </w:r>
          </w:p>
        </w:tc>
        <w:tc>
          <w:tcPr>
            <w:tcW w:w="2965" w:type="dxa"/>
          </w:tcPr>
          <w:p w:rsidRPr="00E27237" w:rsidR="00D67663" w:rsidP="00FD05EF" w:rsidRDefault="00D67663" w14:paraId="3196DE72" w14:textId="20D4D438">
            <w:pPr>
              <w:pStyle w:val="Standard"/>
              <w:spacing w:line="240" w:lineRule="auto"/>
              <w:ind w:firstLine="0"/>
              <w:jc w:val="center"/>
              <w:rPr>
                <w:szCs w:val="20"/>
              </w:rPr>
            </w:pPr>
            <w:r w:rsidRPr="00E27237">
              <w:rPr>
                <w:szCs w:val="20"/>
              </w:rPr>
              <w:t>$0</w:t>
            </w:r>
          </w:p>
        </w:tc>
      </w:tr>
      <w:tr w:rsidRPr="00E27237" w:rsidR="00D67663" w:rsidTr="00E27237" w14:paraId="09B82A24" w14:textId="77777777">
        <w:trPr>
          <w:cantSplit/>
        </w:trPr>
        <w:tc>
          <w:tcPr>
            <w:tcW w:w="3325" w:type="dxa"/>
          </w:tcPr>
          <w:p w:rsidRPr="00E27237" w:rsidR="00D67663" w:rsidP="00FD05EF" w:rsidRDefault="00D67663" w14:paraId="56C29334" w14:textId="77777777">
            <w:pPr>
              <w:pStyle w:val="Standard"/>
              <w:keepNext/>
              <w:spacing w:line="240" w:lineRule="auto"/>
              <w:ind w:firstLine="0"/>
              <w:rPr>
                <w:szCs w:val="20"/>
              </w:rPr>
            </w:pPr>
            <w:r w:rsidRPr="00E27237">
              <w:rPr>
                <w:szCs w:val="20"/>
              </w:rPr>
              <w:t>Contingency</w:t>
            </w:r>
          </w:p>
        </w:tc>
        <w:tc>
          <w:tcPr>
            <w:tcW w:w="3060" w:type="dxa"/>
          </w:tcPr>
          <w:p w:rsidRPr="00E27237" w:rsidR="00D67663" w:rsidP="00FD05EF" w:rsidRDefault="00D67663" w14:paraId="01960B6F" w14:textId="46C61A6A">
            <w:pPr>
              <w:pStyle w:val="Standard"/>
              <w:keepNext/>
              <w:spacing w:line="240" w:lineRule="auto"/>
              <w:ind w:firstLine="0"/>
              <w:jc w:val="center"/>
              <w:rPr>
                <w:szCs w:val="20"/>
              </w:rPr>
            </w:pPr>
            <w:r w:rsidRPr="00E27237">
              <w:rPr>
                <w:szCs w:val="20"/>
              </w:rPr>
              <w:t>$71.</w:t>
            </w:r>
            <w:r w:rsidR="005D013A">
              <w:rPr>
                <w:szCs w:val="20"/>
              </w:rPr>
              <w:t>571</w:t>
            </w:r>
          </w:p>
        </w:tc>
        <w:tc>
          <w:tcPr>
            <w:tcW w:w="2965" w:type="dxa"/>
          </w:tcPr>
          <w:p w:rsidRPr="00E27237" w:rsidR="00D67663" w:rsidP="00FD05EF" w:rsidRDefault="00D67663" w14:paraId="7441571F" w14:textId="52F45604">
            <w:pPr>
              <w:pStyle w:val="Standard"/>
              <w:keepNext/>
              <w:spacing w:line="240" w:lineRule="auto"/>
              <w:ind w:firstLine="0"/>
              <w:jc w:val="center"/>
              <w:rPr>
                <w:szCs w:val="20"/>
              </w:rPr>
            </w:pPr>
            <w:r w:rsidRPr="00E27237">
              <w:rPr>
                <w:szCs w:val="20"/>
              </w:rPr>
              <w:t>$0</w:t>
            </w:r>
          </w:p>
        </w:tc>
      </w:tr>
      <w:tr w:rsidRPr="00E27237" w:rsidR="00D67663" w:rsidTr="00AF222F" w14:paraId="6C106C0F" w14:textId="77777777">
        <w:trPr>
          <w:cantSplit/>
        </w:trPr>
        <w:tc>
          <w:tcPr>
            <w:tcW w:w="3325" w:type="dxa"/>
            <w:shd w:val="clear" w:color="auto" w:fill="000000" w:themeFill="text1"/>
          </w:tcPr>
          <w:p w:rsidRPr="00AF222F" w:rsidR="00D67663" w:rsidP="00FD05EF" w:rsidRDefault="00D67663" w14:paraId="7935590D" w14:textId="77777777">
            <w:pPr>
              <w:pStyle w:val="Standard"/>
              <w:keepNext/>
              <w:spacing w:line="240" w:lineRule="auto"/>
              <w:ind w:firstLine="0"/>
              <w:rPr>
                <w:b/>
                <w:bCs/>
                <w:color w:val="FFFFFF" w:themeColor="background1"/>
                <w:szCs w:val="20"/>
              </w:rPr>
            </w:pPr>
            <w:r w:rsidRPr="00AF222F">
              <w:rPr>
                <w:b/>
                <w:bCs/>
                <w:color w:val="FFFFFF" w:themeColor="background1"/>
                <w:szCs w:val="20"/>
              </w:rPr>
              <w:t>Total</w:t>
            </w:r>
          </w:p>
        </w:tc>
        <w:tc>
          <w:tcPr>
            <w:tcW w:w="3060" w:type="dxa"/>
            <w:shd w:val="clear" w:color="auto" w:fill="000000" w:themeFill="text1"/>
          </w:tcPr>
          <w:p w:rsidRPr="00AF222F" w:rsidR="00D67663" w:rsidP="00FD05EF" w:rsidRDefault="00D67663" w14:paraId="0EA64DD9" w14:textId="6E188D0A">
            <w:pPr>
              <w:pStyle w:val="Standard"/>
              <w:keepNext/>
              <w:spacing w:line="240" w:lineRule="auto"/>
              <w:ind w:firstLine="0"/>
              <w:jc w:val="center"/>
              <w:rPr>
                <w:b/>
                <w:bCs/>
                <w:color w:val="FFFFFF" w:themeColor="background1"/>
                <w:szCs w:val="20"/>
              </w:rPr>
            </w:pPr>
            <w:r w:rsidRPr="00AF222F">
              <w:rPr>
                <w:b/>
                <w:bCs/>
                <w:color w:val="FFFFFF" w:themeColor="background1"/>
                <w:szCs w:val="20"/>
              </w:rPr>
              <w:t>$310.</w:t>
            </w:r>
            <w:r w:rsidRPr="00AF222F" w:rsidR="00E26AA9">
              <w:rPr>
                <w:b/>
                <w:bCs/>
                <w:color w:val="FFFFFF" w:themeColor="background1"/>
                <w:szCs w:val="20"/>
              </w:rPr>
              <w:t>127</w:t>
            </w:r>
          </w:p>
        </w:tc>
        <w:tc>
          <w:tcPr>
            <w:tcW w:w="2965" w:type="dxa"/>
            <w:shd w:val="clear" w:color="auto" w:fill="000000" w:themeFill="text1"/>
          </w:tcPr>
          <w:p w:rsidRPr="00AF222F" w:rsidR="00D67663" w:rsidP="00FD05EF" w:rsidRDefault="00D67663" w14:paraId="1D0536B4" w14:textId="54801BBA">
            <w:pPr>
              <w:pStyle w:val="Standard"/>
              <w:keepNext/>
              <w:spacing w:line="240" w:lineRule="auto"/>
              <w:ind w:firstLine="0"/>
              <w:jc w:val="center"/>
              <w:rPr>
                <w:b/>
                <w:bCs/>
                <w:color w:val="FFFFFF" w:themeColor="background1"/>
                <w:szCs w:val="20"/>
              </w:rPr>
            </w:pPr>
            <w:r w:rsidRPr="00AF222F">
              <w:rPr>
                <w:b/>
                <w:bCs/>
                <w:color w:val="FFFFFF" w:themeColor="background1"/>
                <w:szCs w:val="20"/>
              </w:rPr>
              <w:t>$</w:t>
            </w:r>
            <w:r w:rsidR="00A71C41">
              <w:rPr>
                <w:b/>
                <w:bCs/>
                <w:color w:val="FFFFFF" w:themeColor="background1"/>
                <w:szCs w:val="20"/>
              </w:rPr>
              <w:t>51.1</w:t>
            </w:r>
            <w:r w:rsidR="00FB128E">
              <w:rPr>
                <w:b/>
                <w:bCs/>
                <w:color w:val="FFFFFF" w:themeColor="background1"/>
                <w:szCs w:val="20"/>
              </w:rPr>
              <w:t>8</w:t>
            </w:r>
            <w:r w:rsidR="00A71C41">
              <w:rPr>
                <w:b/>
                <w:bCs/>
                <w:color w:val="FFFFFF" w:themeColor="background1"/>
                <w:szCs w:val="20"/>
              </w:rPr>
              <w:t>8</w:t>
            </w:r>
          </w:p>
        </w:tc>
      </w:tr>
    </w:tbl>
    <w:p w:rsidR="00CE39B1" w:rsidP="00147172" w:rsidRDefault="00CE39B1" w14:paraId="712F5F61" w14:textId="77777777">
      <w:pPr>
        <w:pStyle w:val="HeadingTableSub"/>
      </w:pPr>
      <w:bookmarkStart w:name="_Toc8123715" w:id="4"/>
    </w:p>
    <w:p w:rsidRPr="004A06C9" w:rsidR="005A148C" w:rsidP="00CB0148" w:rsidRDefault="002C7FE9" w14:paraId="1E51FCC1" w14:textId="0131DE72">
      <w:pPr>
        <w:pStyle w:val="Heading1"/>
      </w:pPr>
      <w:bookmarkStart w:name="_Toc212538521" w:id="5"/>
      <w:r w:rsidRPr="00121089">
        <w:t>Background</w:t>
      </w:r>
      <w:bookmarkEnd w:id="4"/>
      <w:bookmarkEnd w:id="5"/>
    </w:p>
    <w:p w:rsidR="0023452B" w:rsidP="006E6574" w:rsidRDefault="0023452B" w14:paraId="49D1FFED" w14:textId="0D2D696E">
      <w:pPr>
        <w:pStyle w:val="Standard"/>
      </w:pPr>
      <w:r w:rsidRPr="0023452B">
        <w:t xml:space="preserve">On </w:t>
      </w:r>
      <w:r w:rsidR="007F1773">
        <w:t>September </w:t>
      </w:r>
      <w:r w:rsidRPr="0023452B">
        <w:t>14, 2023, the Powering Up Californians Act (Senate Bill (SB)</w:t>
      </w:r>
      <w:r w:rsidR="00994BC1">
        <w:t> </w:t>
      </w:r>
      <w:r w:rsidRPr="0023452B">
        <w:t xml:space="preserve">410 (Becker), </w:t>
      </w:r>
      <w:r w:rsidR="006326BB">
        <w:t>Stats. </w:t>
      </w:r>
      <w:r w:rsidRPr="0023452B">
        <w:t xml:space="preserve">2023, </w:t>
      </w:r>
      <w:r w:rsidR="006326BB">
        <w:t>Ch. </w:t>
      </w:r>
      <w:r w:rsidRPr="0023452B">
        <w:t xml:space="preserve">394) was passed by the Legislature and was subsequently approved by Governor Gavin Newsom on </w:t>
      </w:r>
      <w:r w:rsidR="007F1773">
        <w:t>October </w:t>
      </w:r>
      <w:r w:rsidRPr="0023452B">
        <w:t>7, 2023.</w:t>
      </w:r>
      <w:r w:rsidR="009A24D8">
        <w:t xml:space="preserve"> </w:t>
      </w:r>
      <w:r w:rsidR="00664FD8">
        <w:t>On September 12, 2024, the Commission issued Decision (D.)</w:t>
      </w:r>
      <w:r w:rsidR="00140242">
        <w:t xml:space="preserve"> 24-09-020 that, among other things, set target </w:t>
      </w:r>
      <w:r w:rsidR="00464922">
        <w:t xml:space="preserve">energization </w:t>
      </w:r>
      <w:r w:rsidR="00140242">
        <w:t>time</w:t>
      </w:r>
      <w:r w:rsidR="00FA4F79">
        <w:t xml:space="preserve">lines for </w:t>
      </w:r>
      <w:r w:rsidR="001E0452">
        <w:t>Pacific Gas and Electric Company (PG&amp;E), San Diego Gas &amp; Electric Company (SDG&amp;E), and Southern California Edison Company (SCE).</w:t>
      </w:r>
    </w:p>
    <w:p w:rsidR="007F1773" w:rsidP="006E6574" w:rsidRDefault="0023452B" w14:paraId="238006B8" w14:textId="4F0DDEAC">
      <w:pPr>
        <w:pStyle w:val="Standard"/>
      </w:pPr>
      <w:r w:rsidRPr="0023452B">
        <w:t xml:space="preserve">On </w:t>
      </w:r>
      <w:r w:rsidR="007F1773">
        <w:t>April </w:t>
      </w:r>
      <w:r w:rsidRPr="0023452B">
        <w:t>25, 2025, SDG&amp;E</w:t>
      </w:r>
      <w:r w:rsidR="001E0452">
        <w:t xml:space="preserve"> </w:t>
      </w:r>
      <w:r w:rsidRPr="0023452B">
        <w:t xml:space="preserve">filed and served its Application of </w:t>
      </w:r>
      <w:r w:rsidR="00C23EB9">
        <w:t>San </w:t>
      </w:r>
      <w:r w:rsidRPr="0023452B">
        <w:t>Diego Gas</w:t>
      </w:r>
      <w:r w:rsidR="00C23EB9">
        <w:t xml:space="preserve"> &amp; </w:t>
      </w:r>
      <w:r w:rsidRPr="0023452B">
        <w:t>Electric Company (</w:t>
      </w:r>
      <w:r w:rsidR="006326BB">
        <w:t>U 902</w:t>
      </w:r>
      <w:r w:rsidR="00503215">
        <w:noBreakHyphen/>
      </w:r>
      <w:r w:rsidR="006326BB">
        <w:t>E</w:t>
      </w:r>
      <w:r w:rsidRPr="0023452B">
        <w:t xml:space="preserve">) for Authority to Establish a Ratemaking Mechanism for Energization Projects Pursuant to Senate </w:t>
      </w:r>
      <w:r w:rsidR="006326BB">
        <w:t>Bill </w:t>
      </w:r>
      <w:r w:rsidRPr="0023452B">
        <w:t>410 (Application). In its Application, SDG&amp;E seeks authorization to establish a new memorandum account to record and recover approximately $310.</w:t>
      </w:r>
      <w:r w:rsidRPr="0023452B" w:rsidR="00F01DC6">
        <w:t>12</w:t>
      </w:r>
      <w:r w:rsidR="00F01DC6">
        <w:t>7</w:t>
      </w:r>
      <w:r w:rsidR="00F01DC6">
        <w:t> </w:t>
      </w:r>
      <w:r w:rsidR="009C11C6">
        <w:t>million</w:t>
      </w:r>
      <w:r w:rsidRPr="0023452B">
        <w:t xml:space="preserve"> in capital costs to support the energization of new load. SDG&amp;E further requests </w:t>
      </w:r>
      <w:r>
        <w:t xml:space="preserve">for </w:t>
      </w:r>
      <w:r w:rsidRPr="0023452B">
        <w:t xml:space="preserve">the </w:t>
      </w:r>
      <w:r w:rsidR="00481EC9">
        <w:t xml:space="preserve">California Public Utilities </w:t>
      </w:r>
      <w:r w:rsidRPr="0023452B">
        <w:t xml:space="preserve">Commission </w:t>
      </w:r>
      <w:r w:rsidR="00481EC9">
        <w:t xml:space="preserve">(Commission) </w:t>
      </w:r>
      <w:r>
        <w:t xml:space="preserve">to </w:t>
      </w:r>
      <w:r w:rsidRPr="0023452B">
        <w:t>adopt an expedited schedule to review the Application</w:t>
      </w:r>
      <w:r w:rsidR="00C1602F">
        <w:t xml:space="preserve"> </w:t>
      </w:r>
      <w:r w:rsidR="00391D3C">
        <w:t xml:space="preserve">as required by </w:t>
      </w:r>
      <w:r w:rsidR="00147172">
        <w:t>Public Utilities (Pub. Util.)</w:t>
      </w:r>
      <w:r w:rsidR="00391D3C">
        <w:t xml:space="preserve"> Code </w:t>
      </w:r>
      <w:r w:rsidR="004655D9">
        <w:t>Section </w:t>
      </w:r>
      <w:r w:rsidR="00391D3C">
        <w:t>937(b)</w:t>
      </w:r>
      <w:r w:rsidRPr="0023452B">
        <w:t xml:space="preserve">. On </w:t>
      </w:r>
      <w:r w:rsidR="007F1773">
        <w:t>May </w:t>
      </w:r>
      <w:r w:rsidRPr="0023452B">
        <w:t>22, 2025, the assigned Administrative Law Judge</w:t>
      </w:r>
      <w:r>
        <w:t xml:space="preserve"> (ALJ) </w:t>
      </w:r>
      <w:r w:rsidRPr="0023452B">
        <w:lastRenderedPageBreak/>
        <w:t xml:space="preserve">issued an email ruling scheduling a </w:t>
      </w:r>
      <w:r w:rsidRPr="0023452B" w:rsidR="00D50402">
        <w:t xml:space="preserve">prehearing conference </w:t>
      </w:r>
      <w:r w:rsidRPr="0023452B">
        <w:t xml:space="preserve">(PHC) for </w:t>
      </w:r>
      <w:r w:rsidR="007F1773">
        <w:t>June </w:t>
      </w:r>
      <w:r w:rsidRPr="0023452B">
        <w:t xml:space="preserve">2, 2025. On </w:t>
      </w:r>
      <w:r w:rsidR="007F1773">
        <w:t>May </w:t>
      </w:r>
      <w:r w:rsidRPr="0023452B">
        <w:t>29, 2025, the Public Advocates Office at the California Public Utilities Commission</w:t>
      </w:r>
      <w:r>
        <w:t xml:space="preserve"> (</w:t>
      </w:r>
      <w:r w:rsidR="00366301">
        <w:t>Cal Advoc</w:t>
      </w:r>
      <w:r>
        <w:t>ates)</w:t>
      </w:r>
      <w:r w:rsidRPr="0023452B">
        <w:t>, Utility Consumers</w:t>
      </w:r>
      <w:r w:rsidR="00836A9E">
        <w:t>’</w:t>
      </w:r>
      <w:r w:rsidRPr="0023452B">
        <w:t xml:space="preserve"> Action Network</w:t>
      </w:r>
      <w:r>
        <w:t xml:space="preserve"> (UCAN)</w:t>
      </w:r>
      <w:r w:rsidRPr="0023452B">
        <w:t xml:space="preserve">, and </w:t>
      </w:r>
      <w:r>
        <w:t>T</w:t>
      </w:r>
      <w:r w:rsidRPr="0023452B">
        <w:t xml:space="preserve">he Utility Reform Network </w:t>
      </w:r>
      <w:r>
        <w:t xml:space="preserve">(TURN) </w:t>
      </w:r>
      <w:r w:rsidRPr="0023452B">
        <w:t>filed</w:t>
      </w:r>
      <w:r>
        <w:t xml:space="preserve"> </w:t>
      </w:r>
      <w:r w:rsidRPr="0023452B">
        <w:t xml:space="preserve">and served protests to the Application; on the same date, the Coalition of California Utility Employees </w:t>
      </w:r>
      <w:r>
        <w:t xml:space="preserve">(CUE) </w:t>
      </w:r>
      <w:r w:rsidRPr="0023452B">
        <w:t xml:space="preserve">filed a response broadly in support of the Application. On </w:t>
      </w:r>
      <w:r w:rsidR="007F1773">
        <w:t>June </w:t>
      </w:r>
      <w:r w:rsidRPr="0023452B">
        <w:t xml:space="preserve">2, 2025, </w:t>
      </w:r>
      <w:r w:rsidR="00047F0C">
        <w:t xml:space="preserve">the PHC </w:t>
      </w:r>
      <w:r w:rsidRPr="0023452B">
        <w:t>was held to address the issues of law and fact, determine the need for hearing, set the schedule for resolving the matter, and address other matters as necessary.</w:t>
      </w:r>
      <w:r>
        <w:t xml:space="preserve"> </w:t>
      </w:r>
      <w:r w:rsidR="00047F0C">
        <w:t>At the PHC, Small Business Utility Advocates (</w:t>
      </w:r>
      <w:proofErr w:type="spellStart"/>
      <w:r w:rsidR="00047F0C">
        <w:t>SBUA</w:t>
      </w:r>
      <w:proofErr w:type="spellEnd"/>
      <w:r w:rsidR="00047F0C">
        <w:t xml:space="preserve">) sought and were granted party status. </w:t>
      </w:r>
      <w:r>
        <w:t xml:space="preserve">On </w:t>
      </w:r>
      <w:r w:rsidR="007F1773">
        <w:t>June </w:t>
      </w:r>
      <w:r>
        <w:t xml:space="preserve">19, 2025, the assigned ALJ issued an Email Ruling Ordering SDG&amp;E to Provide Additional Information (ALJ Ruling). On </w:t>
      </w:r>
      <w:r w:rsidR="007F1773">
        <w:t>June </w:t>
      </w:r>
      <w:r>
        <w:t>25, 2025, the assigned Commissioner issued a Scoping Memo and Ruling (Scoping Memo)</w:t>
      </w:r>
      <w:r w:rsidR="000D5F51">
        <w:t xml:space="preserve"> outlining the pro</w:t>
      </w:r>
      <w:r w:rsidR="3DABD35F">
        <w:t>c</w:t>
      </w:r>
      <w:r w:rsidR="000D5F51">
        <w:t>eeding</w:t>
      </w:r>
      <w:r w:rsidR="00836A9E">
        <w:t>’</w:t>
      </w:r>
      <w:r w:rsidR="000D5F51">
        <w:t>s scope and schedule</w:t>
      </w:r>
      <w:r>
        <w:t>.</w:t>
      </w:r>
    </w:p>
    <w:p w:rsidR="0023452B" w:rsidP="006E6574" w:rsidRDefault="000D5F51" w14:paraId="7B6742A7" w14:textId="45E848EB">
      <w:pPr>
        <w:pStyle w:val="Standard"/>
      </w:pPr>
      <w:r>
        <w:t xml:space="preserve">On </w:t>
      </w:r>
      <w:r w:rsidR="007F1773">
        <w:t>June </w:t>
      </w:r>
      <w:r>
        <w:t>30,</w:t>
      </w:r>
      <w:r w:rsidR="007F1773">
        <w:t xml:space="preserve"> 2025,</w:t>
      </w:r>
      <w:r>
        <w:t xml:space="preserve"> </w:t>
      </w:r>
      <w:r w:rsidR="00366301">
        <w:t>Cal Advoc</w:t>
      </w:r>
      <w:r w:rsidR="00C86C2D">
        <w:t xml:space="preserve">ates, </w:t>
      </w:r>
      <w:proofErr w:type="spellStart"/>
      <w:r w:rsidR="00C86C2D">
        <w:t>SBUA</w:t>
      </w:r>
      <w:proofErr w:type="spellEnd"/>
      <w:r w:rsidR="00C86C2D">
        <w:t xml:space="preserve">, TURN, and UCAN </w:t>
      </w:r>
      <w:r w:rsidR="00E4246E">
        <w:t xml:space="preserve">served </w:t>
      </w:r>
      <w:r w:rsidR="00C86C2D">
        <w:t xml:space="preserve">Intervenor </w:t>
      </w:r>
      <w:r w:rsidR="00E4246E">
        <w:t xml:space="preserve">Testimony. </w:t>
      </w:r>
      <w:r w:rsidR="0023452B">
        <w:t xml:space="preserve">On </w:t>
      </w:r>
      <w:r w:rsidR="007F1773">
        <w:t>July </w:t>
      </w:r>
      <w:r w:rsidR="0023452B">
        <w:t>7, 2025, Southern California Edison Company (SCE) filed and served a Motion for Party Status</w:t>
      </w:r>
      <w:r w:rsidR="00EA15D9">
        <w:t>.</w:t>
      </w:r>
      <w:r w:rsidRPr="00244BE1" w:rsidR="00244BE1">
        <w:t xml:space="preserve"> </w:t>
      </w:r>
      <w:r w:rsidR="00244BE1">
        <w:t xml:space="preserve">On </w:t>
      </w:r>
      <w:r w:rsidR="007F1773">
        <w:t>July </w:t>
      </w:r>
      <w:r w:rsidR="00244BE1">
        <w:t>11,</w:t>
      </w:r>
      <w:r w:rsidR="00507BC6">
        <w:t xml:space="preserve"> 2025,</w:t>
      </w:r>
      <w:r w:rsidR="00244BE1">
        <w:t xml:space="preserve"> SDG&amp;E filed its response to the ALJ Ruling; </w:t>
      </w:r>
      <w:r w:rsidR="00B56839">
        <w:t xml:space="preserve">per </w:t>
      </w:r>
      <w:r w:rsidR="00244BE1">
        <w:t xml:space="preserve">direction </w:t>
      </w:r>
      <w:r w:rsidR="00B56839">
        <w:t>from the Commission</w:t>
      </w:r>
      <w:r w:rsidR="00836A9E">
        <w:t>’</w:t>
      </w:r>
      <w:r w:rsidR="00B56839">
        <w:t xml:space="preserve">s </w:t>
      </w:r>
      <w:r w:rsidR="00244BE1">
        <w:t>Energy Division</w:t>
      </w:r>
      <w:r w:rsidR="00B56839">
        <w:t>, SDG&amp;E</w:t>
      </w:r>
      <w:r w:rsidR="00836A9E">
        <w:t>’</w:t>
      </w:r>
      <w:r w:rsidR="00B56839">
        <w:t xml:space="preserve">s response also included a recommendation that the Commission authorize SDG&amp;E to select KPMG </w:t>
      </w:r>
      <w:r w:rsidR="007D2593">
        <w:t>to perform the auditing duties required by</w:t>
      </w:r>
      <w:r w:rsidR="00635FC8">
        <w:t xml:space="preserve"> </w:t>
      </w:r>
      <w:r w:rsidR="00147172">
        <w:t>Pub. Util.</w:t>
      </w:r>
      <w:r w:rsidR="00635FC8">
        <w:t xml:space="preserve"> Code </w:t>
      </w:r>
      <w:r w:rsidR="004655D9">
        <w:t>Section </w:t>
      </w:r>
      <w:r w:rsidR="00036BEC">
        <w:t>938(b).</w:t>
      </w:r>
      <w:r w:rsidR="007D2593">
        <w:t xml:space="preserve"> </w:t>
      </w:r>
      <w:r w:rsidR="00D122B1">
        <w:t>(</w:t>
      </w:r>
      <w:r w:rsidR="007D2593">
        <w:t>SB</w:t>
      </w:r>
      <w:r w:rsidR="00D122B1">
        <w:t> </w:t>
      </w:r>
      <w:r w:rsidR="007D2593">
        <w:t>410.</w:t>
      </w:r>
      <w:r w:rsidR="00D122B1">
        <w:t>)</w:t>
      </w:r>
      <w:r w:rsidR="00EA15D9">
        <w:t xml:space="preserve"> On </w:t>
      </w:r>
      <w:r w:rsidR="007F1773">
        <w:t>July </w:t>
      </w:r>
      <w:r w:rsidR="00EA15D9">
        <w:t>14, 2025</w:t>
      </w:r>
      <w:r w:rsidR="00E4246E">
        <w:t>, SDG&amp;E served its Rebuttal Testimony; on the same day,</w:t>
      </w:r>
      <w:r w:rsidR="00EA15D9">
        <w:t xml:space="preserve"> </w:t>
      </w:r>
      <w:r w:rsidR="00366301">
        <w:t>Cal Advoc</w:t>
      </w:r>
      <w:r w:rsidR="00047F0C">
        <w:t xml:space="preserve">ates </w:t>
      </w:r>
      <w:r w:rsidR="00EA15D9">
        <w:t>filed a response opposing SCE</w:t>
      </w:r>
      <w:r w:rsidR="00836A9E">
        <w:t>’</w:t>
      </w:r>
      <w:r w:rsidR="00EA15D9">
        <w:t>s motion for party status</w:t>
      </w:r>
      <w:r w:rsidR="00244BE1">
        <w:t>.</w:t>
      </w:r>
      <w:r w:rsidR="00047F0C">
        <w:t xml:space="preserve"> On </w:t>
      </w:r>
      <w:r w:rsidR="007F1773">
        <w:t>July </w:t>
      </w:r>
      <w:r w:rsidR="00047F0C">
        <w:t>17, 2025, the assigned ALJ granted party status to SCE.</w:t>
      </w:r>
      <w:r w:rsidR="00F47FC4">
        <w:t xml:space="preserve"> On </w:t>
      </w:r>
      <w:r w:rsidR="007F1773">
        <w:t>July </w:t>
      </w:r>
      <w:r w:rsidR="00F47FC4">
        <w:t>18,</w:t>
      </w:r>
      <w:r w:rsidR="007F1773">
        <w:t xml:space="preserve"> 2025,</w:t>
      </w:r>
      <w:r w:rsidR="00F47FC4">
        <w:t xml:space="preserve"> all parties but SCE filed and served a Joint Case Management Statement </w:t>
      </w:r>
      <w:r w:rsidR="008A5F6C">
        <w:t xml:space="preserve">in which </w:t>
      </w:r>
      <w:r w:rsidR="00FB7075">
        <w:t xml:space="preserve">the parties agreed </w:t>
      </w:r>
      <w:r w:rsidR="00A43696">
        <w:t>there was no need for an Evidentiary Hearing.</w:t>
      </w:r>
      <w:r w:rsidR="006E1661">
        <w:t xml:space="preserve"> On </w:t>
      </w:r>
      <w:r w:rsidR="007F1773">
        <w:t>August </w:t>
      </w:r>
      <w:r w:rsidR="006E1661">
        <w:t xml:space="preserve">1, </w:t>
      </w:r>
      <w:r w:rsidR="00DF1F32">
        <w:t xml:space="preserve">2025, all parties but SCE filed a joint motion to enter testimony and exhibits into the </w:t>
      </w:r>
      <w:r w:rsidR="00341C75">
        <w:t xml:space="preserve">evidentiary </w:t>
      </w:r>
      <w:r w:rsidR="00DF1F32">
        <w:t xml:space="preserve">record; on the </w:t>
      </w:r>
      <w:r w:rsidR="00DF1F32">
        <w:lastRenderedPageBreak/>
        <w:t xml:space="preserve">same day, </w:t>
      </w:r>
      <w:r w:rsidR="00366301">
        <w:t>Cal Advoc</w:t>
      </w:r>
      <w:r w:rsidR="00DF1F32">
        <w:t xml:space="preserve">ates </w:t>
      </w:r>
      <w:r w:rsidR="00341C75">
        <w:t xml:space="preserve">filed a motion to seal </w:t>
      </w:r>
      <w:r w:rsidRPr="000D4FC0" w:rsidR="00341C75">
        <w:t>portions of the record.</w:t>
      </w:r>
      <w:r w:rsidRPr="000D4FC0" w:rsidR="00C154FA">
        <w:t xml:space="preserve"> </w:t>
      </w:r>
      <w:r w:rsidRPr="000D4FC0" w:rsidR="00341A27">
        <w:t xml:space="preserve">On </w:t>
      </w:r>
      <w:r w:rsidR="007F1773">
        <w:t>August </w:t>
      </w:r>
      <w:r w:rsidRPr="000D4FC0" w:rsidR="00341A27">
        <w:t>8,</w:t>
      </w:r>
      <w:r w:rsidR="00341A27">
        <w:t xml:space="preserve"> 2025, </w:t>
      </w:r>
      <w:r w:rsidR="00366301">
        <w:t>Cal Advoc</w:t>
      </w:r>
      <w:r w:rsidR="000D4FC0">
        <w:t xml:space="preserve">ates, </w:t>
      </w:r>
      <w:r w:rsidR="00EE5E44">
        <w:t xml:space="preserve">CUE, </w:t>
      </w:r>
      <w:proofErr w:type="spellStart"/>
      <w:r w:rsidR="000D4FC0">
        <w:t>SBUA</w:t>
      </w:r>
      <w:proofErr w:type="spellEnd"/>
      <w:r w:rsidR="000D4FC0">
        <w:t xml:space="preserve">, </w:t>
      </w:r>
      <w:r w:rsidR="00EE5E44">
        <w:t>SCE</w:t>
      </w:r>
      <w:r w:rsidR="000D4FC0">
        <w:t>, SDG&amp;E</w:t>
      </w:r>
      <w:r w:rsidR="00EE5E44">
        <w:t>,</w:t>
      </w:r>
      <w:r w:rsidR="000D4FC0">
        <w:t xml:space="preserve"> TURN, and UCAN </w:t>
      </w:r>
      <w:r w:rsidR="00341A27">
        <w:t xml:space="preserve">filed Opening Briefs. </w:t>
      </w:r>
      <w:r w:rsidRPr="00FF7FDE" w:rsidR="0097711F">
        <w:t xml:space="preserve">On August 15, 2025, </w:t>
      </w:r>
      <w:proofErr w:type="spellStart"/>
      <w:r w:rsidRPr="00FF7FDE" w:rsidR="0097711F">
        <w:t>SBUA</w:t>
      </w:r>
      <w:proofErr w:type="spellEnd"/>
      <w:r w:rsidRPr="00FF7FDE" w:rsidR="0097711F">
        <w:t xml:space="preserve"> filed a motion to late file its Opening Brief, as its August 8, 2025, was filing was submitted two minutes after the 5:00 p.m. deadline. On August 19, 2025, the assigned ALJ issued a ruling granting </w:t>
      </w:r>
      <w:proofErr w:type="spellStart"/>
      <w:r w:rsidRPr="00FF7FDE" w:rsidR="0097711F">
        <w:t>SBUA</w:t>
      </w:r>
      <w:proofErr w:type="spellEnd"/>
      <w:r w:rsidRPr="00FF7FDE" w:rsidR="0097711F">
        <w:t xml:space="preserve"> permission to late file its Opening Briefs. </w:t>
      </w:r>
      <w:r w:rsidRPr="006D2009" w:rsidR="00341A27">
        <w:t xml:space="preserve">On </w:t>
      </w:r>
      <w:r w:rsidRPr="006D2009" w:rsidR="007F1773">
        <w:t>August </w:t>
      </w:r>
      <w:r w:rsidRPr="006D2009" w:rsidR="00341A27">
        <w:t xml:space="preserve">22, 2025, </w:t>
      </w:r>
      <w:r w:rsidRPr="006D2009" w:rsidR="00FA3EDF">
        <w:t>CU</w:t>
      </w:r>
      <w:r w:rsidR="00FA3EDF">
        <w:t xml:space="preserve">E, SDG&amp;E, </w:t>
      </w:r>
      <w:proofErr w:type="spellStart"/>
      <w:r w:rsidR="00FA3EDF">
        <w:t>SBUA</w:t>
      </w:r>
      <w:proofErr w:type="spellEnd"/>
      <w:r w:rsidR="00FA3EDF">
        <w:t xml:space="preserve">, SCE, TURN, and UCAN </w:t>
      </w:r>
      <w:r w:rsidR="00341A27">
        <w:t xml:space="preserve">filed </w:t>
      </w:r>
      <w:r w:rsidR="00595CC8">
        <w:t>Reply Briefs.</w:t>
      </w:r>
    </w:p>
    <w:p w:rsidR="00683B2C" w:rsidP="00757F75" w:rsidRDefault="00683B2C" w14:paraId="32895129" w14:textId="77777777">
      <w:pPr>
        <w:pStyle w:val="Heading2"/>
      </w:pPr>
      <w:bookmarkStart w:name="_Toc212538522" w:id="6"/>
      <w:r>
        <w:t>Submission Date</w:t>
      </w:r>
      <w:bookmarkEnd w:id="6"/>
    </w:p>
    <w:p w:rsidRPr="00ED4E73" w:rsidR="00566676" w:rsidP="005505F0" w:rsidRDefault="005505F0" w14:paraId="72270E06" w14:textId="059E061C">
      <w:pPr>
        <w:pStyle w:val="Standard"/>
      </w:pPr>
      <w:bookmarkStart w:name="_Toc8123719" w:id="7"/>
      <w:r w:rsidRPr="00FF7FDE">
        <w:t xml:space="preserve">This matter was submitted on </w:t>
      </w:r>
      <w:r w:rsidRPr="005300B3">
        <w:t xml:space="preserve">August </w:t>
      </w:r>
      <w:r w:rsidRPr="005300B3" w:rsidR="002B26A1">
        <w:t>22</w:t>
      </w:r>
      <w:r w:rsidRPr="005300B3">
        <w:t>, 2025</w:t>
      </w:r>
      <w:r w:rsidRPr="00FF7FDE">
        <w:t xml:space="preserve"> upon </w:t>
      </w:r>
      <w:r w:rsidR="002B26A1">
        <w:t>filing of reply briefs</w:t>
      </w:r>
      <w:r w:rsidRPr="00F639FB">
        <w:t>.</w:t>
      </w:r>
    </w:p>
    <w:p w:rsidR="005A148C" w:rsidP="00757F75" w:rsidRDefault="005939A5" w14:paraId="0CD6DB5E" w14:textId="620279FC">
      <w:pPr>
        <w:pStyle w:val="Heading1"/>
      </w:pPr>
      <w:bookmarkStart w:name="_Toc212538523" w:id="8"/>
      <w:r>
        <w:t xml:space="preserve">Issues Before the </w:t>
      </w:r>
      <w:bookmarkEnd w:id="7"/>
      <w:r w:rsidR="008A08BF">
        <w:t>Commission</w:t>
      </w:r>
      <w:bookmarkEnd w:id="8"/>
    </w:p>
    <w:p w:rsidR="00FA5B3B" w:rsidP="00FA5B3B" w:rsidRDefault="00C029AA" w14:paraId="768AE25A" w14:textId="54FF0A3A">
      <w:pPr>
        <w:pStyle w:val="Standard"/>
      </w:pPr>
      <w:r>
        <w:t xml:space="preserve">The Scoping Memo </w:t>
      </w:r>
      <w:r w:rsidR="00EE4691">
        <w:t>set forth the following issues for consideration in this proceeding</w:t>
      </w:r>
      <w:r>
        <w:t>:</w:t>
      </w:r>
    </w:p>
    <w:p w:rsidRPr="00DE2C16" w:rsidR="00FA5B3B" w:rsidP="009D2843" w:rsidRDefault="00FA5B3B" w14:paraId="6D6E09F1" w14:textId="2985B51C">
      <w:pPr>
        <w:pStyle w:val="BlockQuoteH025"/>
        <w:numPr>
          <w:ilvl w:val="0"/>
          <w:numId w:val="3"/>
        </w:numPr>
        <w:ind w:left="1080"/>
      </w:pPr>
      <w:r w:rsidRPr="00DE2C16">
        <w:t>Does SDG&amp;E</w:t>
      </w:r>
      <w:r w:rsidR="00836A9E">
        <w:t>’</w:t>
      </w:r>
      <w:r w:rsidRPr="00DE2C16">
        <w:t xml:space="preserve">s request for a ratemaking mechanism meet the requirements of </w:t>
      </w:r>
      <w:r>
        <w:t>SB</w:t>
      </w:r>
      <w:r w:rsidR="00841E9F">
        <w:t> </w:t>
      </w:r>
      <w:r>
        <w:t>410 (</w:t>
      </w:r>
      <w:r w:rsidR="006326BB">
        <w:t>Stats. </w:t>
      </w:r>
      <w:r>
        <w:t xml:space="preserve">2023, </w:t>
      </w:r>
      <w:r w:rsidR="006326BB">
        <w:t>Ch. </w:t>
      </w:r>
      <w:r>
        <w:t>394)</w:t>
      </w:r>
      <w:r w:rsidR="0067029F">
        <w:t xml:space="preserve"> and</w:t>
      </w:r>
      <w:r>
        <w:t xml:space="preserve"> </w:t>
      </w:r>
      <w:r w:rsidR="00147172">
        <w:t>Pub. Util.</w:t>
      </w:r>
      <w:r w:rsidRPr="00DE2C16">
        <w:t xml:space="preserve"> Code </w:t>
      </w:r>
      <w:r w:rsidR="004F6670">
        <w:t>Sections </w:t>
      </w:r>
      <w:r w:rsidRPr="00DE2C16">
        <w:t>937(b)</w:t>
      </w:r>
      <w:r w:rsidR="00503215">
        <w:noBreakHyphen/>
      </w:r>
      <w:r w:rsidRPr="00DE2C16">
        <w:t>(c)?</w:t>
      </w:r>
    </w:p>
    <w:p w:rsidRPr="00DE2C16" w:rsidR="00FA5B3B" w:rsidP="009D2843" w:rsidRDefault="00FA5B3B" w14:paraId="31806288" w14:textId="0ED624D3">
      <w:pPr>
        <w:pStyle w:val="BlockQuoteH025"/>
        <w:numPr>
          <w:ilvl w:val="0"/>
          <w:numId w:val="3"/>
        </w:numPr>
        <w:ind w:left="1080"/>
      </w:pPr>
      <w:r w:rsidRPr="00DE2C16">
        <w:t>Do the</w:t>
      </w:r>
      <w:r>
        <w:t xml:space="preserve"> </w:t>
      </w:r>
      <w:r w:rsidRPr="00DE2C16">
        <w:t xml:space="preserve">cost categories for which SDG&amp;E seeks funding support energization as defined by </w:t>
      </w:r>
      <w:r w:rsidR="00147172">
        <w:t>Pub. Util.</w:t>
      </w:r>
      <w:r w:rsidRPr="00DE2C16">
        <w:t xml:space="preserve"> Code </w:t>
      </w:r>
      <w:r w:rsidR="004655D9">
        <w:t>Section </w:t>
      </w:r>
      <w:r w:rsidRPr="00DE2C16">
        <w:t>931(b)?</w:t>
      </w:r>
    </w:p>
    <w:p w:rsidRPr="00330E34" w:rsidR="00FA5B3B" w:rsidP="009D2843" w:rsidRDefault="00FA5B3B" w14:paraId="2550B82D" w14:textId="77777777">
      <w:pPr>
        <w:pStyle w:val="BlockQuoteH025subH025"/>
        <w:numPr>
          <w:ilvl w:val="1"/>
          <w:numId w:val="3"/>
        </w:numPr>
      </w:pPr>
      <w:r w:rsidRPr="00330E34">
        <w:t>Which cost categories exclusively support energization?</w:t>
      </w:r>
    </w:p>
    <w:p w:rsidR="007F1773" w:rsidP="004A7A96" w:rsidRDefault="00FA5B3B" w14:paraId="50FD205E" w14:textId="77777777">
      <w:pPr>
        <w:pStyle w:val="BlockQuoteH025subH025"/>
        <w:numPr>
          <w:ilvl w:val="1"/>
          <w:numId w:val="3"/>
        </w:numPr>
      </w:pPr>
      <w:r w:rsidRPr="00330E34">
        <w:t>Which cost categories support other goals in addition to energization? For those cost categories, could SDG&amp;E reduce the proposed scope and still achieve the energization objectives?</w:t>
      </w:r>
    </w:p>
    <w:p w:rsidRPr="00DE2C16" w:rsidR="00FA5B3B" w:rsidP="009D2843" w:rsidRDefault="00FA5B3B" w14:paraId="020400C4" w14:textId="4E9817D4">
      <w:pPr>
        <w:pStyle w:val="BlockQuoteH025"/>
        <w:numPr>
          <w:ilvl w:val="0"/>
          <w:numId w:val="3"/>
        </w:numPr>
        <w:ind w:left="1080"/>
      </w:pPr>
      <w:r>
        <w:t>Should the Commission authorize SDG&amp;E</w:t>
      </w:r>
      <w:r w:rsidR="00836A9E">
        <w:t>’</w:t>
      </w:r>
      <w:r>
        <w:t xml:space="preserve">s requested ratemaking mechanism or another mechanism for energization projects consistent with </w:t>
      </w:r>
      <w:r w:rsidR="00147172">
        <w:t>Pub. Util.</w:t>
      </w:r>
      <w:r>
        <w:t xml:space="preserve"> Code </w:t>
      </w:r>
      <w:r w:rsidR="004F6670">
        <w:t>Sections </w:t>
      </w:r>
      <w:r>
        <w:t>937(b)</w:t>
      </w:r>
      <w:r w:rsidR="00503215">
        <w:noBreakHyphen/>
      </w:r>
      <w:r>
        <w:t>(c)?</w:t>
      </w:r>
    </w:p>
    <w:p w:rsidR="007F1773" w:rsidP="009D2843" w:rsidRDefault="00FA5B3B" w14:paraId="49556B3F" w14:textId="77777777">
      <w:pPr>
        <w:pStyle w:val="BlockQuoteH025subH025"/>
        <w:numPr>
          <w:ilvl w:val="1"/>
          <w:numId w:val="3"/>
        </w:numPr>
      </w:pPr>
      <w:r w:rsidRPr="00330E34">
        <w:t>If the Commission authorizes a ratemaking mechanism, what is the appropriate method for SDG&amp;E to incorporate the recorded costs into electric rates?</w:t>
      </w:r>
    </w:p>
    <w:p w:rsidR="007F1773" w:rsidP="009D2843" w:rsidRDefault="00FA5B3B" w14:paraId="3AAF51D9" w14:textId="77777777">
      <w:pPr>
        <w:pStyle w:val="BlockQuoteH025"/>
        <w:numPr>
          <w:ilvl w:val="0"/>
          <w:numId w:val="3"/>
        </w:numPr>
        <w:ind w:left="1080"/>
      </w:pPr>
      <w:r>
        <w:lastRenderedPageBreak/>
        <w:t xml:space="preserve">What should be the annual caps on the amount that SDG&amp;E can recover within the ratemaking mechanism established by </w:t>
      </w:r>
      <w:r w:rsidR="00147172">
        <w:t>Pub. Util.</w:t>
      </w:r>
      <w:r>
        <w:t xml:space="preserve"> Code </w:t>
      </w:r>
      <w:r w:rsidR="004655D9">
        <w:t>Section </w:t>
      </w:r>
      <w:r>
        <w:t>937(b)(2)? How should they be determined?</w:t>
      </w:r>
    </w:p>
    <w:p w:rsidRPr="00330E34" w:rsidR="00FA5B3B" w:rsidP="009D2843" w:rsidRDefault="00FA5B3B" w14:paraId="7AA053A1" w14:textId="16E01073">
      <w:pPr>
        <w:pStyle w:val="BlockQuoteH025subH025"/>
        <w:numPr>
          <w:ilvl w:val="1"/>
          <w:numId w:val="3"/>
        </w:numPr>
      </w:pPr>
      <w:r w:rsidRPr="00330E34">
        <w:t xml:space="preserve">Does </w:t>
      </w:r>
      <w:r w:rsidR="00147172">
        <w:t>Pub. Util.</w:t>
      </w:r>
      <w:r w:rsidRPr="00330E34">
        <w:t xml:space="preserve"> Code </w:t>
      </w:r>
      <w:r w:rsidR="004655D9">
        <w:t>Section </w:t>
      </w:r>
      <w:r w:rsidRPr="00330E34">
        <w:t xml:space="preserve">937(b)(1) permit SDG&amp;E to record spend toward projects that may not be completed or placed in service before </w:t>
      </w:r>
      <w:r w:rsidR="007F1773">
        <w:t>January </w:t>
      </w:r>
      <w:r w:rsidRPr="00330E34">
        <w:t>1, 2027?</w:t>
      </w:r>
    </w:p>
    <w:p w:rsidRPr="00330E34" w:rsidR="00FA5B3B" w:rsidP="009D2843" w:rsidRDefault="00FA5B3B" w14:paraId="73B547C3" w14:textId="5D788CBF">
      <w:pPr>
        <w:pStyle w:val="BlockQuoteH025subH025"/>
        <w:numPr>
          <w:ilvl w:val="1"/>
          <w:numId w:val="3"/>
        </w:numPr>
      </w:pPr>
      <w:r w:rsidRPr="00330E34">
        <w:t>Are SDG&amp;E</w:t>
      </w:r>
      <w:r w:rsidR="00836A9E">
        <w:t>’</w:t>
      </w:r>
      <w:r w:rsidRPr="00330E34">
        <w:t>s forecasts and assumptions that inform its cost cap calculations adequately justified?</w:t>
      </w:r>
    </w:p>
    <w:p w:rsidR="007F1773" w:rsidP="009D2843" w:rsidRDefault="00FA5B3B" w14:paraId="24380321" w14:textId="77777777">
      <w:pPr>
        <w:pStyle w:val="BlockQuoteH025subH025"/>
        <w:numPr>
          <w:ilvl w:val="1"/>
          <w:numId w:val="3"/>
        </w:numPr>
      </w:pPr>
      <w:r w:rsidRPr="00330E34">
        <w:t>If SDG&amp;E spends less than its annual cap in 2025, should the Commission allow SDG&amp;E to add the unspent funds from 2025 to its 2026 cap?</w:t>
      </w:r>
    </w:p>
    <w:p w:rsidR="007F1773" w:rsidP="009D2843" w:rsidRDefault="00FA5B3B" w14:paraId="6AD3B30E" w14:textId="72E3B231">
      <w:pPr>
        <w:pStyle w:val="BlockQuoteH025"/>
        <w:numPr>
          <w:ilvl w:val="0"/>
          <w:numId w:val="3"/>
        </w:numPr>
        <w:ind w:left="1080"/>
      </w:pPr>
      <w:r>
        <w:t xml:space="preserve">How should the Commission address the auditor requirements in </w:t>
      </w:r>
      <w:r w:rsidR="00147172">
        <w:t>Pub. Util.</w:t>
      </w:r>
      <w:r>
        <w:t xml:space="preserve"> Code </w:t>
      </w:r>
      <w:r w:rsidR="004655D9">
        <w:t>Section </w:t>
      </w:r>
      <w:r>
        <w:t xml:space="preserve">938? </w:t>
      </w:r>
      <w:r w:rsidDel="004B5D7A">
        <w:t>Does SDG&amp;E</w:t>
      </w:r>
      <w:r w:rsidR="00836A9E">
        <w:t>’</w:t>
      </w:r>
      <w:r w:rsidDel="004B5D7A">
        <w:t>s proposed auditor meet the statutory requirements?</w:t>
      </w:r>
    </w:p>
    <w:p w:rsidRPr="00DE2C16" w:rsidR="00FA5B3B" w:rsidP="009D2843" w:rsidRDefault="00FA5B3B" w14:paraId="1EEC1A22" w14:textId="7B72384C">
      <w:pPr>
        <w:pStyle w:val="BlockQuoteH025"/>
        <w:numPr>
          <w:ilvl w:val="0"/>
          <w:numId w:val="3"/>
        </w:numPr>
        <w:ind w:left="1080"/>
      </w:pPr>
      <w:r>
        <w:t xml:space="preserve">Should the Commission require SDG&amp;E to gather and report certain information about its </w:t>
      </w:r>
      <w:r w:rsidR="0040495F">
        <w:t>SB </w:t>
      </w:r>
      <w:r>
        <w:t>410 spend in support of future reasonableness reviews in SDG&amp;E</w:t>
      </w:r>
      <w:r w:rsidR="00836A9E">
        <w:t>’</w:t>
      </w:r>
      <w:r>
        <w:t xml:space="preserve">s next </w:t>
      </w:r>
      <w:r w:rsidR="0043555A">
        <w:t>General Rate Case (</w:t>
      </w:r>
      <w:r>
        <w:t>GRC</w:t>
      </w:r>
      <w:r w:rsidR="0043555A">
        <w:t>)</w:t>
      </w:r>
      <w:r>
        <w:t>?</w:t>
      </w:r>
    </w:p>
    <w:p w:rsidR="00AB377E" w:rsidP="009D2843" w:rsidRDefault="00FA5B3B" w14:paraId="549F6821" w14:textId="249499A2">
      <w:pPr>
        <w:pStyle w:val="BlockQuoteH025"/>
        <w:numPr>
          <w:ilvl w:val="0"/>
          <w:numId w:val="3"/>
        </w:numPr>
        <w:ind w:left="1080"/>
      </w:pPr>
      <w:r>
        <w:t>If this application is granted in part or in full, under what circumstances, if any, should the Commission allow SDG&amp;E to request adjustments to the authorized cost caps? What information should such a request contain? If allowed, what process should be used to request such adjustments?</w:t>
      </w:r>
    </w:p>
    <w:p w:rsidR="00F66745" w:rsidP="00BB4B1B" w:rsidRDefault="00AA02DF" w14:paraId="530A09A3" w14:textId="172D610B">
      <w:pPr>
        <w:pStyle w:val="Heading1"/>
      </w:pPr>
      <w:bookmarkStart w:name="_Toc212538524" w:id="9"/>
      <w:r>
        <w:t>Overview of San Diego Gas &amp; Electric Company’s Application</w:t>
      </w:r>
      <w:bookmarkEnd w:id="9"/>
    </w:p>
    <w:p w:rsidR="001E1B34" w:rsidP="00563A24" w:rsidRDefault="00C60B07" w14:paraId="35B9B201" w14:textId="46DBE07F">
      <w:pPr>
        <w:pStyle w:val="Standard"/>
      </w:pPr>
      <w:r>
        <w:t>SDG&amp;E</w:t>
      </w:r>
      <w:r w:rsidR="00BD345D">
        <w:t>’s application</w:t>
      </w:r>
      <w:r>
        <w:t xml:space="preserve"> </w:t>
      </w:r>
      <w:r w:rsidR="001E1B34">
        <w:t>reques</w:t>
      </w:r>
      <w:r w:rsidR="00F11A00">
        <w:t>ted</w:t>
      </w:r>
      <w:r w:rsidR="001E1B34">
        <w:t xml:space="preserve"> that the </w:t>
      </w:r>
      <w:r w:rsidR="00286B06">
        <w:t xml:space="preserve">Commission authorize </w:t>
      </w:r>
      <w:r w:rsidR="001E1B34">
        <w:t>SDG&amp;E to:</w:t>
      </w:r>
    </w:p>
    <w:p w:rsidR="00424291" w:rsidP="00757F75" w:rsidRDefault="001E1B34" w14:paraId="5B2A07D9" w14:textId="1623A1DE">
      <w:pPr>
        <w:pStyle w:val="Standard"/>
        <w:numPr>
          <w:ilvl w:val="0"/>
          <w:numId w:val="17"/>
        </w:numPr>
        <w:spacing w:after="120" w:line="240" w:lineRule="auto"/>
        <w:ind w:left="1512" w:right="1440"/>
      </w:pPr>
      <w:r>
        <w:t>C</w:t>
      </w:r>
      <w:r w:rsidR="00DF67F5">
        <w:t>reat</w:t>
      </w:r>
      <w:r>
        <w:t>e</w:t>
      </w:r>
      <w:r w:rsidR="00DF67F5">
        <w:t xml:space="preserve"> </w:t>
      </w:r>
      <w:r w:rsidR="007975E5">
        <w:t xml:space="preserve">a </w:t>
      </w:r>
      <w:r>
        <w:t xml:space="preserve">new </w:t>
      </w:r>
      <w:r w:rsidR="00B01096">
        <w:t>Electric Energization Memorandum Account</w:t>
      </w:r>
      <w:r w:rsidR="00A12371">
        <w:t xml:space="preserve"> </w:t>
      </w:r>
      <w:r w:rsidR="00424291">
        <w:t>(EEMA)</w:t>
      </w:r>
      <w:r w:rsidR="007975E5">
        <w:t>.</w:t>
      </w:r>
    </w:p>
    <w:p w:rsidR="00411B9A" w:rsidP="00757F75" w:rsidRDefault="00424291" w14:paraId="6979AD25" w14:textId="417925A1">
      <w:pPr>
        <w:pStyle w:val="Standard"/>
        <w:numPr>
          <w:ilvl w:val="0"/>
          <w:numId w:val="17"/>
        </w:numPr>
        <w:spacing w:after="120" w:line="240" w:lineRule="auto"/>
        <w:ind w:left="1512" w:right="1440"/>
      </w:pPr>
      <w:r>
        <w:t xml:space="preserve">Record to the EEMA </w:t>
      </w:r>
      <w:r w:rsidR="003231E9">
        <w:t>energization-related</w:t>
      </w:r>
      <w:r w:rsidR="005F6D2B">
        <w:t xml:space="preserve"> costs </w:t>
      </w:r>
      <w:r w:rsidR="00A94DDF">
        <w:t xml:space="preserve">that are incremental to the energization-related costs </w:t>
      </w:r>
      <w:r w:rsidR="002F58D1">
        <w:t xml:space="preserve">authorized </w:t>
      </w:r>
      <w:r w:rsidR="00863BA9">
        <w:t>by SDG&amp;E’s 2024 Test Year General Rate Case (</w:t>
      </w:r>
      <w:r w:rsidR="004F69AB">
        <w:t xml:space="preserve">2024 </w:t>
      </w:r>
      <w:r w:rsidR="00863BA9">
        <w:t>GRC)</w:t>
      </w:r>
      <w:r w:rsidR="00453A45">
        <w:t>, subject to the following caps:</w:t>
      </w:r>
      <w:r w:rsidR="007F3EF9">
        <w:t xml:space="preserve"> </w:t>
      </w:r>
    </w:p>
    <w:tbl>
      <w:tblPr>
        <w:tblStyle w:val="TableGrid"/>
        <w:tblW w:w="7200" w:type="dxa"/>
        <w:tblInd w:w="1507" w:type="dxa"/>
        <w:tblLayout w:type="fixed"/>
        <w:tblCellMar>
          <w:top w:w="58" w:type="dxa"/>
          <w:bottom w:w="58" w:type="dxa"/>
        </w:tblCellMar>
        <w:tblLook w:val="04A0" w:firstRow="1" w:lastRow="0" w:firstColumn="1" w:lastColumn="0" w:noHBand="0" w:noVBand="1"/>
      </w:tblPr>
      <w:tblGrid>
        <w:gridCol w:w="3546"/>
        <w:gridCol w:w="3654"/>
      </w:tblGrid>
      <w:tr w:rsidR="00411B9A" w:rsidTr="008B667B" w14:paraId="26639B0E" w14:textId="77777777">
        <w:trPr>
          <w:tblHeader/>
        </w:trPr>
        <w:tc>
          <w:tcPr>
            <w:tcW w:w="3862" w:type="dxa"/>
          </w:tcPr>
          <w:p w:rsidR="00411B9A" w:rsidP="008B667B" w:rsidRDefault="00411B9A" w14:paraId="14B19593" w14:textId="4C3C9C92">
            <w:pPr>
              <w:pStyle w:val="Standard"/>
              <w:keepNext/>
              <w:spacing w:line="240" w:lineRule="auto"/>
              <w:ind w:firstLine="0"/>
            </w:pPr>
            <w:r>
              <w:lastRenderedPageBreak/>
              <w:t>Year</w:t>
            </w:r>
          </w:p>
        </w:tc>
        <w:tc>
          <w:tcPr>
            <w:tcW w:w="3981" w:type="dxa"/>
          </w:tcPr>
          <w:p w:rsidR="00411B9A" w:rsidP="008B667B" w:rsidRDefault="00411B9A" w14:paraId="7BC3ECE2" w14:textId="07D6D828">
            <w:pPr>
              <w:pStyle w:val="Standard"/>
              <w:keepNext/>
              <w:spacing w:line="240" w:lineRule="auto"/>
              <w:ind w:firstLine="0"/>
            </w:pPr>
            <w:r>
              <w:t>Cap Amount (in millions)</w:t>
            </w:r>
          </w:p>
        </w:tc>
      </w:tr>
      <w:tr w:rsidR="00411B9A" w:rsidTr="008B667B" w14:paraId="4C37BB0B" w14:textId="77777777">
        <w:tc>
          <w:tcPr>
            <w:tcW w:w="3862" w:type="dxa"/>
          </w:tcPr>
          <w:p w:rsidR="00411B9A" w:rsidP="008B667B" w:rsidRDefault="00411B9A" w14:paraId="564032CA" w14:textId="1043169A">
            <w:pPr>
              <w:pStyle w:val="Standard"/>
              <w:spacing w:line="240" w:lineRule="auto"/>
              <w:ind w:firstLine="0"/>
            </w:pPr>
            <w:r>
              <w:t>2024</w:t>
            </w:r>
          </w:p>
        </w:tc>
        <w:tc>
          <w:tcPr>
            <w:tcW w:w="3981" w:type="dxa"/>
          </w:tcPr>
          <w:p w:rsidR="00411B9A" w:rsidP="008B667B" w:rsidRDefault="00411B9A" w14:paraId="77E94CE4" w14:textId="622459A7">
            <w:pPr>
              <w:pStyle w:val="Standard"/>
              <w:spacing w:line="240" w:lineRule="auto"/>
              <w:ind w:firstLine="0"/>
            </w:pPr>
            <w:r>
              <w:t>$</w:t>
            </w:r>
            <w:r w:rsidR="008D5397">
              <w:t>20</w:t>
            </w:r>
            <w:r>
              <w:t>.864</w:t>
            </w:r>
          </w:p>
        </w:tc>
      </w:tr>
      <w:tr w:rsidR="00411B9A" w:rsidTr="008B667B" w14:paraId="30EEA835" w14:textId="77777777">
        <w:tc>
          <w:tcPr>
            <w:tcW w:w="3862" w:type="dxa"/>
          </w:tcPr>
          <w:p w:rsidR="00411B9A" w:rsidP="008B667B" w:rsidRDefault="00411B9A" w14:paraId="110F6459" w14:textId="37339B2D">
            <w:pPr>
              <w:pStyle w:val="Standard"/>
              <w:spacing w:line="240" w:lineRule="auto"/>
              <w:ind w:firstLine="0"/>
            </w:pPr>
            <w:r>
              <w:t>2025</w:t>
            </w:r>
          </w:p>
        </w:tc>
        <w:tc>
          <w:tcPr>
            <w:tcW w:w="3981" w:type="dxa"/>
          </w:tcPr>
          <w:p w:rsidR="00411B9A" w:rsidP="008B667B" w:rsidRDefault="00411B9A" w14:paraId="16896B86" w14:textId="654918EC">
            <w:pPr>
              <w:pStyle w:val="Standard"/>
              <w:spacing w:line="240" w:lineRule="auto"/>
              <w:ind w:firstLine="0"/>
            </w:pPr>
            <w:r>
              <w:t>$144.631</w:t>
            </w:r>
          </w:p>
        </w:tc>
      </w:tr>
      <w:tr w:rsidR="00411B9A" w:rsidTr="008B667B" w14:paraId="11922239" w14:textId="77777777">
        <w:tc>
          <w:tcPr>
            <w:tcW w:w="3862" w:type="dxa"/>
          </w:tcPr>
          <w:p w:rsidR="00411B9A" w:rsidP="008B667B" w:rsidRDefault="00411B9A" w14:paraId="4EB7B964" w14:textId="7D909BDB">
            <w:pPr>
              <w:pStyle w:val="Standard"/>
              <w:spacing w:line="240" w:lineRule="auto"/>
              <w:ind w:firstLine="0"/>
            </w:pPr>
            <w:r>
              <w:t>2026</w:t>
            </w:r>
          </w:p>
        </w:tc>
        <w:tc>
          <w:tcPr>
            <w:tcW w:w="3981" w:type="dxa"/>
          </w:tcPr>
          <w:p w:rsidR="00411B9A" w:rsidP="008B667B" w:rsidRDefault="00411B9A" w14:paraId="79501DBF" w14:textId="51AFF151">
            <w:pPr>
              <w:pStyle w:val="Standard"/>
              <w:spacing w:line="240" w:lineRule="auto"/>
              <w:ind w:firstLine="0"/>
            </w:pPr>
            <w:r>
              <w:t>$144.631</w:t>
            </w:r>
          </w:p>
        </w:tc>
      </w:tr>
    </w:tbl>
    <w:p w:rsidRPr="000D0344" w:rsidR="008B667B" w:rsidP="008B667B" w:rsidRDefault="008B667B" w14:paraId="54AA4AC0" w14:textId="77777777">
      <w:pPr>
        <w:pStyle w:val="StandardTableSub"/>
      </w:pPr>
    </w:p>
    <w:p w:rsidR="00F252B1" w:rsidP="005300B3" w:rsidRDefault="00392C01" w14:paraId="5EA79501" w14:textId="25925D2F">
      <w:pPr>
        <w:pStyle w:val="Standard"/>
        <w:numPr>
          <w:ilvl w:val="0"/>
          <w:numId w:val="17"/>
        </w:numPr>
      </w:pPr>
      <w:r>
        <w:t>“Roll over” unspent any funds from 2025 to 2026.</w:t>
      </w:r>
    </w:p>
    <w:p w:rsidR="00F66745" w:rsidP="00757F75" w:rsidRDefault="005A7A1E" w14:paraId="53FB69D8" w14:textId="1561A946">
      <w:pPr>
        <w:pStyle w:val="Standard"/>
        <w:numPr>
          <w:ilvl w:val="0"/>
          <w:numId w:val="17"/>
        </w:numPr>
        <w:spacing w:after="120" w:line="240" w:lineRule="auto"/>
        <w:ind w:left="1512" w:right="1440"/>
      </w:pPr>
      <w:r>
        <w:t xml:space="preserve">Annually transfer </w:t>
      </w:r>
      <w:r w:rsidR="00930351">
        <w:t xml:space="preserve">eligible </w:t>
      </w:r>
      <w:r w:rsidR="00C049B7">
        <w:t xml:space="preserve">costs from the EEMA </w:t>
      </w:r>
      <w:r w:rsidR="00CA0CB5">
        <w:t xml:space="preserve">to </w:t>
      </w:r>
      <w:r w:rsidR="00183E4C">
        <w:t>the existing Electric Distribution Fixed Cost Account (</w:t>
      </w:r>
      <w:proofErr w:type="spellStart"/>
      <w:r w:rsidR="00183E4C">
        <w:t>EDFCA</w:t>
      </w:r>
      <w:proofErr w:type="spellEnd"/>
      <w:r w:rsidR="00183E4C">
        <w:t>)</w:t>
      </w:r>
      <w:r w:rsidR="00C074F0">
        <w:t xml:space="preserve"> for recovery from customers.</w:t>
      </w:r>
    </w:p>
    <w:p w:rsidR="005F63DD" w:rsidP="00757F75" w:rsidRDefault="001D11C0" w14:paraId="2C87D837" w14:textId="25E498EB">
      <w:pPr>
        <w:pStyle w:val="Standard"/>
        <w:numPr>
          <w:ilvl w:val="0"/>
          <w:numId w:val="17"/>
        </w:numPr>
        <w:spacing w:after="120" w:line="240" w:lineRule="auto"/>
        <w:ind w:left="1512" w:right="1440"/>
      </w:pPr>
      <w:r>
        <w:t xml:space="preserve">Retain </w:t>
      </w:r>
      <w:r w:rsidR="00BD3FF6">
        <w:t xml:space="preserve">a Commission-selected, third-party </w:t>
      </w:r>
      <w:r>
        <w:t xml:space="preserve">auditor </w:t>
      </w:r>
      <w:r w:rsidR="00C53466">
        <w:t>to review SDG&amp;E’s energization activities.</w:t>
      </w:r>
    </w:p>
    <w:p w:rsidR="00F66745" w:rsidP="00F66745" w:rsidRDefault="00095019" w14:paraId="569131F8" w14:textId="07B4AF45">
      <w:pPr>
        <w:pStyle w:val="Standard"/>
      </w:pPr>
      <w:r>
        <w:t xml:space="preserve">Pursuant to SB 410, </w:t>
      </w:r>
      <w:r w:rsidR="003E520E">
        <w:t xml:space="preserve">costs </w:t>
      </w:r>
      <w:r w:rsidR="00D55DBC">
        <w:t xml:space="preserve">are </w:t>
      </w:r>
      <w:r w:rsidR="00215CAD">
        <w:t xml:space="preserve">only </w:t>
      </w:r>
      <w:r w:rsidR="003E520E">
        <w:t xml:space="preserve">eligible for </w:t>
      </w:r>
      <w:r w:rsidR="00B40A25">
        <w:t xml:space="preserve">recovery from customers </w:t>
      </w:r>
      <w:r w:rsidR="00215CAD">
        <w:t xml:space="preserve">once the </w:t>
      </w:r>
      <w:r w:rsidR="008D4B13">
        <w:t>associated project was placed in service.</w:t>
      </w:r>
      <w:r w:rsidR="00433E69">
        <w:rPr>
          <w:rStyle w:val="FootnoteReference"/>
        </w:rPr>
        <w:footnoteReference w:id="2"/>
      </w:r>
      <w:r w:rsidR="008D4B13">
        <w:t xml:space="preserve"> </w:t>
      </w:r>
      <w:r>
        <w:t xml:space="preserve">SDG&amp;E would </w:t>
      </w:r>
      <w:r w:rsidR="00744E5B">
        <w:t>include</w:t>
      </w:r>
      <w:r w:rsidR="003C5E22">
        <w:t xml:space="preserve">, as part of </w:t>
      </w:r>
      <w:r w:rsidR="00744E5B">
        <w:t>its next GRC application</w:t>
      </w:r>
      <w:r w:rsidR="003C5E22">
        <w:t xml:space="preserve">, </w:t>
      </w:r>
      <w:r w:rsidR="004B715D">
        <w:t xml:space="preserve">a demonstration that the costs </w:t>
      </w:r>
      <w:r w:rsidR="000E014B">
        <w:t>SDG&amp;E recorded to the EEMA were just and reasonable.</w:t>
      </w:r>
      <w:r w:rsidRPr="00537F87" w:rsidR="00537F87">
        <w:rPr>
          <w:rStyle w:val="FootnoteReference"/>
        </w:rPr>
        <w:t xml:space="preserve"> </w:t>
      </w:r>
      <w:r w:rsidR="00537F87">
        <w:rPr>
          <w:rStyle w:val="FootnoteReference"/>
        </w:rPr>
        <w:footnoteReference w:id="3"/>
      </w:r>
      <w:r w:rsidR="000E014B">
        <w:t xml:space="preserve"> Any costs the Commission does not find to be just and reasonable would be </w:t>
      </w:r>
      <w:r w:rsidR="00496835">
        <w:t>subject to refund.</w:t>
      </w:r>
      <w:r w:rsidR="0030624F">
        <w:rPr>
          <w:rStyle w:val="FootnoteReference"/>
        </w:rPr>
        <w:footnoteReference w:id="4"/>
      </w:r>
    </w:p>
    <w:p w:rsidRPr="00563A24" w:rsidR="00563A24" w:rsidP="005300B3" w:rsidRDefault="00890D6E" w14:paraId="0921DBCA" w14:textId="36BA1C19">
      <w:pPr>
        <w:pStyle w:val="Standard"/>
      </w:pPr>
      <w:r>
        <w:t xml:space="preserve">SDG&amp;E </w:t>
      </w:r>
      <w:r w:rsidR="005C735F">
        <w:t>explained</w:t>
      </w:r>
      <w:r w:rsidR="00CF6CD2">
        <w:t xml:space="preserve"> its requested cost caps</w:t>
      </w:r>
      <w:r w:rsidR="00490023">
        <w:t xml:space="preserve"> </w:t>
      </w:r>
      <w:r w:rsidR="007E7958">
        <w:t xml:space="preserve">by submitting cost forecasts </w:t>
      </w:r>
      <w:r w:rsidR="00053575">
        <w:t>that fe</w:t>
      </w:r>
      <w:r w:rsidR="00F11A00">
        <w:t xml:space="preserve">ll into </w:t>
      </w:r>
      <w:r w:rsidR="00B96871">
        <w:t xml:space="preserve">four </w:t>
      </w:r>
      <w:r w:rsidR="00F11A00">
        <w:t>categories</w:t>
      </w:r>
      <w:r w:rsidR="00D16BB3">
        <w:t xml:space="preserve">: </w:t>
      </w:r>
      <w:r w:rsidR="006D38B0">
        <w:t>Capacity/Expansion, New Business</w:t>
      </w:r>
      <w:r w:rsidR="00202E5E">
        <w:t xml:space="preserve">, Materials, </w:t>
      </w:r>
      <w:r w:rsidR="00DE7727">
        <w:t xml:space="preserve">and </w:t>
      </w:r>
      <w:r w:rsidR="00202E5E">
        <w:t>Information Technology Enhancements</w:t>
      </w:r>
      <w:r w:rsidR="00493A79">
        <w:t>. SDG&amp;E</w:t>
      </w:r>
      <w:r w:rsidR="00BE6A36">
        <w:t xml:space="preserve">’s cap requests also include a </w:t>
      </w:r>
      <w:r w:rsidR="006C342B">
        <w:t xml:space="preserve">contingency to provide </w:t>
      </w:r>
      <w:r w:rsidR="00420174">
        <w:t xml:space="preserve">“headroom” in case actual </w:t>
      </w:r>
      <w:r w:rsidR="00375B05">
        <w:t xml:space="preserve">capital needs </w:t>
      </w:r>
      <w:r w:rsidR="00420174">
        <w:t xml:space="preserve">exceed </w:t>
      </w:r>
      <w:r w:rsidR="000E2F8E">
        <w:t>the forecast</w:t>
      </w:r>
      <w:r w:rsidR="00873567">
        <w:t>ed amount</w:t>
      </w:r>
      <w:r w:rsidR="00C40035">
        <w:t>s</w:t>
      </w:r>
      <w:r w:rsidR="000E2F8E">
        <w:t>.</w:t>
      </w:r>
      <w:r w:rsidR="00D71D4A">
        <w:t xml:space="preserve"> </w:t>
      </w:r>
      <w:r w:rsidR="004567C2">
        <w:t xml:space="preserve">As </w:t>
      </w:r>
      <w:r w:rsidR="00CD21FF">
        <w:t xml:space="preserve">SB 410 </w:t>
      </w:r>
      <w:r w:rsidR="004567C2">
        <w:t xml:space="preserve">only </w:t>
      </w:r>
      <w:r w:rsidR="00735CEC">
        <w:t xml:space="preserve">permits </w:t>
      </w:r>
      <w:r w:rsidR="00AE542E">
        <w:t xml:space="preserve">a utility to record costs that are incremental to </w:t>
      </w:r>
      <w:r w:rsidR="008049C7">
        <w:t xml:space="preserve">the amounts authorized by </w:t>
      </w:r>
      <w:r w:rsidR="004664DE">
        <w:t>its most recent GRC,</w:t>
      </w:r>
      <w:r w:rsidR="00366260">
        <w:rPr>
          <w:rStyle w:val="FootnoteReference"/>
        </w:rPr>
        <w:footnoteReference w:id="5"/>
      </w:r>
      <w:r w:rsidR="004664DE">
        <w:t xml:space="preserve"> </w:t>
      </w:r>
      <w:r w:rsidR="00975368">
        <w:t>the cost cap</w:t>
      </w:r>
      <w:r w:rsidR="006E6D2D">
        <w:t xml:space="preserve"> calculations </w:t>
      </w:r>
      <w:r w:rsidR="00975368">
        <w:t xml:space="preserve">are </w:t>
      </w:r>
      <w:r w:rsidR="00115CFE">
        <w:t xml:space="preserve">affected by changes in the assumptions about </w:t>
      </w:r>
      <w:r w:rsidR="008D1E5A">
        <w:t xml:space="preserve">SDG&amp;E’s total actual spend as well as changes in the </w:t>
      </w:r>
      <w:r w:rsidR="000B75F9">
        <w:t xml:space="preserve">methodology used to calculate </w:t>
      </w:r>
      <w:r w:rsidR="004E7AB0">
        <w:t xml:space="preserve">how the </w:t>
      </w:r>
      <w:r w:rsidR="00835A1D">
        <w:lastRenderedPageBreak/>
        <w:t>2024 GRC authorized SDG&amp;E to spend on energization-related projects.</w:t>
      </w:r>
      <w:r w:rsidR="00C66036">
        <w:t xml:space="preserve"> </w:t>
      </w:r>
      <w:r w:rsidR="009C2A4F">
        <w:t xml:space="preserve">Similarly, </w:t>
      </w:r>
      <w:r w:rsidR="002D0830">
        <w:t xml:space="preserve">if any cost categories or subcategories are found not to </w:t>
      </w:r>
      <w:r w:rsidR="004639D6">
        <w:t>qualify as “energization-related,” that would affect the total cap</w:t>
      </w:r>
      <w:r w:rsidR="007A5949">
        <w:t>.</w:t>
      </w:r>
      <w:r w:rsidR="005B0D08">
        <w:t xml:space="preserve"> These topics are discussed in more </w:t>
      </w:r>
      <w:r w:rsidR="00071D3F">
        <w:t>detail in the following sections.</w:t>
      </w:r>
    </w:p>
    <w:p w:rsidR="005939A5" w:rsidP="00BB4B1B" w:rsidRDefault="00CC10D1" w14:paraId="07D47B44" w14:textId="1AA3149F">
      <w:pPr>
        <w:pStyle w:val="Heading1"/>
      </w:pPr>
      <w:bookmarkStart w:name="_Toc212538525" w:id="10"/>
      <w:r>
        <w:t>Threshold Issues</w:t>
      </w:r>
      <w:bookmarkEnd w:id="10"/>
    </w:p>
    <w:p w:rsidR="007F1773" w:rsidP="00BB4B1B" w:rsidRDefault="00CC10D1" w14:paraId="192DD0C3" w14:textId="1D134EFD">
      <w:pPr>
        <w:pStyle w:val="Heading2"/>
      </w:pPr>
      <w:bookmarkStart w:name="_Toc212538526" w:id="11"/>
      <w:r>
        <w:t>Whet</w:t>
      </w:r>
      <w:r w:rsidR="00BD0B24">
        <w:t xml:space="preserve">her </w:t>
      </w:r>
      <w:r w:rsidR="0040495F">
        <w:t>San Diego Gas &amp; Electric Company</w:t>
      </w:r>
      <w:r w:rsidR="00836A9E">
        <w:t>’</w:t>
      </w:r>
      <w:r w:rsidR="00BD0B24">
        <w:t xml:space="preserve">s Application Merits </w:t>
      </w:r>
      <w:r w:rsidR="00590D01">
        <w:t xml:space="preserve">Denial </w:t>
      </w:r>
      <w:r w:rsidR="006C2261">
        <w:t>Due to Lack of Supporting Evidence</w:t>
      </w:r>
      <w:bookmarkEnd w:id="11"/>
    </w:p>
    <w:p w:rsidR="009F306E" w:rsidP="00F67BCA" w:rsidRDefault="00366301" w14:paraId="0EEE3633" w14:textId="20A56D7A">
      <w:pPr>
        <w:pStyle w:val="Standard"/>
      </w:pPr>
      <w:r>
        <w:t>Cal Advoc</w:t>
      </w:r>
      <w:r w:rsidR="006221EB">
        <w:t xml:space="preserve">ates, </w:t>
      </w:r>
      <w:proofErr w:type="spellStart"/>
      <w:r w:rsidR="006221EB">
        <w:t>SBUA</w:t>
      </w:r>
      <w:proofErr w:type="spellEnd"/>
      <w:r w:rsidR="006221EB">
        <w:t xml:space="preserve">, TURN, and UCAN all </w:t>
      </w:r>
      <w:r w:rsidR="00C37377">
        <w:t xml:space="preserve">contend </w:t>
      </w:r>
      <w:r w:rsidR="006221EB">
        <w:t xml:space="preserve">that </w:t>
      </w:r>
      <w:r w:rsidR="00D95A38">
        <w:t>SDG&amp;E</w:t>
      </w:r>
      <w:r w:rsidR="002E0D7F">
        <w:t xml:space="preserve"> </w:t>
      </w:r>
      <w:r w:rsidR="007A23F8">
        <w:t>did not provide sufficient evidence or explanation to support its requests</w:t>
      </w:r>
      <w:r w:rsidR="003B1FF1">
        <w:t>, as outlined in Section 3.1</w:t>
      </w:r>
      <w:r w:rsidR="002C7FE8">
        <w:t>.</w:t>
      </w:r>
      <w:r w:rsidRPr="009550BB" w:rsidR="002C7FE8">
        <w:rPr>
          <w:rStyle w:val="FootnoteReference"/>
        </w:rPr>
        <w:footnoteReference w:id="6"/>
      </w:r>
      <w:r w:rsidR="00434918">
        <w:t xml:space="preserve"> </w:t>
      </w:r>
      <w:r>
        <w:t>Cal Advoc</w:t>
      </w:r>
      <w:r w:rsidR="002C7FE8">
        <w:t xml:space="preserve">ates and TURN </w:t>
      </w:r>
      <w:r w:rsidR="00BB5537">
        <w:t xml:space="preserve">argue </w:t>
      </w:r>
      <w:r w:rsidR="002C7FE8">
        <w:t xml:space="preserve">that </w:t>
      </w:r>
      <w:r w:rsidR="00944544">
        <w:t xml:space="preserve">the </w:t>
      </w:r>
      <w:r w:rsidR="00414B00">
        <w:t xml:space="preserve">deficiencies </w:t>
      </w:r>
      <w:r w:rsidR="00434918">
        <w:t xml:space="preserve">are so severe that the Commission should </w:t>
      </w:r>
      <w:r w:rsidR="00590D01">
        <w:t xml:space="preserve">deny the application </w:t>
      </w:r>
      <w:r w:rsidR="00434918">
        <w:t>outright</w:t>
      </w:r>
      <w:r w:rsidR="00590D01">
        <w:t>.</w:t>
      </w:r>
      <w:r w:rsidRPr="009550BB" w:rsidR="00B506B4">
        <w:rPr>
          <w:rStyle w:val="FootnoteReference"/>
        </w:rPr>
        <w:footnoteReference w:id="7"/>
      </w:r>
      <w:r w:rsidR="00D04CB0">
        <w:t xml:space="preserve"> CUE and SDG&amp;E </w:t>
      </w:r>
      <w:r w:rsidR="00DB5427">
        <w:t xml:space="preserve">disagree and contend that the application meets the </w:t>
      </w:r>
      <w:r w:rsidR="00922CD2">
        <w:t xml:space="preserve">requirements laid out </w:t>
      </w:r>
      <w:r w:rsidR="002115BB">
        <w:t xml:space="preserve">by </w:t>
      </w:r>
      <w:r w:rsidR="00922CD2">
        <w:t>statute</w:t>
      </w:r>
      <w:r w:rsidR="002115BB">
        <w:t xml:space="preserve"> and </w:t>
      </w:r>
      <w:r w:rsidR="007D6CB2">
        <w:t xml:space="preserve">contains sufficient evidence and justification for the Commission to </w:t>
      </w:r>
      <w:r w:rsidR="00FB0C3E">
        <w:t>grant SDG&amp;E’s request in full</w:t>
      </w:r>
      <w:r w:rsidR="002115BB">
        <w:t>.</w:t>
      </w:r>
      <w:r w:rsidR="00FB0C3E">
        <w:rPr>
          <w:rStyle w:val="FootnoteReference"/>
        </w:rPr>
        <w:footnoteReference w:id="8"/>
      </w:r>
    </w:p>
    <w:p w:rsidR="00076134" w:rsidP="00F67BCA" w:rsidRDefault="00844037" w14:paraId="7B070842" w14:textId="40F77523">
      <w:pPr>
        <w:pStyle w:val="Standard"/>
      </w:pPr>
      <w:r>
        <w:t xml:space="preserve">This decision </w:t>
      </w:r>
      <w:r w:rsidR="00222738">
        <w:t xml:space="preserve">agrees with CUE and SDG&amp;E that </w:t>
      </w:r>
      <w:r w:rsidR="00CA3480">
        <w:t>the instant application meets the minimum requirements laid out by statute</w:t>
      </w:r>
      <w:r w:rsidR="003B1FF1">
        <w:t xml:space="preserve">. </w:t>
      </w:r>
      <w:r w:rsidR="00F745EE">
        <w:t xml:space="preserve">This decision does not deny </w:t>
      </w:r>
      <w:r w:rsidR="00853955">
        <w:t xml:space="preserve">SDG&amp;E’s </w:t>
      </w:r>
      <w:r w:rsidR="00F745EE">
        <w:t xml:space="preserve">application </w:t>
      </w:r>
      <w:r w:rsidR="00E66D20">
        <w:t xml:space="preserve">outright </w:t>
      </w:r>
      <w:r w:rsidR="007E4D17">
        <w:t xml:space="preserve">but </w:t>
      </w:r>
      <w:r w:rsidR="00F745EE">
        <w:t xml:space="preserve">instead evaluates </w:t>
      </w:r>
      <w:r w:rsidR="008E73F4">
        <w:t xml:space="preserve">each cost </w:t>
      </w:r>
      <w:r w:rsidR="00E66D20">
        <w:t xml:space="preserve">forecast </w:t>
      </w:r>
      <w:r w:rsidR="008E73F4">
        <w:t>individually</w:t>
      </w:r>
      <w:r w:rsidR="00E00355">
        <w:t>.</w:t>
      </w:r>
      <w:r w:rsidRPr="009550BB" w:rsidR="00542240">
        <w:rPr>
          <w:rStyle w:val="FootnoteReference"/>
        </w:rPr>
        <w:footnoteReference w:id="9"/>
      </w:r>
      <w:r w:rsidR="00E00355">
        <w:t xml:space="preserve"> </w:t>
      </w:r>
      <w:r w:rsidR="00A80DDB">
        <w:t xml:space="preserve">Where SDG&amp;E presents reasonable and justified cost forecasts, this decision allows the cost forecasts to count toward the </w:t>
      </w:r>
      <w:r w:rsidR="00CF79E6">
        <w:t xml:space="preserve">cap. Allowing SDG&amp;E to record </w:t>
      </w:r>
      <w:r w:rsidR="004C10F1">
        <w:t xml:space="preserve">such costs advances the </w:t>
      </w:r>
      <w:r w:rsidR="00D5305F">
        <w:t>State’s goals to promptly energize</w:t>
      </w:r>
      <w:r w:rsidR="00E92EA2">
        <w:t xml:space="preserve"> new customers </w:t>
      </w:r>
      <w:r w:rsidR="00E92EA2">
        <w:lastRenderedPageBreak/>
        <w:t xml:space="preserve">and upgrade service when </w:t>
      </w:r>
      <w:r w:rsidR="00931E52">
        <w:t>requested</w:t>
      </w:r>
      <w:r w:rsidR="00E92EA2">
        <w:t>.</w:t>
      </w:r>
      <w:r w:rsidR="00E92EA2">
        <w:rPr>
          <w:rStyle w:val="FootnoteReference"/>
        </w:rPr>
        <w:footnoteReference w:id="10"/>
      </w:r>
      <w:r w:rsidR="00076134">
        <w:t xml:space="preserve"> </w:t>
      </w:r>
      <w:r w:rsidR="00E00355">
        <w:t xml:space="preserve">Where SDG&amp;E does not sufficiently justify or explain its cost forecasts, this decision does not </w:t>
      </w:r>
      <w:r w:rsidR="009308C7">
        <w:t xml:space="preserve">allow those </w:t>
      </w:r>
      <w:r w:rsidR="00E00355">
        <w:t xml:space="preserve">forecasts </w:t>
      </w:r>
      <w:r w:rsidR="009308C7">
        <w:t xml:space="preserve">to count </w:t>
      </w:r>
      <w:r w:rsidR="00E00355">
        <w:t>toward the overall cap.</w:t>
      </w:r>
      <w:r w:rsidR="00754026">
        <w:t xml:space="preserve"> </w:t>
      </w:r>
    </w:p>
    <w:p w:rsidRPr="00D772E1" w:rsidR="00D772E1" w:rsidP="00BB4B1B" w:rsidRDefault="00D772E1" w14:paraId="51AEDE42" w14:textId="27904E76">
      <w:pPr>
        <w:pStyle w:val="Heading2"/>
      </w:pPr>
      <w:bookmarkStart w:name="_Toc207899103" w:id="12"/>
      <w:bookmarkStart w:name="_Toc207899104" w:id="13"/>
      <w:bookmarkStart w:name="_Toc207899105" w:id="14"/>
      <w:bookmarkStart w:name="_Toc207899106" w:id="15"/>
      <w:bookmarkStart w:name="_Toc207899107" w:id="16"/>
      <w:bookmarkStart w:name="_Toc207899108" w:id="17"/>
      <w:bookmarkStart w:name="_Toc207899109" w:id="18"/>
      <w:bookmarkStart w:name="_Toc207899110" w:id="19"/>
      <w:bookmarkStart w:name="_Toc207899111" w:id="20"/>
      <w:bookmarkStart w:name="_Toc207899112" w:id="21"/>
      <w:bookmarkStart w:name="_Toc212538527" w:id="22"/>
      <w:bookmarkEnd w:id="12"/>
      <w:bookmarkEnd w:id="13"/>
      <w:bookmarkEnd w:id="14"/>
      <w:bookmarkEnd w:id="15"/>
      <w:bookmarkEnd w:id="16"/>
      <w:bookmarkEnd w:id="17"/>
      <w:bookmarkEnd w:id="18"/>
      <w:bookmarkEnd w:id="19"/>
      <w:bookmarkEnd w:id="20"/>
      <w:bookmarkEnd w:id="21"/>
      <w:r>
        <w:t xml:space="preserve">Whether </w:t>
      </w:r>
      <w:r w:rsidR="0040495F">
        <w:t>San Diego Gas &amp; Electric Company</w:t>
      </w:r>
      <w:r w:rsidR="00836A9E">
        <w:t>’</w:t>
      </w:r>
      <w:r>
        <w:t xml:space="preserve">s Current Energization Performance </w:t>
      </w:r>
      <w:r w:rsidR="003E3BCD">
        <w:t xml:space="preserve">Disqualifies It </w:t>
      </w:r>
      <w:r w:rsidR="00E87DA9">
        <w:t>f</w:t>
      </w:r>
      <w:r w:rsidR="003E3BCD">
        <w:t>rom</w:t>
      </w:r>
      <w:r w:rsidR="003E3BCD">
        <w:t xml:space="preserve"> Seeking to Record </w:t>
      </w:r>
      <w:r w:rsidR="00546ED8">
        <w:t>Additional Capital</w:t>
      </w:r>
      <w:r w:rsidR="00FB6FFB">
        <w:t xml:space="preserve"> </w:t>
      </w:r>
      <w:r w:rsidR="003E3BCD">
        <w:t>Spend</w:t>
      </w:r>
      <w:bookmarkEnd w:id="22"/>
    </w:p>
    <w:p w:rsidRPr="00727B76" w:rsidR="00807B08" w:rsidP="00F67BCA" w:rsidRDefault="00EF0079" w14:paraId="721476A5" w14:textId="06BD49E2">
      <w:pPr>
        <w:pStyle w:val="Standard"/>
      </w:pPr>
      <w:r>
        <w:t xml:space="preserve">TURN </w:t>
      </w:r>
      <w:r w:rsidR="007B2FAE">
        <w:t>argue</w:t>
      </w:r>
      <w:r w:rsidR="00385A28">
        <w:t>s</w:t>
      </w:r>
      <w:r w:rsidR="007B2FAE">
        <w:t xml:space="preserve"> that SDG&amp;E has not demonstrated any need for additional funds </w:t>
      </w:r>
      <w:r w:rsidR="14E1B66B">
        <w:t>over the amounts it received in its GRC</w:t>
      </w:r>
      <w:r w:rsidR="007B2FAE">
        <w:t xml:space="preserve"> to meet customer energization demands</w:t>
      </w:r>
      <w:r w:rsidR="00A20011">
        <w:t>.</w:t>
      </w:r>
      <w:r w:rsidRPr="009550BB" w:rsidR="00A20011">
        <w:rPr>
          <w:rStyle w:val="FootnoteReference"/>
        </w:rPr>
        <w:footnoteReference w:id="11"/>
      </w:r>
      <w:r w:rsidR="00B770D8">
        <w:t xml:space="preserve"> </w:t>
      </w:r>
      <w:r w:rsidR="001375A2">
        <w:t xml:space="preserve">TURN </w:t>
      </w:r>
      <w:r w:rsidR="0071722F">
        <w:t xml:space="preserve">notes that </w:t>
      </w:r>
      <w:r w:rsidR="005B1291">
        <w:t xml:space="preserve">in November 2024, </w:t>
      </w:r>
      <w:r w:rsidR="000E293E">
        <w:t>SDG&amp;E reported that it significantly outperformed the energization timeline requirements adopted by the Commission.</w:t>
      </w:r>
      <w:r w:rsidRPr="009550BB" w:rsidR="000E293E">
        <w:rPr>
          <w:rStyle w:val="FootnoteReference"/>
        </w:rPr>
        <w:footnoteReference w:id="12"/>
      </w:r>
      <w:r w:rsidR="00807B08">
        <w:t xml:space="preserve"> TURN </w:t>
      </w:r>
      <w:r w:rsidR="00385A28">
        <w:t xml:space="preserve">also </w:t>
      </w:r>
      <w:r w:rsidR="00807B08">
        <w:t xml:space="preserve">notes that in March 2025, </w:t>
      </w:r>
      <w:r w:rsidR="00836A9E">
        <w:t>“</w:t>
      </w:r>
      <w:r w:rsidRPr="009953CC" w:rsidR="00807B08">
        <w:t xml:space="preserve">SDG&amp;E stated that it considered it an </w:t>
      </w:r>
      <w:r w:rsidR="00836A9E">
        <w:t>‘</w:t>
      </w:r>
      <w:r w:rsidRPr="009953CC" w:rsidR="00807B08">
        <w:t>unlikely event</w:t>
      </w:r>
      <w:r w:rsidR="00836A9E">
        <w:t>’</w:t>
      </w:r>
      <w:r w:rsidRPr="009953CC" w:rsidR="00807B08">
        <w:t xml:space="preserve"> that the utility would be </w:t>
      </w:r>
      <w:r w:rsidR="00836A9E">
        <w:t>‘</w:t>
      </w:r>
      <w:r w:rsidRPr="009953CC" w:rsidR="00807B08">
        <w:t>unable to accommodate the full load amount requested by the customer because of an upstream capacity constraint.</w:t>
      </w:r>
      <w:r w:rsidR="00836A9E">
        <w:t>’”</w:t>
      </w:r>
      <w:r w:rsidRPr="009550BB" w:rsidR="00807B08">
        <w:rPr>
          <w:rStyle w:val="FootnoteReference"/>
        </w:rPr>
        <w:footnoteReference w:id="13"/>
      </w:r>
      <w:r w:rsidR="00807B08">
        <w:t xml:space="preserve"> TURN adds that </w:t>
      </w:r>
      <w:r w:rsidR="00B2349A">
        <w:t xml:space="preserve">SDG&amp;E has </w:t>
      </w:r>
      <w:r w:rsidR="00567540">
        <w:t xml:space="preserve">expressed </w:t>
      </w:r>
      <w:r w:rsidR="001A0A58">
        <w:t xml:space="preserve">such </w:t>
      </w:r>
      <w:r w:rsidR="00567540">
        <w:t xml:space="preserve">confidence in its ability </w:t>
      </w:r>
      <w:r w:rsidR="00D56AB8">
        <w:t xml:space="preserve">to </w:t>
      </w:r>
      <w:r w:rsidR="009A56F6">
        <w:t>energize new load</w:t>
      </w:r>
      <w:r w:rsidR="00BE65E3">
        <w:t>s</w:t>
      </w:r>
      <w:r w:rsidR="002F05B1">
        <w:t xml:space="preserve"> </w:t>
      </w:r>
      <w:r w:rsidR="001A0A58">
        <w:t xml:space="preserve">that SDG&amp;E </w:t>
      </w:r>
      <w:r w:rsidR="000F22A3">
        <w:t xml:space="preserve">objected to establishing a project prioritization mechanism because it </w:t>
      </w:r>
      <w:r w:rsidR="0024761A">
        <w:t>would not be used</w:t>
      </w:r>
      <w:r w:rsidR="00FD6A98">
        <w:t xml:space="preserve"> (</w:t>
      </w:r>
      <w:r w:rsidRPr="00897A6E" w:rsidR="00897A6E">
        <w:rPr>
          <w:i/>
          <w:iCs/>
        </w:rPr>
        <w:t>i.e.</w:t>
      </w:r>
      <w:r w:rsidR="00FD6A98">
        <w:t xml:space="preserve">, </w:t>
      </w:r>
      <w:r w:rsidR="00FD6A98">
        <w:lastRenderedPageBreak/>
        <w:t>SDG&amp;E saw no need to triage or prioritize its energization projects because it would be able to complete all of them.</w:t>
      </w:r>
      <w:r w:rsidRPr="009550BB" w:rsidR="00807B08">
        <w:rPr>
          <w:rStyle w:val="FootnoteReference"/>
        </w:rPr>
        <w:footnoteReference w:id="14"/>
      </w:r>
    </w:p>
    <w:p w:rsidR="000E293E" w:rsidP="00F67BCA" w:rsidRDefault="00DF6381" w14:paraId="62C53284" w14:textId="2C97A0E3">
      <w:pPr>
        <w:pStyle w:val="Standard"/>
      </w:pPr>
      <w:r>
        <w:t xml:space="preserve">SDG&amp;E argues </w:t>
      </w:r>
      <w:r w:rsidR="00EB1F3D">
        <w:t xml:space="preserve">that it </w:t>
      </w:r>
      <w:r>
        <w:t>currently meets its energization targets on average and in aggregate</w:t>
      </w:r>
      <w:r w:rsidR="00DE6D73">
        <w:t xml:space="preserve">, but this statistic hides the fact that </w:t>
      </w:r>
      <w:r w:rsidR="009B4AF3">
        <w:t xml:space="preserve">while </w:t>
      </w:r>
      <w:r w:rsidR="00DE6D73">
        <w:t xml:space="preserve">SDG&amp;E </w:t>
      </w:r>
      <w:r w:rsidR="009B4AF3">
        <w:t xml:space="preserve">outperforms for </w:t>
      </w:r>
      <w:r w:rsidR="00B60F03">
        <w:t xml:space="preserve">extending service from distribution lines to a customer meter </w:t>
      </w:r>
      <w:r w:rsidR="00EC0035">
        <w:t>(</w:t>
      </w:r>
      <w:r w:rsidR="005E66BA">
        <w:t xml:space="preserve">requests under tariff </w:t>
      </w:r>
      <w:r w:rsidR="00147172">
        <w:t>Rule </w:t>
      </w:r>
      <w:r w:rsidR="005E66BA">
        <w:t>16</w:t>
      </w:r>
      <w:r w:rsidR="00EC0035">
        <w:t xml:space="preserve">), it </w:t>
      </w:r>
      <w:r w:rsidR="00DE6D73">
        <w:t xml:space="preserve">underperforms </w:t>
      </w:r>
      <w:r w:rsidR="00EC0035">
        <w:t>in the five remaining categories</w:t>
      </w:r>
      <w:r>
        <w:t>.</w:t>
      </w:r>
      <w:r w:rsidRPr="009550BB">
        <w:rPr>
          <w:rStyle w:val="FootnoteReference"/>
        </w:rPr>
        <w:footnoteReference w:id="15"/>
      </w:r>
      <w:r>
        <w:t xml:space="preserve"> </w:t>
      </w:r>
      <w:r w:rsidR="000B3AD4">
        <w:t xml:space="preserve">Furthermore, </w:t>
      </w:r>
      <w:r w:rsidR="0065226C">
        <w:t xml:space="preserve">SDG&amp;E argues that the Commission requires SDG&amp;E to meet all its energization targets individually, not in aggregate. </w:t>
      </w:r>
      <w:r w:rsidR="003139F6">
        <w:t xml:space="preserve">SDG&amp;E </w:t>
      </w:r>
      <w:r w:rsidR="00ED17EF">
        <w:t xml:space="preserve">argues that </w:t>
      </w:r>
      <w:r w:rsidR="003974CE">
        <w:t xml:space="preserve">it will use </w:t>
      </w:r>
      <w:r w:rsidR="00CA38B6">
        <w:t xml:space="preserve">the funds </w:t>
      </w:r>
      <w:r w:rsidR="53F78153">
        <w:t xml:space="preserve">it seeks in this application </w:t>
      </w:r>
      <w:r w:rsidR="0018789B">
        <w:t xml:space="preserve">to improve </w:t>
      </w:r>
      <w:r w:rsidR="003974CE">
        <w:t xml:space="preserve">its performance for </w:t>
      </w:r>
      <w:r w:rsidR="004D125D">
        <w:t xml:space="preserve">more types of </w:t>
      </w:r>
      <w:r w:rsidR="003974CE">
        <w:t xml:space="preserve">energizations </w:t>
      </w:r>
      <w:r w:rsidR="004D125D">
        <w:t>than just Rule 16</w:t>
      </w:r>
      <w:r w:rsidR="5943FF4A">
        <w:t xml:space="preserve">, including </w:t>
      </w:r>
      <w:r w:rsidR="005E66BA">
        <w:t>extending lines to new developments (</w:t>
      </w:r>
      <w:r w:rsidR="00147172">
        <w:t>tariff Rule </w:t>
      </w:r>
      <w:r w:rsidR="005E66BA">
        <w:t>15), electric vehicle charging infrastructure (</w:t>
      </w:r>
      <w:r w:rsidR="00147172">
        <w:t>tariff Rule </w:t>
      </w:r>
      <w:r w:rsidR="00FF7418">
        <w:t>45), and more</w:t>
      </w:r>
      <w:r>
        <w:t>.</w:t>
      </w:r>
      <w:r w:rsidRPr="009550BB" w:rsidR="008B5505">
        <w:rPr>
          <w:rStyle w:val="FootnoteReference"/>
        </w:rPr>
        <w:footnoteReference w:id="16"/>
      </w:r>
      <w:r w:rsidR="000347B2">
        <w:t xml:space="preserve"> </w:t>
      </w:r>
      <w:r w:rsidR="00D4372E">
        <w:t>In the future</w:t>
      </w:r>
      <w:r w:rsidR="00DD576B">
        <w:t xml:space="preserve">, SDG&amp;E expects energization demand to increase, </w:t>
      </w:r>
      <w:r w:rsidR="00437E54">
        <w:t>and the requested funding will help it maintain its good performance in the future.</w:t>
      </w:r>
      <w:r w:rsidRPr="009550BB" w:rsidR="00B36A52">
        <w:rPr>
          <w:rStyle w:val="FootnoteReference"/>
        </w:rPr>
        <w:footnoteReference w:id="17"/>
      </w:r>
      <w:r w:rsidR="008427E6">
        <w:t xml:space="preserve"> This is consistent with the intent of </w:t>
      </w:r>
      <w:r w:rsidR="0040495F">
        <w:t>SB </w:t>
      </w:r>
      <w:r w:rsidR="008427E6">
        <w:t>410</w:t>
      </w:r>
      <w:r w:rsidR="00545762">
        <w:t xml:space="preserve">, SDG&amp;E argues, as it </w:t>
      </w:r>
      <w:r w:rsidR="006B35B0">
        <w:t xml:space="preserve">aims to </w:t>
      </w:r>
      <w:r w:rsidR="00A54296">
        <w:t>prevent future backlogs.</w:t>
      </w:r>
      <w:r w:rsidRPr="009550BB" w:rsidR="00A54296">
        <w:rPr>
          <w:rStyle w:val="FootnoteReference"/>
        </w:rPr>
        <w:footnoteReference w:id="18"/>
      </w:r>
    </w:p>
    <w:p w:rsidR="00A34F58" w:rsidP="00F67BCA" w:rsidRDefault="00411B9A" w14:paraId="33EE2F7B" w14:textId="42362AA9">
      <w:pPr>
        <w:pStyle w:val="Standard"/>
      </w:pPr>
      <w:r>
        <w:t>Considering the weight of both arguments, t</w:t>
      </w:r>
      <w:r w:rsidRPr="00FF7FDE" w:rsidR="00A34F58">
        <w:t xml:space="preserve">his decision does not </w:t>
      </w:r>
      <w:r>
        <w:t xml:space="preserve">summarily </w:t>
      </w:r>
      <w:r w:rsidRPr="00FF7FDE" w:rsidR="00A34F58">
        <w:t>deny SDG&amp;E’s application even though SDG&amp;E</w:t>
      </w:r>
      <w:r w:rsidR="00A34F58">
        <w:t>’s</w:t>
      </w:r>
      <w:r w:rsidRPr="00FF7FDE" w:rsidR="00A34F58">
        <w:t xml:space="preserve"> </w:t>
      </w:r>
      <w:r w:rsidR="00A34F58">
        <w:t xml:space="preserve">average time-to-energize meets the 125-day </w:t>
      </w:r>
      <w:r w:rsidRPr="00FF7FDE" w:rsidR="00A34F58">
        <w:t>target set by D.24-09-020</w:t>
      </w:r>
      <w:r w:rsidR="00D556DC">
        <w:t xml:space="preserve"> because SB 410 does not </w:t>
      </w:r>
      <w:r w:rsidR="00D556DC">
        <w:lastRenderedPageBreak/>
        <w:t>restrict the ratemaking mechanism only to utilities that are out of compliance with some or all of the requirements set by D.24-09-020</w:t>
      </w:r>
      <w:r w:rsidRPr="00FF7FDE" w:rsidR="00A34F58">
        <w:t>.</w:t>
      </w:r>
    </w:p>
    <w:p w:rsidR="00AA1BE3" w:rsidP="00BB4B1B" w:rsidRDefault="00AA1BE3" w14:paraId="7F7A3C42" w14:textId="30B9BC75">
      <w:pPr>
        <w:pStyle w:val="Heading2"/>
      </w:pPr>
      <w:bookmarkStart w:name="_Toc212538528" w:id="23"/>
      <w:r>
        <w:t>Whether SDG&amp;E’s Application</w:t>
      </w:r>
      <w:r w:rsidR="00FB6FFB">
        <w:t xml:space="preserve"> Merits Denial Due to Its</w:t>
      </w:r>
      <w:r w:rsidR="003E3BCD">
        <w:t xml:space="preserve"> Historical Underspend </w:t>
      </w:r>
      <w:r w:rsidR="00E16CCD">
        <w:t>Relative to Its GRC-Authorized Spend on Electric Distribution Capital</w:t>
      </w:r>
      <w:bookmarkEnd w:id="23"/>
    </w:p>
    <w:p w:rsidR="00411B9A" w:rsidP="009550BB" w:rsidRDefault="00602A35" w14:paraId="256161B1" w14:textId="194F315F">
      <w:pPr>
        <w:pStyle w:val="Standard"/>
      </w:pPr>
      <w:r w:rsidRPr="5693D092">
        <w:t>TURN notes that SDG&amp;E has spent less than its GRC</w:t>
      </w:r>
      <w:r w:rsidR="00503215">
        <w:noBreakHyphen/>
      </w:r>
      <w:r w:rsidRPr="5693D092">
        <w:t xml:space="preserve">authorized amount of electric distribution capital in 2024 and </w:t>
      </w:r>
      <w:r w:rsidR="007C7F15">
        <w:t xml:space="preserve">in </w:t>
      </w:r>
      <w:r w:rsidRPr="5693D092">
        <w:t>five of the past six years.</w:t>
      </w:r>
      <w:r w:rsidRPr="009550BB">
        <w:rPr>
          <w:rStyle w:val="FootnoteReference"/>
        </w:rPr>
        <w:footnoteReference w:id="19"/>
      </w:r>
      <w:r w:rsidR="00A86F7D">
        <w:t xml:space="preserve"> </w:t>
      </w:r>
      <w:r w:rsidR="00FA6367">
        <w:t>While the electric distribution capital category contains non</w:t>
      </w:r>
      <w:r w:rsidR="00503215">
        <w:noBreakHyphen/>
      </w:r>
      <w:r w:rsidR="00FA6367">
        <w:t xml:space="preserve">energization activities, TURN </w:t>
      </w:r>
      <w:r w:rsidR="00E202FE">
        <w:t>questions SDG&amp;E</w:t>
      </w:r>
      <w:r w:rsidR="00836A9E">
        <w:t>’</w:t>
      </w:r>
      <w:r w:rsidR="00E202FE">
        <w:t xml:space="preserve">s choice </w:t>
      </w:r>
      <w:r w:rsidR="002E6EAC">
        <w:t xml:space="preserve">to </w:t>
      </w:r>
      <w:r w:rsidR="00D46911">
        <w:t xml:space="preserve">record additional funding </w:t>
      </w:r>
      <w:r w:rsidR="00A64FB2">
        <w:t xml:space="preserve">when </w:t>
      </w:r>
      <w:r w:rsidR="00AC0B62">
        <w:t xml:space="preserve">SDG&amp;E has consistently elected not to reallocate funds within the </w:t>
      </w:r>
      <w:r w:rsidR="00DA0DD2">
        <w:t>electric distribution capital category to pay for energization activities.</w:t>
      </w:r>
      <w:r w:rsidRPr="5693D092">
        <w:t xml:space="preserve"> </w:t>
      </w:r>
      <w:r>
        <w:t xml:space="preserve">TURN argues the Commission should not authorize SDG&amp;E to </w:t>
      </w:r>
      <w:r w:rsidR="00836A9E">
        <w:t>“</w:t>
      </w:r>
      <w:r>
        <w:t xml:space="preserve">simultaneously underspend on distribution capital relative to its GRC forecast and receive interim rate recovery for </w:t>
      </w:r>
      <w:r w:rsidR="00836A9E">
        <w:t>‘</w:t>
      </w:r>
      <w:r>
        <w:t>incremental</w:t>
      </w:r>
      <w:r w:rsidR="00836A9E">
        <w:t>’</w:t>
      </w:r>
      <w:r>
        <w:t xml:space="preserve"> spending on selected energization categories</w:t>
      </w:r>
      <w:r w:rsidR="006B79CC">
        <w:t>,</w:t>
      </w:r>
      <w:r w:rsidR="00836A9E">
        <w:t>”</w:t>
      </w:r>
      <w:r w:rsidR="006B79CC">
        <w:t xml:space="preserve"> given that</w:t>
      </w:r>
      <w:r w:rsidR="002D0C78">
        <w:t xml:space="preserve"> </w:t>
      </w:r>
      <w:r w:rsidR="006B79CC">
        <w:t xml:space="preserve">energization costs are a subset of </w:t>
      </w:r>
      <w:r w:rsidR="000049C1">
        <w:t>the distribution capital bucket.</w:t>
      </w:r>
      <w:r w:rsidRPr="00834847" w:rsidR="00834847">
        <w:rPr>
          <w:rStyle w:val="FootnoteReference"/>
        </w:rPr>
        <w:t xml:space="preserve"> </w:t>
      </w:r>
      <w:r w:rsidR="00834847">
        <w:rPr>
          <w:rStyle w:val="FootnoteReference"/>
        </w:rPr>
        <w:footnoteReference w:id="20"/>
      </w:r>
      <w:r w:rsidR="000049C1">
        <w:t xml:space="preserve"> </w:t>
      </w:r>
      <w:r>
        <w:t xml:space="preserve">Accordingly, TURN recommends the Commission not authorize any incremental energization spending in 2024, 2025, or 2026, and prohibit costs recorded to the </w:t>
      </w:r>
      <w:r w:rsidR="00614F65">
        <w:t xml:space="preserve">EEMA </w:t>
      </w:r>
      <w:r>
        <w:t xml:space="preserve">from being transferred to the </w:t>
      </w:r>
      <w:r w:rsidR="00614F65">
        <w:t>Electric Distribution Fixed Cost Account (</w:t>
      </w:r>
      <w:proofErr w:type="spellStart"/>
      <w:r w:rsidR="00614F65">
        <w:t>EDFCA</w:t>
      </w:r>
      <w:proofErr w:type="spellEnd"/>
      <w:r w:rsidR="00614F65">
        <w:t xml:space="preserve">) </w:t>
      </w:r>
      <w:r>
        <w:t>if the forecasted total distribution capital spending is below the GRC forecast.</w:t>
      </w:r>
      <w:r w:rsidRPr="009550BB">
        <w:rPr>
          <w:rStyle w:val="FootnoteReference"/>
        </w:rPr>
        <w:footnoteReference w:id="21"/>
      </w:r>
      <w:r w:rsidR="003C0E5D">
        <w:t xml:space="preserve"> </w:t>
      </w:r>
    </w:p>
    <w:p w:rsidR="001458E6" w:rsidP="009550BB" w:rsidRDefault="00D02DAA" w14:paraId="182D562F" w14:textId="6CB636CE">
      <w:pPr>
        <w:pStyle w:val="Standard"/>
      </w:pPr>
      <w:r>
        <w:t>SDG&amp;E disagrees</w:t>
      </w:r>
      <w:r w:rsidR="002640D0">
        <w:t xml:space="preserve"> and claims that </w:t>
      </w:r>
      <w:r w:rsidR="00836A9E">
        <w:t>“</w:t>
      </w:r>
      <w:r w:rsidR="002640D0">
        <w:t xml:space="preserve">[it] </w:t>
      </w:r>
      <w:r w:rsidRPr="00FD2296" w:rsidR="002640D0">
        <w:t>is not credible to argue that SDG&amp;E should be prohibited from recovering costs incurred to energize customers because SDG&amp;E spent less than was authorized for non</w:t>
      </w:r>
      <w:r w:rsidR="00503215">
        <w:noBreakHyphen/>
      </w:r>
      <w:r w:rsidRPr="00FD2296" w:rsidR="002640D0">
        <w:t>energization related activities. So long as SDG&amp;E</w:t>
      </w:r>
      <w:r w:rsidR="00836A9E">
        <w:t>’</w:t>
      </w:r>
      <w:r w:rsidRPr="00FD2296" w:rsidR="002640D0">
        <w:t>s energization</w:t>
      </w:r>
      <w:r w:rsidR="00503215">
        <w:noBreakHyphen/>
      </w:r>
      <w:r w:rsidRPr="00FD2296" w:rsidR="002640D0">
        <w:t xml:space="preserve">related expenditures are just and </w:t>
      </w:r>
      <w:r w:rsidRPr="00FD2296" w:rsidR="002640D0">
        <w:lastRenderedPageBreak/>
        <w:t>reasonable and do not exceed the cap adopted by the Commission, they should be recoverable from ratepayers</w:t>
      </w:r>
      <w:r w:rsidR="003E6BD1">
        <w:t>.</w:t>
      </w:r>
      <w:r w:rsidR="009D7ACB">
        <w:t>”</w:t>
      </w:r>
      <w:r w:rsidRPr="009550BB" w:rsidR="002640D0">
        <w:rPr>
          <w:rStyle w:val="FootnoteReference"/>
        </w:rPr>
        <w:footnoteReference w:id="22"/>
      </w:r>
      <w:r w:rsidRPr="009550BB" w:rsidR="002640D0">
        <w:t xml:space="preserve"> </w:t>
      </w:r>
    </w:p>
    <w:p w:rsidRPr="009550BB" w:rsidR="00D02DAA" w:rsidP="009550BB" w:rsidRDefault="00411B9A" w14:paraId="6F0EC1B6" w14:textId="48F731DB">
      <w:pPr>
        <w:pStyle w:val="Standard"/>
      </w:pPr>
      <w:r>
        <w:t>Considering these arguments, t</w:t>
      </w:r>
      <w:r w:rsidR="00126F5E">
        <w:t xml:space="preserve">his decision finds that SB 410 </w:t>
      </w:r>
      <w:r>
        <w:t xml:space="preserve">does not </w:t>
      </w:r>
      <w:r w:rsidR="00126F5E">
        <w:t xml:space="preserve">indicate that SDG&amp;E must spend up to the GRC-authorized amount on electric distribution capital before requesting a memorandum account to track costs pursuant to SB 410. Accordingly, this decision does not adopt </w:t>
      </w:r>
      <w:proofErr w:type="spellStart"/>
      <w:r w:rsidR="00126F5E">
        <w:t>TURN’s</w:t>
      </w:r>
      <w:proofErr w:type="spellEnd"/>
      <w:r w:rsidR="00126F5E">
        <w:t xml:space="preserve"> recommendation to deny this application due to SDG&amp;E’s historic underspend in the electric distribution capital category</w:t>
      </w:r>
      <w:r w:rsidRPr="009550BB" w:rsidR="00B37083">
        <w:t>.</w:t>
      </w:r>
      <w:r w:rsidR="00476652">
        <w:t xml:space="preserve"> </w:t>
      </w:r>
      <w:r w:rsidR="009626C3">
        <w:t>Additionally</w:t>
      </w:r>
      <w:r w:rsidR="00130D5C">
        <w:t xml:space="preserve">, any costs </w:t>
      </w:r>
      <w:r w:rsidR="00194441">
        <w:t xml:space="preserve">recorded to the EEMA </w:t>
      </w:r>
      <w:r w:rsidR="00130D5C">
        <w:t>that are not found to be incremental to the GRC-authorized amounts would be</w:t>
      </w:r>
      <w:r w:rsidR="00191EF5">
        <w:t xml:space="preserve"> returned to customers.</w:t>
      </w:r>
    </w:p>
    <w:p w:rsidR="00E06913" w:rsidP="00BB4B1B" w:rsidRDefault="00D762A7" w14:paraId="3CEE576C" w14:textId="3678B188">
      <w:pPr>
        <w:pStyle w:val="Heading1"/>
      </w:pPr>
      <w:bookmarkStart w:name="_Toc212538529" w:id="24"/>
      <w:r>
        <w:t>Costs Eligible to Be Recorded in a</w:t>
      </w:r>
      <w:r w:rsidR="009E525D">
        <w:br/>
      </w:r>
      <w:r w:rsidR="0040495F">
        <w:t>Senate Bill </w:t>
      </w:r>
      <w:r>
        <w:t>410 Ratemaking Mechanism</w:t>
      </w:r>
      <w:bookmarkEnd w:id="24"/>
    </w:p>
    <w:p w:rsidR="00D01365" w:rsidP="00BB4B1B" w:rsidRDefault="00D01365" w14:paraId="325CA248" w14:textId="4DAC14F9">
      <w:pPr>
        <w:pStyle w:val="Heading2"/>
      </w:pPr>
      <w:bookmarkStart w:name="_Toc212538530" w:id="25"/>
      <w:r>
        <w:t xml:space="preserve">Costs </w:t>
      </w:r>
      <w:r w:rsidR="009723CB">
        <w:t xml:space="preserve">Incurred </w:t>
      </w:r>
      <w:r w:rsidR="002A4509">
        <w:t xml:space="preserve">After January 1, 2024, But </w:t>
      </w:r>
      <w:r>
        <w:t>Before</w:t>
      </w:r>
      <w:r w:rsidR="002A4509">
        <w:t xml:space="preserve"> </w:t>
      </w:r>
      <w:r w:rsidR="0040495F">
        <w:t>San Diego Gas &amp; Electric Company</w:t>
      </w:r>
      <w:r w:rsidR="002A4509">
        <w:t xml:space="preserve"> </w:t>
      </w:r>
      <w:r w:rsidR="00C10D4A">
        <w:t xml:space="preserve">Filed </w:t>
      </w:r>
      <w:r w:rsidR="009723CB">
        <w:t>the Instant</w:t>
      </w:r>
      <w:r w:rsidR="00C10D4A">
        <w:t xml:space="preserve"> Application</w:t>
      </w:r>
      <w:bookmarkEnd w:id="25"/>
    </w:p>
    <w:p w:rsidR="00337360" w:rsidP="00F67BCA" w:rsidRDefault="00037AF1" w14:paraId="2B80FFF0" w14:textId="62E8C7FA">
      <w:pPr>
        <w:pStyle w:val="Standard"/>
      </w:pPr>
      <w:r>
        <w:t>SDG&amp;E seeks to record approximately $21</w:t>
      </w:r>
      <w:r w:rsidR="009C11C6">
        <w:t> million</w:t>
      </w:r>
      <w:r>
        <w:t xml:space="preserve"> in costs for expenditures in 2024. </w:t>
      </w:r>
      <w:r w:rsidR="00366301">
        <w:t>Cal Advoc</w:t>
      </w:r>
      <w:r>
        <w:t xml:space="preserve">ates argues that </w:t>
      </w:r>
      <w:r w:rsidR="0040495F">
        <w:t>SB </w:t>
      </w:r>
      <w:r>
        <w:t xml:space="preserve">410 prohibits recovery of costs from 2024, noting that </w:t>
      </w:r>
      <w:r w:rsidR="00147172">
        <w:t>Pub. Util.</w:t>
      </w:r>
      <w:r>
        <w:t xml:space="preserve"> Code </w:t>
      </w:r>
      <w:r w:rsidR="004655D9">
        <w:t>Section </w:t>
      </w:r>
      <w:r>
        <w:t xml:space="preserve">937(b)(2) requires the Commission to set an </w:t>
      </w:r>
      <w:r w:rsidR="00836A9E">
        <w:t>“</w:t>
      </w:r>
      <w:r>
        <w:t>up</w:t>
      </w:r>
      <w:r w:rsidR="00503215">
        <w:noBreakHyphen/>
      </w:r>
      <w:r>
        <w:t>front annual cap</w:t>
      </w:r>
      <w:r w:rsidR="00836A9E">
        <w:t>”</w:t>
      </w:r>
      <w:r>
        <w:t xml:space="preserve"> and </w:t>
      </w:r>
      <w:r w:rsidR="00D44244">
        <w:t xml:space="preserve">therefore (1) </w:t>
      </w:r>
      <w:r>
        <w:t>does not allow recovery of costs SDG&amp;E incurred as part of its normal operations</w:t>
      </w:r>
      <w:r w:rsidR="00D44244">
        <w:t xml:space="preserve"> and (2) "indicates that the cap must be known and set…prior to the relevant cost being incurred,” rendering 2024 costs ineligible to be recorded and recovered</w:t>
      </w:r>
      <w:r>
        <w:t>.</w:t>
      </w:r>
      <w:r w:rsidRPr="009550BB">
        <w:rPr>
          <w:rStyle w:val="FootnoteReference"/>
        </w:rPr>
        <w:footnoteReference w:id="23"/>
      </w:r>
      <w:r>
        <w:t xml:space="preserve"> SDG&amp;E disagrees, claiming that the 2024 actual energization expenditures are </w:t>
      </w:r>
      <w:r w:rsidR="00836A9E">
        <w:t>“</w:t>
      </w:r>
      <w:r>
        <w:t xml:space="preserve">precisely the type of costs </w:t>
      </w:r>
      <w:r w:rsidR="0040495F">
        <w:t>SB </w:t>
      </w:r>
      <w:r>
        <w:t>410 was designed to address.</w:t>
      </w:r>
      <w:r w:rsidR="00836A9E">
        <w:t>”</w:t>
      </w:r>
      <w:r w:rsidRPr="009550BB">
        <w:rPr>
          <w:rStyle w:val="FootnoteReference"/>
        </w:rPr>
        <w:footnoteReference w:id="24"/>
      </w:r>
      <w:r>
        <w:t xml:space="preserve"> SDG&amp;E states that </w:t>
      </w:r>
      <w:r w:rsidR="00147172">
        <w:t>Pub. Util.</w:t>
      </w:r>
      <w:r>
        <w:t xml:space="preserve"> </w:t>
      </w:r>
      <w:r>
        <w:lastRenderedPageBreak/>
        <w:t xml:space="preserve">Code </w:t>
      </w:r>
      <w:r w:rsidR="004655D9">
        <w:t>Section </w:t>
      </w:r>
      <w:r>
        <w:t xml:space="preserve">937 </w:t>
      </w:r>
      <w:r w:rsidR="00836A9E">
        <w:t>“</w:t>
      </w:r>
      <w:r>
        <w:t>express</w:t>
      </w:r>
      <w:r w:rsidR="008A6EE6">
        <w:t>ly</w:t>
      </w:r>
      <w:r>
        <w:t xml:space="preserve"> authorizes recovery of incremental costs associated with energization,</w:t>
      </w:r>
      <w:r w:rsidR="00836A9E">
        <w:t>”</w:t>
      </w:r>
      <w:r>
        <w:t xml:space="preserve"> and to exclude those costs would </w:t>
      </w:r>
      <w:r w:rsidR="00836A9E">
        <w:t>“</w:t>
      </w:r>
      <w:r>
        <w:t xml:space="preserve">create a gap in the very cost recovery framework </w:t>
      </w:r>
      <w:r w:rsidR="0040495F">
        <w:t>SB </w:t>
      </w:r>
      <w:r>
        <w:t>410 was intended to fill.</w:t>
      </w:r>
      <w:r w:rsidR="00836A9E">
        <w:t>”</w:t>
      </w:r>
      <w:r w:rsidRPr="009550BB">
        <w:rPr>
          <w:rStyle w:val="FootnoteReference"/>
        </w:rPr>
        <w:footnoteReference w:id="25"/>
      </w:r>
      <w:r>
        <w:t xml:space="preserve"> SDG&amp;E argues that the </w:t>
      </w:r>
      <w:r w:rsidR="00836A9E">
        <w:t>“</w:t>
      </w:r>
      <w:r w:rsidRPr="003C26D0">
        <w:t xml:space="preserve">term </w:t>
      </w:r>
      <w:r w:rsidR="00836A9E">
        <w:t>‘</w:t>
      </w:r>
      <w:r w:rsidRPr="003C26D0">
        <w:t>up</w:t>
      </w:r>
      <w:r w:rsidR="00503215">
        <w:noBreakHyphen/>
      </w:r>
      <w:r w:rsidRPr="003C26D0">
        <w:t>front annual cap</w:t>
      </w:r>
      <w:r w:rsidR="00836A9E">
        <w:t>’</w:t>
      </w:r>
      <w:r w:rsidRPr="003C26D0">
        <w:t xml:space="preserve"> in </w:t>
      </w:r>
      <w:r w:rsidR="00147172">
        <w:t>Pub. Util.</w:t>
      </w:r>
      <w:r w:rsidRPr="003C26D0">
        <w:t xml:space="preserve"> Code </w:t>
      </w:r>
      <w:r w:rsidR="004F6670">
        <w:t>§ </w:t>
      </w:r>
      <w:r w:rsidRPr="003C26D0">
        <w:t>937(b)(2) refers to the structure of the ratemaking mechanism</w:t>
      </w:r>
      <w:r w:rsidR="00D140B1">
        <w:t xml:space="preserve"> — </w:t>
      </w:r>
      <w:r w:rsidRPr="003C26D0">
        <w:t>it ensures that recovery is limited to a defined amount each year. It does not imply that only prospective costs are eligible</w:t>
      </w:r>
      <w:r>
        <w:t>.</w:t>
      </w:r>
      <w:r w:rsidR="00836A9E">
        <w:t>”</w:t>
      </w:r>
      <w:r w:rsidRPr="009550BB">
        <w:rPr>
          <w:rStyle w:val="FootnoteReference"/>
        </w:rPr>
        <w:footnoteReference w:id="26"/>
      </w:r>
      <w:r>
        <w:t xml:space="preserve"> Further, </w:t>
      </w:r>
      <w:r w:rsidR="00836A9E">
        <w:t>“</w:t>
      </w:r>
      <w:r>
        <w:t>[g</w:t>
      </w:r>
      <w:r w:rsidRPr="000F7356">
        <w:t>iven</w:t>
      </w:r>
      <w:r>
        <w:t>]</w:t>
      </w:r>
      <w:r w:rsidRPr="000F7356">
        <w:t xml:space="preserve"> the timing of the GRC decision, it was not</w:t>
      </w:r>
      <w:r>
        <w:t xml:space="preserve"> </w:t>
      </w:r>
      <w:r w:rsidRPr="000F7356">
        <w:t xml:space="preserve">practical for SDG&amp;E to file its </w:t>
      </w:r>
      <w:r w:rsidR="0040495F">
        <w:t>SB </w:t>
      </w:r>
      <w:r w:rsidRPr="000F7356">
        <w:t>410 in the beginning of 2024 in order to prospectively capture all incremental costs for 2024</w:t>
      </w:r>
      <w:r>
        <w:t>.</w:t>
      </w:r>
      <w:r w:rsidR="00836A9E">
        <w:t>”</w:t>
      </w:r>
      <w:r w:rsidRPr="009550BB">
        <w:rPr>
          <w:rStyle w:val="FootnoteReference"/>
        </w:rPr>
        <w:footnoteReference w:id="27"/>
      </w:r>
    </w:p>
    <w:p w:rsidR="00EB28AF" w:rsidP="00F67BCA" w:rsidRDefault="00EB28AF" w14:paraId="7298881C" w14:textId="5D2B5567">
      <w:r w:rsidRPr="00FF7FDE">
        <w:t xml:space="preserve">This decision </w:t>
      </w:r>
      <w:r>
        <w:t xml:space="preserve">does not categorically prohibit SDG&amp;E from recording costs incurred before the instant application was filed. Instead, this decision evaluates SDG&amp;E’s cost forecasts on a case-by-case basis, so long as those costs were incurred on or after </w:t>
      </w:r>
      <w:r w:rsidRPr="00FF7FDE">
        <w:t>January 1, 2024</w:t>
      </w:r>
      <w:r>
        <w:t>. Parties’ arguments hinge around the proper way to interpret the intent of the phrase, “up-front annual cap;” this decision finds that the phrase is ambiguous. Accordingly, this decision does not categorically prohibit SDG&amp;E from recording costs incurred before the instant application was filed.</w:t>
      </w:r>
    </w:p>
    <w:p w:rsidR="00C61E3D" w:rsidP="00BB4B1B" w:rsidRDefault="00C61E3D" w14:paraId="71441F96" w14:textId="4C18BF9D">
      <w:pPr>
        <w:pStyle w:val="Heading2"/>
      </w:pPr>
      <w:bookmarkStart w:name="_Toc212538531" w:id="26"/>
      <w:r>
        <w:t xml:space="preserve">Costs for Projects </w:t>
      </w:r>
      <w:r w:rsidR="002074AC">
        <w:t>Not Placed</w:t>
      </w:r>
      <w:r w:rsidR="00E95C81">
        <w:br/>
      </w:r>
      <w:r w:rsidR="002074AC">
        <w:t xml:space="preserve">in Service </w:t>
      </w:r>
      <w:r w:rsidR="00E95C81">
        <w:t xml:space="preserve">Before </w:t>
      </w:r>
      <w:r w:rsidR="007F1773">
        <w:t>January </w:t>
      </w:r>
      <w:r w:rsidR="002074AC">
        <w:t>1, 2027</w:t>
      </w:r>
      <w:bookmarkEnd w:id="26"/>
    </w:p>
    <w:p w:rsidR="00DD011D" w:rsidP="009550BB" w:rsidRDefault="00DD011D" w14:paraId="04C9AE4C" w14:textId="5BE78D8E">
      <w:pPr>
        <w:pStyle w:val="Standard"/>
      </w:pPr>
      <w:r>
        <w:t>SDG&amp;E requests authority to place the cost of certain assets (transformers, meters, and land) into rates immediately upon purchase, rather than waiting until those assets are placed in service.</w:t>
      </w:r>
      <w:r w:rsidRPr="009550BB">
        <w:rPr>
          <w:rStyle w:val="FootnoteReference"/>
        </w:rPr>
        <w:footnoteReference w:id="28"/>
      </w:r>
      <w:r>
        <w:t xml:space="preserve"> SDG&amp;E justifies this request by pointing </w:t>
      </w:r>
      <w:r>
        <w:lastRenderedPageBreak/>
        <w:t>to the Federal Energy Regulatory Commission (FERC) Uniform System of Accounts (USOA), which provides guidance certain companies must follow when reporting their financials.</w:t>
      </w:r>
      <w:r w:rsidRPr="009550BB">
        <w:rPr>
          <w:rStyle w:val="FootnoteReference"/>
        </w:rPr>
        <w:footnoteReference w:id="29"/>
      </w:r>
      <w:r>
        <w:t xml:space="preserve"> For example, SDG&amp;E points to the FERC USOA</w:t>
      </w:r>
      <w:r w:rsidR="00836A9E">
        <w:t>’</w:t>
      </w:r>
      <w:r>
        <w:t xml:space="preserve">s guidance for Line Transformers, which states </w:t>
      </w:r>
      <w:r w:rsidR="00836A9E">
        <w:t>“</w:t>
      </w:r>
      <w:r>
        <w:t>this account shall include the cost of…</w:t>
      </w:r>
      <w:r w:rsidR="00484F64">
        <w:t xml:space="preserve"> </w:t>
      </w:r>
      <w:r>
        <w:t>transformers…</w:t>
      </w:r>
      <w:r w:rsidR="00484F64">
        <w:t xml:space="preserve"> </w:t>
      </w:r>
      <w:r>
        <w:t>whether actually in service or held in reserve.</w:t>
      </w:r>
      <w:r w:rsidR="00836A9E">
        <w:t>”</w:t>
      </w:r>
      <w:r w:rsidRPr="009550BB">
        <w:rPr>
          <w:rStyle w:val="FootnoteReference"/>
        </w:rPr>
        <w:footnoteReference w:id="30"/>
      </w:r>
    </w:p>
    <w:p w:rsidR="00DD011D" w:rsidP="009550BB" w:rsidRDefault="00366301" w14:paraId="48305FAB" w14:textId="330F71B5">
      <w:pPr>
        <w:pStyle w:val="Standard"/>
      </w:pPr>
      <w:r>
        <w:t>Cal Advoc</w:t>
      </w:r>
      <w:r w:rsidR="00DD011D">
        <w:t xml:space="preserve">ates and TURN argue that, under </w:t>
      </w:r>
      <w:r w:rsidR="0040495F">
        <w:t>SB </w:t>
      </w:r>
      <w:r w:rsidR="00DD011D">
        <w:t xml:space="preserve">410, </w:t>
      </w:r>
      <w:r w:rsidRPr="00081650" w:rsidR="00DD011D">
        <w:t xml:space="preserve">the Commission may only authorize interim rate recovery for energization projects placed in service after </w:t>
      </w:r>
      <w:r w:rsidR="007F1773">
        <w:t>January </w:t>
      </w:r>
      <w:r w:rsidRPr="00081650" w:rsidR="00DD011D">
        <w:t>1, 2024</w:t>
      </w:r>
      <w:r w:rsidR="00DD011D">
        <w:t xml:space="preserve">, and the statutory authority for rate recovery under </w:t>
      </w:r>
      <w:r w:rsidR="0040495F">
        <w:t>SB </w:t>
      </w:r>
      <w:r w:rsidR="00DD011D">
        <w:t xml:space="preserve">410 expires on </w:t>
      </w:r>
      <w:r w:rsidR="007F1773">
        <w:t>January </w:t>
      </w:r>
      <w:r w:rsidR="00DD011D">
        <w:t>1, 2027.</w:t>
      </w:r>
      <w:r w:rsidRPr="009550BB" w:rsidR="00DD011D">
        <w:rPr>
          <w:rStyle w:val="FootnoteReference"/>
        </w:rPr>
        <w:footnoteReference w:id="31"/>
      </w:r>
      <w:r w:rsidR="00DD011D">
        <w:t xml:space="preserve"> </w:t>
      </w:r>
      <w:r>
        <w:t>Cal Advoc</w:t>
      </w:r>
      <w:r w:rsidR="00DD011D">
        <w:t xml:space="preserve">ates and TURN note that the Commission adopted the same interpretation of </w:t>
      </w:r>
      <w:r w:rsidR="0040495F">
        <w:t>SB </w:t>
      </w:r>
      <w:r w:rsidR="00DD011D">
        <w:t>410 in D.24</w:t>
      </w:r>
      <w:r w:rsidR="00503215">
        <w:noBreakHyphen/>
      </w:r>
      <w:r w:rsidR="00DD011D">
        <w:t>07</w:t>
      </w:r>
      <w:r w:rsidR="00503215">
        <w:noBreakHyphen/>
      </w:r>
      <w:r w:rsidR="00DD011D">
        <w:t>008.</w:t>
      </w:r>
      <w:r w:rsidRPr="009550BB" w:rsidR="00DD011D">
        <w:rPr>
          <w:rStyle w:val="FootnoteReference"/>
        </w:rPr>
        <w:footnoteReference w:id="32"/>
      </w:r>
      <w:r w:rsidR="00DD011D">
        <w:t xml:space="preserve"> </w:t>
      </w:r>
      <w:r>
        <w:t>Cal Advoc</w:t>
      </w:r>
      <w:r w:rsidR="00DD011D">
        <w:t xml:space="preserve">ates </w:t>
      </w:r>
      <w:r w:rsidR="00DD011D">
        <w:t>note</w:t>
      </w:r>
      <w:r w:rsidR="00B4249D">
        <w:t>s</w:t>
      </w:r>
      <w:r w:rsidR="00DD011D">
        <w:t xml:space="preserve"> that SDG&amp;E has not provided any evidence that the USOA applies to </w:t>
      </w:r>
      <w:r w:rsidR="3506EA31">
        <w:t>or preempts</w:t>
      </w:r>
      <w:r w:rsidR="00DD011D">
        <w:t xml:space="preserve"> </w:t>
      </w:r>
      <w:r w:rsidR="0040495F">
        <w:t>SB </w:t>
      </w:r>
      <w:r w:rsidR="00DD011D">
        <w:t>410 ratemaking.</w:t>
      </w:r>
      <w:r w:rsidRPr="009550BB" w:rsidR="00DD011D">
        <w:rPr>
          <w:rStyle w:val="FootnoteReference"/>
        </w:rPr>
        <w:footnoteReference w:id="33"/>
      </w:r>
    </w:p>
    <w:p w:rsidR="00DD011D" w:rsidP="009550BB" w:rsidRDefault="00DD011D" w14:paraId="02D2F698" w14:textId="6FF32B13">
      <w:pPr>
        <w:pStyle w:val="Standard"/>
      </w:pPr>
      <w:r w:rsidRPr="005818E9">
        <w:t>SD</w:t>
      </w:r>
      <w:r>
        <w:t xml:space="preserve">G&amp;E argues that statute does not explicitly limit cost recovery </w:t>
      </w:r>
      <w:r w:rsidR="00865683">
        <w:t xml:space="preserve">to </w:t>
      </w:r>
      <w:r>
        <w:t>projects in service before 2027.</w:t>
      </w:r>
      <w:r w:rsidRPr="009550BB">
        <w:rPr>
          <w:rStyle w:val="FootnoteReference"/>
        </w:rPr>
        <w:footnoteReference w:id="34"/>
      </w:r>
      <w:r>
        <w:t xml:space="preserve"> SDG&amp;E notes Commission</w:t>
      </w:r>
      <w:r w:rsidR="008109B2">
        <w:t xml:space="preserve">’s decision in </w:t>
      </w:r>
      <w:r w:rsidR="00ED0708">
        <w:t xml:space="preserve">D.24-07-008 </w:t>
      </w:r>
      <w:r w:rsidR="008109B2">
        <w:t xml:space="preserve">to </w:t>
      </w:r>
      <w:r w:rsidR="00571873">
        <w:t xml:space="preserve">allow </w:t>
      </w:r>
      <w:r>
        <w:t xml:space="preserve">PG&amp;E </w:t>
      </w:r>
      <w:r w:rsidR="008109B2">
        <w:t xml:space="preserve">only </w:t>
      </w:r>
      <w:r>
        <w:t xml:space="preserve">to recover costs for projects </w:t>
      </w:r>
      <w:r w:rsidR="00ED0708">
        <w:t xml:space="preserve">placed </w:t>
      </w:r>
      <w:r>
        <w:t>in service before 2027</w:t>
      </w:r>
      <w:r w:rsidR="008109B2">
        <w:t xml:space="preserve"> </w:t>
      </w:r>
      <w:r w:rsidR="004E2C79">
        <w:t xml:space="preserve">does not preclude </w:t>
      </w:r>
      <w:r>
        <w:t>SDG&amp;E</w:t>
      </w:r>
      <w:r w:rsidR="004E2C79">
        <w:t xml:space="preserve"> from recovering projects placed in service in 2027 or later</w:t>
      </w:r>
      <w:r>
        <w:t>.</w:t>
      </w:r>
      <w:r w:rsidRPr="009550BB">
        <w:rPr>
          <w:rStyle w:val="FootnoteReference"/>
        </w:rPr>
        <w:footnoteReference w:id="35"/>
      </w:r>
      <w:r>
        <w:t xml:space="preserve"> PG&amp;E is on a different GRC cycle</w:t>
      </w:r>
      <w:r w:rsidR="00E11155">
        <w:t>,</w:t>
      </w:r>
      <w:r>
        <w:t xml:space="preserve"> SDG&amp;E argues</w:t>
      </w:r>
      <w:r w:rsidR="00E11155">
        <w:t>, and</w:t>
      </w:r>
      <w:r>
        <w:t xml:space="preserve"> the intent of </w:t>
      </w:r>
      <w:r w:rsidR="0040495F">
        <w:t>SB </w:t>
      </w:r>
      <w:r>
        <w:t xml:space="preserve">410 is to provide a stopgap between </w:t>
      </w:r>
      <w:proofErr w:type="spellStart"/>
      <w:r>
        <w:t>GRCs</w:t>
      </w:r>
      <w:proofErr w:type="spellEnd"/>
      <w:r>
        <w:t>.</w:t>
      </w:r>
      <w:r w:rsidRPr="009550BB">
        <w:rPr>
          <w:rStyle w:val="FootnoteReference"/>
        </w:rPr>
        <w:footnoteReference w:id="36"/>
      </w:r>
      <w:r>
        <w:t xml:space="preserve"> SDG&amp;E further argues that the </w:t>
      </w:r>
      <w:r>
        <w:lastRenderedPageBreak/>
        <w:t>Commission could, on its own authority, allow SDG&amp;E to recover costs for projects placed in service after 2026.</w:t>
      </w:r>
      <w:r w:rsidRPr="009550BB">
        <w:rPr>
          <w:rStyle w:val="FootnoteReference"/>
        </w:rPr>
        <w:footnoteReference w:id="37"/>
      </w:r>
      <w:r w:rsidR="00260077">
        <w:t xml:space="preserve"> SCE agrees.</w:t>
      </w:r>
      <w:r w:rsidR="00260077">
        <w:rPr>
          <w:rStyle w:val="FootnoteReference"/>
        </w:rPr>
        <w:footnoteReference w:id="38"/>
      </w:r>
    </w:p>
    <w:p w:rsidR="00AB0F5B" w:rsidP="009550BB" w:rsidRDefault="00AB0F5B" w14:paraId="6AB1E655" w14:textId="17F8B240">
      <w:pPr>
        <w:pStyle w:val="Standard"/>
      </w:pPr>
      <w:r>
        <w:t xml:space="preserve">Finally, </w:t>
      </w:r>
      <w:r w:rsidR="00941A5F">
        <w:t>of</w:t>
      </w:r>
      <w:r w:rsidR="0051040A">
        <w:t xml:space="preserve"> its</w:t>
      </w:r>
      <w:r w:rsidR="00A362BE">
        <w:t xml:space="preserve"> own</w:t>
      </w:r>
      <w:r w:rsidR="0051040A">
        <w:t xml:space="preserve"> volition</w:t>
      </w:r>
      <w:r w:rsidR="00941A5F">
        <w:t>,</w:t>
      </w:r>
      <w:r w:rsidR="0051040A">
        <w:t xml:space="preserve"> in response to a </w:t>
      </w:r>
      <w:r w:rsidR="00941A5F">
        <w:t xml:space="preserve">TURN </w:t>
      </w:r>
      <w:r w:rsidR="0051040A">
        <w:t>data request</w:t>
      </w:r>
      <w:r w:rsidR="00941A5F">
        <w:t xml:space="preserve">, </w:t>
      </w:r>
      <w:r w:rsidR="0051040A">
        <w:t xml:space="preserve">SDG&amp;E </w:t>
      </w:r>
      <w:r w:rsidR="00741F4F">
        <w:t>asserted that</w:t>
      </w:r>
      <w:r w:rsidR="0051040A">
        <w:t xml:space="preserve"> </w:t>
      </w:r>
      <w:r w:rsidR="00A82020">
        <w:t xml:space="preserve">it did </w:t>
      </w:r>
      <w:r w:rsidR="0051040A">
        <w:t xml:space="preserve">not </w:t>
      </w:r>
      <w:r w:rsidR="00A82020">
        <w:t>intend</w:t>
      </w:r>
      <w:r w:rsidR="0051040A">
        <w:t xml:space="preserve"> </w:t>
      </w:r>
      <w:r w:rsidR="006A26D0">
        <w:t xml:space="preserve">to </w:t>
      </w:r>
      <w:r w:rsidR="0051040A">
        <w:t xml:space="preserve">record </w:t>
      </w:r>
      <w:r w:rsidR="00835090">
        <w:t>costs for New Business projects not placed in service before 2027</w:t>
      </w:r>
      <w:r w:rsidR="00941A5F">
        <w:t>.</w:t>
      </w:r>
      <w:r w:rsidR="003B7A91">
        <w:rPr>
          <w:rStyle w:val="FootnoteReference"/>
        </w:rPr>
        <w:footnoteReference w:id="39"/>
      </w:r>
    </w:p>
    <w:p w:rsidRPr="008A6C03" w:rsidR="003617A3" w:rsidP="00A83EE6" w:rsidRDefault="00A83EE6" w14:paraId="0F921EBB" w14:textId="34283DBE">
      <w:r>
        <w:t xml:space="preserve">This decision does not address the question of whether costs for projects placed in service after 2026 are eligible to be recorded because the question is moot, as this decision </w:t>
      </w:r>
      <w:r w:rsidR="0048516A">
        <w:t xml:space="preserve">(1) </w:t>
      </w:r>
      <w:r w:rsidR="00973DA5">
        <w:t xml:space="preserve">only </w:t>
      </w:r>
      <w:r>
        <w:t>authorize</w:t>
      </w:r>
      <w:r w:rsidR="00973DA5">
        <w:t>s</w:t>
      </w:r>
      <w:r>
        <w:t xml:space="preserve"> SDG&amp;E to recover costs for transformers placed in service before 2027</w:t>
      </w:r>
      <w:r w:rsidR="0048516A">
        <w:t>,</w:t>
      </w:r>
      <w:r>
        <w:t xml:space="preserve"> and </w:t>
      </w:r>
      <w:r w:rsidR="0048516A">
        <w:t xml:space="preserve">(2) </w:t>
      </w:r>
      <w:r>
        <w:t>does not authorize any land acquisition. Separately, this decision reaffirms that SDG&amp;E may only recover costs for projects once those projects are placed in service; there is no special exemption for transformers, land</w:t>
      </w:r>
      <w:r w:rsidR="00AB145E">
        <w:t>, or any other equipment</w:t>
      </w:r>
      <w:r>
        <w:t xml:space="preserve">. FERC USOA </w:t>
      </w:r>
      <w:r w:rsidR="006F4018">
        <w:t xml:space="preserve">has </w:t>
      </w:r>
      <w:r>
        <w:t>no bearing on SB 410, which states in plain language that SDG&amp;E may “track costs for projects placed in service.”</w:t>
      </w:r>
    </w:p>
    <w:p w:rsidR="00180946" w:rsidP="00BB4B1B" w:rsidRDefault="00180946" w14:paraId="4EDD5E2A" w14:textId="63815DAF">
      <w:pPr>
        <w:pStyle w:val="Heading1"/>
      </w:pPr>
      <w:bookmarkStart w:name="_Toc8123721" w:id="27"/>
      <w:bookmarkStart w:name="_Toc212538532" w:id="28"/>
      <w:r>
        <w:t>Cost Categories</w:t>
      </w:r>
      <w:r w:rsidR="00836A9E">
        <w:t>’</w:t>
      </w:r>
      <w:r w:rsidR="00152D46">
        <w:t xml:space="preserve"> Contributions to Cap</w:t>
      </w:r>
      <w:bookmarkEnd w:id="28"/>
    </w:p>
    <w:p w:rsidR="00FA219C" w:rsidP="00BB4B1B" w:rsidRDefault="00FA219C" w14:paraId="64119C41" w14:textId="4F6EE5B9">
      <w:pPr>
        <w:pStyle w:val="Heading2"/>
      </w:pPr>
      <w:bookmarkStart w:name="_Toc212538533" w:id="29"/>
      <w:r>
        <w:t>Summary of Cost Categories</w:t>
      </w:r>
      <w:r w:rsidR="00836A9E">
        <w:t>’</w:t>
      </w:r>
      <w:r>
        <w:t xml:space="preserve"> Contributions to Cost Cap</w:t>
      </w:r>
      <w:bookmarkEnd w:id="29"/>
    </w:p>
    <w:p w:rsidR="00FA219C" w:rsidP="00F67BCA" w:rsidRDefault="00FA219C" w14:paraId="12A44D45" w14:textId="77777777">
      <w:pPr>
        <w:pStyle w:val="Standard"/>
        <w:keepNext/>
      </w:pPr>
      <w:r>
        <w:t>This decision allows the following funds to count toward the cost cap:</w:t>
      </w:r>
    </w:p>
    <w:tbl>
      <w:tblPr>
        <w:tblStyle w:val="TableGrid"/>
        <w:tblW w:w="5000" w:type="pct"/>
        <w:tblLook w:val="04A0" w:firstRow="1" w:lastRow="0" w:firstColumn="1" w:lastColumn="0" w:noHBand="0" w:noVBand="1"/>
      </w:tblPr>
      <w:tblGrid>
        <w:gridCol w:w="3006"/>
        <w:gridCol w:w="1586"/>
        <w:gridCol w:w="1586"/>
        <w:gridCol w:w="1586"/>
        <w:gridCol w:w="1586"/>
      </w:tblGrid>
      <w:tr w:rsidRPr="00FF7FDE" w:rsidR="00AA7B8A" w:rsidTr="004A7A96" w14:paraId="5D547F25" w14:textId="7D819588">
        <w:tc>
          <w:tcPr>
            <w:tcW w:w="1607" w:type="pct"/>
            <w:shd w:val="clear" w:color="auto" w:fill="E7E6E6" w:themeFill="background2"/>
          </w:tcPr>
          <w:p w:rsidRPr="00FF7FDE" w:rsidR="00AA7B8A" w:rsidP="00F67BCA" w:rsidRDefault="00AA7B8A" w14:paraId="70CA31C9" w14:textId="77777777">
            <w:pPr>
              <w:pStyle w:val="Standard"/>
              <w:ind w:firstLine="0"/>
              <w:rPr>
                <w:b/>
                <w:sz w:val="22"/>
              </w:rPr>
            </w:pPr>
            <w:r w:rsidRPr="00FF7FDE">
              <w:rPr>
                <w:b/>
                <w:sz w:val="22"/>
              </w:rPr>
              <w:t>Cost Category</w:t>
            </w:r>
          </w:p>
        </w:tc>
        <w:tc>
          <w:tcPr>
            <w:tcW w:w="848" w:type="pct"/>
            <w:shd w:val="clear" w:color="auto" w:fill="E7E6E6" w:themeFill="background2"/>
          </w:tcPr>
          <w:p w:rsidR="00AA7B8A" w:rsidP="00F67BCA" w:rsidRDefault="00AA7B8A" w14:paraId="40956314" w14:textId="3B53B11A">
            <w:pPr>
              <w:pStyle w:val="Standard"/>
              <w:ind w:firstLine="0"/>
              <w:rPr>
                <w:b/>
                <w:sz w:val="22"/>
              </w:rPr>
            </w:pPr>
            <w:r>
              <w:rPr>
                <w:b/>
                <w:sz w:val="22"/>
              </w:rPr>
              <w:t xml:space="preserve">2024 </w:t>
            </w:r>
            <w:r w:rsidRPr="5824A8C0">
              <w:rPr>
                <w:b/>
                <w:sz w:val="22"/>
              </w:rPr>
              <w:t>Cap</w:t>
            </w:r>
          </w:p>
          <w:p w:rsidRPr="00FF7FDE" w:rsidR="00AA7B8A" w:rsidP="00F67BCA" w:rsidRDefault="00AA7B8A" w14:paraId="3E06C457" w14:textId="77777777">
            <w:pPr>
              <w:pStyle w:val="Standard"/>
              <w:ind w:firstLine="0"/>
              <w:rPr>
                <w:b/>
                <w:sz w:val="22"/>
              </w:rPr>
            </w:pPr>
            <w:r w:rsidRPr="01D7FAC4">
              <w:rPr>
                <w:b/>
                <w:sz w:val="22"/>
              </w:rPr>
              <w:t>($</w:t>
            </w:r>
            <w:r>
              <w:rPr>
                <w:b/>
                <w:sz w:val="22"/>
              </w:rPr>
              <w:t>, millions</w:t>
            </w:r>
            <w:r w:rsidRPr="5824A8C0">
              <w:rPr>
                <w:b/>
                <w:sz w:val="22"/>
              </w:rPr>
              <w:t>)</w:t>
            </w:r>
          </w:p>
        </w:tc>
        <w:tc>
          <w:tcPr>
            <w:tcW w:w="848" w:type="pct"/>
            <w:shd w:val="clear" w:color="auto" w:fill="E7E6E6" w:themeFill="background2"/>
          </w:tcPr>
          <w:p w:rsidR="00AA7B8A" w:rsidP="00F67BCA" w:rsidRDefault="00AA7B8A" w14:paraId="0C4E8544" w14:textId="4991B421">
            <w:pPr>
              <w:pStyle w:val="Standard"/>
              <w:ind w:firstLine="0"/>
              <w:rPr>
                <w:b/>
                <w:sz w:val="22"/>
              </w:rPr>
            </w:pPr>
            <w:r>
              <w:rPr>
                <w:b/>
                <w:sz w:val="22"/>
              </w:rPr>
              <w:t xml:space="preserve">2025 </w:t>
            </w:r>
            <w:r w:rsidRPr="5824A8C0">
              <w:rPr>
                <w:b/>
                <w:sz w:val="22"/>
              </w:rPr>
              <w:t>Cap</w:t>
            </w:r>
          </w:p>
          <w:p w:rsidRPr="00FF7FDE" w:rsidR="00AA7B8A" w:rsidP="00F67BCA" w:rsidRDefault="00AA7B8A" w14:paraId="2358344C" w14:textId="3B5B2CF0">
            <w:pPr>
              <w:pStyle w:val="Standard"/>
              <w:ind w:firstLine="0"/>
              <w:rPr>
                <w:b/>
                <w:bCs/>
                <w:sz w:val="22"/>
                <w:szCs w:val="18"/>
              </w:rPr>
            </w:pPr>
            <w:r w:rsidRPr="01D7FAC4">
              <w:rPr>
                <w:b/>
                <w:sz w:val="22"/>
              </w:rPr>
              <w:t>($</w:t>
            </w:r>
            <w:r>
              <w:rPr>
                <w:b/>
                <w:sz w:val="22"/>
              </w:rPr>
              <w:t>, millions</w:t>
            </w:r>
            <w:r w:rsidRPr="5824A8C0">
              <w:rPr>
                <w:b/>
                <w:sz w:val="22"/>
              </w:rPr>
              <w:t>)</w:t>
            </w:r>
          </w:p>
        </w:tc>
        <w:tc>
          <w:tcPr>
            <w:tcW w:w="848" w:type="pct"/>
            <w:shd w:val="clear" w:color="auto" w:fill="E7E6E6" w:themeFill="background2"/>
          </w:tcPr>
          <w:p w:rsidR="00AA7B8A" w:rsidP="00F67BCA" w:rsidRDefault="00AA7B8A" w14:paraId="52A0BF32" w14:textId="1E8FF125">
            <w:pPr>
              <w:pStyle w:val="Standard"/>
              <w:ind w:firstLine="0"/>
              <w:rPr>
                <w:b/>
                <w:bCs/>
                <w:sz w:val="22"/>
                <w:szCs w:val="18"/>
              </w:rPr>
            </w:pPr>
            <w:r>
              <w:rPr>
                <w:b/>
                <w:bCs/>
                <w:sz w:val="22"/>
                <w:szCs w:val="18"/>
              </w:rPr>
              <w:t xml:space="preserve">2026 </w:t>
            </w:r>
            <w:r w:rsidRPr="00FF7FDE">
              <w:rPr>
                <w:b/>
                <w:bCs/>
                <w:sz w:val="22"/>
                <w:szCs w:val="18"/>
              </w:rPr>
              <w:t>Cap</w:t>
            </w:r>
          </w:p>
          <w:p w:rsidRPr="00FF7FDE" w:rsidR="00AA7B8A" w:rsidP="00F67BCA" w:rsidRDefault="00AA7B8A" w14:paraId="629A87B1" w14:textId="7BD3B0CF">
            <w:pPr>
              <w:pStyle w:val="Standard"/>
              <w:ind w:firstLine="0"/>
              <w:rPr>
                <w:b/>
                <w:bCs/>
                <w:sz w:val="22"/>
                <w:szCs w:val="18"/>
              </w:rPr>
            </w:pPr>
            <w:r w:rsidRPr="00FF7FDE">
              <w:rPr>
                <w:b/>
                <w:bCs/>
                <w:sz w:val="22"/>
                <w:szCs w:val="18"/>
              </w:rPr>
              <w:t>($</w:t>
            </w:r>
            <w:r>
              <w:rPr>
                <w:b/>
                <w:bCs/>
                <w:sz w:val="22"/>
                <w:szCs w:val="18"/>
              </w:rPr>
              <w:t>, millions</w:t>
            </w:r>
            <w:r w:rsidRPr="00FF7FDE">
              <w:rPr>
                <w:b/>
                <w:bCs/>
                <w:sz w:val="22"/>
                <w:szCs w:val="18"/>
              </w:rPr>
              <w:t>)</w:t>
            </w:r>
          </w:p>
        </w:tc>
        <w:tc>
          <w:tcPr>
            <w:tcW w:w="848" w:type="pct"/>
            <w:shd w:val="clear" w:color="auto" w:fill="E7E6E6" w:themeFill="background2"/>
          </w:tcPr>
          <w:p w:rsidR="00AA7B8A" w:rsidP="00F67BCA" w:rsidRDefault="00AA7B8A" w14:paraId="5FE5A85E" w14:textId="56D2DA0F">
            <w:pPr>
              <w:pStyle w:val="Standard"/>
              <w:ind w:firstLine="0"/>
              <w:rPr>
                <w:b/>
                <w:bCs/>
                <w:sz w:val="22"/>
                <w:szCs w:val="18"/>
              </w:rPr>
            </w:pPr>
            <w:r>
              <w:rPr>
                <w:b/>
                <w:bCs/>
                <w:sz w:val="22"/>
                <w:szCs w:val="18"/>
              </w:rPr>
              <w:t>Total Cap</w:t>
            </w:r>
          </w:p>
          <w:p w:rsidR="00AA7B8A" w:rsidP="00F67BCA" w:rsidRDefault="00AA7B8A" w14:paraId="6F526F0D" w14:textId="2AE3E83F">
            <w:pPr>
              <w:pStyle w:val="Standard"/>
              <w:ind w:firstLine="0"/>
              <w:rPr>
                <w:b/>
                <w:bCs/>
                <w:sz w:val="22"/>
                <w:szCs w:val="18"/>
              </w:rPr>
            </w:pPr>
            <w:r>
              <w:rPr>
                <w:b/>
                <w:bCs/>
                <w:sz w:val="22"/>
                <w:szCs w:val="18"/>
              </w:rPr>
              <w:t>($, millions)</w:t>
            </w:r>
          </w:p>
        </w:tc>
      </w:tr>
      <w:tr w:rsidRPr="00FF7FDE" w:rsidR="00AA7B8A" w:rsidTr="004A7A96" w14:paraId="3C515D5A" w14:textId="6F299760">
        <w:tc>
          <w:tcPr>
            <w:tcW w:w="1607" w:type="pct"/>
            <w:shd w:val="clear" w:color="auto" w:fill="E7E6E6" w:themeFill="background2"/>
          </w:tcPr>
          <w:p w:rsidRPr="00FF7FDE" w:rsidR="00AA7B8A" w:rsidP="00F67BCA" w:rsidRDefault="00AA7B8A" w14:paraId="0D9E9339" w14:textId="77777777">
            <w:pPr>
              <w:pStyle w:val="Standard"/>
              <w:ind w:firstLine="0"/>
              <w:rPr>
                <w:b/>
                <w:bCs/>
                <w:sz w:val="22"/>
                <w:szCs w:val="18"/>
              </w:rPr>
            </w:pPr>
            <w:r w:rsidRPr="00FF7FDE">
              <w:rPr>
                <w:b/>
                <w:bCs/>
                <w:sz w:val="22"/>
                <w:szCs w:val="18"/>
              </w:rPr>
              <w:t>Capacity/Expansion</w:t>
            </w:r>
          </w:p>
        </w:tc>
        <w:tc>
          <w:tcPr>
            <w:tcW w:w="848" w:type="pct"/>
            <w:shd w:val="clear" w:color="auto" w:fill="E7E6E6" w:themeFill="background2"/>
          </w:tcPr>
          <w:p w:rsidRPr="00FF7FDE" w:rsidR="00AA7B8A" w:rsidP="00F67BCA" w:rsidRDefault="00AA7B8A" w14:paraId="1782B0F3" w14:textId="73B08F30">
            <w:pPr>
              <w:pStyle w:val="Standard"/>
              <w:ind w:firstLine="0"/>
              <w:rPr>
                <w:b/>
                <w:bCs/>
                <w:sz w:val="22"/>
                <w:szCs w:val="18"/>
              </w:rPr>
            </w:pPr>
            <w:r w:rsidRPr="00FF7FDE">
              <w:rPr>
                <w:b/>
                <w:bCs/>
                <w:sz w:val="22"/>
                <w:szCs w:val="18"/>
              </w:rPr>
              <w:t>$</w:t>
            </w:r>
            <w:r w:rsidR="0018654A">
              <w:rPr>
                <w:b/>
                <w:bCs/>
                <w:sz w:val="22"/>
                <w:szCs w:val="18"/>
              </w:rPr>
              <w:t>1.899</w:t>
            </w:r>
          </w:p>
        </w:tc>
        <w:tc>
          <w:tcPr>
            <w:tcW w:w="848" w:type="pct"/>
            <w:shd w:val="clear" w:color="auto" w:fill="E7E6E6" w:themeFill="background2"/>
          </w:tcPr>
          <w:p w:rsidRPr="00FF7FDE" w:rsidR="00AA7B8A" w:rsidP="00F67BCA" w:rsidRDefault="00AA7B8A" w14:paraId="0BCB1972" w14:textId="4EBD3021">
            <w:pPr>
              <w:pStyle w:val="Standard"/>
              <w:ind w:firstLine="0"/>
              <w:rPr>
                <w:b/>
                <w:bCs/>
                <w:sz w:val="22"/>
                <w:szCs w:val="18"/>
              </w:rPr>
            </w:pPr>
            <w:r w:rsidRPr="00FF7FDE">
              <w:rPr>
                <w:b/>
                <w:bCs/>
                <w:sz w:val="22"/>
                <w:szCs w:val="18"/>
              </w:rPr>
              <w:t>$8</w:t>
            </w:r>
            <w:r>
              <w:rPr>
                <w:b/>
                <w:bCs/>
                <w:sz w:val="22"/>
                <w:szCs w:val="18"/>
              </w:rPr>
              <w:t>.</w:t>
            </w:r>
            <w:r w:rsidR="0018654A">
              <w:rPr>
                <w:b/>
                <w:bCs/>
                <w:sz w:val="22"/>
                <w:szCs w:val="18"/>
              </w:rPr>
              <w:t>356</w:t>
            </w:r>
          </w:p>
        </w:tc>
        <w:tc>
          <w:tcPr>
            <w:tcW w:w="848" w:type="pct"/>
            <w:shd w:val="clear" w:color="auto" w:fill="E7E6E6" w:themeFill="background2"/>
          </w:tcPr>
          <w:p w:rsidRPr="00FF7FDE" w:rsidR="00AA7B8A" w:rsidP="00F67BCA" w:rsidRDefault="00AA7B8A" w14:paraId="099BE29D" w14:textId="66398EF0">
            <w:pPr>
              <w:pStyle w:val="Standard"/>
              <w:ind w:firstLine="0"/>
              <w:rPr>
                <w:b/>
                <w:bCs/>
                <w:sz w:val="22"/>
                <w:szCs w:val="18"/>
              </w:rPr>
            </w:pPr>
            <w:r w:rsidRPr="00FF7FDE">
              <w:rPr>
                <w:b/>
                <w:bCs/>
                <w:sz w:val="22"/>
                <w:szCs w:val="18"/>
              </w:rPr>
              <w:t>$</w:t>
            </w:r>
            <w:r w:rsidR="0018654A">
              <w:rPr>
                <w:b/>
                <w:bCs/>
                <w:sz w:val="22"/>
                <w:szCs w:val="18"/>
              </w:rPr>
              <w:t>3.166</w:t>
            </w:r>
          </w:p>
        </w:tc>
        <w:tc>
          <w:tcPr>
            <w:tcW w:w="848" w:type="pct"/>
            <w:shd w:val="clear" w:color="auto" w:fill="E7E6E6" w:themeFill="background2"/>
          </w:tcPr>
          <w:p w:rsidRPr="00FF7FDE" w:rsidR="00AA7B8A" w:rsidP="00F67BCA" w:rsidRDefault="00695D96" w14:paraId="29A12B0C" w14:textId="5807730F">
            <w:pPr>
              <w:pStyle w:val="Standard"/>
              <w:ind w:firstLine="0"/>
              <w:rPr>
                <w:b/>
                <w:bCs/>
                <w:sz w:val="22"/>
                <w:szCs w:val="18"/>
              </w:rPr>
            </w:pPr>
            <w:r>
              <w:rPr>
                <w:b/>
                <w:bCs/>
                <w:sz w:val="22"/>
                <w:szCs w:val="18"/>
              </w:rPr>
              <w:t>$13.422</w:t>
            </w:r>
          </w:p>
        </w:tc>
      </w:tr>
      <w:tr w:rsidRPr="00FF7FDE" w:rsidR="00AA7B8A" w:rsidTr="004A7A96" w14:paraId="01E43D3F" w14:textId="61DDE861">
        <w:tc>
          <w:tcPr>
            <w:tcW w:w="1607" w:type="pct"/>
          </w:tcPr>
          <w:p w:rsidRPr="00FF7FDE" w:rsidR="00AA7B8A" w:rsidP="00F67BCA" w:rsidRDefault="00AA7B8A" w14:paraId="18772801" w14:textId="77777777">
            <w:pPr>
              <w:pStyle w:val="Standard"/>
              <w:numPr>
                <w:ilvl w:val="0"/>
                <w:numId w:val="6"/>
              </w:numPr>
              <w:rPr>
                <w:sz w:val="22"/>
                <w:szCs w:val="18"/>
              </w:rPr>
            </w:pPr>
            <w:r w:rsidRPr="00FF7FDE">
              <w:rPr>
                <w:sz w:val="22"/>
                <w:szCs w:val="18"/>
              </w:rPr>
              <w:t>Reactive Small Capital Expansion</w:t>
            </w:r>
          </w:p>
        </w:tc>
        <w:tc>
          <w:tcPr>
            <w:tcW w:w="848" w:type="pct"/>
          </w:tcPr>
          <w:p w:rsidRPr="00FF7FDE" w:rsidR="00AA7B8A" w:rsidP="00F67BCA" w:rsidRDefault="00AA7B8A" w14:paraId="2E466DD4" w14:textId="2E80D8EA">
            <w:pPr>
              <w:pStyle w:val="Standard"/>
              <w:ind w:firstLine="0"/>
              <w:rPr>
                <w:sz w:val="22"/>
                <w:szCs w:val="18"/>
              </w:rPr>
            </w:pPr>
            <w:r w:rsidRPr="00FF7FDE">
              <w:rPr>
                <w:sz w:val="22"/>
                <w:szCs w:val="18"/>
              </w:rPr>
              <w:t>$1</w:t>
            </w:r>
            <w:r>
              <w:rPr>
                <w:sz w:val="22"/>
                <w:szCs w:val="18"/>
              </w:rPr>
              <w:t>.</w:t>
            </w:r>
            <w:r w:rsidR="0018654A">
              <w:rPr>
                <w:sz w:val="22"/>
                <w:szCs w:val="18"/>
              </w:rPr>
              <w:t>389</w:t>
            </w:r>
          </w:p>
        </w:tc>
        <w:tc>
          <w:tcPr>
            <w:tcW w:w="848" w:type="pct"/>
          </w:tcPr>
          <w:p w:rsidRPr="00FF7FDE" w:rsidR="00AA7B8A" w:rsidP="00F67BCA" w:rsidRDefault="00AA7B8A" w14:paraId="5EF03215" w14:textId="624F17E0">
            <w:pPr>
              <w:pStyle w:val="Standard"/>
              <w:ind w:firstLine="0"/>
              <w:rPr>
                <w:sz w:val="22"/>
                <w:szCs w:val="18"/>
              </w:rPr>
            </w:pPr>
            <w:r w:rsidRPr="00FF7FDE">
              <w:rPr>
                <w:sz w:val="22"/>
                <w:szCs w:val="18"/>
              </w:rPr>
              <w:t>$1</w:t>
            </w:r>
            <w:r>
              <w:rPr>
                <w:sz w:val="22"/>
                <w:szCs w:val="18"/>
              </w:rPr>
              <w:t>.9</w:t>
            </w:r>
            <w:r w:rsidR="0018654A">
              <w:rPr>
                <w:sz w:val="22"/>
                <w:szCs w:val="18"/>
              </w:rPr>
              <w:t>16</w:t>
            </w:r>
          </w:p>
        </w:tc>
        <w:tc>
          <w:tcPr>
            <w:tcW w:w="848" w:type="pct"/>
          </w:tcPr>
          <w:p w:rsidRPr="00FF7FDE" w:rsidR="00AA7B8A" w:rsidP="00F67BCA" w:rsidRDefault="00AA7B8A" w14:paraId="3FBE4830" w14:textId="1C8BD649">
            <w:pPr>
              <w:pStyle w:val="Standard"/>
              <w:ind w:firstLine="0"/>
              <w:rPr>
                <w:sz w:val="22"/>
                <w:szCs w:val="18"/>
              </w:rPr>
            </w:pPr>
            <w:r w:rsidRPr="00FF7FDE">
              <w:rPr>
                <w:sz w:val="22"/>
                <w:szCs w:val="18"/>
              </w:rPr>
              <w:t>$</w:t>
            </w:r>
            <w:r>
              <w:rPr>
                <w:sz w:val="22"/>
                <w:szCs w:val="18"/>
              </w:rPr>
              <w:t>0.1</w:t>
            </w:r>
            <w:r w:rsidR="0018654A">
              <w:rPr>
                <w:sz w:val="22"/>
                <w:szCs w:val="18"/>
              </w:rPr>
              <w:t>05</w:t>
            </w:r>
          </w:p>
        </w:tc>
        <w:tc>
          <w:tcPr>
            <w:tcW w:w="848" w:type="pct"/>
          </w:tcPr>
          <w:p w:rsidRPr="00FF7FDE" w:rsidR="00AA7B8A" w:rsidP="00F67BCA" w:rsidRDefault="00695D96" w14:paraId="1928A982" w14:textId="1057B2D1">
            <w:pPr>
              <w:pStyle w:val="Standard"/>
              <w:ind w:firstLine="0"/>
              <w:rPr>
                <w:sz w:val="22"/>
                <w:szCs w:val="18"/>
              </w:rPr>
            </w:pPr>
            <w:r>
              <w:rPr>
                <w:sz w:val="22"/>
                <w:szCs w:val="18"/>
              </w:rPr>
              <w:t>$3.410</w:t>
            </w:r>
          </w:p>
        </w:tc>
      </w:tr>
      <w:tr w:rsidRPr="00FF7FDE" w:rsidR="00AA7B8A" w:rsidTr="004A7A96" w14:paraId="701B50CC" w14:textId="45D99EBC">
        <w:tc>
          <w:tcPr>
            <w:tcW w:w="1607" w:type="pct"/>
          </w:tcPr>
          <w:p w:rsidRPr="00FF7FDE" w:rsidR="00AA7B8A" w:rsidP="00F67BCA" w:rsidRDefault="00AA7B8A" w14:paraId="2C0E4B44" w14:textId="77777777">
            <w:pPr>
              <w:pStyle w:val="Standard"/>
              <w:numPr>
                <w:ilvl w:val="0"/>
                <w:numId w:val="6"/>
              </w:numPr>
              <w:rPr>
                <w:sz w:val="22"/>
                <w:szCs w:val="18"/>
              </w:rPr>
            </w:pPr>
            <w:r w:rsidRPr="00FF7FDE">
              <w:rPr>
                <w:sz w:val="22"/>
                <w:szCs w:val="18"/>
              </w:rPr>
              <w:t>East Gate C1154</w:t>
            </w:r>
          </w:p>
        </w:tc>
        <w:tc>
          <w:tcPr>
            <w:tcW w:w="848" w:type="pct"/>
          </w:tcPr>
          <w:p w:rsidRPr="00FF7FDE" w:rsidR="00AA7B8A" w:rsidP="00F67BCA" w:rsidRDefault="00AA7B8A" w14:paraId="3B6A3E15" w14:textId="62A1BF97">
            <w:pPr>
              <w:pStyle w:val="Standard"/>
              <w:ind w:firstLine="0"/>
              <w:rPr>
                <w:sz w:val="22"/>
                <w:szCs w:val="18"/>
              </w:rPr>
            </w:pPr>
            <w:r w:rsidRPr="00FF7FDE">
              <w:rPr>
                <w:sz w:val="22"/>
                <w:szCs w:val="18"/>
              </w:rPr>
              <w:t>$</w:t>
            </w:r>
            <w:r w:rsidR="0018654A">
              <w:rPr>
                <w:sz w:val="22"/>
                <w:szCs w:val="18"/>
              </w:rPr>
              <w:t>0</w:t>
            </w:r>
          </w:p>
        </w:tc>
        <w:tc>
          <w:tcPr>
            <w:tcW w:w="848" w:type="pct"/>
          </w:tcPr>
          <w:p w:rsidRPr="00FF7FDE" w:rsidR="00AA7B8A" w:rsidP="00F67BCA" w:rsidRDefault="00AA7B8A" w14:paraId="75DC75F4" w14:textId="16F7E98A">
            <w:pPr>
              <w:pStyle w:val="Standard"/>
              <w:ind w:firstLine="0"/>
              <w:rPr>
                <w:sz w:val="22"/>
                <w:szCs w:val="18"/>
              </w:rPr>
            </w:pPr>
            <w:r w:rsidRPr="00FF7FDE">
              <w:rPr>
                <w:sz w:val="22"/>
                <w:szCs w:val="18"/>
              </w:rPr>
              <w:t>$2</w:t>
            </w:r>
            <w:r>
              <w:rPr>
                <w:sz w:val="22"/>
                <w:szCs w:val="18"/>
              </w:rPr>
              <w:t>.8</w:t>
            </w:r>
            <w:r w:rsidR="0018654A">
              <w:rPr>
                <w:sz w:val="22"/>
                <w:szCs w:val="18"/>
              </w:rPr>
              <w:t>43</w:t>
            </w:r>
          </w:p>
        </w:tc>
        <w:tc>
          <w:tcPr>
            <w:tcW w:w="848" w:type="pct"/>
          </w:tcPr>
          <w:p w:rsidRPr="00FF7FDE" w:rsidR="00AA7B8A" w:rsidP="00F67BCA" w:rsidRDefault="00AA7B8A" w14:paraId="25A6190A" w14:textId="6A28B4A3">
            <w:pPr>
              <w:pStyle w:val="Standard"/>
              <w:ind w:firstLine="0"/>
              <w:rPr>
                <w:sz w:val="22"/>
                <w:szCs w:val="18"/>
              </w:rPr>
            </w:pPr>
            <w:r w:rsidRPr="00FF7FDE">
              <w:rPr>
                <w:sz w:val="22"/>
                <w:szCs w:val="18"/>
              </w:rPr>
              <w:t>$0</w:t>
            </w:r>
          </w:p>
        </w:tc>
        <w:tc>
          <w:tcPr>
            <w:tcW w:w="848" w:type="pct"/>
          </w:tcPr>
          <w:p w:rsidRPr="00FF7FDE" w:rsidR="00AA7B8A" w:rsidP="00F67BCA" w:rsidRDefault="00695D96" w14:paraId="48AB5B47" w14:textId="3FCCC770">
            <w:pPr>
              <w:pStyle w:val="Standard"/>
              <w:ind w:firstLine="0"/>
              <w:rPr>
                <w:sz w:val="22"/>
                <w:szCs w:val="18"/>
              </w:rPr>
            </w:pPr>
            <w:r>
              <w:rPr>
                <w:sz w:val="22"/>
                <w:szCs w:val="18"/>
              </w:rPr>
              <w:t>$2.843</w:t>
            </w:r>
          </w:p>
        </w:tc>
      </w:tr>
      <w:tr w:rsidRPr="00FF7FDE" w:rsidR="00AA7B8A" w:rsidTr="004A7A96" w14:paraId="2389387B" w14:textId="0CC832AA">
        <w:tc>
          <w:tcPr>
            <w:tcW w:w="1607" w:type="pct"/>
          </w:tcPr>
          <w:p w:rsidRPr="00FF7FDE" w:rsidR="00AA7B8A" w:rsidP="00F67BCA" w:rsidRDefault="00AA7B8A" w14:paraId="62F79CD7" w14:textId="77777777">
            <w:pPr>
              <w:pStyle w:val="Standard"/>
              <w:numPr>
                <w:ilvl w:val="0"/>
                <w:numId w:val="6"/>
              </w:numPr>
              <w:rPr>
                <w:sz w:val="22"/>
                <w:szCs w:val="18"/>
              </w:rPr>
            </w:pPr>
            <w:r w:rsidRPr="00FF7FDE">
              <w:rPr>
                <w:sz w:val="22"/>
                <w:szCs w:val="18"/>
              </w:rPr>
              <w:lastRenderedPageBreak/>
              <w:t>Sampson C369</w:t>
            </w:r>
          </w:p>
        </w:tc>
        <w:tc>
          <w:tcPr>
            <w:tcW w:w="848" w:type="pct"/>
          </w:tcPr>
          <w:p w:rsidRPr="00FF7FDE" w:rsidR="00AA7B8A" w:rsidP="00F67BCA" w:rsidRDefault="00AA7B8A" w14:paraId="5048D253" w14:textId="15F31239">
            <w:pPr>
              <w:pStyle w:val="Standard"/>
              <w:ind w:firstLine="0"/>
              <w:rPr>
                <w:sz w:val="22"/>
                <w:szCs w:val="18"/>
              </w:rPr>
            </w:pPr>
            <w:r w:rsidRPr="00FF7FDE">
              <w:rPr>
                <w:sz w:val="22"/>
                <w:szCs w:val="18"/>
              </w:rPr>
              <w:t>$</w:t>
            </w:r>
            <w:r>
              <w:rPr>
                <w:sz w:val="22"/>
                <w:szCs w:val="18"/>
              </w:rPr>
              <w:t>0.</w:t>
            </w:r>
            <w:r w:rsidR="0018654A">
              <w:rPr>
                <w:sz w:val="22"/>
                <w:szCs w:val="18"/>
              </w:rPr>
              <w:t>069</w:t>
            </w:r>
          </w:p>
        </w:tc>
        <w:tc>
          <w:tcPr>
            <w:tcW w:w="848" w:type="pct"/>
          </w:tcPr>
          <w:p w:rsidRPr="00FF7FDE" w:rsidR="00AA7B8A" w:rsidP="00F67BCA" w:rsidRDefault="00AA7B8A" w14:paraId="14B99B6A" w14:textId="6472C07F">
            <w:pPr>
              <w:pStyle w:val="Standard"/>
              <w:ind w:firstLine="0"/>
              <w:rPr>
                <w:sz w:val="22"/>
                <w:szCs w:val="18"/>
              </w:rPr>
            </w:pPr>
            <w:r w:rsidRPr="00FF7FDE">
              <w:rPr>
                <w:sz w:val="22"/>
                <w:szCs w:val="18"/>
              </w:rPr>
              <w:t>$</w:t>
            </w:r>
            <w:r>
              <w:rPr>
                <w:sz w:val="22"/>
                <w:szCs w:val="18"/>
              </w:rPr>
              <w:t>0.</w:t>
            </w:r>
            <w:r w:rsidR="00695D96">
              <w:rPr>
                <w:sz w:val="22"/>
                <w:szCs w:val="18"/>
              </w:rPr>
              <w:t>588</w:t>
            </w:r>
          </w:p>
        </w:tc>
        <w:tc>
          <w:tcPr>
            <w:tcW w:w="848" w:type="pct"/>
          </w:tcPr>
          <w:p w:rsidRPr="00FF7FDE" w:rsidR="00AA7B8A" w:rsidP="00F67BCA" w:rsidRDefault="00AA7B8A" w14:paraId="2F8BDC25" w14:textId="455CD252">
            <w:pPr>
              <w:pStyle w:val="Standard"/>
              <w:ind w:firstLine="0"/>
              <w:rPr>
                <w:sz w:val="22"/>
                <w:szCs w:val="18"/>
              </w:rPr>
            </w:pPr>
            <w:r w:rsidRPr="00FF7FDE">
              <w:rPr>
                <w:sz w:val="22"/>
                <w:szCs w:val="18"/>
              </w:rPr>
              <w:t>$0</w:t>
            </w:r>
          </w:p>
        </w:tc>
        <w:tc>
          <w:tcPr>
            <w:tcW w:w="848" w:type="pct"/>
          </w:tcPr>
          <w:p w:rsidRPr="00FF7FDE" w:rsidR="00AA7B8A" w:rsidP="00F67BCA" w:rsidRDefault="00695D96" w14:paraId="774C623F" w14:textId="2EC3619D">
            <w:pPr>
              <w:pStyle w:val="Standard"/>
              <w:ind w:firstLine="0"/>
              <w:rPr>
                <w:sz w:val="22"/>
                <w:szCs w:val="18"/>
              </w:rPr>
            </w:pPr>
            <w:r>
              <w:rPr>
                <w:sz w:val="22"/>
                <w:szCs w:val="18"/>
              </w:rPr>
              <w:t>$0.657</w:t>
            </w:r>
          </w:p>
        </w:tc>
      </w:tr>
      <w:tr w:rsidRPr="00FF7FDE" w:rsidR="004D26E8" w:rsidTr="00665100" w14:paraId="49CCCD41" w14:textId="77777777">
        <w:tc>
          <w:tcPr>
            <w:tcW w:w="1607" w:type="pct"/>
          </w:tcPr>
          <w:p w:rsidRPr="00FF7FDE" w:rsidR="004D26E8" w:rsidP="00F67BCA" w:rsidRDefault="004D26E8" w14:paraId="0212BBB0" w14:textId="65515724">
            <w:pPr>
              <w:pStyle w:val="Standard"/>
              <w:numPr>
                <w:ilvl w:val="0"/>
                <w:numId w:val="6"/>
              </w:numPr>
              <w:rPr>
                <w:sz w:val="22"/>
                <w:szCs w:val="18"/>
              </w:rPr>
            </w:pPr>
            <w:r>
              <w:rPr>
                <w:sz w:val="22"/>
                <w:szCs w:val="18"/>
              </w:rPr>
              <w:t>Planned Investments</w:t>
            </w:r>
          </w:p>
        </w:tc>
        <w:tc>
          <w:tcPr>
            <w:tcW w:w="848" w:type="pct"/>
          </w:tcPr>
          <w:p w:rsidRPr="00FF7FDE" w:rsidR="004D26E8" w:rsidP="00F67BCA" w:rsidRDefault="004D26E8" w14:paraId="23B702F1" w14:textId="7A83A21D">
            <w:pPr>
              <w:pStyle w:val="Standard"/>
              <w:ind w:firstLine="0"/>
              <w:rPr>
                <w:sz w:val="22"/>
                <w:szCs w:val="18"/>
              </w:rPr>
            </w:pPr>
            <w:r>
              <w:rPr>
                <w:sz w:val="22"/>
                <w:szCs w:val="18"/>
              </w:rPr>
              <w:t>($2.518)</w:t>
            </w:r>
          </w:p>
        </w:tc>
        <w:tc>
          <w:tcPr>
            <w:tcW w:w="848" w:type="pct"/>
          </w:tcPr>
          <w:p w:rsidRPr="00FF7FDE" w:rsidR="004D26E8" w:rsidP="00F67BCA" w:rsidRDefault="004D26E8" w14:paraId="3EF88D47" w14:textId="53C96CEB">
            <w:pPr>
              <w:pStyle w:val="Standard"/>
              <w:ind w:firstLine="0"/>
              <w:rPr>
                <w:sz w:val="22"/>
                <w:szCs w:val="18"/>
              </w:rPr>
            </w:pPr>
            <w:r>
              <w:rPr>
                <w:sz w:val="22"/>
                <w:szCs w:val="18"/>
              </w:rPr>
              <w:t>$0</w:t>
            </w:r>
          </w:p>
        </w:tc>
        <w:tc>
          <w:tcPr>
            <w:tcW w:w="848" w:type="pct"/>
          </w:tcPr>
          <w:p w:rsidRPr="00FF7FDE" w:rsidR="004D26E8" w:rsidP="00F67BCA" w:rsidRDefault="004D26E8" w14:paraId="6050B056" w14:textId="0B3F28FD">
            <w:pPr>
              <w:pStyle w:val="Standard"/>
              <w:ind w:firstLine="0"/>
              <w:rPr>
                <w:sz w:val="22"/>
                <w:szCs w:val="18"/>
              </w:rPr>
            </w:pPr>
            <w:r>
              <w:rPr>
                <w:sz w:val="22"/>
                <w:szCs w:val="18"/>
              </w:rPr>
              <w:t>$0</w:t>
            </w:r>
          </w:p>
        </w:tc>
        <w:tc>
          <w:tcPr>
            <w:tcW w:w="848" w:type="pct"/>
          </w:tcPr>
          <w:p w:rsidR="004D26E8" w:rsidP="00F67BCA" w:rsidRDefault="004D26E8" w14:paraId="1289C164" w14:textId="141A093D">
            <w:pPr>
              <w:pStyle w:val="Standard"/>
              <w:ind w:firstLine="0"/>
              <w:rPr>
                <w:sz w:val="22"/>
                <w:szCs w:val="18"/>
              </w:rPr>
            </w:pPr>
            <w:r>
              <w:rPr>
                <w:sz w:val="22"/>
                <w:szCs w:val="18"/>
              </w:rPr>
              <w:t>($2.518)</w:t>
            </w:r>
          </w:p>
        </w:tc>
      </w:tr>
      <w:tr w:rsidRPr="00FF7FDE" w:rsidR="00AA7B8A" w:rsidTr="004A7A96" w14:paraId="05E492A2" w14:textId="6A1ABD72">
        <w:tc>
          <w:tcPr>
            <w:tcW w:w="1607" w:type="pct"/>
          </w:tcPr>
          <w:p w:rsidRPr="00FF7FDE" w:rsidR="00AA7B8A" w:rsidP="00F67BCA" w:rsidRDefault="00AA7B8A" w14:paraId="624893A2" w14:textId="77777777">
            <w:pPr>
              <w:pStyle w:val="Standard"/>
              <w:numPr>
                <w:ilvl w:val="0"/>
                <w:numId w:val="6"/>
              </w:numPr>
              <w:rPr>
                <w:sz w:val="22"/>
                <w:szCs w:val="18"/>
              </w:rPr>
            </w:pPr>
            <w:r w:rsidRPr="00FF7FDE">
              <w:rPr>
                <w:sz w:val="22"/>
                <w:szCs w:val="18"/>
              </w:rPr>
              <w:t>Future Capacity Projects</w:t>
            </w:r>
          </w:p>
        </w:tc>
        <w:tc>
          <w:tcPr>
            <w:tcW w:w="848" w:type="pct"/>
          </w:tcPr>
          <w:p w:rsidRPr="00FF7FDE" w:rsidR="00AA7B8A" w:rsidP="00F67BCA" w:rsidRDefault="00AA7B8A" w14:paraId="15549C99" w14:textId="719C6A5C">
            <w:pPr>
              <w:pStyle w:val="Standard"/>
              <w:ind w:firstLine="0"/>
              <w:rPr>
                <w:sz w:val="22"/>
                <w:szCs w:val="18"/>
              </w:rPr>
            </w:pPr>
            <w:r w:rsidRPr="00FF7FDE">
              <w:rPr>
                <w:sz w:val="22"/>
                <w:szCs w:val="18"/>
              </w:rPr>
              <w:t>$2</w:t>
            </w:r>
            <w:r>
              <w:rPr>
                <w:sz w:val="22"/>
                <w:szCs w:val="18"/>
              </w:rPr>
              <w:t>.</w:t>
            </w:r>
            <w:r w:rsidR="0027569D">
              <w:rPr>
                <w:sz w:val="22"/>
                <w:szCs w:val="18"/>
              </w:rPr>
              <w:t>959</w:t>
            </w:r>
          </w:p>
        </w:tc>
        <w:tc>
          <w:tcPr>
            <w:tcW w:w="848" w:type="pct"/>
          </w:tcPr>
          <w:p w:rsidRPr="00FF7FDE" w:rsidR="00AA7B8A" w:rsidP="00F67BCA" w:rsidRDefault="00AA7B8A" w14:paraId="6A085EE3" w14:textId="422A0DFD">
            <w:pPr>
              <w:pStyle w:val="Standard"/>
              <w:ind w:firstLine="0"/>
              <w:rPr>
                <w:sz w:val="22"/>
                <w:szCs w:val="18"/>
              </w:rPr>
            </w:pPr>
            <w:r w:rsidRPr="00FF7FDE">
              <w:rPr>
                <w:sz w:val="22"/>
                <w:szCs w:val="18"/>
              </w:rPr>
              <w:t>$</w:t>
            </w:r>
            <w:r w:rsidR="0027569D">
              <w:rPr>
                <w:sz w:val="22"/>
                <w:szCs w:val="18"/>
              </w:rPr>
              <w:t>3.009</w:t>
            </w:r>
          </w:p>
        </w:tc>
        <w:tc>
          <w:tcPr>
            <w:tcW w:w="848" w:type="pct"/>
          </w:tcPr>
          <w:p w:rsidRPr="00FF7FDE" w:rsidR="00AA7B8A" w:rsidP="00F67BCA" w:rsidRDefault="00AA7B8A" w14:paraId="5E2D2B57" w14:textId="37C4DC70">
            <w:pPr>
              <w:pStyle w:val="Standard"/>
              <w:ind w:firstLine="0"/>
              <w:rPr>
                <w:sz w:val="22"/>
                <w:szCs w:val="18"/>
              </w:rPr>
            </w:pPr>
            <w:r w:rsidRPr="00FF7FDE">
              <w:rPr>
                <w:sz w:val="22"/>
                <w:szCs w:val="18"/>
              </w:rPr>
              <w:t>$</w:t>
            </w:r>
            <w:r w:rsidR="0027569D">
              <w:rPr>
                <w:sz w:val="22"/>
                <w:szCs w:val="18"/>
              </w:rPr>
              <w:t>3.061</w:t>
            </w:r>
          </w:p>
        </w:tc>
        <w:tc>
          <w:tcPr>
            <w:tcW w:w="848" w:type="pct"/>
          </w:tcPr>
          <w:p w:rsidRPr="00FF7FDE" w:rsidR="00AA7B8A" w:rsidP="00F67BCA" w:rsidRDefault="00695D96" w14:paraId="1EE2BFD1" w14:textId="46E8B27B">
            <w:pPr>
              <w:pStyle w:val="Standard"/>
              <w:ind w:firstLine="0"/>
              <w:rPr>
                <w:sz w:val="22"/>
                <w:szCs w:val="18"/>
              </w:rPr>
            </w:pPr>
            <w:r>
              <w:rPr>
                <w:sz w:val="22"/>
                <w:szCs w:val="18"/>
              </w:rPr>
              <w:t>$</w:t>
            </w:r>
            <w:r w:rsidR="000A2785">
              <w:rPr>
                <w:sz w:val="22"/>
                <w:szCs w:val="18"/>
              </w:rPr>
              <w:t>9.030</w:t>
            </w:r>
          </w:p>
        </w:tc>
      </w:tr>
      <w:tr w:rsidRPr="00FF7FDE" w:rsidR="00AA7B8A" w:rsidTr="004A7A96" w14:paraId="5378E456" w14:textId="4E856801">
        <w:tc>
          <w:tcPr>
            <w:tcW w:w="1607" w:type="pct"/>
            <w:shd w:val="clear" w:color="auto" w:fill="E7E6E6" w:themeFill="background2"/>
          </w:tcPr>
          <w:p w:rsidRPr="00FF7FDE" w:rsidR="00AA7B8A" w:rsidP="00F67BCA" w:rsidRDefault="00AA7B8A" w14:paraId="2CDA0527" w14:textId="77777777">
            <w:pPr>
              <w:pStyle w:val="Standard"/>
              <w:ind w:firstLine="0"/>
              <w:rPr>
                <w:b/>
                <w:bCs/>
                <w:sz w:val="22"/>
                <w:szCs w:val="18"/>
              </w:rPr>
            </w:pPr>
            <w:r w:rsidRPr="00FF7FDE">
              <w:rPr>
                <w:b/>
                <w:bCs/>
                <w:sz w:val="22"/>
                <w:szCs w:val="18"/>
              </w:rPr>
              <w:t>New Business</w:t>
            </w:r>
          </w:p>
        </w:tc>
        <w:tc>
          <w:tcPr>
            <w:tcW w:w="848" w:type="pct"/>
            <w:shd w:val="clear" w:color="auto" w:fill="E7E6E6" w:themeFill="background2"/>
          </w:tcPr>
          <w:p w:rsidRPr="00FF7FDE" w:rsidR="00AA7B8A" w:rsidP="00F67BCA" w:rsidRDefault="00AA7B8A" w14:paraId="43047AC4" w14:textId="0E90F106">
            <w:pPr>
              <w:pStyle w:val="Standard"/>
              <w:ind w:firstLine="0"/>
              <w:rPr>
                <w:b/>
                <w:bCs/>
                <w:sz w:val="22"/>
                <w:szCs w:val="18"/>
              </w:rPr>
            </w:pPr>
            <w:r w:rsidRPr="00FF7FDE">
              <w:rPr>
                <w:b/>
                <w:bCs/>
                <w:sz w:val="22"/>
                <w:szCs w:val="18"/>
              </w:rPr>
              <w:t>$</w:t>
            </w:r>
            <w:r w:rsidR="008E7C0B">
              <w:rPr>
                <w:b/>
                <w:bCs/>
                <w:sz w:val="22"/>
                <w:szCs w:val="18"/>
              </w:rPr>
              <w:t>5.227</w:t>
            </w:r>
          </w:p>
        </w:tc>
        <w:tc>
          <w:tcPr>
            <w:tcW w:w="848" w:type="pct"/>
            <w:shd w:val="clear" w:color="auto" w:fill="E7E6E6" w:themeFill="background2"/>
          </w:tcPr>
          <w:p w:rsidRPr="00FF7FDE" w:rsidR="00AA7B8A" w:rsidP="00F67BCA" w:rsidRDefault="00AA7B8A" w14:paraId="1DE683A0" w14:textId="63D4B69E">
            <w:pPr>
              <w:pStyle w:val="Standard"/>
              <w:ind w:firstLine="0"/>
              <w:rPr>
                <w:b/>
                <w:bCs/>
                <w:sz w:val="22"/>
                <w:szCs w:val="18"/>
              </w:rPr>
            </w:pPr>
            <w:r w:rsidRPr="00FF7FDE">
              <w:rPr>
                <w:b/>
                <w:bCs/>
                <w:sz w:val="22"/>
                <w:szCs w:val="18"/>
              </w:rPr>
              <w:t>$</w:t>
            </w:r>
            <w:r w:rsidR="008E7C0B">
              <w:rPr>
                <w:b/>
                <w:bCs/>
                <w:sz w:val="22"/>
                <w:szCs w:val="18"/>
              </w:rPr>
              <w:t>8.949</w:t>
            </w:r>
          </w:p>
        </w:tc>
        <w:tc>
          <w:tcPr>
            <w:tcW w:w="848" w:type="pct"/>
            <w:shd w:val="clear" w:color="auto" w:fill="E7E6E6" w:themeFill="background2"/>
          </w:tcPr>
          <w:p w:rsidRPr="00FF7FDE" w:rsidR="00AA7B8A" w:rsidP="00F67BCA" w:rsidRDefault="00AA7B8A" w14:paraId="2F546379" w14:textId="774DF762">
            <w:pPr>
              <w:pStyle w:val="Standard"/>
              <w:ind w:firstLine="0"/>
              <w:rPr>
                <w:b/>
                <w:bCs/>
                <w:sz w:val="22"/>
                <w:szCs w:val="18"/>
              </w:rPr>
            </w:pPr>
            <w:r w:rsidRPr="00FF7FDE">
              <w:rPr>
                <w:b/>
                <w:bCs/>
                <w:sz w:val="22"/>
                <w:szCs w:val="18"/>
              </w:rPr>
              <w:t>$</w:t>
            </w:r>
            <w:r w:rsidR="008E7C0B">
              <w:rPr>
                <w:b/>
                <w:bCs/>
                <w:sz w:val="22"/>
                <w:szCs w:val="18"/>
              </w:rPr>
              <w:t>13.130</w:t>
            </w:r>
          </w:p>
        </w:tc>
        <w:tc>
          <w:tcPr>
            <w:tcW w:w="848" w:type="pct"/>
            <w:shd w:val="clear" w:color="auto" w:fill="E7E6E6" w:themeFill="background2"/>
          </w:tcPr>
          <w:p w:rsidRPr="00FF7FDE" w:rsidR="00AA7B8A" w:rsidP="00F67BCA" w:rsidRDefault="008E7C0B" w14:paraId="6EF3D576" w14:textId="77F568C4">
            <w:pPr>
              <w:pStyle w:val="Standard"/>
              <w:ind w:firstLine="0"/>
              <w:rPr>
                <w:b/>
                <w:bCs/>
                <w:sz w:val="22"/>
                <w:szCs w:val="18"/>
              </w:rPr>
            </w:pPr>
            <w:r>
              <w:rPr>
                <w:b/>
                <w:bCs/>
                <w:sz w:val="22"/>
                <w:szCs w:val="18"/>
              </w:rPr>
              <w:t>$27.306</w:t>
            </w:r>
          </w:p>
        </w:tc>
      </w:tr>
      <w:tr w:rsidRPr="00FF7FDE" w:rsidR="00AA7B8A" w:rsidTr="004A7A96" w14:paraId="34321AEC" w14:textId="2FFB1861">
        <w:tc>
          <w:tcPr>
            <w:tcW w:w="1607" w:type="pct"/>
            <w:shd w:val="clear" w:color="auto" w:fill="E7E6E6" w:themeFill="background2"/>
          </w:tcPr>
          <w:p w:rsidRPr="00FF7FDE" w:rsidR="00AA7B8A" w:rsidP="00F67BCA" w:rsidRDefault="00AA7B8A" w14:paraId="5FDC86BD" w14:textId="77777777">
            <w:pPr>
              <w:pStyle w:val="Standard"/>
              <w:ind w:firstLine="0"/>
              <w:rPr>
                <w:b/>
                <w:bCs/>
                <w:sz w:val="22"/>
                <w:szCs w:val="18"/>
              </w:rPr>
            </w:pPr>
            <w:r w:rsidRPr="00FF7FDE">
              <w:rPr>
                <w:b/>
                <w:bCs/>
                <w:sz w:val="22"/>
                <w:szCs w:val="18"/>
              </w:rPr>
              <w:t>Materials (Transformers)</w:t>
            </w:r>
          </w:p>
        </w:tc>
        <w:tc>
          <w:tcPr>
            <w:tcW w:w="848" w:type="pct"/>
            <w:shd w:val="clear" w:color="auto" w:fill="E7E6E6" w:themeFill="background2"/>
          </w:tcPr>
          <w:p w:rsidRPr="00FF7FDE" w:rsidR="00AA7B8A" w:rsidP="00F67BCA" w:rsidRDefault="00AA7B8A" w14:paraId="2A29F626" w14:textId="12D2D629">
            <w:pPr>
              <w:pStyle w:val="Standard"/>
              <w:ind w:firstLine="0"/>
              <w:rPr>
                <w:b/>
                <w:bCs/>
                <w:sz w:val="22"/>
                <w:szCs w:val="18"/>
              </w:rPr>
            </w:pPr>
            <w:r w:rsidRPr="00FF7FDE">
              <w:rPr>
                <w:b/>
                <w:bCs/>
                <w:sz w:val="22"/>
                <w:szCs w:val="18"/>
              </w:rPr>
              <w:t>$3</w:t>
            </w:r>
            <w:r>
              <w:rPr>
                <w:b/>
                <w:bCs/>
                <w:sz w:val="22"/>
                <w:szCs w:val="18"/>
              </w:rPr>
              <w:t>.</w:t>
            </w:r>
            <w:r w:rsidR="008E7C0B">
              <w:rPr>
                <w:b/>
                <w:bCs/>
                <w:sz w:val="22"/>
                <w:szCs w:val="18"/>
              </w:rPr>
              <w:t>435</w:t>
            </w:r>
          </w:p>
        </w:tc>
        <w:tc>
          <w:tcPr>
            <w:tcW w:w="848" w:type="pct"/>
            <w:shd w:val="clear" w:color="auto" w:fill="E7E6E6" w:themeFill="background2"/>
          </w:tcPr>
          <w:p w:rsidRPr="00FF7FDE" w:rsidR="00AA7B8A" w:rsidP="00F67BCA" w:rsidRDefault="00AA7B8A" w14:paraId="26D4E274" w14:textId="2565FFDD">
            <w:pPr>
              <w:pStyle w:val="Standard"/>
              <w:ind w:firstLine="0"/>
              <w:rPr>
                <w:b/>
                <w:bCs/>
                <w:sz w:val="22"/>
                <w:szCs w:val="18"/>
              </w:rPr>
            </w:pPr>
            <w:r w:rsidRPr="00FF7FDE">
              <w:rPr>
                <w:b/>
                <w:bCs/>
                <w:sz w:val="22"/>
                <w:szCs w:val="18"/>
              </w:rPr>
              <w:t>$3</w:t>
            </w:r>
            <w:r>
              <w:rPr>
                <w:b/>
                <w:bCs/>
                <w:sz w:val="22"/>
                <w:szCs w:val="18"/>
              </w:rPr>
              <w:t>.</w:t>
            </w:r>
            <w:r w:rsidR="008E7C0B">
              <w:rPr>
                <w:b/>
                <w:bCs/>
                <w:sz w:val="22"/>
                <w:szCs w:val="18"/>
              </w:rPr>
              <w:t>487</w:t>
            </w:r>
          </w:p>
        </w:tc>
        <w:tc>
          <w:tcPr>
            <w:tcW w:w="848" w:type="pct"/>
            <w:shd w:val="clear" w:color="auto" w:fill="E7E6E6" w:themeFill="background2"/>
          </w:tcPr>
          <w:p w:rsidRPr="00FF7FDE" w:rsidR="00AA7B8A" w:rsidP="00F67BCA" w:rsidRDefault="00AA7B8A" w14:paraId="50003D07" w14:textId="2D9367BD">
            <w:pPr>
              <w:pStyle w:val="Standard"/>
              <w:ind w:firstLine="0"/>
              <w:rPr>
                <w:b/>
                <w:bCs/>
                <w:sz w:val="22"/>
                <w:szCs w:val="18"/>
              </w:rPr>
            </w:pPr>
            <w:r w:rsidRPr="00FF7FDE">
              <w:rPr>
                <w:b/>
                <w:bCs/>
                <w:sz w:val="22"/>
                <w:szCs w:val="18"/>
              </w:rPr>
              <w:t>$3</w:t>
            </w:r>
            <w:r>
              <w:rPr>
                <w:b/>
                <w:bCs/>
                <w:sz w:val="22"/>
                <w:szCs w:val="18"/>
              </w:rPr>
              <w:t>.5</w:t>
            </w:r>
            <w:r w:rsidR="000757B1">
              <w:rPr>
                <w:b/>
                <w:bCs/>
                <w:sz w:val="22"/>
                <w:szCs w:val="18"/>
              </w:rPr>
              <w:t>3</w:t>
            </w:r>
            <w:r w:rsidR="008E7C0B">
              <w:rPr>
                <w:b/>
                <w:bCs/>
                <w:sz w:val="22"/>
                <w:szCs w:val="18"/>
              </w:rPr>
              <w:t>8</w:t>
            </w:r>
          </w:p>
        </w:tc>
        <w:tc>
          <w:tcPr>
            <w:tcW w:w="848" w:type="pct"/>
            <w:shd w:val="clear" w:color="auto" w:fill="E7E6E6" w:themeFill="background2"/>
          </w:tcPr>
          <w:p w:rsidRPr="00FF7FDE" w:rsidR="00AA7B8A" w:rsidP="00F67BCA" w:rsidRDefault="000757B1" w14:paraId="4EE2FF5A" w14:textId="637DB578">
            <w:pPr>
              <w:pStyle w:val="Standard"/>
              <w:ind w:firstLine="0"/>
              <w:rPr>
                <w:b/>
                <w:bCs/>
                <w:sz w:val="22"/>
                <w:szCs w:val="18"/>
              </w:rPr>
            </w:pPr>
            <w:r>
              <w:rPr>
                <w:b/>
                <w:bCs/>
                <w:sz w:val="22"/>
                <w:szCs w:val="18"/>
              </w:rPr>
              <w:t>$10.460</w:t>
            </w:r>
          </w:p>
        </w:tc>
      </w:tr>
      <w:tr w:rsidRPr="00FF7FDE" w:rsidR="00AA7B8A" w:rsidTr="004A7A96" w14:paraId="58D98F81" w14:textId="4AF4780B">
        <w:tc>
          <w:tcPr>
            <w:tcW w:w="1607" w:type="pct"/>
            <w:shd w:val="clear" w:color="auto" w:fill="E7E6E6" w:themeFill="background2"/>
          </w:tcPr>
          <w:p w:rsidRPr="00FF7FDE" w:rsidR="00AA7B8A" w:rsidP="00F67BCA" w:rsidRDefault="00AA7B8A" w14:paraId="013FA05D" w14:textId="77777777">
            <w:pPr>
              <w:pStyle w:val="Standard"/>
              <w:ind w:firstLine="0"/>
              <w:rPr>
                <w:b/>
                <w:bCs/>
                <w:sz w:val="22"/>
                <w:szCs w:val="18"/>
              </w:rPr>
            </w:pPr>
            <w:r w:rsidRPr="00FF7FDE">
              <w:rPr>
                <w:b/>
                <w:bCs/>
                <w:sz w:val="22"/>
                <w:szCs w:val="18"/>
              </w:rPr>
              <w:t>IT System Enhancements</w:t>
            </w:r>
          </w:p>
        </w:tc>
        <w:tc>
          <w:tcPr>
            <w:tcW w:w="848" w:type="pct"/>
            <w:shd w:val="clear" w:color="auto" w:fill="E7E6E6" w:themeFill="background2"/>
          </w:tcPr>
          <w:p w:rsidRPr="00FF7FDE" w:rsidR="00AA7B8A" w:rsidP="00F67BCA" w:rsidRDefault="00AA7B8A" w14:paraId="00F7ADFC" w14:textId="77777777">
            <w:pPr>
              <w:pStyle w:val="Standard"/>
              <w:ind w:firstLine="0"/>
              <w:rPr>
                <w:b/>
                <w:bCs/>
                <w:sz w:val="22"/>
                <w:szCs w:val="18"/>
              </w:rPr>
            </w:pPr>
            <w:r w:rsidRPr="00FF7FDE">
              <w:rPr>
                <w:b/>
                <w:bCs/>
                <w:sz w:val="22"/>
                <w:szCs w:val="18"/>
              </w:rPr>
              <w:t>$0</w:t>
            </w:r>
          </w:p>
        </w:tc>
        <w:tc>
          <w:tcPr>
            <w:tcW w:w="848" w:type="pct"/>
            <w:shd w:val="clear" w:color="auto" w:fill="E7E6E6" w:themeFill="background2"/>
          </w:tcPr>
          <w:p w:rsidRPr="00FF7FDE" w:rsidR="00AA7B8A" w:rsidP="00F67BCA" w:rsidRDefault="00AA7B8A" w14:paraId="38DA57BE" w14:textId="5BE39A6D">
            <w:pPr>
              <w:pStyle w:val="Standard"/>
              <w:ind w:firstLine="0"/>
              <w:rPr>
                <w:b/>
                <w:bCs/>
                <w:sz w:val="22"/>
                <w:szCs w:val="18"/>
              </w:rPr>
            </w:pPr>
            <w:r w:rsidRPr="00FF7FDE">
              <w:rPr>
                <w:b/>
                <w:bCs/>
                <w:sz w:val="22"/>
                <w:szCs w:val="18"/>
              </w:rPr>
              <w:t>$0</w:t>
            </w:r>
          </w:p>
        </w:tc>
        <w:tc>
          <w:tcPr>
            <w:tcW w:w="848" w:type="pct"/>
            <w:shd w:val="clear" w:color="auto" w:fill="E7E6E6" w:themeFill="background2"/>
          </w:tcPr>
          <w:p w:rsidRPr="00FF7FDE" w:rsidR="00AA7B8A" w:rsidP="00F67BCA" w:rsidRDefault="00AA7B8A" w14:paraId="2B64E608" w14:textId="5DEC794C">
            <w:pPr>
              <w:pStyle w:val="Standard"/>
              <w:ind w:firstLine="0"/>
              <w:rPr>
                <w:b/>
                <w:bCs/>
                <w:sz w:val="22"/>
                <w:szCs w:val="18"/>
              </w:rPr>
            </w:pPr>
            <w:r w:rsidRPr="00FF7FDE">
              <w:rPr>
                <w:b/>
                <w:bCs/>
                <w:sz w:val="22"/>
                <w:szCs w:val="18"/>
              </w:rPr>
              <w:t>$0</w:t>
            </w:r>
          </w:p>
        </w:tc>
        <w:tc>
          <w:tcPr>
            <w:tcW w:w="848" w:type="pct"/>
            <w:shd w:val="clear" w:color="auto" w:fill="E7E6E6" w:themeFill="background2"/>
          </w:tcPr>
          <w:p w:rsidRPr="00FF7FDE" w:rsidR="00AA7B8A" w:rsidP="00F67BCA" w:rsidRDefault="000757B1" w14:paraId="1FAE0F5F" w14:textId="04FD1B8E">
            <w:pPr>
              <w:pStyle w:val="Standard"/>
              <w:ind w:firstLine="0"/>
              <w:rPr>
                <w:b/>
                <w:bCs/>
                <w:sz w:val="22"/>
                <w:szCs w:val="18"/>
              </w:rPr>
            </w:pPr>
            <w:r>
              <w:rPr>
                <w:b/>
                <w:bCs/>
                <w:sz w:val="22"/>
                <w:szCs w:val="18"/>
              </w:rPr>
              <w:t>$0</w:t>
            </w:r>
          </w:p>
        </w:tc>
      </w:tr>
      <w:tr w:rsidRPr="00FF7FDE" w:rsidR="00AA7B8A" w:rsidTr="004A7A96" w14:paraId="2D5B47DD" w14:textId="2FE57BDE">
        <w:tc>
          <w:tcPr>
            <w:tcW w:w="1607" w:type="pct"/>
            <w:shd w:val="clear" w:color="auto" w:fill="E7E6E6" w:themeFill="background2"/>
          </w:tcPr>
          <w:p w:rsidRPr="00FF7FDE" w:rsidR="00AA7B8A" w:rsidP="00F67BCA" w:rsidRDefault="00AA7B8A" w14:paraId="2D633675" w14:textId="77777777">
            <w:pPr>
              <w:pStyle w:val="Standard"/>
              <w:ind w:firstLine="0"/>
              <w:rPr>
                <w:b/>
                <w:bCs/>
                <w:sz w:val="22"/>
                <w:szCs w:val="18"/>
              </w:rPr>
            </w:pPr>
            <w:r w:rsidRPr="00FF7FDE">
              <w:rPr>
                <w:b/>
                <w:bCs/>
                <w:sz w:val="22"/>
                <w:szCs w:val="18"/>
              </w:rPr>
              <w:t>Contingency</w:t>
            </w:r>
          </w:p>
        </w:tc>
        <w:tc>
          <w:tcPr>
            <w:tcW w:w="848" w:type="pct"/>
            <w:shd w:val="clear" w:color="auto" w:fill="E7E6E6" w:themeFill="background2"/>
          </w:tcPr>
          <w:p w:rsidRPr="00FF7FDE" w:rsidR="00AA7B8A" w:rsidP="00F67BCA" w:rsidRDefault="00AA7B8A" w14:paraId="522D043D" w14:textId="77777777">
            <w:pPr>
              <w:pStyle w:val="Standard"/>
              <w:ind w:firstLine="0"/>
              <w:rPr>
                <w:b/>
                <w:bCs/>
                <w:sz w:val="22"/>
                <w:szCs w:val="18"/>
              </w:rPr>
            </w:pPr>
            <w:r w:rsidRPr="00FF7FDE">
              <w:rPr>
                <w:b/>
                <w:bCs/>
                <w:sz w:val="22"/>
                <w:szCs w:val="18"/>
              </w:rPr>
              <w:t>$0</w:t>
            </w:r>
          </w:p>
        </w:tc>
        <w:tc>
          <w:tcPr>
            <w:tcW w:w="848" w:type="pct"/>
            <w:shd w:val="clear" w:color="auto" w:fill="E7E6E6" w:themeFill="background2"/>
          </w:tcPr>
          <w:p w:rsidRPr="00FF7FDE" w:rsidR="00AA7B8A" w:rsidP="00F67BCA" w:rsidRDefault="00AA7B8A" w14:paraId="24087AEB" w14:textId="2A6CAFBF">
            <w:pPr>
              <w:pStyle w:val="Standard"/>
              <w:ind w:firstLine="0"/>
              <w:rPr>
                <w:b/>
                <w:bCs/>
                <w:sz w:val="22"/>
                <w:szCs w:val="18"/>
              </w:rPr>
            </w:pPr>
            <w:r w:rsidRPr="00FF7FDE">
              <w:rPr>
                <w:b/>
                <w:bCs/>
                <w:sz w:val="22"/>
                <w:szCs w:val="18"/>
              </w:rPr>
              <w:t>$0</w:t>
            </w:r>
          </w:p>
        </w:tc>
        <w:tc>
          <w:tcPr>
            <w:tcW w:w="848" w:type="pct"/>
            <w:shd w:val="clear" w:color="auto" w:fill="E7E6E6" w:themeFill="background2"/>
          </w:tcPr>
          <w:p w:rsidRPr="00FF7FDE" w:rsidR="00AA7B8A" w:rsidP="00F67BCA" w:rsidRDefault="00AA7B8A" w14:paraId="74604C47" w14:textId="3EB33E19">
            <w:pPr>
              <w:pStyle w:val="Standard"/>
              <w:ind w:firstLine="0"/>
              <w:rPr>
                <w:b/>
                <w:bCs/>
                <w:sz w:val="22"/>
                <w:szCs w:val="18"/>
              </w:rPr>
            </w:pPr>
            <w:r w:rsidRPr="00FF7FDE">
              <w:rPr>
                <w:b/>
                <w:bCs/>
                <w:sz w:val="22"/>
                <w:szCs w:val="18"/>
              </w:rPr>
              <w:t>$0</w:t>
            </w:r>
          </w:p>
        </w:tc>
        <w:tc>
          <w:tcPr>
            <w:tcW w:w="848" w:type="pct"/>
            <w:shd w:val="clear" w:color="auto" w:fill="E7E6E6" w:themeFill="background2"/>
          </w:tcPr>
          <w:p w:rsidRPr="00FF7FDE" w:rsidR="00AA7B8A" w:rsidP="00F67BCA" w:rsidRDefault="000757B1" w14:paraId="11CDCDB7" w14:textId="6CF6C921">
            <w:pPr>
              <w:pStyle w:val="Standard"/>
              <w:ind w:firstLine="0"/>
              <w:rPr>
                <w:b/>
                <w:bCs/>
                <w:sz w:val="22"/>
                <w:szCs w:val="18"/>
              </w:rPr>
            </w:pPr>
            <w:r>
              <w:rPr>
                <w:b/>
                <w:bCs/>
                <w:sz w:val="22"/>
                <w:szCs w:val="18"/>
              </w:rPr>
              <w:t>$0</w:t>
            </w:r>
          </w:p>
        </w:tc>
      </w:tr>
      <w:tr w:rsidRPr="00FF7FDE" w:rsidR="00AA7B8A" w:rsidTr="004A7A96" w14:paraId="4E18E941" w14:textId="3BA7D7A7">
        <w:tc>
          <w:tcPr>
            <w:tcW w:w="1607" w:type="pct"/>
            <w:shd w:val="clear" w:color="auto" w:fill="000000" w:themeFill="text1"/>
          </w:tcPr>
          <w:p w:rsidRPr="00FF7FDE" w:rsidR="00AA7B8A" w:rsidP="00F67BCA" w:rsidRDefault="00AA7B8A" w14:paraId="21E0BDBB" w14:textId="77777777">
            <w:pPr>
              <w:pStyle w:val="Standard"/>
              <w:ind w:firstLine="0"/>
              <w:rPr>
                <w:b/>
                <w:bCs/>
                <w:sz w:val="22"/>
                <w:szCs w:val="18"/>
              </w:rPr>
            </w:pPr>
            <w:r w:rsidRPr="00FF7FDE">
              <w:rPr>
                <w:b/>
                <w:bCs/>
                <w:sz w:val="22"/>
                <w:szCs w:val="18"/>
              </w:rPr>
              <w:t xml:space="preserve">Total </w:t>
            </w:r>
          </w:p>
        </w:tc>
        <w:tc>
          <w:tcPr>
            <w:tcW w:w="848" w:type="pct"/>
            <w:shd w:val="clear" w:color="auto" w:fill="000000" w:themeFill="text1"/>
          </w:tcPr>
          <w:p w:rsidRPr="00FF7FDE" w:rsidR="00AA7B8A" w:rsidP="00F67BCA" w:rsidRDefault="000757B1" w14:paraId="45DB7D9C" w14:textId="4D26D5FE">
            <w:pPr>
              <w:pStyle w:val="Standard"/>
              <w:ind w:firstLine="0"/>
              <w:rPr>
                <w:b/>
                <w:bCs/>
                <w:sz w:val="22"/>
                <w:szCs w:val="18"/>
              </w:rPr>
            </w:pPr>
            <w:r>
              <w:rPr>
                <w:b/>
                <w:bCs/>
                <w:sz w:val="22"/>
                <w:szCs w:val="18"/>
              </w:rPr>
              <w:t>$10.561</w:t>
            </w:r>
          </w:p>
        </w:tc>
        <w:tc>
          <w:tcPr>
            <w:tcW w:w="848" w:type="pct"/>
            <w:shd w:val="clear" w:color="auto" w:fill="000000" w:themeFill="text1"/>
          </w:tcPr>
          <w:p w:rsidRPr="00FF7FDE" w:rsidR="00AA7B8A" w:rsidP="00F67BCA" w:rsidRDefault="00AA7B8A" w14:paraId="106E98E0" w14:textId="730AAC3E">
            <w:pPr>
              <w:pStyle w:val="Standard"/>
              <w:ind w:firstLine="0"/>
              <w:rPr>
                <w:b/>
                <w:bCs/>
                <w:sz w:val="22"/>
                <w:szCs w:val="18"/>
              </w:rPr>
            </w:pPr>
            <w:r w:rsidRPr="00FF7FDE">
              <w:rPr>
                <w:b/>
                <w:bCs/>
                <w:sz w:val="22"/>
                <w:szCs w:val="18"/>
              </w:rPr>
              <w:t>$2</w:t>
            </w:r>
            <w:r w:rsidR="000757B1">
              <w:rPr>
                <w:b/>
                <w:bCs/>
                <w:sz w:val="22"/>
                <w:szCs w:val="18"/>
              </w:rPr>
              <w:t>0.793</w:t>
            </w:r>
          </w:p>
        </w:tc>
        <w:tc>
          <w:tcPr>
            <w:tcW w:w="848" w:type="pct"/>
            <w:shd w:val="clear" w:color="auto" w:fill="000000" w:themeFill="text1"/>
          </w:tcPr>
          <w:p w:rsidRPr="00FF7FDE" w:rsidR="00AA7B8A" w:rsidP="00F67BCA" w:rsidRDefault="00AA7B8A" w14:paraId="7DEB7C9F" w14:textId="50601661">
            <w:pPr>
              <w:pStyle w:val="Standard"/>
              <w:ind w:firstLine="0"/>
              <w:rPr>
                <w:b/>
                <w:bCs/>
                <w:sz w:val="22"/>
                <w:szCs w:val="18"/>
              </w:rPr>
            </w:pPr>
            <w:r w:rsidRPr="00FF7FDE">
              <w:rPr>
                <w:b/>
                <w:bCs/>
                <w:sz w:val="22"/>
                <w:szCs w:val="18"/>
              </w:rPr>
              <w:t>$</w:t>
            </w:r>
            <w:r w:rsidR="000757B1">
              <w:rPr>
                <w:b/>
                <w:bCs/>
                <w:sz w:val="22"/>
                <w:szCs w:val="18"/>
              </w:rPr>
              <w:t>19.834</w:t>
            </w:r>
          </w:p>
        </w:tc>
        <w:tc>
          <w:tcPr>
            <w:tcW w:w="848" w:type="pct"/>
            <w:shd w:val="clear" w:color="auto" w:fill="000000" w:themeFill="text1"/>
          </w:tcPr>
          <w:p w:rsidRPr="00FF7FDE" w:rsidR="00AA7B8A" w:rsidP="00F67BCA" w:rsidRDefault="000757B1" w14:paraId="3108E2DB" w14:textId="2AC23C2E">
            <w:pPr>
              <w:pStyle w:val="Standard"/>
              <w:ind w:firstLine="0"/>
              <w:rPr>
                <w:b/>
                <w:bCs/>
                <w:sz w:val="22"/>
                <w:szCs w:val="18"/>
              </w:rPr>
            </w:pPr>
            <w:r>
              <w:rPr>
                <w:b/>
                <w:bCs/>
                <w:sz w:val="22"/>
                <w:szCs w:val="18"/>
              </w:rPr>
              <w:t>$51.188</w:t>
            </w:r>
          </w:p>
        </w:tc>
      </w:tr>
    </w:tbl>
    <w:p w:rsidR="008511B3" w:rsidP="00F67BCA" w:rsidRDefault="008511B3" w14:paraId="0EC6FEA6" w14:textId="77777777">
      <w:pPr>
        <w:pStyle w:val="HeadingTableSub"/>
      </w:pPr>
    </w:p>
    <w:p w:rsidR="00522BA7" w:rsidP="00BB4B1B" w:rsidRDefault="00522BA7" w14:paraId="095B90AC" w14:textId="37994A5F">
      <w:pPr>
        <w:pStyle w:val="Heading2"/>
      </w:pPr>
      <w:bookmarkStart w:name="_Toc212538534" w:id="30"/>
      <w:r>
        <w:t>Capacity/Expansion</w:t>
      </w:r>
      <w:bookmarkEnd w:id="30"/>
    </w:p>
    <w:p w:rsidR="00DC7B39" w:rsidP="00757F75" w:rsidRDefault="00DC7B39" w14:paraId="138CB3CF" w14:textId="23A53D7D">
      <w:pPr>
        <w:pStyle w:val="Heading3"/>
      </w:pPr>
      <w:bookmarkStart w:name="_Toc212538535" w:id="31"/>
      <w:r>
        <w:t>Category Ove</w:t>
      </w:r>
      <w:r w:rsidR="008D5A72">
        <w:t>rview and</w:t>
      </w:r>
      <w:r w:rsidR="000D5B50">
        <w:br/>
      </w:r>
      <w:r w:rsidR="008D5A72">
        <w:t>Drivers of Incremental Need</w:t>
      </w:r>
      <w:bookmarkEnd w:id="31"/>
    </w:p>
    <w:p w:rsidR="00537D98" w:rsidP="00F67BCA" w:rsidRDefault="00537D98" w14:paraId="7B09BD7C" w14:textId="03707567">
      <w:pPr>
        <w:pStyle w:val="Standard"/>
      </w:pPr>
      <w:r>
        <w:t xml:space="preserve">SDG&amp;E describes the Capacity/Expansion category as primarily consisting of </w:t>
      </w:r>
      <w:r w:rsidR="00836A9E">
        <w:t>“</w:t>
      </w:r>
      <w:r>
        <w:t>load transfers, reconductors, circuit extensions, new circuits, and other new distribution infrastructure</w:t>
      </w:r>
      <w:r w:rsidR="00836A9E">
        <w:t>”</w:t>
      </w:r>
      <w:r>
        <w:t xml:space="preserve"> that are needed to address deficiencies identified by SDG&amp;E</w:t>
      </w:r>
      <w:r w:rsidR="00836A9E">
        <w:t>’</w:t>
      </w:r>
      <w:r>
        <w:t xml:space="preserve">s annual </w:t>
      </w:r>
      <w:r w:rsidR="006E28C5">
        <w:t>Distribution Planning Process (</w:t>
      </w:r>
      <w:r>
        <w:t>DPP</w:t>
      </w:r>
      <w:r w:rsidR="00EE2B4A">
        <w:t>)</w:t>
      </w:r>
      <w:r>
        <w:t>.</w:t>
      </w:r>
      <w:r w:rsidRPr="009550BB">
        <w:rPr>
          <w:rStyle w:val="FootnoteReference"/>
        </w:rPr>
        <w:footnoteReference w:id="40"/>
      </w:r>
      <w:r>
        <w:t xml:space="preserve"> SDG&amp;E</w:t>
      </w:r>
      <w:r w:rsidR="00836A9E">
        <w:t>’</w:t>
      </w:r>
      <w:r>
        <w:t>s 2024 GRC relied on data from SDG&amp;E</w:t>
      </w:r>
      <w:r w:rsidR="00836A9E">
        <w:t>’</w:t>
      </w:r>
      <w:r>
        <w:t>s 2021 DPP, which in turn relied on the California Energy Commission</w:t>
      </w:r>
      <w:r w:rsidR="00836A9E">
        <w:t>’</w:t>
      </w:r>
      <w:r>
        <w:t>s 2019 Integrated Energy Policy Report (</w:t>
      </w:r>
      <w:proofErr w:type="spellStart"/>
      <w:r>
        <w:t>IEPR</w:t>
      </w:r>
      <w:proofErr w:type="spellEnd"/>
      <w:r>
        <w:t>).</w:t>
      </w:r>
      <w:r w:rsidRPr="009550BB">
        <w:rPr>
          <w:rStyle w:val="FootnoteReference"/>
        </w:rPr>
        <w:footnoteReference w:id="41"/>
      </w:r>
    </w:p>
    <w:p w:rsidRPr="00537D98" w:rsidR="00537D98" w:rsidP="00F67BCA" w:rsidRDefault="00537D98" w14:paraId="783DEF14" w14:textId="05A674D5">
      <w:pPr>
        <w:pStyle w:val="Standard"/>
      </w:pPr>
      <w:r>
        <w:t xml:space="preserve">SDG&amp;E argues that the Capacity/Expansion costs authorized in its 2024 GRC reflect outdated assumptions that do not </w:t>
      </w:r>
      <w:r w:rsidR="00A746BF">
        <w:t xml:space="preserve">represent </w:t>
      </w:r>
      <w:r>
        <w:t>current expectations of load growth driven by Transportation Electrification (</w:t>
      </w:r>
      <w:proofErr w:type="spellStart"/>
      <w:r>
        <w:t>TE</w:t>
      </w:r>
      <w:proofErr w:type="spellEnd"/>
      <w:r>
        <w:t>) or Building Electrification (BE).</w:t>
      </w:r>
      <w:r w:rsidRPr="009550BB">
        <w:rPr>
          <w:rStyle w:val="FootnoteReference"/>
        </w:rPr>
        <w:footnoteReference w:id="42"/>
      </w:r>
      <w:r>
        <w:t xml:space="preserve"> For example, SDG&amp;E notes that the 2023 </w:t>
      </w:r>
      <w:proofErr w:type="spellStart"/>
      <w:r>
        <w:t>IEPR</w:t>
      </w:r>
      <w:proofErr w:type="spellEnd"/>
      <w:r>
        <w:t xml:space="preserve"> forecasts more </w:t>
      </w:r>
      <w:proofErr w:type="spellStart"/>
      <w:r>
        <w:t>TE</w:t>
      </w:r>
      <w:proofErr w:type="spellEnd"/>
      <w:r>
        <w:t xml:space="preserve"> and BE load than the 2019 </w:t>
      </w:r>
      <w:proofErr w:type="spellStart"/>
      <w:r>
        <w:t>IEPR</w:t>
      </w:r>
      <w:proofErr w:type="spellEnd"/>
      <w:r>
        <w:t xml:space="preserve">; specifically, the 2023 </w:t>
      </w:r>
      <w:proofErr w:type="spellStart"/>
      <w:r>
        <w:t>IEPR</w:t>
      </w:r>
      <w:r w:rsidR="00836A9E">
        <w:t>’</w:t>
      </w:r>
      <w:r>
        <w:t>s</w:t>
      </w:r>
      <w:proofErr w:type="spellEnd"/>
      <w:r>
        <w:t xml:space="preserve"> forecast for BE and </w:t>
      </w:r>
      <w:proofErr w:type="spellStart"/>
      <w:r>
        <w:t>TE</w:t>
      </w:r>
      <w:proofErr w:type="spellEnd"/>
      <w:r>
        <w:t xml:space="preserve"> load in SDG&amp;E</w:t>
      </w:r>
      <w:r w:rsidR="00836A9E">
        <w:t>’</w:t>
      </w:r>
      <w:r>
        <w:t xml:space="preserve">s service territory for 2026 exceeds the 2019 </w:t>
      </w:r>
      <w:proofErr w:type="spellStart"/>
      <w:r>
        <w:t>IEPR</w:t>
      </w:r>
      <w:r w:rsidR="00836A9E">
        <w:t>’</w:t>
      </w:r>
      <w:r>
        <w:t>s</w:t>
      </w:r>
      <w:proofErr w:type="spellEnd"/>
      <w:r>
        <w:t xml:space="preserve"> </w:t>
      </w:r>
      <w:r>
        <w:lastRenderedPageBreak/>
        <w:t>forecast by 217</w:t>
      </w:r>
      <w:r w:rsidR="000034EF">
        <w:t> megawatts (</w:t>
      </w:r>
      <w:r>
        <w:t>MW</w:t>
      </w:r>
      <w:r w:rsidR="000034EF">
        <w:t>)</w:t>
      </w:r>
      <w:r>
        <w:t>.</w:t>
      </w:r>
      <w:r w:rsidRPr="009550BB">
        <w:rPr>
          <w:rStyle w:val="FootnoteReference"/>
        </w:rPr>
        <w:footnoteReference w:id="43"/>
      </w:r>
      <w:r>
        <w:t xml:space="preserve"> SDG&amp;E expects this incremental load to drive the need for new circuits and substations.</w:t>
      </w:r>
      <w:r w:rsidRPr="009550BB">
        <w:rPr>
          <w:rStyle w:val="FootnoteReference"/>
        </w:rPr>
        <w:footnoteReference w:id="44"/>
      </w:r>
    </w:p>
    <w:p w:rsidR="007A2830" w:rsidP="00757F75" w:rsidRDefault="007A2830" w14:paraId="302CD342" w14:textId="23912ECA">
      <w:pPr>
        <w:pStyle w:val="Heading3"/>
      </w:pPr>
      <w:bookmarkStart w:name="_Toc212538536" w:id="32"/>
      <w:r>
        <w:t xml:space="preserve">Capacity/Expansion Costs Authorized by </w:t>
      </w:r>
      <w:r w:rsidR="0040495F">
        <w:t>San Diego Gas &amp; Electric Company</w:t>
      </w:r>
      <w:r w:rsidR="00836A9E">
        <w:t>’</w:t>
      </w:r>
      <w:r>
        <w:t xml:space="preserve">s 2024 </w:t>
      </w:r>
      <w:r w:rsidR="00D72A3F">
        <w:t>General Rate Case</w:t>
      </w:r>
      <w:bookmarkEnd w:id="32"/>
    </w:p>
    <w:p w:rsidR="007A2830" w:rsidP="00F67BCA" w:rsidRDefault="007A2830" w14:paraId="42B1480B" w14:textId="0F4F4388">
      <w:pPr>
        <w:pStyle w:val="Standard"/>
      </w:pPr>
      <w:r>
        <w:t xml:space="preserve">TURN asserts that SDG&amp;E understated the amount of money the GRC authorized SDG&amp;E to spend on Capacity/Expansion projects by excluding </w:t>
      </w:r>
      <w:r w:rsidR="0057199E">
        <w:t xml:space="preserve">an additional </w:t>
      </w:r>
      <w:r>
        <w:t xml:space="preserve">thirteen </w:t>
      </w:r>
      <w:r w:rsidR="0057199E">
        <w:t xml:space="preserve">workpapers </w:t>
      </w:r>
      <w:r>
        <w:t>authorized in the 2024 GRC that should have been counted toward the Capacity/Expansion total.</w:t>
      </w:r>
      <w:r w:rsidRPr="009550BB">
        <w:rPr>
          <w:rStyle w:val="FootnoteReference"/>
        </w:rPr>
        <w:footnoteReference w:id="45"/>
      </w:r>
      <w:r>
        <w:t xml:space="preserve"> TURN argues that SDG&amp;E thereby overstates the amount that 2024 actual spend exceeded authorized </w:t>
      </w:r>
      <w:r w:rsidR="09AE76BB">
        <w:t xml:space="preserve">GRC </w:t>
      </w:r>
      <w:r>
        <w:t>expenditures; TURN calculates that if SDG&amp;E</w:t>
      </w:r>
      <w:r w:rsidR="00836A9E">
        <w:t>’</w:t>
      </w:r>
      <w:r>
        <w:t>s assessment included costs for the Distribution System Capacity Improvements subcategory, it would not have any overspend in 2024.</w:t>
      </w:r>
      <w:r w:rsidRPr="009550BB">
        <w:rPr>
          <w:rStyle w:val="FootnoteReference"/>
        </w:rPr>
        <w:footnoteReference w:id="46"/>
      </w:r>
      <w:r>
        <w:t xml:space="preserve"> SDG&amp;E disputes </w:t>
      </w:r>
      <w:proofErr w:type="spellStart"/>
      <w:r>
        <w:t>TURN</w:t>
      </w:r>
      <w:r w:rsidR="00836A9E">
        <w:t>’</w:t>
      </w:r>
      <w:r>
        <w:t>s</w:t>
      </w:r>
      <w:proofErr w:type="spellEnd"/>
      <w:r>
        <w:t xml:space="preserve"> characterization, stating that eight of the thirteen activities support projects placed in service prior to 2024, and the remaining five activities are not related to energization.</w:t>
      </w:r>
      <w:r w:rsidRPr="009550BB">
        <w:rPr>
          <w:rStyle w:val="FootnoteReference"/>
        </w:rPr>
        <w:footnoteReference w:id="47"/>
      </w:r>
      <w:r>
        <w:t xml:space="preserve"> These thirteen activities, SDG&amp;E argues, should therefore be excluded from any </w:t>
      </w:r>
      <w:r w:rsidR="0040495F">
        <w:t>SB </w:t>
      </w:r>
      <w:r>
        <w:t>410 cap calculations.</w:t>
      </w:r>
    </w:p>
    <w:p w:rsidRPr="003C5387" w:rsidR="007A2830" w:rsidP="00F67BCA" w:rsidRDefault="007A2830" w14:paraId="2625A943" w14:textId="42E18E4A">
      <w:pPr>
        <w:pStyle w:val="Standard"/>
      </w:pPr>
      <w:r w:rsidRPr="003C5387">
        <w:t xml:space="preserve">This decision </w:t>
      </w:r>
      <w:r w:rsidR="00071B38">
        <w:t xml:space="preserve">does not add </w:t>
      </w:r>
      <w:r w:rsidR="0043575B">
        <w:t xml:space="preserve">the budget from the thirteen workpapers identified by TURN to the cost cap. </w:t>
      </w:r>
      <w:r w:rsidR="00394B9F">
        <w:t>SDG&amp;E</w:t>
      </w:r>
      <w:r w:rsidR="00836A9E">
        <w:t>’</w:t>
      </w:r>
      <w:r w:rsidR="00394B9F">
        <w:t xml:space="preserve">s </w:t>
      </w:r>
      <w:r w:rsidR="0093507F">
        <w:t xml:space="preserve">description of the thirteen activities indicates they are </w:t>
      </w:r>
      <w:r w:rsidR="00E8445F">
        <w:t xml:space="preserve">either </w:t>
      </w:r>
      <w:r w:rsidR="0093507F">
        <w:t>not energization</w:t>
      </w:r>
      <w:r w:rsidR="12D866FB">
        <w:t>-</w:t>
      </w:r>
      <w:r w:rsidR="0093507F">
        <w:t>related</w:t>
      </w:r>
      <w:r w:rsidR="00E8445F">
        <w:t xml:space="preserve"> or not relevant to the cap calculation because the costs were incurred before 2024</w:t>
      </w:r>
      <w:r w:rsidRPr="003C5387">
        <w:t>.</w:t>
      </w:r>
    </w:p>
    <w:p w:rsidR="008D5A72" w:rsidP="00757F75" w:rsidRDefault="008D5A72" w14:paraId="7657FDF4" w14:textId="56B3AAF6">
      <w:pPr>
        <w:pStyle w:val="Heading3"/>
      </w:pPr>
      <w:bookmarkStart w:name="_Toc212538537" w:id="33"/>
      <w:r w:rsidRPr="00757F75">
        <w:lastRenderedPageBreak/>
        <w:t>Forecast</w:t>
      </w:r>
      <w:r>
        <w:t xml:space="preserve"> Methodology</w:t>
      </w:r>
      <w:r w:rsidR="00495ECD">
        <w:t xml:space="preserve"> for Capacity/Expansion Costs</w:t>
      </w:r>
      <w:bookmarkEnd w:id="33"/>
    </w:p>
    <w:p w:rsidR="00B41F2D" w:rsidP="00F67BCA" w:rsidRDefault="00B41F2D" w14:paraId="22700D5C" w14:textId="0C61AEDC">
      <w:pPr>
        <w:pStyle w:val="Standard"/>
      </w:pPr>
      <w:r>
        <w:t xml:space="preserve">SDG&amp;E developed its cost estimates for </w:t>
      </w:r>
      <w:r w:rsidR="00B7142D">
        <w:t>the capacity/expansion</w:t>
      </w:r>
      <w:r w:rsidR="00495ECD">
        <w:t xml:space="preserve"> category</w:t>
      </w:r>
      <w:r w:rsidR="00B7142D">
        <w:t xml:space="preserve"> for </w:t>
      </w:r>
      <w:r w:rsidRPr="00355287">
        <w:t xml:space="preserve">2025 and 2026 </w:t>
      </w:r>
      <w:r>
        <w:t xml:space="preserve">by </w:t>
      </w:r>
      <w:r w:rsidR="00836A9E">
        <w:t>“</w:t>
      </w:r>
      <w:r w:rsidRPr="00355287">
        <w:t xml:space="preserve">considering the specific capacity upgrades that have been identified, land needs for future substation needs based on the 2023 </w:t>
      </w:r>
      <w:proofErr w:type="spellStart"/>
      <w:r w:rsidRPr="00355287">
        <w:t>IEPR</w:t>
      </w:r>
      <w:proofErr w:type="spellEnd"/>
      <w:r w:rsidRPr="00355287">
        <w:t>, then subtracting those amounts from the authorized amounts in the 2024 GRC.</w:t>
      </w:r>
      <w:r w:rsidR="00836A9E">
        <w:t>”</w:t>
      </w:r>
      <w:r w:rsidRPr="009550BB">
        <w:rPr>
          <w:rStyle w:val="FootnoteReference"/>
        </w:rPr>
        <w:footnoteReference w:id="48"/>
      </w:r>
      <w:r>
        <w:t xml:space="preserve"> SDG&amp;E states that results from the 2024 DPP informed the cost estimates it developed for its application.</w:t>
      </w:r>
      <w:r w:rsidRPr="00C76BC2">
        <w:t xml:space="preserve"> SDG&amp;E</w:t>
      </w:r>
      <w:r w:rsidR="00836A9E">
        <w:t>’</w:t>
      </w:r>
      <w:r>
        <w:t xml:space="preserve">s estimates also </w:t>
      </w:r>
      <w:r w:rsidRPr="00C76BC2">
        <w:t xml:space="preserve">include </w:t>
      </w:r>
      <w:r w:rsidR="00836A9E">
        <w:t>“</w:t>
      </w:r>
      <w:r w:rsidRPr="00C76BC2">
        <w:t>preliminary results from the currently in progress</w:t>
      </w:r>
      <w:r w:rsidR="00836A9E">
        <w:t>”</w:t>
      </w:r>
      <w:r w:rsidRPr="00C76BC2">
        <w:t xml:space="preserve"> 2025 DPP cycle for additional upgrades.</w:t>
      </w:r>
      <w:r w:rsidRPr="009550BB">
        <w:rPr>
          <w:rStyle w:val="FootnoteReference"/>
        </w:rPr>
        <w:footnoteReference w:id="49"/>
      </w:r>
      <w:r>
        <w:t xml:space="preserve"> Recognizing the timelines imposed by </w:t>
      </w:r>
      <w:r w:rsidR="0040495F">
        <w:t>SB </w:t>
      </w:r>
      <w:r>
        <w:t xml:space="preserve">410, </w:t>
      </w:r>
      <w:r w:rsidR="00836A9E">
        <w:t>“</w:t>
      </w:r>
      <w:r w:rsidRPr="00355287">
        <w:t xml:space="preserve">SDG&amp;E also made best guest estimates </w:t>
      </w:r>
      <w:r>
        <w:t xml:space="preserve">[sic] </w:t>
      </w:r>
      <w:r w:rsidRPr="00355287">
        <w:t xml:space="preserve">to determine which upgrades can be reasonably in service by </w:t>
      </w:r>
      <w:r w:rsidR="007F1773">
        <w:t>December </w:t>
      </w:r>
      <w:r w:rsidRPr="00355287">
        <w:t>31, 2026.</w:t>
      </w:r>
      <w:r w:rsidR="00836A9E">
        <w:t>”</w:t>
      </w:r>
      <w:r w:rsidRPr="009550BB">
        <w:rPr>
          <w:rStyle w:val="FootnoteReference"/>
        </w:rPr>
        <w:footnoteReference w:id="50"/>
      </w:r>
    </w:p>
    <w:p w:rsidR="00830EDA" w:rsidP="00F67BCA" w:rsidRDefault="00830EDA" w14:paraId="79E8F7A0" w14:textId="0159A39E">
      <w:pPr>
        <w:pStyle w:val="Standard"/>
      </w:pPr>
      <w:r w:rsidRPr="00FF7FDE">
        <w:t>This decision finds that SDG&amp;E does not sufficiently explain how it develop</w:t>
      </w:r>
      <w:r>
        <w:t>ed</w:t>
      </w:r>
      <w:r w:rsidRPr="00FF7FDE">
        <w:t xml:space="preserve"> the cost forecasts in this category. SDG&amp;E gives a broad overview of its methodology but </w:t>
      </w:r>
      <w:r>
        <w:t xml:space="preserve">does not provide any </w:t>
      </w:r>
      <w:r w:rsidRPr="00FF7FDE">
        <w:t>specifics</w:t>
      </w:r>
      <w:r>
        <w:t>, so the Commission is unable to understand and evaluate SDG&amp;E’s process</w:t>
      </w:r>
      <w:r w:rsidRPr="00FF7FDE">
        <w:t>. For example, SDG&amp;E asserts that it used the 2024 DPP to identify its land needs for future substations</w:t>
      </w:r>
      <w:r>
        <w:t>. For the Commission to evaluate claim</w:t>
      </w:r>
      <w:r w:rsidR="00B8645A">
        <w:t>s like this</w:t>
      </w:r>
      <w:r>
        <w:t>, it would be helpful for SDG&amp;E to describe the criteria it uses to determine where and when system upgrades are required, provide outputs from its DPP demonstrating that those criteria were met</w:t>
      </w:r>
      <w:r w:rsidR="006351EF">
        <w:t xml:space="preserve"> (e.g., specific distribution project types and a description of their capabilities)</w:t>
      </w:r>
      <w:r>
        <w:t xml:space="preserve">, provide a description of how SDG&amp;E develops cost forecasts for those areas, then explain how the outputs from the DPP were used to develop </w:t>
      </w:r>
      <w:r>
        <w:lastRenderedPageBreak/>
        <w:t xml:space="preserve">those cost forecasts. SDG&amp;E did not provide this information. </w:t>
      </w:r>
      <w:r w:rsidR="00483698">
        <w:t>Consequently, i</w:t>
      </w:r>
      <w:r>
        <w:t xml:space="preserve">t is unclear whether or how </w:t>
      </w:r>
      <w:r w:rsidR="004B52E9">
        <w:t xml:space="preserve">the </w:t>
      </w:r>
      <w:r>
        <w:t xml:space="preserve">DPP </w:t>
      </w:r>
      <w:r w:rsidR="004B52E9">
        <w:t xml:space="preserve">was </w:t>
      </w:r>
      <w:r>
        <w:t>used to develop the cost forecasts in this category</w:t>
      </w:r>
      <w:r w:rsidR="004B52E9">
        <w:t>. T</w:t>
      </w:r>
      <w:r>
        <w:t>he Planned Investments and Future Capacity Projects cost forecasts were developed by escalating actual expenditures, the East Gate and Sampson cost forecasts came from a previous GRC, and the Substation Land Acquisitions cost forecast is unexplained</w:t>
      </w:r>
      <w:r w:rsidR="00FB23D5">
        <w:t xml:space="preserve">. This decision </w:t>
      </w:r>
      <w:r w:rsidR="00A258CF">
        <w:t xml:space="preserve">discusses </w:t>
      </w:r>
      <w:r w:rsidR="006677A3">
        <w:t xml:space="preserve">those </w:t>
      </w:r>
      <w:r w:rsidR="00FB23D5">
        <w:t xml:space="preserve">subcategories </w:t>
      </w:r>
      <w:r w:rsidR="00A258CF">
        <w:t xml:space="preserve">in more detail </w:t>
      </w:r>
      <w:r w:rsidR="00FB23D5">
        <w:t>below.</w:t>
      </w:r>
    </w:p>
    <w:p w:rsidR="00003D2A" w:rsidP="00757F75" w:rsidRDefault="00003D2A" w14:paraId="5B3101E9" w14:textId="508DA00A">
      <w:pPr>
        <w:pStyle w:val="Heading3"/>
      </w:pPr>
      <w:bookmarkStart w:name="_Toc212538538" w:id="34"/>
      <w:r w:rsidRPr="00757F75">
        <w:t>Reactive</w:t>
      </w:r>
      <w:r>
        <w:t xml:space="preserve"> Small Capital</w:t>
      </w:r>
      <w:r w:rsidR="00CA5E11">
        <w:br/>
      </w:r>
      <w:r>
        <w:t>Projects</w:t>
      </w:r>
      <w:r w:rsidR="00836A9E">
        <w:t>’</w:t>
      </w:r>
      <w:r w:rsidR="00F97CF6">
        <w:t xml:space="preserve"> Contribution to Cap</w:t>
      </w:r>
      <w:bookmarkEnd w:id="34"/>
    </w:p>
    <w:p w:rsidR="0087352F" w:rsidP="00F67BCA" w:rsidRDefault="0087352F" w14:paraId="3817314B" w14:textId="7ABD4C3C">
      <w:pPr>
        <w:pStyle w:val="Standard"/>
      </w:pPr>
      <w:r>
        <w:t xml:space="preserve">SDG&amp;E requests authority to record incremental costs of </w:t>
      </w:r>
      <w:r w:rsidR="00E96CE7">
        <w:t xml:space="preserve">$1.389 million in 2024, </w:t>
      </w:r>
      <w:r>
        <w:t>$1.916</w:t>
      </w:r>
      <w:r w:rsidR="009C11C6">
        <w:t> million</w:t>
      </w:r>
      <w:r>
        <w:t xml:space="preserve"> in 2025 and $0.105</w:t>
      </w:r>
      <w:r w:rsidR="009C11C6">
        <w:t> million</w:t>
      </w:r>
      <w:r>
        <w:t xml:space="preserve"> in 2026 for Reactive Small Capital Projects.</w:t>
      </w:r>
      <w:r w:rsidRPr="009550BB">
        <w:rPr>
          <w:rStyle w:val="FootnoteReference"/>
        </w:rPr>
        <w:footnoteReference w:id="51"/>
      </w:r>
      <w:r>
        <w:t xml:space="preserve"> SDG&amp;E describes these costs as funding </w:t>
      </w:r>
      <w:r w:rsidR="00836A9E">
        <w:t>“</w:t>
      </w:r>
      <w:r>
        <w:t>small</w:t>
      </w:r>
      <w:r w:rsidR="00503215">
        <w:noBreakHyphen/>
      </w:r>
      <w:r>
        <w:t>scale system reconfigurations without upgrades that are triggered by customer energization projects.</w:t>
      </w:r>
      <w:r w:rsidR="00836A9E">
        <w:t>”</w:t>
      </w:r>
      <w:r w:rsidRPr="009550BB">
        <w:rPr>
          <w:rStyle w:val="FootnoteReference"/>
        </w:rPr>
        <w:footnoteReference w:id="52"/>
      </w:r>
    </w:p>
    <w:p w:rsidRPr="003C5387" w:rsidR="0087352F" w:rsidP="00F67BCA" w:rsidRDefault="0087352F" w14:paraId="095BD320" w14:textId="3A3B4EBF">
      <w:pPr>
        <w:pStyle w:val="Standard"/>
      </w:pPr>
      <w:r w:rsidRPr="003C5387">
        <w:t>Th</w:t>
      </w:r>
      <w:r w:rsidRPr="003C5387" w:rsidR="009B06B8">
        <w:t xml:space="preserve">is decision </w:t>
      </w:r>
      <w:r w:rsidR="001D25C8">
        <w:t>allows</w:t>
      </w:r>
      <w:r w:rsidRPr="003C5387" w:rsidR="009B06B8">
        <w:t xml:space="preserve"> the </w:t>
      </w:r>
      <w:r w:rsidR="00D40F5A">
        <w:t xml:space="preserve">2024, </w:t>
      </w:r>
      <w:r w:rsidRPr="003C5387" w:rsidR="009B06B8">
        <w:t xml:space="preserve">2025 and 2026 </w:t>
      </w:r>
      <w:r w:rsidRPr="003C5387" w:rsidR="00DC598F">
        <w:t>cost forecasts for Reactive Small Capital Projects to count toward the cap</w:t>
      </w:r>
      <w:r w:rsidRPr="003C5387" w:rsidR="00756492">
        <w:t>,</w:t>
      </w:r>
      <w:r w:rsidRPr="003C5387" w:rsidR="00DC598F">
        <w:t xml:space="preserve"> </w:t>
      </w:r>
      <w:r w:rsidRPr="003C5387" w:rsidR="00756492">
        <w:t>as n</w:t>
      </w:r>
      <w:r w:rsidRPr="003C5387">
        <w:t>o party specifically oppose</w:t>
      </w:r>
      <w:r w:rsidRPr="003C5387" w:rsidR="00756492">
        <w:t>d these cost forecasts.</w:t>
      </w:r>
    </w:p>
    <w:p w:rsidR="00756492" w:rsidP="00757F75" w:rsidRDefault="00785832" w14:paraId="51C3F388" w14:textId="42B88BF8">
      <w:pPr>
        <w:pStyle w:val="Heading3"/>
      </w:pPr>
      <w:bookmarkStart w:name="_Toc212538539" w:id="35"/>
      <w:r>
        <w:t xml:space="preserve">East </w:t>
      </w:r>
      <w:r w:rsidRPr="00757F75">
        <w:t>Gate</w:t>
      </w:r>
      <w:r>
        <w:t xml:space="preserve"> C1154</w:t>
      </w:r>
      <w:r w:rsidR="00836A9E">
        <w:t>’</w:t>
      </w:r>
      <w:r w:rsidR="00F97CF6">
        <w:t>s</w:t>
      </w:r>
      <w:r>
        <w:t xml:space="preserve"> and Sampson C369</w:t>
      </w:r>
      <w:r w:rsidR="00836A9E">
        <w:t>’</w:t>
      </w:r>
      <w:r w:rsidR="00F97CF6">
        <w:t>s Contributions to Cap</w:t>
      </w:r>
      <w:bookmarkEnd w:id="35"/>
    </w:p>
    <w:p w:rsidR="003C5387" w:rsidP="00F67BCA" w:rsidRDefault="003C5387" w14:paraId="798E14FC" w14:textId="1E57B6DB">
      <w:pPr>
        <w:pStyle w:val="Standard"/>
      </w:pPr>
      <w:r>
        <w:t>SDG&amp;E requests authority to record incremental costs of $2.843</w:t>
      </w:r>
      <w:r w:rsidR="009C11C6">
        <w:t> million</w:t>
      </w:r>
      <w:r>
        <w:t xml:space="preserve"> in 2025 for the East Gate C1154 project and costs of </w:t>
      </w:r>
      <w:r w:rsidR="00E96CE7">
        <w:t xml:space="preserve">$0.069 million in 2024 and </w:t>
      </w:r>
      <w:r>
        <w:t>$0.588</w:t>
      </w:r>
      <w:r w:rsidR="009C11C6">
        <w:t> million</w:t>
      </w:r>
      <w:r>
        <w:t xml:space="preserve"> in 2025 for the Sampson C369 project</w:t>
      </w:r>
      <w:r w:rsidR="00B7142D">
        <w:t xml:space="preserve"> as a subcomponent of the capacity/expansion category</w:t>
      </w:r>
      <w:r>
        <w:t>.</w:t>
      </w:r>
      <w:r w:rsidRPr="009550BB">
        <w:rPr>
          <w:rStyle w:val="FootnoteReference"/>
        </w:rPr>
        <w:footnoteReference w:id="53"/>
      </w:r>
      <w:r w:rsidR="007D7D45">
        <w:t xml:space="preserve"> </w:t>
      </w:r>
      <w:r>
        <w:t xml:space="preserve">SDG&amp;E describes the East Gate C1154 and </w:t>
      </w:r>
      <w:r>
        <w:lastRenderedPageBreak/>
        <w:t>Sampson C3669 projects as new 12</w:t>
      </w:r>
      <w:r w:rsidR="009619D0">
        <w:t xml:space="preserve"> kilovolt </w:t>
      </w:r>
      <w:r w:rsidR="00D022D3">
        <w:t xml:space="preserve">distribution </w:t>
      </w:r>
      <w:r>
        <w:t xml:space="preserve">circuits that relieve overloading on existing circuits and </w:t>
      </w:r>
      <w:r w:rsidR="00836A9E">
        <w:t>“</w:t>
      </w:r>
      <w:r>
        <w:t>now require funding through 2025.</w:t>
      </w:r>
      <w:r w:rsidR="00836A9E">
        <w:t>”</w:t>
      </w:r>
      <w:r w:rsidRPr="009550BB">
        <w:rPr>
          <w:rStyle w:val="FootnoteReference"/>
        </w:rPr>
        <w:footnoteReference w:id="54"/>
      </w:r>
    </w:p>
    <w:p w:rsidR="003C5387" w:rsidP="00F67BCA" w:rsidRDefault="00366301" w14:paraId="5AC8020E" w14:textId="66E69B52">
      <w:pPr>
        <w:pStyle w:val="Standard"/>
      </w:pPr>
      <w:r>
        <w:t>Cal Advoc</w:t>
      </w:r>
      <w:r w:rsidR="003C5387">
        <w:t>ates and TURN argue both projects should be removed from SDG&amp;E</w:t>
      </w:r>
      <w:r w:rsidR="00836A9E">
        <w:t>’</w:t>
      </w:r>
      <w:r w:rsidR="003C5387">
        <w:t>s forecast because SDG&amp;E already received funding for these projects in the 2024 GRC but chose to delay the start of construction.</w:t>
      </w:r>
      <w:r w:rsidRPr="009550BB" w:rsidR="003C5387">
        <w:rPr>
          <w:rStyle w:val="FootnoteReference"/>
        </w:rPr>
        <w:footnoteReference w:id="55"/>
      </w:r>
      <w:r w:rsidR="003C5387">
        <w:t xml:space="preserve"> SDG&amp;E chose to delay the projects because the load growth they were meant to address took longer than anticipated to materialize; however, SDG&amp;E does not indicate that the projects have changed in scope or projected cost since they were approved in the GRC.</w:t>
      </w:r>
      <w:r w:rsidRPr="009550BB" w:rsidR="003C5387">
        <w:rPr>
          <w:rStyle w:val="FootnoteReference"/>
        </w:rPr>
        <w:footnoteReference w:id="56"/>
      </w:r>
      <w:r w:rsidR="003C5387">
        <w:t xml:space="preserve"> SDG&amp;E </w:t>
      </w:r>
      <w:r w:rsidR="00FB5F71">
        <w:t xml:space="preserve">argues </w:t>
      </w:r>
      <w:r w:rsidR="003C5387">
        <w:t xml:space="preserve">that the delay was </w:t>
      </w:r>
      <w:r w:rsidRPr="008710DD" w:rsidR="003C5387">
        <w:t xml:space="preserve">due to customer timeline </w:t>
      </w:r>
      <w:r w:rsidR="003C5387">
        <w:t xml:space="preserve">changes </w:t>
      </w:r>
      <w:r w:rsidR="0E596321">
        <w:t>that were</w:t>
      </w:r>
      <w:r w:rsidRPr="008710DD" w:rsidR="003C5387">
        <w:t xml:space="preserve"> </w:t>
      </w:r>
      <w:r w:rsidR="003C5387">
        <w:t xml:space="preserve">outside its control. Since the projects </w:t>
      </w:r>
      <w:r w:rsidR="00836A9E">
        <w:t>“</w:t>
      </w:r>
      <w:r w:rsidRPr="00F91D9D" w:rsidR="003C5387">
        <w:t xml:space="preserve">have not yet been completed and SDG&amp;E intends to incur additional costs to complete these projects, and because the cost forecasts included in the </w:t>
      </w:r>
      <w:r w:rsidR="0040495F">
        <w:t>SB </w:t>
      </w:r>
      <w:r w:rsidRPr="00F91D9D" w:rsidR="003C5387">
        <w:t>410 Application reflects costs incurred during the 2024 through 2026 period, it is appropriate to use them to inform the annual caps</w:t>
      </w:r>
      <w:r w:rsidR="003C5387">
        <w:t>.</w:t>
      </w:r>
      <w:r w:rsidR="00836A9E">
        <w:t>”</w:t>
      </w:r>
      <w:r w:rsidRPr="009550BB" w:rsidR="003C5387">
        <w:rPr>
          <w:rStyle w:val="FootnoteReference"/>
        </w:rPr>
        <w:footnoteReference w:id="57"/>
      </w:r>
    </w:p>
    <w:p w:rsidRPr="00FB208E" w:rsidR="00FB208E" w:rsidP="00F67BCA" w:rsidRDefault="00A9507C" w14:paraId="77C1E130" w14:textId="05AAB1CE">
      <w:pPr>
        <w:pStyle w:val="Standard"/>
      </w:pPr>
      <w:r w:rsidRPr="00FF7FDE">
        <w:t xml:space="preserve">This decision allows the </w:t>
      </w:r>
      <w:r w:rsidR="00E96CE7">
        <w:t xml:space="preserve">2024, </w:t>
      </w:r>
      <w:r w:rsidRPr="00FF7FDE">
        <w:t>2025 and 2026 cost forecasts for East Gate and Sampson Capital Projects to count toward the cap</w:t>
      </w:r>
      <w:r w:rsidR="00B65FEB">
        <w:t>.</w:t>
      </w:r>
      <w:r>
        <w:t xml:space="preserve"> SDG&amp;E submitted clear and reasonable cost forecasts that demonstrate these projects will energize new electric load. SDG&amp;E also clarifie</w:t>
      </w:r>
      <w:r w:rsidR="0039124D">
        <w:t xml:space="preserve">s that </w:t>
      </w:r>
      <w:r w:rsidR="00FF451D">
        <w:t xml:space="preserve">the </w:t>
      </w:r>
      <w:r w:rsidR="0039124D">
        <w:t xml:space="preserve">cost forecasts for </w:t>
      </w:r>
      <w:r w:rsidR="001B7E71">
        <w:t xml:space="preserve">East Gate and Sampson </w:t>
      </w:r>
      <w:r w:rsidR="0039124D">
        <w:t xml:space="preserve">are incremental to any </w:t>
      </w:r>
      <w:r w:rsidR="00FF451D">
        <w:t xml:space="preserve">funds SDG&amp;E already spent on these </w:t>
      </w:r>
      <w:r w:rsidR="001B7E71">
        <w:t>projects</w:t>
      </w:r>
      <w:r w:rsidR="00DC147E">
        <w:t>.</w:t>
      </w:r>
      <w:r>
        <w:rPr>
          <w:rStyle w:val="FootnoteReference"/>
        </w:rPr>
        <w:footnoteReference w:id="58"/>
      </w:r>
      <w:r w:rsidRPr="00FF7FDE">
        <w:t xml:space="preserve"> SDG&amp;E’s cost forecasts are clear and reasonable and, because SDG&amp;E did not complete </w:t>
      </w:r>
      <w:r>
        <w:t>those</w:t>
      </w:r>
      <w:r w:rsidRPr="00FF7FDE">
        <w:t xml:space="preserve"> projects already, </w:t>
      </w:r>
      <w:r>
        <w:t xml:space="preserve">funds spent to bring those energization projects </w:t>
      </w:r>
      <w:r>
        <w:lastRenderedPageBreak/>
        <w:t xml:space="preserve">online may be counted </w:t>
      </w:r>
      <w:r w:rsidRPr="00FF7FDE">
        <w:t>t</w:t>
      </w:r>
      <w:r>
        <w:t>oward</w:t>
      </w:r>
      <w:r w:rsidRPr="00FF7FDE">
        <w:t xml:space="preserve"> energization</w:t>
      </w:r>
      <w:r>
        <w:t xml:space="preserve"> spend</w:t>
      </w:r>
      <w:r w:rsidRPr="00FF7FDE">
        <w:t xml:space="preserve">. In other words, SDG&amp;E is not double counting this expenditure. </w:t>
      </w:r>
      <w:r>
        <w:t>SB 410</w:t>
      </w:r>
      <w:r w:rsidRPr="00FF7FDE">
        <w:t xml:space="preserve"> does not categorically prohibit SDG&amp;E from recovering costs for </w:t>
      </w:r>
      <w:r>
        <w:t>activitie</w:t>
      </w:r>
      <w:r w:rsidRPr="00FF7FDE">
        <w:t>s that were authorized in a previous GRC</w:t>
      </w:r>
      <w:r w:rsidRPr="53312C40" w:rsidR="5A0CD3B6">
        <w:t>.</w:t>
      </w:r>
    </w:p>
    <w:p w:rsidR="00F571B6" w:rsidP="00757F75" w:rsidRDefault="00DA7CDB" w14:paraId="52603880" w14:textId="3E1DC3D7">
      <w:pPr>
        <w:pStyle w:val="Heading3"/>
      </w:pPr>
      <w:bookmarkStart w:name="_Toc212538540" w:id="36"/>
      <w:r w:rsidRPr="00757F75">
        <w:t>Planned</w:t>
      </w:r>
      <w:r>
        <w:t xml:space="preserve"> Investments</w:t>
      </w:r>
      <w:r w:rsidR="00836A9E">
        <w:t>’</w:t>
      </w:r>
      <w:r w:rsidR="000C0BEF">
        <w:br/>
      </w:r>
      <w:r w:rsidR="00F97CF6">
        <w:t>Contribution to Cap</w:t>
      </w:r>
      <w:bookmarkEnd w:id="36"/>
    </w:p>
    <w:p w:rsidR="001B19CC" w:rsidP="00F67BCA" w:rsidRDefault="001B19CC" w14:paraId="4FD7FCEF" w14:textId="57E8AD97">
      <w:pPr>
        <w:pStyle w:val="Standard"/>
      </w:pPr>
      <w:r>
        <w:t xml:space="preserve">SDG&amp;E </w:t>
      </w:r>
      <w:r w:rsidR="00F56BB5">
        <w:t xml:space="preserve">records an underspend of $2.518 million in 2024 and </w:t>
      </w:r>
      <w:r>
        <w:t>requests authority to record incremental costs of $2.221</w:t>
      </w:r>
      <w:r w:rsidR="009C11C6">
        <w:t> million</w:t>
      </w:r>
      <w:r>
        <w:t xml:space="preserve"> in 2025 and $5.433</w:t>
      </w:r>
      <w:r w:rsidR="009C11C6">
        <w:t> million</w:t>
      </w:r>
      <w:r>
        <w:t xml:space="preserve"> in 2026 for Planned Investments.</w:t>
      </w:r>
      <w:r w:rsidRPr="009550BB">
        <w:rPr>
          <w:rStyle w:val="FootnoteReference"/>
        </w:rPr>
        <w:footnoteReference w:id="59"/>
      </w:r>
      <w:r>
        <w:t xml:space="preserve"> SDG&amp;E </w:t>
      </w:r>
      <w:r w:rsidR="008D4308">
        <w:t xml:space="preserve">indicates it </w:t>
      </w:r>
      <w:r>
        <w:t xml:space="preserve">would use this funding for </w:t>
      </w:r>
      <w:r w:rsidR="00836A9E">
        <w:t>“</w:t>
      </w:r>
      <w:r>
        <w:t>plann</w:t>
      </w:r>
      <w:r w:rsidRPr="006C184C">
        <w:t>ed small capacity</w:t>
      </w:r>
      <w:r w:rsidR="00503215">
        <w:noBreakHyphen/>
      </w:r>
      <w:r w:rsidRPr="006C184C">
        <w:t>driven distribution upgrades…</w:t>
      </w:r>
      <w:r w:rsidR="00557E7A">
        <w:t xml:space="preserve"> </w:t>
      </w:r>
      <w:r w:rsidRPr="006C184C">
        <w:t>identified in the annual DPP.</w:t>
      </w:r>
      <w:r w:rsidR="00836A9E">
        <w:t>”</w:t>
      </w:r>
      <w:r w:rsidRPr="009550BB">
        <w:rPr>
          <w:rStyle w:val="FootnoteReference"/>
        </w:rPr>
        <w:footnoteReference w:id="60"/>
      </w:r>
    </w:p>
    <w:p w:rsidR="007F1773" w:rsidP="00F67BCA" w:rsidRDefault="001B19CC" w14:paraId="3A27F9A1" w14:textId="031DFCBC">
      <w:pPr>
        <w:pStyle w:val="Standard"/>
      </w:pPr>
      <w:r>
        <w:t xml:space="preserve">TURN flags a large rise in costs from </w:t>
      </w:r>
      <w:r w:rsidR="00836A9E">
        <w:t>“</w:t>
      </w:r>
      <w:r>
        <w:t>Planned Investments</w:t>
      </w:r>
      <w:r w:rsidR="00836A9E">
        <w:t>”</w:t>
      </w:r>
      <w:r>
        <w:t xml:space="preserve"> category. TURN notes that while </w:t>
      </w:r>
      <w:r w:rsidRPr="005B2B12">
        <w:t>SDG&amp;E recorded $1.903</w:t>
      </w:r>
      <w:r w:rsidR="009C11C6">
        <w:t> million</w:t>
      </w:r>
      <w:r w:rsidRPr="005B2B12">
        <w:t xml:space="preserve"> </w:t>
      </w:r>
      <w:r>
        <w:t>in actual costs for 2024</w:t>
      </w:r>
      <w:r w:rsidR="00D140B1">
        <w:t xml:space="preserve"> — </w:t>
      </w:r>
      <w:r w:rsidRPr="005B2B12">
        <w:t>underspen</w:t>
      </w:r>
      <w:r>
        <w:t>ding</w:t>
      </w:r>
      <w:r w:rsidRPr="005B2B12">
        <w:t xml:space="preserve"> its GRC </w:t>
      </w:r>
      <w:r>
        <w:t xml:space="preserve">authorized amount by </w:t>
      </w:r>
      <w:r w:rsidRPr="005B2B12">
        <w:t>$2.518</w:t>
      </w:r>
      <w:r w:rsidR="009C11C6">
        <w:t> million</w:t>
      </w:r>
      <w:r w:rsidR="00D140B1">
        <w:t xml:space="preserve"> — </w:t>
      </w:r>
      <w:r>
        <w:t xml:space="preserve">SDG&amp;E forecasts spending </w:t>
      </w:r>
      <w:r w:rsidR="00F87314">
        <w:t>$6.</w:t>
      </w:r>
      <w:r w:rsidR="00F63C5C">
        <w:t>7</w:t>
      </w:r>
      <w:r w:rsidR="00F87314">
        <w:t>8</w:t>
      </w:r>
      <w:r w:rsidR="00F63C5C">
        <w:t>7</w:t>
      </w:r>
      <w:r w:rsidR="009C11C6">
        <w:t> million</w:t>
      </w:r>
      <w:r>
        <w:t xml:space="preserve"> in 2025 and $10.1</w:t>
      </w:r>
      <w:r w:rsidR="00F63C5C">
        <w:t>36</w:t>
      </w:r>
      <w:r w:rsidR="009C11C6">
        <w:t> million</w:t>
      </w:r>
      <w:r>
        <w:t xml:space="preserve"> in 2026.</w:t>
      </w:r>
      <w:r w:rsidRPr="009550BB">
        <w:rPr>
          <w:rStyle w:val="FootnoteReference"/>
        </w:rPr>
        <w:footnoteReference w:id="61"/>
      </w:r>
      <w:r>
        <w:t xml:space="preserve"> TURN notes that </w:t>
      </w:r>
      <w:r w:rsidR="00836A9E">
        <w:t>“</w:t>
      </w:r>
      <w:r>
        <w:t xml:space="preserve">[these] values represent a </w:t>
      </w:r>
      <w:r w:rsidRPr="00E25381">
        <w:t xml:space="preserve">256% </w:t>
      </w:r>
      <w:r>
        <w:t xml:space="preserve">cost increase between </w:t>
      </w:r>
      <w:r w:rsidRPr="00E25381">
        <w:t>2024</w:t>
      </w:r>
      <w:r w:rsidR="00503215">
        <w:noBreakHyphen/>
      </w:r>
      <w:r w:rsidRPr="00E25381">
        <w:t>2025 and a 48% increase between 2025</w:t>
      </w:r>
      <w:r w:rsidR="00503215">
        <w:noBreakHyphen/>
      </w:r>
      <w:r w:rsidRPr="00E25381">
        <w:t>2026</w:t>
      </w:r>
      <w:r>
        <w:t>,</w:t>
      </w:r>
      <w:r w:rsidR="00836A9E">
        <w:t>”</w:t>
      </w:r>
      <w:r w:rsidRPr="009550BB">
        <w:rPr>
          <w:rStyle w:val="FootnoteReference"/>
        </w:rPr>
        <w:footnoteReference w:id="62"/>
      </w:r>
      <w:r>
        <w:t xml:space="preserve"> but SDG&amp;E</w:t>
      </w:r>
      <w:r w:rsidR="00836A9E">
        <w:t>’</w:t>
      </w:r>
      <w:r>
        <w:t>s testimony only describes the type of projects this category includes but does not explain the dramatic rise in costs.</w:t>
      </w:r>
      <w:r w:rsidRPr="009550BB">
        <w:rPr>
          <w:rStyle w:val="FootnoteReference"/>
        </w:rPr>
        <w:footnoteReference w:id="63"/>
      </w:r>
      <w:r>
        <w:t xml:space="preserve"> TURN further notes that SDG&amp;E</w:t>
      </w:r>
      <w:r w:rsidR="00836A9E">
        <w:t>’</w:t>
      </w:r>
      <w:r>
        <w:t xml:space="preserve">s workpapers provide no breakdown of these costs, no explanation of the methodology SDG&amp;E used, and include </w:t>
      </w:r>
      <w:r w:rsidR="00836A9E">
        <w:t>“</w:t>
      </w:r>
      <w:r>
        <w:t>hardcoded</w:t>
      </w:r>
      <w:r w:rsidR="00836A9E">
        <w:t>”</w:t>
      </w:r>
      <w:r>
        <w:t xml:space="preserve"> values (</w:t>
      </w:r>
      <w:r w:rsidRPr="00897A6E" w:rsidR="00897A6E">
        <w:rPr>
          <w:i/>
          <w:iCs/>
        </w:rPr>
        <w:t>i.e.</w:t>
      </w:r>
      <w:r>
        <w:t>, values without specific justification) for 2025 and 2026.</w:t>
      </w:r>
      <w:r w:rsidRPr="009550BB">
        <w:rPr>
          <w:rStyle w:val="FootnoteReference"/>
        </w:rPr>
        <w:footnoteReference w:id="64"/>
      </w:r>
      <w:r>
        <w:t xml:space="preserve"> As such, TURN recommends the Commission either exclude this cost category </w:t>
      </w:r>
      <w:r>
        <w:lastRenderedPageBreak/>
        <w:t>from the cap or apply an escalation value to SDG&amp;E</w:t>
      </w:r>
      <w:r w:rsidR="00836A9E">
        <w:t>’</w:t>
      </w:r>
      <w:r>
        <w:t>s actual 2024 expenditures</w:t>
      </w:r>
      <w:r w:rsidR="4755B9C4">
        <w:t xml:space="preserve"> that results in more reasonable </w:t>
      </w:r>
      <w:r w:rsidR="00596AA9">
        <w:t xml:space="preserve">and justifiable </w:t>
      </w:r>
      <w:r w:rsidR="4755B9C4">
        <w:t>percentage cost increases</w:t>
      </w:r>
      <w:r>
        <w:t>.</w:t>
      </w:r>
      <w:r w:rsidRPr="009550BB">
        <w:rPr>
          <w:rStyle w:val="FootnoteReference"/>
        </w:rPr>
        <w:footnoteReference w:id="65"/>
      </w:r>
    </w:p>
    <w:p w:rsidR="001B19CC" w:rsidP="00F67BCA" w:rsidRDefault="001B19CC" w14:paraId="5E690CA9" w14:textId="34EA2F73">
      <w:pPr>
        <w:pStyle w:val="Standard"/>
      </w:pPr>
      <w:r>
        <w:t xml:space="preserve">SDG&amp;E acknowledges that its </w:t>
      </w:r>
      <w:r w:rsidR="00836A9E">
        <w:t>“</w:t>
      </w:r>
      <w:r w:rsidRPr="000B7F86">
        <w:t>workpapers include hardcoded values</w:t>
      </w:r>
      <w:r w:rsidR="00836A9E">
        <w:t>”</w:t>
      </w:r>
      <w:r>
        <w:t xml:space="preserve"> but asserts those numbers </w:t>
      </w:r>
      <w:r w:rsidRPr="000B7F86">
        <w:t xml:space="preserve">are </w:t>
      </w:r>
      <w:r w:rsidR="00836A9E">
        <w:t>“</w:t>
      </w:r>
      <w:r>
        <w:t>intended to serve as indicative estimates</w:t>
      </w:r>
      <w:r w:rsidR="00836A9E">
        <w:t>”</w:t>
      </w:r>
      <w:r>
        <w:t xml:space="preserve"> and are </w:t>
      </w:r>
      <w:r w:rsidR="00836A9E">
        <w:t>“</w:t>
      </w:r>
      <w:r w:rsidRPr="000B7F86">
        <w:t>grounded in internal planning processes and reflect the best available information at this stage</w:t>
      </w:r>
      <w:r>
        <w:t>.</w:t>
      </w:r>
      <w:r w:rsidR="00836A9E">
        <w:t>”</w:t>
      </w:r>
      <w:r w:rsidRPr="009550BB">
        <w:rPr>
          <w:rStyle w:val="FootnoteReference"/>
        </w:rPr>
        <w:footnoteReference w:id="66"/>
      </w:r>
      <w:r>
        <w:t xml:space="preserve"> SDG&amp;E claims that </w:t>
      </w:r>
      <w:proofErr w:type="spellStart"/>
      <w:r>
        <w:t>TURN</w:t>
      </w:r>
      <w:r w:rsidR="00836A9E">
        <w:t>’</w:t>
      </w:r>
      <w:r>
        <w:t>s</w:t>
      </w:r>
      <w:proofErr w:type="spellEnd"/>
      <w:r>
        <w:t xml:space="preserve"> objection </w:t>
      </w:r>
      <w:r w:rsidR="00836A9E">
        <w:t>“</w:t>
      </w:r>
      <w:r>
        <w:t>[fails] to recognize the real</w:t>
      </w:r>
      <w:r w:rsidR="00503215">
        <w:noBreakHyphen/>
      </w:r>
      <w:r>
        <w:t>world drivers of these increases… [including] localized distribution upgrades to support new customer load and electrification trends.</w:t>
      </w:r>
      <w:r w:rsidR="00836A9E">
        <w:t>”</w:t>
      </w:r>
      <w:r w:rsidRPr="009550BB">
        <w:rPr>
          <w:rStyle w:val="FootnoteReference"/>
        </w:rPr>
        <w:footnoteReference w:id="67"/>
      </w:r>
    </w:p>
    <w:p w:rsidR="007F1773" w:rsidP="00F67BCA" w:rsidRDefault="001B19CC" w14:paraId="66C207DC" w14:textId="77777777">
      <w:pPr>
        <w:pStyle w:val="Standard"/>
      </w:pPr>
      <w:r>
        <w:t xml:space="preserve">This </w:t>
      </w:r>
      <w:r w:rsidR="00974549">
        <w:t xml:space="preserve">decision does not allow any Planned Investment cost forecasts to count toward the cap. </w:t>
      </w:r>
      <w:r w:rsidRPr="00D36FF1">
        <w:t>SDG&amp;E</w:t>
      </w:r>
      <w:r w:rsidR="00836A9E">
        <w:t>’</w:t>
      </w:r>
      <w:r w:rsidRPr="00D36FF1">
        <w:t xml:space="preserve">s response does not address the core issue of </w:t>
      </w:r>
      <w:proofErr w:type="spellStart"/>
      <w:r w:rsidRPr="00D36FF1">
        <w:t>TURN</w:t>
      </w:r>
      <w:r w:rsidR="00836A9E">
        <w:t>’</w:t>
      </w:r>
      <w:r w:rsidRPr="00D36FF1">
        <w:t>s</w:t>
      </w:r>
      <w:proofErr w:type="spellEnd"/>
      <w:r w:rsidRPr="00D36FF1">
        <w:t xml:space="preserve"> critique, which is that SDG&amp;E</w:t>
      </w:r>
      <w:r w:rsidR="00836A9E">
        <w:t>’</w:t>
      </w:r>
      <w:r w:rsidRPr="00D36FF1">
        <w:t>s testimony and workpapers do not provide the Commission any information or context to determine whether SDG&amp;E</w:t>
      </w:r>
      <w:r w:rsidR="00836A9E">
        <w:t>’</w:t>
      </w:r>
      <w:r w:rsidRPr="00D36FF1">
        <w:t xml:space="preserve">s forecast is </w:t>
      </w:r>
      <w:r>
        <w:t>reasonably developed from justifiable assumptions</w:t>
      </w:r>
      <w:r w:rsidRPr="00D36FF1">
        <w:t xml:space="preserve">. SDG&amp;E asserts the forecast is grounded in </w:t>
      </w:r>
      <w:r w:rsidR="00836A9E">
        <w:t>“</w:t>
      </w:r>
      <w:r w:rsidRPr="00D36FF1">
        <w:t>internal planning processes</w:t>
      </w:r>
      <w:r w:rsidR="00836A9E">
        <w:t>”</w:t>
      </w:r>
      <w:r w:rsidRPr="00D36FF1">
        <w:t xml:space="preserve"> and </w:t>
      </w:r>
      <w:r w:rsidR="00836A9E">
        <w:t>“</w:t>
      </w:r>
      <w:r w:rsidRPr="00D36FF1">
        <w:t>reflect</w:t>
      </w:r>
      <w:r w:rsidRPr="53312C40" w:rsidR="5DCC4531">
        <w:t>[s]</w:t>
      </w:r>
      <w:r w:rsidRPr="00D36FF1">
        <w:t xml:space="preserve"> the best available information</w:t>
      </w:r>
      <w:r w:rsidR="00836A9E">
        <w:t>”</w:t>
      </w:r>
      <w:r w:rsidRPr="00D36FF1">
        <w:t xml:space="preserve"> but does not explain those planning processes, provide the </w:t>
      </w:r>
      <w:r w:rsidR="00836A9E">
        <w:t>“</w:t>
      </w:r>
      <w:r w:rsidRPr="00D36FF1">
        <w:t>best available information,</w:t>
      </w:r>
      <w:r w:rsidR="00836A9E">
        <w:t>”</w:t>
      </w:r>
      <w:r w:rsidRPr="00D36FF1">
        <w:t xml:space="preserve"> or even the identities or roles of the individuals consulted in the development </w:t>
      </w:r>
      <w:r w:rsidRPr="53312C40" w:rsidR="600E644A">
        <w:t xml:space="preserve">of </w:t>
      </w:r>
      <w:r w:rsidRPr="00D36FF1">
        <w:t>these estimates.</w:t>
      </w:r>
    </w:p>
    <w:p w:rsidRPr="001B19CC" w:rsidR="001B19CC" w:rsidP="00F67BCA" w:rsidRDefault="00DD505D" w14:paraId="0D8F5C63" w14:textId="72494486">
      <w:pPr>
        <w:pStyle w:val="Standard"/>
      </w:pPr>
      <w:r>
        <w:t xml:space="preserve">SDG&amp;E </w:t>
      </w:r>
      <w:r w:rsidR="00D8491A">
        <w:t>states that the 2024 GRC authorized</w:t>
      </w:r>
      <w:r w:rsidR="0084632D">
        <w:t xml:space="preserve"> </w:t>
      </w:r>
      <w:r w:rsidR="009014F5">
        <w:t>spending of $</w:t>
      </w:r>
      <w:r w:rsidR="00ED6B97">
        <w:t>4.4</w:t>
      </w:r>
      <w:r w:rsidR="007A422B">
        <w:t>33</w:t>
      </w:r>
      <w:r w:rsidR="009C11C6">
        <w:t> million</w:t>
      </w:r>
      <w:r w:rsidR="00ED6B97">
        <w:t xml:space="preserve"> in 2024, $4.</w:t>
      </w:r>
      <w:r w:rsidR="007A422B">
        <w:t>56</w:t>
      </w:r>
      <w:r w:rsidR="00ED6B97">
        <w:t>6</w:t>
      </w:r>
      <w:r w:rsidR="009C11C6">
        <w:t> million</w:t>
      </w:r>
      <w:r w:rsidR="00ED6B97">
        <w:t xml:space="preserve"> in 2025, and $4.7</w:t>
      </w:r>
      <w:r w:rsidR="007A422B">
        <w:t>03</w:t>
      </w:r>
      <w:r w:rsidR="009C11C6">
        <w:t> million</w:t>
      </w:r>
      <w:r w:rsidR="00ED6B97">
        <w:t xml:space="preserve"> in 2026 in the Planned Investments Category. </w:t>
      </w:r>
      <w:r w:rsidR="00684AE1">
        <w:t>SDG&amp;E</w:t>
      </w:r>
      <w:r w:rsidR="00836A9E">
        <w:t>’</w:t>
      </w:r>
      <w:r w:rsidR="00684AE1">
        <w:t>s 2024 actual spend, however, was only $1.9</w:t>
      </w:r>
      <w:r w:rsidR="009C11C6">
        <w:t> million</w:t>
      </w:r>
      <w:r w:rsidR="00D140B1">
        <w:t xml:space="preserve"> — </w:t>
      </w:r>
      <w:r w:rsidR="007164A5">
        <w:t xml:space="preserve">less than half </w:t>
      </w:r>
      <w:r w:rsidR="00F36B01">
        <w:t xml:space="preserve">of its authorized funds. For SDG&amp;E to incur incremental </w:t>
      </w:r>
      <w:r w:rsidR="00E5497D">
        <w:t>costs in this subcategory, its spending would need to increase by more than 100</w:t>
      </w:r>
      <w:r w:rsidR="008A1F84">
        <w:t> percent</w:t>
      </w:r>
      <w:r w:rsidR="00E5497D">
        <w:t xml:space="preserve"> in 2025</w:t>
      </w:r>
      <w:r w:rsidR="00DF46B2">
        <w:t xml:space="preserve">, and SDG&amp;E provides no support for such a </w:t>
      </w:r>
      <w:r w:rsidR="00DF46B2">
        <w:lastRenderedPageBreak/>
        <w:t>dramatic increase. Accordingly</w:t>
      </w:r>
      <w:r w:rsidRPr="00D36FF1" w:rsidR="001B19CC">
        <w:t xml:space="preserve">, the record does not justify including in the cap any incremental expenditures in this </w:t>
      </w:r>
      <w:r w:rsidRPr="53312C40" w:rsidR="001B19CC">
        <w:t>category</w:t>
      </w:r>
      <w:r w:rsidRPr="00D36FF1" w:rsidR="001B19CC">
        <w:t>.</w:t>
      </w:r>
    </w:p>
    <w:p w:rsidR="00DB6B44" w:rsidP="00757F75" w:rsidRDefault="00DB6B44" w14:paraId="5DF3D4BE" w14:textId="1F989C93">
      <w:pPr>
        <w:pStyle w:val="Heading3"/>
      </w:pPr>
      <w:bookmarkStart w:name="_Toc212538541" w:id="37"/>
      <w:r>
        <w:t>Future Capacity Projects</w:t>
      </w:r>
      <w:r w:rsidR="00836A9E">
        <w:t>’</w:t>
      </w:r>
      <w:r w:rsidR="00F97CF6">
        <w:t xml:space="preserve"> Contribution to </w:t>
      </w:r>
      <w:r w:rsidRPr="00757F75" w:rsidR="00F97CF6">
        <w:t>Cap</w:t>
      </w:r>
      <w:bookmarkEnd w:id="37"/>
    </w:p>
    <w:p w:rsidR="009A3D00" w:rsidP="00F67BCA" w:rsidRDefault="009A3D00" w14:paraId="79ACA7D1" w14:textId="4140C76F">
      <w:pPr>
        <w:pStyle w:val="Standard"/>
      </w:pPr>
      <w:r>
        <w:t xml:space="preserve">SDG&amp;E requests authority to record incremental costs of </w:t>
      </w:r>
      <w:r w:rsidR="00B853FE">
        <w:t xml:space="preserve">$2.959 million in 2024, </w:t>
      </w:r>
      <w:r>
        <w:t>$13.245</w:t>
      </w:r>
      <w:r w:rsidR="009C11C6">
        <w:t> million</w:t>
      </w:r>
      <w:r>
        <w:t xml:space="preserve"> in 2025 and $16.474</w:t>
      </w:r>
      <w:r w:rsidR="009C11C6">
        <w:t> million</w:t>
      </w:r>
      <w:r>
        <w:t xml:space="preserve"> in 2026 for Future Capacity Projects.</w:t>
      </w:r>
      <w:r w:rsidRPr="009550BB">
        <w:rPr>
          <w:rStyle w:val="FootnoteReference"/>
        </w:rPr>
        <w:footnoteReference w:id="68"/>
      </w:r>
      <w:r>
        <w:t xml:space="preserve"> SDG&amp;E describes this funding as supporting </w:t>
      </w:r>
      <w:r w:rsidR="00836A9E">
        <w:t>“</w:t>
      </w:r>
      <w:r>
        <w:t>future large</w:t>
      </w:r>
      <w:r w:rsidR="00503215">
        <w:noBreakHyphen/>
      </w:r>
      <w:r>
        <w:t>scale distribution system capacity improvement projects identified within DPPs conducted after SDG&amp;E</w:t>
      </w:r>
      <w:r w:rsidR="00836A9E">
        <w:t>’</w:t>
      </w:r>
      <w:r>
        <w:t>s TY 2024 GRC.</w:t>
      </w:r>
      <w:r w:rsidR="00836A9E">
        <w:t>”</w:t>
      </w:r>
      <w:r w:rsidRPr="009550BB">
        <w:rPr>
          <w:rStyle w:val="FootnoteReference"/>
        </w:rPr>
        <w:footnoteReference w:id="69"/>
      </w:r>
      <w:r>
        <w:t xml:space="preserve"> SDG&amp;E describes this category as funding projects as </w:t>
      </w:r>
      <w:r w:rsidR="00836A9E">
        <w:t>“</w:t>
      </w:r>
      <w:r>
        <w:t>large</w:t>
      </w:r>
      <w:r w:rsidR="00503215">
        <w:noBreakHyphen/>
      </w:r>
      <w:r>
        <w:t>scale…</w:t>
      </w:r>
      <w:r w:rsidR="00557E7A">
        <w:t xml:space="preserve"> </w:t>
      </w:r>
      <w:r>
        <w:t>capacity improvement projects</w:t>
      </w:r>
      <w:r w:rsidR="00836A9E">
        <w:t>”</w:t>
      </w:r>
      <w:r>
        <w:t xml:space="preserve"> but also describes this category as similar in nature to </w:t>
      </w:r>
      <w:r w:rsidR="00836A9E">
        <w:t>“</w:t>
      </w:r>
      <w:r>
        <w:t>Planned Investments,</w:t>
      </w:r>
      <w:r w:rsidR="00836A9E">
        <w:t>”</w:t>
      </w:r>
      <w:r>
        <w:t xml:space="preserve"> which SDG&amp;E states support </w:t>
      </w:r>
      <w:r w:rsidR="00836A9E">
        <w:t>“</w:t>
      </w:r>
      <w:r>
        <w:t>small…</w:t>
      </w:r>
      <w:r w:rsidR="00557E7A">
        <w:t xml:space="preserve"> </w:t>
      </w:r>
      <w:r>
        <w:t>capacity</w:t>
      </w:r>
      <w:r w:rsidR="00503215">
        <w:noBreakHyphen/>
      </w:r>
      <w:r>
        <w:t>driven</w:t>
      </w:r>
      <w:r w:rsidR="00836A9E">
        <w:t>”</w:t>
      </w:r>
      <w:r>
        <w:t xml:space="preserve"> projects.</w:t>
      </w:r>
      <w:r w:rsidRPr="009550BB">
        <w:rPr>
          <w:rStyle w:val="FootnoteReference"/>
        </w:rPr>
        <w:footnoteReference w:id="70"/>
      </w:r>
    </w:p>
    <w:p w:rsidRPr="0033544E" w:rsidR="009A3D00" w:rsidP="00F67BCA" w:rsidRDefault="009A3D00" w14:paraId="6FAEFC27" w14:textId="6E24BEE5">
      <w:pPr>
        <w:pStyle w:val="Standard"/>
      </w:pPr>
      <w:r>
        <w:t xml:space="preserve">TURN argues that SDG&amp;E does not adequately support spending increases in this category. As with the </w:t>
      </w:r>
      <w:r w:rsidR="00836A9E">
        <w:t>“</w:t>
      </w:r>
      <w:r>
        <w:t>Planned Investments</w:t>
      </w:r>
      <w:r w:rsidR="00836A9E">
        <w:t>”</w:t>
      </w:r>
      <w:r>
        <w:t xml:space="preserve"> category, TURN notes that SDG&amp;E forecasted large increases in capital expenditures that were not justified in testimony and relied on hardcoded values in workpapers presented without justification.</w:t>
      </w:r>
      <w:r w:rsidRPr="009550BB">
        <w:rPr>
          <w:rStyle w:val="FootnoteReference"/>
        </w:rPr>
        <w:footnoteReference w:id="71"/>
      </w:r>
      <w:r>
        <w:t xml:space="preserve"> As with the Planned Investments category, TURN recommends the Commission either entirely remove this subcategory from the cap or apply an escalator to the 2024 actual values.</w:t>
      </w:r>
      <w:r w:rsidRPr="009550BB">
        <w:rPr>
          <w:rStyle w:val="FootnoteReference"/>
        </w:rPr>
        <w:footnoteReference w:id="72"/>
      </w:r>
      <w:r>
        <w:t xml:space="preserve"> </w:t>
      </w:r>
      <w:r w:rsidRPr="0033544E">
        <w:t>SDG&amp;E</w:t>
      </w:r>
      <w:r>
        <w:t xml:space="preserve"> responds that the forecasts are based on </w:t>
      </w:r>
      <w:r w:rsidR="00836A9E">
        <w:t>“</w:t>
      </w:r>
      <w:r>
        <w:t>known project needs, historical trends, and load forecasts</w:t>
      </w:r>
      <w:r w:rsidR="00836A9E">
        <w:t>”</w:t>
      </w:r>
      <w:r>
        <w:t xml:space="preserve"> and references one of its workpapers but provides no further detail on </w:t>
      </w:r>
      <w:r>
        <w:lastRenderedPageBreak/>
        <w:t>how the workpaper supports SDG&amp;E</w:t>
      </w:r>
      <w:r w:rsidR="00836A9E">
        <w:t>’</w:t>
      </w:r>
      <w:r>
        <w:t>s claims.</w:t>
      </w:r>
      <w:r w:rsidR="2A4CE5CD">
        <w:t xml:space="preserve"> </w:t>
      </w:r>
      <w:r w:rsidR="005132F3">
        <w:t xml:space="preserve">This decision finds that the workpaper </w:t>
      </w:r>
      <w:r w:rsidR="2A4CE5CD">
        <w:t>does not support for SDG&amp;E</w:t>
      </w:r>
      <w:r w:rsidR="00836A9E">
        <w:t>’</w:t>
      </w:r>
      <w:r w:rsidR="2A4CE5CD">
        <w:t>s figures.</w:t>
      </w:r>
    </w:p>
    <w:p w:rsidRPr="008B2750" w:rsidR="003E4163" w:rsidP="00F67BCA" w:rsidRDefault="000E41F6" w14:paraId="4DC15FD0" w14:textId="36204792">
      <w:pPr>
        <w:pStyle w:val="Standard"/>
      </w:pPr>
      <w:r w:rsidRPr="00FF7FDE">
        <w:t xml:space="preserve">This decision adopts </w:t>
      </w:r>
      <w:proofErr w:type="spellStart"/>
      <w:r w:rsidRPr="00FF7FDE">
        <w:t>TURN’s</w:t>
      </w:r>
      <w:proofErr w:type="spellEnd"/>
      <w:r w:rsidRPr="00FF7FDE">
        <w:t xml:space="preserve"> recommendation to apply an escalator to SDG&amp;E’s 2024 actual spend in this category and calculate the contributions to the cap based on that number. SDG&amp;E fails to justify its </w:t>
      </w:r>
      <w:r w:rsidR="00F972C4">
        <w:t xml:space="preserve">steeply-increasing </w:t>
      </w:r>
      <w:r w:rsidRPr="00FF7FDE">
        <w:t xml:space="preserve">cost forecasts, referencing “known project needs, historical trends, and load forecasts” without discussing those factors or how they shaped SDG&amp;E’s load forecast. This decision escalates SDG&amp;E’s 2024 actual spend </w:t>
      </w:r>
      <w:r>
        <w:t xml:space="preserve">at the Consumer </w:t>
      </w:r>
      <w:r w:rsidRPr="00FF7FDE">
        <w:t>Price Index</w:t>
      </w:r>
      <w:r>
        <w:t xml:space="preserve"> for Urban Customers</w:t>
      </w:r>
      <w:r w:rsidRPr="00FF7FDE">
        <w:t xml:space="preserve"> (</w:t>
      </w:r>
      <w:r>
        <w:t>C</w:t>
      </w:r>
      <w:r w:rsidRPr="00FF7FDE">
        <w:t>PI</w:t>
      </w:r>
      <w:r>
        <w:t>-U</w:t>
      </w:r>
      <w:r w:rsidRPr="00FF7FDE">
        <w:t>)</w:t>
      </w:r>
      <w:r>
        <w:t>, as recommended by TURN</w:t>
      </w:r>
      <w:r w:rsidRPr="00FF7FDE">
        <w:t>.</w:t>
      </w:r>
      <w:r>
        <w:rPr>
          <w:rStyle w:val="FootnoteReference"/>
        </w:rPr>
        <w:footnoteReference w:id="73"/>
      </w:r>
      <w:r>
        <w:t xml:space="preserve"> </w:t>
      </w:r>
      <w:r w:rsidRPr="00FF7FDE">
        <w:t xml:space="preserve">The most recent </w:t>
      </w:r>
      <w:r>
        <w:t xml:space="preserve">CPI-U </w:t>
      </w:r>
      <w:r w:rsidRPr="00FF7FDE">
        <w:t xml:space="preserve">data is from </w:t>
      </w:r>
      <w:r w:rsidR="00FB1D50">
        <w:t>July</w:t>
      </w:r>
      <w:r w:rsidRPr="00FF7FDE">
        <w:t xml:space="preserve">, 2025, and the change in </w:t>
      </w:r>
      <w:r>
        <w:t xml:space="preserve">CPI-U </w:t>
      </w:r>
      <w:r w:rsidRPr="00FF7FDE">
        <w:t xml:space="preserve">for the year ending </w:t>
      </w:r>
      <w:r w:rsidR="00DB6138">
        <w:t>July</w:t>
      </w:r>
      <w:r w:rsidRPr="00FF7FDE">
        <w:t xml:space="preserve">, 2025, is </w:t>
      </w:r>
      <w:r>
        <w:t>2.7</w:t>
      </w:r>
      <w:r w:rsidRPr="00FF7FDE">
        <w:t>%.</w:t>
      </w:r>
      <w:r w:rsidR="00DB6138">
        <w:rPr>
          <w:rStyle w:val="FootnoteReference"/>
        </w:rPr>
        <w:footnoteReference w:id="74"/>
      </w:r>
      <w:r w:rsidRPr="00FF7FDE">
        <w:t xml:space="preserve"> Accordingly, this decision </w:t>
      </w:r>
      <w:r>
        <w:t xml:space="preserve">recognizes SDG&amp;E’s actual spend of $12.611 million in 2024 and adopts cost forecasts of </w:t>
      </w:r>
      <w:r w:rsidRPr="00FF7FDE">
        <w:t>$12.</w:t>
      </w:r>
      <w:r>
        <w:t>951</w:t>
      </w:r>
      <w:r w:rsidRPr="00FF7FDE">
        <w:t xml:space="preserve"> million in 2025 and $13.</w:t>
      </w:r>
      <w:r>
        <w:t>301</w:t>
      </w:r>
      <w:r w:rsidRPr="00FF7FDE">
        <w:t xml:space="preserve"> million in 2026 on Future Capacity Projects for energization-related purposes.</w:t>
      </w:r>
      <w:r>
        <w:rPr>
          <w:rStyle w:val="FootnoteReference"/>
        </w:rPr>
        <w:footnoteReference w:id="75"/>
      </w:r>
      <w:r w:rsidRPr="00FF7FDE">
        <w:t xml:space="preserve"> As SDG&amp;E estimates that the 2024 GRC authorized SDG&amp;E to spend </w:t>
      </w:r>
      <w:r>
        <w:t xml:space="preserve">$9.652 million in 2024, </w:t>
      </w:r>
      <w:r w:rsidRPr="00FF7FDE">
        <w:t>$9.</w:t>
      </w:r>
      <w:r>
        <w:t>942</w:t>
      </w:r>
      <w:r w:rsidRPr="00FF7FDE">
        <w:t xml:space="preserve"> million in 2025 and $10.2</w:t>
      </w:r>
      <w:r>
        <w:t>40</w:t>
      </w:r>
      <w:r w:rsidRPr="00FF7FDE">
        <w:t xml:space="preserve"> million in 2026 on Future Capacity Projects, this decision </w:t>
      </w:r>
      <w:bookmarkStart w:name="_Hlk205761602" w:id="38"/>
      <w:r w:rsidRPr="00FF7FDE">
        <w:t>allows</w:t>
      </w:r>
      <w:r>
        <w:t xml:space="preserve"> incremental spend of $2.959 million in 2024,</w:t>
      </w:r>
      <w:r w:rsidRPr="00FF7FDE">
        <w:t xml:space="preserve"> $</w:t>
      </w:r>
      <w:r>
        <w:t>3</w:t>
      </w:r>
      <w:r w:rsidRPr="00FF7FDE">
        <w:t>.</w:t>
      </w:r>
      <w:r>
        <w:t>009</w:t>
      </w:r>
      <w:r w:rsidRPr="00FF7FDE">
        <w:t xml:space="preserve"> million in 2025 and $</w:t>
      </w:r>
      <w:r>
        <w:t>3.061</w:t>
      </w:r>
      <w:r w:rsidRPr="00FF7FDE">
        <w:t xml:space="preserve"> million in 2026 </w:t>
      </w:r>
      <w:bookmarkEnd w:id="38"/>
      <w:r w:rsidRPr="00FF7FDE">
        <w:t>on Future Capacity Projects to count toward the cap</w:t>
      </w:r>
      <w:r>
        <w:t>s</w:t>
      </w:r>
      <w:r w:rsidR="00FC5323">
        <w:t>.</w:t>
      </w:r>
    </w:p>
    <w:p w:rsidR="006E2BB5" w:rsidP="00757F75" w:rsidRDefault="00450B5F" w14:paraId="221FD3BC" w14:textId="1A2E6761">
      <w:pPr>
        <w:pStyle w:val="Heading3"/>
      </w:pPr>
      <w:bookmarkStart w:name="_Toc212538542" w:id="39"/>
      <w:r>
        <w:lastRenderedPageBreak/>
        <w:t>Substation Land Acquisition</w:t>
      </w:r>
      <w:r w:rsidR="00F97CF6">
        <w:t>s</w:t>
      </w:r>
      <w:r w:rsidR="00836A9E">
        <w:t>’</w:t>
      </w:r>
      <w:r w:rsidR="00F97CF6">
        <w:t xml:space="preserve"> </w:t>
      </w:r>
      <w:r w:rsidRPr="00757F75" w:rsidR="00F97CF6">
        <w:t>Contribution</w:t>
      </w:r>
      <w:r w:rsidR="00F97CF6">
        <w:t xml:space="preserve"> to Cap</w:t>
      </w:r>
      <w:bookmarkEnd w:id="39"/>
    </w:p>
    <w:p w:rsidR="006E2BB5" w:rsidP="00F67BCA" w:rsidRDefault="006E2BB5" w14:paraId="5A4715DE" w14:textId="4A6D9914">
      <w:pPr>
        <w:pStyle w:val="Standard"/>
      </w:pPr>
      <w:r>
        <w:t>SDG&amp;E requests authority to record incremental costs of $7.935</w:t>
      </w:r>
      <w:r w:rsidR="009C11C6">
        <w:t> million</w:t>
      </w:r>
      <w:r>
        <w:t xml:space="preserve"> in 2025 and $48.649</w:t>
      </w:r>
      <w:r w:rsidR="009C11C6">
        <w:t> million</w:t>
      </w:r>
      <w:r>
        <w:t xml:space="preserve"> in 2026 to acquire land for future substations.</w:t>
      </w:r>
      <w:r w:rsidRPr="009550BB">
        <w:rPr>
          <w:rStyle w:val="FootnoteReference"/>
        </w:rPr>
        <w:footnoteReference w:id="76"/>
      </w:r>
      <w:r>
        <w:t xml:space="preserve"> SDG&amp;E states that </w:t>
      </w:r>
      <w:r w:rsidR="00836A9E">
        <w:t>“</w:t>
      </w:r>
      <w:r>
        <w:t xml:space="preserve">[based] on the 2023 </w:t>
      </w:r>
      <w:proofErr w:type="spellStart"/>
      <w:r>
        <w:t>IEPR</w:t>
      </w:r>
      <w:proofErr w:type="spellEnd"/>
      <w:r>
        <w:t>, [SDG&amp;E] forecasts that four new substations will need to be built and energized prior to 2035 in SDG&amp;E</w:t>
      </w:r>
      <w:r w:rsidR="00836A9E">
        <w:t>’</w:t>
      </w:r>
      <w:r>
        <w:t>s territory.</w:t>
      </w:r>
      <w:r w:rsidR="00836A9E">
        <w:t>”</w:t>
      </w:r>
      <w:r>
        <w:t xml:space="preserve"> SDG&amp;E argues that the years</w:t>
      </w:r>
      <w:r w:rsidR="00503215">
        <w:noBreakHyphen/>
      </w:r>
      <w:r>
        <w:t>long process to scope and build substations obligates SDG&amp;E to acquire land before 2026</w:t>
      </w:r>
      <w:r w:rsidR="00B53799">
        <w:t xml:space="preserve"> and</w:t>
      </w:r>
      <w:r>
        <w:t xml:space="preserve"> SDG&amp;E acknowledges that none of those substations will be in service prior to </w:t>
      </w:r>
      <w:r w:rsidR="007F1773">
        <w:t>January </w:t>
      </w:r>
      <w:r>
        <w:t>1, 2027.</w:t>
      </w:r>
      <w:r w:rsidRPr="009550BB">
        <w:rPr>
          <w:rStyle w:val="FootnoteReference"/>
        </w:rPr>
        <w:footnoteReference w:id="77"/>
      </w:r>
      <w:r>
        <w:t xml:space="preserve"> </w:t>
      </w:r>
      <w:r w:rsidRPr="006C184C">
        <w:t xml:space="preserve">SDG&amp;E </w:t>
      </w:r>
      <w:r>
        <w:t xml:space="preserve">explains that the projected locations of the </w:t>
      </w:r>
      <w:r w:rsidRPr="006C184C">
        <w:t xml:space="preserve">four new substations correspond to areas where </w:t>
      </w:r>
      <w:r w:rsidR="00836A9E">
        <w:t>“</w:t>
      </w:r>
      <w:r w:rsidRPr="006C184C">
        <w:t>projected load growth may exceed the capacities of the existing substations.</w:t>
      </w:r>
      <w:r w:rsidR="00836A9E">
        <w:t>”</w:t>
      </w:r>
      <w:r w:rsidRPr="009550BB">
        <w:rPr>
          <w:rStyle w:val="FootnoteReference"/>
        </w:rPr>
        <w:footnoteReference w:id="78"/>
      </w:r>
    </w:p>
    <w:p w:rsidR="006E2BB5" w:rsidP="00F67BCA" w:rsidRDefault="00366301" w14:paraId="741EC1A8" w14:textId="445DB81F">
      <w:pPr>
        <w:pStyle w:val="Standard"/>
      </w:pPr>
      <w:r>
        <w:t>Cal Advoc</w:t>
      </w:r>
      <w:r w:rsidR="006E2BB5">
        <w:t>ates and TURN recommend that no land acquisition costs should be included in the cap. TURN argues that SDG&amp;E</w:t>
      </w:r>
      <w:r w:rsidR="00836A9E">
        <w:t>’</w:t>
      </w:r>
      <w:r w:rsidR="006E2BB5">
        <w:t>s recent land purchase history demonstrates no urgent need for parcels for substations; that SDG&amp;E</w:t>
      </w:r>
      <w:r w:rsidR="00836A9E">
        <w:t>’</w:t>
      </w:r>
      <w:r w:rsidR="006E2BB5">
        <w:t>s forecast of the locations and costs of the parcels is underdeveloped and that SDG&amp;E was unable to explain or justify the underlying assumptions; that SDG&amp;E has demonstrated it can construct substations within six years of land acquisition, leaving sufficient buffer time; and that purchases now run the risk of stranded costs.</w:t>
      </w:r>
      <w:r w:rsidRPr="009550BB" w:rsidR="006E2BB5">
        <w:rPr>
          <w:rStyle w:val="FootnoteReference"/>
        </w:rPr>
        <w:footnoteReference w:id="79"/>
      </w:r>
      <w:r w:rsidR="006E2BB5">
        <w:t xml:space="preserve"> Furthermore, none of the potential substations that might be sited on these parcels would be in service before </w:t>
      </w:r>
      <w:r w:rsidR="007F1773">
        <w:t>January </w:t>
      </w:r>
      <w:r w:rsidR="006E2BB5">
        <w:t>1, 2027.</w:t>
      </w:r>
      <w:r w:rsidRPr="009550BB" w:rsidR="006E2BB5">
        <w:rPr>
          <w:rStyle w:val="FootnoteReference"/>
        </w:rPr>
        <w:footnoteReference w:id="80"/>
      </w:r>
      <w:r w:rsidR="006E2BB5">
        <w:t xml:space="preserve"> I</w:t>
      </w:r>
      <w:r w:rsidRPr="00431AC7" w:rsidR="006E2BB5">
        <w:t xml:space="preserve">n addition, </w:t>
      </w:r>
      <w:r w:rsidRPr="00431AC7" w:rsidR="006E2BB5">
        <w:lastRenderedPageBreak/>
        <w:t xml:space="preserve">TURN highlights </w:t>
      </w:r>
      <w:r w:rsidRPr="00431AC7" w:rsidR="112C261E">
        <w:t xml:space="preserve">that </w:t>
      </w:r>
      <w:r w:rsidRPr="00431AC7" w:rsidR="7DEB22DB">
        <w:t>the</w:t>
      </w:r>
      <w:r w:rsidRPr="00431AC7" w:rsidR="112C261E">
        <w:t xml:space="preserve"> </w:t>
      </w:r>
      <w:r w:rsidRPr="00431AC7" w:rsidR="006E2BB5">
        <w:t>Commission determined that land purchases by PG&amp;E are ineligible for recovery until the substation is actually serving load in PG&amp;E</w:t>
      </w:r>
      <w:r w:rsidR="00836A9E">
        <w:t>’</w:t>
      </w:r>
      <w:r w:rsidRPr="00431AC7" w:rsidR="006E2BB5">
        <w:t>s case.</w:t>
      </w:r>
      <w:r w:rsidRPr="009550BB" w:rsidR="005935CF">
        <w:rPr>
          <w:rStyle w:val="FootnoteReference"/>
        </w:rPr>
        <w:footnoteReference w:id="81"/>
      </w:r>
      <w:r w:rsidRPr="00431AC7" w:rsidR="006E2BB5">
        <w:t xml:space="preserve"> Consistent with that conclusion, </w:t>
      </w:r>
      <w:r w:rsidRPr="00431AC7" w:rsidR="04F771D1">
        <w:t>TURN asserts</w:t>
      </w:r>
      <w:r w:rsidRPr="00431AC7" w:rsidR="006E2BB5">
        <w:t>, SDG&amp;E</w:t>
      </w:r>
      <w:r w:rsidR="00836A9E">
        <w:t>’</w:t>
      </w:r>
      <w:r w:rsidRPr="00431AC7" w:rsidR="006E2BB5">
        <w:t>s request should be denied.</w:t>
      </w:r>
      <w:r w:rsidR="006E2BB5">
        <w:t xml:space="preserve"> Accordingly, TURN recommends not authorizing any funds to be allocated to land purchases, and for the Commission to direct SDG&amp;E to </w:t>
      </w:r>
      <w:r w:rsidR="00836A9E">
        <w:t>“</w:t>
      </w:r>
      <w:r w:rsidRPr="00EB3D00" w:rsidR="006E2BB5">
        <w:t>include any forecast for substation land purchases in its next GRC and provide more supporting information to allow the Commission to evaluate this spending.</w:t>
      </w:r>
      <w:r w:rsidR="00836A9E">
        <w:t>”</w:t>
      </w:r>
      <w:r w:rsidRPr="009550BB" w:rsidR="006E2BB5">
        <w:rPr>
          <w:rStyle w:val="FootnoteReference"/>
        </w:rPr>
        <w:footnoteReference w:id="82"/>
      </w:r>
      <w:r w:rsidR="006E2BB5">
        <w:t xml:space="preserve"> </w:t>
      </w:r>
      <w:r>
        <w:t>Cal Advoc</w:t>
      </w:r>
      <w:r w:rsidR="006E2BB5">
        <w:t>ates agrees.</w:t>
      </w:r>
      <w:r w:rsidRPr="009550BB" w:rsidR="006E2BB5">
        <w:rPr>
          <w:rStyle w:val="FootnoteReference"/>
        </w:rPr>
        <w:footnoteReference w:id="83"/>
      </w:r>
    </w:p>
    <w:p w:rsidRPr="009550BB" w:rsidR="006E2BB5" w:rsidP="00F67BCA" w:rsidRDefault="006E2BB5" w14:paraId="5AF84C55" w14:textId="5CA7962C">
      <w:pPr>
        <w:pStyle w:val="Standard"/>
      </w:pPr>
      <w:r>
        <w:t xml:space="preserve">SDG&amp;E disagrees with </w:t>
      </w:r>
      <w:r w:rsidR="00366301">
        <w:t>Cal Advoc</w:t>
      </w:r>
      <w:r>
        <w:t>ates</w:t>
      </w:r>
      <w:r w:rsidR="00836A9E">
        <w:t>’</w:t>
      </w:r>
      <w:r>
        <w:t xml:space="preserve"> and </w:t>
      </w:r>
      <w:proofErr w:type="spellStart"/>
      <w:r>
        <w:t>TURN</w:t>
      </w:r>
      <w:r w:rsidR="00836A9E">
        <w:t>’</w:t>
      </w:r>
      <w:r>
        <w:t>s</w:t>
      </w:r>
      <w:proofErr w:type="spellEnd"/>
      <w:r>
        <w:t xml:space="preserve"> positions, arguing that the full lifecycle of substation construction, from land acquisition to energization, is complicated and can involve highly variable timelines.</w:t>
      </w:r>
      <w:r w:rsidRPr="009550BB">
        <w:rPr>
          <w:rStyle w:val="FootnoteReference"/>
        </w:rPr>
        <w:footnoteReference w:id="84"/>
      </w:r>
      <w:r>
        <w:t xml:space="preserve"> SDG&amp;E argues that substations in urban areas can take longer than the average substation to permit and construct, and that </w:t>
      </w:r>
      <w:proofErr w:type="spellStart"/>
      <w:r>
        <w:t>TURN</w:t>
      </w:r>
      <w:r w:rsidR="00836A9E">
        <w:t>’</w:t>
      </w:r>
      <w:r>
        <w:t>s</w:t>
      </w:r>
      <w:proofErr w:type="spellEnd"/>
      <w:r>
        <w:t xml:space="preserve"> example of substation construction taking six years is based off only two data points.</w:t>
      </w:r>
      <w:r w:rsidRPr="009550BB">
        <w:rPr>
          <w:rStyle w:val="FootnoteReference"/>
        </w:rPr>
        <w:footnoteReference w:id="85"/>
      </w:r>
      <w:r w:rsidRPr="009550BB">
        <w:t xml:space="preserve"> SDG&amp;E, however, does not state whether the land it proposes to acquire is in urban areas, and does not provide any empirical evidence in support of its arguments.</w:t>
      </w:r>
      <w:r w:rsidRPr="009550BB" w:rsidR="2BC85C28">
        <w:t xml:space="preserve"> SDG&amp;E does not address why this case is different from PG&amp;E</w:t>
      </w:r>
      <w:r w:rsidR="00836A9E">
        <w:t>’</w:t>
      </w:r>
      <w:r w:rsidRPr="009550BB" w:rsidR="2BC85C28">
        <w:t xml:space="preserve">s </w:t>
      </w:r>
      <w:r w:rsidR="0040495F">
        <w:t>SB </w:t>
      </w:r>
      <w:r w:rsidRPr="009550BB" w:rsidR="2BC85C28">
        <w:t xml:space="preserve">410 decision which </w:t>
      </w:r>
      <w:r w:rsidRPr="009550BB" w:rsidR="005935CF">
        <w:t xml:space="preserve">only </w:t>
      </w:r>
      <w:r w:rsidRPr="009550BB" w:rsidR="00775BE9">
        <w:t xml:space="preserve">allowed </w:t>
      </w:r>
      <w:r w:rsidRPr="009550BB" w:rsidR="2BC85C28">
        <w:t xml:space="preserve">land costs </w:t>
      </w:r>
      <w:r w:rsidRPr="009550BB" w:rsidR="00775BE9">
        <w:t xml:space="preserve">for substations </w:t>
      </w:r>
      <w:r w:rsidRPr="009550BB" w:rsidR="003A727C">
        <w:t xml:space="preserve">placed in service before </w:t>
      </w:r>
      <w:r w:rsidR="007F1773">
        <w:t>January </w:t>
      </w:r>
      <w:r w:rsidRPr="009550BB" w:rsidR="003A727C">
        <w:t>1, 2027</w:t>
      </w:r>
      <w:r w:rsidRPr="009550BB" w:rsidR="2BC85C28">
        <w:t>.</w:t>
      </w:r>
    </w:p>
    <w:p w:rsidRPr="006E2BB5" w:rsidR="006E2BB5" w:rsidP="00F67BCA" w:rsidRDefault="00346B2A" w14:paraId="44505E86" w14:textId="621C9269">
      <w:pPr>
        <w:pStyle w:val="Standard"/>
      </w:pPr>
      <w:r w:rsidRPr="00FF7FDE">
        <w:t xml:space="preserve">This decision does not allow any Substation Land Acquisition cost forecasts to count toward the cap. SDG&amp;E’s need </w:t>
      </w:r>
      <w:r>
        <w:t>determination methodology is</w:t>
      </w:r>
      <w:r w:rsidRPr="00FF7FDE">
        <w:t xml:space="preserve"> </w:t>
      </w:r>
      <w:r w:rsidR="00E325A5">
        <w:t>unclear</w:t>
      </w:r>
      <w:r w:rsidRPr="00FF7FDE" w:rsidR="00E325A5">
        <w:t xml:space="preserve"> </w:t>
      </w:r>
      <w:r w:rsidRPr="00FF7FDE">
        <w:t xml:space="preserve">and its cost estimates are </w:t>
      </w:r>
      <w:r w:rsidR="001E60AE">
        <w:t>poorly justified</w:t>
      </w:r>
      <w:r>
        <w:t xml:space="preserve">, so the Commission is unable to </w:t>
      </w:r>
      <w:r>
        <w:lastRenderedPageBreak/>
        <w:t>evaluate the cost forecast</w:t>
      </w:r>
      <w:r w:rsidRPr="00FF7FDE">
        <w:t>.</w:t>
      </w:r>
      <w:r>
        <w:t xml:space="preserve"> SDG&amp;E does not tie its substation need forecasts to DPP outputs and SDG&amp;E does not provide a description of how it developed its land acquisition cost forecasts or what inputs went into that calculation. SDG&amp;E critiques TURN for estimating construction timelines using only two data points, but SDG&amp;E does not provide any historical data to justify its claims.</w:t>
      </w:r>
      <w:r w:rsidRPr="00FF7FDE">
        <w:t xml:space="preserve"> </w:t>
      </w:r>
      <w:r>
        <w:t>Additionally</w:t>
      </w:r>
      <w:r w:rsidRPr="00FF7FDE">
        <w:t>, SDG&amp;E gives no firm estimate of when the substations might come online</w:t>
      </w:r>
      <w:r>
        <w:t>, and no indication of the specific or general location in which those substations might be located</w:t>
      </w:r>
      <w:r w:rsidRPr="00FF7FDE">
        <w:t xml:space="preserve">; the only </w:t>
      </w:r>
      <w:r>
        <w:t xml:space="preserve">estimate SDG&amp;E provides is that the substations would not come online </w:t>
      </w:r>
      <w:r w:rsidRPr="00FF7FDE">
        <w:t>before December 31, 2026. SDG&amp;E’s land acquisition forecasts neither meet the requirements of SB 410 nor provide evidence to justify their inclusion in the caps</w:t>
      </w:r>
      <w:r w:rsidR="00363BF3">
        <w:t>.</w:t>
      </w:r>
    </w:p>
    <w:p w:rsidR="00522BA7" w:rsidP="00757F75" w:rsidRDefault="00522BA7" w14:paraId="56F2EBC8" w14:textId="25B8158F">
      <w:pPr>
        <w:pStyle w:val="Heading2"/>
      </w:pPr>
      <w:bookmarkStart w:name="_Toc212538543" w:id="40"/>
      <w:r>
        <w:t xml:space="preserve">New </w:t>
      </w:r>
      <w:r w:rsidRPr="00757F75">
        <w:t>Business</w:t>
      </w:r>
      <w:bookmarkEnd w:id="40"/>
    </w:p>
    <w:p w:rsidR="00D07517" w:rsidP="00757F75" w:rsidRDefault="00D07517" w14:paraId="365596F7" w14:textId="1F739F6D">
      <w:pPr>
        <w:pStyle w:val="Heading3"/>
      </w:pPr>
      <w:bookmarkStart w:name="_Toc212538544" w:id="41"/>
      <w:r w:rsidRPr="00757F75">
        <w:t>Category</w:t>
      </w:r>
      <w:r>
        <w:t xml:space="preserve"> Overview and</w:t>
      </w:r>
      <w:r w:rsidR="007F1680">
        <w:br/>
      </w:r>
      <w:r>
        <w:t>Drivers of Incremental Need</w:t>
      </w:r>
      <w:bookmarkEnd w:id="41"/>
    </w:p>
    <w:p w:rsidR="005D12BB" w:rsidP="00F67BCA" w:rsidRDefault="005D12BB" w14:paraId="15226E2E" w14:textId="76ACE45B">
      <w:pPr>
        <w:pStyle w:val="Standard"/>
      </w:pPr>
      <w:r>
        <w:t xml:space="preserve">SDG&amp;E describes the New Business category as costs </w:t>
      </w:r>
      <w:r w:rsidR="00836A9E">
        <w:t>“</w:t>
      </w:r>
      <w:r>
        <w:t>directly related to customer requests for service.</w:t>
      </w:r>
      <w:r w:rsidR="00836A9E">
        <w:t>”</w:t>
      </w:r>
      <w:r w:rsidRPr="009550BB">
        <w:rPr>
          <w:rStyle w:val="FootnoteReference"/>
        </w:rPr>
        <w:footnoteReference w:id="86"/>
      </w:r>
      <w:r>
        <w:t xml:space="preserve"> SDG&amp;E notes that some of </w:t>
      </w:r>
      <w:r w:rsidR="00E63976">
        <w:t xml:space="preserve">these costs will be partially funded by customers </w:t>
      </w:r>
      <w:r>
        <w:t>and clarifies that its capital requests are net of any expected revenues from customers.</w:t>
      </w:r>
      <w:r w:rsidRPr="009550BB">
        <w:rPr>
          <w:rStyle w:val="FootnoteReference"/>
        </w:rPr>
        <w:footnoteReference w:id="87"/>
      </w:r>
      <w:r>
        <w:t xml:space="preserve"> SDG&amp;E identifies California</w:t>
      </w:r>
      <w:r w:rsidR="00836A9E">
        <w:t>’</w:t>
      </w:r>
      <w:r>
        <w:t>s zero</w:t>
      </w:r>
      <w:r w:rsidR="00503215">
        <w:noBreakHyphen/>
      </w:r>
      <w:r>
        <w:t>emission goals as the main driver for an increase in customer demand for energization.</w:t>
      </w:r>
      <w:r w:rsidRPr="009550BB">
        <w:rPr>
          <w:rStyle w:val="FootnoteReference"/>
        </w:rPr>
        <w:footnoteReference w:id="88"/>
      </w:r>
      <w:r>
        <w:t xml:space="preserve"> SDG&amp;E also anticipates that an uptick in new housing developments coupled with </w:t>
      </w:r>
      <w:r w:rsidR="00F51AD4">
        <w:t>state</w:t>
      </w:r>
      <w:r w:rsidR="003D5256">
        <w:t>wide</w:t>
      </w:r>
      <w:r w:rsidR="00F51AD4">
        <w:t xml:space="preserve"> </w:t>
      </w:r>
      <w:r>
        <w:t>requirements for all</w:t>
      </w:r>
      <w:r w:rsidR="2C040268">
        <w:t>-</w:t>
      </w:r>
      <w:r w:rsidR="00503215">
        <w:noBreakHyphen/>
      </w:r>
      <w:r>
        <w:t>electric appliances in new construction will drive up demand for energization services.</w:t>
      </w:r>
      <w:r w:rsidRPr="009550BB">
        <w:rPr>
          <w:rStyle w:val="FootnoteReference"/>
        </w:rPr>
        <w:footnoteReference w:id="89"/>
      </w:r>
      <w:r>
        <w:t xml:space="preserve"> In support of </w:t>
      </w:r>
      <w:r>
        <w:lastRenderedPageBreak/>
        <w:t xml:space="preserve">this claim, SDG&amp;E notes that housing approvals in the city of </w:t>
      </w:r>
      <w:r w:rsidR="00C23EB9">
        <w:t>San </w:t>
      </w:r>
      <w:r>
        <w:t xml:space="preserve">Diego grew substantially from 2022 to 2023. SDG&amp;E also cites a report published in July 2024 by the Boston Consulting Group (BCG) stating that </w:t>
      </w:r>
      <w:r w:rsidR="00836A9E">
        <w:t>“</w:t>
      </w:r>
      <w:r>
        <w:t xml:space="preserve">electrification of the economy will drive a 75% increase in electricity demand, with half the load growth from 2020 to 2045 coming from the increase in </w:t>
      </w:r>
      <w:r w:rsidR="00043344">
        <w:t>[</w:t>
      </w:r>
      <w:r w:rsidR="00822ED0">
        <w:t>Zero Emission Vehicle</w:t>
      </w:r>
      <w:r w:rsidR="00043344">
        <w:t>]</w:t>
      </w:r>
      <w:r w:rsidR="00822ED0">
        <w:t xml:space="preserve"> </w:t>
      </w:r>
      <w:r>
        <w:t>stock alone.</w:t>
      </w:r>
      <w:r w:rsidR="00836A9E">
        <w:t>”</w:t>
      </w:r>
      <w:r w:rsidRPr="009550BB">
        <w:rPr>
          <w:rStyle w:val="FootnoteReference"/>
        </w:rPr>
        <w:footnoteReference w:id="90"/>
      </w:r>
      <w:r>
        <w:t xml:space="preserve"> SDG&amp;E later cites this report to support claims of higher transformer prices. </w:t>
      </w:r>
      <w:r w:rsidR="00366301">
        <w:t>Cal Advoc</w:t>
      </w:r>
      <w:r>
        <w:t>ates argues the BCG report does not justify SDG&amp;E</w:t>
      </w:r>
      <w:r w:rsidR="00836A9E">
        <w:t>’</w:t>
      </w:r>
      <w:r>
        <w:t>s requests, as the report is high</w:t>
      </w:r>
      <w:r w:rsidR="05755717">
        <w:t>-</w:t>
      </w:r>
      <w:r>
        <w:t>level, focused on the state as a whole, and does not provide the detailed information necessary to justify SDG&amp;E</w:t>
      </w:r>
      <w:r w:rsidR="00836A9E">
        <w:t>’</w:t>
      </w:r>
      <w:r>
        <w:t>s specific assertions.</w:t>
      </w:r>
      <w:r w:rsidRPr="009550BB">
        <w:rPr>
          <w:rStyle w:val="FootnoteReference"/>
        </w:rPr>
        <w:footnoteReference w:id="91"/>
      </w:r>
    </w:p>
    <w:p w:rsidRPr="005D12BB" w:rsidR="005D12BB" w:rsidP="00F67BCA" w:rsidRDefault="005D12BB" w14:paraId="594A5EC4" w14:textId="513B2301">
      <w:pPr>
        <w:pStyle w:val="Standard"/>
      </w:pPr>
      <w:r>
        <w:t xml:space="preserve">SDG&amp;E explains that the forecast of New Business capital requirements in its 2024 GRC was based on </w:t>
      </w:r>
      <w:r w:rsidR="001842FC">
        <w:t>three</w:t>
      </w:r>
      <w:r w:rsidR="00503215">
        <w:noBreakHyphen/>
      </w:r>
      <w:r>
        <w:t xml:space="preserve">year average historical spend, but actual spend has </w:t>
      </w:r>
      <w:r w:rsidR="00574A15">
        <w:t>exceeded</w:t>
      </w:r>
      <w:r>
        <w:t xml:space="preserve"> that allotment.</w:t>
      </w:r>
      <w:r w:rsidRPr="009550BB">
        <w:rPr>
          <w:rStyle w:val="FootnoteReference"/>
        </w:rPr>
        <w:footnoteReference w:id="92"/>
      </w:r>
      <w:r>
        <w:t xml:space="preserve"> SDG&amp;E claims that incremental, unanticipated need for energization services has driven SDG&amp;E to spend more on New Business energization than was allotted by recent </w:t>
      </w:r>
      <w:proofErr w:type="spellStart"/>
      <w:r>
        <w:t>GRCs</w:t>
      </w:r>
      <w:proofErr w:type="spellEnd"/>
      <w:r w:rsidR="007F1773">
        <w:t xml:space="preserve">:  </w:t>
      </w:r>
      <w:r>
        <w:t>SDG&amp;E</w:t>
      </w:r>
      <w:r w:rsidR="00836A9E">
        <w:t>’</w:t>
      </w:r>
      <w:r>
        <w:t>s actual New Business Spend exceeded its GRC</w:t>
      </w:r>
      <w:r w:rsidR="7FEE4F6C">
        <w:t>-</w:t>
      </w:r>
      <w:r>
        <w:t>authorized totals by</w:t>
      </w:r>
      <w:r w:rsidR="00757DE6">
        <w:t xml:space="preserve"> one </w:t>
      </w:r>
      <w:r w:rsidR="008A1F84">
        <w:t>percent</w:t>
      </w:r>
      <w:r>
        <w:t xml:space="preserve"> in 2022, 12</w:t>
      </w:r>
      <w:r w:rsidR="008A1F84">
        <w:t> percent</w:t>
      </w:r>
      <w:r>
        <w:t xml:space="preserve"> in 2023, and 16</w:t>
      </w:r>
      <w:r w:rsidR="008A1F84">
        <w:t> percent</w:t>
      </w:r>
      <w:r>
        <w:t xml:space="preserve"> in 2024.</w:t>
      </w:r>
      <w:r w:rsidRPr="009550BB">
        <w:rPr>
          <w:rStyle w:val="FootnoteReference"/>
        </w:rPr>
        <w:footnoteReference w:id="93"/>
      </w:r>
    </w:p>
    <w:p w:rsidR="007A2830" w:rsidP="00BB4B1B" w:rsidRDefault="007A2830" w14:paraId="51653298" w14:textId="1A5BC2EE">
      <w:pPr>
        <w:pStyle w:val="Heading3"/>
      </w:pPr>
      <w:bookmarkStart w:name="_Toc212538545" w:id="42"/>
      <w:r>
        <w:t xml:space="preserve">New Business </w:t>
      </w:r>
      <w:r w:rsidR="00312B9C">
        <w:t>Subcategories</w:t>
      </w:r>
      <w:r w:rsidR="00B91586">
        <w:t xml:space="preserve"> That Are Energization-Related</w:t>
      </w:r>
      <w:bookmarkEnd w:id="42"/>
    </w:p>
    <w:p w:rsidRPr="00FF7FDE" w:rsidR="00757743" w:rsidP="00F67BCA" w:rsidRDefault="001F351D" w14:paraId="7196A200" w14:textId="7D29A4B3">
      <w:r>
        <w:t>T</w:t>
      </w:r>
      <w:r w:rsidR="00757743">
        <w:t xml:space="preserve">he New Business category contains fourteen subcategories (i.e., workpapers); SDG&amp;E identifies nine of these subcategories as energization-related and uses those nine subcategories as the basis for its costs forecasts and </w:t>
      </w:r>
      <w:r w:rsidR="00757743">
        <w:lastRenderedPageBreak/>
        <w:t>calculations of GRC-authorized costs for 2024 through 2026.</w:t>
      </w:r>
      <w:r w:rsidR="00757743">
        <w:rPr>
          <w:rStyle w:val="FootnoteReference"/>
        </w:rPr>
        <w:footnoteReference w:id="94"/>
      </w:r>
      <w:r w:rsidR="00757743">
        <w:t xml:space="preserve"> </w:t>
      </w:r>
      <w:r w:rsidRPr="00FF7FDE" w:rsidR="00757743">
        <w:t xml:space="preserve">TURN </w:t>
      </w:r>
      <w:r w:rsidR="00757743">
        <w:t xml:space="preserve">argues </w:t>
      </w:r>
      <w:r w:rsidRPr="00FF7FDE" w:rsidR="00757743">
        <w:t xml:space="preserve">that SDG&amp;E </w:t>
      </w:r>
      <w:r w:rsidR="00757743">
        <w:t>was inconsistent in how it determined which subcategories of the New Business were energization-related; if the logic that SDG&amp;E claims it used were applied consistently to all the subcategories within New Business, TURN argues, SDG&amp;E’s forecasted incremental need (i.e., the size of the cap) would be reduced</w:t>
      </w:r>
      <w:r w:rsidRPr="00FF7FDE" w:rsidR="00757743">
        <w:t>.</w:t>
      </w:r>
      <w:r w:rsidRPr="00FF7FDE" w:rsidR="00757743">
        <w:rPr>
          <w:rStyle w:val="FootnoteReference"/>
        </w:rPr>
        <w:footnoteReference w:id="95"/>
      </w:r>
      <w:r w:rsidRPr="00FF7FDE" w:rsidR="00757743">
        <w:t xml:space="preserve"> </w:t>
      </w:r>
      <w:r w:rsidR="00757743">
        <w:t>SDG&amp;E stated that it did not consider subcategories to be energization-related if they included conversion work, TURN argues, but two of the subcategories SDG&amp;E deemed to be energization-related (</w:t>
      </w:r>
      <w:r w:rsidRPr="00FF7FDE" w:rsidR="00757743">
        <w:t xml:space="preserve">Electric Distribution Easements and Customer Requested Upgrades </w:t>
      </w:r>
      <w:r w:rsidR="00757743">
        <w:t xml:space="preserve">&amp; </w:t>
      </w:r>
      <w:r w:rsidRPr="00FF7FDE" w:rsidR="00757743">
        <w:t>Services</w:t>
      </w:r>
      <w:r w:rsidR="00757743">
        <w:t>) included conversions, rearrangements, or removals of equipment. TURN argues that, to ensure SDG&amp;E’s logic is applied consistently, those subcategories should not be counted toward any cap</w:t>
      </w:r>
      <w:r w:rsidRPr="00FF7FDE" w:rsidR="00757743">
        <w:t>.</w:t>
      </w:r>
      <w:r w:rsidRPr="00FF7FDE" w:rsidR="00757743">
        <w:rPr>
          <w:rStyle w:val="FootnoteReference"/>
        </w:rPr>
        <w:footnoteReference w:id="96"/>
      </w:r>
      <w:r w:rsidRPr="00FF7FDE" w:rsidR="00757743">
        <w:t xml:space="preserve"> </w:t>
      </w:r>
      <w:r w:rsidR="00757743">
        <w:t xml:space="preserve">TURN first raised this issue in its Intervenor Testimony, but SDG&amp;E did not address this issue in its Rebuttal Testimony. TURN reiterated its argument in its Opening Brief and explicitly noted that </w:t>
      </w:r>
      <w:r w:rsidRPr="00FF7FDE" w:rsidR="00757743">
        <w:t>SDG&amp;E</w:t>
      </w:r>
      <w:r w:rsidR="00757743">
        <w:t xml:space="preserve"> had not addressed this issue in its Rebuttal Testimony, but SDG&amp;E again chose not to respond in its Reply Brief.</w:t>
      </w:r>
    </w:p>
    <w:p w:rsidRPr="000A1F91" w:rsidR="00F552C7" w:rsidP="00F67BCA" w:rsidRDefault="00BE5083" w14:paraId="08C5F28F" w14:textId="07C18FE1">
      <w:pPr>
        <w:pStyle w:val="Standard"/>
      </w:pPr>
      <w:r>
        <w:t xml:space="preserve">TURN </w:t>
      </w:r>
      <w:r w:rsidR="00AE7553">
        <w:t>argues</w:t>
      </w:r>
      <w:r>
        <w:t xml:space="preserve"> that SDG&amp;E did not consistently apply the same logic when deciding whether to exclude a given </w:t>
      </w:r>
      <w:r w:rsidR="00AE7553">
        <w:t>subcategory</w:t>
      </w:r>
      <w:r>
        <w:t>.</w:t>
      </w:r>
      <w:r w:rsidRPr="00074DBF" w:rsidR="00074DBF">
        <w:t xml:space="preserve"> In essence, TURN argues that </w:t>
      </w:r>
      <w:r w:rsidR="003B7FAA">
        <w:t xml:space="preserve">even though </w:t>
      </w:r>
      <w:r w:rsidRPr="00074DBF" w:rsidR="00074DBF">
        <w:t>SDG&amp;E stated it did not consider subcategories with conversion work to be energization-related, SDG&amp;E included two subcategories with conversion work in its request.</w:t>
      </w:r>
      <w:r w:rsidRPr="00FF7FDE" w:rsidR="0059166E">
        <w:rPr>
          <w:rStyle w:val="FootnoteReference"/>
        </w:rPr>
        <w:footnoteReference w:id="97"/>
      </w:r>
      <w:r w:rsidRPr="00FF7FDE" w:rsidR="0059166E">
        <w:t xml:space="preserve"> </w:t>
      </w:r>
      <w:r w:rsidRPr="00074DBF" w:rsidR="00074DBF">
        <w:t xml:space="preserve"> </w:t>
      </w:r>
      <w:r>
        <w:t xml:space="preserve">SDG&amp;E, in remaining silent in </w:t>
      </w:r>
      <w:r w:rsidR="00981A08">
        <w:t xml:space="preserve">response to </w:t>
      </w:r>
      <w:proofErr w:type="spellStart"/>
      <w:r w:rsidR="00981A08">
        <w:t>TURN’s</w:t>
      </w:r>
      <w:proofErr w:type="spellEnd"/>
      <w:r w:rsidR="00981A08">
        <w:t xml:space="preserve"> arguments</w:t>
      </w:r>
      <w:r>
        <w:t xml:space="preserve">, did not present any alternative framework that would </w:t>
      </w:r>
      <w:r>
        <w:lastRenderedPageBreak/>
        <w:t>justify including the Electric Distribution Easements and Customer Requested Upgrades &amp; Services subcategories even though they include conversions, rearrangements, or removals of equipment.</w:t>
      </w:r>
      <w:r w:rsidR="00981A08">
        <w:t xml:space="preserve"> </w:t>
      </w:r>
      <w:r w:rsidRPr="00C40DBC" w:rsidR="00C40DBC">
        <w:t xml:space="preserve">These activities generally modify existing services and are not directly tied to energizing new or upgraded customer connections. </w:t>
      </w:r>
      <w:r>
        <w:t>A</w:t>
      </w:r>
      <w:r w:rsidR="00981A08">
        <w:t xml:space="preserve">ccordingly, </w:t>
      </w:r>
      <w:r w:rsidRPr="00D94DF1" w:rsidR="00757743">
        <w:t xml:space="preserve">this decision adopts </w:t>
      </w:r>
      <w:proofErr w:type="spellStart"/>
      <w:r w:rsidRPr="00D94DF1" w:rsidR="00757743">
        <w:t>TURN’s</w:t>
      </w:r>
      <w:proofErr w:type="spellEnd"/>
      <w:r w:rsidRPr="00D94DF1" w:rsidR="00757743">
        <w:t xml:space="preserve"> proposal to </w:t>
      </w:r>
      <w:r>
        <w:t xml:space="preserve">apply SDG&amp;E’s proposed criteria to </w:t>
      </w:r>
      <w:r w:rsidRPr="00D94DF1" w:rsidR="00757743">
        <w:t xml:space="preserve">the </w:t>
      </w:r>
      <w:bookmarkStart w:name="_Hlk207556687" w:id="43"/>
      <w:r w:rsidRPr="00D94DF1" w:rsidR="00757743">
        <w:t xml:space="preserve">Electric Distribution Easements and Customer Requested Upgrades &amp; Services subcategories </w:t>
      </w:r>
      <w:bookmarkEnd w:id="43"/>
      <w:r>
        <w:t>and therefore exclude them</w:t>
      </w:r>
      <w:r>
        <w:t xml:space="preserve"> </w:t>
      </w:r>
      <w:r w:rsidRPr="00D94DF1" w:rsidR="00757743">
        <w:t>when calculating the New Business Category’s contribution to the cap. SDG&amp;E</w:t>
      </w:r>
      <w:r w:rsidRPr="001F079E" w:rsidR="00757743">
        <w:t xml:space="preserve">’s cost cap forecasts, which included those two subcategories, were for </w:t>
      </w:r>
      <w:r w:rsidRPr="00D94DF1" w:rsidR="00757743">
        <w:t>$</w:t>
      </w:r>
      <w:r w:rsidRPr="001F079E" w:rsidR="00757743">
        <w:t>10.837</w:t>
      </w:r>
      <w:r w:rsidRPr="00D94DF1" w:rsidR="00757743">
        <w:t xml:space="preserve"> million in 2024, $</w:t>
      </w:r>
      <w:r w:rsidRPr="001F079E" w:rsidR="00757743">
        <w:t>19.094</w:t>
      </w:r>
      <w:r w:rsidRPr="00D94DF1" w:rsidR="00757743">
        <w:t xml:space="preserve"> million in 2025, and $</w:t>
      </w:r>
      <w:r w:rsidRPr="001F079E" w:rsidR="00757743">
        <w:t>28.603</w:t>
      </w:r>
      <w:r w:rsidRPr="00D94DF1" w:rsidR="00757743">
        <w:t xml:space="preserve"> million in 2026. </w:t>
      </w:r>
      <w:r w:rsidRPr="001F079E" w:rsidR="00757743">
        <w:t xml:space="preserve">Together, the cost forecasts for </w:t>
      </w:r>
      <w:r w:rsidRPr="00D94DF1" w:rsidR="00757743">
        <w:t xml:space="preserve">Electric Distribution Easements and Customer Requested Upgrades &amp; Services subcategories were $5.610 million in 2024, $8.346 million in 2025, and $11.430 million in 2026. </w:t>
      </w:r>
      <w:proofErr w:type="spellStart"/>
      <w:r w:rsidRPr="00D94DF1" w:rsidR="00757743">
        <w:t>TURN’s</w:t>
      </w:r>
      <w:proofErr w:type="spellEnd"/>
      <w:r w:rsidRPr="00D94DF1" w:rsidR="00757743">
        <w:t xml:space="preserve"> unrefuted assumption is that </w:t>
      </w:r>
      <w:r w:rsidRPr="001F079E" w:rsidR="00757743">
        <w:t>those two subcategories should be removed from SDG&amp;E’s forecast</w:t>
      </w:r>
      <w:r w:rsidRPr="00D94DF1" w:rsidR="00757743">
        <w:t xml:space="preserve">; accordingly, </w:t>
      </w:r>
      <w:r w:rsidR="00A86342">
        <w:t xml:space="preserve">from this point forward, </w:t>
      </w:r>
      <w:r w:rsidRPr="00D94DF1" w:rsidR="00757743">
        <w:t xml:space="preserve">this decision </w:t>
      </w:r>
      <w:r w:rsidR="00A86342">
        <w:t>considers SDG&amp;E</w:t>
      </w:r>
      <w:r w:rsidR="008828D0">
        <w:t xml:space="preserve"> to have recorded</w:t>
      </w:r>
      <w:r w:rsidR="00A86342">
        <w:t xml:space="preserve"> </w:t>
      </w:r>
      <w:r w:rsidRPr="00D94DF1" w:rsidR="00757743">
        <w:t>$</w:t>
      </w:r>
      <w:r w:rsidRPr="001F079E" w:rsidR="00757743">
        <w:t>5.227</w:t>
      </w:r>
      <w:r w:rsidRPr="00D94DF1" w:rsidR="00757743">
        <w:t xml:space="preserve"> million </w:t>
      </w:r>
      <w:r w:rsidR="008828D0">
        <w:t xml:space="preserve">of actual spend </w:t>
      </w:r>
      <w:r w:rsidRPr="00D94DF1" w:rsidR="00757743">
        <w:t>in 2024</w:t>
      </w:r>
      <w:r w:rsidR="008828D0">
        <w:t xml:space="preserve"> and have </w:t>
      </w:r>
      <w:r w:rsidR="001E302C">
        <w:t xml:space="preserve">incremental </w:t>
      </w:r>
      <w:r w:rsidR="008828D0">
        <w:t>cost forecasts of</w:t>
      </w:r>
      <w:r w:rsidRPr="00D94DF1" w:rsidR="00757743">
        <w:t xml:space="preserve"> $</w:t>
      </w:r>
      <w:r w:rsidR="00D40E93">
        <w:t>8.949</w:t>
      </w:r>
      <w:r w:rsidR="00D40E93">
        <w:t xml:space="preserve"> </w:t>
      </w:r>
      <w:r w:rsidRPr="00D94DF1" w:rsidR="00757743">
        <w:t>million in 2025 and $</w:t>
      </w:r>
      <w:r w:rsidRPr="001F079E" w:rsidR="00757743">
        <w:t>1</w:t>
      </w:r>
      <w:r w:rsidR="00D40E93">
        <w:t>3.130</w:t>
      </w:r>
      <w:r w:rsidRPr="00D94DF1" w:rsidR="00757743">
        <w:t xml:space="preserve"> million in 2026</w:t>
      </w:r>
      <w:r w:rsidR="008828D0">
        <w:t xml:space="preserve"> for the New Business Category</w:t>
      </w:r>
      <w:r w:rsidRPr="000A1F91" w:rsidR="00294EE7">
        <w:t>.</w:t>
      </w:r>
      <w:r w:rsidR="001E302C">
        <w:t xml:space="preserve"> </w:t>
      </w:r>
      <w:r w:rsidR="00CE3DDC">
        <w:t>By the same methodology</w:t>
      </w:r>
      <w:r w:rsidR="00C514F6">
        <w:t xml:space="preserve">, SDG&amp;E’s total </w:t>
      </w:r>
      <w:r w:rsidR="00CE3DDC">
        <w:t xml:space="preserve">actual spend in 2024 </w:t>
      </w:r>
      <w:r w:rsidR="00C514F6">
        <w:t>is revised to $</w:t>
      </w:r>
      <w:r w:rsidRPr="00C514F6" w:rsidR="00C514F6">
        <w:t>53</w:t>
      </w:r>
      <w:r w:rsidR="00C514F6">
        <w:t>.</w:t>
      </w:r>
      <w:r w:rsidRPr="00C514F6" w:rsidR="00C514F6">
        <w:t>242</w:t>
      </w:r>
      <w:r w:rsidR="00C514F6">
        <w:t xml:space="preserve"> million, </w:t>
      </w:r>
      <w:r w:rsidR="00CE3DDC">
        <w:t>and its cost forecasts for 2025 and 2026 are revised to $</w:t>
      </w:r>
      <w:r w:rsidRPr="00C514F6" w:rsidR="00C514F6">
        <w:t>60</w:t>
      </w:r>
      <w:r w:rsidR="00CE3DDC">
        <w:t>.</w:t>
      </w:r>
      <w:r w:rsidRPr="00C514F6" w:rsidR="00C514F6">
        <w:t>205</w:t>
      </w:r>
      <w:r w:rsidR="00B51938">
        <w:t xml:space="preserve"> </w:t>
      </w:r>
      <w:r w:rsidR="00CE3DDC">
        <w:t>million and $</w:t>
      </w:r>
      <w:r w:rsidRPr="00C514F6" w:rsidR="00C514F6">
        <w:t>68</w:t>
      </w:r>
      <w:r w:rsidR="00CE3DDC">
        <w:t>.</w:t>
      </w:r>
      <w:r w:rsidRPr="00C514F6" w:rsidR="00C514F6">
        <w:t>115</w:t>
      </w:r>
      <w:r w:rsidR="00CE3DDC">
        <w:t xml:space="preserve"> million, respectively</w:t>
      </w:r>
      <w:r w:rsidR="00B51938">
        <w:t xml:space="preserve">; similarly, its calculation of GRC-authorized spend in the New Business Category is reduced to </w:t>
      </w:r>
      <w:r w:rsidR="0052165A">
        <w:t>$</w:t>
      </w:r>
      <w:r w:rsidRPr="0052165A" w:rsidR="0052165A">
        <w:t>48</w:t>
      </w:r>
      <w:r w:rsidR="0052165A">
        <w:t>.</w:t>
      </w:r>
      <w:r w:rsidRPr="0052165A" w:rsidR="0052165A">
        <w:t>015</w:t>
      </w:r>
      <w:r w:rsidR="0052165A">
        <w:t xml:space="preserve"> million in 2024, $</w:t>
      </w:r>
      <w:r w:rsidRPr="0052165A" w:rsidR="0052165A">
        <w:t>49</w:t>
      </w:r>
      <w:r w:rsidR="0052165A">
        <w:t>.</w:t>
      </w:r>
      <w:r w:rsidRPr="0052165A" w:rsidR="0052165A">
        <w:t>457</w:t>
      </w:r>
      <w:r w:rsidR="0052165A">
        <w:t xml:space="preserve"> million in 2025, and $</w:t>
      </w:r>
      <w:r w:rsidRPr="0052165A" w:rsidR="0052165A">
        <w:t>50</w:t>
      </w:r>
      <w:r w:rsidR="0052165A">
        <w:t>.</w:t>
      </w:r>
      <w:r w:rsidRPr="0052165A" w:rsidR="0052165A">
        <w:t>942</w:t>
      </w:r>
      <w:r w:rsidR="0052165A">
        <w:t xml:space="preserve"> million in 2026.</w:t>
      </w:r>
    </w:p>
    <w:p w:rsidR="00D07517" w:rsidP="00BB4B1B" w:rsidRDefault="00D07517" w14:paraId="22DCC5CC" w14:textId="01C3D8EA">
      <w:pPr>
        <w:pStyle w:val="Heading3"/>
      </w:pPr>
      <w:bookmarkStart w:name="_Toc212538546" w:id="44"/>
      <w:r>
        <w:t>Forecast Methodology</w:t>
      </w:r>
      <w:bookmarkEnd w:id="44"/>
    </w:p>
    <w:p w:rsidR="00C07836" w:rsidP="00F67BCA" w:rsidRDefault="00C07836" w14:paraId="76D11347" w14:textId="61C1626E">
      <w:pPr>
        <w:pStyle w:val="Standard"/>
      </w:pPr>
      <w:r>
        <w:t>SDG&amp;E</w:t>
      </w:r>
      <w:r w:rsidR="001059AD">
        <w:t>’s</w:t>
      </w:r>
      <w:r>
        <w:t xml:space="preserve"> direct testimony asserts that SDG&amp;E developed its New Business cost forecast by using actual spend for 2024, then escalating those costs by </w:t>
      </w:r>
      <w:r>
        <w:lastRenderedPageBreak/>
        <w:t>10</w:t>
      </w:r>
      <w:r w:rsidR="008A1F84">
        <w:t> percent</w:t>
      </w:r>
      <w:r>
        <w:t xml:space="preserve"> each year for 2025 and 2026.</w:t>
      </w:r>
      <w:r w:rsidRPr="009550BB">
        <w:rPr>
          <w:rStyle w:val="FootnoteReference"/>
        </w:rPr>
        <w:footnoteReference w:id="98"/>
      </w:r>
      <w:r>
        <w:t xml:space="preserve"> SDG&amp;E</w:t>
      </w:r>
      <w:r w:rsidR="00836A9E">
        <w:t>’</w:t>
      </w:r>
      <w:r>
        <w:t>s direct testimony</w:t>
      </w:r>
      <w:r w:rsidR="00836A9E">
        <w:t>’</w:t>
      </w:r>
      <w:r>
        <w:t xml:space="preserve">s only explanation of this escalation rate is that it is </w:t>
      </w:r>
      <w:r w:rsidR="00836A9E">
        <w:t>“</w:t>
      </w:r>
      <w:r>
        <w:t>based on increased customer demand for energization, as well as a continued increase in the costs for labor and materials.</w:t>
      </w:r>
      <w:r w:rsidR="00836A9E">
        <w:t>”</w:t>
      </w:r>
      <w:r w:rsidRPr="009550BB">
        <w:rPr>
          <w:rStyle w:val="FootnoteReference"/>
        </w:rPr>
        <w:footnoteReference w:id="99"/>
      </w:r>
      <w:r>
        <w:t xml:space="preserve"> SDG&amp;E later clarified that it actually escalated the costs by approximately 13</w:t>
      </w:r>
      <w:r w:rsidR="008A1F84">
        <w:t> percent</w:t>
      </w:r>
      <w:r>
        <w:t xml:space="preserve"> per year, though this fact was not stated in its direct testimony; SDG&amp;E chose 13</w:t>
      </w:r>
      <w:r w:rsidR="008A1F84">
        <w:t> percent</w:t>
      </w:r>
      <w:r>
        <w:t xml:space="preserve"> by adding its 10</w:t>
      </w:r>
      <w:r w:rsidR="008A1F84">
        <w:t> percent</w:t>
      </w:r>
      <w:r>
        <w:t xml:space="preserve"> forecasted </w:t>
      </w:r>
      <w:r w:rsidR="00836A9E">
        <w:t>“</w:t>
      </w:r>
      <w:r>
        <w:t>real growth rate</w:t>
      </w:r>
      <w:r w:rsidR="00836A9E">
        <w:t>”</w:t>
      </w:r>
      <w:r>
        <w:t xml:space="preserve"> to a</w:t>
      </w:r>
      <w:r w:rsidR="00757DE6">
        <w:t xml:space="preserve"> </w:t>
      </w:r>
      <w:r w:rsidR="009D67A9">
        <w:t xml:space="preserve">3 </w:t>
      </w:r>
      <w:r w:rsidR="008A1F84">
        <w:t>percent</w:t>
      </w:r>
      <w:r>
        <w:t xml:space="preserve"> general inflation adder.</w:t>
      </w:r>
      <w:r w:rsidRPr="009550BB">
        <w:rPr>
          <w:rStyle w:val="FootnoteReference"/>
        </w:rPr>
        <w:footnoteReference w:id="100"/>
      </w:r>
      <w:r w:rsidRPr="00575C1A" w:rsidR="00575C1A">
        <w:t xml:space="preserve"> </w:t>
      </w:r>
      <w:r w:rsidR="00575C1A">
        <w:t>SDG&amp;E states it chose the 3 percent inflation adder for consistency with its 2024 GRC.</w:t>
      </w:r>
      <w:r w:rsidR="00575C1A">
        <w:rPr>
          <w:rStyle w:val="FootnoteReference"/>
        </w:rPr>
        <w:footnoteReference w:id="101"/>
      </w:r>
    </w:p>
    <w:p w:rsidR="00C07836" w:rsidP="00F67BCA" w:rsidRDefault="00C07836" w14:paraId="4DDD8BBE" w14:textId="69556019">
      <w:pPr>
        <w:pStyle w:val="Standard"/>
      </w:pPr>
      <w:r>
        <w:t>SDG&amp;E states that it set the growth rate at 13</w:t>
      </w:r>
      <w:r w:rsidR="008A1F84">
        <w:t> percent</w:t>
      </w:r>
      <w:r>
        <w:t xml:space="preserve"> by considering two trends</w:t>
      </w:r>
      <w:r w:rsidR="007F1773">
        <w:t xml:space="preserve">:  </w:t>
      </w:r>
      <w:r>
        <w:t>first, the actual expenditures on New Business projects</w:t>
      </w:r>
      <w:r w:rsidR="005C3A72">
        <w:t xml:space="preserve"> grew by an average of 15</w:t>
      </w:r>
      <w:r w:rsidR="008A1F84">
        <w:t> percent</w:t>
      </w:r>
      <w:r w:rsidR="005C3A72">
        <w:t xml:space="preserve"> </w:t>
      </w:r>
      <w:r w:rsidR="00323756">
        <w:t>per year from 2020 to 202</w:t>
      </w:r>
      <w:r w:rsidR="005F5C5D">
        <w:t>3</w:t>
      </w:r>
      <w:r>
        <w:t xml:space="preserve">; second, </w:t>
      </w:r>
      <w:r w:rsidR="00EB46D0">
        <w:t>SDG&amp;E</w:t>
      </w:r>
      <w:r w:rsidR="00836A9E">
        <w:t>’</w:t>
      </w:r>
      <w:r w:rsidR="00EB46D0">
        <w:t xml:space="preserve">s actual expenditures </w:t>
      </w:r>
      <w:r>
        <w:t xml:space="preserve">on New Business </w:t>
      </w:r>
      <w:r w:rsidR="000F4E06">
        <w:t xml:space="preserve">projects </w:t>
      </w:r>
      <w:r>
        <w:t xml:space="preserve">exceeded the </w:t>
      </w:r>
      <w:r w:rsidR="000F4E06">
        <w:t>GRC</w:t>
      </w:r>
      <w:r w:rsidR="00503215">
        <w:noBreakHyphen/>
      </w:r>
      <w:r>
        <w:t xml:space="preserve">authorized </w:t>
      </w:r>
      <w:r w:rsidR="000F4E06">
        <w:t xml:space="preserve">amounts by </w:t>
      </w:r>
      <w:r w:rsidR="008A1F84">
        <w:t>one percent</w:t>
      </w:r>
      <w:r w:rsidR="000F4E06">
        <w:t xml:space="preserve"> in 20</w:t>
      </w:r>
      <w:r w:rsidR="00A8588D">
        <w:t>22, 12</w:t>
      </w:r>
      <w:r w:rsidR="008A1F84">
        <w:t> percent</w:t>
      </w:r>
      <w:r w:rsidR="00A8588D">
        <w:t xml:space="preserve"> in 2023, and 16</w:t>
      </w:r>
      <w:r w:rsidR="008A1F84">
        <w:t> percent</w:t>
      </w:r>
      <w:r w:rsidR="00A8588D">
        <w:t xml:space="preserve"> in 2024</w:t>
      </w:r>
      <w:r>
        <w:t>.</w:t>
      </w:r>
      <w:r w:rsidRPr="009550BB">
        <w:rPr>
          <w:rStyle w:val="FootnoteReference"/>
        </w:rPr>
        <w:footnoteReference w:id="102"/>
      </w:r>
      <w:r>
        <w:t xml:space="preserve"> SDG&amp;E does not explain how it chose </w:t>
      </w:r>
      <w:r w:rsidR="008A1F84">
        <w:t>three percent</w:t>
      </w:r>
      <w:r>
        <w:t xml:space="preserve"> for inflation </w:t>
      </w:r>
      <w:r w:rsidR="7E108A27">
        <w:t>adder</w:t>
      </w:r>
      <w:r>
        <w:t>; furthermore, SDG&amp;E did not explain why the 10</w:t>
      </w:r>
      <w:r w:rsidR="008A1F84">
        <w:t> percent</w:t>
      </w:r>
      <w:r>
        <w:t xml:space="preserve"> cost increase represented real costs (as opposed to nominal costs that include inflation) when they were derived from nominal expenditures.</w:t>
      </w:r>
    </w:p>
    <w:p w:rsidR="0022657D" w:rsidP="00F67BCA" w:rsidRDefault="00366301" w14:paraId="20293874" w14:textId="4322C23C">
      <w:pPr>
        <w:pStyle w:val="Standard"/>
      </w:pPr>
      <w:r>
        <w:t>Cal Advoc</w:t>
      </w:r>
      <w:r w:rsidR="0022657D">
        <w:t>ates and TURN argue that SDG&amp;E</w:t>
      </w:r>
      <w:r w:rsidR="00836A9E">
        <w:t>’</w:t>
      </w:r>
      <w:r w:rsidR="0022657D">
        <w:t>s escalation calculation is flawed and should not be adopted. SDG&amp;E</w:t>
      </w:r>
      <w:r w:rsidR="00836A9E">
        <w:t>’</w:t>
      </w:r>
      <w:r w:rsidR="0022657D">
        <w:t>s calculation of 15</w:t>
      </w:r>
      <w:r w:rsidR="008A1F84">
        <w:t> percent</w:t>
      </w:r>
      <w:r w:rsidR="0022657D">
        <w:t xml:space="preserve"> average year</w:t>
      </w:r>
      <w:r w:rsidR="72129F89">
        <w:t>-</w:t>
      </w:r>
      <w:r w:rsidR="0022657D">
        <w:t>over</w:t>
      </w:r>
      <w:r w:rsidR="182AFFD3">
        <w:t>-</w:t>
      </w:r>
      <w:r w:rsidR="0022657D">
        <w:t>year growth in actual spend includes 2020</w:t>
      </w:r>
      <w:r w:rsidR="00503215">
        <w:noBreakHyphen/>
      </w:r>
      <w:r w:rsidR="0022657D">
        <w:t xml:space="preserve">2021, a highly anomalous </w:t>
      </w:r>
      <w:r w:rsidR="0022657D">
        <w:lastRenderedPageBreak/>
        <w:t>year due to the COVID pandemic.</w:t>
      </w:r>
      <w:r w:rsidRPr="009550BB" w:rsidR="0022657D">
        <w:rPr>
          <w:rStyle w:val="FootnoteReference"/>
        </w:rPr>
        <w:footnoteReference w:id="103"/>
      </w:r>
      <w:r w:rsidR="0022657D">
        <w:t xml:space="preserve"> If the calculation is narrowed to 2021</w:t>
      </w:r>
      <w:r w:rsidR="27EE58DF">
        <w:t>-</w:t>
      </w:r>
      <w:r w:rsidR="00503215">
        <w:noBreakHyphen/>
      </w:r>
      <w:r w:rsidR="0022657D">
        <w:t>2024, the average annual change drops to 9.7</w:t>
      </w:r>
      <w:r w:rsidR="008A1F84">
        <w:t> percent</w:t>
      </w:r>
      <w:r w:rsidR="0022657D">
        <w:t>. Accordingly, TURN recommends the Commission adopt an escalation rate no higher than 9.7</w:t>
      </w:r>
      <w:r w:rsidR="008A1F84">
        <w:t> percent</w:t>
      </w:r>
      <w:r w:rsidR="0022657D">
        <w:t xml:space="preserve"> per year.</w:t>
      </w:r>
      <w:r w:rsidRPr="009550BB" w:rsidR="0022657D">
        <w:rPr>
          <w:rStyle w:val="FootnoteReference"/>
        </w:rPr>
        <w:footnoteReference w:id="104"/>
      </w:r>
      <w:r w:rsidR="0022657D">
        <w:t xml:space="preserve"> </w:t>
      </w:r>
      <w:r w:rsidRPr="009A3934" w:rsidR="0022657D">
        <w:t>The actual energization requests and backlogs are stable since 2022 (2,505 completed in 2024 v</w:t>
      </w:r>
      <w:r w:rsidR="00B271DF">
        <w:t>ersus</w:t>
      </w:r>
      <w:r w:rsidRPr="009A3934" w:rsidR="0022657D">
        <w:t xml:space="preserve"> 2,535 in 2022) contradicting claims of growth pressure and the backlog of energization declined by 1.5</w:t>
      </w:r>
      <w:r w:rsidR="008A1F84">
        <w:t> percent</w:t>
      </w:r>
      <w:r w:rsidRPr="009A3934" w:rsidR="0022657D">
        <w:t xml:space="preserve"> (4,011 applications in 2023</w:t>
      </w:r>
      <w:r w:rsidR="006150C0">
        <w:t xml:space="preserve"> versus </w:t>
      </w:r>
      <w:r w:rsidRPr="009A3934" w:rsidR="0022657D">
        <w:t>3</w:t>
      </w:r>
      <w:r w:rsidR="001141A9">
        <w:t>,</w:t>
      </w:r>
      <w:r w:rsidRPr="009A3934" w:rsidR="0022657D">
        <w:t>951 applications in 2024).</w:t>
      </w:r>
      <w:r w:rsidRPr="009550BB" w:rsidR="0022657D">
        <w:rPr>
          <w:rStyle w:val="FootnoteReference"/>
        </w:rPr>
        <w:footnoteReference w:id="105"/>
      </w:r>
      <w:r w:rsidR="0022657D">
        <w:t xml:space="preserve"> TURN further notes that customers have been deferring their energization requests at an increasing rate, another factor arguing for lower growth rates.</w:t>
      </w:r>
      <w:r w:rsidRPr="009550BB" w:rsidR="0022657D">
        <w:rPr>
          <w:rStyle w:val="FootnoteReference"/>
        </w:rPr>
        <w:footnoteReference w:id="106"/>
      </w:r>
      <w:r w:rsidR="0022657D">
        <w:t xml:space="preserve"> </w:t>
      </w:r>
      <w:r>
        <w:t>Cal Advoc</w:t>
      </w:r>
      <w:r w:rsidR="0022657D">
        <w:t>ates also takes issue with the 13</w:t>
      </w:r>
      <w:r w:rsidR="008A1F84">
        <w:t> percent</w:t>
      </w:r>
      <w:r w:rsidR="0022657D">
        <w:t xml:space="preserve"> escalator and notes that SDG&amp;E</w:t>
      </w:r>
      <w:r w:rsidR="00836A9E">
        <w:t>’</w:t>
      </w:r>
      <w:r w:rsidR="0022657D">
        <w:t>s 2024 GRC escalated costs in 2025 and 2026 based on a CPI inflation index.</w:t>
      </w:r>
      <w:r w:rsidRPr="009550BB" w:rsidR="0022657D">
        <w:rPr>
          <w:rStyle w:val="FootnoteReference"/>
        </w:rPr>
        <w:footnoteReference w:id="107"/>
      </w:r>
      <w:r w:rsidR="0022657D">
        <w:t xml:space="preserve"> </w:t>
      </w:r>
      <w:r>
        <w:t>Cal Advoc</w:t>
      </w:r>
      <w:r w:rsidR="0022657D">
        <w:t>ates further notes that the 13</w:t>
      </w:r>
      <w:r w:rsidR="008A1F84">
        <w:t> percent</w:t>
      </w:r>
      <w:r w:rsidR="0022657D">
        <w:t xml:space="preserve"> escalator is applied uniformly to each category, showing that the 13</w:t>
      </w:r>
      <w:r w:rsidR="008A1F84">
        <w:t> percent</w:t>
      </w:r>
      <w:r w:rsidR="0022657D">
        <w:t xml:space="preserve"> is not adjusted for the specific circumstances of each type of work.</w:t>
      </w:r>
      <w:r w:rsidRPr="009550BB" w:rsidR="0022657D">
        <w:rPr>
          <w:rStyle w:val="FootnoteReference"/>
        </w:rPr>
        <w:footnoteReference w:id="108"/>
      </w:r>
      <w:r w:rsidR="0022657D">
        <w:t xml:space="preserve"> SDG&amp;E disagrees with </w:t>
      </w:r>
      <w:r>
        <w:t>Cal Advoc</w:t>
      </w:r>
      <w:r w:rsidR="0022657D">
        <w:t>ates</w:t>
      </w:r>
      <w:r w:rsidR="00836A9E">
        <w:t>’</w:t>
      </w:r>
      <w:r w:rsidR="0022657D">
        <w:t xml:space="preserve"> and </w:t>
      </w:r>
      <w:proofErr w:type="spellStart"/>
      <w:r w:rsidR="0022657D">
        <w:t>TURN</w:t>
      </w:r>
      <w:r w:rsidR="00836A9E">
        <w:t>’</w:t>
      </w:r>
      <w:r w:rsidR="0022657D">
        <w:t>s</w:t>
      </w:r>
      <w:proofErr w:type="spellEnd"/>
      <w:r w:rsidR="0022657D">
        <w:t xml:space="preserve"> conclusions and provides evidence that from 2020</w:t>
      </w:r>
      <w:r w:rsidR="00503215">
        <w:noBreakHyphen/>
      </w:r>
      <w:r w:rsidR="0022657D">
        <w:t>2024 the average number of New Business Projects has increased each year at 19</w:t>
      </w:r>
      <w:r w:rsidR="008A1F84">
        <w:t> percent</w:t>
      </w:r>
      <w:r w:rsidR="0022657D">
        <w:t>, an even higher rate.</w:t>
      </w:r>
      <w:r w:rsidRPr="009550BB" w:rsidR="0022657D">
        <w:rPr>
          <w:rStyle w:val="FootnoteReference"/>
        </w:rPr>
        <w:footnoteReference w:id="109"/>
      </w:r>
    </w:p>
    <w:p w:rsidR="007F1773" w:rsidP="00F67BCA" w:rsidRDefault="00737B10" w14:paraId="714E545E" w14:textId="58522A6D">
      <w:pPr>
        <w:pStyle w:val="Standard"/>
      </w:pPr>
      <w:r w:rsidRPr="00F515FD">
        <w:t xml:space="preserve">This decision adopts </w:t>
      </w:r>
      <w:proofErr w:type="spellStart"/>
      <w:r w:rsidRPr="00F515FD">
        <w:t>TURN</w:t>
      </w:r>
      <w:r w:rsidR="00836A9E">
        <w:t>’</w:t>
      </w:r>
      <w:r w:rsidRPr="00F515FD">
        <w:t>s</w:t>
      </w:r>
      <w:proofErr w:type="spellEnd"/>
      <w:r w:rsidRPr="00F515FD">
        <w:t xml:space="preserve"> recommendation to escalate </w:t>
      </w:r>
      <w:r w:rsidRPr="00F515FD" w:rsidR="00A87916">
        <w:t>costs</w:t>
      </w:r>
      <w:r w:rsidRPr="00F515FD" w:rsidR="00584306">
        <w:t xml:space="preserve"> at 9.7</w:t>
      </w:r>
      <w:r w:rsidR="008A1F84">
        <w:t> percent</w:t>
      </w:r>
      <w:r w:rsidRPr="00F515FD" w:rsidR="00584306">
        <w:t xml:space="preserve"> based</w:t>
      </w:r>
      <w:r w:rsidRPr="00F515FD" w:rsidR="00A87916">
        <w:t xml:space="preserve"> </w:t>
      </w:r>
      <w:r w:rsidRPr="00F515FD" w:rsidR="00584306">
        <w:t xml:space="preserve">on </w:t>
      </w:r>
      <w:r w:rsidRPr="00F515FD" w:rsidR="00A87916">
        <w:t xml:space="preserve">historical growth </w:t>
      </w:r>
      <w:r w:rsidRPr="00F515FD" w:rsidR="00584306">
        <w:t xml:space="preserve">in actual costs </w:t>
      </w:r>
      <w:r w:rsidRPr="00F515FD" w:rsidR="00A87916">
        <w:t>from 2021</w:t>
      </w:r>
      <w:r w:rsidR="00503215">
        <w:noBreakHyphen/>
      </w:r>
      <w:r w:rsidRPr="00F515FD" w:rsidR="00A87916">
        <w:t>2024.</w:t>
      </w:r>
      <w:r w:rsidRPr="00F515FD" w:rsidR="002B18FE">
        <w:t xml:space="preserve"> SDG&amp;E </w:t>
      </w:r>
      <w:r w:rsidRPr="00F515FD" w:rsidR="002B18FE">
        <w:lastRenderedPageBreak/>
        <w:t xml:space="preserve">does not provide convincing evidence </w:t>
      </w:r>
      <w:r w:rsidRPr="00F515FD" w:rsidR="00F86B4B">
        <w:t xml:space="preserve">or justification </w:t>
      </w:r>
      <w:r w:rsidRPr="00F515FD" w:rsidR="002B18FE">
        <w:t xml:space="preserve">to </w:t>
      </w:r>
      <w:r w:rsidRPr="00F515FD" w:rsidR="00F86B4B">
        <w:t>adopt a 13</w:t>
      </w:r>
      <w:r w:rsidR="008A1F84">
        <w:t> percent</w:t>
      </w:r>
      <w:r w:rsidRPr="00F515FD" w:rsidR="00F86B4B">
        <w:t xml:space="preserve"> cost escalator</w:t>
      </w:r>
      <w:r w:rsidRPr="00F515FD" w:rsidR="006737B7">
        <w:t>.</w:t>
      </w:r>
    </w:p>
    <w:p w:rsidR="007F1773" w:rsidP="00F67BCA" w:rsidRDefault="0045027B" w14:paraId="6D971903" w14:textId="77777777">
      <w:pPr>
        <w:pStyle w:val="Standard"/>
      </w:pPr>
      <w:r>
        <w:t xml:space="preserve">SDG&amp;E provides information on the annual trends in actual spend on New Business projects, </w:t>
      </w:r>
      <w:r w:rsidR="00836A9E">
        <w:t>“</w:t>
      </w:r>
      <w:r w:rsidRPr="00F515FD" w:rsidR="00A9144F">
        <w:t>New Business Varian</w:t>
      </w:r>
      <w:r w:rsidRPr="00F515FD" w:rsidR="00BD57F0">
        <w:t>ce</w:t>
      </w:r>
      <w:r w:rsidR="002D78E3">
        <w:t>,</w:t>
      </w:r>
      <w:r w:rsidR="00836A9E">
        <w:t>”</w:t>
      </w:r>
      <w:r w:rsidR="002D78E3">
        <w:t xml:space="preserve"> and </w:t>
      </w:r>
      <w:r w:rsidRPr="00F515FD" w:rsidR="00A9144F">
        <w:t>the number of New Business Projects</w:t>
      </w:r>
      <w:r w:rsidR="002D78E3">
        <w:t xml:space="preserve">. </w:t>
      </w:r>
      <w:r w:rsidR="00C8740B">
        <w:t xml:space="preserve">These data points are less useful than </w:t>
      </w:r>
      <w:r w:rsidR="00A63BD8">
        <w:t>the historical information on actual spend SDG&amp;E provided</w:t>
      </w:r>
      <w:r w:rsidR="00A32F67">
        <w:t>.</w:t>
      </w:r>
    </w:p>
    <w:p w:rsidR="00737B10" w:rsidP="00F67BCA" w:rsidRDefault="006027FB" w14:paraId="7BCF5C38" w14:textId="00DE449C">
      <w:pPr>
        <w:pStyle w:val="Standard"/>
      </w:pPr>
      <w:r w:rsidRPr="00F515FD">
        <w:t>The trend in</w:t>
      </w:r>
      <w:r w:rsidRPr="00F515FD" w:rsidR="00BD57F0">
        <w:t xml:space="preserve"> </w:t>
      </w:r>
      <w:r w:rsidR="00836A9E">
        <w:t>“</w:t>
      </w:r>
      <w:r w:rsidRPr="00F515FD" w:rsidR="006737B7">
        <w:t>New Business Variance</w:t>
      </w:r>
      <w:r w:rsidR="00836A9E">
        <w:t>”</w:t>
      </w:r>
      <w:r w:rsidRPr="00F515FD" w:rsidR="00C141FB">
        <w:t xml:space="preserve"> is not applicable </w:t>
      </w:r>
      <w:r w:rsidRPr="00F515FD" w:rsidR="008973A6">
        <w:t xml:space="preserve">because </w:t>
      </w:r>
      <w:r w:rsidRPr="00F515FD" w:rsidR="00AE11C8">
        <w:t xml:space="preserve">it calculates variance from </w:t>
      </w:r>
      <w:r w:rsidR="007A3034">
        <w:t>2</w:t>
      </w:r>
      <w:r w:rsidR="00CF3B61">
        <w:t>022 and 2023,</w:t>
      </w:r>
      <w:r w:rsidR="002B4F0C">
        <w:t xml:space="preserve"> which were outputs from the 2021</w:t>
      </w:r>
      <w:r w:rsidR="00CF3B61">
        <w:t xml:space="preserve"> </w:t>
      </w:r>
      <w:r w:rsidRPr="00F515FD" w:rsidR="00AE11C8">
        <w:t>GRC which (by SDG&amp;E</w:t>
      </w:r>
      <w:r w:rsidR="00836A9E">
        <w:t>’</w:t>
      </w:r>
      <w:r w:rsidRPr="00F515FD" w:rsidR="00AE11C8">
        <w:t xml:space="preserve">s </w:t>
      </w:r>
      <w:r w:rsidR="002B4F0C">
        <w:t>description</w:t>
      </w:r>
      <w:r w:rsidRPr="00F515FD" w:rsidR="00AE11C8">
        <w:t xml:space="preserve">) </w:t>
      </w:r>
      <w:r w:rsidR="002C791C">
        <w:t xml:space="preserve">were </w:t>
      </w:r>
      <w:r w:rsidR="002E532D">
        <w:t xml:space="preserve">developed when </w:t>
      </w:r>
      <w:r w:rsidR="002C791C">
        <w:t xml:space="preserve">energization </w:t>
      </w:r>
      <w:r w:rsidR="002E532D">
        <w:t>trends and forecasts were different from today</w:t>
      </w:r>
      <w:r w:rsidR="002B4F0C">
        <w:t xml:space="preserve">. Accordingly, trends in actual spend are more straightforward and </w:t>
      </w:r>
      <w:r w:rsidR="008C6B47">
        <w:t>relevant</w:t>
      </w:r>
      <w:r w:rsidRPr="46A70B67">
        <w:t>.</w:t>
      </w:r>
      <w:r w:rsidRPr="00F515FD" w:rsidR="00BD57F0">
        <w:t xml:space="preserve"> </w:t>
      </w:r>
      <w:r w:rsidRPr="00F515FD">
        <w:t>T</w:t>
      </w:r>
      <w:r w:rsidRPr="00F515FD" w:rsidR="00BD57F0">
        <w:t>he number of New Business Projects</w:t>
      </w:r>
      <w:r w:rsidR="004A483B">
        <w:t xml:space="preserve"> alone</w:t>
      </w:r>
      <w:r w:rsidRPr="00F515FD" w:rsidR="00BD57F0">
        <w:t xml:space="preserve"> </w:t>
      </w:r>
      <w:r w:rsidRPr="00F515FD" w:rsidR="006F607D">
        <w:t xml:space="preserve">is not </w:t>
      </w:r>
      <w:r w:rsidRPr="00F515FD">
        <w:t xml:space="preserve">sufficient for decision making </w:t>
      </w:r>
      <w:r w:rsidRPr="00F515FD" w:rsidR="006F607D">
        <w:t>because SDG&amp;E does not provide any information on the average cost per project</w:t>
      </w:r>
      <w:r w:rsidRPr="00F515FD" w:rsidR="00CD4FEE">
        <w:t>, so the Commission cannot use this information to estimate cost trends</w:t>
      </w:r>
      <w:r w:rsidRPr="00F515FD" w:rsidR="001D6AFF">
        <w:t>.</w:t>
      </w:r>
      <w:r w:rsidRPr="00F515FD" w:rsidR="00CD4FEE">
        <w:t xml:space="preserve"> </w:t>
      </w:r>
      <w:r w:rsidRPr="00F515FD" w:rsidR="001D6AFF">
        <w:t>A</w:t>
      </w:r>
      <w:r w:rsidRPr="00F515FD" w:rsidR="00CD4FEE">
        <w:t>dditionally, SDG&amp;E</w:t>
      </w:r>
      <w:r w:rsidR="009D256F">
        <w:t xml:space="preserve"> does </w:t>
      </w:r>
      <w:r w:rsidR="00D2798D">
        <w:t>not specify</w:t>
      </w:r>
      <w:r w:rsidR="00031B7F">
        <w:t xml:space="preserve"> </w:t>
      </w:r>
      <w:r w:rsidR="00D2798D">
        <w:t xml:space="preserve">how it uses the term </w:t>
      </w:r>
      <w:r w:rsidR="00836A9E">
        <w:t>“</w:t>
      </w:r>
      <w:r w:rsidRPr="00F515FD" w:rsidR="00CD4FEE">
        <w:t>New Business Projects</w:t>
      </w:r>
      <w:r w:rsidR="00D2798D">
        <w:t>,</w:t>
      </w:r>
      <w:r w:rsidR="00836A9E">
        <w:t>”</w:t>
      </w:r>
      <w:r w:rsidR="00D2798D">
        <w:t xml:space="preserve"> and this ambiguity </w:t>
      </w:r>
      <w:r w:rsidR="00D251C1">
        <w:t>makes the information difficult to interpret.</w:t>
      </w:r>
      <w:r w:rsidR="00222D40">
        <w:t xml:space="preserve"> For example, if SDG&amp;E</w:t>
      </w:r>
      <w:r w:rsidR="00836A9E">
        <w:t>’</w:t>
      </w:r>
      <w:r w:rsidR="00222D40">
        <w:t xml:space="preserve">s </w:t>
      </w:r>
      <w:r w:rsidRPr="4324F693" w:rsidR="00222D40">
        <w:t>number</w:t>
      </w:r>
      <w:r w:rsidRPr="4324F693" w:rsidR="20768B84">
        <w:t>s</w:t>
      </w:r>
      <w:r w:rsidR="00222D40">
        <w:t xml:space="preserve"> include </w:t>
      </w:r>
      <w:r w:rsidR="007D2A6C">
        <w:t xml:space="preserve">not just completed projects, but also </w:t>
      </w:r>
      <w:r w:rsidR="00DC1D2C">
        <w:t xml:space="preserve">customer energization requests that </w:t>
      </w:r>
      <w:r w:rsidR="0073476F">
        <w:t xml:space="preserve">never move beyond </w:t>
      </w:r>
      <w:r w:rsidR="008169F8">
        <w:t xml:space="preserve">the initial inquiry phase, </w:t>
      </w:r>
      <w:r w:rsidR="007D64BD">
        <w:t xml:space="preserve">or projects that begin in one year but finish in another, the </w:t>
      </w:r>
      <w:r w:rsidR="00707D85">
        <w:t>numbers would overstate the total number of new projects</w:t>
      </w:r>
      <w:r w:rsidRPr="00F515FD" w:rsidR="00F515FD">
        <w:t>.</w:t>
      </w:r>
    </w:p>
    <w:p w:rsidRPr="00F515FD" w:rsidR="008152A0" w:rsidP="00F67BCA" w:rsidRDefault="00FE6DAC" w14:paraId="172442DF" w14:textId="183E4B45">
      <w:pPr>
        <w:pStyle w:val="Standard"/>
      </w:pPr>
      <w:r>
        <w:t xml:space="preserve">Even though the annual growth in actual expenditures has varied significantly year over year, this </w:t>
      </w:r>
      <w:r w:rsidR="008152A0">
        <w:t>decision adopts the 9.7</w:t>
      </w:r>
      <w:r w:rsidR="008A1F84">
        <w:t> percent</w:t>
      </w:r>
      <w:r w:rsidR="008152A0">
        <w:t xml:space="preserve"> </w:t>
      </w:r>
      <w:r>
        <w:t xml:space="preserve">average </w:t>
      </w:r>
      <w:r w:rsidR="008152A0">
        <w:t>annual growth</w:t>
      </w:r>
      <w:r w:rsidR="000552E6">
        <w:t xml:space="preserve"> rate because </w:t>
      </w:r>
      <w:r>
        <w:t xml:space="preserve">the </w:t>
      </w:r>
      <w:r w:rsidR="00584773">
        <w:t xml:space="preserve">growth rate </w:t>
      </w:r>
      <w:r w:rsidR="00130DEB">
        <w:t xml:space="preserve">in actual spend </w:t>
      </w:r>
      <w:r>
        <w:t xml:space="preserve">has </w:t>
      </w:r>
      <w:r w:rsidR="00584773">
        <w:t>been positive for the last two years</w:t>
      </w:r>
      <w:r>
        <w:t>.</w:t>
      </w:r>
      <w:r w:rsidRPr="000B7A72" w:rsidR="000B7A72">
        <w:t xml:space="preserve"> </w:t>
      </w:r>
      <w:r w:rsidR="000B7A72">
        <w:t>This 9.7% growth rate is specific to the New Business cost category, only in the context of preparing for incremental energization spend. This section should not be read as endorsing a 9.7% growth rate assumption for any other category or in any other context.</w:t>
      </w:r>
      <w:r w:rsidR="00B02907">
        <w:t xml:space="preserve"> Accordingly, </w:t>
      </w:r>
      <w:r w:rsidR="00A86342">
        <w:t xml:space="preserve">this decision </w:t>
      </w:r>
      <w:r w:rsidR="00177C68">
        <w:t xml:space="preserve">reduces SDG&amp;E’s </w:t>
      </w:r>
      <w:r w:rsidR="00177C68">
        <w:lastRenderedPageBreak/>
        <w:t xml:space="preserve">total cost forecasts for 2025 and 2026 to </w:t>
      </w:r>
      <w:r w:rsidR="00F35820">
        <w:t>$58.406 million and $64.072 million, respectively.</w:t>
      </w:r>
      <w:r w:rsidR="00F35820">
        <w:rPr>
          <w:rStyle w:val="FootnoteReference"/>
        </w:rPr>
        <w:footnoteReference w:id="110"/>
      </w:r>
    </w:p>
    <w:p w:rsidR="00662D13" w:rsidP="00BB4B1B" w:rsidRDefault="00662D13" w14:paraId="48AE6BF8" w14:textId="0693B637">
      <w:pPr>
        <w:pStyle w:val="Heading3"/>
      </w:pPr>
      <w:bookmarkStart w:name="_Toc212538547" w:id="45"/>
      <w:r>
        <w:t>New Business</w:t>
      </w:r>
      <w:r w:rsidR="00836A9E">
        <w:t>’</w:t>
      </w:r>
      <w:r w:rsidR="00F97CF6">
        <w:t>s Contribution to Cap</w:t>
      </w:r>
      <w:bookmarkEnd w:id="45"/>
    </w:p>
    <w:p w:rsidRPr="004C3FCA" w:rsidR="004C3FCA" w:rsidP="00F67BCA" w:rsidRDefault="00E5016E" w14:paraId="3A860D25" w14:textId="1993A222">
      <w:pPr>
        <w:pStyle w:val="Standard"/>
      </w:pPr>
      <w:r w:rsidRPr="003C5387">
        <w:t xml:space="preserve">This decision </w:t>
      </w:r>
      <w:r>
        <w:t>allows</w:t>
      </w:r>
      <w:r w:rsidRPr="003C5387">
        <w:t xml:space="preserve"> </w:t>
      </w:r>
      <w:r w:rsidR="00807B20">
        <w:t xml:space="preserve">New Business </w:t>
      </w:r>
      <w:r w:rsidR="00CF3526">
        <w:t xml:space="preserve">actual costs </w:t>
      </w:r>
      <w:r>
        <w:t xml:space="preserve">of </w:t>
      </w:r>
      <w:r w:rsidR="00855D6B">
        <w:t>$</w:t>
      </w:r>
      <w:r w:rsidR="00586266">
        <w:t>5.227 million in 2024</w:t>
      </w:r>
      <w:r w:rsidR="00CF3526">
        <w:t xml:space="preserve"> and </w:t>
      </w:r>
      <w:r w:rsidR="00B9343D">
        <w:t xml:space="preserve">incremental cost </w:t>
      </w:r>
      <w:r w:rsidR="00CF3526">
        <w:t>forecasts of</w:t>
      </w:r>
      <w:r w:rsidR="00586266">
        <w:t xml:space="preserve"> $8.949 million in </w:t>
      </w:r>
      <w:r w:rsidRPr="003C5387">
        <w:t xml:space="preserve">2025 and </w:t>
      </w:r>
      <w:r w:rsidR="00855D6B">
        <w:t>$</w:t>
      </w:r>
      <w:r w:rsidR="00586266">
        <w:t xml:space="preserve">13.130 </w:t>
      </w:r>
      <w:r w:rsidR="009C11C6">
        <w:t>million</w:t>
      </w:r>
      <w:r w:rsidR="00807B20">
        <w:t xml:space="preserve"> in</w:t>
      </w:r>
      <w:r w:rsidR="00855D6B">
        <w:t xml:space="preserve"> </w:t>
      </w:r>
      <w:r w:rsidRPr="003C5387">
        <w:t xml:space="preserve">2026 </w:t>
      </w:r>
      <w:r>
        <w:t>to count toward the cap.</w:t>
      </w:r>
      <w:r w:rsidR="00807B20">
        <w:t xml:space="preserve"> These numbers are based on </w:t>
      </w:r>
      <w:r w:rsidR="007F274F">
        <w:t>GRC</w:t>
      </w:r>
      <w:r w:rsidR="00503215">
        <w:noBreakHyphen/>
      </w:r>
      <w:r w:rsidR="007F274F">
        <w:t xml:space="preserve">authorized amounts of </w:t>
      </w:r>
      <w:r w:rsidR="006F6B6C">
        <w:t>$</w:t>
      </w:r>
      <w:r w:rsidRPr="0052165A" w:rsidR="006F6B6C">
        <w:t>48</w:t>
      </w:r>
      <w:r w:rsidR="006F6B6C">
        <w:t>.</w:t>
      </w:r>
      <w:r w:rsidRPr="0052165A" w:rsidR="006F6B6C">
        <w:t>015</w:t>
      </w:r>
      <w:r w:rsidR="006F6B6C">
        <w:t xml:space="preserve"> million in 2024, $</w:t>
      </w:r>
      <w:r w:rsidRPr="0052165A" w:rsidR="006F6B6C">
        <w:t>49</w:t>
      </w:r>
      <w:r w:rsidR="006F6B6C">
        <w:t>.</w:t>
      </w:r>
      <w:r w:rsidRPr="0052165A" w:rsidR="006F6B6C">
        <w:t>457</w:t>
      </w:r>
      <w:r w:rsidR="006F6B6C">
        <w:t xml:space="preserve"> million in 2025, and $</w:t>
      </w:r>
      <w:r w:rsidRPr="0052165A" w:rsidR="006F6B6C">
        <w:t>50</w:t>
      </w:r>
      <w:r w:rsidR="006F6B6C">
        <w:t>.</w:t>
      </w:r>
      <w:r w:rsidRPr="0052165A" w:rsidR="006F6B6C">
        <w:t>942</w:t>
      </w:r>
      <w:r w:rsidR="006F6B6C">
        <w:t xml:space="preserve"> million in 2026</w:t>
      </w:r>
      <w:r w:rsidR="007F274F">
        <w:t xml:space="preserve"> subtracted from </w:t>
      </w:r>
      <w:r w:rsidR="00807B20">
        <w:t>actual cost</w:t>
      </w:r>
      <w:r w:rsidR="006F6B6C">
        <w:t xml:space="preserve">s of </w:t>
      </w:r>
      <w:r w:rsidR="00127895">
        <w:t>$53.242 million in 2024 and</w:t>
      </w:r>
      <w:r w:rsidR="00807B20">
        <w:t xml:space="preserve"> </w:t>
      </w:r>
      <w:r w:rsidR="007D1E42">
        <w:t xml:space="preserve">total forecasted costs </w:t>
      </w:r>
      <w:r w:rsidR="00807B20">
        <w:t xml:space="preserve">of </w:t>
      </w:r>
      <w:r w:rsidR="00127895">
        <w:t>$58.406 million in 2025 and $64.072 million in 2026</w:t>
      </w:r>
      <w:r w:rsidR="007F274F">
        <w:t>.</w:t>
      </w:r>
    </w:p>
    <w:p w:rsidR="00522BA7" w:rsidP="00BB4B1B" w:rsidRDefault="004C206B" w14:paraId="06050968" w14:textId="05E5138A">
      <w:pPr>
        <w:pStyle w:val="Heading2"/>
      </w:pPr>
      <w:bookmarkStart w:name="_Toc212538548" w:id="46"/>
      <w:r>
        <w:t>Materials</w:t>
      </w:r>
      <w:r w:rsidR="0012333D">
        <w:t xml:space="preserve"> (Transformers)</w:t>
      </w:r>
      <w:bookmarkEnd w:id="46"/>
    </w:p>
    <w:p w:rsidR="00D07517" w:rsidP="00BB4B1B" w:rsidRDefault="00D07517" w14:paraId="7D962362" w14:textId="3ED647A5">
      <w:pPr>
        <w:pStyle w:val="Heading3"/>
      </w:pPr>
      <w:bookmarkStart w:name="_Toc212538549" w:id="47"/>
      <w:r>
        <w:t>Category Overview and</w:t>
      </w:r>
      <w:r w:rsidR="00FF7975">
        <w:br/>
      </w:r>
      <w:r>
        <w:t>Drivers of Incremental Need</w:t>
      </w:r>
      <w:bookmarkEnd w:id="47"/>
    </w:p>
    <w:p w:rsidRPr="002E3BB8" w:rsidR="0047320B" w:rsidP="00F67BCA" w:rsidRDefault="0047320B" w14:paraId="7DD50EA7" w14:textId="019C02A3">
      <w:pPr>
        <w:pStyle w:val="Standard"/>
      </w:pPr>
      <w:r>
        <w:t>SDG&amp;E describes the Materials category as containing only one sub</w:t>
      </w:r>
      <w:r w:rsidR="00503215">
        <w:noBreakHyphen/>
      </w:r>
      <w:r>
        <w:t>category, Transformers. The costs in this subcategory represent SDG&amp;E</w:t>
      </w:r>
      <w:r w:rsidR="00836A9E">
        <w:t>’</w:t>
      </w:r>
      <w:r>
        <w:t>s forecasted need to purchase new and replacement transformers to support energization projects.</w:t>
      </w:r>
      <w:r w:rsidRPr="009550BB">
        <w:rPr>
          <w:rStyle w:val="FootnoteReference"/>
        </w:rPr>
        <w:footnoteReference w:id="111"/>
      </w:r>
      <w:r>
        <w:t xml:space="preserve"> SDG&amp;E explains that incremental costs are driven by greater demand for transformers and rises in the cost of materials and labor. SDG&amp;E asserts that </w:t>
      </w:r>
      <w:r w:rsidR="00836A9E">
        <w:t>“</w:t>
      </w:r>
      <w:r>
        <w:t>the average cost of a service transformer has increased at a rate far exceeding industry indices in recent years.</w:t>
      </w:r>
      <w:r w:rsidR="00836A9E">
        <w:t>”</w:t>
      </w:r>
      <w:r w:rsidRPr="009550BB">
        <w:rPr>
          <w:rStyle w:val="FootnoteReference"/>
        </w:rPr>
        <w:footnoteReference w:id="112"/>
      </w:r>
    </w:p>
    <w:p w:rsidR="0012333D" w:rsidP="00BB4B1B" w:rsidRDefault="00362BF7" w14:paraId="56F5E2A8" w14:textId="33D3CCDE">
      <w:pPr>
        <w:pStyle w:val="Heading3"/>
      </w:pPr>
      <w:bookmarkStart w:name="_Toc212538550" w:id="48"/>
      <w:r>
        <w:lastRenderedPageBreak/>
        <w:t>Materials (</w:t>
      </w:r>
      <w:r w:rsidR="0012333D">
        <w:t>Transformer</w:t>
      </w:r>
      <w:r>
        <w:t>)</w:t>
      </w:r>
      <w:r w:rsidR="0081423B">
        <w:br/>
      </w:r>
      <w:r w:rsidR="0012333D">
        <w:t xml:space="preserve">Costs Authorized by </w:t>
      </w:r>
      <w:r w:rsidR="0040495F">
        <w:t>San Diego</w:t>
      </w:r>
      <w:r w:rsidR="0081423B">
        <w:br/>
      </w:r>
      <w:r w:rsidR="0040495F">
        <w:t>Gas &amp; Electric Company</w:t>
      </w:r>
      <w:r w:rsidR="00836A9E">
        <w:t>’</w:t>
      </w:r>
      <w:r w:rsidR="0012333D">
        <w:t>s</w:t>
      </w:r>
      <w:r w:rsidR="0081423B">
        <w:br/>
      </w:r>
      <w:r w:rsidR="0012333D">
        <w:t xml:space="preserve">2024 </w:t>
      </w:r>
      <w:r w:rsidR="00D72A3F">
        <w:t>General Rate Case</w:t>
      </w:r>
      <w:bookmarkEnd w:id="48"/>
    </w:p>
    <w:p w:rsidR="0047592A" w:rsidP="00F67BCA" w:rsidRDefault="0047592A" w14:paraId="738B56FF" w14:textId="55A1F1B0">
      <w:pPr>
        <w:pStyle w:val="Standard"/>
      </w:pPr>
      <w:r>
        <w:t>SDG&amp;E estimate</w:t>
      </w:r>
      <w:r w:rsidR="00F36677">
        <w:t>s</w:t>
      </w:r>
      <w:r>
        <w:t xml:space="preserve"> the </w:t>
      </w:r>
      <w:r w:rsidR="00852A09">
        <w:t xml:space="preserve">amount of money that the </w:t>
      </w:r>
      <w:r>
        <w:t xml:space="preserve">2024 GRC </w:t>
      </w:r>
      <w:r w:rsidR="00852A09">
        <w:t xml:space="preserve">authorized </w:t>
      </w:r>
      <w:r w:rsidR="00F36677">
        <w:t xml:space="preserve">for transformers to support energization </w:t>
      </w:r>
      <w:r>
        <w:t>by reviewing the number of transformers purchased from 2019 to 2021, counting the portion that were used on energization projects, then applying that percentage (32.1</w:t>
      </w:r>
      <w:r w:rsidR="008A1F84">
        <w:t> percent</w:t>
      </w:r>
      <w:r>
        <w:t xml:space="preserve">) to the 2024 </w:t>
      </w:r>
      <w:proofErr w:type="spellStart"/>
      <w:r>
        <w:t>GRC</w:t>
      </w:r>
      <w:r w:rsidR="00836A9E">
        <w:t>’</w:t>
      </w:r>
      <w:r>
        <w:t>s</w:t>
      </w:r>
      <w:proofErr w:type="spellEnd"/>
      <w:r>
        <w:t xml:space="preserve"> authorized costs for transformers.</w:t>
      </w:r>
      <w:r w:rsidRPr="009550BB">
        <w:rPr>
          <w:rStyle w:val="FootnoteReference"/>
        </w:rPr>
        <w:footnoteReference w:id="113"/>
      </w:r>
      <w:r>
        <w:t xml:space="preserve"> TURN argues that 2019</w:t>
      </w:r>
      <w:r w:rsidR="6974B62F">
        <w:t>-</w:t>
      </w:r>
      <w:r>
        <w:t xml:space="preserve">2021 is an arbitrary window to use as a reference period, and </w:t>
      </w:r>
      <w:r w:rsidR="00F36677">
        <w:t xml:space="preserve">proposes instead to base the calculation on </w:t>
      </w:r>
      <w:r>
        <w:t>the more recent time period of 2021</w:t>
      </w:r>
      <w:r w:rsidR="00503215">
        <w:noBreakHyphen/>
      </w:r>
      <w:r>
        <w:t>2023.</w:t>
      </w:r>
      <w:r w:rsidRPr="009550BB">
        <w:rPr>
          <w:rStyle w:val="FootnoteReference"/>
        </w:rPr>
        <w:footnoteReference w:id="114"/>
      </w:r>
      <w:r>
        <w:t xml:space="preserve"> Using this range, the percentage of transformer purchases attributable to energization increases to 41.8</w:t>
      </w:r>
      <w:r w:rsidR="008A1F84">
        <w:t> percent</w:t>
      </w:r>
      <w:r>
        <w:t>.</w:t>
      </w:r>
      <w:r w:rsidRPr="009425F0">
        <w:t xml:space="preserve"> </w:t>
      </w:r>
      <w:proofErr w:type="spellStart"/>
      <w:r w:rsidRPr="009425F0">
        <w:t>TURN</w:t>
      </w:r>
      <w:r w:rsidR="00836A9E">
        <w:t>’</w:t>
      </w:r>
      <w:r w:rsidRPr="009425F0">
        <w:t>s</w:t>
      </w:r>
      <w:proofErr w:type="spellEnd"/>
      <w:r w:rsidRPr="009425F0">
        <w:t xml:space="preserve"> recalculation raises the baseline GRC</w:t>
      </w:r>
      <w:r w:rsidR="00503215">
        <w:noBreakHyphen/>
      </w:r>
      <w:r w:rsidRPr="009425F0">
        <w:t>authorized energization amounts for transformers from $</w:t>
      </w:r>
      <w:r>
        <w:t>1</w:t>
      </w:r>
      <w:r w:rsidR="00BD1494">
        <w:t>0</w:t>
      </w:r>
      <w:r>
        <w:t>.</w:t>
      </w:r>
      <w:r w:rsidR="00BD1494">
        <w:t>649</w:t>
      </w:r>
      <w:r w:rsidR="009C11C6">
        <w:t> million</w:t>
      </w:r>
      <w:r>
        <w:t xml:space="preserve"> in 202</w:t>
      </w:r>
      <w:r w:rsidR="00BD1494">
        <w:t xml:space="preserve">4, </w:t>
      </w:r>
      <w:r w:rsidRPr="009425F0" w:rsidR="00BD1494">
        <w:t>$</w:t>
      </w:r>
      <w:r w:rsidR="00BD1494">
        <w:t>10.968 million in 2025,</w:t>
      </w:r>
      <w:r>
        <w:t xml:space="preserve"> and $11.</w:t>
      </w:r>
      <w:r w:rsidR="00BD1494">
        <w:t>297</w:t>
      </w:r>
      <w:r w:rsidR="009C11C6">
        <w:t> million</w:t>
      </w:r>
      <w:r>
        <w:t xml:space="preserve"> in 2026 </w:t>
      </w:r>
      <w:r w:rsidRPr="009425F0">
        <w:t xml:space="preserve">to </w:t>
      </w:r>
      <w:r w:rsidRPr="009425F0" w:rsidR="001F7C46">
        <w:t>$</w:t>
      </w:r>
      <w:r w:rsidR="001F7C46">
        <w:t xml:space="preserve">13.867 million in 2024, </w:t>
      </w:r>
      <w:r w:rsidRPr="009425F0">
        <w:t>$</w:t>
      </w:r>
      <w:r>
        <w:t>14.</w:t>
      </w:r>
      <w:r w:rsidR="001F7C46">
        <w:t>282</w:t>
      </w:r>
      <w:r w:rsidR="009C11C6">
        <w:t> million</w:t>
      </w:r>
      <w:r>
        <w:t xml:space="preserve"> in 2025 and $14.7</w:t>
      </w:r>
      <w:r w:rsidR="001F7C46">
        <w:t>11</w:t>
      </w:r>
      <w:r w:rsidR="009C11C6">
        <w:t> million</w:t>
      </w:r>
      <w:r>
        <w:t xml:space="preserve"> in 2026</w:t>
      </w:r>
      <w:r w:rsidR="25B4F492">
        <w:t xml:space="preserve">, and </w:t>
      </w:r>
      <w:r w:rsidR="00707D85">
        <w:t xml:space="preserve">therefore </w:t>
      </w:r>
      <w:r w:rsidR="25B4F492">
        <w:t xml:space="preserve">lowers the amounts allowable under the </w:t>
      </w:r>
      <w:r w:rsidR="0040495F">
        <w:t>SB </w:t>
      </w:r>
      <w:r w:rsidR="25B4F492">
        <w:t>410 cost cap</w:t>
      </w:r>
      <w:r>
        <w:t>. SDG&amp;E counters that it selected the 2019</w:t>
      </w:r>
      <w:r w:rsidR="00503215">
        <w:noBreakHyphen/>
      </w:r>
      <w:r>
        <w:t xml:space="preserve">2021 period because it </w:t>
      </w:r>
      <w:r w:rsidR="00836A9E">
        <w:t>“</w:t>
      </w:r>
      <w:r>
        <w:t>aligns with the cost data used in SDG&amp;E</w:t>
      </w:r>
      <w:r w:rsidR="00836A9E">
        <w:t>’</w:t>
      </w:r>
      <w:r>
        <w:t>s most recent GRC for this workpaper,</w:t>
      </w:r>
      <w:r w:rsidR="00836A9E">
        <w:t>”</w:t>
      </w:r>
      <w:r>
        <w:t xml:space="preserve"> which </w:t>
      </w:r>
      <w:r w:rsidR="00836A9E">
        <w:t>“</w:t>
      </w:r>
      <w:r>
        <w:t>ensures consistency with the underlying assumptions of the GRC.</w:t>
      </w:r>
      <w:r w:rsidR="00836A9E">
        <w:t>”</w:t>
      </w:r>
      <w:r w:rsidRPr="009550BB">
        <w:rPr>
          <w:rStyle w:val="FootnoteReference"/>
        </w:rPr>
        <w:footnoteReference w:id="115"/>
      </w:r>
    </w:p>
    <w:p w:rsidRPr="00C07E89" w:rsidR="0047592A" w:rsidP="00F67BCA" w:rsidRDefault="009845B7" w14:paraId="55031D64" w14:textId="3ED1C627">
      <w:pPr>
        <w:pStyle w:val="Standard"/>
      </w:pPr>
      <w:r w:rsidRPr="00C07E89">
        <w:t xml:space="preserve">This decision adopts </w:t>
      </w:r>
      <w:proofErr w:type="spellStart"/>
      <w:r w:rsidRPr="00C07E89">
        <w:t>TURN</w:t>
      </w:r>
      <w:r w:rsidR="00836A9E">
        <w:t>’</w:t>
      </w:r>
      <w:r w:rsidRPr="00C07E89">
        <w:t>s</w:t>
      </w:r>
      <w:proofErr w:type="spellEnd"/>
      <w:r w:rsidRPr="00C07E89">
        <w:t xml:space="preserve"> </w:t>
      </w:r>
      <w:r w:rsidRPr="00C07E89" w:rsidR="003417A3">
        <w:t>recommendation</w:t>
      </w:r>
      <w:r w:rsidRPr="00C07E89" w:rsidR="00C965C9">
        <w:t xml:space="preserve"> to use </w:t>
      </w:r>
      <w:r w:rsidRPr="00C07E89" w:rsidR="002F32C8">
        <w:t>2021</w:t>
      </w:r>
      <w:r w:rsidRPr="00C07E89" w:rsidR="2ED0E083">
        <w:t>-</w:t>
      </w:r>
      <w:r w:rsidRPr="00C07E89" w:rsidR="002F32C8">
        <w:t>2023 as the reference period instead of SDG&amp;E</w:t>
      </w:r>
      <w:r w:rsidR="00836A9E">
        <w:t>’</w:t>
      </w:r>
      <w:r w:rsidRPr="00C07E89" w:rsidR="002F32C8">
        <w:t>s proposal to use 2019</w:t>
      </w:r>
      <w:r w:rsidRPr="00C07E89" w:rsidR="300659B1">
        <w:t>-</w:t>
      </w:r>
      <w:r w:rsidRPr="00C07E89" w:rsidR="002F32C8">
        <w:t>2021 as the reference period.</w:t>
      </w:r>
      <w:r w:rsidRPr="00C07E89" w:rsidR="00427DDA">
        <w:t xml:space="preserve"> </w:t>
      </w:r>
      <w:r w:rsidRPr="00C07E89" w:rsidR="00964434">
        <w:t>All else equal, i</w:t>
      </w:r>
      <w:r w:rsidRPr="00C07E89" w:rsidR="0079248B">
        <w:t>t is best practice to use the most recent data available</w:t>
      </w:r>
      <w:r w:rsidRPr="00C07E89" w:rsidR="00964434">
        <w:t>. SDG&amp;E</w:t>
      </w:r>
      <w:r w:rsidR="00836A9E">
        <w:t>’</w:t>
      </w:r>
      <w:r w:rsidRPr="00C07E89" w:rsidR="00964434">
        <w:t xml:space="preserve">s argument that </w:t>
      </w:r>
      <w:r w:rsidRPr="00C07E89" w:rsidR="001113A6">
        <w:t xml:space="preserve">the </w:t>
      </w:r>
      <w:r w:rsidRPr="00C07E89" w:rsidR="0043769B">
        <w:t xml:space="preserve">Commission should </w:t>
      </w:r>
      <w:r w:rsidR="00836A9E">
        <w:t>“</w:t>
      </w:r>
      <w:r w:rsidRPr="00C07E89" w:rsidR="001113A6">
        <w:t>ensures consistency</w:t>
      </w:r>
      <w:r w:rsidRPr="00C07E89" w:rsidR="00D01AA6">
        <w:t xml:space="preserve"> wit</w:t>
      </w:r>
      <w:r w:rsidRPr="00C07E89" w:rsidR="00A77BD1">
        <w:t>h</w:t>
      </w:r>
      <w:r w:rsidR="00836A9E">
        <w:t>”</w:t>
      </w:r>
      <w:r w:rsidRPr="00C07E89" w:rsidR="00D01AA6">
        <w:t xml:space="preserve"> </w:t>
      </w:r>
      <w:r w:rsidRPr="00C07E89" w:rsidR="00A77BD1">
        <w:lastRenderedPageBreak/>
        <w:t xml:space="preserve">earlier </w:t>
      </w:r>
      <w:proofErr w:type="spellStart"/>
      <w:r w:rsidRPr="00C07E89" w:rsidR="00A77BD1">
        <w:t>GRCs</w:t>
      </w:r>
      <w:proofErr w:type="spellEnd"/>
      <w:r w:rsidRPr="00C07E89" w:rsidR="00A77BD1">
        <w:t xml:space="preserve"> </w:t>
      </w:r>
      <w:r w:rsidR="000A4F10">
        <w:t xml:space="preserve">conflicts with </w:t>
      </w:r>
      <w:r w:rsidRPr="00C07E89" w:rsidR="001F3C53">
        <w:t>SDG&amp;E</w:t>
      </w:r>
      <w:r w:rsidR="000A4F10">
        <w:t xml:space="preserve"> argument </w:t>
      </w:r>
      <w:r w:rsidR="0099447F">
        <w:t xml:space="preserve">that </w:t>
      </w:r>
      <w:r w:rsidRPr="00C07E89" w:rsidR="006C35EF">
        <w:t xml:space="preserve">the assumptions and calculations </w:t>
      </w:r>
      <w:r w:rsidRPr="00C07E89" w:rsidR="0034501A">
        <w:t>developed in the 2019</w:t>
      </w:r>
      <w:r w:rsidRPr="00C07E89" w:rsidR="58C3ABAC">
        <w:t>-</w:t>
      </w:r>
      <w:r w:rsidRPr="00C07E89" w:rsidR="0034501A">
        <w:t xml:space="preserve">2021 time period </w:t>
      </w:r>
      <w:r w:rsidRPr="00C07E89" w:rsidR="005120E0">
        <w:t>do not reflect current trends</w:t>
      </w:r>
      <w:r w:rsidRPr="00C07E89" w:rsidR="00F151A6">
        <w:t>.</w:t>
      </w:r>
      <w:r w:rsidRPr="00C07E89" w:rsidR="008C51A1">
        <w:t xml:space="preserve"> Accordingly, this decision</w:t>
      </w:r>
      <w:r w:rsidRPr="00C07E89" w:rsidR="00A151DF">
        <w:t xml:space="preserve"> </w:t>
      </w:r>
      <w:r w:rsidRPr="00C07E89" w:rsidR="00F30E87">
        <w:t xml:space="preserve">considers the 2024 GRC to have authorized SDG&amp;E to spend </w:t>
      </w:r>
      <w:r w:rsidRPr="009425F0" w:rsidR="0044690A">
        <w:t>$</w:t>
      </w:r>
      <w:r w:rsidR="0044690A">
        <w:t xml:space="preserve">13.867 million in 2024, </w:t>
      </w:r>
      <w:r w:rsidRPr="009425F0" w:rsidR="0044690A">
        <w:t>$</w:t>
      </w:r>
      <w:r w:rsidR="0044690A">
        <w:t>14.282 million in 2025</w:t>
      </w:r>
      <w:r w:rsidR="00975F52">
        <w:t>,</w:t>
      </w:r>
      <w:r w:rsidR="0044690A">
        <w:t xml:space="preserve"> and $14.711 million in 2026</w:t>
      </w:r>
      <w:r w:rsidR="00975F52">
        <w:t xml:space="preserve"> </w:t>
      </w:r>
      <w:r w:rsidRPr="00C07E89" w:rsidR="00F30E87">
        <w:t>on transformers for energization</w:t>
      </w:r>
      <w:r w:rsidR="00503215">
        <w:noBreakHyphen/>
      </w:r>
      <w:r w:rsidRPr="00C07E89" w:rsidR="00F30E87">
        <w:t>related purposes</w:t>
      </w:r>
      <w:r w:rsidR="0044690A">
        <w:t>.</w:t>
      </w:r>
    </w:p>
    <w:p w:rsidR="00D07517" w:rsidP="00BB4B1B" w:rsidRDefault="00D07517" w14:paraId="1E0CB41C" w14:textId="60708046">
      <w:pPr>
        <w:pStyle w:val="Heading3"/>
      </w:pPr>
      <w:bookmarkStart w:name="_Toc212538551" w:id="49"/>
      <w:r>
        <w:t>Forecast Methodology</w:t>
      </w:r>
      <w:bookmarkEnd w:id="49"/>
    </w:p>
    <w:p w:rsidR="00C14C0B" w:rsidP="00F67BCA" w:rsidRDefault="00C14C0B" w14:paraId="12FD98BD" w14:textId="20DBD8C8">
      <w:pPr>
        <w:pStyle w:val="Standard"/>
      </w:pPr>
      <w:r>
        <w:t>SDG&amp;E explains that it forecasted 2025 and 2026 spend on transformers by escalating its actual spend at 13</w:t>
      </w:r>
      <w:r w:rsidR="008A1F84">
        <w:t> percent</w:t>
      </w:r>
      <w:r>
        <w:t xml:space="preserve"> per year.</w:t>
      </w:r>
      <w:r w:rsidRPr="009550BB">
        <w:rPr>
          <w:rStyle w:val="FootnoteReference"/>
        </w:rPr>
        <w:footnoteReference w:id="116"/>
      </w:r>
      <w:r>
        <w:t xml:space="preserve"> SDG&amp;E justifies the 13</w:t>
      </w:r>
      <w:r w:rsidR="008A1F84">
        <w:t> percent</w:t>
      </w:r>
      <w:r>
        <w:t xml:space="preserve"> escalator for materials costs because </w:t>
      </w:r>
      <w:r w:rsidR="00836A9E">
        <w:t>“</w:t>
      </w:r>
      <w:r>
        <w:t>energization</w:t>
      </w:r>
      <w:r w:rsidR="7958806C">
        <w:t>-</w:t>
      </w:r>
      <w:r>
        <w:t>related service transformer needs closely track the growth in energization</w:t>
      </w:r>
      <w:r w:rsidR="00503215">
        <w:noBreakHyphen/>
      </w:r>
      <w:r>
        <w:t>related New Business activity</w:t>
      </w:r>
      <w:r w:rsidR="00836A9E">
        <w:t>”</w:t>
      </w:r>
      <w:r>
        <w:t xml:space="preserve"> and SDG&amp;E already used a 13</w:t>
      </w:r>
      <w:r w:rsidR="008A1F84">
        <w:t> percent</w:t>
      </w:r>
      <w:r>
        <w:t xml:space="preserve"> escalator in the New Business Category.</w:t>
      </w:r>
      <w:r w:rsidRPr="009550BB">
        <w:rPr>
          <w:rStyle w:val="FootnoteReference"/>
        </w:rPr>
        <w:footnoteReference w:id="117"/>
      </w:r>
      <w:r>
        <w:t xml:space="preserve"> TURN opposes the use of the 13</w:t>
      </w:r>
      <w:r w:rsidR="008A1F84">
        <w:t> percent</w:t>
      </w:r>
      <w:r>
        <w:t xml:space="preserve"> escalator and proposes to adjust the 2024 actual spend by historical changes in transformer prices.</w:t>
      </w:r>
      <w:r w:rsidRPr="009550BB">
        <w:rPr>
          <w:rStyle w:val="FootnoteReference"/>
        </w:rPr>
        <w:footnoteReference w:id="118"/>
      </w:r>
      <w:r>
        <w:t xml:space="preserve"> </w:t>
      </w:r>
      <w:r w:rsidR="00366301">
        <w:t>Cal Advoc</w:t>
      </w:r>
      <w:r w:rsidRPr="000458AA">
        <w:t>ates</w:t>
      </w:r>
      <w:r w:rsidRPr="00B31805">
        <w:t xml:space="preserve"> </w:t>
      </w:r>
      <w:r>
        <w:t xml:space="preserve">notes that </w:t>
      </w:r>
      <w:r w:rsidRPr="00B31805">
        <w:t>SDG&amp;E</w:t>
      </w:r>
      <w:r w:rsidR="00836A9E">
        <w:t>’</w:t>
      </w:r>
      <w:r>
        <w:t>s only support for claims about transformer prices was to</w:t>
      </w:r>
      <w:r w:rsidRPr="00B31805">
        <w:t xml:space="preserve"> cite a study on general metal prices but did not link it to actual transformer costs or show sustained price increases</w:t>
      </w:r>
      <w:r>
        <w:t>.</w:t>
      </w:r>
      <w:r w:rsidRPr="009550BB">
        <w:rPr>
          <w:rStyle w:val="FootnoteReference"/>
        </w:rPr>
        <w:footnoteReference w:id="119"/>
      </w:r>
      <w:r>
        <w:t xml:space="preserve"> TURN notes that </w:t>
      </w:r>
      <w:r w:rsidR="00836A9E">
        <w:t>“</w:t>
      </w:r>
      <w:r w:rsidRPr="004F7302">
        <w:t>new business transformer costs declined by 28% between 2023 and 2024 and rose a total of 6% between 2022 and 2024, or approximately 3% per year</w:t>
      </w:r>
      <w:r>
        <w:t>.</w:t>
      </w:r>
      <w:r w:rsidR="00836A9E">
        <w:t>”</w:t>
      </w:r>
      <w:r>
        <w:t xml:space="preserve"> TURN recommends limiting inflation adjustment to 2.4</w:t>
      </w:r>
      <w:r w:rsidR="008A1F84">
        <w:t> percent</w:t>
      </w:r>
      <w:r>
        <w:t xml:space="preserve">, representing </w:t>
      </w:r>
      <w:r w:rsidR="0098185E">
        <w:t xml:space="preserve">the </w:t>
      </w:r>
      <w:r>
        <w:t xml:space="preserve">change in </w:t>
      </w:r>
      <w:r w:rsidR="00E24726">
        <w:t xml:space="preserve">the </w:t>
      </w:r>
      <w:r w:rsidR="001541D4">
        <w:t>CPI</w:t>
      </w:r>
      <w:r w:rsidR="00A77254">
        <w:t>-U</w:t>
      </w:r>
      <w:r w:rsidR="00E24726">
        <w:t xml:space="preserve"> </w:t>
      </w:r>
      <w:r>
        <w:t xml:space="preserve">for </w:t>
      </w:r>
      <w:r w:rsidR="0098185E">
        <w:t xml:space="preserve">the </w:t>
      </w:r>
      <w:r>
        <w:t>year ending May 2025</w:t>
      </w:r>
      <w:r w:rsidR="00E24726">
        <w:t>,</w:t>
      </w:r>
      <w:r>
        <w:t xml:space="preserve"> instead of SDG&amp;E</w:t>
      </w:r>
      <w:r w:rsidR="00836A9E">
        <w:t>’</w:t>
      </w:r>
      <w:r>
        <w:t xml:space="preserve">s blanket </w:t>
      </w:r>
      <w:r w:rsidR="008A1F84">
        <w:t>three percent</w:t>
      </w:r>
      <w:r>
        <w:t xml:space="preserve"> inflation assumption.</w:t>
      </w:r>
      <w:r w:rsidRPr="009550BB">
        <w:rPr>
          <w:rStyle w:val="FootnoteReference"/>
        </w:rPr>
        <w:footnoteReference w:id="120"/>
      </w:r>
    </w:p>
    <w:p w:rsidRPr="00FF7FDE" w:rsidR="00B55CC6" w:rsidP="00F67BCA" w:rsidRDefault="00B55CC6" w14:paraId="5F461419" w14:textId="77777777">
      <w:r w:rsidRPr="00FF7FDE">
        <w:lastRenderedPageBreak/>
        <w:t xml:space="preserve">This decision </w:t>
      </w:r>
      <w:r>
        <w:t xml:space="preserve">adopts </w:t>
      </w:r>
      <w:proofErr w:type="spellStart"/>
      <w:r>
        <w:t>TURN’s</w:t>
      </w:r>
      <w:proofErr w:type="spellEnd"/>
      <w:r>
        <w:t xml:space="preserve"> recommendation to forecast </w:t>
      </w:r>
      <w:r w:rsidRPr="00FF7FDE">
        <w:t xml:space="preserve">forecasts 2025 and 2026 spend on transformers by escalating 2024 actual spend using </w:t>
      </w:r>
      <w:r>
        <w:t>CPI-U</w:t>
      </w:r>
      <w:r w:rsidRPr="00FF7FDE">
        <w:t xml:space="preserve">. </w:t>
      </w:r>
      <w:r>
        <w:t xml:space="preserve">SDG&amp;E does not provide evidence to support its argument that changes in transformer spend closely track changes in New Business spend, and does not address the more fundamental question of why it chose not to separately forecast future spend on transformers for energization purposes. Cal Advocates is correct that SDG&amp;E provides no quantitative evidence that could be used to directly estimate changes in transformer prices or the volume of transformers SDG&amp;E will need for energization purposes. </w:t>
      </w:r>
      <w:r w:rsidRPr="00FF7FDE">
        <w:t xml:space="preserve">Accordingly, this decision </w:t>
      </w:r>
      <w:r>
        <w:t xml:space="preserve">allows SDG&amp;E to record its actual spend of $17.302 million for 2024 and </w:t>
      </w:r>
      <w:r w:rsidRPr="00FF7FDE">
        <w:t>forecasts that SDG&amp;E will spend $17.</w:t>
      </w:r>
      <w:r>
        <w:t>769</w:t>
      </w:r>
      <w:r w:rsidRPr="00FF7FDE">
        <w:t xml:space="preserve"> million in 2025 and $18.</w:t>
      </w:r>
      <w:r>
        <w:t>248</w:t>
      </w:r>
      <w:r w:rsidRPr="00FF7FDE">
        <w:t xml:space="preserve"> million in 2026 on transformers for energization-related purposes.</w:t>
      </w:r>
    </w:p>
    <w:p w:rsidR="0045304D" w:rsidP="00F67BCA" w:rsidRDefault="0045304D" w14:paraId="0BBA920E" w14:textId="2D1846C0">
      <w:pPr>
        <w:pStyle w:val="Standard"/>
      </w:pPr>
      <w:r>
        <w:t xml:space="preserve">Separately, </w:t>
      </w:r>
      <w:r w:rsidR="00366301">
        <w:t>Cal Advoc</w:t>
      </w:r>
      <w:r>
        <w:t>ates argues that SDG&amp;E does not have immediate need for new transformers, and any new transformer purchases are unlikely to be placed into service by the end of 2026.</w:t>
      </w:r>
      <w:r w:rsidRPr="009550BB">
        <w:rPr>
          <w:rStyle w:val="FootnoteReference"/>
        </w:rPr>
        <w:footnoteReference w:id="121"/>
      </w:r>
      <w:r>
        <w:t xml:space="preserve"> </w:t>
      </w:r>
      <w:r w:rsidR="00366301">
        <w:t>Cal Advoc</w:t>
      </w:r>
      <w:r>
        <w:t>ates notes that SDG&amp;E has approximately 5,700 transformers on hand, providing sufficient to meet customer energization requests through the end of 2026.</w:t>
      </w:r>
      <w:r w:rsidRPr="009550BB">
        <w:rPr>
          <w:rStyle w:val="FootnoteReference"/>
        </w:rPr>
        <w:footnoteReference w:id="122"/>
      </w:r>
      <w:r>
        <w:t xml:space="preserve"> Accordingly, </w:t>
      </w:r>
      <w:r w:rsidR="00366301">
        <w:t>Cal Advoc</w:t>
      </w:r>
      <w:r>
        <w:t>ates recommends the Commission not allow SDG&amp;E to record any costs for transformer purchases.</w:t>
      </w:r>
      <w:r w:rsidRPr="009550BB">
        <w:rPr>
          <w:rStyle w:val="FootnoteReference"/>
        </w:rPr>
        <w:footnoteReference w:id="123"/>
      </w:r>
      <w:r>
        <w:t xml:space="preserve"> SDG&amp;E disagrees and clarifies that the </w:t>
      </w:r>
      <w:r w:rsidR="00836A9E">
        <w:t>“</w:t>
      </w:r>
      <w:r w:rsidRPr="00031CDA">
        <w:t>5,700 transformers in inventory span a wide range of material codes and are intended to support multiple operational needs across the organization, including emergency response, maintenance, and system upgrades</w:t>
      </w:r>
      <w:r w:rsidR="00D140B1">
        <w:t xml:space="preserve"> — </w:t>
      </w:r>
      <w:r w:rsidRPr="00031CDA">
        <w:t>not solely energization. The estimated costs included in SDG&amp;E</w:t>
      </w:r>
      <w:r w:rsidR="00836A9E">
        <w:t>’</w:t>
      </w:r>
      <w:r w:rsidRPr="00031CDA">
        <w:t xml:space="preserve">s </w:t>
      </w:r>
      <w:r w:rsidR="0040495F">
        <w:t>SB </w:t>
      </w:r>
      <w:r w:rsidRPr="00031CDA">
        <w:t xml:space="preserve">410 Application are </w:t>
      </w:r>
      <w:r w:rsidRPr="00031CDA">
        <w:lastRenderedPageBreak/>
        <w:t>specific to transformers procured for New Business</w:t>
      </w:r>
      <w:r w:rsidR="00503215">
        <w:noBreakHyphen/>
      </w:r>
      <w:r w:rsidRPr="00031CDA">
        <w:t>related energization work and will be tracked separately to ensure compliance with the statute</w:t>
      </w:r>
      <w:r w:rsidR="00836A9E">
        <w:t>’</w:t>
      </w:r>
      <w:r w:rsidRPr="00031CDA">
        <w:t>s requirements</w:t>
      </w:r>
      <w:r>
        <w:t>.</w:t>
      </w:r>
      <w:r w:rsidR="00836A9E">
        <w:t>”</w:t>
      </w:r>
      <w:r w:rsidRPr="009550BB">
        <w:rPr>
          <w:rStyle w:val="FootnoteReference"/>
        </w:rPr>
        <w:footnoteReference w:id="124"/>
      </w:r>
    </w:p>
    <w:p w:rsidRPr="00527926" w:rsidR="0045304D" w:rsidP="00F67BCA" w:rsidRDefault="0045304D" w14:paraId="50FE2FEF" w14:textId="041CEC99">
      <w:pPr>
        <w:pStyle w:val="Standard"/>
      </w:pPr>
      <w:r>
        <w:t xml:space="preserve">This decision does not adopt </w:t>
      </w:r>
      <w:r w:rsidR="00366301">
        <w:t>Cal Advoc</w:t>
      </w:r>
      <w:r>
        <w:t>ates</w:t>
      </w:r>
      <w:r w:rsidR="00836A9E">
        <w:t>’</w:t>
      </w:r>
      <w:r>
        <w:t xml:space="preserve"> recommendation</w:t>
      </w:r>
      <w:r w:rsidR="00405E94">
        <w:t xml:space="preserve"> to categorically exclude transformer costs from the cost cap. </w:t>
      </w:r>
      <w:r w:rsidR="00554D3B">
        <w:t xml:space="preserve">It is appropriate for SDG&amp;E to maintain </w:t>
      </w:r>
      <w:r w:rsidR="00D80E91">
        <w:t xml:space="preserve">an </w:t>
      </w:r>
      <w:r w:rsidR="00623E35">
        <w:t xml:space="preserve">inventory </w:t>
      </w:r>
      <w:r w:rsidR="00554D3B">
        <w:t>of transformers</w:t>
      </w:r>
      <w:r w:rsidR="00623E35">
        <w:t xml:space="preserve"> and </w:t>
      </w:r>
      <w:r w:rsidR="00366301">
        <w:t>Cal Advoc</w:t>
      </w:r>
      <w:r w:rsidR="00623E35">
        <w:t>ates does not demonstrate that SDG&amp;E</w:t>
      </w:r>
      <w:r w:rsidR="00836A9E">
        <w:t>’</w:t>
      </w:r>
      <w:r w:rsidR="00493228">
        <w:t>s current inventory</w:t>
      </w:r>
      <w:r w:rsidR="009244B1">
        <w:t xml:space="preserve"> </w:t>
      </w:r>
      <w:r w:rsidR="00271289">
        <w:t xml:space="preserve">is large enough that </w:t>
      </w:r>
      <w:r w:rsidR="000D4DD5">
        <w:t>the Commission should fully exclude transformer purchases from the cap</w:t>
      </w:r>
      <w:r w:rsidR="008F7D7A">
        <w:t>.</w:t>
      </w:r>
      <w:r w:rsidRPr="00D23902" w:rsidR="00D23902">
        <w:t xml:space="preserve"> </w:t>
      </w:r>
      <w:r w:rsidRPr="00FF7FDE" w:rsidR="00D23902">
        <w:t xml:space="preserve">SDG&amp;E, however, does not demonstrate that it needs to increase </w:t>
      </w:r>
      <w:r w:rsidR="003332AC">
        <w:t xml:space="preserve">the number of unused </w:t>
      </w:r>
      <w:r w:rsidRPr="00FF7FDE" w:rsidR="00D23902">
        <w:t>transformer</w:t>
      </w:r>
      <w:r w:rsidR="003332AC">
        <w:t>s</w:t>
      </w:r>
      <w:r w:rsidRPr="00FF7FDE" w:rsidR="00D23902">
        <w:t xml:space="preserve"> </w:t>
      </w:r>
      <w:r w:rsidR="003332AC">
        <w:t xml:space="preserve">it keeps in supply </w:t>
      </w:r>
      <w:r w:rsidRPr="00FF7FDE" w:rsidR="00D23902">
        <w:t xml:space="preserve">and therefore may not record costs for purchases </w:t>
      </w:r>
      <w:r w:rsidR="00D23902">
        <w:t xml:space="preserve">that </w:t>
      </w:r>
      <w:r w:rsidRPr="00FF7FDE" w:rsidR="00D23902">
        <w:t xml:space="preserve">simply increase its </w:t>
      </w:r>
      <w:r w:rsidR="00687370">
        <w:t xml:space="preserve">stock </w:t>
      </w:r>
      <w:r w:rsidRPr="00FF7FDE" w:rsidR="00D23902">
        <w:t xml:space="preserve">of transformers. </w:t>
      </w:r>
      <w:r w:rsidR="00D23902">
        <w:t xml:space="preserve">As </w:t>
      </w:r>
      <w:r w:rsidRPr="00FF7FDE" w:rsidR="00D23902">
        <w:t>SDG&amp;E</w:t>
      </w:r>
      <w:r w:rsidR="00D23902">
        <w:t xml:space="preserve">’s transformer cost forecast only extended to 2026, it </w:t>
      </w:r>
      <w:r w:rsidRPr="00FF7FDE" w:rsidR="00D23902">
        <w:t>may only record transformer costs for projects placed in service before 2027</w:t>
      </w:r>
      <w:r w:rsidR="00D23902">
        <w:t>.</w:t>
      </w:r>
    </w:p>
    <w:p w:rsidR="00F44DF0" w:rsidP="00BB4B1B" w:rsidRDefault="00F44DF0" w14:paraId="2776D81C" w14:textId="5A9EF789">
      <w:pPr>
        <w:pStyle w:val="Heading3"/>
      </w:pPr>
      <w:bookmarkStart w:name="_Toc212538552" w:id="50"/>
      <w:r>
        <w:t>Transformer Purchase</w:t>
      </w:r>
      <w:r w:rsidR="00F97CF6">
        <w:t>s</w:t>
      </w:r>
      <w:r w:rsidR="00836A9E">
        <w:t>’</w:t>
      </w:r>
      <w:r w:rsidR="00871E40">
        <w:br/>
      </w:r>
      <w:r w:rsidR="00F97CF6">
        <w:t>Contribution to Cap</w:t>
      </w:r>
      <w:bookmarkEnd w:id="50"/>
    </w:p>
    <w:p w:rsidR="007F1773" w:rsidP="00F67BCA" w:rsidRDefault="009458A2" w14:paraId="2BBA72B9" w14:textId="402DAFDA">
      <w:pPr>
        <w:pStyle w:val="Standard"/>
      </w:pPr>
      <w:r>
        <w:t xml:space="preserve">SDG&amp;E requests authority to record </w:t>
      </w:r>
      <w:r w:rsidR="00FE4143">
        <w:t xml:space="preserve">actual </w:t>
      </w:r>
      <w:r w:rsidR="00693921">
        <w:t xml:space="preserve">incremental </w:t>
      </w:r>
      <w:r w:rsidR="00FE4143">
        <w:t xml:space="preserve">costs of $6.653 million in 2024 and </w:t>
      </w:r>
      <w:r>
        <w:t>incremental costs of $8.583</w:t>
      </w:r>
      <w:r w:rsidR="009C11C6">
        <w:t> million</w:t>
      </w:r>
      <w:r>
        <w:t xml:space="preserve"> in 2025 and $10.796</w:t>
      </w:r>
      <w:r w:rsidR="009C11C6">
        <w:t> million</w:t>
      </w:r>
      <w:r>
        <w:t xml:space="preserve"> in 2026 for transformer purchases based on the assumptions described above.</w:t>
      </w:r>
      <w:r w:rsidRPr="009550BB">
        <w:rPr>
          <w:rStyle w:val="FootnoteReference"/>
        </w:rPr>
        <w:footnoteReference w:id="125"/>
      </w:r>
    </w:p>
    <w:p w:rsidRPr="00F44DF0" w:rsidR="009458A2" w:rsidP="00F67BCA" w:rsidRDefault="00C65C94" w14:paraId="3BB65632" w14:textId="175F0247">
      <w:pPr>
        <w:pStyle w:val="Standard"/>
      </w:pPr>
      <w:r w:rsidRPr="00A416F1">
        <w:t xml:space="preserve">This decision </w:t>
      </w:r>
      <w:r w:rsidRPr="00A416F1" w:rsidR="00F97EEE">
        <w:t xml:space="preserve">allows </w:t>
      </w:r>
      <w:r w:rsidR="004A3441">
        <w:t>actual costs of $</w:t>
      </w:r>
      <w:r w:rsidR="00675936">
        <w:t>3</w:t>
      </w:r>
      <w:r w:rsidR="00D46151">
        <w:t>.</w:t>
      </w:r>
      <w:r w:rsidR="00675936">
        <w:t>435</w:t>
      </w:r>
      <w:r w:rsidR="004A3441">
        <w:t xml:space="preserve"> million in 2024 and </w:t>
      </w:r>
      <w:r w:rsidRPr="00A416F1" w:rsidR="00F97EEE">
        <w:t>forecasted costs of $</w:t>
      </w:r>
      <w:r w:rsidR="009C6124">
        <w:t>3.487</w:t>
      </w:r>
      <w:r w:rsidR="009C11C6">
        <w:t> million</w:t>
      </w:r>
      <w:r w:rsidRPr="00A416F1" w:rsidR="00F97EEE">
        <w:t xml:space="preserve"> in 2025 and $</w:t>
      </w:r>
      <w:r w:rsidR="009C6124">
        <w:t>3.5</w:t>
      </w:r>
      <w:r w:rsidR="00B56F9D">
        <w:t>3</w:t>
      </w:r>
      <w:r w:rsidR="009C6124">
        <w:t>8</w:t>
      </w:r>
      <w:r w:rsidR="009C11C6">
        <w:t> million</w:t>
      </w:r>
      <w:r w:rsidRPr="00A416F1" w:rsidR="00F97EEE">
        <w:t xml:space="preserve"> in 2026 </w:t>
      </w:r>
      <w:r w:rsidR="009B7E37">
        <w:t xml:space="preserve">for transformers </w:t>
      </w:r>
      <w:r w:rsidRPr="00A416F1" w:rsidR="00F97EEE">
        <w:t xml:space="preserve">to count toward the </w:t>
      </w:r>
      <w:r w:rsidRPr="00A416F1" w:rsidR="00A416F1">
        <w:t>cap.</w:t>
      </w:r>
      <w:r w:rsidR="00A416F1">
        <w:t xml:space="preserve"> </w:t>
      </w:r>
      <w:r w:rsidR="007B0BDA">
        <w:t xml:space="preserve">As </w:t>
      </w:r>
      <w:r w:rsidR="008D2CCA">
        <w:t>described in earlier sections,</w:t>
      </w:r>
      <w:r w:rsidR="00A416F1">
        <w:t xml:space="preserve"> </w:t>
      </w:r>
      <w:r w:rsidR="007B0BDA">
        <w:t xml:space="preserve">these figures </w:t>
      </w:r>
      <w:r w:rsidR="00A416F1">
        <w:t>are calculat</w:t>
      </w:r>
      <w:r w:rsidR="008D2CCA">
        <w:t>ed</w:t>
      </w:r>
      <w:r w:rsidR="00A416F1">
        <w:t xml:space="preserve"> by subtracting GRC</w:t>
      </w:r>
      <w:r w:rsidR="29FE8427">
        <w:t>-</w:t>
      </w:r>
      <w:r w:rsidR="00A416F1">
        <w:t xml:space="preserve">authorized spend </w:t>
      </w:r>
      <w:r w:rsidR="007B0BDA">
        <w:t xml:space="preserve">of </w:t>
      </w:r>
      <w:r w:rsidRPr="009425F0" w:rsidR="007B0BDA">
        <w:t>$</w:t>
      </w:r>
      <w:r w:rsidR="007B0BDA">
        <w:t xml:space="preserve">13.867 million in 2024, </w:t>
      </w:r>
      <w:r w:rsidRPr="009425F0" w:rsidR="007B0BDA">
        <w:t>$</w:t>
      </w:r>
      <w:r w:rsidR="007B0BDA">
        <w:t xml:space="preserve">14.282 million in 2025, and $14.711 million in 2026 </w:t>
      </w:r>
      <w:r w:rsidR="00A416F1">
        <w:t xml:space="preserve">from </w:t>
      </w:r>
      <w:r w:rsidR="007B0BDA">
        <w:t xml:space="preserve">actual spend of $17.302 </w:t>
      </w:r>
      <w:r w:rsidR="007B0BDA">
        <w:lastRenderedPageBreak/>
        <w:t xml:space="preserve">million for 2024 and </w:t>
      </w:r>
      <w:r w:rsidRPr="00FF7FDE" w:rsidR="007B0BDA">
        <w:t>forecast</w:t>
      </w:r>
      <w:r w:rsidR="007B0BDA">
        <w:t xml:space="preserve">ed spend of </w:t>
      </w:r>
      <w:r w:rsidRPr="00FF7FDE" w:rsidR="007B0BDA">
        <w:t>$17.</w:t>
      </w:r>
      <w:r w:rsidR="007B0BDA">
        <w:t>769</w:t>
      </w:r>
      <w:r w:rsidRPr="00FF7FDE" w:rsidR="007B0BDA">
        <w:t xml:space="preserve"> million in 2025 and $18.</w:t>
      </w:r>
      <w:r w:rsidR="007B0BDA">
        <w:t>24</w:t>
      </w:r>
      <w:r w:rsidR="00FB128E">
        <w:t>9</w:t>
      </w:r>
      <w:r w:rsidRPr="00FF7FDE" w:rsidR="007B0BDA">
        <w:t xml:space="preserve"> million in 2026</w:t>
      </w:r>
      <w:r w:rsidR="00E31DC6">
        <w:t>.</w:t>
      </w:r>
    </w:p>
    <w:p w:rsidR="004C206B" w:rsidP="00BB4B1B" w:rsidRDefault="004C206B" w14:paraId="386CAB09" w14:textId="5BA3E176">
      <w:pPr>
        <w:pStyle w:val="Heading2"/>
      </w:pPr>
      <w:bookmarkStart w:name="_Toc212538553" w:id="51"/>
      <w:r>
        <w:t>I</w:t>
      </w:r>
      <w:r w:rsidR="008D627B">
        <w:t>nformation Technology</w:t>
      </w:r>
      <w:r w:rsidR="00567396">
        <w:br/>
      </w:r>
      <w:r>
        <w:t>System Enhancements</w:t>
      </w:r>
      <w:bookmarkEnd w:id="51"/>
    </w:p>
    <w:p w:rsidR="00D07517" w:rsidP="00BB4B1B" w:rsidRDefault="00D07517" w14:paraId="00A434B3" w14:textId="646D088E">
      <w:pPr>
        <w:pStyle w:val="Heading3"/>
      </w:pPr>
      <w:bookmarkStart w:name="_Toc212538554" w:id="52"/>
      <w:r>
        <w:t>Category Overview and</w:t>
      </w:r>
      <w:r w:rsidR="00567396">
        <w:br/>
      </w:r>
      <w:r>
        <w:t>Drivers of Incremental Need</w:t>
      </w:r>
      <w:bookmarkEnd w:id="52"/>
    </w:p>
    <w:p w:rsidR="00C044F0" w:rsidP="00F67BCA" w:rsidRDefault="00C044F0" w14:paraId="73107C0A" w14:textId="3EAB034B">
      <w:pPr>
        <w:pStyle w:val="Standard"/>
      </w:pPr>
      <w:r>
        <w:t xml:space="preserve">SDG&amp;E requests authorization to record costs for IT projects, explaining the projects are necessary for SDG&amp;E to </w:t>
      </w:r>
      <w:r w:rsidR="00836A9E">
        <w:t>“</w:t>
      </w:r>
      <w:r>
        <w:t>fully and accurately comply</w:t>
      </w:r>
      <w:r w:rsidR="00836A9E">
        <w:t>”</w:t>
      </w:r>
      <w:r>
        <w:t xml:space="preserve"> with</w:t>
      </w:r>
      <w:r w:rsidR="00CC7922">
        <w:t xml:space="preserve"> the Commission</w:t>
      </w:r>
      <w:r w:rsidR="00836A9E">
        <w:t>’</w:t>
      </w:r>
      <w:r w:rsidR="00CC7922">
        <w:t>s energization timelines decision, D.24</w:t>
      </w:r>
      <w:r w:rsidR="00503215">
        <w:noBreakHyphen/>
      </w:r>
      <w:r w:rsidR="00CC7922">
        <w:t>09</w:t>
      </w:r>
      <w:r w:rsidR="00503215">
        <w:noBreakHyphen/>
      </w:r>
      <w:r w:rsidR="00CC7922">
        <w:t>020</w:t>
      </w:r>
      <w:r>
        <w:t>.</w:t>
      </w:r>
      <w:r w:rsidRPr="009550BB">
        <w:rPr>
          <w:rStyle w:val="FootnoteReference"/>
        </w:rPr>
        <w:footnoteReference w:id="126"/>
      </w:r>
      <w:r w:rsidR="00A937B5">
        <w:t xml:space="preserve"> SDG&amp;E </w:t>
      </w:r>
      <w:r w:rsidR="008D627B">
        <w:t xml:space="preserve">does not argue its forecasted IT </w:t>
      </w:r>
      <w:r w:rsidR="00FC1AD5">
        <w:t>costs meet the statutory definition of energization.</w:t>
      </w:r>
      <w:r w:rsidR="00AB7089">
        <w:t xml:space="preserve"> Instead, SDG&amp;E </w:t>
      </w:r>
      <w:r w:rsidR="00121F3F">
        <w:t>argues</w:t>
      </w:r>
      <w:r w:rsidR="00AB7089">
        <w:t xml:space="preserve">, </w:t>
      </w:r>
      <w:r w:rsidR="00836A9E">
        <w:t>“</w:t>
      </w:r>
      <w:r w:rsidRPr="00AB7089" w:rsidR="00AB7089">
        <w:t>the IT system enhancements [are] necessary to facilitate accelerating timelines, communicate with customers, and provide the Commission with the information needed to verify compliance with the target deadlines and the reporting required by the Commission</w:t>
      </w:r>
      <w:r w:rsidR="00836A9E">
        <w:t>’</w:t>
      </w:r>
      <w:r w:rsidRPr="00AB7089" w:rsidR="00AB7089">
        <w:t>s implementation of [</w:t>
      </w:r>
      <w:r w:rsidR="0040495F">
        <w:t>SB </w:t>
      </w:r>
      <w:r w:rsidRPr="00AB7089" w:rsidR="00AB7089">
        <w:t>410] and as set forth in D.24</w:t>
      </w:r>
      <w:r w:rsidR="00503215">
        <w:noBreakHyphen/>
      </w:r>
      <w:r w:rsidRPr="00AB7089" w:rsidR="00AB7089">
        <w:t>09</w:t>
      </w:r>
      <w:r w:rsidR="00503215">
        <w:noBreakHyphen/>
      </w:r>
      <w:r w:rsidRPr="00AB7089" w:rsidR="00AB7089">
        <w:t>020.</w:t>
      </w:r>
      <w:r w:rsidR="00836A9E">
        <w:t>”</w:t>
      </w:r>
    </w:p>
    <w:p w:rsidR="00C00FA6" w:rsidP="00BB4B1B" w:rsidRDefault="00C00FA6" w14:paraId="4536A97B" w14:textId="557CBA82">
      <w:pPr>
        <w:pStyle w:val="Heading3"/>
      </w:pPr>
      <w:bookmarkStart w:name="_Toc212538555" w:id="53"/>
      <w:r>
        <w:t>Threshold Demonstration</w:t>
      </w:r>
      <w:r w:rsidR="007F75EF">
        <w:br/>
      </w:r>
      <w:r>
        <w:t>of Need for Information</w:t>
      </w:r>
      <w:r w:rsidR="007F75EF">
        <w:br/>
      </w:r>
      <w:r>
        <w:t>Technology Enhancements</w:t>
      </w:r>
      <w:bookmarkEnd w:id="53"/>
    </w:p>
    <w:p w:rsidR="0049488C" w:rsidP="00F67BCA" w:rsidRDefault="00366301" w14:paraId="6465B28E" w14:textId="58805102">
      <w:pPr>
        <w:pStyle w:val="Standard"/>
      </w:pPr>
      <w:r>
        <w:t>Cal Advoc</w:t>
      </w:r>
      <w:r w:rsidRPr="00FF1FDF" w:rsidR="003B232C">
        <w:t xml:space="preserve">ates </w:t>
      </w:r>
      <w:r w:rsidR="000800E8">
        <w:t xml:space="preserve">argues </w:t>
      </w:r>
      <w:r w:rsidRPr="00FF1FDF" w:rsidR="003B232C">
        <w:t xml:space="preserve">that SDG&amp;E has not sufficiently demonstrated that its existing IT infrastructure </w:t>
      </w:r>
      <w:r w:rsidRPr="00FF1FDF" w:rsidR="00396435">
        <w:t>and workflow have</w:t>
      </w:r>
      <w:r w:rsidR="00D140B1">
        <w:t xml:space="preserve"> — </w:t>
      </w:r>
      <w:r w:rsidRPr="00FF1FDF" w:rsidR="003B232C">
        <w:t>or will have</w:t>
      </w:r>
      <w:r w:rsidR="00D140B1">
        <w:t xml:space="preserve"> — </w:t>
      </w:r>
      <w:r w:rsidRPr="00FF1FDF" w:rsidR="003B232C">
        <w:t>any material problems that the proposed projects would solve.</w:t>
      </w:r>
      <w:r w:rsidR="0049488C">
        <w:t xml:space="preserve"> </w:t>
      </w:r>
      <w:r w:rsidR="00195448">
        <w:t xml:space="preserve">It follows, </w:t>
      </w:r>
      <w:r>
        <w:t>Cal Advoc</w:t>
      </w:r>
      <w:r w:rsidR="0049488C">
        <w:t>ates argues</w:t>
      </w:r>
      <w:r w:rsidR="00195448">
        <w:t>,</w:t>
      </w:r>
      <w:r w:rsidR="0049488C">
        <w:t xml:space="preserve"> that SDG&amp;E does not adequately demonstrate </w:t>
      </w:r>
      <w:r w:rsidR="00741FBE">
        <w:t xml:space="preserve">that </w:t>
      </w:r>
      <w:r w:rsidR="0049488C">
        <w:t>its IT projects are necessary to meet the requirements set forth in the energization decision and should on that basis be denied.</w:t>
      </w:r>
      <w:r w:rsidRPr="009550BB" w:rsidR="0049488C">
        <w:rPr>
          <w:rStyle w:val="FootnoteReference"/>
        </w:rPr>
        <w:footnoteReference w:id="127"/>
      </w:r>
      <w:r w:rsidR="007D7D45">
        <w:t xml:space="preserve"> </w:t>
      </w:r>
      <w:r w:rsidR="0049488C">
        <w:t xml:space="preserve">Specifically, </w:t>
      </w:r>
      <w:r>
        <w:t>Cal Advoc</w:t>
      </w:r>
      <w:r w:rsidRPr="004F576D" w:rsidR="0049488C">
        <w:t xml:space="preserve">ates </w:t>
      </w:r>
      <w:r w:rsidR="0049488C">
        <w:t>notes that SDG&amp;E provides no evidence that any materials problems currently exist</w:t>
      </w:r>
      <w:r w:rsidR="007F1773">
        <w:t xml:space="preserve">:  </w:t>
      </w:r>
      <w:r w:rsidR="0049488C">
        <w:t xml:space="preserve">no description </w:t>
      </w:r>
      <w:r w:rsidR="0049488C">
        <w:lastRenderedPageBreak/>
        <w:t xml:space="preserve">of current timelines; no descriptions of weaknesses in the existing processes and examples of the consequences of those weaknesses; no empirical evidence, at all. </w:t>
      </w:r>
      <w:r>
        <w:t>Cal Advoc</w:t>
      </w:r>
      <w:r w:rsidR="0049488C">
        <w:t xml:space="preserve">ates argues that </w:t>
      </w:r>
      <w:r w:rsidR="00836A9E">
        <w:t>“</w:t>
      </w:r>
      <w:r w:rsidR="0049488C">
        <w:t xml:space="preserve">[without] </w:t>
      </w:r>
      <w:r w:rsidRPr="00927A7B" w:rsidR="0049488C">
        <w:t>a clear diagnostic assessment of delay points within the end</w:t>
      </w:r>
      <w:r w:rsidR="00503215">
        <w:noBreakHyphen/>
      </w:r>
      <w:r w:rsidRPr="00927A7B" w:rsidR="0049488C">
        <w:t>to</w:t>
      </w:r>
      <w:r w:rsidR="00503215">
        <w:noBreakHyphen/>
      </w:r>
      <w:r w:rsidRPr="00927A7B" w:rsidR="0049488C">
        <w:t>end energization workflow, and without clear demonstration of how the IT enhancements and associated cost estimates will aid in the energization timeline, SDG&amp;E has not justified the need for such enhancements.</w:t>
      </w:r>
      <w:r w:rsidR="00836A9E">
        <w:t>”</w:t>
      </w:r>
      <w:r w:rsidRPr="009550BB" w:rsidR="0049488C">
        <w:rPr>
          <w:rStyle w:val="FootnoteReference"/>
        </w:rPr>
        <w:footnoteReference w:id="128"/>
      </w:r>
      <w:r w:rsidRPr="00224ED1" w:rsidR="00224ED1">
        <w:t xml:space="preserve"> </w:t>
      </w:r>
      <w:r w:rsidR="00224ED1">
        <w:t xml:space="preserve">SDG&amp;E </w:t>
      </w:r>
      <w:r w:rsidR="00A43173">
        <w:t xml:space="preserve">disagrees and argue that </w:t>
      </w:r>
      <w:r>
        <w:t>Cal Advoc</w:t>
      </w:r>
      <w:r w:rsidR="00224ED1">
        <w:t>ates</w:t>
      </w:r>
      <w:r w:rsidR="00A43173">
        <w:t xml:space="preserve"> </w:t>
      </w:r>
      <w:r w:rsidR="00224ED1">
        <w:t>mischaracterize</w:t>
      </w:r>
      <w:r w:rsidR="00A43173">
        <w:t>s</w:t>
      </w:r>
      <w:r w:rsidR="00224ED1">
        <w:t xml:space="preserve"> the level of detail SDG&amp;E provided in its testimony.</w:t>
      </w:r>
      <w:r w:rsidRPr="009550BB" w:rsidR="00224ED1">
        <w:rPr>
          <w:rStyle w:val="FootnoteReference"/>
        </w:rPr>
        <w:footnoteReference w:id="129"/>
      </w:r>
    </w:p>
    <w:p w:rsidRPr="004D6A59" w:rsidR="0049488C" w:rsidP="00F67BCA" w:rsidRDefault="00530295" w14:paraId="13C414FC" w14:textId="7AB55D14">
      <w:pPr>
        <w:pStyle w:val="Standard"/>
      </w:pPr>
      <w:r w:rsidRPr="004D6A59">
        <w:t xml:space="preserve">This </w:t>
      </w:r>
      <w:r w:rsidRPr="65707BC2">
        <w:t>decision</w:t>
      </w:r>
      <w:r w:rsidRPr="004D6A59">
        <w:t xml:space="preserve"> broadly agrees with </w:t>
      </w:r>
      <w:r w:rsidR="00366301">
        <w:t>Cal Advoc</w:t>
      </w:r>
      <w:r w:rsidRPr="004D6A59">
        <w:t>ates</w:t>
      </w:r>
      <w:r w:rsidR="00836A9E">
        <w:t>’</w:t>
      </w:r>
      <w:r w:rsidRPr="004D6A59">
        <w:t xml:space="preserve"> assess</w:t>
      </w:r>
      <w:r w:rsidRPr="004D6A59" w:rsidR="008C6A25">
        <w:t xml:space="preserve">ment that SDG&amp;E has not </w:t>
      </w:r>
      <w:r w:rsidRPr="004D6A59" w:rsidR="00A06CC7">
        <w:t xml:space="preserve">explained its current problems with sufficient specificity and provides no evidence supporting </w:t>
      </w:r>
      <w:r w:rsidRPr="004D6A59" w:rsidR="00BD3533">
        <w:t>those claims.</w:t>
      </w:r>
      <w:r w:rsidRPr="004D6A59" w:rsidR="004706E8">
        <w:t xml:space="preserve"> </w:t>
      </w:r>
      <w:r w:rsidR="00EB615A">
        <w:t xml:space="preserve">With limited exception, </w:t>
      </w:r>
      <w:r w:rsidRPr="004D6A59" w:rsidR="004706E8">
        <w:t>SDG&amp;E does not explain which requirements from D.24</w:t>
      </w:r>
      <w:r w:rsidR="00503215">
        <w:noBreakHyphen/>
      </w:r>
      <w:r w:rsidRPr="004D6A59" w:rsidR="004706E8">
        <w:t>09</w:t>
      </w:r>
      <w:r w:rsidR="00503215">
        <w:noBreakHyphen/>
      </w:r>
      <w:r w:rsidRPr="004D6A59" w:rsidR="004706E8">
        <w:t xml:space="preserve">020 it cannot meet (whether for timing or capability reasons), why its current tools are insufficient, the consequences of delaying </w:t>
      </w:r>
      <w:r w:rsidR="00791234">
        <w:t>those upgrades</w:t>
      </w:r>
      <w:r w:rsidRPr="004D6A59" w:rsidR="004706E8">
        <w:t>, or the specific capabilities its proposed projects will provide.</w:t>
      </w:r>
      <w:r w:rsidRPr="004D6A59" w:rsidR="00955CB2">
        <w:t xml:space="preserve"> Furthermore, as SDG&amp;E</w:t>
      </w:r>
      <w:r w:rsidR="00836A9E">
        <w:t>’</w:t>
      </w:r>
      <w:r w:rsidRPr="004D6A59" w:rsidR="00955CB2">
        <w:t xml:space="preserve">s </w:t>
      </w:r>
      <w:r w:rsidRPr="004D6A59" w:rsidR="00056471">
        <w:t xml:space="preserve">energization reports </w:t>
      </w:r>
      <w:r w:rsidR="00F75C21">
        <w:t xml:space="preserve">indicate </w:t>
      </w:r>
      <w:r w:rsidR="00ED2DB8">
        <w:t xml:space="preserve">that it </w:t>
      </w:r>
      <w:r w:rsidR="00836A9E">
        <w:t>“</w:t>
      </w:r>
      <w:r w:rsidRPr="000B4386" w:rsidR="000B4386">
        <w:t xml:space="preserve">has already made significant strides in enhancing the customer experience and accelerating energization timelines. SDG&amp;E will continue to address implementation opportunities and system limitations to meet the requirements of </w:t>
      </w:r>
      <w:r w:rsidR="000B4386">
        <w:t>[D.24</w:t>
      </w:r>
      <w:r w:rsidR="00503215">
        <w:noBreakHyphen/>
      </w:r>
      <w:r w:rsidR="000B4386">
        <w:t>09</w:t>
      </w:r>
      <w:r w:rsidR="00503215">
        <w:noBreakHyphen/>
      </w:r>
      <w:r w:rsidR="000B4386">
        <w:t>020]</w:t>
      </w:r>
      <w:r w:rsidRPr="000B4386" w:rsidR="000B4386">
        <w:t>.</w:t>
      </w:r>
      <w:r w:rsidR="00836A9E">
        <w:t>”</w:t>
      </w:r>
      <w:r w:rsidRPr="009550BB" w:rsidR="007D7FB7">
        <w:rPr>
          <w:rStyle w:val="FootnoteReference"/>
        </w:rPr>
        <w:footnoteReference w:id="130"/>
      </w:r>
    </w:p>
    <w:p w:rsidR="004D1FF7" w:rsidP="004A7A96" w:rsidRDefault="004D1FF7" w14:paraId="7A28755F" w14:textId="77777777">
      <w:pPr>
        <w:pStyle w:val="Heading3"/>
      </w:pPr>
      <w:bookmarkStart w:name="_Toc212538556" w:id="54"/>
      <w:r>
        <w:t>Nexus Digital Application</w:t>
      </w:r>
      <w:bookmarkEnd w:id="54"/>
    </w:p>
    <w:p w:rsidR="007F1773" w:rsidP="00F67BCA" w:rsidRDefault="004D1FF7" w14:paraId="08A72179" w14:textId="74703B23">
      <w:pPr>
        <w:pStyle w:val="Standard"/>
      </w:pPr>
      <w:r>
        <w:t xml:space="preserve">SDG&amp;E requests authority to record incremental costs of </w:t>
      </w:r>
      <w:r w:rsidR="003A06A5">
        <w:t xml:space="preserve">$1.176 million in 2024, </w:t>
      </w:r>
      <w:r>
        <w:t>$8.681</w:t>
      </w:r>
      <w:r w:rsidR="009C11C6">
        <w:t> million</w:t>
      </w:r>
      <w:r>
        <w:t xml:space="preserve"> in 2025 and $9.104</w:t>
      </w:r>
      <w:r w:rsidR="009C11C6">
        <w:t> million</w:t>
      </w:r>
      <w:r>
        <w:t xml:space="preserve"> in 2026 for its Nexus Digital </w:t>
      </w:r>
      <w:r>
        <w:lastRenderedPageBreak/>
        <w:t>Application (Nexus).</w:t>
      </w:r>
      <w:r w:rsidRPr="009550BB">
        <w:rPr>
          <w:rStyle w:val="FootnoteReference"/>
        </w:rPr>
        <w:footnoteReference w:id="131"/>
      </w:r>
      <w:r>
        <w:t xml:space="preserve"> SDG&amp;E describes Nexus as project management software that will improve SDG&amp;E</w:t>
      </w:r>
      <w:r w:rsidR="00836A9E">
        <w:t>’</w:t>
      </w:r>
      <w:r>
        <w:t xml:space="preserve">s existing project management system that currently </w:t>
      </w:r>
      <w:r w:rsidR="00836A9E">
        <w:t>“</w:t>
      </w:r>
      <w:r w:rsidRPr="00CE0028">
        <w:t>prevent</w:t>
      </w:r>
      <w:r>
        <w:t>s</w:t>
      </w:r>
      <w:r w:rsidRPr="00CE0028">
        <w:t xml:space="preserve"> holistic visibility across project stages, complicates data consistency and accuracy maintenance, limits ability to identify and address process bottlenecks, and hinders effective cross</w:t>
      </w:r>
      <w:r w:rsidR="00503215">
        <w:noBreakHyphen/>
      </w:r>
      <w:r w:rsidRPr="00CE0028">
        <w:t>departmental collaboration</w:t>
      </w:r>
      <w:r>
        <w:t>.</w:t>
      </w:r>
      <w:r w:rsidR="00836A9E">
        <w:t>”</w:t>
      </w:r>
      <w:r w:rsidRPr="009550BB">
        <w:rPr>
          <w:rStyle w:val="FootnoteReference"/>
        </w:rPr>
        <w:footnoteReference w:id="132"/>
      </w:r>
      <w:r>
        <w:t xml:space="preserve"> SDG&amp;E asserts that </w:t>
      </w:r>
      <w:r w:rsidR="00836A9E">
        <w:t>“</w:t>
      </w:r>
      <w:r>
        <w:t>[without] Nexus, SDG&amp;E</w:t>
      </w:r>
      <w:r w:rsidR="00836A9E">
        <w:t>’</w:t>
      </w:r>
      <w:r>
        <w:t>s ability to be fully in compliance with D.24</w:t>
      </w:r>
      <w:r w:rsidR="00503215">
        <w:noBreakHyphen/>
      </w:r>
      <w:r>
        <w:t>09</w:t>
      </w:r>
      <w:r w:rsidR="00503215">
        <w:noBreakHyphen/>
      </w:r>
      <w:r>
        <w:t>020 is at risk.</w:t>
      </w:r>
      <w:r w:rsidR="00836A9E">
        <w:t>”</w:t>
      </w:r>
      <w:r w:rsidRPr="009550BB">
        <w:rPr>
          <w:rStyle w:val="FootnoteReference"/>
        </w:rPr>
        <w:footnoteReference w:id="133"/>
      </w:r>
    </w:p>
    <w:p w:rsidR="004D1FF7" w:rsidP="00F67BCA" w:rsidRDefault="004D1FF7" w14:paraId="1313FC0E" w14:textId="53A478E2">
      <w:pPr>
        <w:pStyle w:val="Standard"/>
      </w:pPr>
      <w:r>
        <w:t>It is unclear from SDG&amp;E</w:t>
      </w:r>
      <w:r w:rsidR="00836A9E">
        <w:t>’</w:t>
      </w:r>
      <w:r>
        <w:t>s application and direct testimony how developed SDG&amp;E</w:t>
      </w:r>
      <w:r w:rsidR="00836A9E">
        <w:t>’</w:t>
      </w:r>
      <w:r>
        <w:t xml:space="preserve">s plans for Nexus are. SDG&amp;E acknowledges that </w:t>
      </w:r>
      <w:r w:rsidR="00836A9E">
        <w:t>“</w:t>
      </w:r>
      <w:r w:rsidRPr="004B7FC2">
        <w:t>not all detailed requirements for Nexus have been developed at this time</w:t>
      </w:r>
      <w:r>
        <w:t>,</w:t>
      </w:r>
      <w:r w:rsidR="00836A9E">
        <w:t>”</w:t>
      </w:r>
      <w:r>
        <w:t xml:space="preserve"> but SDG&amp;E plans for Nexus to be a</w:t>
      </w:r>
      <w:r w:rsidRPr="00365D0C">
        <w:t xml:space="preserve"> </w:t>
      </w:r>
      <w:r w:rsidR="00836A9E">
        <w:t>“</w:t>
      </w:r>
      <w:r w:rsidRPr="00365D0C">
        <w:t>core platform for reducing timelines, enhancing the customer experience, and collecting and reporting data to meet the requirements of D.24</w:t>
      </w:r>
      <w:r w:rsidR="00503215">
        <w:noBreakHyphen/>
      </w:r>
      <w:r w:rsidRPr="00365D0C">
        <w:t>09</w:t>
      </w:r>
      <w:r w:rsidR="00503215">
        <w:noBreakHyphen/>
      </w:r>
      <w:r w:rsidRPr="00365D0C">
        <w:t>020</w:t>
      </w:r>
      <w:r>
        <w:t>.</w:t>
      </w:r>
      <w:r w:rsidR="00836A9E">
        <w:t>”</w:t>
      </w:r>
      <w:r w:rsidRPr="009550BB">
        <w:rPr>
          <w:rStyle w:val="FootnoteReference"/>
        </w:rPr>
        <w:footnoteReference w:id="134"/>
      </w:r>
      <w:r>
        <w:t xml:space="preserve"> </w:t>
      </w:r>
      <w:r w:rsidR="00366301">
        <w:t>Cal Advoc</w:t>
      </w:r>
      <w:r>
        <w:t xml:space="preserve">ates notes that </w:t>
      </w:r>
      <w:r w:rsidR="00836A9E">
        <w:t>“</w:t>
      </w:r>
      <w:r w:rsidRPr="003A1DDA">
        <w:t xml:space="preserve">SDG&amp;E does not present analysis showing that its current requirements to meet energization timelines suffer without such a tool. Nor does SDG&amp;E provide data, such as data from pilots or internal assessments, demonstrating that Nexus will materially reduce energization timelines. SDG&amp;E states that it </w:t>
      </w:r>
      <w:r w:rsidR="00836A9E">
        <w:t>‘</w:t>
      </w:r>
      <w:r w:rsidRPr="003A1DDA">
        <w:t>conducted market research and completed an assessment in regards to</w:t>
      </w:r>
      <w:r w:rsidR="00836A9E">
        <w:t>’</w:t>
      </w:r>
      <w:r w:rsidRPr="003A1DDA">
        <w:t xml:space="preserve"> Nexus; however, SDG&amp;E fails to provide any results or findings.</w:t>
      </w:r>
      <w:r w:rsidR="00836A9E">
        <w:t>”</w:t>
      </w:r>
      <w:r w:rsidRPr="009550BB">
        <w:rPr>
          <w:rStyle w:val="FootnoteReference"/>
        </w:rPr>
        <w:footnoteReference w:id="135"/>
      </w:r>
    </w:p>
    <w:p w:rsidR="004D1FF7" w:rsidP="00757F75" w:rsidRDefault="004D1FF7" w14:paraId="00B958DE" w14:textId="7C913D78">
      <w:pPr>
        <w:pStyle w:val="Heading3"/>
      </w:pPr>
      <w:bookmarkStart w:name="_Toc212538557" w:id="55"/>
      <w:r>
        <w:lastRenderedPageBreak/>
        <w:t>Builder Services</w:t>
      </w:r>
      <w:r w:rsidR="009214E9">
        <w:br/>
      </w:r>
      <w:r>
        <w:t>Portal Modernization</w:t>
      </w:r>
      <w:bookmarkEnd w:id="55"/>
    </w:p>
    <w:p w:rsidR="004D1FF7" w:rsidP="00F67BCA" w:rsidRDefault="004D1FF7" w14:paraId="6192DD77" w14:textId="679F3DF1">
      <w:pPr>
        <w:pStyle w:val="Standard"/>
      </w:pPr>
      <w:r>
        <w:t>SDG&amp;E requests authority to record incremental costs of $2.591</w:t>
      </w:r>
      <w:r w:rsidR="009C11C6">
        <w:t> million</w:t>
      </w:r>
      <w:r>
        <w:t xml:space="preserve"> in 2025 and $4.746</w:t>
      </w:r>
      <w:r w:rsidR="009C11C6">
        <w:t> million</w:t>
      </w:r>
      <w:r>
        <w:t xml:space="preserve"> in 2026 for its </w:t>
      </w:r>
      <w:r w:rsidRPr="008B3157">
        <w:t>Builder Services Portal Modernization</w:t>
      </w:r>
      <w:r>
        <w:t>.</w:t>
      </w:r>
      <w:r w:rsidRPr="009550BB">
        <w:rPr>
          <w:rStyle w:val="FootnoteReference"/>
        </w:rPr>
        <w:footnoteReference w:id="136"/>
      </w:r>
      <w:r>
        <w:t xml:space="preserve"> SDG&amp;E currently offers customers an online self</w:t>
      </w:r>
      <w:r w:rsidR="00503215">
        <w:noBreakHyphen/>
      </w:r>
      <w:r>
        <w:t>service application called the Builder Services Portal (BSP). The BSP allows customers to request various services from SDG&amp;E, provide documentation, and track the project</w:t>
      </w:r>
      <w:r w:rsidR="00836A9E">
        <w:t>’</w:t>
      </w:r>
      <w:r>
        <w:t>s progress.</w:t>
      </w:r>
      <w:r w:rsidRPr="009550BB">
        <w:rPr>
          <w:rStyle w:val="FootnoteReference"/>
        </w:rPr>
        <w:footnoteReference w:id="137"/>
      </w:r>
      <w:r>
        <w:t xml:space="preserve"> SDG&amp;E claims that its existing IT systems cannot track or report the </w:t>
      </w:r>
      <w:r w:rsidR="00836A9E">
        <w:t>“</w:t>
      </w:r>
      <w:r>
        <w:t>granular timelines and additional project information required by D.24</w:t>
      </w:r>
      <w:r w:rsidR="00503215">
        <w:noBreakHyphen/>
      </w:r>
      <w:r>
        <w:t>09</w:t>
      </w:r>
      <w:r w:rsidR="37D23DA4">
        <w:t>-</w:t>
      </w:r>
      <w:r>
        <w:t>020,</w:t>
      </w:r>
      <w:r w:rsidR="00836A9E">
        <w:t>”</w:t>
      </w:r>
      <w:r>
        <w:t xml:space="preserve"> and that SDG&amp;E must update its BSP in various manners to comply.</w:t>
      </w:r>
      <w:r w:rsidRPr="009550BB">
        <w:rPr>
          <w:rStyle w:val="FootnoteReference"/>
        </w:rPr>
        <w:footnoteReference w:id="138"/>
      </w:r>
    </w:p>
    <w:p w:rsidR="004D1FF7" w:rsidP="00F67BCA" w:rsidRDefault="00366301" w14:paraId="5A470D80" w14:textId="09EED54B">
      <w:pPr>
        <w:pStyle w:val="Standard"/>
      </w:pPr>
      <w:r>
        <w:t>Cal Advoc</w:t>
      </w:r>
      <w:r w:rsidR="004D1FF7">
        <w:t xml:space="preserve">ates argues that while SDG&amp;E states that BSP upgrades are necessary to meet Energization Timeline Requirements, </w:t>
      </w:r>
      <w:r w:rsidR="00836A9E">
        <w:t>“</w:t>
      </w:r>
      <w:r w:rsidR="004D1FF7">
        <w:t xml:space="preserve">SDG&amp;E </w:t>
      </w:r>
      <w:r w:rsidRPr="00433413" w:rsidR="004D1FF7">
        <w:t>fails to provide an explanation to demonstrate that its existing BSP is incapable of meeting the Energization Timeline Decision</w:t>
      </w:r>
      <w:r w:rsidR="00836A9E">
        <w:t>’</w:t>
      </w:r>
      <w:r w:rsidRPr="00433413" w:rsidR="004D1FF7">
        <w:t>s other requirements. SDG&amp;E fails to explain how upgrades to BSP will enable SDG&amp;E to meet the Energization Timeline Decision requirements</w:t>
      </w:r>
      <w:r w:rsidR="004D1FF7">
        <w:t>…</w:t>
      </w:r>
      <w:r w:rsidR="00557E7A">
        <w:t xml:space="preserve"> </w:t>
      </w:r>
      <w:r w:rsidR="004D1FF7">
        <w:t>[and]</w:t>
      </w:r>
      <w:r w:rsidRPr="00351810" w:rsidR="004D1FF7">
        <w:t xml:space="preserve"> does not provide system functionality details, or clear</w:t>
      </w:r>
      <w:r w:rsidR="007D7D45">
        <w:t xml:space="preserve"> </w:t>
      </w:r>
      <w:r w:rsidRPr="00351810" w:rsidR="004D1FF7">
        <w:t>operational paths and other details to demonstrate that the BSP upgrades are needed, and how they will be used, to meet all the tasks that SDG&amp;E claims the BSP upgrades will accomplish.</w:t>
      </w:r>
      <w:r w:rsidR="00836A9E">
        <w:t>”</w:t>
      </w:r>
      <w:r w:rsidRPr="009550BB" w:rsidR="004D1FF7">
        <w:rPr>
          <w:rStyle w:val="FootnoteReference"/>
        </w:rPr>
        <w:footnoteReference w:id="139"/>
      </w:r>
    </w:p>
    <w:p w:rsidR="004D1FF7" w:rsidP="00757F75" w:rsidRDefault="004D1FF7" w14:paraId="72DDC2AF" w14:textId="45B5B4F8">
      <w:pPr>
        <w:pStyle w:val="Heading3"/>
      </w:pPr>
      <w:bookmarkStart w:name="_Toc212538558" w:id="56"/>
      <w:r>
        <w:t>Cloud Data Foundation</w:t>
      </w:r>
      <w:bookmarkEnd w:id="56"/>
    </w:p>
    <w:p w:rsidR="007F1773" w:rsidP="00F67BCA" w:rsidRDefault="004D1FF7" w14:paraId="58A4058D" w14:textId="01A6A03B">
      <w:pPr>
        <w:pStyle w:val="Standard"/>
      </w:pPr>
      <w:r>
        <w:t>SDG&amp;E requests authority to record incremental costs of $1.258</w:t>
      </w:r>
      <w:r w:rsidR="009C11C6">
        <w:t> million</w:t>
      </w:r>
      <w:r>
        <w:t xml:space="preserve"> in 2025 and $3.495</w:t>
      </w:r>
      <w:r w:rsidR="009C11C6">
        <w:t> million</w:t>
      </w:r>
      <w:r>
        <w:t xml:space="preserve"> in 2026 for </w:t>
      </w:r>
      <w:r w:rsidRPr="00431EBE">
        <w:t>Cloud Data Foundation</w:t>
      </w:r>
      <w:r>
        <w:t>.</w:t>
      </w:r>
      <w:r w:rsidRPr="009550BB">
        <w:rPr>
          <w:rStyle w:val="FootnoteReference"/>
        </w:rPr>
        <w:footnoteReference w:id="140"/>
      </w:r>
      <w:r>
        <w:t xml:space="preserve"> SDG&amp;E argues </w:t>
      </w:r>
      <w:r>
        <w:lastRenderedPageBreak/>
        <w:t xml:space="preserve">that it requires a </w:t>
      </w:r>
      <w:r w:rsidR="00836A9E">
        <w:t>“</w:t>
      </w:r>
      <w:r>
        <w:t>centralized data foundation in the cloud</w:t>
      </w:r>
      <w:r w:rsidR="00836A9E">
        <w:t>”</w:t>
      </w:r>
      <w:r>
        <w:t xml:space="preserve"> to meet requirements from D.24</w:t>
      </w:r>
      <w:r w:rsidR="00503215">
        <w:noBreakHyphen/>
      </w:r>
      <w:r>
        <w:t>09</w:t>
      </w:r>
      <w:r w:rsidR="00503215">
        <w:noBreakHyphen/>
      </w:r>
      <w:r>
        <w:t>020.</w:t>
      </w:r>
      <w:r w:rsidRPr="009550BB">
        <w:rPr>
          <w:rStyle w:val="FootnoteReference"/>
        </w:rPr>
        <w:footnoteReference w:id="141"/>
      </w:r>
    </w:p>
    <w:p w:rsidR="004D1FF7" w:rsidP="00F67BCA" w:rsidRDefault="00366301" w14:paraId="718B0736" w14:textId="0EBBE099">
      <w:pPr>
        <w:pStyle w:val="Standard"/>
      </w:pPr>
      <w:r>
        <w:t>Cal Advoc</w:t>
      </w:r>
      <w:r w:rsidR="004D1FF7">
        <w:t xml:space="preserve">ates notes that SDG&amp;E </w:t>
      </w:r>
      <w:r w:rsidR="00836A9E">
        <w:t>“</w:t>
      </w:r>
      <w:r w:rsidRPr="005356A2" w:rsidR="004D1FF7">
        <w:t>fails to discuss which specific reporting requirements the Cloud Data Foundation will address. There is no data, details, linkage to specific requirements, or even a simple narrative to explain why SDG&amp;E needs to the Cloud Data Foundation to comply with the Energization Timeline Decision.</w:t>
      </w:r>
      <w:r w:rsidR="00836A9E">
        <w:t>”</w:t>
      </w:r>
      <w:r w:rsidRPr="009550BB" w:rsidR="004D1FF7">
        <w:rPr>
          <w:rStyle w:val="FootnoteReference"/>
        </w:rPr>
        <w:footnoteReference w:id="142"/>
      </w:r>
      <w:r w:rsidR="00C969DD">
        <w:t xml:space="preserve"> </w:t>
      </w:r>
      <w:r w:rsidR="00D81514">
        <w:t xml:space="preserve">TURN </w:t>
      </w:r>
      <w:r w:rsidR="00FF6292">
        <w:t xml:space="preserve">adds that </w:t>
      </w:r>
      <w:r w:rsidR="004A2DD5">
        <w:t xml:space="preserve">while the 2024 GRC authorized SDG&amp;E to spend </w:t>
      </w:r>
      <w:r w:rsidR="00C46E3D">
        <w:t xml:space="preserve">money on </w:t>
      </w:r>
      <w:r w:rsidR="00FA4688">
        <w:t xml:space="preserve">Cloud </w:t>
      </w:r>
      <w:r w:rsidR="00EA5D45">
        <w:t xml:space="preserve">Foundations, SDG&amp;E </w:t>
      </w:r>
      <w:r w:rsidR="008E4A42">
        <w:t>spent $0.9</w:t>
      </w:r>
      <w:r w:rsidR="009C11C6">
        <w:t> million</w:t>
      </w:r>
      <w:r w:rsidR="008E4A42">
        <w:t xml:space="preserve"> less than it was authorized.</w:t>
      </w:r>
    </w:p>
    <w:p w:rsidR="004D1FF7" w:rsidP="00757F75" w:rsidRDefault="004D1FF7" w14:paraId="7DA09DF2" w14:textId="3D416058">
      <w:pPr>
        <w:pStyle w:val="Heading3"/>
      </w:pPr>
      <w:bookmarkStart w:name="_Toc212538559" w:id="57"/>
      <w:r>
        <w:t>Geographic Information</w:t>
      </w:r>
      <w:r w:rsidR="00432958">
        <w:br/>
      </w:r>
      <w:r>
        <w:t>System Enhancement</w:t>
      </w:r>
      <w:bookmarkEnd w:id="57"/>
    </w:p>
    <w:p w:rsidR="004D1FF7" w:rsidP="00F67BCA" w:rsidRDefault="004D1FF7" w14:paraId="15D84C85" w14:textId="7AB4A5D3">
      <w:pPr>
        <w:pStyle w:val="Standard"/>
      </w:pPr>
      <w:r w:rsidRPr="00BE16E6">
        <w:t>SDG&amp;E requests authority to record incremental costs of $1.533</w:t>
      </w:r>
      <w:r w:rsidR="009C11C6">
        <w:t> million</w:t>
      </w:r>
      <w:r w:rsidRPr="00BE16E6">
        <w:t xml:space="preserve"> in 2025 and $5.652</w:t>
      </w:r>
      <w:r w:rsidR="009C11C6">
        <w:t> million</w:t>
      </w:r>
      <w:r w:rsidRPr="00BE16E6">
        <w:t xml:space="preserve"> in 2026 for Geographic Information System Enhancement.</w:t>
      </w:r>
      <w:r w:rsidRPr="009550BB">
        <w:rPr>
          <w:rStyle w:val="FootnoteReference"/>
        </w:rPr>
        <w:footnoteReference w:id="143"/>
      </w:r>
      <w:r w:rsidRPr="00BE16E6">
        <w:t xml:space="preserve"> SDG&amp;E expects these upgrades to provide better service on faster timelines, thereby supporting compliance with D.24</w:t>
      </w:r>
      <w:r w:rsidR="00503215">
        <w:noBreakHyphen/>
      </w:r>
      <w:r w:rsidRPr="00BE16E6">
        <w:t>09</w:t>
      </w:r>
      <w:r w:rsidR="00503215">
        <w:noBreakHyphen/>
      </w:r>
      <w:r w:rsidRPr="00BE16E6">
        <w:t>020.</w:t>
      </w:r>
      <w:r w:rsidRPr="009550BB">
        <w:rPr>
          <w:rStyle w:val="FootnoteReference"/>
        </w:rPr>
        <w:footnoteReference w:id="144"/>
      </w:r>
    </w:p>
    <w:p w:rsidR="004D1FF7" w:rsidP="00757F75" w:rsidRDefault="004D1FF7" w14:paraId="25FC4AAF" w14:textId="4CDDDF5D">
      <w:pPr>
        <w:pStyle w:val="Heading3"/>
      </w:pPr>
      <w:bookmarkStart w:name="_Toc212538560" w:id="58"/>
      <w:r>
        <w:t>Automated Utility</w:t>
      </w:r>
      <w:r w:rsidR="00432958">
        <w:br/>
      </w:r>
      <w:r>
        <w:t>Design Enhancement</w:t>
      </w:r>
      <w:bookmarkEnd w:id="58"/>
    </w:p>
    <w:p w:rsidRPr="00C3156F" w:rsidR="004D1FF7" w:rsidP="00F67BCA" w:rsidRDefault="004D1FF7" w14:paraId="5AC9D02C" w14:textId="7BE1BDCE">
      <w:pPr>
        <w:pStyle w:val="Standard"/>
      </w:pPr>
      <w:r>
        <w:t>SDG&amp;E requests authority to record incremental co</w:t>
      </w:r>
      <w:r w:rsidRPr="00C3156F">
        <w:t>sts of $1.512</w:t>
      </w:r>
      <w:r w:rsidR="009C11C6">
        <w:t> million</w:t>
      </w:r>
      <w:r w:rsidRPr="00C3156F">
        <w:t xml:space="preserve"> in 2025 and $7.335</w:t>
      </w:r>
      <w:r w:rsidR="009C11C6">
        <w:t> million</w:t>
      </w:r>
      <w:r w:rsidRPr="00C3156F">
        <w:t xml:space="preserve"> in 2026 for Automated Utility Design</w:t>
      </w:r>
      <w:r w:rsidR="00530640">
        <w:t xml:space="preserve"> (AUD)</w:t>
      </w:r>
      <w:r w:rsidRPr="00C3156F">
        <w:t xml:space="preserve"> Enhancement.</w:t>
      </w:r>
      <w:r w:rsidRPr="009550BB">
        <w:rPr>
          <w:rStyle w:val="FootnoteReference"/>
        </w:rPr>
        <w:footnoteReference w:id="145"/>
      </w:r>
      <w:r w:rsidRPr="00C3156F">
        <w:t xml:space="preserve"> SDG&amp;E claims that its AUD currently supports certain projects for new businesses, enhancements are necessary to automate manual processes, </w:t>
      </w:r>
      <w:r w:rsidRPr="00C3156F">
        <w:lastRenderedPageBreak/>
        <w:t>serve new project types, and allow external parties to access the software.</w:t>
      </w:r>
      <w:r w:rsidRPr="009550BB">
        <w:rPr>
          <w:rStyle w:val="FootnoteReference"/>
        </w:rPr>
        <w:footnoteReference w:id="146"/>
      </w:r>
      <w:r w:rsidRPr="00C3156F">
        <w:t xml:space="preserve"> SDG&amp;E claims the AUD </w:t>
      </w:r>
      <w:r w:rsidRPr="00C3156F" w:rsidR="00530640">
        <w:t xml:space="preserve">Enhancement </w:t>
      </w:r>
      <w:r w:rsidRPr="00C3156F">
        <w:t xml:space="preserve">will </w:t>
      </w:r>
      <w:r w:rsidR="00836A9E">
        <w:t>“</w:t>
      </w:r>
      <w:r w:rsidRPr="00C3156F">
        <w:t>directly support compliance with D.24</w:t>
      </w:r>
      <w:r w:rsidR="00503215">
        <w:noBreakHyphen/>
      </w:r>
      <w:r w:rsidRPr="00C3156F">
        <w:t>09</w:t>
      </w:r>
      <w:r w:rsidR="00503215">
        <w:noBreakHyphen/>
      </w:r>
      <w:r w:rsidRPr="00C3156F">
        <w:t>020</w:t>
      </w:r>
      <w:r w:rsidR="00836A9E">
        <w:t>”</w:t>
      </w:r>
      <w:r w:rsidRPr="00C3156F">
        <w:t xml:space="preserve"> by implementing improvements that </w:t>
      </w:r>
      <w:r w:rsidR="00836A9E">
        <w:t>“</w:t>
      </w:r>
      <w:r w:rsidRPr="00C3156F">
        <w:t>create critical efficiencies in the design phase, enabling SDG&amp;E to meet accelerated energization timelines while maintaining design quality and accuracy.</w:t>
      </w:r>
      <w:r w:rsidR="00836A9E">
        <w:t>”</w:t>
      </w:r>
      <w:r w:rsidRPr="009550BB">
        <w:rPr>
          <w:rStyle w:val="FootnoteReference"/>
        </w:rPr>
        <w:footnoteReference w:id="147"/>
      </w:r>
    </w:p>
    <w:p w:rsidRPr="00C3156F" w:rsidR="004D1FF7" w:rsidP="00757F75" w:rsidRDefault="004D1FF7" w14:paraId="0B441575" w14:textId="66EC574C">
      <w:pPr>
        <w:pStyle w:val="Heading3"/>
      </w:pPr>
      <w:bookmarkStart w:name="_Toc212538561" w:id="59"/>
      <w:r w:rsidRPr="00C3156F">
        <w:t>Automated Intelligence</w:t>
      </w:r>
      <w:bookmarkEnd w:id="59"/>
    </w:p>
    <w:p w:rsidRPr="00C3156F" w:rsidR="004D1FF7" w:rsidP="00F67BCA" w:rsidRDefault="004D1FF7" w14:paraId="4DF7EB71" w14:textId="4F74EE4F">
      <w:pPr>
        <w:pStyle w:val="Standard"/>
      </w:pPr>
      <w:r w:rsidRPr="00C3156F">
        <w:t xml:space="preserve">SDG&amp;E requests authority to record incremental costs of </w:t>
      </w:r>
      <w:r w:rsidR="003A06A5">
        <w:t xml:space="preserve">$0.299 million in 2024, </w:t>
      </w:r>
      <w:r w:rsidRPr="00C3156F">
        <w:t>$1.061</w:t>
      </w:r>
      <w:r w:rsidR="009C11C6">
        <w:t> million</w:t>
      </w:r>
      <w:r w:rsidRPr="00C3156F">
        <w:t xml:space="preserve"> in 2025 and $4.239</w:t>
      </w:r>
      <w:r w:rsidR="009C11C6">
        <w:t> million</w:t>
      </w:r>
      <w:r w:rsidRPr="00C3156F">
        <w:t xml:space="preserve"> in 2026 for Automated Intelligence (AI).</w:t>
      </w:r>
      <w:r w:rsidRPr="004A7A96">
        <w:rPr>
          <w:vertAlign w:val="superscript"/>
        </w:rPr>
        <w:footnoteReference w:id="148"/>
      </w:r>
      <w:r w:rsidRPr="004A7A96">
        <w:t xml:space="preserve"> </w:t>
      </w:r>
      <w:r w:rsidRPr="00C3156F">
        <w:t>SDG&amp;E proposes implementing four separate AI projects to automate various manual processes that are part of project development.</w:t>
      </w:r>
      <w:r w:rsidRPr="004A7A96">
        <w:rPr>
          <w:vertAlign w:val="superscript"/>
        </w:rPr>
        <w:footnoteReference w:id="149"/>
      </w:r>
      <w:r w:rsidRPr="004A7A96">
        <w:rPr>
          <w:vertAlign w:val="superscript"/>
        </w:rPr>
        <w:t xml:space="preserve"> </w:t>
      </w:r>
      <w:r w:rsidRPr="00C3156F">
        <w:t>SDG&amp;E asserts that AI directly addresses the core compliance requirements of D.24</w:t>
      </w:r>
      <w:r w:rsidR="00503215">
        <w:noBreakHyphen/>
      </w:r>
      <w:r w:rsidRPr="00C3156F">
        <w:t>09</w:t>
      </w:r>
      <w:r w:rsidR="00503215">
        <w:noBreakHyphen/>
      </w:r>
      <w:r w:rsidRPr="00C3156F">
        <w:t xml:space="preserve">020 by </w:t>
      </w:r>
      <w:r w:rsidR="00836A9E">
        <w:t>“</w:t>
      </w:r>
      <w:r w:rsidRPr="00C3156F">
        <w:t>transforming existing project execution capabilities</w:t>
      </w:r>
      <w:r w:rsidR="00836A9E">
        <w:t>”</w:t>
      </w:r>
      <w:r w:rsidRPr="00C3156F">
        <w:t xml:space="preserve"> in ways that automate repeated tasks, collect data, and </w:t>
      </w:r>
      <w:r w:rsidR="00836A9E">
        <w:t>“</w:t>
      </w:r>
      <w:r w:rsidRPr="00C3156F">
        <w:t>provide real</w:t>
      </w:r>
      <w:r w:rsidR="00503215">
        <w:noBreakHyphen/>
      </w:r>
      <w:r w:rsidRPr="00C3156F">
        <w:t>time insights.</w:t>
      </w:r>
      <w:r w:rsidR="00836A9E">
        <w:t>”</w:t>
      </w:r>
      <w:r w:rsidRPr="004A7A96" w:rsidR="003374D5">
        <w:rPr>
          <w:rStyle w:val="FootnoteReference"/>
        </w:rPr>
        <w:footnoteReference w:id="150"/>
      </w:r>
    </w:p>
    <w:p w:rsidRPr="004D1FF7" w:rsidR="004D1FF7" w:rsidP="00F67BCA" w:rsidRDefault="00366301" w14:paraId="65369614" w14:textId="13378D77">
      <w:pPr>
        <w:pStyle w:val="Standard"/>
      </w:pPr>
      <w:r>
        <w:t>Cal Advoc</w:t>
      </w:r>
      <w:r w:rsidRPr="00C3156F" w:rsidR="004D1FF7">
        <w:t xml:space="preserve">ates describes the AI projects as </w:t>
      </w:r>
      <w:r w:rsidR="00836A9E">
        <w:t>“</w:t>
      </w:r>
      <w:r w:rsidRPr="00C3156F" w:rsidR="004D1FF7">
        <w:t>speculative and exploratory</w:t>
      </w:r>
      <w:r w:rsidR="00836A9E">
        <w:t>”</w:t>
      </w:r>
      <w:r w:rsidRPr="00C3156F" w:rsidR="004D1FF7">
        <w:t xml:space="preserve"> and argues that SDG&amp;E </w:t>
      </w:r>
      <w:r w:rsidR="00836A9E">
        <w:t>“</w:t>
      </w:r>
      <w:r w:rsidRPr="00C3156F" w:rsidR="004D1FF7">
        <w:t xml:space="preserve">fails to show the connection between its proposals and </w:t>
      </w:r>
      <w:r w:rsidR="0040495F">
        <w:t>SB </w:t>
      </w:r>
      <w:r w:rsidRPr="00C3156F" w:rsidR="004D1FF7">
        <w:t>410 or the requirements of the Energization Timeline Decision. SDG&amp;E offers no pilot results, user testing, or performance benchmarks to demonstrate that these tools will meaningfully improve energization timelines or customer transparency.</w:t>
      </w:r>
      <w:r w:rsidR="00836A9E">
        <w:t>”</w:t>
      </w:r>
      <w:r w:rsidRPr="009550BB" w:rsidR="004D1FF7">
        <w:rPr>
          <w:rStyle w:val="FootnoteReference"/>
        </w:rPr>
        <w:footnoteReference w:id="151"/>
      </w:r>
    </w:p>
    <w:p w:rsidR="000A55C3" w:rsidP="00757F75" w:rsidRDefault="00D8754F" w14:paraId="5AFEED3F" w14:textId="36BE1212">
      <w:pPr>
        <w:pStyle w:val="Heading3"/>
      </w:pPr>
      <w:bookmarkStart w:name="_Toc212538562" w:id="60"/>
      <w:r w:rsidRPr="00757F75">
        <w:lastRenderedPageBreak/>
        <w:t>Threshold</w:t>
      </w:r>
      <w:r>
        <w:t xml:space="preserve"> </w:t>
      </w:r>
      <w:r w:rsidR="001F4E62">
        <w:t>Evidence to</w:t>
      </w:r>
      <w:r w:rsidR="00CB0BE8">
        <w:br/>
      </w:r>
      <w:r w:rsidR="001F4E62">
        <w:t>Support Cost Forecasts</w:t>
      </w:r>
      <w:bookmarkEnd w:id="60"/>
    </w:p>
    <w:p w:rsidRPr="00294120" w:rsidR="00294120" w:rsidP="00F67BCA" w:rsidRDefault="00366301" w14:paraId="047D31A5" w14:textId="679696D8">
      <w:pPr>
        <w:pStyle w:val="Standard"/>
      </w:pPr>
      <w:r>
        <w:t>Cal Advoc</w:t>
      </w:r>
      <w:r w:rsidR="00D82263">
        <w:t xml:space="preserve">ates, </w:t>
      </w:r>
      <w:proofErr w:type="spellStart"/>
      <w:r w:rsidR="00D82263">
        <w:t>SBUA</w:t>
      </w:r>
      <w:proofErr w:type="spellEnd"/>
      <w:r w:rsidR="00D82263">
        <w:t>, and TURN</w:t>
      </w:r>
      <w:r w:rsidR="000C0F99">
        <w:t xml:space="preserve"> argue that SDG&amp;E</w:t>
      </w:r>
      <w:r w:rsidR="00836A9E">
        <w:t>’</w:t>
      </w:r>
      <w:r w:rsidR="000C0F99">
        <w:t>s proposed IT projects, b</w:t>
      </w:r>
      <w:r w:rsidR="724C3CA2">
        <w:t>oth</w:t>
      </w:r>
      <w:r w:rsidR="000C0F99">
        <w:t xml:space="preserve"> individually and </w:t>
      </w:r>
      <w:r w:rsidR="00B12A9C">
        <w:t xml:space="preserve">in totality, </w:t>
      </w:r>
      <w:r w:rsidR="00EF00B2">
        <w:t xml:space="preserve">are underdeveloped </w:t>
      </w:r>
      <w:r w:rsidR="00F24017">
        <w:t xml:space="preserve">to the point where </w:t>
      </w:r>
      <w:r w:rsidR="009D6735">
        <w:t xml:space="preserve">the Commission cannot reasonably understand what </w:t>
      </w:r>
      <w:r w:rsidR="00FC0C45">
        <w:t>these projects would accomplish, how they would do so, and what they would cost.</w:t>
      </w:r>
    </w:p>
    <w:p w:rsidR="00294120" w:rsidP="00F67BCA" w:rsidRDefault="00294120" w14:paraId="51E64355" w14:textId="66199202">
      <w:pPr>
        <w:pStyle w:val="Standard"/>
      </w:pPr>
      <w:r>
        <w:t>TURN argues that SDG&amp;E</w:t>
      </w:r>
      <w:r w:rsidR="00836A9E">
        <w:t>’</w:t>
      </w:r>
      <w:r>
        <w:t xml:space="preserve">s IT cost forecasts are highly speculative and underdeveloped. SDG&amp;E states that the BSP modernization project </w:t>
      </w:r>
      <w:r w:rsidR="00836A9E">
        <w:t>“</w:t>
      </w:r>
      <w:r>
        <w:t>has not been fully scoped or formally started,</w:t>
      </w:r>
      <w:r w:rsidR="00836A9E">
        <w:t>”</w:t>
      </w:r>
      <w:r w:rsidRPr="009550BB">
        <w:rPr>
          <w:rStyle w:val="FootnoteReference"/>
        </w:rPr>
        <w:footnoteReference w:id="152"/>
      </w:r>
      <w:r>
        <w:t xml:space="preserve"> that </w:t>
      </w:r>
      <w:r w:rsidR="00836A9E">
        <w:t>“</w:t>
      </w:r>
      <w:r>
        <w:t>not all detailed requirements for [the Nexus Digital Application project] have been developed,</w:t>
      </w:r>
      <w:r w:rsidR="00836A9E">
        <w:t>”</w:t>
      </w:r>
      <w:r w:rsidRPr="009550BB">
        <w:rPr>
          <w:rStyle w:val="FootnoteReference"/>
        </w:rPr>
        <w:footnoteReference w:id="153"/>
      </w:r>
      <w:r>
        <w:t xml:space="preserve"> and cost breakdowns and project timelines are not available for four of the six proposed projects.</w:t>
      </w:r>
      <w:r w:rsidRPr="009550BB">
        <w:rPr>
          <w:rStyle w:val="FootnoteReference"/>
        </w:rPr>
        <w:footnoteReference w:id="154"/>
      </w:r>
      <w:r>
        <w:t xml:space="preserve"> Relatedly, </w:t>
      </w:r>
      <w:r w:rsidR="00366301">
        <w:t>Cal Advoc</w:t>
      </w:r>
      <w:r>
        <w:t>ates that the IT projects, many of which have not been fully scoped, appear to have overlapping functionalities</w:t>
      </w:r>
      <w:r w:rsidR="00D140B1">
        <w:t xml:space="preserve"> — </w:t>
      </w:r>
      <w:r w:rsidR="09154A60">
        <w:t>some for energization and others for other aspects of SDG&amp;E</w:t>
      </w:r>
      <w:r w:rsidR="00836A9E">
        <w:t>’</w:t>
      </w:r>
      <w:r w:rsidR="09154A60">
        <w:t>s business</w:t>
      </w:r>
      <w:r>
        <w:t>.</w:t>
      </w:r>
      <w:r w:rsidRPr="009550BB" w:rsidR="0015321D">
        <w:rPr>
          <w:rStyle w:val="FootnoteReference"/>
        </w:rPr>
        <w:footnoteReference w:id="155"/>
      </w:r>
      <w:r>
        <w:t xml:space="preserve"> </w:t>
      </w:r>
      <w:r w:rsidR="00366301">
        <w:t>Cal Advoc</w:t>
      </w:r>
      <w:r>
        <w:t xml:space="preserve">ates notes that three of the platforms </w:t>
      </w:r>
      <w:r w:rsidR="00836A9E">
        <w:t>“</w:t>
      </w:r>
      <w:r>
        <w:t xml:space="preserve">[appear] </w:t>
      </w:r>
      <w:r w:rsidRPr="00165A60">
        <w:t>to perform some version of project visibility, coordination, or milestone tracking, yet SDG&amp;E fails to clearly delineate the distinct roles and responsibilities of each system</w:t>
      </w:r>
      <w:r>
        <w:t>.</w:t>
      </w:r>
      <w:r w:rsidR="00836A9E">
        <w:t>”</w:t>
      </w:r>
      <w:r w:rsidRPr="009550BB">
        <w:rPr>
          <w:rStyle w:val="FootnoteReference"/>
        </w:rPr>
        <w:footnoteReference w:id="156"/>
      </w:r>
      <w:r w:rsidRPr="00165A60">
        <w:t xml:space="preserve"> </w:t>
      </w:r>
      <w:r w:rsidR="00366301">
        <w:t>Cal Advoc</w:t>
      </w:r>
      <w:r>
        <w:t xml:space="preserve">ates explains that </w:t>
      </w:r>
      <w:r w:rsidR="00836A9E">
        <w:t>“</w:t>
      </w:r>
      <w:r>
        <w:t>w</w:t>
      </w:r>
      <w:r w:rsidRPr="00165A60">
        <w:t>ithout a functional separation of duties or explanation of how these systems will work together, as opposed to duplicating efforts, it is unclear whether ratepayers are being asked to fund multiple platforms that serve</w:t>
      </w:r>
      <w:r>
        <w:t xml:space="preserve"> </w:t>
      </w:r>
      <w:r w:rsidRPr="00165A60">
        <w:t>similar or the same purposes</w:t>
      </w:r>
      <w:r>
        <w:t>.</w:t>
      </w:r>
      <w:r w:rsidR="00836A9E">
        <w:t>”</w:t>
      </w:r>
      <w:r w:rsidRPr="009550BB">
        <w:rPr>
          <w:rStyle w:val="FootnoteReference"/>
        </w:rPr>
        <w:footnoteReference w:id="157"/>
      </w:r>
      <w:r>
        <w:t xml:space="preserve"> </w:t>
      </w:r>
      <w:r w:rsidR="00366301">
        <w:t>Cal Advoc</w:t>
      </w:r>
      <w:r>
        <w:t xml:space="preserve">ates further argues that SDG&amp;E provides no </w:t>
      </w:r>
      <w:r>
        <w:lastRenderedPageBreak/>
        <w:t>explanation of how the new IT projects will coordinate with (or replace) existing programs and processes, nor any description of how the new projects will work together.</w:t>
      </w:r>
      <w:r w:rsidRPr="009550BB">
        <w:rPr>
          <w:rStyle w:val="FootnoteReference"/>
        </w:rPr>
        <w:footnoteReference w:id="158"/>
      </w:r>
    </w:p>
    <w:p w:rsidR="007F1773" w:rsidP="00F67BCA" w:rsidRDefault="00294120" w14:paraId="71134617" w14:textId="08F3B265">
      <w:pPr>
        <w:pStyle w:val="Standard"/>
      </w:pPr>
      <w:proofErr w:type="spellStart"/>
      <w:r>
        <w:t>SBUA</w:t>
      </w:r>
      <w:proofErr w:type="spellEnd"/>
      <w:r>
        <w:t xml:space="preserve"> argues that SDG&amp;E</w:t>
      </w:r>
      <w:r w:rsidR="00836A9E">
        <w:t>’</w:t>
      </w:r>
      <w:r>
        <w:t xml:space="preserve">s IT requests are underdeveloped and are a </w:t>
      </w:r>
      <w:r w:rsidR="00836A9E">
        <w:t>“</w:t>
      </w:r>
      <w:r>
        <w:t>black box.</w:t>
      </w:r>
      <w:r w:rsidR="00836A9E">
        <w:t>”</w:t>
      </w:r>
      <w:r w:rsidRPr="009550BB">
        <w:rPr>
          <w:rStyle w:val="FootnoteReference"/>
        </w:rPr>
        <w:footnoteReference w:id="159"/>
      </w:r>
      <w:r>
        <w:t xml:space="preserve"> </w:t>
      </w:r>
      <w:proofErr w:type="spellStart"/>
      <w:r w:rsidR="00063BA8">
        <w:t>SBUA</w:t>
      </w:r>
      <w:proofErr w:type="spellEnd"/>
      <w:r w:rsidR="00063BA8">
        <w:t xml:space="preserve"> alleges that when </w:t>
      </w:r>
      <w:r>
        <w:t xml:space="preserve">SDG&amp;E states that </w:t>
      </w:r>
      <w:r w:rsidR="00836A9E">
        <w:t>“</w:t>
      </w:r>
      <w:r>
        <w:t>not all</w:t>
      </w:r>
      <w:r w:rsidR="007D7D45">
        <w:t xml:space="preserve"> </w:t>
      </w:r>
      <w:r w:rsidRPr="00C11D6D">
        <w:t>detailed requirements for Nexus have been developed at this time</w:t>
      </w:r>
      <w:r>
        <w:t>,</w:t>
      </w:r>
      <w:r w:rsidR="00836A9E">
        <w:t>”</w:t>
      </w:r>
      <w:r>
        <w:t xml:space="preserve"> </w:t>
      </w:r>
      <w:r w:rsidR="00063BA8">
        <w:t xml:space="preserve">the Commission is required </w:t>
      </w:r>
      <w:r>
        <w:t xml:space="preserve">to extend trust to SDG&amp;E that whatever product SDG&amp;E ultimately purchases or develops will be useful, support energization, and otherwise appropriate to include in the </w:t>
      </w:r>
      <w:r w:rsidR="0040495F">
        <w:t>SB </w:t>
      </w:r>
      <w:r>
        <w:t>410 cap.</w:t>
      </w:r>
      <w:r w:rsidRPr="009550BB">
        <w:rPr>
          <w:rStyle w:val="FootnoteReference"/>
        </w:rPr>
        <w:footnoteReference w:id="160"/>
      </w:r>
    </w:p>
    <w:p w:rsidR="00294120" w:rsidP="00F67BCA" w:rsidRDefault="00294120" w14:paraId="0C49A2E1" w14:textId="788DF3D9">
      <w:pPr>
        <w:pStyle w:val="Standard"/>
      </w:pPr>
      <w:r>
        <w:t>UCAN recommends that the Commission reduce SDG&amp;E</w:t>
      </w:r>
      <w:r w:rsidR="00836A9E">
        <w:t>’</w:t>
      </w:r>
      <w:r>
        <w:t>s budget for IT Enhancements by 20</w:t>
      </w:r>
      <w:r w:rsidR="008A1F84">
        <w:t> percent</w:t>
      </w:r>
      <w:r>
        <w:t xml:space="preserve"> to encourage SDG&amp;E to be cost conscious.</w:t>
      </w:r>
      <w:r w:rsidRPr="009550BB">
        <w:rPr>
          <w:rStyle w:val="FootnoteReference"/>
        </w:rPr>
        <w:footnoteReference w:id="161"/>
      </w:r>
      <w:r>
        <w:t xml:space="preserve"> UCAN does not explain how it arrived at its recommendation of a 20</w:t>
      </w:r>
      <w:r w:rsidR="008A1F84">
        <w:t> percent</w:t>
      </w:r>
      <w:r>
        <w:t xml:space="preserve"> reduction. UCAN also argues </w:t>
      </w:r>
      <w:r w:rsidR="00836A9E">
        <w:t>“</w:t>
      </w:r>
      <w:r>
        <w:t>the Commission should require any expenditure in excess of $5</w:t>
      </w:r>
      <w:r w:rsidR="009C11C6">
        <w:t> million</w:t>
      </w:r>
      <w:r>
        <w:t xml:space="preserve"> built to meet </w:t>
      </w:r>
      <w:r w:rsidR="0040495F">
        <w:t>SB </w:t>
      </w:r>
      <w:r>
        <w:t>410 mandates should be independently reported as part of SDG&amp;E</w:t>
      </w:r>
      <w:r w:rsidR="00836A9E">
        <w:t>’</w:t>
      </w:r>
      <w:r>
        <w:t xml:space="preserve">s next pending GRC. In addition, if a given </w:t>
      </w:r>
      <w:r w:rsidR="0040495F">
        <w:t>SB </w:t>
      </w:r>
      <w:r>
        <w:t>410 project is proving to be 10% higher than the level it has been budgeted for it should be identified for the next GRC.</w:t>
      </w:r>
      <w:r w:rsidR="00836A9E">
        <w:t>”</w:t>
      </w:r>
      <w:r w:rsidRPr="009550BB">
        <w:rPr>
          <w:rStyle w:val="FootnoteReference"/>
        </w:rPr>
        <w:footnoteReference w:id="162"/>
      </w:r>
    </w:p>
    <w:p w:rsidR="00294120" w:rsidP="00F67BCA" w:rsidRDefault="00294120" w14:paraId="57D79508" w14:textId="052BB30F">
      <w:pPr>
        <w:pStyle w:val="Standard"/>
      </w:pPr>
      <w:r>
        <w:t xml:space="preserve">In rebuttal, SDG&amp;E argues that </w:t>
      </w:r>
      <w:r w:rsidR="00366301">
        <w:t>Cal Advoc</w:t>
      </w:r>
      <w:r>
        <w:t xml:space="preserve">ates, </w:t>
      </w:r>
      <w:proofErr w:type="spellStart"/>
      <w:r>
        <w:t>SBUA</w:t>
      </w:r>
      <w:proofErr w:type="spellEnd"/>
      <w:r>
        <w:t>, TURN, and UCAN mischaracterize the level of detail SDG&amp;E provided in its testimony.</w:t>
      </w:r>
      <w:r w:rsidRPr="009550BB">
        <w:rPr>
          <w:rStyle w:val="FootnoteReference"/>
        </w:rPr>
        <w:footnoteReference w:id="163"/>
      </w:r>
    </w:p>
    <w:p w:rsidRPr="003C08EA" w:rsidR="00111C68" w:rsidP="00F67BCA" w:rsidRDefault="00111C68" w14:paraId="6A9A7C18" w14:textId="30C0EFA1">
      <w:pPr>
        <w:pStyle w:val="Standard"/>
      </w:pPr>
      <w:r w:rsidRPr="003C08EA">
        <w:lastRenderedPageBreak/>
        <w:t>Th</w:t>
      </w:r>
      <w:r w:rsidRPr="003C08EA" w:rsidR="000D1F2F">
        <w:t xml:space="preserve">is decision finds that </w:t>
      </w:r>
      <w:r w:rsidRPr="003C08EA" w:rsidR="00F145E2">
        <w:t>SDG&amp;E</w:t>
      </w:r>
      <w:r w:rsidR="00836A9E">
        <w:t>’</w:t>
      </w:r>
      <w:r w:rsidRPr="003C08EA" w:rsidR="002753AA">
        <w:t xml:space="preserve">s proposed projects are </w:t>
      </w:r>
      <w:r w:rsidRPr="003C08EA" w:rsidR="005A51DE">
        <w:t xml:space="preserve">described </w:t>
      </w:r>
      <w:r w:rsidRPr="003C08EA" w:rsidR="00704F57">
        <w:t>at such a high level</w:t>
      </w:r>
      <w:r w:rsidR="00D140B1">
        <w:t xml:space="preserve"> — </w:t>
      </w:r>
      <w:r w:rsidRPr="003C08EA" w:rsidR="005A51DE">
        <w:t>and, in many cases, are in such early stages of conceptualization and planning</w:t>
      </w:r>
      <w:r w:rsidR="00D140B1">
        <w:t xml:space="preserve"> — </w:t>
      </w:r>
      <w:r w:rsidRPr="003C08EA" w:rsidR="005A51DE">
        <w:t xml:space="preserve">that </w:t>
      </w:r>
      <w:r w:rsidRPr="003C08EA" w:rsidR="00FA4FFE">
        <w:t>the projects</w:t>
      </w:r>
      <w:r w:rsidR="00836A9E">
        <w:t>’</w:t>
      </w:r>
      <w:r w:rsidRPr="003C08EA" w:rsidR="00FA4FFE">
        <w:t xml:space="preserve"> capabilities and timelines </w:t>
      </w:r>
      <w:r w:rsidRPr="003C08EA" w:rsidR="003C08EA">
        <w:t>are unclear and their cost forecasts largely speculative.</w:t>
      </w:r>
    </w:p>
    <w:p w:rsidR="0096068E" w:rsidP="00757F75" w:rsidRDefault="0096068E" w14:paraId="0C7ED459" w14:textId="621D7038">
      <w:pPr>
        <w:pStyle w:val="Heading3"/>
      </w:pPr>
      <w:bookmarkStart w:name="_Toc212538563" w:id="61"/>
      <w:r w:rsidRPr="00757F75">
        <w:t>Information</w:t>
      </w:r>
      <w:r>
        <w:t xml:space="preserve"> Technology Enhancements</w:t>
      </w:r>
      <w:r w:rsidR="00836A9E">
        <w:t>’</w:t>
      </w:r>
      <w:r>
        <w:t xml:space="preserve"> Contribution to Cap</w:t>
      </w:r>
      <w:bookmarkEnd w:id="61"/>
    </w:p>
    <w:p w:rsidRPr="00D92D5B" w:rsidR="009A5F2B" w:rsidP="00F67BCA" w:rsidRDefault="008B4734" w14:paraId="3D95BE14" w14:textId="07A3A9E8">
      <w:pPr>
        <w:pStyle w:val="Standard"/>
      </w:pPr>
      <w:r>
        <w:t xml:space="preserve">This decision does not allow any </w:t>
      </w:r>
      <w:r w:rsidR="00D5650C">
        <w:t xml:space="preserve">IT </w:t>
      </w:r>
      <w:r>
        <w:t>Enhancement cost forecasts to count toward the cap</w:t>
      </w:r>
      <w:r w:rsidR="00F04B94">
        <w:t>. As described above, SDG&amp;E</w:t>
      </w:r>
      <w:r w:rsidR="007F1773">
        <w:t xml:space="preserve">:  </w:t>
      </w:r>
      <w:r w:rsidR="00F04B94">
        <w:t>has not described</w:t>
      </w:r>
      <w:r w:rsidR="00F04B94">
        <w:t xml:space="preserve"> </w:t>
      </w:r>
      <w:r w:rsidR="00391AA7">
        <w:t>in sufficient detail</w:t>
      </w:r>
      <w:r w:rsidR="00391AA7">
        <w:t xml:space="preserve"> </w:t>
      </w:r>
      <w:r w:rsidR="00F04B94">
        <w:t xml:space="preserve">the specific compliance requirements from the energization timelines decision </w:t>
      </w:r>
      <w:r w:rsidR="0041661F">
        <w:t>it currently cannot meet</w:t>
      </w:r>
      <w:r w:rsidR="005239AD">
        <w:t>, along with the deadline to meet those requirements</w:t>
      </w:r>
      <w:r w:rsidR="008E245A">
        <w:t xml:space="preserve">; </w:t>
      </w:r>
      <w:r w:rsidR="0041661F">
        <w:t xml:space="preserve">has not provided evidence supporting </w:t>
      </w:r>
      <w:r w:rsidR="008E245A">
        <w:t xml:space="preserve">those claims; has not described </w:t>
      </w:r>
      <w:r w:rsidR="00D5650C">
        <w:t xml:space="preserve">how the proposed IT Enhancements </w:t>
      </w:r>
      <w:r w:rsidR="00641096">
        <w:t>allow SDG&amp;E to meet those compliance requirements</w:t>
      </w:r>
      <w:r w:rsidR="00596801">
        <w:t>; has not described how its proposed IT Enhancements would coordinate (and avoid duplicati</w:t>
      </w:r>
      <w:r w:rsidR="00443055">
        <w:t>on or redundancy</w:t>
      </w:r>
      <w:r w:rsidR="00596801">
        <w:t>) among themselves and other existing and planned IT projects</w:t>
      </w:r>
      <w:r w:rsidR="00D5650C">
        <w:t xml:space="preserve">; </w:t>
      </w:r>
      <w:r w:rsidR="00641096">
        <w:t>has not described those projects at a reasonable level of detail</w:t>
      </w:r>
      <w:r w:rsidR="0065029B">
        <w:t xml:space="preserve">, including </w:t>
      </w:r>
      <w:r w:rsidR="00097EF5">
        <w:t>estimates of when the new capabilities would come online</w:t>
      </w:r>
      <w:r w:rsidR="008B23F7">
        <w:t>; has not tied those description to cost forecasts</w:t>
      </w:r>
      <w:r w:rsidR="00443055">
        <w:t xml:space="preserve">; </w:t>
      </w:r>
      <w:r w:rsidRPr="0B19743F" w:rsidR="3146FA50">
        <w:t>and has</w:t>
      </w:r>
      <w:r w:rsidR="00443055">
        <w:t>,</w:t>
      </w:r>
      <w:r w:rsidRPr="0B19743F" w:rsidR="3146FA50">
        <w:t xml:space="preserve"> not </w:t>
      </w:r>
      <w:r w:rsidRPr="0146768A" w:rsidR="3146FA50">
        <w:t>explained how</w:t>
      </w:r>
      <w:r w:rsidRPr="151D3C32" w:rsidR="3146FA50">
        <w:t xml:space="preserve"> </w:t>
      </w:r>
      <w:r w:rsidR="00443055">
        <w:t>it developed those cost forecasts</w:t>
      </w:r>
      <w:r w:rsidRPr="40A10458" w:rsidR="008B23F7">
        <w:t>.</w:t>
      </w:r>
      <w:r w:rsidR="008B23F7">
        <w:t xml:space="preserve"> On this basis, </w:t>
      </w:r>
      <w:r w:rsidR="00B172EA">
        <w:t>this decision does not allow any IT Enhancement costs to count toward the cap.</w:t>
      </w:r>
    </w:p>
    <w:p w:rsidR="00CB7B3C" w:rsidP="00757F75" w:rsidRDefault="00CB7B3C" w14:paraId="7268F3C2" w14:textId="0B74C510">
      <w:pPr>
        <w:pStyle w:val="Heading2"/>
      </w:pPr>
      <w:bookmarkStart w:name="_Toc212538564" w:id="62"/>
      <w:r w:rsidRPr="00757F75">
        <w:t>Miscellaneous</w:t>
      </w:r>
      <w:r>
        <w:t xml:space="preserve"> Cost</w:t>
      </w:r>
      <w:r w:rsidR="0095526D">
        <w:t xml:space="preserve"> to Comply with</w:t>
      </w:r>
      <w:r w:rsidR="0035491A">
        <w:br/>
        <w:t>Senate Bill </w:t>
      </w:r>
      <w:r w:rsidR="0095526D">
        <w:t>410 and Related Decisions</w:t>
      </w:r>
      <w:bookmarkEnd w:id="62"/>
    </w:p>
    <w:p w:rsidRPr="00147172" w:rsidR="0034383A" w:rsidP="00F67BCA" w:rsidRDefault="009B0590" w14:paraId="2145A13D" w14:textId="52D867B2">
      <w:pPr>
        <w:pStyle w:val="Standard"/>
      </w:pPr>
      <w:r>
        <w:t>SDG&amp;E</w:t>
      </w:r>
      <w:r w:rsidR="00836A9E">
        <w:t>’</w:t>
      </w:r>
      <w:r>
        <w:t xml:space="preserve">s direct testimony includes a footnote that states, </w:t>
      </w:r>
      <w:r w:rsidR="00836A9E">
        <w:t>“</w:t>
      </w:r>
      <w:r w:rsidRPr="0034383A" w:rsidR="0034383A">
        <w:t xml:space="preserve">SDG&amp;E notes that its proposed ratemaking mechanism includes flexibility to recover additional miscellaneous compliance costs that may be needed to comply with </w:t>
      </w:r>
      <w:r w:rsidR="0040495F">
        <w:t>SB </w:t>
      </w:r>
      <w:r w:rsidRPr="0034383A" w:rsidR="0034383A">
        <w:t>410 and D.24</w:t>
      </w:r>
      <w:r w:rsidRPr="0034383A" w:rsidR="7AD7C222">
        <w:t>-</w:t>
      </w:r>
      <w:r w:rsidR="00503215">
        <w:noBreakHyphen/>
      </w:r>
      <w:r w:rsidRPr="0034383A" w:rsidR="0034383A">
        <w:t>09</w:t>
      </w:r>
      <w:r w:rsidRPr="0034383A" w:rsidR="7AD7C222">
        <w:t>-</w:t>
      </w:r>
      <w:r w:rsidR="00503215">
        <w:noBreakHyphen/>
      </w:r>
      <w:r w:rsidRPr="0034383A" w:rsidR="0034383A">
        <w:t>020.</w:t>
      </w:r>
      <w:r w:rsidR="00836A9E">
        <w:t>”</w:t>
      </w:r>
      <w:r w:rsidRPr="0034383A" w:rsidR="0034383A">
        <w:rPr>
          <w:vertAlign w:val="superscript"/>
        </w:rPr>
        <w:footnoteReference w:id="164"/>
      </w:r>
      <w:r w:rsidR="0034383A">
        <w:t xml:space="preserve"> </w:t>
      </w:r>
      <w:r w:rsidRPr="0034383A" w:rsidR="0034383A">
        <w:t>SDG&amp;E does not explain</w:t>
      </w:r>
      <w:r w:rsidR="00FD2C70">
        <w:t xml:space="preserve">, estimate, or </w:t>
      </w:r>
      <w:r w:rsidRPr="0034383A" w:rsidR="0034383A">
        <w:t xml:space="preserve">justify these </w:t>
      </w:r>
      <w:r w:rsidRPr="0034383A" w:rsidR="0034383A">
        <w:lastRenderedPageBreak/>
        <w:t>costs</w:t>
      </w:r>
      <w:r w:rsidR="00FD2C70">
        <w:t xml:space="preserve">. </w:t>
      </w:r>
      <w:r w:rsidRPr="00147172" w:rsidR="009F4F11">
        <w:t>This decision does not allow any miscellaneous costs to count toward the cap</w:t>
      </w:r>
      <w:r w:rsidR="00012EA8">
        <w:t xml:space="preserve"> </w:t>
      </w:r>
      <w:r w:rsidRPr="00147172" w:rsidR="009F4F11">
        <w:t xml:space="preserve">and there is </w:t>
      </w:r>
      <w:r w:rsidRPr="00147172" w:rsidR="638F034F">
        <w:t xml:space="preserve">insufficient record support </w:t>
      </w:r>
      <w:r w:rsidRPr="00147172" w:rsidR="00F9175A">
        <w:t>for any activities that SDG&amp;E claims fall into this category.</w:t>
      </w:r>
    </w:p>
    <w:p w:rsidR="004C206B" w:rsidP="00757F75" w:rsidRDefault="004C206B" w14:paraId="2EB3D1B1" w14:textId="05D8D653">
      <w:pPr>
        <w:pStyle w:val="Heading2"/>
      </w:pPr>
      <w:bookmarkStart w:name="_Toc212538565" w:id="63"/>
      <w:r w:rsidRPr="00757F75">
        <w:t>Contingency</w:t>
      </w:r>
      <w:bookmarkEnd w:id="63"/>
    </w:p>
    <w:p w:rsidR="00E50D76" w:rsidP="009550BB" w:rsidRDefault="00E50D76" w14:paraId="00E9518D" w14:textId="3893D617">
      <w:pPr>
        <w:pStyle w:val="Standard"/>
      </w:pPr>
      <w:r>
        <w:t xml:space="preserve">SDG&amp;E requests the Commission increase the annual caps to </w:t>
      </w:r>
      <w:r w:rsidR="008B2767">
        <w:t>account</w:t>
      </w:r>
      <w:r>
        <w:t xml:space="preserve"> for </w:t>
      </w:r>
      <w:r w:rsidR="00836A9E">
        <w:t>“</w:t>
      </w:r>
      <w:r>
        <w:t>significant forecast uncertainty.</w:t>
      </w:r>
      <w:r w:rsidR="00836A9E">
        <w:t>”</w:t>
      </w:r>
      <w:r w:rsidRPr="009550BB">
        <w:rPr>
          <w:rStyle w:val="FootnoteReference"/>
        </w:rPr>
        <w:footnoteReference w:id="165"/>
      </w:r>
      <w:r>
        <w:t xml:space="preserve"> While SDG&amp;E forecasts needing to spend $73.061</w:t>
      </w:r>
      <w:r w:rsidR="009C11C6">
        <w:t> million</w:t>
      </w:r>
      <w:r>
        <w:t xml:space="preserve"> in 2025 and $144.631</w:t>
      </w:r>
      <w:r w:rsidR="009C11C6">
        <w:t> million</w:t>
      </w:r>
      <w:r>
        <w:t xml:space="preserve"> on direct energization costs, SDG&amp;E requests the Commission set the 2025 cap at $144.631</w:t>
      </w:r>
      <w:r w:rsidR="009C11C6">
        <w:t> million</w:t>
      </w:r>
      <w:r>
        <w:t xml:space="preserve"> (</w:t>
      </w:r>
      <w:r w:rsidRPr="00897A6E" w:rsidR="00897A6E">
        <w:rPr>
          <w:i/>
          <w:iCs/>
        </w:rPr>
        <w:t>i.e.</w:t>
      </w:r>
      <w:r>
        <w:t>, the forecast for 2026) and allow any unspent funds in 2025 to be added to the 2026 cap.</w:t>
      </w:r>
      <w:r w:rsidRPr="009550BB">
        <w:rPr>
          <w:rStyle w:val="FootnoteReference"/>
        </w:rPr>
        <w:footnoteReference w:id="166"/>
      </w:r>
      <w:r>
        <w:t xml:space="preserve"> TURN opposes </w:t>
      </w:r>
      <w:r w:rsidR="453958C2">
        <w:t>and a</w:t>
      </w:r>
      <w:r w:rsidR="1871054A">
        <w:t>sserts</w:t>
      </w:r>
      <w:r w:rsidR="453958C2">
        <w:t xml:space="preserve"> </w:t>
      </w:r>
      <w:r>
        <w:t>the Commission</w:t>
      </w:r>
      <w:r w:rsidR="225E605D">
        <w:t xml:space="preserve"> should</w:t>
      </w:r>
      <w:r>
        <w:t xml:space="preserve"> reject SDG&amp;E</w:t>
      </w:r>
      <w:r w:rsidR="00836A9E">
        <w:t>’</w:t>
      </w:r>
      <w:r>
        <w:t xml:space="preserve">s request, arguing </w:t>
      </w:r>
      <w:r w:rsidR="00836A9E">
        <w:t>“</w:t>
      </w:r>
      <w:r>
        <w:t>there is no basis for authorizing interim recovery of costs that have not been forecast and do not have any reasonable probability of occurring.</w:t>
      </w:r>
      <w:r w:rsidR="00836A9E">
        <w:t>”</w:t>
      </w:r>
      <w:r w:rsidRPr="009550BB">
        <w:rPr>
          <w:rStyle w:val="FootnoteReference"/>
        </w:rPr>
        <w:footnoteReference w:id="167"/>
      </w:r>
      <w:r>
        <w:t xml:space="preserve"> </w:t>
      </w:r>
      <w:r w:rsidR="00366301">
        <w:t>Cal Advoc</w:t>
      </w:r>
      <w:r w:rsidRPr="00D60F08">
        <w:t>ates argues that SDG&amp;E</w:t>
      </w:r>
      <w:r w:rsidR="00836A9E">
        <w:t>’</w:t>
      </w:r>
      <w:r w:rsidRPr="00D60F08">
        <w:t xml:space="preserve">s approach renders the statutory cost cap meaningless, undermining a key safeguard intended to protect ratepayers from overspending. </w:t>
      </w:r>
      <w:r w:rsidR="0040495F">
        <w:t>SB </w:t>
      </w:r>
      <w:r w:rsidRPr="00D60F08">
        <w:t>410 includes cost caps to provide clear limits and accountability, not as placeholders for uncertain future needs. Granting SDG&amp;E</w:t>
      </w:r>
      <w:r w:rsidR="00836A9E">
        <w:t>’</w:t>
      </w:r>
      <w:r w:rsidRPr="00D60F08">
        <w:t>s request would set a precedent that ignores the legislative intent behind the cap. The Commission has previously rejected similar headroom requests from PG&amp;E due to a lack of justification and should do the same here. The proposed 2025 headroom ($71.6</w:t>
      </w:r>
      <w:r w:rsidR="009C11C6">
        <w:t> million</w:t>
      </w:r>
      <w:r w:rsidRPr="00D60F08">
        <w:t>) should therefore be denied.</w:t>
      </w:r>
      <w:r w:rsidRPr="009550BB">
        <w:rPr>
          <w:rStyle w:val="FootnoteReference"/>
        </w:rPr>
        <w:footnoteReference w:id="168"/>
      </w:r>
    </w:p>
    <w:p w:rsidRPr="00E50D76" w:rsidR="00E50D76" w:rsidP="009550BB" w:rsidRDefault="00E50D76" w14:paraId="11EA2CB9" w14:textId="4E090BD0">
      <w:pPr>
        <w:pStyle w:val="Standard"/>
      </w:pPr>
      <w:r w:rsidRPr="00E50D76">
        <w:t xml:space="preserve">This decision does not allow any contingency or </w:t>
      </w:r>
      <w:r w:rsidR="00836A9E">
        <w:t>“</w:t>
      </w:r>
      <w:r w:rsidRPr="00E50D76">
        <w:t>headroom</w:t>
      </w:r>
      <w:r w:rsidR="00836A9E">
        <w:t>”</w:t>
      </w:r>
      <w:r w:rsidRPr="00E50D76">
        <w:t xml:space="preserve"> costs to count toward the cap. SDG&amp;E</w:t>
      </w:r>
      <w:r w:rsidR="00836A9E">
        <w:t>’</w:t>
      </w:r>
      <w:r w:rsidRPr="00E50D76">
        <w:t xml:space="preserve">s only explanation of how it decided to ask for a </w:t>
      </w:r>
      <w:r w:rsidRPr="00E50D76">
        <w:lastRenderedPageBreak/>
        <w:t>buffer of $71</w:t>
      </w:r>
      <w:r w:rsidR="009C11C6">
        <w:t> million</w:t>
      </w:r>
      <w:r w:rsidR="00D140B1">
        <w:t xml:space="preserve"> — </w:t>
      </w:r>
      <w:r w:rsidRPr="00E50D76">
        <w:t>a 30</w:t>
      </w:r>
      <w:r w:rsidR="008A1F84">
        <w:t> percent</w:t>
      </w:r>
      <w:r w:rsidRPr="00E50D76">
        <w:t xml:space="preserve"> increase in its overall request</w:t>
      </w:r>
      <w:r w:rsidR="00D140B1">
        <w:t xml:space="preserve"> — </w:t>
      </w:r>
      <w:r w:rsidRPr="00E50D76">
        <w:t xml:space="preserve">was to </w:t>
      </w:r>
      <w:r w:rsidR="00CE1EE7">
        <w:t xml:space="preserve">point </w:t>
      </w:r>
      <w:r w:rsidRPr="00E50D76">
        <w:t xml:space="preserve">to </w:t>
      </w:r>
      <w:r w:rsidR="0034081A">
        <w:t xml:space="preserve">a </w:t>
      </w:r>
      <w:r w:rsidRPr="00E50D76">
        <w:t xml:space="preserve">set of </w:t>
      </w:r>
      <w:r w:rsidR="00836A9E">
        <w:t>“</w:t>
      </w:r>
      <w:r w:rsidRPr="00E50D76">
        <w:t>forecast uncertainties.</w:t>
      </w:r>
      <w:r w:rsidR="00836A9E">
        <w:t>”</w:t>
      </w:r>
      <w:r w:rsidRPr="00E50D76">
        <w:t xml:space="preserve"> SDG&amp;E further acknowledged that </w:t>
      </w:r>
      <w:r w:rsidR="00836A9E">
        <w:t>“</w:t>
      </w:r>
      <w:r w:rsidRPr="00E50D76">
        <w:t>the proposed cap [was] not intended to reflect expected expenditures.</w:t>
      </w:r>
      <w:r w:rsidR="00836A9E">
        <w:t>”</w:t>
      </w:r>
      <w:r w:rsidRPr="009550BB">
        <w:rPr>
          <w:rStyle w:val="FootnoteReference"/>
        </w:rPr>
        <w:footnoteReference w:id="169"/>
      </w:r>
      <w:r w:rsidRPr="00E50D76">
        <w:t xml:space="preserve"> </w:t>
      </w:r>
      <w:r w:rsidR="00446CB2">
        <w:t xml:space="preserve">This is consistent </w:t>
      </w:r>
      <w:r w:rsidR="006A1730">
        <w:t xml:space="preserve">with </w:t>
      </w:r>
      <w:r w:rsidR="001C505A">
        <w:t>D.24</w:t>
      </w:r>
      <w:r w:rsidR="00503215">
        <w:noBreakHyphen/>
      </w:r>
      <w:r w:rsidR="001C505A">
        <w:t>07</w:t>
      </w:r>
      <w:r w:rsidR="00503215">
        <w:noBreakHyphen/>
      </w:r>
      <w:r w:rsidR="001C505A">
        <w:t>008,</w:t>
      </w:r>
      <w:r w:rsidR="006A1730">
        <w:t xml:space="preserve"> which denied PG&amp;E</w:t>
      </w:r>
      <w:r w:rsidR="00836A9E">
        <w:t>’</w:t>
      </w:r>
      <w:r w:rsidR="006A1730">
        <w:t>s request for a 2.5</w:t>
      </w:r>
      <w:r w:rsidR="008A1F84">
        <w:t> percent</w:t>
      </w:r>
      <w:r w:rsidR="006A1730">
        <w:t xml:space="preserve"> </w:t>
      </w:r>
      <w:r w:rsidR="00836A9E">
        <w:t>“</w:t>
      </w:r>
      <w:r w:rsidR="00C072E3">
        <w:t>buffer.</w:t>
      </w:r>
      <w:r w:rsidR="00836A9E">
        <w:t>”</w:t>
      </w:r>
      <w:r w:rsidRPr="009550BB" w:rsidR="001C505A">
        <w:rPr>
          <w:rStyle w:val="FootnoteReference"/>
        </w:rPr>
        <w:footnoteReference w:id="170"/>
      </w:r>
      <w:r w:rsidR="009550BB">
        <w:t xml:space="preserve"> </w:t>
      </w:r>
      <w:r w:rsidRPr="00E50D76">
        <w:t>Accordingly, the cap set by this decision does not include any buffer or headroom.</w:t>
      </w:r>
    </w:p>
    <w:p w:rsidR="00180946" w:rsidP="00BB4B1B" w:rsidRDefault="003D0198" w14:paraId="7FE7397C" w14:textId="4AD97D44">
      <w:pPr>
        <w:pStyle w:val="Heading1"/>
      </w:pPr>
      <w:bookmarkStart w:name="_Toc212538566" w:id="64"/>
      <w:r>
        <w:t>Ratemaking Mechanism</w:t>
      </w:r>
      <w:bookmarkEnd w:id="64"/>
    </w:p>
    <w:p w:rsidR="00991076" w:rsidP="00BB4B1B" w:rsidRDefault="00914292" w14:paraId="0168BC82" w14:textId="2E5E9853">
      <w:pPr>
        <w:pStyle w:val="Heading2"/>
      </w:pPr>
      <w:bookmarkStart w:name="_Toc212538567" w:id="65"/>
      <w:r>
        <w:t>Electric Energization</w:t>
      </w:r>
      <w:r w:rsidR="0035491A">
        <w:br/>
      </w:r>
      <w:r>
        <w:t>Memorandum Account</w:t>
      </w:r>
      <w:bookmarkEnd w:id="65"/>
    </w:p>
    <w:p w:rsidR="00914292" w:rsidP="00F67BCA" w:rsidRDefault="00914292" w14:paraId="2642E2BE" w14:textId="30E71F42">
      <w:pPr>
        <w:pStyle w:val="Standard"/>
      </w:pPr>
      <w:r>
        <w:t xml:space="preserve">SDG&amp;E </w:t>
      </w:r>
      <w:r w:rsidR="00B9019B">
        <w:t>requests authority</w:t>
      </w:r>
      <w:r>
        <w:t xml:space="preserve"> to establish a new memora</w:t>
      </w:r>
      <w:r w:rsidR="00EF102B">
        <w:t>n</w:t>
      </w:r>
      <w:r>
        <w:t xml:space="preserve">dum </w:t>
      </w:r>
      <w:r w:rsidR="00EF102B">
        <w:t xml:space="preserve">account, the EEMA, to record </w:t>
      </w:r>
      <w:r w:rsidR="00F32A06">
        <w:t xml:space="preserve">the revenue requirement for </w:t>
      </w:r>
      <w:r w:rsidR="001F1E0B">
        <w:t>(1)</w:t>
      </w:r>
      <w:r w:rsidR="000B6B63">
        <w:t> </w:t>
      </w:r>
      <w:r w:rsidR="001F1E0B">
        <w:t xml:space="preserve">incremental </w:t>
      </w:r>
      <w:r w:rsidR="00F32A06">
        <w:t xml:space="preserve">energization costs </w:t>
      </w:r>
      <w:r w:rsidR="001F1E0B">
        <w:t>beyond the amounts authorized in its 2024 GRC</w:t>
      </w:r>
      <w:r w:rsidR="00645A3F">
        <w:t>, and (2)</w:t>
      </w:r>
      <w:r w:rsidR="000B6B63">
        <w:t> </w:t>
      </w:r>
      <w:r w:rsidR="00645A3F">
        <w:t xml:space="preserve">costs </w:t>
      </w:r>
      <w:r w:rsidR="000475BA">
        <w:t xml:space="preserve">SDG&amp;E </w:t>
      </w:r>
      <w:r w:rsidR="00645A3F">
        <w:t>incur</w:t>
      </w:r>
      <w:r w:rsidR="000475BA">
        <w:t xml:space="preserve">s to comply with </w:t>
      </w:r>
      <w:r w:rsidR="00836A9E">
        <w:t>“</w:t>
      </w:r>
      <w:r w:rsidR="0040495F">
        <w:t>SB </w:t>
      </w:r>
      <w:r w:rsidR="000475BA">
        <w:t>410 and related CPUC directive</w:t>
      </w:r>
      <w:r w:rsidR="00BE0C3D">
        <w:t>s</w:t>
      </w:r>
      <w:r w:rsidR="000475BA">
        <w:t>.</w:t>
      </w:r>
      <w:r w:rsidR="00836A9E">
        <w:t>”</w:t>
      </w:r>
      <w:r w:rsidRPr="009550BB" w:rsidR="000475BA">
        <w:rPr>
          <w:rStyle w:val="FootnoteReference"/>
        </w:rPr>
        <w:footnoteReference w:id="171"/>
      </w:r>
      <w:r w:rsidR="00A64A3A">
        <w:t xml:space="preserve"> SD</w:t>
      </w:r>
      <w:r w:rsidR="00B9019B">
        <w:t xml:space="preserve">G&amp;E proposes that, on an annual basis, it </w:t>
      </w:r>
      <w:r w:rsidR="000C1815">
        <w:t xml:space="preserve">will transfer costs recorded in the EEMA to the existing </w:t>
      </w:r>
      <w:proofErr w:type="spellStart"/>
      <w:r w:rsidR="0074785A">
        <w:t>EDFCA</w:t>
      </w:r>
      <w:proofErr w:type="spellEnd"/>
      <w:r w:rsidR="0074785A">
        <w:t xml:space="preserve"> for recovery from customers.</w:t>
      </w:r>
      <w:r w:rsidRPr="2F67808B" w:rsidR="0074785A">
        <w:rPr>
          <w:rFonts w:ascii="TimesNewRoman" w:hAnsi="TimesNewRoman" w:cs="TimesNewRoman"/>
        </w:rPr>
        <w:t xml:space="preserve"> </w:t>
      </w:r>
      <w:r w:rsidR="0074785A">
        <w:t>SDG&amp;E will repor</w:t>
      </w:r>
      <w:r w:rsidR="00D339DC">
        <w:t>t</w:t>
      </w:r>
      <w:r w:rsidR="0074785A">
        <w:t xml:space="preserve"> this amount in its </w:t>
      </w:r>
      <w:r w:rsidRPr="00C8356C" w:rsidR="0074785A">
        <w:t xml:space="preserve">annual Regulatory Account Update Filing, which </w:t>
      </w:r>
      <w:r w:rsidR="0074785A">
        <w:t xml:space="preserve">it will consolidate with its </w:t>
      </w:r>
      <w:r w:rsidRPr="00C8356C" w:rsidR="0074785A">
        <w:t xml:space="preserve">Annual Electric True Up </w:t>
      </w:r>
      <w:r w:rsidR="0074785A">
        <w:t xml:space="preserve">(AET) </w:t>
      </w:r>
      <w:r w:rsidRPr="00C8356C" w:rsidR="0074785A">
        <w:t xml:space="preserve">advice letter for rates effective </w:t>
      </w:r>
      <w:r w:rsidR="007F1773">
        <w:t>January </w:t>
      </w:r>
      <w:r w:rsidRPr="00C8356C" w:rsidR="0074785A">
        <w:t>1.</w:t>
      </w:r>
      <w:r w:rsidRPr="009550BB" w:rsidR="00EC5FA8">
        <w:rPr>
          <w:rStyle w:val="FootnoteReference"/>
        </w:rPr>
        <w:footnoteReference w:id="172"/>
      </w:r>
      <w:r w:rsidR="005923BA">
        <w:t xml:space="preserve"> SDG&amp;E </w:t>
      </w:r>
      <w:r w:rsidR="00DF44B5">
        <w:t xml:space="preserve">argues </w:t>
      </w:r>
      <w:r w:rsidR="005923BA">
        <w:t xml:space="preserve">that </w:t>
      </w:r>
      <w:r w:rsidR="00FB56C4">
        <w:t xml:space="preserve">while the Commission may approve a cost cap for the EEMA based on </w:t>
      </w:r>
      <w:r w:rsidR="00AE5AF6">
        <w:t xml:space="preserve">assumptions about spending in different cost categories, </w:t>
      </w:r>
      <w:r w:rsidR="0040495F">
        <w:t>SB </w:t>
      </w:r>
      <w:r w:rsidR="00DF44B5">
        <w:t xml:space="preserve">410 does not </w:t>
      </w:r>
      <w:r w:rsidR="00725B86">
        <w:t xml:space="preserve">require </w:t>
      </w:r>
      <w:r w:rsidR="00AE5AF6">
        <w:t>SDG&amp;E</w:t>
      </w:r>
      <w:r w:rsidR="00DF44B5">
        <w:t xml:space="preserve"> </w:t>
      </w:r>
      <w:r w:rsidR="00725B86">
        <w:t xml:space="preserve">only to record costs that match those </w:t>
      </w:r>
      <w:r w:rsidR="006A6BE9">
        <w:t>cost categories and spending levels.</w:t>
      </w:r>
      <w:r w:rsidRPr="009550BB" w:rsidR="006A6BE9">
        <w:rPr>
          <w:rStyle w:val="FootnoteReference"/>
        </w:rPr>
        <w:footnoteReference w:id="173"/>
      </w:r>
      <w:r w:rsidR="00E33970">
        <w:t xml:space="preserve"> So long as the costs are energization</w:t>
      </w:r>
      <w:r w:rsidR="34839327">
        <w:t>-</w:t>
      </w:r>
      <w:r w:rsidR="00E33970">
        <w:t xml:space="preserve">related and incremental </w:t>
      </w:r>
      <w:r w:rsidR="00E33970">
        <w:lastRenderedPageBreak/>
        <w:t xml:space="preserve">to </w:t>
      </w:r>
      <w:r w:rsidR="008F33C9">
        <w:t>GRC</w:t>
      </w:r>
      <w:r w:rsidR="0CFEE64B">
        <w:t>-</w:t>
      </w:r>
      <w:r w:rsidR="008F33C9">
        <w:t>authorized spend, SDG&amp;E argues</w:t>
      </w:r>
      <w:r w:rsidR="00C443BB">
        <w:t>,</w:t>
      </w:r>
      <w:r w:rsidR="008F33C9">
        <w:t xml:space="preserve"> </w:t>
      </w:r>
      <w:r w:rsidR="0040495F">
        <w:t>SB </w:t>
      </w:r>
      <w:r w:rsidR="00C443BB">
        <w:t xml:space="preserve">410 </w:t>
      </w:r>
      <w:r w:rsidR="00476F79">
        <w:t xml:space="preserve">permits </w:t>
      </w:r>
      <w:r w:rsidR="00C443BB">
        <w:t xml:space="preserve">SDG&amp;E to </w:t>
      </w:r>
      <w:r w:rsidR="00476F79">
        <w:t>record those costs to th</w:t>
      </w:r>
      <w:r w:rsidR="001B38AC">
        <w:t>e</w:t>
      </w:r>
      <w:r w:rsidR="00476F79">
        <w:t xml:space="preserve"> EEMA.</w:t>
      </w:r>
    </w:p>
    <w:p w:rsidR="007F1773" w:rsidP="00F67BCA" w:rsidRDefault="00D339DC" w14:paraId="6E5B5BFA" w14:textId="37D3006D">
      <w:pPr>
        <w:pStyle w:val="Standard"/>
      </w:pPr>
      <w:r w:rsidRPr="00591E97">
        <w:t xml:space="preserve">This decision </w:t>
      </w:r>
      <w:r w:rsidRPr="00591E97" w:rsidR="009B3BDF">
        <w:t xml:space="preserve">authorizes </w:t>
      </w:r>
      <w:r w:rsidRPr="00591E97">
        <w:t>SDG&amp;E</w:t>
      </w:r>
      <w:r w:rsidRPr="00591E97" w:rsidR="009B3BDF">
        <w:t xml:space="preserve"> to create a new memorandum account, called the </w:t>
      </w:r>
      <w:r w:rsidR="00614F65">
        <w:t>EEMA</w:t>
      </w:r>
      <w:r w:rsidRPr="00591E97" w:rsidR="009B3BDF">
        <w:t xml:space="preserve">, </w:t>
      </w:r>
      <w:r w:rsidRPr="00591E97" w:rsidR="00952E0E">
        <w:t xml:space="preserve">to </w:t>
      </w:r>
      <w:r w:rsidR="0007549C">
        <w:t xml:space="preserve">which it may </w:t>
      </w:r>
      <w:r w:rsidRPr="00591E97" w:rsidR="00952E0E">
        <w:t xml:space="preserve">record the revenue requirement </w:t>
      </w:r>
      <w:r w:rsidRPr="00591E97" w:rsidR="00591E97">
        <w:t>to</w:t>
      </w:r>
      <w:r w:rsidRPr="00591E97" w:rsidR="00591E97">
        <w:t xml:space="preserve"> </w:t>
      </w:r>
      <w:r w:rsidR="0007549C">
        <w:t>necessary</w:t>
      </w:r>
      <w:r w:rsidR="0007549C">
        <w:t xml:space="preserve"> </w:t>
      </w:r>
      <w:r w:rsidRPr="00591E97" w:rsidR="00591E97">
        <w:t xml:space="preserve">recover energization costs that are </w:t>
      </w:r>
      <w:r w:rsidR="00224035">
        <w:t>(1)</w:t>
      </w:r>
      <w:r w:rsidR="00614F65">
        <w:t> </w:t>
      </w:r>
      <w:r w:rsidRPr="00591E97" w:rsidR="00591E97">
        <w:t>incremental to the amounts authorized in the 2024 GRC</w:t>
      </w:r>
      <w:r w:rsidR="00614F65">
        <w:t>,</w:t>
      </w:r>
      <w:r w:rsidR="00224035">
        <w:t xml:space="preserve"> and (2)</w:t>
      </w:r>
      <w:r w:rsidR="00614F65">
        <w:t> </w:t>
      </w:r>
      <w:r w:rsidR="0004426C">
        <w:t xml:space="preserve">for projects placed in service after </w:t>
      </w:r>
      <w:r w:rsidR="007F1773">
        <w:t>January </w:t>
      </w:r>
      <w:r w:rsidR="0004426C">
        <w:t xml:space="preserve">1, 2024, and before </w:t>
      </w:r>
      <w:r w:rsidR="007F1773">
        <w:t>January </w:t>
      </w:r>
      <w:r w:rsidR="0004426C">
        <w:t>1, 2027</w:t>
      </w:r>
      <w:r w:rsidRPr="00591E97" w:rsidR="00591E97">
        <w:t>.</w:t>
      </w:r>
      <w:r w:rsidR="0036533A">
        <w:t xml:space="preserve"> SDG&amp;E is not authorized to record any other costs to the EEMA</w:t>
      </w:r>
      <w:r w:rsidR="00216EB6">
        <w:t>.</w:t>
      </w:r>
    </w:p>
    <w:p w:rsidR="00545E73" w:rsidP="00F67BCA" w:rsidRDefault="0040551C" w14:paraId="7AB4D922" w14:textId="542E5765">
      <w:pPr>
        <w:pStyle w:val="Standard"/>
      </w:pPr>
      <w:r w:rsidRPr="00FF7FDE">
        <w:t>SDG&amp;E is authorized to annually transfer any costs in the EEMA for projects placed in service before January 1, 2027, to the existing Electric Distribution Fixed Cost Account (</w:t>
      </w:r>
      <w:proofErr w:type="spellStart"/>
      <w:r w:rsidRPr="00FF7FDE">
        <w:t>EDFCA</w:t>
      </w:r>
      <w:proofErr w:type="spellEnd"/>
      <w:r w:rsidRPr="00FF7FDE">
        <w:t>) for recovery from customers.</w:t>
      </w:r>
      <w:r w:rsidRPr="00FF7FDE">
        <w:rPr>
          <w:rStyle w:val="FootnoteReference"/>
        </w:rPr>
        <w:footnoteReference w:id="174"/>
      </w:r>
      <w:r w:rsidRPr="00FF7FDE">
        <w:t xml:space="preserve"> SDG&amp;E must report in its Annual Electric True Up advice letter the amount it transferred from the EEMA to the </w:t>
      </w:r>
      <w:proofErr w:type="spellStart"/>
      <w:r w:rsidRPr="00FF7FDE">
        <w:t>EDFCA</w:t>
      </w:r>
      <w:proofErr w:type="spellEnd"/>
      <w:r w:rsidR="00F71218">
        <w:t>.</w:t>
      </w:r>
    </w:p>
    <w:p w:rsidR="00B71E58" w:rsidP="00BB4B1B" w:rsidRDefault="00B71E58" w14:paraId="22ADEC30" w14:textId="519CBC75">
      <w:pPr>
        <w:pStyle w:val="Heading2"/>
      </w:pPr>
      <w:bookmarkStart w:name="_Toc212538568" w:id="66"/>
      <w:r>
        <w:t>Annual Caps</w:t>
      </w:r>
      <w:bookmarkEnd w:id="66"/>
    </w:p>
    <w:p w:rsidR="00B71E58" w:rsidP="00F67BCA" w:rsidRDefault="005D4B80" w14:paraId="7A51C447" w14:textId="7EF8DE15">
      <w:pPr>
        <w:pStyle w:val="Standard"/>
      </w:pPr>
      <w:r>
        <w:t xml:space="preserve">This decision sets </w:t>
      </w:r>
      <w:r w:rsidR="005320C5">
        <w:t xml:space="preserve">the following </w:t>
      </w:r>
      <w:r>
        <w:t xml:space="preserve">annual </w:t>
      </w:r>
      <w:r w:rsidR="005320C5">
        <w:t xml:space="preserve">caps </w:t>
      </w:r>
      <w:r>
        <w:t>on the capital costs that SDG&amp;E may record to the EEMA</w:t>
      </w:r>
      <w:r w:rsidR="005320C5">
        <w:t>:</w:t>
      </w:r>
    </w:p>
    <w:tbl>
      <w:tblPr>
        <w:tblStyle w:val="TableGrid"/>
        <w:tblW w:w="4152" w:type="pct"/>
        <w:jc w:val="center"/>
        <w:tblLook w:val="04A0" w:firstRow="1" w:lastRow="0" w:firstColumn="1" w:lastColumn="0" w:noHBand="0" w:noVBand="1"/>
      </w:tblPr>
      <w:tblGrid>
        <w:gridCol w:w="3007"/>
        <w:gridCol w:w="1586"/>
        <w:gridCol w:w="1586"/>
        <w:gridCol w:w="1585"/>
      </w:tblGrid>
      <w:tr w:rsidRPr="00FF7FDE" w:rsidR="00DA04FF" w:rsidTr="00DA04FF" w14:paraId="724F2D2B" w14:textId="77777777">
        <w:trPr>
          <w:jc w:val="center"/>
        </w:trPr>
        <w:tc>
          <w:tcPr>
            <w:tcW w:w="1936" w:type="pct"/>
            <w:shd w:val="clear" w:color="auto" w:fill="E7E6E6" w:themeFill="background2"/>
          </w:tcPr>
          <w:p w:rsidRPr="00FF7FDE" w:rsidR="00DA04FF" w:rsidP="00F67BCA" w:rsidRDefault="00DA04FF" w14:paraId="51491939" w14:textId="77777777">
            <w:pPr>
              <w:pStyle w:val="Standard"/>
              <w:ind w:firstLine="0"/>
              <w:rPr>
                <w:b/>
                <w:sz w:val="22"/>
              </w:rPr>
            </w:pPr>
            <w:r w:rsidRPr="00FF7FDE">
              <w:rPr>
                <w:b/>
                <w:sz w:val="22"/>
              </w:rPr>
              <w:t>Cost Category</w:t>
            </w:r>
          </w:p>
        </w:tc>
        <w:tc>
          <w:tcPr>
            <w:tcW w:w="1021" w:type="pct"/>
            <w:shd w:val="clear" w:color="auto" w:fill="E7E6E6" w:themeFill="background2"/>
          </w:tcPr>
          <w:p w:rsidR="00DA04FF" w:rsidP="00F67BCA" w:rsidRDefault="00DA04FF" w14:paraId="7C598E86" w14:textId="77777777">
            <w:pPr>
              <w:pStyle w:val="Standard"/>
              <w:ind w:firstLine="0"/>
              <w:rPr>
                <w:b/>
                <w:sz w:val="22"/>
              </w:rPr>
            </w:pPr>
            <w:r>
              <w:rPr>
                <w:b/>
                <w:sz w:val="22"/>
              </w:rPr>
              <w:t xml:space="preserve">2024 </w:t>
            </w:r>
            <w:r w:rsidRPr="5824A8C0">
              <w:rPr>
                <w:b/>
                <w:sz w:val="22"/>
              </w:rPr>
              <w:t>Cap</w:t>
            </w:r>
          </w:p>
          <w:p w:rsidRPr="00FF7FDE" w:rsidR="00DA04FF" w:rsidP="00F67BCA" w:rsidRDefault="00DA04FF" w14:paraId="12BD9D53" w14:textId="77777777">
            <w:pPr>
              <w:pStyle w:val="Standard"/>
              <w:ind w:firstLine="0"/>
              <w:rPr>
                <w:b/>
                <w:sz w:val="22"/>
              </w:rPr>
            </w:pPr>
            <w:r w:rsidRPr="01D7FAC4">
              <w:rPr>
                <w:b/>
                <w:sz w:val="22"/>
              </w:rPr>
              <w:t>($</w:t>
            </w:r>
            <w:r>
              <w:rPr>
                <w:b/>
                <w:sz w:val="22"/>
              </w:rPr>
              <w:t>, millions</w:t>
            </w:r>
            <w:r w:rsidRPr="5824A8C0">
              <w:rPr>
                <w:b/>
                <w:sz w:val="22"/>
              </w:rPr>
              <w:t>)</w:t>
            </w:r>
          </w:p>
        </w:tc>
        <w:tc>
          <w:tcPr>
            <w:tcW w:w="1021" w:type="pct"/>
            <w:shd w:val="clear" w:color="auto" w:fill="E7E6E6" w:themeFill="background2"/>
          </w:tcPr>
          <w:p w:rsidR="00DA04FF" w:rsidP="00F67BCA" w:rsidRDefault="00DA04FF" w14:paraId="0F492956" w14:textId="77777777">
            <w:pPr>
              <w:pStyle w:val="Standard"/>
              <w:ind w:firstLine="0"/>
              <w:rPr>
                <w:b/>
                <w:sz w:val="22"/>
              </w:rPr>
            </w:pPr>
            <w:r>
              <w:rPr>
                <w:b/>
                <w:sz w:val="22"/>
              </w:rPr>
              <w:t xml:space="preserve">2025 </w:t>
            </w:r>
            <w:r w:rsidRPr="5824A8C0">
              <w:rPr>
                <w:b/>
                <w:sz w:val="22"/>
              </w:rPr>
              <w:t>Cap</w:t>
            </w:r>
          </w:p>
          <w:p w:rsidRPr="00FF7FDE" w:rsidR="00DA04FF" w:rsidP="00F67BCA" w:rsidRDefault="00DA04FF" w14:paraId="04C373DB" w14:textId="77777777">
            <w:pPr>
              <w:pStyle w:val="Standard"/>
              <w:ind w:firstLine="0"/>
              <w:rPr>
                <w:b/>
                <w:bCs/>
                <w:sz w:val="22"/>
                <w:szCs w:val="18"/>
              </w:rPr>
            </w:pPr>
            <w:r w:rsidRPr="01D7FAC4">
              <w:rPr>
                <w:b/>
                <w:sz w:val="22"/>
              </w:rPr>
              <w:t>($</w:t>
            </w:r>
            <w:r>
              <w:rPr>
                <w:b/>
                <w:sz w:val="22"/>
              </w:rPr>
              <w:t>, millions</w:t>
            </w:r>
            <w:r w:rsidRPr="5824A8C0">
              <w:rPr>
                <w:b/>
                <w:sz w:val="22"/>
              </w:rPr>
              <w:t>)</w:t>
            </w:r>
          </w:p>
        </w:tc>
        <w:tc>
          <w:tcPr>
            <w:tcW w:w="1021" w:type="pct"/>
            <w:shd w:val="clear" w:color="auto" w:fill="E7E6E6" w:themeFill="background2"/>
          </w:tcPr>
          <w:p w:rsidR="00DA04FF" w:rsidP="00F67BCA" w:rsidRDefault="00DA04FF" w14:paraId="59404118" w14:textId="77777777">
            <w:pPr>
              <w:pStyle w:val="Standard"/>
              <w:ind w:firstLine="0"/>
              <w:rPr>
                <w:b/>
                <w:bCs/>
                <w:sz w:val="22"/>
                <w:szCs w:val="18"/>
              </w:rPr>
            </w:pPr>
            <w:r>
              <w:rPr>
                <w:b/>
                <w:bCs/>
                <w:sz w:val="22"/>
                <w:szCs w:val="18"/>
              </w:rPr>
              <w:t xml:space="preserve">2026 </w:t>
            </w:r>
            <w:r w:rsidRPr="00FF7FDE">
              <w:rPr>
                <w:b/>
                <w:bCs/>
                <w:sz w:val="22"/>
                <w:szCs w:val="18"/>
              </w:rPr>
              <w:t>Cap</w:t>
            </w:r>
          </w:p>
          <w:p w:rsidRPr="00FF7FDE" w:rsidR="00DA04FF" w:rsidP="00F67BCA" w:rsidRDefault="00DA04FF" w14:paraId="110E19D3" w14:textId="77777777">
            <w:pPr>
              <w:pStyle w:val="Standard"/>
              <w:ind w:firstLine="0"/>
              <w:rPr>
                <w:b/>
                <w:bCs/>
                <w:sz w:val="22"/>
                <w:szCs w:val="18"/>
              </w:rPr>
            </w:pPr>
            <w:r w:rsidRPr="00FF7FDE">
              <w:rPr>
                <w:b/>
                <w:bCs/>
                <w:sz w:val="22"/>
                <w:szCs w:val="18"/>
              </w:rPr>
              <w:t>($</w:t>
            </w:r>
            <w:r>
              <w:rPr>
                <w:b/>
                <w:bCs/>
                <w:sz w:val="22"/>
                <w:szCs w:val="18"/>
              </w:rPr>
              <w:t>, millions</w:t>
            </w:r>
            <w:r w:rsidRPr="00FF7FDE">
              <w:rPr>
                <w:b/>
                <w:bCs/>
                <w:sz w:val="22"/>
                <w:szCs w:val="18"/>
              </w:rPr>
              <w:t>)</w:t>
            </w:r>
          </w:p>
        </w:tc>
      </w:tr>
      <w:tr w:rsidRPr="00FF7FDE" w:rsidR="00DA04FF" w:rsidTr="00DA04FF" w14:paraId="393E42A2" w14:textId="77777777">
        <w:trPr>
          <w:jc w:val="center"/>
        </w:trPr>
        <w:tc>
          <w:tcPr>
            <w:tcW w:w="1936" w:type="pct"/>
          </w:tcPr>
          <w:p w:rsidRPr="00FF7FDE" w:rsidR="00DA04FF" w:rsidP="00F67BCA" w:rsidRDefault="00DA04FF" w14:paraId="6284CCFF" w14:textId="77777777">
            <w:pPr>
              <w:pStyle w:val="Standard"/>
              <w:ind w:firstLine="0"/>
              <w:rPr>
                <w:b/>
                <w:bCs/>
                <w:sz w:val="22"/>
                <w:szCs w:val="18"/>
              </w:rPr>
            </w:pPr>
            <w:r w:rsidRPr="00FF7FDE">
              <w:rPr>
                <w:b/>
                <w:bCs/>
                <w:sz w:val="22"/>
                <w:szCs w:val="18"/>
              </w:rPr>
              <w:t>Capacity/Expansion</w:t>
            </w:r>
          </w:p>
        </w:tc>
        <w:tc>
          <w:tcPr>
            <w:tcW w:w="1021" w:type="pct"/>
          </w:tcPr>
          <w:p w:rsidRPr="00DA04FF" w:rsidR="00DA04FF" w:rsidP="00F67BCA" w:rsidRDefault="00DA04FF" w14:paraId="1BB92E94" w14:textId="77777777">
            <w:pPr>
              <w:pStyle w:val="Standard"/>
              <w:ind w:firstLine="0"/>
              <w:rPr>
                <w:sz w:val="22"/>
                <w:szCs w:val="18"/>
              </w:rPr>
            </w:pPr>
            <w:r w:rsidRPr="00DA04FF">
              <w:rPr>
                <w:sz w:val="22"/>
                <w:szCs w:val="18"/>
              </w:rPr>
              <w:t>$1.899</w:t>
            </w:r>
          </w:p>
        </w:tc>
        <w:tc>
          <w:tcPr>
            <w:tcW w:w="1021" w:type="pct"/>
          </w:tcPr>
          <w:p w:rsidRPr="00DA04FF" w:rsidR="00DA04FF" w:rsidP="00F67BCA" w:rsidRDefault="00DA04FF" w14:paraId="2A3C925F" w14:textId="77777777">
            <w:pPr>
              <w:pStyle w:val="Standard"/>
              <w:ind w:firstLine="0"/>
              <w:rPr>
                <w:sz w:val="22"/>
                <w:szCs w:val="18"/>
              </w:rPr>
            </w:pPr>
            <w:r w:rsidRPr="00DA04FF">
              <w:rPr>
                <w:sz w:val="22"/>
                <w:szCs w:val="18"/>
              </w:rPr>
              <w:t>$8.356</w:t>
            </w:r>
          </w:p>
        </w:tc>
        <w:tc>
          <w:tcPr>
            <w:tcW w:w="1021" w:type="pct"/>
          </w:tcPr>
          <w:p w:rsidRPr="00DA04FF" w:rsidR="00DA04FF" w:rsidP="00F67BCA" w:rsidRDefault="00DA04FF" w14:paraId="70C81F99" w14:textId="77777777">
            <w:pPr>
              <w:pStyle w:val="Standard"/>
              <w:ind w:firstLine="0"/>
              <w:rPr>
                <w:sz w:val="22"/>
                <w:szCs w:val="18"/>
              </w:rPr>
            </w:pPr>
            <w:r w:rsidRPr="00DA04FF">
              <w:rPr>
                <w:sz w:val="22"/>
                <w:szCs w:val="18"/>
              </w:rPr>
              <w:t>$3.166</w:t>
            </w:r>
          </w:p>
        </w:tc>
      </w:tr>
      <w:tr w:rsidRPr="00FF7FDE" w:rsidR="00DA04FF" w:rsidTr="00DA04FF" w14:paraId="63816F5C" w14:textId="77777777">
        <w:trPr>
          <w:jc w:val="center"/>
        </w:trPr>
        <w:tc>
          <w:tcPr>
            <w:tcW w:w="1936" w:type="pct"/>
          </w:tcPr>
          <w:p w:rsidRPr="00FF7FDE" w:rsidR="00DA04FF" w:rsidP="00F67BCA" w:rsidRDefault="00DA04FF" w14:paraId="7F7F3B86" w14:textId="77777777">
            <w:pPr>
              <w:pStyle w:val="Standard"/>
              <w:ind w:firstLine="0"/>
              <w:rPr>
                <w:b/>
                <w:bCs/>
                <w:sz w:val="22"/>
                <w:szCs w:val="18"/>
              </w:rPr>
            </w:pPr>
            <w:r w:rsidRPr="00FF7FDE">
              <w:rPr>
                <w:b/>
                <w:bCs/>
                <w:sz w:val="22"/>
                <w:szCs w:val="18"/>
              </w:rPr>
              <w:t>New Business</w:t>
            </w:r>
          </w:p>
        </w:tc>
        <w:tc>
          <w:tcPr>
            <w:tcW w:w="1021" w:type="pct"/>
          </w:tcPr>
          <w:p w:rsidRPr="00DA04FF" w:rsidR="00DA04FF" w:rsidP="00F67BCA" w:rsidRDefault="00DA04FF" w14:paraId="4F1B89A7" w14:textId="77777777">
            <w:pPr>
              <w:pStyle w:val="Standard"/>
              <w:ind w:firstLine="0"/>
              <w:rPr>
                <w:sz w:val="22"/>
                <w:szCs w:val="18"/>
              </w:rPr>
            </w:pPr>
            <w:r w:rsidRPr="00DA04FF">
              <w:rPr>
                <w:sz w:val="22"/>
                <w:szCs w:val="18"/>
              </w:rPr>
              <w:t>$5.227</w:t>
            </w:r>
          </w:p>
        </w:tc>
        <w:tc>
          <w:tcPr>
            <w:tcW w:w="1021" w:type="pct"/>
          </w:tcPr>
          <w:p w:rsidRPr="00DA04FF" w:rsidR="00DA04FF" w:rsidP="00F67BCA" w:rsidRDefault="00DA04FF" w14:paraId="6E7C9CD0" w14:textId="77777777">
            <w:pPr>
              <w:pStyle w:val="Standard"/>
              <w:ind w:firstLine="0"/>
              <w:rPr>
                <w:sz w:val="22"/>
                <w:szCs w:val="18"/>
              </w:rPr>
            </w:pPr>
            <w:r w:rsidRPr="00DA04FF">
              <w:rPr>
                <w:sz w:val="22"/>
                <w:szCs w:val="18"/>
              </w:rPr>
              <w:t>$8.949</w:t>
            </w:r>
          </w:p>
        </w:tc>
        <w:tc>
          <w:tcPr>
            <w:tcW w:w="1021" w:type="pct"/>
          </w:tcPr>
          <w:p w:rsidRPr="00DA04FF" w:rsidR="00DA04FF" w:rsidP="00F67BCA" w:rsidRDefault="00DA04FF" w14:paraId="3D98CCE7" w14:textId="77777777">
            <w:pPr>
              <w:pStyle w:val="Standard"/>
              <w:ind w:firstLine="0"/>
              <w:rPr>
                <w:sz w:val="22"/>
                <w:szCs w:val="18"/>
              </w:rPr>
            </w:pPr>
            <w:r w:rsidRPr="00DA04FF">
              <w:rPr>
                <w:sz w:val="22"/>
                <w:szCs w:val="18"/>
              </w:rPr>
              <w:t>$13.130</w:t>
            </w:r>
          </w:p>
        </w:tc>
      </w:tr>
      <w:tr w:rsidRPr="00FF7FDE" w:rsidR="00DA04FF" w:rsidTr="00DA04FF" w14:paraId="29DD07DB" w14:textId="77777777">
        <w:trPr>
          <w:jc w:val="center"/>
        </w:trPr>
        <w:tc>
          <w:tcPr>
            <w:tcW w:w="1936" w:type="pct"/>
          </w:tcPr>
          <w:p w:rsidRPr="00FF7FDE" w:rsidR="00DA04FF" w:rsidP="00F67BCA" w:rsidRDefault="00DA04FF" w14:paraId="7799F8CE" w14:textId="77777777">
            <w:pPr>
              <w:pStyle w:val="Standard"/>
              <w:ind w:firstLine="0"/>
              <w:rPr>
                <w:b/>
                <w:bCs/>
                <w:sz w:val="22"/>
                <w:szCs w:val="18"/>
              </w:rPr>
            </w:pPr>
            <w:r w:rsidRPr="00FF7FDE">
              <w:rPr>
                <w:b/>
                <w:bCs/>
                <w:sz w:val="22"/>
                <w:szCs w:val="18"/>
              </w:rPr>
              <w:t>Materials (Transformers)</w:t>
            </w:r>
          </w:p>
        </w:tc>
        <w:tc>
          <w:tcPr>
            <w:tcW w:w="1021" w:type="pct"/>
          </w:tcPr>
          <w:p w:rsidRPr="00DA04FF" w:rsidR="00DA04FF" w:rsidP="00F67BCA" w:rsidRDefault="00DA04FF" w14:paraId="68EAF59D" w14:textId="77777777">
            <w:pPr>
              <w:pStyle w:val="Standard"/>
              <w:ind w:firstLine="0"/>
              <w:rPr>
                <w:sz w:val="22"/>
                <w:szCs w:val="18"/>
              </w:rPr>
            </w:pPr>
            <w:r w:rsidRPr="00DA04FF">
              <w:rPr>
                <w:sz w:val="22"/>
                <w:szCs w:val="18"/>
              </w:rPr>
              <w:t>$3.435</w:t>
            </w:r>
          </w:p>
        </w:tc>
        <w:tc>
          <w:tcPr>
            <w:tcW w:w="1021" w:type="pct"/>
          </w:tcPr>
          <w:p w:rsidRPr="00DA04FF" w:rsidR="00DA04FF" w:rsidP="00F67BCA" w:rsidRDefault="00DA04FF" w14:paraId="18DD6EC4" w14:textId="77777777">
            <w:pPr>
              <w:pStyle w:val="Standard"/>
              <w:ind w:firstLine="0"/>
              <w:rPr>
                <w:sz w:val="22"/>
                <w:szCs w:val="18"/>
              </w:rPr>
            </w:pPr>
            <w:r w:rsidRPr="00DA04FF">
              <w:rPr>
                <w:sz w:val="22"/>
                <w:szCs w:val="18"/>
              </w:rPr>
              <w:t>$3.487</w:t>
            </w:r>
          </w:p>
        </w:tc>
        <w:tc>
          <w:tcPr>
            <w:tcW w:w="1021" w:type="pct"/>
          </w:tcPr>
          <w:p w:rsidRPr="00DA04FF" w:rsidR="00DA04FF" w:rsidP="00F67BCA" w:rsidRDefault="00DA04FF" w14:paraId="01EF09CF" w14:textId="77777777">
            <w:pPr>
              <w:pStyle w:val="Standard"/>
              <w:ind w:firstLine="0"/>
              <w:rPr>
                <w:sz w:val="22"/>
                <w:szCs w:val="18"/>
              </w:rPr>
            </w:pPr>
            <w:r w:rsidRPr="00DA04FF">
              <w:rPr>
                <w:sz w:val="22"/>
                <w:szCs w:val="18"/>
              </w:rPr>
              <w:t>$3.538</w:t>
            </w:r>
          </w:p>
        </w:tc>
      </w:tr>
      <w:tr w:rsidRPr="00FF7FDE" w:rsidR="00DA04FF" w:rsidTr="00DA04FF" w14:paraId="2B43BD1A" w14:textId="77777777">
        <w:trPr>
          <w:jc w:val="center"/>
        </w:trPr>
        <w:tc>
          <w:tcPr>
            <w:tcW w:w="1936" w:type="pct"/>
          </w:tcPr>
          <w:p w:rsidRPr="00FF7FDE" w:rsidR="00DA04FF" w:rsidP="00F67BCA" w:rsidRDefault="00DA04FF" w14:paraId="1F83210C" w14:textId="77777777">
            <w:pPr>
              <w:pStyle w:val="Standard"/>
              <w:ind w:firstLine="0"/>
              <w:rPr>
                <w:b/>
                <w:bCs/>
                <w:sz w:val="22"/>
                <w:szCs w:val="18"/>
              </w:rPr>
            </w:pPr>
            <w:r w:rsidRPr="00FF7FDE">
              <w:rPr>
                <w:b/>
                <w:bCs/>
                <w:sz w:val="22"/>
                <w:szCs w:val="18"/>
              </w:rPr>
              <w:t>IT System Enhancements</w:t>
            </w:r>
          </w:p>
        </w:tc>
        <w:tc>
          <w:tcPr>
            <w:tcW w:w="1021" w:type="pct"/>
          </w:tcPr>
          <w:p w:rsidRPr="00DA04FF" w:rsidR="00DA04FF" w:rsidP="00F67BCA" w:rsidRDefault="00DA04FF" w14:paraId="04977D97" w14:textId="77777777">
            <w:pPr>
              <w:pStyle w:val="Standard"/>
              <w:ind w:firstLine="0"/>
              <w:rPr>
                <w:sz w:val="22"/>
                <w:szCs w:val="18"/>
              </w:rPr>
            </w:pPr>
            <w:r w:rsidRPr="00DA04FF">
              <w:rPr>
                <w:sz w:val="22"/>
                <w:szCs w:val="18"/>
              </w:rPr>
              <w:t>$0</w:t>
            </w:r>
          </w:p>
        </w:tc>
        <w:tc>
          <w:tcPr>
            <w:tcW w:w="1021" w:type="pct"/>
          </w:tcPr>
          <w:p w:rsidRPr="00DA04FF" w:rsidR="00DA04FF" w:rsidP="00F67BCA" w:rsidRDefault="00DA04FF" w14:paraId="42B9AE1F" w14:textId="77777777">
            <w:pPr>
              <w:pStyle w:val="Standard"/>
              <w:ind w:firstLine="0"/>
              <w:rPr>
                <w:sz w:val="22"/>
                <w:szCs w:val="18"/>
              </w:rPr>
            </w:pPr>
            <w:r w:rsidRPr="00DA04FF">
              <w:rPr>
                <w:sz w:val="22"/>
                <w:szCs w:val="18"/>
              </w:rPr>
              <w:t>$0</w:t>
            </w:r>
          </w:p>
        </w:tc>
        <w:tc>
          <w:tcPr>
            <w:tcW w:w="1021" w:type="pct"/>
          </w:tcPr>
          <w:p w:rsidRPr="00DA04FF" w:rsidR="00DA04FF" w:rsidP="00F67BCA" w:rsidRDefault="00DA04FF" w14:paraId="6859B1CD" w14:textId="77777777">
            <w:pPr>
              <w:pStyle w:val="Standard"/>
              <w:ind w:firstLine="0"/>
              <w:rPr>
                <w:sz w:val="22"/>
                <w:szCs w:val="18"/>
              </w:rPr>
            </w:pPr>
            <w:r w:rsidRPr="00DA04FF">
              <w:rPr>
                <w:sz w:val="22"/>
                <w:szCs w:val="18"/>
              </w:rPr>
              <w:t>$0</w:t>
            </w:r>
          </w:p>
        </w:tc>
      </w:tr>
      <w:tr w:rsidRPr="00FF7FDE" w:rsidR="00DA04FF" w:rsidTr="00DA04FF" w14:paraId="2B561AAC" w14:textId="77777777">
        <w:trPr>
          <w:jc w:val="center"/>
        </w:trPr>
        <w:tc>
          <w:tcPr>
            <w:tcW w:w="1936" w:type="pct"/>
          </w:tcPr>
          <w:p w:rsidRPr="00FF7FDE" w:rsidR="00DA04FF" w:rsidP="00F67BCA" w:rsidRDefault="00DA04FF" w14:paraId="60BA4C2F" w14:textId="77777777">
            <w:pPr>
              <w:pStyle w:val="Standard"/>
              <w:ind w:firstLine="0"/>
              <w:rPr>
                <w:b/>
                <w:bCs/>
                <w:sz w:val="22"/>
                <w:szCs w:val="18"/>
              </w:rPr>
            </w:pPr>
            <w:r w:rsidRPr="00FF7FDE">
              <w:rPr>
                <w:b/>
                <w:bCs/>
                <w:sz w:val="22"/>
                <w:szCs w:val="18"/>
              </w:rPr>
              <w:t>Contingency</w:t>
            </w:r>
          </w:p>
        </w:tc>
        <w:tc>
          <w:tcPr>
            <w:tcW w:w="1021" w:type="pct"/>
          </w:tcPr>
          <w:p w:rsidRPr="00DA04FF" w:rsidR="00DA04FF" w:rsidP="00F67BCA" w:rsidRDefault="00DA04FF" w14:paraId="66099AB0" w14:textId="77777777">
            <w:pPr>
              <w:pStyle w:val="Standard"/>
              <w:ind w:firstLine="0"/>
              <w:rPr>
                <w:sz w:val="22"/>
                <w:szCs w:val="18"/>
              </w:rPr>
            </w:pPr>
            <w:r w:rsidRPr="00DA04FF">
              <w:rPr>
                <w:sz w:val="22"/>
                <w:szCs w:val="18"/>
              </w:rPr>
              <w:t>$0</w:t>
            </w:r>
          </w:p>
        </w:tc>
        <w:tc>
          <w:tcPr>
            <w:tcW w:w="1021" w:type="pct"/>
          </w:tcPr>
          <w:p w:rsidRPr="00DA04FF" w:rsidR="00DA04FF" w:rsidP="00F67BCA" w:rsidRDefault="00DA04FF" w14:paraId="19803632" w14:textId="77777777">
            <w:pPr>
              <w:pStyle w:val="Standard"/>
              <w:ind w:firstLine="0"/>
              <w:rPr>
                <w:sz w:val="22"/>
                <w:szCs w:val="18"/>
              </w:rPr>
            </w:pPr>
            <w:r w:rsidRPr="00DA04FF">
              <w:rPr>
                <w:sz w:val="22"/>
                <w:szCs w:val="18"/>
              </w:rPr>
              <w:t>$0</w:t>
            </w:r>
          </w:p>
        </w:tc>
        <w:tc>
          <w:tcPr>
            <w:tcW w:w="1021" w:type="pct"/>
          </w:tcPr>
          <w:p w:rsidRPr="00DA04FF" w:rsidR="00DA04FF" w:rsidP="00F67BCA" w:rsidRDefault="00DA04FF" w14:paraId="66ABD0FD" w14:textId="77777777">
            <w:pPr>
              <w:pStyle w:val="Standard"/>
              <w:ind w:firstLine="0"/>
              <w:rPr>
                <w:sz w:val="22"/>
                <w:szCs w:val="18"/>
              </w:rPr>
            </w:pPr>
            <w:r w:rsidRPr="00DA04FF">
              <w:rPr>
                <w:sz w:val="22"/>
                <w:szCs w:val="18"/>
              </w:rPr>
              <w:t>$0</w:t>
            </w:r>
          </w:p>
        </w:tc>
      </w:tr>
      <w:tr w:rsidRPr="00FF7FDE" w:rsidR="00DA04FF" w:rsidTr="00DA04FF" w14:paraId="39D9C2CD" w14:textId="77777777">
        <w:trPr>
          <w:jc w:val="center"/>
        </w:trPr>
        <w:tc>
          <w:tcPr>
            <w:tcW w:w="1936" w:type="pct"/>
            <w:shd w:val="clear" w:color="auto" w:fill="000000" w:themeFill="text1"/>
          </w:tcPr>
          <w:p w:rsidRPr="00FF7FDE" w:rsidR="00DA04FF" w:rsidP="00F67BCA" w:rsidRDefault="00DA04FF" w14:paraId="214A0D75" w14:textId="77777777">
            <w:pPr>
              <w:pStyle w:val="Standard"/>
              <w:ind w:firstLine="0"/>
              <w:rPr>
                <w:b/>
                <w:bCs/>
                <w:sz w:val="22"/>
                <w:szCs w:val="18"/>
              </w:rPr>
            </w:pPr>
            <w:r w:rsidRPr="00FF7FDE">
              <w:rPr>
                <w:b/>
                <w:bCs/>
                <w:sz w:val="22"/>
                <w:szCs w:val="18"/>
              </w:rPr>
              <w:t xml:space="preserve">Total </w:t>
            </w:r>
          </w:p>
        </w:tc>
        <w:tc>
          <w:tcPr>
            <w:tcW w:w="1021" w:type="pct"/>
            <w:shd w:val="clear" w:color="auto" w:fill="000000" w:themeFill="text1"/>
          </w:tcPr>
          <w:p w:rsidRPr="00FF7FDE" w:rsidR="00DA04FF" w:rsidP="00F67BCA" w:rsidRDefault="00DA04FF" w14:paraId="30F2F43B" w14:textId="77777777">
            <w:pPr>
              <w:pStyle w:val="Standard"/>
              <w:ind w:firstLine="0"/>
              <w:rPr>
                <w:b/>
                <w:bCs/>
                <w:sz w:val="22"/>
                <w:szCs w:val="18"/>
              </w:rPr>
            </w:pPr>
            <w:r>
              <w:rPr>
                <w:b/>
                <w:bCs/>
                <w:sz w:val="22"/>
                <w:szCs w:val="18"/>
              </w:rPr>
              <w:t>$10.561</w:t>
            </w:r>
          </w:p>
        </w:tc>
        <w:tc>
          <w:tcPr>
            <w:tcW w:w="1021" w:type="pct"/>
            <w:shd w:val="clear" w:color="auto" w:fill="000000" w:themeFill="text1"/>
          </w:tcPr>
          <w:p w:rsidRPr="00FF7FDE" w:rsidR="00DA04FF" w:rsidP="00F67BCA" w:rsidRDefault="00DA04FF" w14:paraId="73905425" w14:textId="77777777">
            <w:pPr>
              <w:pStyle w:val="Standard"/>
              <w:ind w:firstLine="0"/>
              <w:rPr>
                <w:b/>
                <w:bCs/>
                <w:sz w:val="22"/>
                <w:szCs w:val="18"/>
              </w:rPr>
            </w:pPr>
            <w:r w:rsidRPr="00FF7FDE">
              <w:rPr>
                <w:b/>
                <w:bCs/>
                <w:sz w:val="22"/>
                <w:szCs w:val="18"/>
              </w:rPr>
              <w:t>$2</w:t>
            </w:r>
            <w:r>
              <w:rPr>
                <w:b/>
                <w:bCs/>
                <w:sz w:val="22"/>
                <w:szCs w:val="18"/>
              </w:rPr>
              <w:t>0.793</w:t>
            </w:r>
          </w:p>
        </w:tc>
        <w:tc>
          <w:tcPr>
            <w:tcW w:w="1021" w:type="pct"/>
            <w:shd w:val="clear" w:color="auto" w:fill="000000" w:themeFill="text1"/>
          </w:tcPr>
          <w:p w:rsidRPr="00FF7FDE" w:rsidR="00DA04FF" w:rsidP="00F67BCA" w:rsidRDefault="00DA04FF" w14:paraId="02F9120C" w14:textId="77777777">
            <w:pPr>
              <w:pStyle w:val="Standard"/>
              <w:ind w:firstLine="0"/>
              <w:rPr>
                <w:b/>
                <w:bCs/>
                <w:sz w:val="22"/>
                <w:szCs w:val="18"/>
              </w:rPr>
            </w:pPr>
            <w:r w:rsidRPr="00FF7FDE">
              <w:rPr>
                <w:b/>
                <w:bCs/>
                <w:sz w:val="22"/>
                <w:szCs w:val="18"/>
              </w:rPr>
              <w:t>$</w:t>
            </w:r>
            <w:r>
              <w:rPr>
                <w:b/>
                <w:bCs/>
                <w:sz w:val="22"/>
                <w:szCs w:val="18"/>
              </w:rPr>
              <w:t>19.834</w:t>
            </w:r>
          </w:p>
        </w:tc>
      </w:tr>
    </w:tbl>
    <w:p w:rsidRPr="00A615C4" w:rsidR="00686B69" w:rsidP="00127E97" w:rsidRDefault="00686B69" w14:paraId="6F45883B" w14:textId="77777777">
      <w:pPr>
        <w:pStyle w:val="StandardTableSub"/>
      </w:pPr>
    </w:p>
    <w:p w:rsidR="003445A8" w:rsidP="00BB4B1B" w:rsidRDefault="003445A8" w14:paraId="1308FCA8" w14:textId="17515CE1">
      <w:pPr>
        <w:pStyle w:val="Heading2"/>
      </w:pPr>
      <w:bookmarkStart w:name="_Toc212538569" w:id="67"/>
      <w:r>
        <w:lastRenderedPageBreak/>
        <w:t>Incremental</w:t>
      </w:r>
      <w:r w:rsidR="7EC6A4B4">
        <w:t xml:space="preserve"> Spending</w:t>
      </w:r>
      <w:r w:rsidR="7EC6A4B4">
        <w:t xml:space="preserve"> </w:t>
      </w:r>
      <w:r>
        <w:t>Calculations</w:t>
      </w:r>
      <w:bookmarkEnd w:id="67"/>
    </w:p>
    <w:p w:rsidR="003445A8" w:rsidP="00F67BCA" w:rsidRDefault="003445A8" w14:paraId="3CA479B3" w14:textId="65EB64C2">
      <w:pPr>
        <w:pStyle w:val="Standard"/>
      </w:pPr>
      <w:r>
        <w:t xml:space="preserve">This decision requires SDG&amp;E to </w:t>
      </w:r>
      <w:r w:rsidR="00302A9B">
        <w:t xml:space="preserve">determine </w:t>
      </w:r>
      <w:r>
        <w:t>incremental</w:t>
      </w:r>
      <w:r w:rsidR="2C1317F4">
        <w:t xml:space="preserve"> spending</w:t>
      </w:r>
      <w:r>
        <w:t xml:space="preserve"> at the </w:t>
      </w:r>
      <w:r w:rsidR="00055C94">
        <w:t>sub</w:t>
      </w:r>
      <w:r>
        <w:t>category</w:t>
      </w:r>
      <w:r>
        <w:t xml:space="preserve"> level</w:t>
      </w:r>
      <w:r w:rsidR="00505832">
        <w:t xml:space="preserve"> and</w:t>
      </w:r>
      <w:r w:rsidR="00C06211">
        <w:t xml:space="preserve"> allows</w:t>
      </w:r>
      <w:r w:rsidR="00A94B5C">
        <w:t xml:space="preserve"> incremental spending </w:t>
      </w:r>
      <w:r w:rsidR="00D36BF5">
        <w:t>to count against the total annual cap</w:t>
      </w:r>
      <w:r>
        <w:t>. To illustrate this requirement, consider the following example:</w:t>
      </w:r>
    </w:p>
    <w:tbl>
      <w:tblPr>
        <w:tblStyle w:val="TableGrid"/>
        <w:tblW w:w="0" w:type="auto"/>
        <w:tblLook w:val="04A0" w:firstRow="1" w:lastRow="0" w:firstColumn="1" w:lastColumn="0" w:noHBand="0" w:noVBand="1"/>
      </w:tblPr>
      <w:tblGrid>
        <w:gridCol w:w="1571"/>
        <w:gridCol w:w="1505"/>
        <w:gridCol w:w="1168"/>
        <w:gridCol w:w="1570"/>
        <w:gridCol w:w="1564"/>
        <w:gridCol w:w="1972"/>
      </w:tblGrid>
      <w:tr w:rsidRPr="00963CAA" w:rsidR="003445A8" w:rsidTr="00127E97" w14:paraId="4E88F361" w14:textId="77777777">
        <w:trPr>
          <w:trHeight w:val="288"/>
        </w:trPr>
        <w:tc>
          <w:tcPr>
            <w:tcW w:w="1571" w:type="dxa"/>
            <w:shd w:val="clear" w:color="auto" w:fill="D9D9D9" w:themeFill="background1" w:themeFillShade="D9"/>
            <w:hideMark/>
          </w:tcPr>
          <w:p w:rsidRPr="001F079E" w:rsidR="003445A8" w:rsidP="00F67BCA" w:rsidRDefault="003445A8" w14:paraId="2B24EF84" w14:textId="77777777">
            <w:pPr>
              <w:pStyle w:val="Standard"/>
              <w:rPr>
                <w:b/>
                <w:bCs/>
                <w:sz w:val="20"/>
                <w:szCs w:val="16"/>
              </w:rPr>
            </w:pPr>
            <w:r w:rsidRPr="001F079E">
              <w:rPr>
                <w:b/>
                <w:bCs/>
                <w:sz w:val="20"/>
                <w:szCs w:val="16"/>
              </w:rPr>
              <w:t> </w:t>
            </w:r>
          </w:p>
        </w:tc>
        <w:tc>
          <w:tcPr>
            <w:tcW w:w="1505" w:type="dxa"/>
            <w:shd w:val="clear" w:color="auto" w:fill="D9D9D9" w:themeFill="background1" w:themeFillShade="D9"/>
            <w:hideMark/>
          </w:tcPr>
          <w:p w:rsidRPr="00DA04FF" w:rsidR="003445A8" w:rsidP="00F67BCA" w:rsidRDefault="003445A8" w14:paraId="43055E04" w14:textId="77777777">
            <w:pPr>
              <w:pStyle w:val="Standard"/>
              <w:ind w:firstLine="0"/>
              <w:rPr>
                <w:b/>
                <w:bCs/>
                <w:sz w:val="20"/>
                <w:szCs w:val="16"/>
              </w:rPr>
            </w:pPr>
            <w:r w:rsidRPr="00DA04FF">
              <w:rPr>
                <w:b/>
                <w:bCs/>
                <w:sz w:val="20"/>
                <w:szCs w:val="16"/>
              </w:rPr>
              <w:t xml:space="preserve">2026 GRC Authorization </w:t>
            </w:r>
          </w:p>
          <w:p w:rsidR="003445A8" w:rsidP="00F67BCA" w:rsidRDefault="003445A8" w14:paraId="3FF488BC" w14:textId="77777777">
            <w:pPr>
              <w:pStyle w:val="Standard"/>
              <w:ind w:firstLine="0"/>
              <w:rPr>
                <w:b/>
                <w:bCs/>
                <w:sz w:val="20"/>
                <w:szCs w:val="16"/>
              </w:rPr>
            </w:pPr>
          </w:p>
          <w:p w:rsidR="00DA04FF" w:rsidP="00F67BCA" w:rsidRDefault="00DA04FF" w14:paraId="6A0D76A0" w14:textId="77777777">
            <w:pPr>
              <w:pStyle w:val="Standard"/>
              <w:ind w:firstLine="0"/>
              <w:rPr>
                <w:b/>
                <w:bCs/>
                <w:sz w:val="20"/>
                <w:szCs w:val="16"/>
              </w:rPr>
            </w:pPr>
          </w:p>
          <w:p w:rsidRPr="00DA04FF" w:rsidR="00686B69" w:rsidP="00F67BCA" w:rsidRDefault="00686B69" w14:paraId="0CF4500E" w14:textId="77777777">
            <w:pPr>
              <w:pStyle w:val="Standard"/>
              <w:ind w:firstLine="0"/>
              <w:rPr>
                <w:b/>
                <w:bCs/>
                <w:sz w:val="20"/>
                <w:szCs w:val="16"/>
              </w:rPr>
            </w:pPr>
          </w:p>
          <w:p w:rsidRPr="00DA04FF" w:rsidR="003445A8" w:rsidP="00F67BCA" w:rsidRDefault="003445A8" w14:paraId="232E6080" w14:textId="77777777">
            <w:pPr>
              <w:pStyle w:val="Standard"/>
              <w:ind w:firstLine="0"/>
              <w:rPr>
                <w:b/>
                <w:bCs/>
                <w:sz w:val="20"/>
                <w:szCs w:val="16"/>
              </w:rPr>
            </w:pPr>
            <w:r w:rsidRPr="00DA04FF">
              <w:rPr>
                <w:b/>
                <w:bCs/>
                <w:sz w:val="20"/>
                <w:szCs w:val="16"/>
              </w:rPr>
              <w:t>[A]</w:t>
            </w:r>
          </w:p>
        </w:tc>
        <w:tc>
          <w:tcPr>
            <w:tcW w:w="1168" w:type="dxa"/>
            <w:shd w:val="clear" w:color="auto" w:fill="D9D9D9" w:themeFill="background1" w:themeFillShade="D9"/>
            <w:hideMark/>
          </w:tcPr>
          <w:p w:rsidR="003445A8" w:rsidP="00F67BCA" w:rsidRDefault="003445A8" w14:paraId="31A69541" w14:textId="355C4DE1">
            <w:pPr>
              <w:pStyle w:val="Standard"/>
              <w:ind w:firstLine="0"/>
              <w:rPr>
                <w:b/>
                <w:bCs/>
                <w:sz w:val="20"/>
                <w:szCs w:val="16"/>
              </w:rPr>
            </w:pPr>
            <w:r w:rsidRPr="00DA04FF">
              <w:rPr>
                <w:b/>
                <w:bCs/>
                <w:sz w:val="20"/>
                <w:szCs w:val="16"/>
              </w:rPr>
              <w:t xml:space="preserve">2026 Actual Spend </w:t>
            </w:r>
          </w:p>
          <w:p w:rsidR="00DA04FF" w:rsidP="00F67BCA" w:rsidRDefault="00DA04FF" w14:paraId="61B7EAB1" w14:textId="77777777">
            <w:pPr>
              <w:pStyle w:val="Standard"/>
              <w:ind w:firstLine="0"/>
              <w:rPr>
                <w:b/>
                <w:bCs/>
                <w:sz w:val="20"/>
                <w:szCs w:val="16"/>
              </w:rPr>
            </w:pPr>
          </w:p>
          <w:p w:rsidRPr="00DA04FF" w:rsidR="00686B69" w:rsidP="00F67BCA" w:rsidRDefault="00686B69" w14:paraId="4902634E" w14:textId="77777777">
            <w:pPr>
              <w:pStyle w:val="Standard"/>
              <w:ind w:firstLine="0"/>
              <w:rPr>
                <w:b/>
                <w:bCs/>
                <w:sz w:val="20"/>
                <w:szCs w:val="16"/>
              </w:rPr>
            </w:pPr>
          </w:p>
          <w:p w:rsidRPr="00DA04FF" w:rsidR="003445A8" w:rsidP="00F67BCA" w:rsidRDefault="003445A8" w14:paraId="5EB8B561" w14:textId="77777777">
            <w:pPr>
              <w:pStyle w:val="Standard"/>
              <w:ind w:firstLine="0"/>
              <w:rPr>
                <w:b/>
                <w:bCs/>
                <w:sz w:val="20"/>
                <w:szCs w:val="16"/>
              </w:rPr>
            </w:pPr>
            <w:r w:rsidRPr="00DA04FF">
              <w:rPr>
                <w:b/>
                <w:bCs/>
                <w:sz w:val="20"/>
                <w:szCs w:val="16"/>
              </w:rPr>
              <w:t>[B]</w:t>
            </w:r>
          </w:p>
        </w:tc>
        <w:tc>
          <w:tcPr>
            <w:tcW w:w="1570" w:type="dxa"/>
            <w:shd w:val="clear" w:color="auto" w:fill="D9D9D9" w:themeFill="background1" w:themeFillShade="D9"/>
            <w:hideMark/>
          </w:tcPr>
          <w:p w:rsidR="003445A8" w:rsidP="00F67BCA" w:rsidRDefault="003445A8" w14:paraId="6F13311D" w14:textId="77777777">
            <w:pPr>
              <w:pStyle w:val="Standard"/>
              <w:ind w:firstLine="0"/>
              <w:rPr>
                <w:b/>
                <w:bCs/>
                <w:sz w:val="20"/>
                <w:szCs w:val="16"/>
              </w:rPr>
            </w:pPr>
            <w:r w:rsidRPr="00DA04FF">
              <w:rPr>
                <w:b/>
                <w:bCs/>
                <w:sz w:val="20"/>
                <w:szCs w:val="16"/>
              </w:rPr>
              <w:t xml:space="preserve">2026 Incremental Spend </w:t>
            </w:r>
          </w:p>
          <w:p w:rsidR="00DA04FF" w:rsidP="00F67BCA" w:rsidRDefault="00DA04FF" w14:paraId="5C993CA8" w14:textId="77777777">
            <w:pPr>
              <w:pStyle w:val="Standard"/>
              <w:ind w:firstLine="0"/>
              <w:rPr>
                <w:b/>
                <w:bCs/>
                <w:sz w:val="20"/>
                <w:szCs w:val="16"/>
              </w:rPr>
            </w:pPr>
          </w:p>
          <w:p w:rsidRPr="00DA04FF" w:rsidR="00686B69" w:rsidP="00F67BCA" w:rsidRDefault="00686B69" w14:paraId="16E6300A" w14:textId="77777777">
            <w:pPr>
              <w:pStyle w:val="Standard"/>
              <w:ind w:firstLine="0"/>
              <w:rPr>
                <w:b/>
                <w:bCs/>
                <w:sz w:val="20"/>
                <w:szCs w:val="16"/>
              </w:rPr>
            </w:pPr>
          </w:p>
          <w:p w:rsidRPr="00DA04FF" w:rsidR="003445A8" w:rsidP="00F67BCA" w:rsidRDefault="003445A8" w14:paraId="4E500E6F" w14:textId="64AD5051">
            <w:pPr>
              <w:pStyle w:val="Standard"/>
              <w:ind w:firstLine="0"/>
              <w:rPr>
                <w:b/>
                <w:bCs/>
                <w:sz w:val="20"/>
                <w:szCs w:val="16"/>
              </w:rPr>
            </w:pPr>
            <w:r w:rsidRPr="00DA04FF">
              <w:rPr>
                <w:b/>
                <w:bCs/>
                <w:sz w:val="20"/>
                <w:szCs w:val="16"/>
              </w:rPr>
              <w:t xml:space="preserve">[C = </w:t>
            </w:r>
            <w:r w:rsidR="00D44951">
              <w:rPr>
                <w:b/>
                <w:bCs/>
                <w:sz w:val="20"/>
                <w:szCs w:val="16"/>
              </w:rPr>
              <w:t>greater</w:t>
            </w:r>
            <w:r w:rsidRPr="00DA04FF" w:rsidR="00D44951">
              <w:rPr>
                <w:b/>
                <w:bCs/>
                <w:sz w:val="20"/>
                <w:szCs w:val="16"/>
              </w:rPr>
              <w:t xml:space="preserve"> </w:t>
            </w:r>
            <w:r w:rsidRPr="00DA04FF" w:rsidR="00CD68F4">
              <w:rPr>
                <w:b/>
                <w:bCs/>
                <w:sz w:val="20"/>
                <w:szCs w:val="16"/>
              </w:rPr>
              <w:t xml:space="preserve">of zero </w:t>
            </w:r>
            <w:r w:rsidRPr="00DA04FF" w:rsidR="00625205">
              <w:rPr>
                <w:b/>
                <w:bCs/>
                <w:sz w:val="20"/>
                <w:szCs w:val="16"/>
              </w:rPr>
              <w:t>and</w:t>
            </w:r>
            <w:r w:rsidRPr="00DA04FF" w:rsidR="00CD68F4">
              <w:rPr>
                <w:b/>
                <w:bCs/>
                <w:sz w:val="20"/>
                <w:szCs w:val="16"/>
              </w:rPr>
              <w:t xml:space="preserve"> </w:t>
            </w:r>
            <w:r w:rsidRPr="00DA04FF">
              <w:rPr>
                <w:b/>
                <w:bCs/>
                <w:sz w:val="20"/>
                <w:szCs w:val="16"/>
              </w:rPr>
              <w:t>B-A]</w:t>
            </w:r>
          </w:p>
        </w:tc>
        <w:tc>
          <w:tcPr>
            <w:tcW w:w="1564" w:type="dxa"/>
            <w:shd w:val="clear" w:color="auto" w:fill="D9D9D9" w:themeFill="background1" w:themeFillShade="D9"/>
            <w:hideMark/>
          </w:tcPr>
          <w:p w:rsidR="003445A8" w:rsidP="00F67BCA" w:rsidRDefault="003445A8" w14:paraId="704B3161" w14:textId="12855406">
            <w:pPr>
              <w:pStyle w:val="Standard"/>
              <w:ind w:firstLine="0"/>
              <w:rPr>
                <w:b/>
                <w:bCs/>
                <w:sz w:val="20"/>
                <w:szCs w:val="16"/>
              </w:rPr>
            </w:pPr>
            <w:r w:rsidRPr="00DA04FF">
              <w:rPr>
                <w:b/>
                <w:bCs/>
                <w:sz w:val="20"/>
                <w:szCs w:val="16"/>
              </w:rPr>
              <w:t xml:space="preserve">2026 </w:t>
            </w:r>
            <w:r w:rsidR="00A11C3B">
              <w:rPr>
                <w:b/>
                <w:bCs/>
                <w:sz w:val="20"/>
                <w:szCs w:val="16"/>
              </w:rPr>
              <w:t xml:space="preserve">Subcategory’s </w:t>
            </w:r>
            <w:r w:rsidR="003775E1">
              <w:rPr>
                <w:b/>
                <w:bCs/>
                <w:sz w:val="20"/>
                <w:szCs w:val="16"/>
              </w:rPr>
              <w:t xml:space="preserve">Contribution to </w:t>
            </w:r>
            <w:r w:rsidR="003775E1">
              <w:rPr>
                <w:b/>
                <w:bCs/>
                <w:sz w:val="20"/>
                <w:szCs w:val="16"/>
              </w:rPr>
              <w:t>Cap</w:t>
            </w:r>
          </w:p>
          <w:p w:rsidR="00686B69" w:rsidP="00F67BCA" w:rsidRDefault="00686B69" w14:paraId="0FF72307" w14:textId="77777777">
            <w:pPr>
              <w:pStyle w:val="Standard"/>
              <w:ind w:firstLine="0"/>
              <w:rPr>
                <w:b/>
                <w:bCs/>
                <w:sz w:val="20"/>
                <w:szCs w:val="16"/>
              </w:rPr>
            </w:pPr>
          </w:p>
          <w:p w:rsidRPr="00DA04FF" w:rsidR="003445A8" w:rsidP="00F67BCA" w:rsidRDefault="003445A8" w14:paraId="0FB244FC" w14:textId="13AFD9B8">
            <w:pPr>
              <w:pStyle w:val="Standard"/>
              <w:ind w:firstLine="0"/>
              <w:rPr>
                <w:b/>
                <w:bCs/>
                <w:sz w:val="20"/>
                <w:szCs w:val="16"/>
              </w:rPr>
            </w:pPr>
            <w:r w:rsidRPr="00DA04FF">
              <w:rPr>
                <w:b/>
                <w:bCs/>
                <w:sz w:val="20"/>
                <w:szCs w:val="16"/>
              </w:rPr>
              <w:t>[D]</w:t>
            </w:r>
          </w:p>
        </w:tc>
        <w:tc>
          <w:tcPr>
            <w:tcW w:w="1972" w:type="dxa"/>
            <w:shd w:val="clear" w:color="auto" w:fill="D9D9D9" w:themeFill="background1" w:themeFillShade="D9"/>
            <w:hideMark/>
          </w:tcPr>
          <w:p w:rsidR="003445A8" w:rsidP="00F67BCA" w:rsidRDefault="000C581B" w14:paraId="27EA37D1" w14:textId="1FF53316">
            <w:pPr>
              <w:pStyle w:val="Standard"/>
              <w:ind w:firstLine="0"/>
              <w:rPr>
                <w:b/>
                <w:bCs/>
                <w:sz w:val="20"/>
                <w:szCs w:val="16"/>
              </w:rPr>
            </w:pPr>
            <w:r w:rsidRPr="00DA04FF">
              <w:rPr>
                <w:b/>
                <w:bCs/>
                <w:sz w:val="20"/>
                <w:szCs w:val="16"/>
              </w:rPr>
              <w:t xml:space="preserve">Spend </w:t>
            </w:r>
            <w:r w:rsidR="00F75F8F">
              <w:rPr>
                <w:b/>
                <w:bCs/>
                <w:sz w:val="20"/>
                <w:szCs w:val="16"/>
              </w:rPr>
              <w:t xml:space="preserve">Eligible to be </w:t>
            </w:r>
            <w:r w:rsidRPr="00DA04FF">
              <w:rPr>
                <w:b/>
                <w:bCs/>
                <w:sz w:val="20"/>
                <w:szCs w:val="16"/>
              </w:rPr>
              <w:t>Record</w:t>
            </w:r>
            <w:r w:rsidR="00F75F8F">
              <w:rPr>
                <w:b/>
                <w:bCs/>
                <w:sz w:val="20"/>
                <w:szCs w:val="16"/>
              </w:rPr>
              <w:t>ed</w:t>
            </w:r>
            <w:r w:rsidRPr="00DA04FF">
              <w:rPr>
                <w:b/>
                <w:bCs/>
                <w:sz w:val="20"/>
                <w:szCs w:val="16"/>
              </w:rPr>
              <w:t xml:space="preserve"> to EEMA</w:t>
            </w:r>
          </w:p>
          <w:p w:rsidR="00DA04FF" w:rsidP="00F67BCA" w:rsidRDefault="00DA04FF" w14:paraId="2F3D8F43" w14:textId="77777777">
            <w:pPr>
              <w:pStyle w:val="Standard"/>
              <w:ind w:firstLine="0"/>
              <w:rPr>
                <w:b/>
                <w:bCs/>
                <w:sz w:val="20"/>
                <w:szCs w:val="16"/>
              </w:rPr>
            </w:pPr>
          </w:p>
          <w:p w:rsidRPr="00DA04FF" w:rsidR="00686B69" w:rsidP="00F67BCA" w:rsidRDefault="00686B69" w14:paraId="60743828" w14:textId="77777777">
            <w:pPr>
              <w:pStyle w:val="Standard"/>
              <w:ind w:firstLine="0"/>
              <w:rPr>
                <w:b/>
                <w:bCs/>
                <w:sz w:val="20"/>
                <w:szCs w:val="16"/>
              </w:rPr>
            </w:pPr>
          </w:p>
          <w:p w:rsidRPr="00DA04FF" w:rsidR="003445A8" w:rsidP="00F67BCA" w:rsidRDefault="003445A8" w14:paraId="5F6C0858" w14:textId="75DBA9DF">
            <w:pPr>
              <w:pStyle w:val="Standard"/>
              <w:ind w:firstLine="0"/>
              <w:rPr>
                <w:b/>
                <w:sz w:val="20"/>
                <w:szCs w:val="20"/>
              </w:rPr>
            </w:pPr>
            <w:r w:rsidRPr="539142CD">
              <w:rPr>
                <w:b/>
                <w:sz w:val="20"/>
                <w:szCs w:val="20"/>
              </w:rPr>
              <w:t>[E</w:t>
            </w:r>
            <w:r w:rsidRPr="539142CD" w:rsidR="002D5EA2">
              <w:rPr>
                <w:b/>
                <w:sz w:val="20"/>
                <w:szCs w:val="20"/>
              </w:rPr>
              <w:t xml:space="preserve"> = </w:t>
            </w:r>
            <w:r w:rsidR="00755B6F">
              <w:rPr>
                <w:b/>
                <w:sz w:val="20"/>
                <w:szCs w:val="20"/>
              </w:rPr>
              <w:t>C</w:t>
            </w:r>
            <w:r w:rsidRPr="04075A54" w:rsidR="5F0B6F31">
              <w:rPr>
                <w:b/>
                <w:bCs/>
                <w:sz w:val="20"/>
                <w:szCs w:val="20"/>
              </w:rPr>
              <w:t>, if C &lt;</w:t>
            </w:r>
            <w:r w:rsidRPr="7B3C5FBA" w:rsidR="5F0B6F31">
              <w:rPr>
                <w:b/>
                <w:bCs/>
                <w:sz w:val="20"/>
                <w:szCs w:val="20"/>
              </w:rPr>
              <w:t xml:space="preserve"> </w:t>
            </w:r>
            <w:r w:rsidRPr="04075A54" w:rsidR="5F0B6F31">
              <w:rPr>
                <w:b/>
                <w:bCs/>
                <w:sz w:val="20"/>
                <w:szCs w:val="20"/>
              </w:rPr>
              <w:t>D</w:t>
            </w:r>
            <w:r w:rsidRPr="4F4A4596" w:rsidR="5F0B6F31">
              <w:rPr>
                <w:b/>
                <w:bCs/>
                <w:sz w:val="20"/>
                <w:szCs w:val="20"/>
              </w:rPr>
              <w:t xml:space="preserve">; </w:t>
            </w:r>
            <w:r>
              <w:br/>
            </w:r>
            <w:r w:rsidRPr="4F4A4596" w:rsidR="5F0B6F31">
              <w:rPr>
                <w:b/>
                <w:bCs/>
                <w:sz w:val="20"/>
                <w:szCs w:val="20"/>
              </w:rPr>
              <w:t xml:space="preserve">E = D if C </w:t>
            </w:r>
            <w:r w:rsidRPr="38BD50F8" w:rsidR="12069C63">
              <w:rPr>
                <w:b/>
                <w:bCs/>
                <w:sz w:val="20"/>
                <w:szCs w:val="20"/>
              </w:rPr>
              <w:t>&gt;</w:t>
            </w:r>
            <w:r w:rsidRPr="7DBAC5FF" w:rsidR="5F0B6F31">
              <w:rPr>
                <w:b/>
                <w:bCs/>
                <w:sz w:val="20"/>
                <w:szCs w:val="20"/>
              </w:rPr>
              <w:t xml:space="preserve"> D</w:t>
            </w:r>
            <w:r w:rsidRPr="7DBAC5FF">
              <w:rPr>
                <w:b/>
                <w:bCs/>
                <w:sz w:val="20"/>
                <w:szCs w:val="20"/>
              </w:rPr>
              <w:t>]</w:t>
            </w:r>
          </w:p>
        </w:tc>
      </w:tr>
      <w:tr w:rsidRPr="00963CAA" w:rsidR="003445A8" w:rsidTr="247FC807" w14:paraId="1A17EB1C" w14:textId="77777777">
        <w:trPr>
          <w:trHeight w:val="288"/>
        </w:trPr>
        <w:tc>
          <w:tcPr>
            <w:tcW w:w="9350" w:type="dxa"/>
            <w:gridSpan w:val="6"/>
            <w:shd w:val="clear" w:color="auto" w:fill="F2F2F2" w:themeFill="background1" w:themeFillShade="F2"/>
            <w:noWrap/>
            <w:hideMark/>
          </w:tcPr>
          <w:p w:rsidRPr="001F079E" w:rsidR="003445A8" w:rsidP="00F67BCA" w:rsidRDefault="003445A8" w14:paraId="76EDC127" w14:textId="77777777">
            <w:pPr>
              <w:pStyle w:val="Standard"/>
              <w:ind w:firstLine="0"/>
              <w:rPr>
                <w:sz w:val="20"/>
                <w:szCs w:val="16"/>
              </w:rPr>
            </w:pPr>
            <w:r w:rsidRPr="001F079E">
              <w:rPr>
                <w:b/>
                <w:bCs/>
                <w:sz w:val="20"/>
                <w:szCs w:val="16"/>
              </w:rPr>
              <w:t>Category 1</w:t>
            </w:r>
          </w:p>
        </w:tc>
      </w:tr>
      <w:tr w:rsidRPr="00963CAA" w:rsidR="00F75F8F" w:rsidTr="00127E97" w14:paraId="1731E540" w14:textId="77777777">
        <w:trPr>
          <w:trHeight w:val="288"/>
        </w:trPr>
        <w:tc>
          <w:tcPr>
            <w:tcW w:w="1571" w:type="dxa"/>
            <w:hideMark/>
          </w:tcPr>
          <w:p w:rsidRPr="001F079E" w:rsidR="003445A8" w:rsidP="00F67BCA" w:rsidRDefault="003445A8" w14:paraId="22A3410E" w14:textId="77777777">
            <w:pPr>
              <w:pStyle w:val="Standard"/>
              <w:ind w:firstLine="0"/>
              <w:rPr>
                <w:sz w:val="20"/>
                <w:szCs w:val="16"/>
              </w:rPr>
            </w:pPr>
            <w:r w:rsidRPr="001F079E">
              <w:rPr>
                <w:sz w:val="20"/>
                <w:szCs w:val="16"/>
              </w:rPr>
              <w:t>Subcategory A</w:t>
            </w:r>
          </w:p>
        </w:tc>
        <w:tc>
          <w:tcPr>
            <w:tcW w:w="1505" w:type="dxa"/>
            <w:hideMark/>
          </w:tcPr>
          <w:p w:rsidRPr="001F079E" w:rsidR="003445A8" w:rsidP="00F67BCA" w:rsidRDefault="003445A8" w14:paraId="6C036C2F" w14:textId="77777777">
            <w:pPr>
              <w:pStyle w:val="Standard"/>
              <w:ind w:firstLine="0"/>
              <w:jc w:val="center"/>
              <w:rPr>
                <w:sz w:val="20"/>
                <w:szCs w:val="16"/>
              </w:rPr>
            </w:pPr>
            <w:r w:rsidRPr="001F079E">
              <w:rPr>
                <w:sz w:val="20"/>
                <w:szCs w:val="16"/>
              </w:rPr>
              <w:t>5</w:t>
            </w:r>
          </w:p>
        </w:tc>
        <w:tc>
          <w:tcPr>
            <w:tcW w:w="1168" w:type="dxa"/>
            <w:hideMark/>
          </w:tcPr>
          <w:p w:rsidRPr="001F079E" w:rsidR="003445A8" w:rsidP="00F67BCA" w:rsidRDefault="006C7C53" w14:paraId="5A5A2675" w14:textId="220F2418">
            <w:pPr>
              <w:pStyle w:val="Standard"/>
              <w:ind w:firstLine="0"/>
              <w:jc w:val="center"/>
              <w:rPr>
                <w:sz w:val="20"/>
                <w:szCs w:val="16"/>
              </w:rPr>
            </w:pPr>
            <w:r>
              <w:rPr>
                <w:sz w:val="20"/>
                <w:szCs w:val="16"/>
              </w:rPr>
              <w:t>30</w:t>
            </w:r>
          </w:p>
        </w:tc>
        <w:tc>
          <w:tcPr>
            <w:tcW w:w="1570" w:type="dxa"/>
            <w:hideMark/>
          </w:tcPr>
          <w:p w:rsidRPr="001F079E" w:rsidR="003445A8" w:rsidP="00F67BCA" w:rsidRDefault="000C581B" w14:paraId="4F82392F" w14:textId="0806CBBF">
            <w:pPr>
              <w:pStyle w:val="Standard"/>
              <w:ind w:firstLine="0"/>
              <w:jc w:val="center"/>
              <w:rPr>
                <w:sz w:val="20"/>
                <w:szCs w:val="16"/>
              </w:rPr>
            </w:pPr>
            <w:r>
              <w:rPr>
                <w:sz w:val="20"/>
                <w:szCs w:val="16"/>
              </w:rPr>
              <w:t>25</w:t>
            </w:r>
          </w:p>
        </w:tc>
        <w:tc>
          <w:tcPr>
            <w:tcW w:w="1564" w:type="dxa"/>
            <w:hideMark/>
          </w:tcPr>
          <w:p w:rsidRPr="001F079E" w:rsidR="003445A8" w:rsidP="00F67BCA" w:rsidRDefault="003445A8" w14:paraId="51D8A261" w14:textId="77777777">
            <w:pPr>
              <w:pStyle w:val="Standard"/>
              <w:ind w:firstLine="0"/>
              <w:jc w:val="center"/>
              <w:rPr>
                <w:sz w:val="20"/>
                <w:szCs w:val="16"/>
              </w:rPr>
            </w:pPr>
            <w:r w:rsidRPr="001F079E">
              <w:rPr>
                <w:sz w:val="20"/>
                <w:szCs w:val="16"/>
              </w:rPr>
              <w:t>10</w:t>
            </w:r>
          </w:p>
        </w:tc>
        <w:tc>
          <w:tcPr>
            <w:tcW w:w="1972" w:type="dxa"/>
            <w:hideMark/>
          </w:tcPr>
          <w:p w:rsidRPr="001F079E" w:rsidR="003445A8" w:rsidP="00F67BCA" w:rsidRDefault="00755B6F" w14:paraId="7EDA4910" w14:textId="0710B88A">
            <w:pPr>
              <w:pStyle w:val="Standard"/>
              <w:ind w:firstLine="0"/>
              <w:jc w:val="center"/>
              <w:rPr>
                <w:sz w:val="20"/>
                <w:szCs w:val="20"/>
              </w:rPr>
            </w:pPr>
            <w:r>
              <w:rPr>
                <w:sz w:val="20"/>
                <w:szCs w:val="20"/>
              </w:rPr>
              <w:t>25</w:t>
            </w:r>
          </w:p>
        </w:tc>
      </w:tr>
      <w:tr w:rsidRPr="00963CAA" w:rsidR="00F75F8F" w:rsidTr="00127E97" w14:paraId="3E45BC93" w14:textId="77777777">
        <w:trPr>
          <w:trHeight w:val="288"/>
        </w:trPr>
        <w:tc>
          <w:tcPr>
            <w:tcW w:w="1571" w:type="dxa"/>
            <w:hideMark/>
          </w:tcPr>
          <w:p w:rsidRPr="001F079E" w:rsidR="003445A8" w:rsidP="00F67BCA" w:rsidRDefault="003445A8" w14:paraId="7034743B" w14:textId="77777777">
            <w:pPr>
              <w:pStyle w:val="Standard"/>
              <w:ind w:firstLine="0"/>
              <w:rPr>
                <w:sz w:val="20"/>
                <w:szCs w:val="16"/>
              </w:rPr>
            </w:pPr>
            <w:r w:rsidRPr="001F079E">
              <w:rPr>
                <w:sz w:val="20"/>
                <w:szCs w:val="16"/>
              </w:rPr>
              <w:t>Subcategory B</w:t>
            </w:r>
          </w:p>
        </w:tc>
        <w:tc>
          <w:tcPr>
            <w:tcW w:w="1505" w:type="dxa"/>
            <w:hideMark/>
          </w:tcPr>
          <w:p w:rsidRPr="001F079E" w:rsidR="003445A8" w:rsidP="00F67BCA" w:rsidRDefault="003445A8" w14:paraId="275BED2D" w14:textId="77777777">
            <w:pPr>
              <w:pStyle w:val="Standard"/>
              <w:ind w:firstLine="0"/>
              <w:jc w:val="center"/>
              <w:rPr>
                <w:sz w:val="20"/>
                <w:szCs w:val="16"/>
              </w:rPr>
            </w:pPr>
            <w:r w:rsidRPr="001F079E">
              <w:rPr>
                <w:sz w:val="20"/>
                <w:szCs w:val="16"/>
              </w:rPr>
              <w:t>5</w:t>
            </w:r>
          </w:p>
        </w:tc>
        <w:tc>
          <w:tcPr>
            <w:tcW w:w="1168" w:type="dxa"/>
            <w:hideMark/>
          </w:tcPr>
          <w:p w:rsidRPr="001F079E" w:rsidR="003445A8" w:rsidP="00F67BCA" w:rsidRDefault="00FC0F64" w14:paraId="0CA6A700" w14:textId="6D962C30">
            <w:pPr>
              <w:pStyle w:val="Standard"/>
              <w:ind w:firstLine="0"/>
              <w:jc w:val="center"/>
              <w:rPr>
                <w:sz w:val="20"/>
                <w:szCs w:val="16"/>
              </w:rPr>
            </w:pPr>
            <w:r>
              <w:rPr>
                <w:sz w:val="20"/>
                <w:szCs w:val="16"/>
              </w:rPr>
              <w:t>10</w:t>
            </w:r>
          </w:p>
        </w:tc>
        <w:tc>
          <w:tcPr>
            <w:tcW w:w="1570" w:type="dxa"/>
            <w:hideMark/>
          </w:tcPr>
          <w:p w:rsidRPr="001F079E" w:rsidR="003445A8" w:rsidP="00F67BCA" w:rsidRDefault="00FC0F64" w14:paraId="706161B2" w14:textId="2B7C7D0D">
            <w:pPr>
              <w:pStyle w:val="Standard"/>
              <w:ind w:firstLine="0"/>
              <w:jc w:val="center"/>
              <w:rPr>
                <w:sz w:val="20"/>
                <w:szCs w:val="16"/>
              </w:rPr>
            </w:pPr>
            <w:r>
              <w:rPr>
                <w:sz w:val="20"/>
                <w:szCs w:val="16"/>
              </w:rPr>
              <w:t>5</w:t>
            </w:r>
          </w:p>
        </w:tc>
        <w:tc>
          <w:tcPr>
            <w:tcW w:w="1564" w:type="dxa"/>
            <w:hideMark/>
          </w:tcPr>
          <w:p w:rsidRPr="001F079E" w:rsidR="003445A8" w:rsidP="00F67BCA" w:rsidRDefault="003445A8" w14:paraId="62EDDA6E" w14:textId="77777777">
            <w:pPr>
              <w:pStyle w:val="Standard"/>
              <w:ind w:firstLine="0"/>
              <w:jc w:val="center"/>
              <w:rPr>
                <w:sz w:val="20"/>
                <w:szCs w:val="16"/>
              </w:rPr>
            </w:pPr>
            <w:r w:rsidRPr="001F079E">
              <w:rPr>
                <w:sz w:val="20"/>
                <w:szCs w:val="16"/>
              </w:rPr>
              <w:t>10</w:t>
            </w:r>
          </w:p>
        </w:tc>
        <w:tc>
          <w:tcPr>
            <w:tcW w:w="1972" w:type="dxa"/>
            <w:hideMark/>
          </w:tcPr>
          <w:p w:rsidRPr="001F079E" w:rsidR="003445A8" w:rsidP="00F67BCA" w:rsidRDefault="00755B6F" w14:paraId="59E19609" w14:textId="27844899">
            <w:pPr>
              <w:pStyle w:val="Standard"/>
              <w:ind w:firstLine="0"/>
              <w:jc w:val="center"/>
              <w:rPr>
                <w:sz w:val="20"/>
                <w:szCs w:val="20"/>
              </w:rPr>
            </w:pPr>
            <w:r>
              <w:rPr>
                <w:sz w:val="20"/>
                <w:szCs w:val="20"/>
              </w:rPr>
              <w:t>5</w:t>
            </w:r>
          </w:p>
        </w:tc>
      </w:tr>
      <w:tr w:rsidRPr="00963CAA" w:rsidR="00F75F8F" w:rsidTr="00127E97" w14:paraId="475E3143" w14:textId="77777777">
        <w:trPr>
          <w:trHeight w:val="288"/>
        </w:trPr>
        <w:tc>
          <w:tcPr>
            <w:tcW w:w="1571" w:type="dxa"/>
          </w:tcPr>
          <w:p w:rsidRPr="00FC0F64" w:rsidR="00FC0F64" w:rsidP="00F67BCA" w:rsidRDefault="00FC0F64" w14:paraId="2100493B" w14:textId="6715A8EC">
            <w:pPr>
              <w:pStyle w:val="Standard"/>
              <w:ind w:firstLine="0"/>
              <w:rPr>
                <w:sz w:val="20"/>
                <w:szCs w:val="16"/>
              </w:rPr>
            </w:pPr>
            <w:r w:rsidRPr="00FC0F64">
              <w:rPr>
                <w:sz w:val="20"/>
                <w:szCs w:val="16"/>
              </w:rPr>
              <w:t>Subcategory C</w:t>
            </w:r>
          </w:p>
        </w:tc>
        <w:tc>
          <w:tcPr>
            <w:tcW w:w="1505" w:type="dxa"/>
          </w:tcPr>
          <w:p w:rsidRPr="00FC0F64" w:rsidR="00FC0F64" w:rsidP="00F67BCA" w:rsidRDefault="00FC0F64" w14:paraId="2306177B" w14:textId="44FE4126">
            <w:pPr>
              <w:pStyle w:val="Standard"/>
              <w:ind w:firstLine="0"/>
              <w:jc w:val="center"/>
              <w:rPr>
                <w:sz w:val="20"/>
                <w:szCs w:val="16"/>
              </w:rPr>
            </w:pPr>
            <w:r>
              <w:rPr>
                <w:sz w:val="20"/>
                <w:szCs w:val="16"/>
              </w:rPr>
              <w:t>5</w:t>
            </w:r>
          </w:p>
        </w:tc>
        <w:tc>
          <w:tcPr>
            <w:tcW w:w="1168" w:type="dxa"/>
          </w:tcPr>
          <w:p w:rsidRPr="00FC0F64" w:rsidR="00FC0F64" w:rsidP="00F67BCA" w:rsidRDefault="00FC0F64" w14:paraId="3BBF8241" w14:textId="6BCA271D">
            <w:pPr>
              <w:pStyle w:val="Standard"/>
              <w:ind w:firstLine="0"/>
              <w:jc w:val="center"/>
              <w:rPr>
                <w:sz w:val="20"/>
                <w:szCs w:val="16"/>
              </w:rPr>
            </w:pPr>
            <w:r w:rsidRPr="001F079E">
              <w:rPr>
                <w:sz w:val="20"/>
                <w:szCs w:val="16"/>
              </w:rPr>
              <w:t>4</w:t>
            </w:r>
          </w:p>
        </w:tc>
        <w:tc>
          <w:tcPr>
            <w:tcW w:w="1570" w:type="dxa"/>
          </w:tcPr>
          <w:p w:rsidRPr="00FC0F64" w:rsidR="00FC0F64" w:rsidP="00F67BCA" w:rsidRDefault="00FC0F64" w14:paraId="3CF4D6C6" w14:textId="454B6BFC">
            <w:pPr>
              <w:pStyle w:val="Standard"/>
              <w:ind w:firstLine="0"/>
              <w:jc w:val="center"/>
              <w:rPr>
                <w:sz w:val="20"/>
                <w:szCs w:val="16"/>
              </w:rPr>
            </w:pPr>
            <w:r>
              <w:rPr>
                <w:sz w:val="20"/>
                <w:szCs w:val="16"/>
              </w:rPr>
              <w:t>0</w:t>
            </w:r>
          </w:p>
        </w:tc>
        <w:tc>
          <w:tcPr>
            <w:tcW w:w="1564" w:type="dxa"/>
          </w:tcPr>
          <w:p w:rsidRPr="00FC0F64" w:rsidR="00FC0F64" w:rsidP="00F67BCA" w:rsidRDefault="00FD093C" w14:paraId="17E037A2" w14:textId="4E2EE467">
            <w:pPr>
              <w:pStyle w:val="Standard"/>
              <w:ind w:firstLine="0"/>
              <w:jc w:val="center"/>
              <w:rPr>
                <w:sz w:val="20"/>
                <w:szCs w:val="16"/>
              </w:rPr>
            </w:pPr>
            <w:r>
              <w:rPr>
                <w:sz w:val="20"/>
                <w:szCs w:val="16"/>
              </w:rPr>
              <w:t>5</w:t>
            </w:r>
          </w:p>
        </w:tc>
        <w:tc>
          <w:tcPr>
            <w:tcW w:w="1972" w:type="dxa"/>
          </w:tcPr>
          <w:p w:rsidRPr="00FC0F64" w:rsidR="00FC0F64" w:rsidP="00F67BCA" w:rsidRDefault="00755B6F" w14:paraId="0FC30331" w14:textId="18E1CD7B">
            <w:pPr>
              <w:pStyle w:val="Standard"/>
              <w:ind w:firstLine="0"/>
              <w:jc w:val="center"/>
              <w:rPr>
                <w:sz w:val="20"/>
                <w:szCs w:val="20"/>
              </w:rPr>
            </w:pPr>
            <w:r>
              <w:rPr>
                <w:sz w:val="20"/>
                <w:szCs w:val="20"/>
              </w:rPr>
              <w:t>0</w:t>
            </w:r>
          </w:p>
        </w:tc>
      </w:tr>
      <w:tr w:rsidRPr="00963CAA" w:rsidR="003445A8" w:rsidTr="247FC807" w14:paraId="1A0210A4" w14:textId="77777777">
        <w:trPr>
          <w:trHeight w:val="288"/>
        </w:trPr>
        <w:tc>
          <w:tcPr>
            <w:tcW w:w="9350" w:type="dxa"/>
            <w:gridSpan w:val="6"/>
            <w:shd w:val="clear" w:color="auto" w:fill="F2F2F2" w:themeFill="background1" w:themeFillShade="F2"/>
            <w:noWrap/>
            <w:hideMark/>
          </w:tcPr>
          <w:p w:rsidRPr="001F079E" w:rsidR="003445A8" w:rsidP="00F67BCA" w:rsidRDefault="003445A8" w14:paraId="13575FC7" w14:textId="77777777">
            <w:pPr>
              <w:pStyle w:val="Standard"/>
              <w:ind w:firstLine="0"/>
              <w:rPr>
                <w:sz w:val="20"/>
                <w:szCs w:val="16"/>
              </w:rPr>
            </w:pPr>
            <w:r w:rsidRPr="001F079E">
              <w:rPr>
                <w:b/>
                <w:bCs/>
                <w:sz w:val="20"/>
                <w:szCs w:val="16"/>
              </w:rPr>
              <w:t>Category 2</w:t>
            </w:r>
          </w:p>
        </w:tc>
      </w:tr>
      <w:tr w:rsidRPr="00963CAA" w:rsidR="003445A8" w:rsidTr="00127E97" w14:paraId="55BD9D7E" w14:textId="77777777">
        <w:trPr>
          <w:trHeight w:val="288"/>
        </w:trPr>
        <w:tc>
          <w:tcPr>
            <w:tcW w:w="1571" w:type="dxa"/>
            <w:hideMark/>
          </w:tcPr>
          <w:p w:rsidRPr="001F079E" w:rsidR="003445A8" w:rsidP="00F67BCA" w:rsidRDefault="003445A8" w14:paraId="5C4511A8" w14:textId="77777777">
            <w:pPr>
              <w:pStyle w:val="Standard"/>
              <w:ind w:firstLine="0"/>
              <w:rPr>
                <w:sz w:val="20"/>
                <w:szCs w:val="16"/>
              </w:rPr>
            </w:pPr>
            <w:r w:rsidRPr="001F079E">
              <w:rPr>
                <w:sz w:val="20"/>
                <w:szCs w:val="16"/>
              </w:rPr>
              <w:t>Subcategory X</w:t>
            </w:r>
          </w:p>
        </w:tc>
        <w:tc>
          <w:tcPr>
            <w:tcW w:w="1505" w:type="dxa"/>
            <w:hideMark/>
          </w:tcPr>
          <w:p w:rsidRPr="001F079E" w:rsidR="003445A8" w:rsidP="00F67BCA" w:rsidRDefault="003445A8" w14:paraId="60C34F11" w14:textId="77777777">
            <w:pPr>
              <w:pStyle w:val="Standard"/>
              <w:ind w:firstLine="0"/>
              <w:jc w:val="center"/>
              <w:rPr>
                <w:sz w:val="20"/>
                <w:szCs w:val="16"/>
              </w:rPr>
            </w:pPr>
            <w:r w:rsidRPr="001F079E">
              <w:rPr>
                <w:sz w:val="20"/>
                <w:szCs w:val="16"/>
              </w:rPr>
              <w:t>5</w:t>
            </w:r>
          </w:p>
        </w:tc>
        <w:tc>
          <w:tcPr>
            <w:tcW w:w="1168" w:type="dxa"/>
            <w:hideMark/>
          </w:tcPr>
          <w:p w:rsidRPr="001F079E" w:rsidR="003445A8" w:rsidP="00F67BCA" w:rsidRDefault="00A11C3B" w14:paraId="3FBD34BD" w14:textId="0E4F3D18">
            <w:pPr>
              <w:pStyle w:val="Standard"/>
              <w:ind w:firstLine="0"/>
              <w:jc w:val="center"/>
              <w:rPr>
                <w:sz w:val="20"/>
                <w:szCs w:val="16"/>
              </w:rPr>
            </w:pPr>
            <w:r>
              <w:rPr>
                <w:sz w:val="20"/>
                <w:szCs w:val="16"/>
              </w:rPr>
              <w:t>17</w:t>
            </w:r>
          </w:p>
        </w:tc>
        <w:tc>
          <w:tcPr>
            <w:tcW w:w="1570" w:type="dxa"/>
            <w:hideMark/>
          </w:tcPr>
          <w:p w:rsidRPr="001F079E" w:rsidR="003445A8" w:rsidP="00F67BCA" w:rsidRDefault="00A11C3B" w14:paraId="589D1046" w14:textId="10E7805D">
            <w:pPr>
              <w:pStyle w:val="Standard"/>
              <w:ind w:firstLine="0"/>
              <w:jc w:val="center"/>
              <w:rPr>
                <w:sz w:val="20"/>
                <w:szCs w:val="16"/>
              </w:rPr>
            </w:pPr>
            <w:r>
              <w:rPr>
                <w:sz w:val="20"/>
                <w:szCs w:val="16"/>
              </w:rPr>
              <w:t>12</w:t>
            </w:r>
          </w:p>
        </w:tc>
        <w:tc>
          <w:tcPr>
            <w:tcW w:w="1564" w:type="dxa"/>
            <w:hideMark/>
          </w:tcPr>
          <w:p w:rsidRPr="001F079E" w:rsidR="003445A8" w:rsidP="00F67BCA" w:rsidRDefault="003445A8" w14:paraId="1C863090" w14:textId="77777777">
            <w:pPr>
              <w:pStyle w:val="Standard"/>
              <w:ind w:firstLine="0"/>
              <w:jc w:val="center"/>
              <w:rPr>
                <w:sz w:val="20"/>
                <w:szCs w:val="16"/>
              </w:rPr>
            </w:pPr>
            <w:r w:rsidRPr="001F079E">
              <w:rPr>
                <w:sz w:val="20"/>
                <w:szCs w:val="16"/>
              </w:rPr>
              <w:t>10</w:t>
            </w:r>
          </w:p>
        </w:tc>
        <w:tc>
          <w:tcPr>
            <w:tcW w:w="1972" w:type="dxa"/>
            <w:hideMark/>
          </w:tcPr>
          <w:p w:rsidRPr="001F079E" w:rsidR="003445A8" w:rsidP="00F67BCA" w:rsidRDefault="00A11C3B" w14:paraId="6301C3B3" w14:textId="1C341D92">
            <w:pPr>
              <w:pStyle w:val="Standard"/>
              <w:ind w:firstLine="0"/>
              <w:jc w:val="center"/>
              <w:rPr>
                <w:sz w:val="20"/>
                <w:szCs w:val="20"/>
              </w:rPr>
            </w:pPr>
            <w:r>
              <w:rPr>
                <w:sz w:val="20"/>
                <w:szCs w:val="20"/>
              </w:rPr>
              <w:t>12</w:t>
            </w:r>
          </w:p>
        </w:tc>
      </w:tr>
      <w:tr w:rsidRPr="00963CAA" w:rsidR="003445A8" w:rsidTr="00127E97" w14:paraId="221E8452" w14:textId="77777777">
        <w:trPr>
          <w:trHeight w:val="288"/>
        </w:trPr>
        <w:tc>
          <w:tcPr>
            <w:tcW w:w="1571" w:type="dxa"/>
            <w:hideMark/>
          </w:tcPr>
          <w:p w:rsidRPr="001F079E" w:rsidR="003445A8" w:rsidP="00F67BCA" w:rsidRDefault="003445A8" w14:paraId="664FC117" w14:textId="77777777">
            <w:pPr>
              <w:pStyle w:val="Standard"/>
              <w:ind w:firstLine="0"/>
              <w:rPr>
                <w:sz w:val="20"/>
                <w:szCs w:val="16"/>
              </w:rPr>
            </w:pPr>
            <w:r w:rsidRPr="001F079E">
              <w:rPr>
                <w:sz w:val="20"/>
                <w:szCs w:val="16"/>
              </w:rPr>
              <w:t>Subcategory Y</w:t>
            </w:r>
          </w:p>
        </w:tc>
        <w:tc>
          <w:tcPr>
            <w:tcW w:w="1505" w:type="dxa"/>
            <w:hideMark/>
          </w:tcPr>
          <w:p w:rsidRPr="001F079E" w:rsidR="003445A8" w:rsidP="00F67BCA" w:rsidRDefault="003445A8" w14:paraId="1CAF72CA" w14:textId="77777777">
            <w:pPr>
              <w:pStyle w:val="Standard"/>
              <w:ind w:firstLine="0"/>
              <w:jc w:val="center"/>
              <w:rPr>
                <w:sz w:val="20"/>
                <w:szCs w:val="16"/>
              </w:rPr>
            </w:pPr>
            <w:r w:rsidRPr="001F079E">
              <w:rPr>
                <w:sz w:val="20"/>
                <w:szCs w:val="16"/>
              </w:rPr>
              <w:t>5</w:t>
            </w:r>
          </w:p>
        </w:tc>
        <w:tc>
          <w:tcPr>
            <w:tcW w:w="1168" w:type="dxa"/>
            <w:hideMark/>
          </w:tcPr>
          <w:p w:rsidRPr="001F079E" w:rsidR="003445A8" w:rsidP="00F67BCA" w:rsidRDefault="003445A8" w14:paraId="11D36449" w14:textId="77777777">
            <w:pPr>
              <w:pStyle w:val="Standard"/>
              <w:ind w:firstLine="0"/>
              <w:jc w:val="center"/>
              <w:rPr>
                <w:sz w:val="20"/>
                <w:szCs w:val="16"/>
              </w:rPr>
            </w:pPr>
            <w:r w:rsidRPr="001F079E">
              <w:rPr>
                <w:sz w:val="20"/>
                <w:szCs w:val="16"/>
              </w:rPr>
              <w:t>8</w:t>
            </w:r>
          </w:p>
        </w:tc>
        <w:tc>
          <w:tcPr>
            <w:tcW w:w="1570" w:type="dxa"/>
            <w:hideMark/>
          </w:tcPr>
          <w:p w:rsidRPr="001F079E" w:rsidR="003445A8" w:rsidP="00F67BCA" w:rsidRDefault="003445A8" w14:paraId="75BB0122" w14:textId="77777777">
            <w:pPr>
              <w:pStyle w:val="Standard"/>
              <w:ind w:firstLine="0"/>
              <w:jc w:val="center"/>
              <w:rPr>
                <w:sz w:val="20"/>
                <w:szCs w:val="16"/>
              </w:rPr>
            </w:pPr>
            <w:r w:rsidRPr="001F079E">
              <w:rPr>
                <w:sz w:val="20"/>
                <w:szCs w:val="16"/>
              </w:rPr>
              <w:t>3</w:t>
            </w:r>
          </w:p>
        </w:tc>
        <w:tc>
          <w:tcPr>
            <w:tcW w:w="1564" w:type="dxa"/>
            <w:hideMark/>
          </w:tcPr>
          <w:p w:rsidRPr="001F079E" w:rsidR="003445A8" w:rsidP="00F67BCA" w:rsidRDefault="003445A8" w14:paraId="22277388" w14:textId="77777777">
            <w:pPr>
              <w:pStyle w:val="Standard"/>
              <w:ind w:firstLine="0"/>
              <w:jc w:val="center"/>
              <w:rPr>
                <w:sz w:val="20"/>
                <w:szCs w:val="16"/>
              </w:rPr>
            </w:pPr>
            <w:r w:rsidRPr="001F079E">
              <w:rPr>
                <w:sz w:val="20"/>
                <w:szCs w:val="16"/>
              </w:rPr>
              <w:t>10</w:t>
            </w:r>
          </w:p>
        </w:tc>
        <w:tc>
          <w:tcPr>
            <w:tcW w:w="1972" w:type="dxa"/>
            <w:hideMark/>
          </w:tcPr>
          <w:p w:rsidRPr="001F079E" w:rsidR="003445A8" w:rsidP="00F67BCA" w:rsidRDefault="00405662" w14:paraId="5E87FDBF" w14:textId="165F1CD8">
            <w:pPr>
              <w:pStyle w:val="Standard"/>
              <w:ind w:firstLine="0"/>
              <w:jc w:val="center"/>
              <w:rPr>
                <w:sz w:val="20"/>
                <w:szCs w:val="20"/>
              </w:rPr>
            </w:pPr>
            <w:r>
              <w:rPr>
                <w:sz w:val="20"/>
                <w:szCs w:val="20"/>
              </w:rPr>
              <w:t>3</w:t>
            </w:r>
          </w:p>
        </w:tc>
      </w:tr>
      <w:tr w:rsidRPr="00963CAA" w:rsidR="003445A8" w:rsidTr="00127E97" w14:paraId="59E6CA74" w14:textId="77777777">
        <w:trPr>
          <w:trHeight w:val="288"/>
        </w:trPr>
        <w:tc>
          <w:tcPr>
            <w:tcW w:w="1571" w:type="dxa"/>
            <w:hideMark/>
          </w:tcPr>
          <w:p w:rsidRPr="001F079E" w:rsidR="003445A8" w:rsidP="00F67BCA" w:rsidRDefault="003445A8" w14:paraId="07C701E7" w14:textId="77777777">
            <w:pPr>
              <w:pStyle w:val="Standard"/>
              <w:ind w:firstLine="0"/>
              <w:rPr>
                <w:sz w:val="20"/>
                <w:szCs w:val="16"/>
              </w:rPr>
            </w:pPr>
            <w:r w:rsidRPr="001F079E">
              <w:rPr>
                <w:sz w:val="20"/>
                <w:szCs w:val="16"/>
              </w:rPr>
              <w:t>Subcategory Z</w:t>
            </w:r>
          </w:p>
        </w:tc>
        <w:tc>
          <w:tcPr>
            <w:tcW w:w="1505" w:type="dxa"/>
            <w:hideMark/>
          </w:tcPr>
          <w:p w:rsidRPr="001F079E" w:rsidR="003445A8" w:rsidP="00F67BCA" w:rsidRDefault="003445A8" w14:paraId="78A0B2A9" w14:textId="77777777">
            <w:pPr>
              <w:pStyle w:val="Standard"/>
              <w:ind w:firstLine="0"/>
              <w:jc w:val="center"/>
              <w:rPr>
                <w:sz w:val="20"/>
                <w:szCs w:val="16"/>
              </w:rPr>
            </w:pPr>
            <w:r w:rsidRPr="001F079E">
              <w:rPr>
                <w:sz w:val="20"/>
                <w:szCs w:val="16"/>
              </w:rPr>
              <w:t>5</w:t>
            </w:r>
          </w:p>
        </w:tc>
        <w:tc>
          <w:tcPr>
            <w:tcW w:w="1168" w:type="dxa"/>
            <w:hideMark/>
          </w:tcPr>
          <w:p w:rsidRPr="001F079E" w:rsidR="003445A8" w:rsidP="00F67BCA" w:rsidRDefault="003445A8" w14:paraId="47F302FE" w14:textId="77777777">
            <w:pPr>
              <w:pStyle w:val="Standard"/>
              <w:ind w:firstLine="0"/>
              <w:jc w:val="center"/>
              <w:rPr>
                <w:sz w:val="20"/>
                <w:szCs w:val="16"/>
              </w:rPr>
            </w:pPr>
            <w:r w:rsidRPr="001F079E">
              <w:rPr>
                <w:sz w:val="20"/>
                <w:szCs w:val="16"/>
              </w:rPr>
              <w:t>4</w:t>
            </w:r>
          </w:p>
        </w:tc>
        <w:tc>
          <w:tcPr>
            <w:tcW w:w="1570" w:type="dxa"/>
            <w:hideMark/>
          </w:tcPr>
          <w:p w:rsidRPr="001F079E" w:rsidR="003445A8" w:rsidP="00F67BCA" w:rsidRDefault="00625205" w14:paraId="50C69F04" w14:textId="5FE0945D">
            <w:pPr>
              <w:pStyle w:val="Standard"/>
              <w:ind w:firstLine="0"/>
              <w:jc w:val="center"/>
              <w:rPr>
                <w:sz w:val="20"/>
                <w:szCs w:val="16"/>
              </w:rPr>
            </w:pPr>
            <w:r>
              <w:rPr>
                <w:sz w:val="20"/>
                <w:szCs w:val="16"/>
              </w:rPr>
              <w:t>0</w:t>
            </w:r>
          </w:p>
        </w:tc>
        <w:tc>
          <w:tcPr>
            <w:tcW w:w="1564" w:type="dxa"/>
            <w:hideMark/>
          </w:tcPr>
          <w:p w:rsidRPr="001F079E" w:rsidR="003445A8" w:rsidP="00F67BCA" w:rsidRDefault="003445A8" w14:paraId="6ECF4700" w14:textId="77777777">
            <w:pPr>
              <w:pStyle w:val="Standard"/>
              <w:ind w:firstLine="0"/>
              <w:jc w:val="center"/>
              <w:rPr>
                <w:sz w:val="20"/>
                <w:szCs w:val="16"/>
              </w:rPr>
            </w:pPr>
            <w:r w:rsidRPr="001F079E">
              <w:rPr>
                <w:sz w:val="20"/>
                <w:szCs w:val="16"/>
              </w:rPr>
              <w:t>10</w:t>
            </w:r>
          </w:p>
        </w:tc>
        <w:tc>
          <w:tcPr>
            <w:tcW w:w="1972" w:type="dxa"/>
            <w:hideMark/>
          </w:tcPr>
          <w:p w:rsidRPr="001F079E" w:rsidR="003445A8" w:rsidP="00F67BCA" w:rsidRDefault="00CA2D5F" w14:paraId="20E3B015" w14:textId="59E243CA">
            <w:pPr>
              <w:pStyle w:val="Standard"/>
              <w:ind w:firstLine="0"/>
              <w:jc w:val="center"/>
              <w:rPr>
                <w:sz w:val="20"/>
                <w:szCs w:val="20"/>
              </w:rPr>
            </w:pPr>
            <w:r>
              <w:rPr>
                <w:sz w:val="20"/>
                <w:szCs w:val="20"/>
              </w:rPr>
              <w:t>0</w:t>
            </w:r>
          </w:p>
        </w:tc>
      </w:tr>
      <w:tr w:rsidRPr="00963CAA" w:rsidR="003445A8" w:rsidTr="00127E97" w14:paraId="2DD5A4B9" w14:textId="77777777">
        <w:trPr>
          <w:trHeight w:val="288"/>
        </w:trPr>
        <w:tc>
          <w:tcPr>
            <w:tcW w:w="1571" w:type="dxa"/>
            <w:shd w:val="clear" w:color="auto" w:fill="000000" w:themeFill="text1"/>
            <w:hideMark/>
          </w:tcPr>
          <w:p w:rsidRPr="00DA04FF" w:rsidR="003445A8" w:rsidP="00F67BCA" w:rsidRDefault="003445A8" w14:paraId="17C92EC5" w14:textId="77777777">
            <w:pPr>
              <w:pStyle w:val="Standard"/>
              <w:ind w:firstLine="0"/>
              <w:rPr>
                <w:b/>
                <w:bCs/>
                <w:color w:val="FFFFFF" w:themeColor="background1"/>
                <w:sz w:val="20"/>
                <w:szCs w:val="16"/>
              </w:rPr>
            </w:pPr>
            <w:r w:rsidRPr="00DA04FF">
              <w:rPr>
                <w:b/>
                <w:bCs/>
                <w:color w:val="FFFFFF" w:themeColor="background1"/>
                <w:sz w:val="20"/>
                <w:szCs w:val="16"/>
              </w:rPr>
              <w:t>TOTAL</w:t>
            </w:r>
          </w:p>
        </w:tc>
        <w:tc>
          <w:tcPr>
            <w:tcW w:w="1505" w:type="dxa"/>
            <w:shd w:val="clear" w:color="auto" w:fill="000000" w:themeFill="text1"/>
            <w:hideMark/>
          </w:tcPr>
          <w:p w:rsidRPr="00DA04FF" w:rsidR="003445A8" w:rsidP="00F67BCA" w:rsidRDefault="004632EE" w14:paraId="1C13EF6B" w14:textId="55EF6B38">
            <w:pPr>
              <w:pStyle w:val="Standard"/>
              <w:ind w:firstLine="0"/>
              <w:jc w:val="center"/>
              <w:rPr>
                <w:b/>
                <w:bCs/>
                <w:color w:val="FFFFFF" w:themeColor="background1"/>
                <w:sz w:val="20"/>
                <w:szCs w:val="16"/>
              </w:rPr>
            </w:pPr>
            <w:r>
              <w:rPr>
                <w:b/>
                <w:bCs/>
                <w:color w:val="FFFFFF" w:themeColor="background1"/>
                <w:sz w:val="20"/>
                <w:szCs w:val="16"/>
              </w:rPr>
              <w:t>$</w:t>
            </w:r>
            <w:r w:rsidR="00F96751">
              <w:rPr>
                <w:b/>
                <w:bCs/>
                <w:color w:val="FFFFFF" w:themeColor="background1"/>
                <w:sz w:val="20"/>
                <w:szCs w:val="16"/>
              </w:rPr>
              <w:t>30</w:t>
            </w:r>
          </w:p>
        </w:tc>
        <w:tc>
          <w:tcPr>
            <w:tcW w:w="1168" w:type="dxa"/>
            <w:shd w:val="clear" w:color="auto" w:fill="000000" w:themeFill="text1"/>
            <w:hideMark/>
          </w:tcPr>
          <w:p w:rsidRPr="00DA04FF" w:rsidR="003445A8" w:rsidP="00F67BCA" w:rsidRDefault="004632EE" w14:paraId="43D4AA05" w14:textId="74635C4D">
            <w:pPr>
              <w:pStyle w:val="Standard"/>
              <w:ind w:firstLine="0"/>
              <w:jc w:val="center"/>
              <w:rPr>
                <w:b/>
                <w:bCs/>
                <w:color w:val="FFFFFF" w:themeColor="background1"/>
                <w:sz w:val="20"/>
                <w:szCs w:val="16"/>
              </w:rPr>
            </w:pPr>
            <w:r>
              <w:rPr>
                <w:b/>
                <w:bCs/>
                <w:color w:val="FFFFFF" w:themeColor="background1"/>
                <w:sz w:val="20"/>
                <w:szCs w:val="16"/>
              </w:rPr>
              <w:t>$</w:t>
            </w:r>
            <w:r w:rsidR="008C7846">
              <w:rPr>
                <w:b/>
                <w:bCs/>
                <w:color w:val="FFFFFF" w:themeColor="background1"/>
                <w:sz w:val="20"/>
                <w:szCs w:val="16"/>
              </w:rPr>
              <w:t>73</w:t>
            </w:r>
          </w:p>
        </w:tc>
        <w:tc>
          <w:tcPr>
            <w:tcW w:w="1570" w:type="dxa"/>
            <w:shd w:val="clear" w:color="auto" w:fill="000000" w:themeFill="text1"/>
            <w:hideMark/>
          </w:tcPr>
          <w:p w:rsidRPr="00DA04FF" w:rsidR="003445A8" w:rsidP="00F67BCA" w:rsidRDefault="004632EE" w14:paraId="508B6CF7" w14:textId="7904271C">
            <w:pPr>
              <w:pStyle w:val="Standard"/>
              <w:ind w:firstLine="0"/>
              <w:jc w:val="center"/>
              <w:rPr>
                <w:b/>
                <w:bCs/>
                <w:color w:val="FFFFFF" w:themeColor="background1"/>
                <w:sz w:val="20"/>
                <w:szCs w:val="16"/>
              </w:rPr>
            </w:pPr>
            <w:r>
              <w:rPr>
                <w:b/>
                <w:bCs/>
                <w:color w:val="FFFFFF" w:themeColor="background1"/>
                <w:sz w:val="20"/>
                <w:szCs w:val="16"/>
              </w:rPr>
              <w:t>$</w:t>
            </w:r>
            <w:r w:rsidR="00AE5FC5">
              <w:rPr>
                <w:b/>
                <w:bCs/>
                <w:color w:val="FFFFFF" w:themeColor="background1"/>
                <w:sz w:val="20"/>
                <w:szCs w:val="16"/>
              </w:rPr>
              <w:t>4</w:t>
            </w:r>
            <w:r w:rsidR="009206D1">
              <w:rPr>
                <w:b/>
                <w:bCs/>
                <w:color w:val="FFFFFF" w:themeColor="background1"/>
                <w:sz w:val="20"/>
                <w:szCs w:val="16"/>
              </w:rPr>
              <w:t>5</w:t>
            </w:r>
          </w:p>
        </w:tc>
        <w:tc>
          <w:tcPr>
            <w:tcW w:w="1564" w:type="dxa"/>
            <w:shd w:val="clear" w:color="auto" w:fill="000000" w:themeFill="text1"/>
            <w:hideMark/>
          </w:tcPr>
          <w:p w:rsidRPr="00DA04FF" w:rsidR="003445A8" w:rsidP="00F67BCA" w:rsidRDefault="004632EE" w14:paraId="0FE00FD5" w14:textId="1A2F6C14">
            <w:pPr>
              <w:pStyle w:val="Standard"/>
              <w:ind w:firstLine="0"/>
              <w:jc w:val="center"/>
              <w:rPr>
                <w:b/>
                <w:bCs/>
                <w:color w:val="FFFFFF" w:themeColor="background1"/>
                <w:sz w:val="20"/>
                <w:szCs w:val="16"/>
              </w:rPr>
            </w:pPr>
            <w:r>
              <w:rPr>
                <w:b/>
                <w:bCs/>
                <w:color w:val="FFFFFF" w:themeColor="background1"/>
                <w:sz w:val="20"/>
                <w:szCs w:val="16"/>
              </w:rPr>
              <w:t>$</w:t>
            </w:r>
            <w:r w:rsidRPr="00DA04FF" w:rsidR="003445A8">
              <w:rPr>
                <w:b/>
                <w:bCs/>
                <w:color w:val="FFFFFF" w:themeColor="background1"/>
                <w:sz w:val="20"/>
                <w:szCs w:val="16"/>
              </w:rPr>
              <w:t>5</w:t>
            </w:r>
            <w:r w:rsidR="001E63FB">
              <w:rPr>
                <w:b/>
                <w:bCs/>
                <w:color w:val="FFFFFF" w:themeColor="background1"/>
                <w:sz w:val="20"/>
                <w:szCs w:val="16"/>
              </w:rPr>
              <w:t>5</w:t>
            </w:r>
          </w:p>
        </w:tc>
        <w:tc>
          <w:tcPr>
            <w:tcW w:w="1972" w:type="dxa"/>
            <w:shd w:val="clear" w:color="auto" w:fill="000000" w:themeFill="text1"/>
            <w:hideMark/>
          </w:tcPr>
          <w:p w:rsidRPr="00DA04FF" w:rsidR="003445A8" w:rsidP="00F67BCA" w:rsidRDefault="004632EE" w14:paraId="21CC1887" w14:textId="2F5D452C">
            <w:pPr>
              <w:pStyle w:val="Standard"/>
              <w:ind w:firstLine="0"/>
              <w:jc w:val="center"/>
              <w:rPr>
                <w:b/>
                <w:color w:val="FFFFFF" w:themeColor="background1"/>
                <w:sz w:val="20"/>
                <w:szCs w:val="20"/>
              </w:rPr>
            </w:pPr>
            <w:r w:rsidRPr="749F8188">
              <w:rPr>
                <w:b/>
                <w:color w:val="FFFFFF" w:themeColor="background1"/>
                <w:sz w:val="20"/>
                <w:szCs w:val="20"/>
              </w:rPr>
              <w:t>$</w:t>
            </w:r>
            <w:r w:rsidR="0007029A">
              <w:rPr>
                <w:b/>
                <w:bCs/>
                <w:color w:val="FFFFFF" w:themeColor="background1"/>
                <w:sz w:val="20"/>
                <w:szCs w:val="20"/>
              </w:rPr>
              <w:t>4</w:t>
            </w:r>
            <w:r w:rsidR="00802409">
              <w:rPr>
                <w:b/>
                <w:bCs/>
                <w:color w:val="FFFFFF" w:themeColor="background1"/>
                <w:sz w:val="20"/>
                <w:szCs w:val="20"/>
              </w:rPr>
              <w:t>5</w:t>
            </w:r>
          </w:p>
        </w:tc>
      </w:tr>
    </w:tbl>
    <w:p w:rsidR="003445A8" w:rsidP="00127E97" w:rsidRDefault="003445A8" w14:paraId="781D1117" w14:textId="77777777">
      <w:pPr>
        <w:pStyle w:val="StandardTableSub"/>
      </w:pPr>
    </w:p>
    <w:p w:rsidRPr="00FF7FDE" w:rsidR="003445A8" w:rsidP="00F67BCA" w:rsidRDefault="003445A8" w14:paraId="51E8DF68" w14:textId="2D919267">
      <w:pPr>
        <w:pStyle w:val="Standard"/>
      </w:pPr>
      <w:r>
        <w:t>In the example above,</w:t>
      </w:r>
      <w:r w:rsidR="00D72B2E">
        <w:t xml:space="preserve"> Subcategories A, B, X, and Y </w:t>
      </w:r>
      <w:r w:rsidR="0094632F">
        <w:t xml:space="preserve">all saw </w:t>
      </w:r>
      <w:r w:rsidR="0028579D">
        <w:t xml:space="preserve">actual spend greater than their 2026 GRC authorization. Accordingly, each of those categories </w:t>
      </w:r>
      <w:r w:rsidR="007B1D8F">
        <w:t>has incremental spend in 2026</w:t>
      </w:r>
      <w:r w:rsidR="00F475CE">
        <w:t>.</w:t>
      </w:r>
      <w:r w:rsidR="007B1D8F">
        <w:t xml:space="preserve"> </w:t>
      </w:r>
      <w:r w:rsidR="008A7167">
        <w:t xml:space="preserve">Notably, for Subcategory X, </w:t>
      </w:r>
      <w:r w:rsidR="00A729FE">
        <w:t xml:space="preserve">2026 incremental spend was $12 but </w:t>
      </w:r>
      <w:r w:rsidR="00DD79B3">
        <w:t xml:space="preserve">that Subcategory only added $10 to the </w:t>
      </w:r>
      <w:r w:rsidR="00A3251C">
        <w:t>total cap</w:t>
      </w:r>
      <w:r w:rsidR="007410FB">
        <w:t>. The full $12, however, would still be eligible for recording to the EEMA</w:t>
      </w:r>
      <w:r w:rsidR="00B712CF">
        <w:t xml:space="preserve"> (so long as the total incremental spend does not exceed the global cap)</w:t>
      </w:r>
      <w:r w:rsidR="007410FB">
        <w:t xml:space="preserve">. </w:t>
      </w:r>
      <w:r w:rsidR="002F21D4">
        <w:t>T</w:t>
      </w:r>
      <w:r w:rsidR="00B712CF">
        <w:t>he total incremental spend</w:t>
      </w:r>
      <w:r w:rsidR="009206D1">
        <w:t xml:space="preserve"> is $45</w:t>
      </w:r>
      <w:r w:rsidR="002F21D4">
        <w:t>, which is less than the global cap of $55, so all $45 would be eligible for recording to the EEMA in 2026.</w:t>
      </w:r>
    </w:p>
    <w:p w:rsidRPr="003445A8" w:rsidR="003445A8" w:rsidP="00F67BCA" w:rsidRDefault="003445A8" w14:paraId="669D53CB" w14:textId="46499132">
      <w:pPr>
        <w:pStyle w:val="Standard"/>
      </w:pPr>
      <w:r>
        <w:lastRenderedPageBreak/>
        <w:t>As required by Pub. Util. Code Section 937(b)(4), SDG&amp;E must record costs using the same categories it used in its 2024 GRC. As this decision only approves cost caps for the Capacity/Expansion, New Business, and Materials (transformers) categories, SDG&amp;E may only record costs that fall within those categories. Furthermore, f</w:t>
      </w:r>
      <w:r w:rsidRPr="00FF7FDE">
        <w:t>or the purposes of these incrementality calculations, SDG&amp;E shall not modify, add, or remove the type of projects and activities included in any given category</w:t>
      </w:r>
      <w:r>
        <w:t xml:space="preserve"> or subcategory.</w:t>
      </w:r>
    </w:p>
    <w:p w:rsidR="003445A8" w:rsidP="00757F75" w:rsidRDefault="003445A8" w14:paraId="4B4601BC" w14:textId="77777777">
      <w:pPr>
        <w:pStyle w:val="Heading2"/>
      </w:pPr>
      <w:bookmarkStart w:name="_Toc212538570" w:id="68"/>
      <w:r>
        <w:t>“Rolling Over” Unspent Funds</w:t>
      </w:r>
      <w:bookmarkEnd w:id="68"/>
    </w:p>
    <w:p w:rsidRPr="00FF7FDE" w:rsidR="003445A8" w:rsidP="00F67BCA" w:rsidRDefault="003445A8" w14:paraId="57BD5636" w14:textId="77777777">
      <w:r w:rsidRPr="003B3D8E">
        <w:t>S</w:t>
      </w:r>
      <w:r w:rsidRPr="00FF7FDE">
        <w:t xml:space="preserve">DG&amp;E requested authority to allow “roll over” unspent funds from 2025; that is, to add any underspend relative to its 2025 cap to its 2026 cap. </w:t>
      </w:r>
      <w:proofErr w:type="spellStart"/>
      <w:r w:rsidRPr="00FF7FDE">
        <w:t>SBUA</w:t>
      </w:r>
      <w:proofErr w:type="spellEnd"/>
      <w:r w:rsidRPr="00FF7FDE">
        <w:t xml:space="preserve"> disagrees and argues that the Commission should not allow SDG&amp;E to carry over any unused funds from the 2025 cap to the 2026 cap, as SB 410 clearly states the caps should be set annually.</w:t>
      </w:r>
      <w:r w:rsidRPr="00FF7FDE">
        <w:rPr>
          <w:rStyle w:val="FootnoteReference"/>
        </w:rPr>
        <w:footnoteReference w:id="175"/>
      </w:r>
    </w:p>
    <w:p w:rsidR="00B61561" w:rsidP="00F67BCA" w:rsidRDefault="003445A8" w14:paraId="73356C68" w14:textId="5E155F3D">
      <w:r w:rsidRPr="00FF7FDE">
        <w:t>This decision allows SDG&amp;E to add any unspent funds from 2025 to the 2026 cap</w:t>
      </w:r>
      <w:r w:rsidR="007E5D09">
        <w:t xml:space="preserve">; however, unspent funds from 2025 may only be added to the 2026 cap for the </w:t>
      </w:r>
      <w:r w:rsidR="00895AE6">
        <w:t xml:space="preserve">same category of costs. </w:t>
      </w:r>
      <w:r w:rsidR="00785F8F">
        <w:t>For example</w:t>
      </w:r>
      <w:r w:rsidR="00895AE6">
        <w:t xml:space="preserve">, if </w:t>
      </w:r>
      <w:r w:rsidR="00FE616C">
        <w:t xml:space="preserve">in 2025, </w:t>
      </w:r>
      <w:r w:rsidR="00895AE6">
        <w:t xml:space="preserve">SDG&amp;E </w:t>
      </w:r>
      <w:r w:rsidR="00FE616C">
        <w:t xml:space="preserve">records $1 million less to the </w:t>
      </w:r>
      <w:r w:rsidR="00CC05EE">
        <w:t xml:space="preserve">Materials </w:t>
      </w:r>
      <w:r w:rsidR="00FE616C">
        <w:t xml:space="preserve">than </w:t>
      </w:r>
      <w:r w:rsidR="00CC05EE">
        <w:t>it is authorized, it may only add that “extra” $1 million to the 2026 cap for the Materials category</w:t>
      </w:r>
      <w:r w:rsidRPr="00FF7FDE">
        <w:t xml:space="preserve">. </w:t>
      </w:r>
    </w:p>
    <w:p w:rsidR="003445A8" w:rsidP="00F67BCA" w:rsidRDefault="00B61561" w14:paraId="14819BE3" w14:textId="52F3D46A">
      <w:r>
        <w:t xml:space="preserve">Permitting SDG&amp;E to roll over unspent funds is </w:t>
      </w:r>
      <w:r w:rsidRPr="00FF7FDE" w:rsidR="003445A8">
        <w:t>consistent with D.24-07-008 and allows greater flexibility to prudently deploy funds as the opportunities arise and removes the incentive to spend funds simply to meet the 2025 cutoff.</w:t>
      </w:r>
    </w:p>
    <w:p w:rsidR="007F1773" w:rsidP="00757F75" w:rsidRDefault="00A40851" w14:paraId="6ED9D381" w14:textId="11E4E067">
      <w:pPr>
        <w:pStyle w:val="Heading2"/>
      </w:pPr>
      <w:bookmarkStart w:name="_Toc212538571" w:id="69"/>
      <w:r>
        <w:lastRenderedPageBreak/>
        <w:t xml:space="preserve">Procedural </w:t>
      </w:r>
      <w:r w:rsidRPr="00757F75">
        <w:t>Mechanism</w:t>
      </w:r>
      <w:r>
        <w:t xml:space="preserve"> </w:t>
      </w:r>
      <w:r w:rsidR="00E42D7B">
        <w:t xml:space="preserve">for </w:t>
      </w:r>
      <w:r w:rsidR="0040495F">
        <w:t>San Diego Gas &amp; Electric Company</w:t>
      </w:r>
      <w:r w:rsidR="00E42D7B">
        <w:t xml:space="preserve"> to </w:t>
      </w:r>
      <w:r>
        <w:t>Request</w:t>
      </w:r>
      <w:r w:rsidR="009D5ACC">
        <w:br/>
      </w:r>
      <w:r w:rsidR="00720F34">
        <w:t xml:space="preserve">to </w:t>
      </w:r>
      <w:r w:rsidR="00E42D7B">
        <w:t>Increas</w:t>
      </w:r>
      <w:r w:rsidR="00720F34">
        <w:t>e</w:t>
      </w:r>
      <w:r w:rsidR="00E42D7B">
        <w:t xml:space="preserve"> the Cap</w:t>
      </w:r>
      <w:bookmarkEnd w:id="69"/>
    </w:p>
    <w:p w:rsidR="00535A6C" w:rsidP="00EC6ACE" w:rsidRDefault="00A6748A" w14:paraId="22C1A351" w14:textId="53DFC63F">
      <w:pPr>
        <w:pStyle w:val="Standard"/>
      </w:pPr>
      <w:r>
        <w:t>D.</w:t>
      </w:r>
      <w:r w:rsidRPr="00A64F1B" w:rsidR="00A64F1B">
        <w:t>24</w:t>
      </w:r>
      <w:r w:rsidR="00503215">
        <w:noBreakHyphen/>
      </w:r>
      <w:r w:rsidRPr="00A64F1B" w:rsidR="00A64F1B">
        <w:t>07</w:t>
      </w:r>
      <w:r w:rsidR="00503215">
        <w:noBreakHyphen/>
      </w:r>
      <w:r w:rsidRPr="00A64F1B" w:rsidR="00A64F1B">
        <w:t>008</w:t>
      </w:r>
      <w:r w:rsidR="00A64F1B">
        <w:t xml:space="preserve">, which established an </w:t>
      </w:r>
      <w:r w:rsidR="0040495F">
        <w:t>SB </w:t>
      </w:r>
      <w:r w:rsidR="00A64F1B">
        <w:t xml:space="preserve">410 ratemaking mechanism in response to </w:t>
      </w:r>
      <w:r w:rsidR="00AD5D58">
        <w:t xml:space="preserve">a motion from </w:t>
      </w:r>
      <w:r w:rsidR="00E44335">
        <w:t>PG&amp;E</w:t>
      </w:r>
      <w:r w:rsidR="00AD5D58">
        <w:t xml:space="preserve">, </w:t>
      </w:r>
      <w:r w:rsidR="00042A95">
        <w:t xml:space="preserve">recognized that </w:t>
      </w:r>
      <w:r w:rsidR="00836A9E">
        <w:t>“</w:t>
      </w:r>
      <w:r w:rsidR="00042A95">
        <w:t>[b</w:t>
      </w:r>
      <w:r w:rsidRPr="00042A95" w:rsidR="00042A95">
        <w:t>oth</w:t>
      </w:r>
      <w:r w:rsidR="00042A95">
        <w:t>]</w:t>
      </w:r>
      <w:r w:rsidRPr="00042A95" w:rsidR="00042A95">
        <w:t xml:space="preserve"> the demand for and the rate at which PG&amp;E is delivering energization of load is rapidly evolving</w:t>
      </w:r>
      <w:r w:rsidR="00836A9E">
        <w:t>”</w:t>
      </w:r>
      <w:r w:rsidR="00042A95">
        <w:t xml:space="preserve"> and </w:t>
      </w:r>
      <w:r w:rsidR="00FA4377">
        <w:t xml:space="preserve">therefore authorized PG&amp;E to </w:t>
      </w:r>
      <w:r w:rsidR="00252E58">
        <w:t xml:space="preserve">file a motion </w:t>
      </w:r>
      <w:r w:rsidR="007F7F9F">
        <w:t>for the Commission to revisit (</w:t>
      </w:r>
      <w:r w:rsidRPr="00897A6E" w:rsidR="00897A6E">
        <w:rPr>
          <w:i/>
          <w:iCs/>
        </w:rPr>
        <w:t>i.e.</w:t>
      </w:r>
      <w:r w:rsidR="007F7F9F">
        <w:t>, increase) its cost cap</w:t>
      </w:r>
      <w:r w:rsidR="00AC10E3">
        <w:t xml:space="preserve"> with additional evidence that supports accelerating energization</w:t>
      </w:r>
      <w:r w:rsidR="007F7F9F">
        <w:t xml:space="preserve">. </w:t>
      </w:r>
    </w:p>
    <w:p w:rsidR="0030038F" w:rsidP="00802AC0" w:rsidRDefault="12C06A61" w14:paraId="52FFF3B4" w14:textId="3D9D7675">
      <w:pPr>
        <w:pStyle w:val="Standard"/>
      </w:pPr>
      <w:r>
        <w:t xml:space="preserve">Should </w:t>
      </w:r>
      <w:r w:rsidR="4A2265B2">
        <w:t xml:space="preserve">SDG&amp;E </w:t>
      </w:r>
      <w:r w:rsidR="6CCD2996">
        <w:t xml:space="preserve">wish to ask the Commission to revisit this decision, the appropriate procedural mechanism would be to file </w:t>
      </w:r>
      <w:r w:rsidR="7AAF2A03">
        <w:t xml:space="preserve">a </w:t>
      </w:r>
      <w:r w:rsidR="6E4FF412">
        <w:t>p</w:t>
      </w:r>
      <w:r w:rsidR="7AAF2A03">
        <w:t xml:space="preserve">etition for </w:t>
      </w:r>
      <w:r w:rsidR="6E4FF412">
        <w:t>m</w:t>
      </w:r>
      <w:r w:rsidR="7AAF2A03">
        <w:t>odification</w:t>
      </w:r>
      <w:r w:rsidR="5DF741BA">
        <w:t xml:space="preserve"> (PFM)</w:t>
      </w:r>
      <w:r w:rsidR="7AAF2A03">
        <w:t xml:space="preserve">. </w:t>
      </w:r>
      <w:r w:rsidR="2E4A826C">
        <w:t xml:space="preserve">Recognizing that this PD authorizes a cap significantly lower than SDG&amp;E’s request, the Commission provides guidance </w:t>
      </w:r>
      <w:r w:rsidR="3234C651">
        <w:t xml:space="preserve">on </w:t>
      </w:r>
      <w:r w:rsidR="0B606AF5">
        <w:t xml:space="preserve">the type of information and </w:t>
      </w:r>
      <w:r w:rsidR="248609D4">
        <w:t xml:space="preserve">level of </w:t>
      </w:r>
      <w:r w:rsidR="0B606AF5">
        <w:t xml:space="preserve">reasoning that would </w:t>
      </w:r>
      <w:r w:rsidR="6BBD7876">
        <w:t>support</w:t>
      </w:r>
      <w:r w:rsidR="799A3A54">
        <w:t xml:space="preserve"> the Commission</w:t>
      </w:r>
      <w:r w:rsidR="28D0D933">
        <w:t>’s review of a PFM requesting a</w:t>
      </w:r>
      <w:r w:rsidR="799A3A54">
        <w:t xml:space="preserve"> </w:t>
      </w:r>
      <w:r w:rsidR="7BC9C591">
        <w:t xml:space="preserve">modification of the </w:t>
      </w:r>
      <w:r w:rsidR="799A3A54">
        <w:t>cap:</w:t>
      </w:r>
      <w:r w:rsidR="006149E1">
        <w:rPr>
          <w:rStyle w:val="FootnoteReference"/>
        </w:rPr>
        <w:footnoteReference w:id="176"/>
      </w:r>
    </w:p>
    <w:p w:rsidR="00E95FD5" w:rsidP="00E95FD5" w:rsidRDefault="00E95FD5" w14:paraId="1643D0D7" w14:textId="0C6A52BA">
      <w:pPr>
        <w:pStyle w:val="BlockQuoteH025"/>
        <w:numPr>
          <w:ilvl w:val="0"/>
          <w:numId w:val="4"/>
        </w:numPr>
        <w:ind w:left="1080"/>
        <w:rPr>
          <w:b/>
          <w:bCs/>
        </w:rPr>
      </w:pPr>
      <w:r>
        <w:rPr>
          <w:b/>
          <w:bCs/>
        </w:rPr>
        <w:t xml:space="preserve">Any PFM should </w:t>
      </w:r>
      <w:r w:rsidR="00E80B03">
        <w:rPr>
          <w:b/>
          <w:bCs/>
        </w:rPr>
        <w:t>explain the methodology used to develop its cost forecasts, provide copies of the cost forecasts</w:t>
      </w:r>
      <w:r w:rsidR="00145D41">
        <w:rPr>
          <w:b/>
          <w:bCs/>
        </w:rPr>
        <w:t xml:space="preserve">, </w:t>
      </w:r>
      <w:r w:rsidR="007D5937">
        <w:rPr>
          <w:b/>
          <w:bCs/>
        </w:rPr>
        <w:t xml:space="preserve">and </w:t>
      </w:r>
      <w:r w:rsidR="00145D41">
        <w:rPr>
          <w:b/>
          <w:bCs/>
        </w:rPr>
        <w:t xml:space="preserve">identify </w:t>
      </w:r>
      <w:r w:rsidR="00A82EEE">
        <w:rPr>
          <w:b/>
          <w:bCs/>
        </w:rPr>
        <w:t>which</w:t>
      </w:r>
      <w:r w:rsidR="00145D41">
        <w:rPr>
          <w:b/>
          <w:bCs/>
        </w:rPr>
        <w:t xml:space="preserve"> key assumptions drove those outcomes</w:t>
      </w:r>
      <w:r w:rsidR="00334E5D">
        <w:rPr>
          <w:b/>
          <w:bCs/>
        </w:rPr>
        <w:t>.</w:t>
      </w:r>
      <w:r w:rsidR="00720365">
        <w:rPr>
          <w:b/>
          <w:bCs/>
        </w:rPr>
        <w:t xml:space="preserve"> This information should be provided down to the subcategory/workpaper level.</w:t>
      </w:r>
      <w:r w:rsidR="004A1030">
        <w:rPr>
          <w:b/>
          <w:bCs/>
        </w:rPr>
        <w:t xml:space="preserve"> </w:t>
      </w:r>
      <w:r w:rsidR="004A1030">
        <w:t>Challenges in the instant application include</w:t>
      </w:r>
      <w:r>
        <w:t>:</w:t>
      </w:r>
    </w:p>
    <w:p w:rsidR="00E95FD5" w:rsidP="00E95FD5" w:rsidRDefault="00E95FD5" w14:paraId="42AF95CE" w14:textId="285AA7A5">
      <w:pPr>
        <w:pStyle w:val="BlockQuoteH025subH025"/>
        <w:numPr>
          <w:ilvl w:val="1"/>
          <w:numId w:val="4"/>
        </w:numPr>
        <w:ind w:left="1440"/>
        <w:rPr>
          <w:szCs w:val="26"/>
        </w:rPr>
      </w:pPr>
      <w:r w:rsidRPr="00AD562A">
        <w:t>SDG&amp;E seeks to record $57</w:t>
      </w:r>
      <w:r>
        <w:t> </w:t>
      </w:r>
      <w:r w:rsidRPr="00AD562A">
        <w:t>million to acquire land for substations. SDG&amp;E asserts that it used the outputs from its 2024 Distribution Planning Process (DPP) to identify its land needs for future substations but does not indicate which outputs from the DPP led SDG&amp;E to conclude that it that additional needs substations are needed.</w:t>
      </w:r>
    </w:p>
    <w:p w:rsidR="00E95FD5" w:rsidP="00E95FD5" w:rsidRDefault="00E95FD5" w14:paraId="6512E789" w14:textId="2B88763B">
      <w:pPr>
        <w:pStyle w:val="BlockQuoteH025subH025"/>
        <w:numPr>
          <w:ilvl w:val="1"/>
          <w:numId w:val="4"/>
        </w:numPr>
        <w:ind w:left="1440"/>
      </w:pPr>
      <w:r>
        <w:t>SDG&amp;E developed its New Business cost forecasts at the “category” level, which is a much lower level of granularity than the rest of its application, which presented forecasts at the “subcategory” level, which corresponds to the workpaper level in SDG&amp;E’s GRC. This is inconsistent with the level of detail that Pacific Gas and Electric (PG&amp;E) provided — and the Commission relied upon — to support Decision (D.) 24-07-008.</w:t>
      </w:r>
    </w:p>
    <w:p w:rsidRPr="00C410EB" w:rsidR="00516747" w:rsidRDefault="0FEB83C9" w14:paraId="09ED17D7" w14:textId="185C1F96">
      <w:pPr>
        <w:pStyle w:val="BlockQuoteH025subH025"/>
        <w:numPr>
          <w:ilvl w:val="1"/>
          <w:numId w:val="4"/>
        </w:numPr>
        <w:ind w:left="1440"/>
        <w:rPr>
          <w:szCs w:val="26"/>
        </w:rPr>
      </w:pPr>
      <w:r w:rsidRPr="00C410EB">
        <w:t>SDG&amp;E requests to increase its overall cap by approximately $72</w:t>
      </w:r>
      <w:r>
        <w:t> </w:t>
      </w:r>
      <w:r w:rsidRPr="00C410EB">
        <w:t xml:space="preserve">million so that SDG&amp;E has enough </w:t>
      </w:r>
      <w:r>
        <w:t>“</w:t>
      </w:r>
      <w:r w:rsidRPr="00C410EB">
        <w:t>headroom</w:t>
      </w:r>
      <w:r>
        <w:t>”</w:t>
      </w:r>
      <w:r w:rsidRPr="00C410EB">
        <w:t xml:space="preserve"> in case energization needs are higher than expected due to </w:t>
      </w:r>
      <w:r>
        <w:t>“</w:t>
      </w:r>
      <w:r w:rsidRPr="00C410EB">
        <w:t>significant forecast uncertainty.</w:t>
      </w:r>
      <w:r>
        <w:t>”</w:t>
      </w:r>
      <w:r w:rsidR="00516747">
        <w:rPr>
          <w:rStyle w:val="FootnoteReference"/>
        </w:rPr>
        <w:footnoteReference w:id="177"/>
      </w:r>
      <w:r>
        <w:t xml:space="preserve"> </w:t>
      </w:r>
      <w:r w:rsidRPr="00C410EB">
        <w:t>SDG&amp;E</w:t>
      </w:r>
      <w:r>
        <w:t>’</w:t>
      </w:r>
      <w:r w:rsidRPr="00C410EB">
        <w:t xml:space="preserve">s direct testimony includes only two sentences justifying this large increase and did not explain </w:t>
      </w:r>
      <w:r w:rsidR="313769CB">
        <w:t>the methodology used to determine</w:t>
      </w:r>
      <w:r w:rsidRPr="00C410EB" w:rsidR="7D4A2118">
        <w:t xml:space="preserve"> the</w:t>
      </w:r>
      <w:r w:rsidRPr="00C410EB">
        <w:t xml:space="preserve"> $72</w:t>
      </w:r>
      <w:r>
        <w:t> </w:t>
      </w:r>
      <w:r w:rsidRPr="00C410EB">
        <w:t>million. In response to an ALJ ruling ordering SDG&amp;E to explain how it arrived at the $72</w:t>
      </w:r>
      <w:r>
        <w:t> </w:t>
      </w:r>
      <w:r w:rsidRPr="00C410EB">
        <w:t>million request, SDG&amp;E produced no additional information and reiterated the contents of its direct testimony.</w:t>
      </w:r>
    </w:p>
    <w:p w:rsidRPr="00C410EB" w:rsidR="00516747" w:rsidRDefault="0FEB83C9" w14:paraId="22D786D5" w14:textId="521F40E8">
      <w:pPr>
        <w:pStyle w:val="BlockQuoteH025"/>
        <w:numPr>
          <w:ilvl w:val="0"/>
          <w:numId w:val="4"/>
        </w:numPr>
        <w:ind w:left="1080"/>
        <w:rPr>
          <w:szCs w:val="26"/>
        </w:rPr>
      </w:pPr>
      <w:r w:rsidRPr="00CE2AD4">
        <w:rPr>
          <w:b/>
          <w:bCs/>
        </w:rPr>
        <w:t xml:space="preserve">SDG&amp;E </w:t>
      </w:r>
      <w:r w:rsidR="2FB03424">
        <w:rPr>
          <w:b/>
          <w:bCs/>
        </w:rPr>
        <w:t xml:space="preserve">should </w:t>
      </w:r>
      <w:r w:rsidRPr="33F93345" w:rsidR="0FB70C58">
        <w:rPr>
          <w:b/>
          <w:bCs/>
        </w:rPr>
        <w:t xml:space="preserve">provide </w:t>
      </w:r>
      <w:r w:rsidRPr="33F93345" w:rsidR="5090B572">
        <w:rPr>
          <w:b/>
          <w:bCs/>
        </w:rPr>
        <w:t xml:space="preserve">supporting analyses (e.g., Excel worksheets </w:t>
      </w:r>
      <w:r w:rsidRPr="33F93345" w:rsidR="424B455C">
        <w:rPr>
          <w:b/>
          <w:bCs/>
        </w:rPr>
        <w:t xml:space="preserve">with formulas </w:t>
      </w:r>
      <w:r w:rsidRPr="33F93345" w:rsidR="5090B572">
        <w:rPr>
          <w:b/>
          <w:bCs/>
        </w:rPr>
        <w:t xml:space="preserve">and any other relevant workpapers) with their </w:t>
      </w:r>
      <w:r w:rsidRPr="33F93345" w:rsidR="7678B857">
        <w:rPr>
          <w:b/>
          <w:bCs/>
        </w:rPr>
        <w:t>initial filing and provide</w:t>
      </w:r>
      <w:r w:rsidRPr="33F93345" w:rsidR="5090B572">
        <w:rPr>
          <w:b/>
          <w:bCs/>
        </w:rPr>
        <w:t xml:space="preserve"> </w:t>
      </w:r>
      <w:r w:rsidRPr="00CE2AD4">
        <w:rPr>
          <w:b/>
          <w:bCs/>
        </w:rPr>
        <w:t xml:space="preserve">complete responses to rulings and data requests. </w:t>
      </w:r>
      <w:r w:rsidR="2FB03424">
        <w:t>T</w:t>
      </w:r>
      <w:r w:rsidRPr="00C410EB">
        <w:t xml:space="preserve">he ALJ Ruling issued June 19, 2025 directed SDG&amp;E to, among other things, </w:t>
      </w:r>
      <w:r>
        <w:t>“</w:t>
      </w:r>
      <w:r w:rsidRPr="00C410EB">
        <w:t>[describe] how SDG&amp;E arrived at its recommendation</w:t>
      </w:r>
      <w:r>
        <w:t>”</w:t>
      </w:r>
      <w:r w:rsidRPr="00C410EB">
        <w:t xml:space="preserve"> to request to add approximately $72</w:t>
      </w:r>
      <w:r>
        <w:t> </w:t>
      </w:r>
      <w:r w:rsidRPr="00C410EB">
        <w:t xml:space="preserve">million in </w:t>
      </w:r>
      <w:r>
        <w:t>“</w:t>
      </w:r>
      <w:r w:rsidRPr="00C410EB">
        <w:t>headroom</w:t>
      </w:r>
      <w:r>
        <w:t>”</w:t>
      </w:r>
      <w:r w:rsidRPr="00C410EB">
        <w:t xml:space="preserve"> (</w:t>
      </w:r>
      <w:r w:rsidRPr="00971DC0">
        <w:t>i.e.</w:t>
      </w:r>
      <w:r w:rsidRPr="00BC50BD">
        <w:t>,</w:t>
      </w:r>
      <w:r w:rsidRPr="00C410EB">
        <w:t xml:space="preserve"> contingency) to its cap. SDG&amp;E</w:t>
      </w:r>
      <w:r>
        <w:t>’</w:t>
      </w:r>
      <w:r w:rsidRPr="00C410EB">
        <w:t>s response</w:t>
      </w:r>
      <w:r>
        <w:t> </w:t>
      </w:r>
      <w:r w:rsidRPr="00971DC0" w:rsidR="6C07B4B5">
        <w:t>largely</w:t>
      </w:r>
      <w:r w:rsidRPr="00C410EB">
        <w:t xml:space="preserve"> </w:t>
      </w:r>
      <w:r w:rsidRPr="00C410EB" w:rsidR="019ECF09">
        <w:t xml:space="preserve">reiterated </w:t>
      </w:r>
      <w:r w:rsidRPr="00C410EB">
        <w:t>its direct testimony</w:t>
      </w:r>
      <w:r>
        <w:t> </w:t>
      </w:r>
      <w:r w:rsidRPr="00C410EB">
        <w:t xml:space="preserve">. Relatedly, SDG&amp;E </w:t>
      </w:r>
      <w:r w:rsidRPr="00971DC0" w:rsidR="7500DEE4">
        <w:t xml:space="preserve">did not include </w:t>
      </w:r>
      <w:r w:rsidR="5727AF45">
        <w:t>Excel worksheets with its initial application</w:t>
      </w:r>
      <w:r w:rsidRPr="00C410EB">
        <w:t>.</w:t>
      </w:r>
      <w:r w:rsidR="00516747">
        <w:rPr>
          <w:rStyle w:val="FootnoteReference"/>
        </w:rPr>
        <w:footnoteReference w:id="178"/>
      </w:r>
      <w:r>
        <w:t xml:space="preserve"> </w:t>
      </w:r>
      <w:r w:rsidR="64D1FDE9">
        <w:t xml:space="preserve">The spreadsheets </w:t>
      </w:r>
      <w:r w:rsidR="114ACFF0">
        <w:t>provide</w:t>
      </w:r>
      <w:r w:rsidR="04D97B9B">
        <w:t>d by SDG&amp;E</w:t>
      </w:r>
      <w:r w:rsidR="00D7055F">
        <w:t xml:space="preserve"> </w:t>
      </w:r>
      <w:r w:rsidR="64D1FDE9">
        <w:t xml:space="preserve">included hardcoded values </w:t>
      </w:r>
      <w:r w:rsidR="4A879A43">
        <w:t xml:space="preserve">that could have been supported with </w:t>
      </w:r>
      <w:r w:rsidRPr="00971DC0" w:rsidR="45E4DDE4">
        <w:t>formulas</w:t>
      </w:r>
      <w:r w:rsidR="4A879A43">
        <w:t xml:space="preserve"> and/or more robust </w:t>
      </w:r>
      <w:r w:rsidR="67C6A65A">
        <w:t>description</w:t>
      </w:r>
      <w:r w:rsidR="6ED87271">
        <w:t>s</w:t>
      </w:r>
      <w:r w:rsidR="00920F87">
        <w:t>; it was insufficient to state that the numbers were developed by experts</w:t>
      </w:r>
      <w:r w:rsidR="64D1FDE9">
        <w:t xml:space="preserve">. </w:t>
      </w:r>
    </w:p>
    <w:p w:rsidR="00516747" w:rsidP="004A7A96" w:rsidRDefault="00140D6D" w14:paraId="37348B82" w14:textId="77A503F7">
      <w:pPr>
        <w:pStyle w:val="Standard"/>
      </w:pPr>
      <w:r>
        <w:t xml:space="preserve">These </w:t>
      </w:r>
      <w:r w:rsidR="00210D11">
        <w:t>examples and instructions are not exhaustive and do not guarantee that the Commission will approve any or all of a</w:t>
      </w:r>
      <w:r w:rsidR="00CA583F">
        <w:t xml:space="preserve">ny future </w:t>
      </w:r>
      <w:r w:rsidR="00EB2911">
        <w:t>SB 410 reques</w:t>
      </w:r>
      <w:r w:rsidR="00655B65">
        <w:t xml:space="preserve">ts, and the </w:t>
      </w:r>
      <w:r w:rsidR="00835FE1">
        <w:t>Rule</w:t>
      </w:r>
      <w:r w:rsidR="001C0C24">
        <w:t> </w:t>
      </w:r>
      <w:r w:rsidR="00835FE1">
        <w:t>1</w:t>
      </w:r>
      <w:r w:rsidR="00FA3463">
        <w:t xml:space="preserve">6.4(b) remains the governing </w:t>
      </w:r>
      <w:r w:rsidR="006719A3">
        <w:t>authority</w:t>
      </w:r>
      <w:r w:rsidR="00655B65">
        <w:t xml:space="preserve"> for PFMs.</w:t>
      </w:r>
    </w:p>
    <w:p w:rsidR="007F1773" w:rsidP="00BB4B1B" w:rsidRDefault="00804A4A" w14:paraId="085F73C1" w14:textId="77777777">
      <w:pPr>
        <w:pStyle w:val="Heading1"/>
      </w:pPr>
      <w:bookmarkStart w:name="_Toc212538572" w:id="70"/>
      <w:r>
        <w:t>Reasonableness Demonstrations</w:t>
      </w:r>
      <w:r w:rsidR="00795457">
        <w:br/>
      </w:r>
      <w:r>
        <w:t>in Future General Rate Cases</w:t>
      </w:r>
      <w:bookmarkEnd w:id="70"/>
    </w:p>
    <w:p w:rsidR="002573A5" w:rsidP="00A27762" w:rsidRDefault="00147172" w14:paraId="1C3C5795" w14:textId="3593F65F">
      <w:pPr>
        <w:pStyle w:val="Standard"/>
      </w:pPr>
      <w:r>
        <w:t>Pub. Util.</w:t>
      </w:r>
      <w:r w:rsidRPr="002573A5" w:rsidR="002573A5">
        <w:t xml:space="preserve"> Code </w:t>
      </w:r>
      <w:r w:rsidR="004655D9">
        <w:t>Section </w:t>
      </w:r>
      <w:r w:rsidRPr="002573A5" w:rsidR="002573A5">
        <w:t xml:space="preserve">937(b)(3) requires </w:t>
      </w:r>
      <w:r w:rsidR="002573A5">
        <w:t xml:space="preserve">SDG&amp;E </w:t>
      </w:r>
      <w:r w:rsidRPr="002573A5" w:rsidR="002573A5">
        <w:t xml:space="preserve">to demonstrate in its next GRC that </w:t>
      </w:r>
      <w:r w:rsidR="00C5512E">
        <w:t>any costs recorded to the EEMA were just and reasonable</w:t>
      </w:r>
      <w:r w:rsidR="003D35D4">
        <w:t xml:space="preserve"> and </w:t>
      </w:r>
      <w:r w:rsidR="6EE9BDC2">
        <w:t xml:space="preserve">provides </w:t>
      </w:r>
      <w:r w:rsidR="003D35D4">
        <w:t>that SDG&amp;E must refund any costs the Commission does not find just and reasonable.</w:t>
      </w:r>
      <w:r w:rsidRPr="002573A5" w:rsidR="002573A5">
        <w:t xml:space="preserve"> </w:t>
      </w:r>
      <w:r>
        <w:t>Pub. Util.</w:t>
      </w:r>
      <w:r w:rsidRPr="002573A5" w:rsidR="002573A5">
        <w:t xml:space="preserve"> Code </w:t>
      </w:r>
      <w:r w:rsidR="004655D9">
        <w:t>Section </w:t>
      </w:r>
      <w:r w:rsidRPr="002573A5" w:rsidR="002573A5">
        <w:t xml:space="preserve">937(b)(4) </w:t>
      </w:r>
      <w:r w:rsidR="00836A9E">
        <w:t>“</w:t>
      </w:r>
      <w:r w:rsidRPr="002573A5" w:rsidR="002573A5">
        <w:t>[r]</w:t>
      </w:r>
      <w:proofErr w:type="spellStart"/>
      <w:r w:rsidRPr="002573A5" w:rsidR="002573A5">
        <w:t>equires</w:t>
      </w:r>
      <w:proofErr w:type="spellEnd"/>
      <w:r w:rsidRPr="002573A5" w:rsidR="002573A5">
        <w:t xml:space="preserve"> only costs associated with energization to be included in the mechanism and requires costs to be tracked using the same cost categories as used by the electrical corporation in its [GRC].</w:t>
      </w:r>
      <w:r w:rsidR="00836A9E">
        <w:t>”</w:t>
      </w:r>
    </w:p>
    <w:p w:rsidR="00535A6C" w:rsidP="00A27762" w:rsidRDefault="00147172" w14:paraId="33AC74E2" w14:textId="078CC9FD">
      <w:pPr>
        <w:pStyle w:val="Standard"/>
      </w:pPr>
      <w:r>
        <w:t>Pub. Util.</w:t>
      </w:r>
      <w:r w:rsidRPr="00F3331B" w:rsidR="00A27762">
        <w:t xml:space="preserve"> Code </w:t>
      </w:r>
      <w:r w:rsidR="004655D9">
        <w:t>Section </w:t>
      </w:r>
      <w:r w:rsidRPr="00F3331B" w:rsidR="00A27762">
        <w:t xml:space="preserve">463(b) requires each utility </w:t>
      </w:r>
      <w:r w:rsidR="00836A9E">
        <w:t>“</w:t>
      </w:r>
      <w:r w:rsidRPr="00F3331B" w:rsidR="00A27762">
        <w:t xml:space="preserve">to prepare or maintain records sufficient to enable the </w:t>
      </w:r>
      <w:r w:rsidR="0655BB17">
        <w:t>[C]</w:t>
      </w:r>
      <w:proofErr w:type="spellStart"/>
      <w:r w:rsidR="00A27762">
        <w:t>ommission</w:t>
      </w:r>
      <w:proofErr w:type="spellEnd"/>
      <w:r w:rsidRPr="00F3331B" w:rsidR="00A27762">
        <w:t xml:space="preserve"> to completely evaluate any relevant or potentially relevant issue related to the reasonableness and prudence of any expense relating to the planning, construction, or operation of the corporation</w:t>
      </w:r>
      <w:r w:rsidR="00836A9E">
        <w:t>’</w:t>
      </w:r>
      <w:r w:rsidRPr="00F3331B" w:rsidR="00A27762">
        <w:t>s plant.</w:t>
      </w:r>
      <w:r w:rsidR="00836A9E">
        <w:t>”</w:t>
      </w:r>
      <w:r w:rsidR="00734A2B">
        <w:t xml:space="preserve"> </w:t>
      </w:r>
      <w:r w:rsidR="00CA63AC">
        <w:t>For any costs recorded to the EEMA</w:t>
      </w:r>
      <w:r w:rsidR="00902A32">
        <w:t xml:space="preserve"> then transferred to the AET</w:t>
      </w:r>
      <w:r w:rsidR="00CA63AC">
        <w:t>, SDG&amp;E</w:t>
      </w:r>
      <w:r w:rsidR="00836A9E">
        <w:t>’</w:t>
      </w:r>
      <w:r w:rsidR="00CA3353">
        <w:t>s future reasonableness demonstrations</w:t>
      </w:r>
      <w:r w:rsidR="00CA63AC">
        <w:t xml:space="preserve"> shall at minimum</w:t>
      </w:r>
      <w:r w:rsidR="001936E8">
        <w:t>:</w:t>
      </w:r>
    </w:p>
    <w:p w:rsidR="001936E8" w:rsidP="00757F75" w:rsidRDefault="001936E8" w14:paraId="43D551AB" w14:textId="4F527B49">
      <w:pPr>
        <w:pStyle w:val="BlockQuoteBullet1"/>
        <w:numPr>
          <w:ilvl w:val="0"/>
          <w:numId w:val="5"/>
        </w:numPr>
        <w:ind w:left="1080"/>
      </w:pPr>
      <w:r>
        <w:t xml:space="preserve">Identify the </w:t>
      </w:r>
      <w:r w:rsidR="00AB3BF3">
        <w:t xml:space="preserve">GRC </w:t>
      </w:r>
      <w:r>
        <w:t xml:space="preserve">category and subcategory </w:t>
      </w:r>
      <w:r w:rsidR="00A57D3B">
        <w:t xml:space="preserve">(i.e., workpaper) </w:t>
      </w:r>
      <w:r>
        <w:t xml:space="preserve">for </w:t>
      </w:r>
      <w:r w:rsidR="005E39FD">
        <w:t>those costs.</w:t>
      </w:r>
    </w:p>
    <w:p w:rsidR="00CA3353" w:rsidP="009D2843" w:rsidRDefault="00CA3353" w14:paraId="425356C1" w14:textId="456B2BA5">
      <w:pPr>
        <w:pStyle w:val="BlockQuoteBullet1"/>
        <w:numPr>
          <w:ilvl w:val="0"/>
          <w:numId w:val="5"/>
        </w:numPr>
        <w:ind w:left="1080"/>
      </w:pPr>
      <w:r>
        <w:t>For the project associated with the recorded spending:</w:t>
      </w:r>
    </w:p>
    <w:p w:rsidR="00FF7AE9" w:rsidP="00757F75" w:rsidRDefault="00FF7AE9" w14:paraId="3969C25E" w14:textId="52D3599E">
      <w:pPr>
        <w:pStyle w:val="BlockQuoteBullet2"/>
        <w:numPr>
          <w:ilvl w:val="0"/>
          <w:numId w:val="5"/>
        </w:numPr>
        <w:ind w:left="1080"/>
      </w:pPr>
      <w:r>
        <w:t>Report the current status of the project (</w:t>
      </w:r>
      <w:r w:rsidRPr="00897A6E" w:rsidR="00897A6E">
        <w:rPr>
          <w:i/>
          <w:iCs/>
        </w:rPr>
        <w:t>e.g.</w:t>
      </w:r>
      <w:r>
        <w:t xml:space="preserve">, completed, in progress, </w:t>
      </w:r>
      <w:r w:rsidR="003C5860">
        <w:t>cancelled).</w:t>
      </w:r>
    </w:p>
    <w:p w:rsidR="001936E8" w:rsidP="00757F75" w:rsidRDefault="00DD50D4" w14:paraId="3C7EB1FE" w14:textId="7C8A3325">
      <w:pPr>
        <w:pStyle w:val="BlockQuoteBullet2"/>
        <w:numPr>
          <w:ilvl w:val="0"/>
          <w:numId w:val="5"/>
        </w:numPr>
        <w:ind w:left="1080"/>
      </w:pPr>
      <w:r>
        <w:t xml:space="preserve">Report the </w:t>
      </w:r>
      <w:r w:rsidR="007F4325">
        <w:t>date the project was placed in service.</w:t>
      </w:r>
    </w:p>
    <w:p w:rsidR="003C5860" w:rsidP="00757F75" w:rsidRDefault="000360F2" w14:paraId="0EA755F3" w14:textId="208B3814">
      <w:pPr>
        <w:pStyle w:val="BlockQuoteBullet2"/>
        <w:numPr>
          <w:ilvl w:val="0"/>
          <w:numId w:val="5"/>
        </w:numPr>
        <w:ind w:left="1080"/>
      </w:pPr>
      <w:r>
        <w:lastRenderedPageBreak/>
        <w:t xml:space="preserve">Report the average cost for comparable projects </w:t>
      </w:r>
      <w:r w:rsidR="00526F3A">
        <w:t xml:space="preserve">SDG&amp;E </w:t>
      </w:r>
      <w:r>
        <w:t xml:space="preserve">completed in the last </w:t>
      </w:r>
      <w:r w:rsidR="00526F3A">
        <w:t>four years.</w:t>
      </w:r>
    </w:p>
    <w:p w:rsidR="007F1773" w:rsidP="00BB4B1B" w:rsidRDefault="003F47A9" w14:paraId="00A00A6B" w14:textId="08F3DEF2">
      <w:pPr>
        <w:pStyle w:val="Heading1"/>
      </w:pPr>
      <w:bookmarkStart w:name="_Toc212538573" w:id="71"/>
      <w:r>
        <w:t>Auditor</w:t>
      </w:r>
      <w:r w:rsidR="00804A4A">
        <w:t xml:space="preserve"> </w:t>
      </w:r>
      <w:r w:rsidR="00AF4A38">
        <w:t xml:space="preserve">Selection and Performance </w:t>
      </w:r>
      <w:r w:rsidR="00804A4A">
        <w:t>Requirements</w:t>
      </w:r>
      <w:bookmarkEnd w:id="71"/>
    </w:p>
    <w:p w:rsidR="00AF4A38" w:rsidRDefault="00AF4A38" w14:paraId="342E522B" w14:textId="4D08B6D0">
      <w:pPr>
        <w:pStyle w:val="Standard"/>
      </w:pPr>
      <w:r>
        <w:t xml:space="preserve">On July 11, 2025, SDG&amp;E filed its response to the ALJ Ruling, which included a recommendation that the Commission authorize SDG&amp;E to select KPMG to perform the auditing duties required by Pub. Util. Code Section 938(b). On September </w:t>
      </w:r>
      <w:r w:rsidR="00193AAF">
        <w:t>2</w:t>
      </w:r>
      <w:r w:rsidR="00DC1590">
        <w:t>8</w:t>
      </w:r>
      <w:r>
        <w:t xml:space="preserve"> 2025, the assigned ALJ issued a ruling authorizing SDG&amp;E to retain KPMG, subject to certain conditions. This decision ratifies that selection.</w:t>
      </w:r>
    </w:p>
    <w:p w:rsidRPr="008B20EF" w:rsidR="007F2FB8" w:rsidRDefault="00667FF1" w14:paraId="6D6077F5" w14:textId="024535D1">
      <w:pPr>
        <w:pStyle w:val="Standard"/>
      </w:pPr>
      <w:r>
        <w:t xml:space="preserve">Pursuant to </w:t>
      </w:r>
      <w:r w:rsidR="00147172">
        <w:t>Pub. Util.</w:t>
      </w:r>
      <w:r w:rsidR="006C48EC">
        <w:t xml:space="preserve"> Code </w:t>
      </w:r>
      <w:r w:rsidR="004655D9">
        <w:t>Section </w:t>
      </w:r>
      <w:r w:rsidRPr="006C48EC" w:rsidR="006C48EC">
        <w:t xml:space="preserve">938(a)(5), </w:t>
      </w:r>
      <w:r w:rsidRPr="00667FF1">
        <w:t>SDG&amp;E shall</w:t>
      </w:r>
      <w:r>
        <w:t xml:space="preserve"> cause</w:t>
      </w:r>
      <w:r w:rsidRPr="00667FF1">
        <w:t xml:space="preserve"> the third</w:t>
      </w:r>
      <w:r w:rsidR="00503215">
        <w:noBreakHyphen/>
      </w:r>
      <w:r w:rsidRPr="00667FF1">
        <w:t xml:space="preserve">party auditor </w:t>
      </w:r>
      <w:r>
        <w:t xml:space="preserve">to </w:t>
      </w:r>
      <w:r w:rsidRPr="00667FF1">
        <w:t xml:space="preserve">provide </w:t>
      </w:r>
      <w:r w:rsidR="00054165">
        <w:t xml:space="preserve">a </w:t>
      </w:r>
      <w:r w:rsidRPr="00667FF1">
        <w:t xml:space="preserve">report to the Commission on </w:t>
      </w:r>
      <w:r w:rsidR="007F1773">
        <w:t>March </w:t>
      </w:r>
      <w:r w:rsidRPr="00667FF1">
        <w:t>1, 202</w:t>
      </w:r>
      <w:r w:rsidR="00054165">
        <w:t>6</w:t>
      </w:r>
      <w:r w:rsidR="007F1773">
        <w:t>,</w:t>
      </w:r>
      <w:r w:rsidRPr="00667FF1">
        <w:t xml:space="preserve"> and </w:t>
      </w:r>
      <w:r w:rsidR="00054165">
        <w:t xml:space="preserve">every six months </w:t>
      </w:r>
      <w:r w:rsidR="00136286">
        <w:t xml:space="preserve">thereafter </w:t>
      </w:r>
      <w:r w:rsidR="00EF3D72">
        <w:t xml:space="preserve">until </w:t>
      </w:r>
      <w:r w:rsidR="00E30BBB">
        <w:t>March</w:t>
      </w:r>
      <w:r w:rsidR="007F1773">
        <w:t> </w:t>
      </w:r>
      <w:r w:rsidR="0096398E">
        <w:t>1, 2028</w:t>
      </w:r>
      <w:r w:rsidR="003C3B33">
        <w:t xml:space="preserve"> that contains the specific information outlined in Pub. Util. Code Section 938(a)(3)</w:t>
      </w:r>
      <w:r w:rsidR="0096398E">
        <w:t xml:space="preserve">. </w:t>
      </w:r>
      <w:r w:rsidR="007F2FB8">
        <w:t xml:space="preserve">SDG&amp;E shall </w:t>
      </w:r>
      <w:r w:rsidR="00C556D1">
        <w:t xml:space="preserve">serve </w:t>
      </w:r>
      <w:r w:rsidR="1EA84242">
        <w:t>the</w:t>
      </w:r>
      <w:r w:rsidR="00C556D1">
        <w:t xml:space="preserve"> auditor</w:t>
      </w:r>
      <w:r w:rsidR="00836A9E">
        <w:t>’</w:t>
      </w:r>
      <w:r w:rsidR="00C556D1">
        <w:t xml:space="preserve">s reports to the service list for </w:t>
      </w:r>
      <w:r w:rsidR="00FA36DB">
        <w:t>Rulemaking </w:t>
      </w:r>
      <w:r w:rsidRPr="003376BD" w:rsidR="003376BD">
        <w:t>24</w:t>
      </w:r>
      <w:r w:rsidR="00503215">
        <w:noBreakHyphen/>
      </w:r>
      <w:r w:rsidRPr="003376BD" w:rsidR="003376BD">
        <w:t>01</w:t>
      </w:r>
      <w:r w:rsidR="00503215">
        <w:noBreakHyphen/>
      </w:r>
      <w:r w:rsidRPr="003376BD" w:rsidR="003376BD">
        <w:t>018</w:t>
      </w:r>
      <w:r w:rsidR="003376BD">
        <w:t xml:space="preserve">, the </w:t>
      </w:r>
      <w:r w:rsidRPr="0F1EB855" w:rsidR="003376BD">
        <w:rPr>
          <w:i/>
          <w:iCs/>
        </w:rPr>
        <w:t>Order Instituting Rulemaking to Establish Energization Timelines</w:t>
      </w:r>
      <w:r w:rsidRPr="003376BD" w:rsidR="003376BD">
        <w:t>.</w:t>
      </w:r>
      <w:r w:rsidR="003376BD">
        <w:t xml:space="preserve"> SDG&amp;E </w:t>
      </w:r>
      <w:r w:rsidR="00060E7E">
        <w:t xml:space="preserve">shall </w:t>
      </w:r>
      <w:r w:rsidR="007F2FB8">
        <w:t>include its auditor</w:t>
      </w:r>
      <w:r w:rsidR="00836A9E">
        <w:t>’</w:t>
      </w:r>
      <w:r w:rsidR="000D1E2C">
        <w:t xml:space="preserve">s </w:t>
      </w:r>
      <w:r w:rsidR="007F2FB8">
        <w:t>reports in its next GRC</w:t>
      </w:r>
      <w:r w:rsidR="0039339A">
        <w:t xml:space="preserve"> application</w:t>
      </w:r>
      <w:r w:rsidR="007F2FB8">
        <w:t>.</w:t>
      </w:r>
    </w:p>
    <w:p w:rsidR="00421CFC" w:rsidP="008B20EF" w:rsidRDefault="0096398E" w14:paraId="769A8743" w14:textId="164D03F1">
      <w:pPr>
        <w:pStyle w:val="Standard"/>
      </w:pPr>
      <w:r>
        <w:t xml:space="preserve">The Commission will </w:t>
      </w:r>
      <w:r w:rsidR="004F0324">
        <w:t>post</w:t>
      </w:r>
      <w:r w:rsidRPr="00667FF1" w:rsidR="004F0324">
        <w:t xml:space="preserve"> </w:t>
      </w:r>
      <w:r w:rsidRPr="006C48EC" w:rsidR="006C48EC">
        <w:t>the reports of the third</w:t>
      </w:r>
      <w:r w:rsidR="00503215">
        <w:noBreakHyphen/>
      </w:r>
      <w:r w:rsidRPr="006C48EC" w:rsidR="006C48EC">
        <w:t xml:space="preserve">party auditor </w:t>
      </w:r>
      <w:r>
        <w:t xml:space="preserve">to </w:t>
      </w:r>
      <w:r w:rsidRPr="006C48EC" w:rsidR="006C48EC">
        <w:t>be posted on the Commission</w:t>
      </w:r>
      <w:r w:rsidR="00836A9E">
        <w:t>’</w:t>
      </w:r>
      <w:r w:rsidRPr="006C48EC" w:rsidR="006C48EC">
        <w:t>s internet website and reported to policy committees of the Legislature</w:t>
      </w:r>
      <w:r w:rsidR="004F0324">
        <w:t xml:space="preserve"> as required by statute</w:t>
      </w:r>
      <w:r w:rsidRPr="006C48EC" w:rsidR="006C48EC">
        <w:t>.</w:t>
      </w:r>
    </w:p>
    <w:p w:rsidR="00603238" w:rsidP="00FA1B4F" w:rsidRDefault="00603238" w14:paraId="02F92000" w14:textId="5B5FA91A">
      <w:pPr>
        <w:pStyle w:val="Heading1"/>
      </w:pPr>
      <w:bookmarkStart w:name="_Toc212538574" w:id="72"/>
      <w:r>
        <w:t>Summary of Public Comment</w:t>
      </w:r>
      <w:bookmarkEnd w:id="72"/>
    </w:p>
    <w:p w:rsidR="004A37AE" w:rsidP="00FC66F0" w:rsidRDefault="00147172" w14:paraId="3A1CCC54" w14:textId="77777777">
      <w:pPr>
        <w:rPr>
          <w:highlight w:val="yellow"/>
        </w:rPr>
      </w:pPr>
      <w:r>
        <w:t>Rule </w:t>
      </w:r>
      <w:r w:rsidRPr="00161E94" w:rsidR="00603238">
        <w:t>1.18</w:t>
      </w:r>
      <w:r>
        <w:t xml:space="preserve"> of the Commission</w:t>
      </w:r>
      <w:r w:rsidR="00836A9E">
        <w:t>’</w:t>
      </w:r>
      <w:r>
        <w:t>s Rules of Practice and Procedure (Rules)</w:t>
      </w:r>
      <w:r w:rsidRPr="00161E94" w:rsidR="00603238">
        <w:t xml:space="preserve"> allows any member of the public to submit written comment in any Commission proceeding using the </w:t>
      </w:r>
      <w:r w:rsidR="00836A9E">
        <w:t>“</w:t>
      </w:r>
      <w:r w:rsidRPr="00161E94" w:rsidR="00603238">
        <w:t>Public Comment</w:t>
      </w:r>
      <w:r w:rsidR="00836A9E">
        <w:t>”</w:t>
      </w:r>
      <w:r w:rsidRPr="00161E94" w:rsidR="00603238">
        <w:t xml:space="preserve"> tab of the online Docket Card for that proceeding on the Commission</w:t>
      </w:r>
      <w:r w:rsidR="00836A9E">
        <w:t>’</w:t>
      </w:r>
      <w:r w:rsidRPr="00161E94" w:rsidR="00603238">
        <w:t xml:space="preserve">s website. </w:t>
      </w:r>
      <w:r>
        <w:t>Rule </w:t>
      </w:r>
      <w:r w:rsidRPr="00161E94" w:rsidR="00603238">
        <w:t>1.18(b) requires that relevant written comment submitted in a proceeding be summarized in the final decision issued in that proceeding.</w:t>
      </w:r>
    </w:p>
    <w:p w:rsidRPr="00FC66F0" w:rsidR="00603238" w:rsidP="00FC66F0" w:rsidRDefault="004A37AE" w14:paraId="513E4302" w14:textId="27D025AA">
      <w:pPr>
        <w:rPr>
          <w:rFonts w:ascii="Calibri" w:hAnsi="Calibri"/>
          <w:sz w:val="22"/>
        </w:rPr>
      </w:pPr>
      <w:r w:rsidRPr="00A967D2">
        <w:lastRenderedPageBreak/>
        <w:t>Four members of the public submitted comments</w:t>
      </w:r>
      <w:r w:rsidRPr="00A967D2" w:rsidR="003F7E93">
        <w:t xml:space="preserve"> to the docket card</w:t>
      </w:r>
      <w:r w:rsidRPr="00A967D2" w:rsidR="00FC66F0">
        <w:t>.</w:t>
      </w:r>
      <w:r w:rsidRPr="00A967D2" w:rsidR="003F7E93">
        <w:t xml:space="preserve"> All</w:t>
      </w:r>
      <w:r w:rsidR="003F7E93">
        <w:t xml:space="preserve"> four comments requested that the Commission </w:t>
      </w:r>
      <w:r w:rsidR="00672D60">
        <w:t>deny SDG&amp;E’s request in its entirety</w:t>
      </w:r>
      <w:r w:rsidR="001A3B99">
        <w:t xml:space="preserve"> and express concern about SDG&amp;E’s </w:t>
      </w:r>
      <w:r w:rsidR="00B06B3E">
        <w:t>rates.</w:t>
      </w:r>
    </w:p>
    <w:p w:rsidR="007F1773" w:rsidP="00FA1B4F" w:rsidRDefault="005939A5" w14:paraId="514BC739" w14:textId="77777777">
      <w:pPr>
        <w:pStyle w:val="Heading1"/>
      </w:pPr>
      <w:bookmarkStart w:name="_Toc212538575" w:id="73"/>
      <w:r>
        <w:t>Conclusion</w:t>
      </w:r>
      <w:bookmarkEnd w:id="27"/>
      <w:bookmarkEnd w:id="73"/>
    </w:p>
    <w:p w:rsidRPr="00107AC0" w:rsidR="00343E5C" w:rsidP="00EC6ACE" w:rsidRDefault="008859F6" w14:paraId="20517C13" w14:textId="72162877">
      <w:pPr>
        <w:pStyle w:val="Standard"/>
      </w:pPr>
      <w:r w:rsidRPr="00107AC0">
        <w:t xml:space="preserve">This decision authorizes SDG&amp;E to establish </w:t>
      </w:r>
      <w:r w:rsidRPr="00107AC0" w:rsidR="00D54652">
        <w:t xml:space="preserve">a new </w:t>
      </w:r>
      <w:r w:rsidR="00614F65">
        <w:t>EEMA</w:t>
      </w:r>
      <w:r w:rsidRPr="00107AC0" w:rsidR="00A2032D">
        <w:t xml:space="preserve"> to record </w:t>
      </w:r>
      <w:r w:rsidRPr="00107AC0" w:rsidR="00A36B55">
        <w:t xml:space="preserve">energization costs that are incremental to the energization </w:t>
      </w:r>
      <w:r w:rsidRPr="00107AC0" w:rsidR="00E7590F">
        <w:t>costs approved in SDG&amp;E</w:t>
      </w:r>
      <w:r w:rsidR="00836A9E">
        <w:t>’</w:t>
      </w:r>
      <w:r w:rsidRPr="00107AC0" w:rsidR="00E7590F">
        <w:t>s 2024 GRC.</w:t>
      </w:r>
      <w:r w:rsidRPr="00107AC0" w:rsidR="00632D55">
        <w:t xml:space="preserve"> </w:t>
      </w:r>
      <w:r w:rsidRPr="00107AC0" w:rsidR="00022DFE">
        <w:t xml:space="preserve">SDG&amp;E </w:t>
      </w:r>
      <w:r w:rsidRPr="00107AC0" w:rsidR="008D001C">
        <w:t xml:space="preserve">is authorized to </w:t>
      </w:r>
      <w:r w:rsidRPr="00107AC0" w:rsidR="00852D52">
        <w:t xml:space="preserve">record </w:t>
      </w:r>
      <w:r w:rsidR="000E5CA7">
        <w:t xml:space="preserve">to the EEMA incremental costs totaling </w:t>
      </w:r>
      <w:r w:rsidRPr="00613A48" w:rsidR="000E5CA7">
        <w:t>$10.561 million in 2024, $20.793 million in 2025, and $19.8</w:t>
      </w:r>
      <w:r w:rsidR="000E5CA7">
        <w:t>3</w:t>
      </w:r>
      <w:r w:rsidRPr="00613A48" w:rsidR="000E5CA7">
        <w:t>4 million in 2026</w:t>
      </w:r>
      <w:r w:rsidRPr="00107AC0" w:rsidR="00B348B7">
        <w:t>.</w:t>
      </w:r>
      <w:r w:rsidRPr="00107AC0" w:rsidR="00AA44D8">
        <w:t xml:space="preserve"> </w:t>
      </w:r>
      <w:r w:rsidRPr="00107AC0" w:rsidR="008D001C">
        <w:t>This represents an 8</w:t>
      </w:r>
      <w:r w:rsidR="00860815">
        <w:t>3</w:t>
      </w:r>
      <w:r w:rsidR="008A1F84">
        <w:t> percent</w:t>
      </w:r>
      <w:r w:rsidRPr="00107AC0" w:rsidR="008D001C">
        <w:t xml:space="preserve"> reduction of SDG&amp;E</w:t>
      </w:r>
      <w:r w:rsidR="00836A9E">
        <w:t>’</w:t>
      </w:r>
      <w:r w:rsidRPr="00107AC0" w:rsidR="008D001C">
        <w:t>s requested cap of $310.127</w:t>
      </w:r>
      <w:r w:rsidR="009C11C6">
        <w:t> million</w:t>
      </w:r>
      <w:r w:rsidRPr="00107AC0" w:rsidR="006B7433">
        <w:t xml:space="preserve"> from 2024 to 2026. SDG&amp;E is authorized to</w:t>
      </w:r>
      <w:r w:rsidRPr="00107AC0" w:rsidR="00060B83">
        <w:t xml:space="preserve"> annually</w:t>
      </w:r>
      <w:r w:rsidRPr="00107AC0" w:rsidR="006B7433">
        <w:t xml:space="preserve"> transfer the</w:t>
      </w:r>
      <w:r w:rsidR="000E5CA7">
        <w:t xml:space="preserve"> </w:t>
      </w:r>
      <w:r w:rsidRPr="00107AC0" w:rsidR="00060B83">
        <w:t xml:space="preserve">costs </w:t>
      </w:r>
      <w:r w:rsidR="00B41ACD">
        <w:t xml:space="preserve">associated with projects placed in service </w:t>
      </w:r>
      <w:r w:rsidRPr="00107AC0" w:rsidR="00060B83">
        <w:t xml:space="preserve">to the </w:t>
      </w:r>
      <w:proofErr w:type="spellStart"/>
      <w:r w:rsidRPr="00107AC0" w:rsidR="00060B83">
        <w:t>EDFCA</w:t>
      </w:r>
      <w:proofErr w:type="spellEnd"/>
      <w:r w:rsidRPr="00107AC0" w:rsidR="00060B83">
        <w:t xml:space="preserve"> for recovery from customers</w:t>
      </w:r>
      <w:r w:rsidRPr="00107AC0" w:rsidR="00EA6816">
        <w:t>.</w:t>
      </w:r>
    </w:p>
    <w:p w:rsidRPr="00107AC0" w:rsidR="00EA6816" w:rsidP="00EC6ACE" w:rsidRDefault="00EA6816" w14:paraId="2D57455F" w14:textId="015CB04E">
      <w:pPr>
        <w:pStyle w:val="Standard"/>
      </w:pPr>
      <w:r w:rsidRPr="00107AC0">
        <w:t xml:space="preserve">As part of its next GRC, SDG&amp;E shall demonstrate that the costs </w:t>
      </w:r>
      <w:r w:rsidRPr="00107AC0" w:rsidR="007A14D0">
        <w:t>recorded to the EEMA were just and reasonable. Any costs the Commission does not find to be just and reasonable will be refunded</w:t>
      </w:r>
      <w:r w:rsidRPr="00107AC0" w:rsidR="00280944">
        <w:t xml:space="preserve"> to customers.</w:t>
      </w:r>
    </w:p>
    <w:p w:rsidR="004A1EAD" w:rsidP="004A1EAD" w:rsidRDefault="004A1EAD" w14:paraId="7111AE68" w14:textId="77777777">
      <w:pPr>
        <w:pStyle w:val="Heading1"/>
      </w:pPr>
      <w:bookmarkStart w:name="_Toc8123723" w:id="74"/>
      <w:bookmarkStart w:name="_Toc212538576" w:id="75"/>
      <w:r>
        <w:t>Procedural Matters</w:t>
      </w:r>
      <w:bookmarkEnd w:id="75"/>
    </w:p>
    <w:p w:rsidR="00DC479E" w:rsidP="00DC479E" w:rsidRDefault="00787629" w14:paraId="57134942" w14:textId="42099455">
      <w:pPr>
        <w:pStyle w:val="Standard"/>
      </w:pPr>
      <w:r>
        <w:t xml:space="preserve">On </w:t>
      </w:r>
      <w:r w:rsidR="007F1773">
        <w:t>August </w:t>
      </w:r>
      <w:r>
        <w:t xml:space="preserve">1, 2025, </w:t>
      </w:r>
      <w:r w:rsidR="00366301">
        <w:t>Cal Advoc</w:t>
      </w:r>
      <w:r>
        <w:t xml:space="preserve">ates, CUE, SDG&amp;E, </w:t>
      </w:r>
      <w:proofErr w:type="spellStart"/>
      <w:r>
        <w:t>SBUA</w:t>
      </w:r>
      <w:proofErr w:type="spellEnd"/>
      <w:r>
        <w:t xml:space="preserve">, TURN, </w:t>
      </w:r>
      <w:r w:rsidR="00554767">
        <w:t xml:space="preserve">and </w:t>
      </w:r>
      <w:r>
        <w:t>UCAN</w:t>
      </w:r>
      <w:r w:rsidR="00554767">
        <w:t xml:space="preserve"> filed and served a</w:t>
      </w:r>
      <w:r>
        <w:t xml:space="preserve"> </w:t>
      </w:r>
      <w:r w:rsidRPr="005B35B7" w:rsidR="005B35B7">
        <w:rPr>
          <w:i/>
          <w:iCs/>
        </w:rPr>
        <w:t xml:space="preserve">Joint Motion </w:t>
      </w:r>
      <w:r w:rsidR="005B35B7">
        <w:rPr>
          <w:i/>
          <w:iCs/>
        </w:rPr>
        <w:t>t</w:t>
      </w:r>
      <w:r w:rsidRPr="005B35B7" w:rsidR="005B35B7">
        <w:rPr>
          <w:i/>
          <w:iCs/>
        </w:rPr>
        <w:t xml:space="preserve">o Enter Testimony </w:t>
      </w:r>
      <w:r w:rsidR="005B35B7">
        <w:rPr>
          <w:i/>
          <w:iCs/>
        </w:rPr>
        <w:t>a</w:t>
      </w:r>
      <w:r w:rsidRPr="005B35B7" w:rsidR="005B35B7">
        <w:rPr>
          <w:i/>
          <w:iCs/>
        </w:rPr>
        <w:t xml:space="preserve">nd Exhibits </w:t>
      </w:r>
      <w:r w:rsidR="005B35B7">
        <w:rPr>
          <w:i/>
          <w:iCs/>
        </w:rPr>
        <w:t>i</w:t>
      </w:r>
      <w:r w:rsidRPr="005B35B7" w:rsidR="005B35B7">
        <w:rPr>
          <w:i/>
          <w:iCs/>
        </w:rPr>
        <w:t xml:space="preserve">nto </w:t>
      </w:r>
      <w:r w:rsidR="005B35B7">
        <w:rPr>
          <w:i/>
          <w:iCs/>
        </w:rPr>
        <w:t>t</w:t>
      </w:r>
      <w:r w:rsidRPr="005B35B7" w:rsidR="005B35B7">
        <w:rPr>
          <w:i/>
          <w:iCs/>
        </w:rPr>
        <w:t>he Evidentiary Record</w:t>
      </w:r>
      <w:r w:rsidR="003B54ED">
        <w:t>. T</w:t>
      </w:r>
      <w:r w:rsidRPr="008C74BA" w:rsidR="00DC479E">
        <w:t>his</w:t>
      </w:r>
      <w:r w:rsidR="00433D6D">
        <w:t xml:space="preserve"> motion is granted and the following documents are </w:t>
      </w:r>
      <w:r w:rsidR="00DC479E">
        <w:t>mark</w:t>
      </w:r>
      <w:r w:rsidR="00433D6D">
        <w:t>ed.</w:t>
      </w:r>
      <w:r w:rsidR="00DC479E">
        <w:t xml:space="preserve"> identifie</w:t>
      </w:r>
      <w:r w:rsidR="00433D6D">
        <w:t>d, and admitted</w:t>
      </w:r>
      <w:r w:rsidR="00DC479E">
        <w:t>:</w:t>
      </w:r>
    </w:p>
    <w:tbl>
      <w:tblPr>
        <w:tblStyle w:val="GridTable1Light"/>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4A0" w:firstRow="1" w:lastRow="0" w:firstColumn="1" w:lastColumn="0" w:noHBand="0" w:noVBand="1"/>
      </w:tblPr>
      <w:tblGrid>
        <w:gridCol w:w="1525"/>
        <w:gridCol w:w="2070"/>
        <w:gridCol w:w="6960"/>
      </w:tblGrid>
      <w:tr w:rsidRPr="009137DA" w:rsidR="00EC6ACE" w:rsidTr="00E633CD" w14:paraId="4894F6CF"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525" w:type="dxa"/>
            <w:shd w:val="clear" w:color="auto" w:fill="D0CECE" w:themeFill="background2" w:themeFillShade="E6"/>
            <w:hideMark/>
          </w:tcPr>
          <w:p w:rsidRPr="009137DA" w:rsidR="00C64502" w:rsidP="00835C6D" w:rsidRDefault="00C64502" w14:paraId="65B9AFC2" w14:textId="77777777">
            <w:pPr>
              <w:keepNext/>
              <w:spacing w:line="240" w:lineRule="auto"/>
              <w:ind w:firstLine="0"/>
              <w:jc w:val="center"/>
              <w:rPr>
                <w:rFonts w:eastAsia="Times New Roman" w:cs="Times New Roman"/>
              </w:rPr>
            </w:pPr>
            <w:r w:rsidRPr="009137DA">
              <w:rPr>
                <w:rFonts w:eastAsia="Times New Roman" w:cs="Times New Roman"/>
              </w:rPr>
              <w:t xml:space="preserve">Exhibit </w:t>
            </w:r>
          </w:p>
        </w:tc>
        <w:tc>
          <w:tcPr>
            <w:tcW w:w="2070" w:type="dxa"/>
            <w:shd w:val="clear" w:color="auto" w:fill="D0CECE" w:themeFill="background2" w:themeFillShade="E6"/>
            <w:hideMark/>
          </w:tcPr>
          <w:p w:rsidRPr="009137DA" w:rsidR="00C64502" w:rsidP="00835C6D" w:rsidRDefault="00C64502" w14:paraId="1F989246" w14:textId="77777777">
            <w:pPr>
              <w:keepNext/>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9137DA">
              <w:rPr>
                <w:rFonts w:eastAsia="Times New Roman" w:cs="Times New Roman"/>
              </w:rPr>
              <w:t>Witness</w:t>
            </w:r>
          </w:p>
        </w:tc>
        <w:tc>
          <w:tcPr>
            <w:tcW w:w="6960" w:type="dxa"/>
            <w:shd w:val="clear" w:color="auto" w:fill="D0CECE" w:themeFill="background2" w:themeFillShade="E6"/>
            <w:hideMark/>
          </w:tcPr>
          <w:p w:rsidRPr="009137DA" w:rsidR="00C64502" w:rsidP="00835C6D" w:rsidRDefault="00C64502" w14:paraId="3B305761" w14:textId="77777777">
            <w:pPr>
              <w:keepNext/>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9137DA">
              <w:rPr>
                <w:rFonts w:eastAsia="Times New Roman" w:cs="Times New Roman"/>
              </w:rPr>
              <w:t>Description</w:t>
            </w:r>
          </w:p>
        </w:tc>
      </w:tr>
      <w:tr w:rsidRPr="00EC6ACE" w:rsidR="00EC6ACE" w:rsidTr="00CA7330" w14:paraId="64AE3256"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hideMark/>
          </w:tcPr>
          <w:p w:rsidRPr="009137DA" w:rsidR="00C64502" w:rsidP="00C64502" w:rsidRDefault="00C64502" w14:paraId="0C9DB343" w14:textId="6A235888">
            <w:pPr>
              <w:spacing w:line="240" w:lineRule="auto"/>
              <w:ind w:firstLine="0"/>
              <w:rPr>
                <w:rFonts w:eastAsia="Times New Roman" w:cs="Times New Roman"/>
                <w:b w:val="0"/>
                <w:bCs w:val="0"/>
              </w:rPr>
            </w:pPr>
            <w:r w:rsidRPr="009137DA">
              <w:rPr>
                <w:b w:val="0"/>
                <w:bCs w:val="0"/>
              </w:rPr>
              <w:t>SDGE</w:t>
            </w:r>
            <w:r w:rsidR="00503215">
              <w:rPr>
                <w:b w:val="0"/>
                <w:bCs w:val="0"/>
              </w:rPr>
              <w:noBreakHyphen/>
            </w:r>
            <w:r w:rsidRPr="009137DA">
              <w:rPr>
                <w:b w:val="0"/>
                <w:bCs w:val="0"/>
              </w:rPr>
              <w:t>1</w:t>
            </w:r>
          </w:p>
        </w:tc>
        <w:tc>
          <w:tcPr>
            <w:tcW w:w="2070" w:type="dxa"/>
            <w:hideMark/>
          </w:tcPr>
          <w:p w:rsidRPr="00EC6ACE" w:rsidR="00C64502" w:rsidP="00C64502" w:rsidRDefault="00C64502" w14:paraId="18F2BB74" w14:textId="24F28D42">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Belden/Bruner</w:t>
            </w:r>
          </w:p>
        </w:tc>
        <w:tc>
          <w:tcPr>
            <w:tcW w:w="6960" w:type="dxa"/>
            <w:hideMark/>
          </w:tcPr>
          <w:p w:rsidRPr="00EC6ACE" w:rsidR="00C64502" w:rsidP="00C64502" w:rsidRDefault="00C64502" w14:paraId="330E07C4" w14:textId="69FF8957">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 xml:space="preserve">Prepared Direct Testimony of Matt Belden and Nathan Bruner on Behalf of </w:t>
            </w:r>
            <w:r w:rsidR="00C23EB9">
              <w:t>San </w:t>
            </w:r>
            <w:r w:rsidRPr="00EC6ACE">
              <w:t>Diego Gas</w:t>
            </w:r>
            <w:r w:rsidR="00C23EB9">
              <w:t xml:space="preserve"> &amp; </w:t>
            </w:r>
            <w:r w:rsidRPr="00EC6ACE">
              <w:t>Electric Company (</w:t>
            </w:r>
            <w:r w:rsidR="007F1773">
              <w:t>April </w:t>
            </w:r>
            <w:r w:rsidRPr="00EC6ACE">
              <w:t>25, 2025)</w:t>
            </w:r>
          </w:p>
        </w:tc>
      </w:tr>
      <w:tr w:rsidRPr="00EC6ACE" w:rsidR="00EC6ACE" w:rsidTr="00CA7330" w14:paraId="65EC7AA4"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hideMark/>
          </w:tcPr>
          <w:p w:rsidRPr="009137DA" w:rsidR="00C64502" w:rsidP="00C64502" w:rsidRDefault="00C64502" w14:paraId="130B9098" w14:textId="00BBA357">
            <w:pPr>
              <w:spacing w:line="240" w:lineRule="auto"/>
              <w:ind w:firstLine="0"/>
              <w:rPr>
                <w:rFonts w:eastAsia="Times New Roman" w:cs="Times New Roman"/>
                <w:b w:val="0"/>
                <w:bCs w:val="0"/>
              </w:rPr>
            </w:pPr>
            <w:r w:rsidRPr="009137DA">
              <w:rPr>
                <w:b w:val="0"/>
                <w:bCs w:val="0"/>
              </w:rPr>
              <w:t>SDGE</w:t>
            </w:r>
            <w:r w:rsidR="00503215">
              <w:rPr>
                <w:b w:val="0"/>
                <w:bCs w:val="0"/>
              </w:rPr>
              <w:noBreakHyphen/>
            </w:r>
            <w:r w:rsidRPr="009137DA">
              <w:rPr>
                <w:b w:val="0"/>
                <w:bCs w:val="0"/>
              </w:rPr>
              <w:t>2</w:t>
            </w:r>
          </w:p>
        </w:tc>
        <w:tc>
          <w:tcPr>
            <w:tcW w:w="2070" w:type="dxa"/>
            <w:noWrap/>
          </w:tcPr>
          <w:p w:rsidRPr="00EC6ACE" w:rsidR="00C64502" w:rsidP="00C64502" w:rsidRDefault="00C64502" w14:paraId="3DB6DA0E" w14:textId="5E85E5B3">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Dalton</w:t>
            </w:r>
          </w:p>
        </w:tc>
        <w:tc>
          <w:tcPr>
            <w:tcW w:w="6960" w:type="dxa"/>
          </w:tcPr>
          <w:p w:rsidRPr="00EC6ACE" w:rsidR="00C64502" w:rsidP="00C64502" w:rsidRDefault="00C64502" w14:paraId="2AD825D3" w14:textId="684BDD8D">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 xml:space="preserve">Prepared Direct Testimony of Eric Dalton on Behalf of </w:t>
            </w:r>
            <w:r w:rsidR="00C23EB9">
              <w:t>San </w:t>
            </w:r>
            <w:r w:rsidRPr="00EC6ACE">
              <w:t>Diego Gas</w:t>
            </w:r>
            <w:r w:rsidR="00C23EB9">
              <w:t xml:space="preserve"> &amp; </w:t>
            </w:r>
            <w:r w:rsidRPr="00EC6ACE">
              <w:t>Electric Company (</w:t>
            </w:r>
            <w:r w:rsidR="007F1773">
              <w:t>April </w:t>
            </w:r>
            <w:r w:rsidRPr="00EC6ACE">
              <w:t>25, 2025)</w:t>
            </w:r>
          </w:p>
        </w:tc>
      </w:tr>
      <w:tr w:rsidRPr="00EC6ACE" w:rsidR="00EC6ACE" w:rsidTr="00CA7330" w14:paraId="014C7301"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hideMark/>
          </w:tcPr>
          <w:p w:rsidRPr="009137DA" w:rsidR="00C64502" w:rsidP="00C64502" w:rsidRDefault="00C64502" w14:paraId="3C29DEAA" w14:textId="7B2A91EE">
            <w:pPr>
              <w:spacing w:line="240" w:lineRule="auto"/>
              <w:ind w:firstLine="0"/>
              <w:rPr>
                <w:rFonts w:eastAsia="Times New Roman" w:cs="Times New Roman"/>
                <w:b w:val="0"/>
                <w:bCs w:val="0"/>
              </w:rPr>
            </w:pPr>
            <w:r w:rsidRPr="009137DA">
              <w:rPr>
                <w:b w:val="0"/>
                <w:bCs w:val="0"/>
              </w:rPr>
              <w:t>SDGE</w:t>
            </w:r>
            <w:r w:rsidR="00503215">
              <w:rPr>
                <w:b w:val="0"/>
                <w:bCs w:val="0"/>
              </w:rPr>
              <w:noBreakHyphen/>
            </w:r>
            <w:r w:rsidRPr="009137DA">
              <w:rPr>
                <w:b w:val="0"/>
                <w:bCs w:val="0"/>
              </w:rPr>
              <w:t>3</w:t>
            </w:r>
          </w:p>
        </w:tc>
        <w:tc>
          <w:tcPr>
            <w:tcW w:w="2070" w:type="dxa"/>
            <w:noWrap/>
          </w:tcPr>
          <w:p w:rsidRPr="00EC6ACE" w:rsidR="00C64502" w:rsidP="00C64502" w:rsidRDefault="00C64502" w14:paraId="2D4FE79E" w14:textId="1F064C1F">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Belden/Bruner</w:t>
            </w:r>
          </w:p>
        </w:tc>
        <w:tc>
          <w:tcPr>
            <w:tcW w:w="6960" w:type="dxa"/>
          </w:tcPr>
          <w:p w:rsidRPr="00EC6ACE" w:rsidR="00C64502" w:rsidP="00C64502" w:rsidRDefault="00C64502" w14:paraId="6D75534A" w14:textId="79F15EEA">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 xml:space="preserve">Prepared Rebuttal Testimony of Matt Belden and Nathan Bruner on Behalf of </w:t>
            </w:r>
            <w:r w:rsidRPr="00EC6ACE" w:rsidR="00A86268">
              <w:t>SDG&amp;E</w:t>
            </w:r>
            <w:r w:rsidR="00A86268">
              <w:t xml:space="preserve"> </w:t>
            </w:r>
            <w:r w:rsidRPr="00EC6ACE">
              <w:t>(</w:t>
            </w:r>
            <w:r w:rsidR="007F1773">
              <w:t>July </w:t>
            </w:r>
            <w:r w:rsidRPr="00EC6ACE">
              <w:t>14, 2025)</w:t>
            </w:r>
          </w:p>
        </w:tc>
      </w:tr>
      <w:tr w:rsidRPr="00EC6ACE" w:rsidR="00EC6ACE" w:rsidTr="00CA7330" w14:paraId="61F80E0A"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hideMark/>
          </w:tcPr>
          <w:p w:rsidRPr="009137DA" w:rsidR="00C64502" w:rsidP="00C64502" w:rsidRDefault="00C64502" w14:paraId="160AE1FF" w14:textId="060760D1">
            <w:pPr>
              <w:spacing w:line="240" w:lineRule="auto"/>
              <w:ind w:firstLine="0"/>
              <w:rPr>
                <w:rFonts w:eastAsia="Times New Roman" w:cs="Times New Roman"/>
                <w:b w:val="0"/>
                <w:bCs w:val="0"/>
              </w:rPr>
            </w:pPr>
            <w:r w:rsidRPr="009137DA">
              <w:rPr>
                <w:b w:val="0"/>
                <w:bCs w:val="0"/>
              </w:rPr>
              <w:lastRenderedPageBreak/>
              <w:t>SDGE</w:t>
            </w:r>
            <w:r w:rsidR="00503215">
              <w:rPr>
                <w:b w:val="0"/>
                <w:bCs w:val="0"/>
              </w:rPr>
              <w:noBreakHyphen/>
            </w:r>
            <w:r w:rsidRPr="009137DA">
              <w:rPr>
                <w:b w:val="0"/>
                <w:bCs w:val="0"/>
              </w:rPr>
              <w:t>4</w:t>
            </w:r>
          </w:p>
        </w:tc>
        <w:tc>
          <w:tcPr>
            <w:tcW w:w="2070" w:type="dxa"/>
            <w:noWrap/>
          </w:tcPr>
          <w:p w:rsidRPr="00EC6ACE" w:rsidR="00C64502" w:rsidP="00C64502" w:rsidRDefault="00C64502" w14:paraId="3A8CA3BE" w14:textId="67EFA7F8">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Dalton</w:t>
            </w:r>
          </w:p>
        </w:tc>
        <w:tc>
          <w:tcPr>
            <w:tcW w:w="6960" w:type="dxa"/>
          </w:tcPr>
          <w:p w:rsidRPr="00EC6ACE" w:rsidR="00C64502" w:rsidP="00C64502" w:rsidRDefault="00C64502" w14:paraId="40727B07" w14:textId="77E3FAF8">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 xml:space="preserve">Prepared Rebuttal Testimony of Eric Dalton on Behalf of </w:t>
            </w:r>
            <w:r w:rsidRPr="00EC6ACE" w:rsidR="00A86268">
              <w:t>SDG&amp;E</w:t>
            </w:r>
            <w:r w:rsidR="00A86268">
              <w:t xml:space="preserve"> </w:t>
            </w:r>
            <w:r w:rsidRPr="00EC6ACE">
              <w:t>(</w:t>
            </w:r>
            <w:r w:rsidR="007F1773">
              <w:t>July </w:t>
            </w:r>
            <w:r w:rsidRPr="00EC6ACE">
              <w:t>14, 2025)</w:t>
            </w:r>
          </w:p>
        </w:tc>
      </w:tr>
      <w:tr w:rsidRPr="00EC6ACE" w:rsidR="00EC6ACE" w:rsidTr="00CA7330" w14:paraId="35C51F29"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hideMark/>
          </w:tcPr>
          <w:p w:rsidRPr="009137DA" w:rsidR="00C64502" w:rsidP="00C64502" w:rsidRDefault="00C64502" w14:paraId="043F8CC6" w14:textId="530EF4BB">
            <w:pPr>
              <w:spacing w:line="240" w:lineRule="auto"/>
              <w:ind w:firstLine="0"/>
              <w:rPr>
                <w:rFonts w:eastAsia="Times New Roman" w:cs="Times New Roman"/>
                <w:b w:val="0"/>
                <w:bCs w:val="0"/>
              </w:rPr>
            </w:pPr>
            <w:r w:rsidRPr="009137DA">
              <w:rPr>
                <w:b w:val="0"/>
                <w:bCs w:val="0"/>
              </w:rPr>
              <w:t>SDGE</w:t>
            </w:r>
            <w:r w:rsidR="00503215">
              <w:rPr>
                <w:b w:val="0"/>
                <w:bCs w:val="0"/>
              </w:rPr>
              <w:noBreakHyphen/>
            </w:r>
            <w:r w:rsidRPr="009137DA">
              <w:rPr>
                <w:b w:val="0"/>
                <w:bCs w:val="0"/>
              </w:rPr>
              <w:t>5</w:t>
            </w:r>
          </w:p>
        </w:tc>
        <w:tc>
          <w:tcPr>
            <w:tcW w:w="2070" w:type="dxa"/>
            <w:noWrap/>
          </w:tcPr>
          <w:p w:rsidRPr="00EC6ACE" w:rsidR="00C64502" w:rsidP="00C64502" w:rsidRDefault="00C64502" w14:paraId="15084B12" w14:textId="190493C0">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Belden/Bruner</w:t>
            </w:r>
          </w:p>
        </w:tc>
        <w:tc>
          <w:tcPr>
            <w:tcW w:w="6960" w:type="dxa"/>
          </w:tcPr>
          <w:p w:rsidRPr="00EC6ACE" w:rsidR="00C64502" w:rsidP="00C64502" w:rsidRDefault="00C64502" w14:paraId="7A349B6C" w14:textId="2E263226">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SDG&amp;E Workpaper</w:t>
            </w:r>
            <w:r w:rsidR="00D140B1">
              <w:t xml:space="preserve"> — </w:t>
            </w:r>
            <w:r w:rsidRPr="00EC6ACE">
              <w:t>Incremental Costs Forecast</w:t>
            </w:r>
          </w:p>
        </w:tc>
      </w:tr>
      <w:tr w:rsidRPr="00EC6ACE" w:rsidR="00EC6ACE" w:rsidTr="00CA7330" w14:paraId="4E240264"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hideMark/>
          </w:tcPr>
          <w:p w:rsidRPr="009137DA" w:rsidR="00C64502" w:rsidP="00C64502" w:rsidRDefault="00C64502" w14:paraId="66493A77" w14:textId="5A774CA3">
            <w:pPr>
              <w:spacing w:line="240" w:lineRule="auto"/>
              <w:ind w:firstLine="0"/>
              <w:rPr>
                <w:rFonts w:eastAsia="Times New Roman" w:cs="Times New Roman"/>
                <w:b w:val="0"/>
                <w:bCs w:val="0"/>
              </w:rPr>
            </w:pPr>
            <w:r w:rsidRPr="009137DA">
              <w:rPr>
                <w:b w:val="0"/>
                <w:bCs w:val="0"/>
              </w:rPr>
              <w:t>SDGE</w:t>
            </w:r>
            <w:r w:rsidR="00503215">
              <w:rPr>
                <w:b w:val="0"/>
                <w:bCs w:val="0"/>
              </w:rPr>
              <w:noBreakHyphen/>
            </w:r>
            <w:r w:rsidRPr="009137DA">
              <w:rPr>
                <w:b w:val="0"/>
                <w:bCs w:val="0"/>
              </w:rPr>
              <w:t>6</w:t>
            </w:r>
          </w:p>
        </w:tc>
        <w:tc>
          <w:tcPr>
            <w:tcW w:w="2070" w:type="dxa"/>
            <w:noWrap/>
          </w:tcPr>
          <w:p w:rsidRPr="00EC6ACE" w:rsidR="00C64502" w:rsidP="00A85AFC" w:rsidRDefault="00C64502" w14:paraId="2254C784" w14:textId="6EF96847">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Belden/Bruner</w:t>
            </w:r>
          </w:p>
        </w:tc>
        <w:tc>
          <w:tcPr>
            <w:tcW w:w="6960" w:type="dxa"/>
          </w:tcPr>
          <w:p w:rsidRPr="00EC6ACE" w:rsidR="00C64502" w:rsidP="00C64502" w:rsidRDefault="00C64502" w14:paraId="2976D617" w14:textId="6AB6B74A">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SDG&amp;E Workpaper</w:t>
            </w:r>
            <w:r w:rsidR="00D140B1">
              <w:t xml:space="preserve"> — </w:t>
            </w:r>
            <w:r w:rsidRPr="00EC6ACE">
              <w:t>IT Enhancements Forecast</w:t>
            </w:r>
          </w:p>
        </w:tc>
      </w:tr>
      <w:tr w:rsidRPr="00EC6ACE" w:rsidR="00EC6ACE" w:rsidTr="00CA7330" w14:paraId="04B6AA5D"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hideMark/>
          </w:tcPr>
          <w:p w:rsidRPr="009137DA" w:rsidR="00C64502" w:rsidP="00C64502" w:rsidRDefault="00C64502" w14:paraId="567C8620" w14:textId="537F2CFE">
            <w:pPr>
              <w:spacing w:line="240" w:lineRule="auto"/>
              <w:ind w:firstLine="0"/>
              <w:rPr>
                <w:rFonts w:eastAsia="Times New Roman" w:cs="Times New Roman"/>
                <w:b w:val="0"/>
                <w:bCs w:val="0"/>
              </w:rPr>
            </w:pPr>
            <w:r w:rsidRPr="009137DA">
              <w:rPr>
                <w:b w:val="0"/>
                <w:bCs w:val="0"/>
              </w:rPr>
              <w:t>SDGE</w:t>
            </w:r>
            <w:r w:rsidR="00503215">
              <w:rPr>
                <w:b w:val="0"/>
                <w:bCs w:val="0"/>
              </w:rPr>
              <w:noBreakHyphen/>
            </w:r>
            <w:r w:rsidRPr="009137DA">
              <w:rPr>
                <w:b w:val="0"/>
                <w:bCs w:val="0"/>
              </w:rPr>
              <w:t>7</w:t>
            </w:r>
          </w:p>
        </w:tc>
        <w:tc>
          <w:tcPr>
            <w:tcW w:w="2070" w:type="dxa"/>
            <w:noWrap/>
          </w:tcPr>
          <w:p w:rsidRPr="00EC6ACE" w:rsidR="00C64502" w:rsidP="00C64502" w:rsidRDefault="00C64502" w14:paraId="023264A0" w14:textId="42CEF6ED">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Belden/Bruner</w:t>
            </w:r>
          </w:p>
        </w:tc>
        <w:tc>
          <w:tcPr>
            <w:tcW w:w="6960" w:type="dxa"/>
          </w:tcPr>
          <w:p w:rsidRPr="00EC6ACE" w:rsidR="00C64502" w:rsidP="00C64502" w:rsidRDefault="00C64502" w14:paraId="624B1049" w14:textId="3A8F4CE9">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C6ACE">
              <w:t>SDG&amp;E Workpaper</w:t>
            </w:r>
            <w:r w:rsidR="00D140B1">
              <w:t xml:space="preserve"> — </w:t>
            </w:r>
            <w:r w:rsidRPr="00EC6ACE">
              <w:t>Transformer Costs</w:t>
            </w:r>
          </w:p>
        </w:tc>
      </w:tr>
      <w:tr w:rsidRPr="00EC6ACE" w:rsidR="00EC6ACE" w:rsidTr="00CA7330" w14:paraId="1E561FD7"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tcPr>
          <w:p w:rsidRPr="009137DA" w:rsidR="00C64502" w:rsidP="00C64502" w:rsidRDefault="00C64502" w14:paraId="579744A9" w14:textId="528D6D9A">
            <w:pPr>
              <w:spacing w:line="240" w:lineRule="auto"/>
              <w:ind w:firstLine="0"/>
              <w:rPr>
                <w:b w:val="0"/>
                <w:bCs w:val="0"/>
              </w:rPr>
            </w:pPr>
            <w:r w:rsidRPr="009137DA">
              <w:rPr>
                <w:b w:val="0"/>
                <w:bCs w:val="0"/>
              </w:rPr>
              <w:t>SDGE</w:t>
            </w:r>
            <w:r w:rsidR="00503215">
              <w:rPr>
                <w:b w:val="0"/>
                <w:bCs w:val="0"/>
              </w:rPr>
              <w:noBreakHyphen/>
            </w:r>
            <w:r w:rsidRPr="009137DA">
              <w:rPr>
                <w:b w:val="0"/>
                <w:bCs w:val="0"/>
              </w:rPr>
              <w:t>8</w:t>
            </w:r>
          </w:p>
        </w:tc>
        <w:tc>
          <w:tcPr>
            <w:tcW w:w="2070" w:type="dxa"/>
            <w:noWrap/>
          </w:tcPr>
          <w:p w:rsidRPr="00EC6ACE" w:rsidR="00C64502" w:rsidP="00C64502" w:rsidRDefault="00C64502" w14:paraId="6131FE14" w14:textId="646EA006">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NA</w:t>
            </w:r>
          </w:p>
        </w:tc>
        <w:tc>
          <w:tcPr>
            <w:tcW w:w="6960" w:type="dxa"/>
          </w:tcPr>
          <w:p w:rsidRPr="00EC6ACE" w:rsidR="00C64502" w:rsidP="00C64502" w:rsidRDefault="00C64502" w14:paraId="55ED3AAD" w14:textId="3CF4296D">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TY 2024 GRC Workpaper</w:t>
            </w:r>
            <w:r w:rsidR="00D140B1">
              <w:t xml:space="preserve"> — </w:t>
            </w:r>
            <w:r w:rsidRPr="00EC6ACE">
              <w:t>Ex. SDG&amp;E</w:t>
            </w:r>
            <w:r w:rsidR="00503215">
              <w:noBreakHyphen/>
            </w:r>
            <w:r w:rsidRPr="00EC6ACE">
              <w:t>11</w:t>
            </w:r>
            <w:r w:rsidR="00503215">
              <w:noBreakHyphen/>
            </w:r>
            <w:r w:rsidRPr="00EC6ACE">
              <w:t>CWP</w:t>
            </w:r>
            <w:r w:rsidR="00503215">
              <w:noBreakHyphen/>
            </w:r>
            <w:r w:rsidRPr="00EC6ACE">
              <w:t xml:space="preserve">R (Revised Capital Workpapers to Prepared Direct Testimony of </w:t>
            </w:r>
            <w:r w:rsidR="00A86268">
              <w:t>Olivia L.</w:t>
            </w:r>
            <w:r w:rsidRPr="00EC6ACE">
              <w:t xml:space="preserve"> Reyes on Behalf of </w:t>
            </w:r>
            <w:r w:rsidR="00C23EB9">
              <w:t>San </w:t>
            </w:r>
            <w:r w:rsidRPr="00EC6ACE">
              <w:t>Diego Gas</w:t>
            </w:r>
            <w:r w:rsidR="00C23EB9">
              <w:t xml:space="preserve"> &amp; </w:t>
            </w:r>
            <w:r w:rsidRPr="00EC6ACE">
              <w:t>Electric Company August 2023)</w:t>
            </w:r>
          </w:p>
        </w:tc>
      </w:tr>
      <w:tr w:rsidRPr="00EC6ACE" w:rsidR="00EC6ACE" w:rsidTr="00CA7330" w14:paraId="13648803"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tcPr>
          <w:p w:rsidRPr="009137DA" w:rsidR="00C64502" w:rsidP="00C64502" w:rsidRDefault="00C64502" w14:paraId="5A05A352" w14:textId="4B98B195">
            <w:pPr>
              <w:spacing w:line="240" w:lineRule="auto"/>
              <w:ind w:firstLine="0"/>
              <w:rPr>
                <w:b w:val="0"/>
                <w:bCs w:val="0"/>
              </w:rPr>
            </w:pPr>
            <w:r w:rsidRPr="009137DA">
              <w:rPr>
                <w:b w:val="0"/>
                <w:bCs w:val="0"/>
              </w:rPr>
              <w:t>CA</w:t>
            </w:r>
            <w:r w:rsidR="00503215">
              <w:rPr>
                <w:b w:val="0"/>
                <w:bCs w:val="0"/>
              </w:rPr>
              <w:noBreakHyphen/>
            </w:r>
            <w:r w:rsidRPr="009137DA">
              <w:rPr>
                <w:b w:val="0"/>
                <w:bCs w:val="0"/>
              </w:rPr>
              <w:t>01</w:t>
            </w:r>
          </w:p>
        </w:tc>
        <w:tc>
          <w:tcPr>
            <w:tcW w:w="2070" w:type="dxa"/>
            <w:noWrap/>
          </w:tcPr>
          <w:p w:rsidRPr="00EC6ACE" w:rsidR="00C64502" w:rsidP="00C64502" w:rsidRDefault="00C64502" w14:paraId="25577202" w14:textId="440614EC">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Various</w:t>
            </w:r>
          </w:p>
        </w:tc>
        <w:tc>
          <w:tcPr>
            <w:tcW w:w="6960" w:type="dxa"/>
          </w:tcPr>
          <w:p w:rsidRPr="00EC6ACE" w:rsidR="00C64502" w:rsidP="00C64502" w:rsidRDefault="00C64502" w14:paraId="26BD7BD0" w14:textId="19277E28">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 xml:space="preserve">Prepared Testimony on the Application of </w:t>
            </w:r>
            <w:r w:rsidRPr="00EC6ACE" w:rsidR="00A86268">
              <w:t>SDG&amp;E</w:t>
            </w:r>
            <w:r w:rsidR="00A86268">
              <w:t xml:space="preserve"> </w:t>
            </w:r>
            <w:r w:rsidRPr="00EC6ACE">
              <w:t xml:space="preserve">to Establish a Ratemaking Mechanism for Energization Projects Pursuant to </w:t>
            </w:r>
            <w:r w:rsidR="0040495F">
              <w:t>SB </w:t>
            </w:r>
            <w:r w:rsidRPr="00EC6ACE">
              <w:t>410 (</w:t>
            </w:r>
            <w:r w:rsidR="007F1773">
              <w:t>June </w:t>
            </w:r>
            <w:r w:rsidRPr="00EC6ACE">
              <w:t xml:space="preserve">30, 2025) </w:t>
            </w:r>
            <w:r w:rsidRPr="00EC6ACE">
              <w:rPr>
                <w:b/>
                <w:bCs/>
                <w:i/>
                <w:iCs/>
              </w:rPr>
              <w:t>PUBLIC VERSION</w:t>
            </w:r>
          </w:p>
        </w:tc>
      </w:tr>
      <w:tr w:rsidRPr="00EC6ACE" w:rsidR="00EC6ACE" w:rsidTr="00CA7330" w14:paraId="23F27EA1"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tcPr>
          <w:p w:rsidRPr="009137DA" w:rsidR="00C64502" w:rsidP="00C64502" w:rsidRDefault="00C64502" w14:paraId="50A3AC9A" w14:textId="529F2021">
            <w:pPr>
              <w:spacing w:line="240" w:lineRule="auto"/>
              <w:ind w:firstLine="0"/>
              <w:rPr>
                <w:b w:val="0"/>
                <w:bCs w:val="0"/>
              </w:rPr>
            </w:pPr>
            <w:r w:rsidRPr="009137DA">
              <w:rPr>
                <w:b w:val="0"/>
                <w:bCs w:val="0"/>
              </w:rPr>
              <w:t>CA</w:t>
            </w:r>
            <w:r w:rsidR="00503215">
              <w:rPr>
                <w:b w:val="0"/>
                <w:bCs w:val="0"/>
              </w:rPr>
              <w:noBreakHyphen/>
            </w:r>
            <w:r w:rsidRPr="009137DA">
              <w:rPr>
                <w:b w:val="0"/>
                <w:bCs w:val="0"/>
              </w:rPr>
              <w:t>01C</w:t>
            </w:r>
          </w:p>
        </w:tc>
        <w:tc>
          <w:tcPr>
            <w:tcW w:w="2070" w:type="dxa"/>
            <w:noWrap/>
          </w:tcPr>
          <w:p w:rsidRPr="00EC6ACE" w:rsidR="00C64502" w:rsidP="00C64502" w:rsidRDefault="00C64502" w14:paraId="322161B1" w14:textId="112C613A">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Various</w:t>
            </w:r>
          </w:p>
        </w:tc>
        <w:tc>
          <w:tcPr>
            <w:tcW w:w="6960" w:type="dxa"/>
          </w:tcPr>
          <w:p w:rsidRPr="00EC6ACE" w:rsidR="00C64502" w:rsidP="00C64502" w:rsidRDefault="00C64502" w14:paraId="45ADA3A9" w14:textId="24149654">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 xml:space="preserve">Prepared Testimony on the Application of </w:t>
            </w:r>
            <w:r w:rsidRPr="00EC6ACE" w:rsidR="00A86268">
              <w:t>SDG&amp;E</w:t>
            </w:r>
            <w:r w:rsidR="00A86268">
              <w:t xml:space="preserve"> </w:t>
            </w:r>
            <w:r w:rsidRPr="00EC6ACE">
              <w:t xml:space="preserve">to Establish a Ratemaking Mechanism for Energization Projects Pursuant to </w:t>
            </w:r>
            <w:r w:rsidR="0040495F">
              <w:t>SB </w:t>
            </w:r>
            <w:r w:rsidRPr="00EC6ACE">
              <w:t>410 (</w:t>
            </w:r>
            <w:r w:rsidR="007F1773">
              <w:t>June </w:t>
            </w:r>
            <w:r w:rsidRPr="00EC6ACE">
              <w:t xml:space="preserve">30, 2025) </w:t>
            </w:r>
            <w:r w:rsidRPr="00EC6ACE">
              <w:rPr>
                <w:b/>
                <w:bCs/>
                <w:i/>
                <w:iCs/>
              </w:rPr>
              <w:t>CONFIDENTIAL VERSION</w:t>
            </w:r>
          </w:p>
        </w:tc>
      </w:tr>
      <w:tr w:rsidRPr="00EC6ACE" w:rsidR="00EC6ACE" w:rsidTr="00CA7330" w14:paraId="214B42F1"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tcPr>
          <w:p w:rsidRPr="009137DA" w:rsidR="00C64502" w:rsidP="00C64502" w:rsidRDefault="00C64502" w14:paraId="7CFFF1AA" w14:textId="4FB9E5A7">
            <w:pPr>
              <w:spacing w:line="240" w:lineRule="auto"/>
              <w:ind w:firstLine="0"/>
              <w:rPr>
                <w:b w:val="0"/>
                <w:bCs w:val="0"/>
              </w:rPr>
            </w:pPr>
            <w:r w:rsidRPr="009137DA">
              <w:rPr>
                <w:b w:val="0"/>
                <w:bCs w:val="0"/>
              </w:rPr>
              <w:t>TURN</w:t>
            </w:r>
            <w:r w:rsidR="00503215">
              <w:rPr>
                <w:b w:val="0"/>
                <w:bCs w:val="0"/>
              </w:rPr>
              <w:noBreakHyphen/>
            </w:r>
            <w:r w:rsidRPr="009137DA">
              <w:rPr>
                <w:b w:val="0"/>
                <w:bCs w:val="0"/>
              </w:rPr>
              <w:t>01</w:t>
            </w:r>
          </w:p>
        </w:tc>
        <w:tc>
          <w:tcPr>
            <w:tcW w:w="2070" w:type="dxa"/>
            <w:noWrap/>
          </w:tcPr>
          <w:p w:rsidR="00A85AFC" w:rsidP="00C64502" w:rsidRDefault="00C64502" w14:paraId="4D572CD5" w14:textId="77777777">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Freedman/</w:t>
            </w:r>
          </w:p>
          <w:p w:rsidRPr="00EC6ACE" w:rsidR="00C64502" w:rsidP="00C64502" w:rsidRDefault="00C64502" w14:paraId="01E7107B" w14:textId="71225657">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Ashford</w:t>
            </w:r>
          </w:p>
        </w:tc>
        <w:tc>
          <w:tcPr>
            <w:tcW w:w="6960" w:type="dxa"/>
          </w:tcPr>
          <w:p w:rsidRPr="00EC6ACE" w:rsidR="00C64502" w:rsidP="00C64502" w:rsidRDefault="00C64502" w14:paraId="186FECC4" w14:textId="688F0EE7">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 xml:space="preserve">Prepared Testimony of Matthew Freedman and Sylvie Ashford Addressing </w:t>
            </w:r>
            <w:r w:rsidRPr="00EC6ACE" w:rsidR="00A86268">
              <w:t>SDG&amp;E</w:t>
            </w:r>
            <w:r w:rsidR="00A86268">
              <w:t xml:space="preserve"> </w:t>
            </w:r>
            <w:r w:rsidRPr="00EC6ACE">
              <w:t xml:space="preserve">Application to Establish a Ratemaking Mechanism for Energization Projects Pursuant to </w:t>
            </w:r>
            <w:r w:rsidR="002C4CEB">
              <w:t>SB</w:t>
            </w:r>
            <w:r w:rsidR="006326BB">
              <w:t> </w:t>
            </w:r>
            <w:r w:rsidRPr="00EC6ACE">
              <w:t>410 (</w:t>
            </w:r>
            <w:r w:rsidR="007F1773">
              <w:t>June </w:t>
            </w:r>
            <w:r w:rsidRPr="00EC6ACE">
              <w:t>30, 2025)</w:t>
            </w:r>
          </w:p>
        </w:tc>
      </w:tr>
      <w:tr w:rsidRPr="00EC6ACE" w:rsidR="00EC6ACE" w:rsidTr="00CA7330" w14:paraId="7046A562"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tcPr>
          <w:p w:rsidRPr="009137DA" w:rsidR="00C64502" w:rsidP="00C64502" w:rsidRDefault="00C64502" w14:paraId="42934B95" w14:textId="473FCFE2">
            <w:pPr>
              <w:spacing w:line="240" w:lineRule="auto"/>
              <w:ind w:firstLine="0"/>
              <w:rPr>
                <w:b w:val="0"/>
                <w:bCs w:val="0"/>
              </w:rPr>
            </w:pPr>
            <w:r w:rsidRPr="009137DA">
              <w:rPr>
                <w:b w:val="0"/>
                <w:bCs w:val="0"/>
              </w:rPr>
              <w:t>TURN</w:t>
            </w:r>
            <w:r w:rsidR="00503215">
              <w:rPr>
                <w:b w:val="0"/>
                <w:bCs w:val="0"/>
              </w:rPr>
              <w:noBreakHyphen/>
            </w:r>
            <w:r w:rsidRPr="009137DA">
              <w:rPr>
                <w:b w:val="0"/>
                <w:bCs w:val="0"/>
              </w:rPr>
              <w:t>02</w:t>
            </w:r>
          </w:p>
        </w:tc>
        <w:tc>
          <w:tcPr>
            <w:tcW w:w="2070" w:type="dxa"/>
            <w:noWrap/>
          </w:tcPr>
          <w:p w:rsidR="00A85AFC" w:rsidP="00C64502" w:rsidRDefault="00C64502" w14:paraId="0ACEB8A3" w14:textId="77777777">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Freedman/</w:t>
            </w:r>
          </w:p>
          <w:p w:rsidRPr="00EC6ACE" w:rsidR="00C64502" w:rsidP="00C64502" w:rsidRDefault="00C64502" w14:paraId="27C77630" w14:textId="245FD081">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Ashford</w:t>
            </w:r>
          </w:p>
        </w:tc>
        <w:tc>
          <w:tcPr>
            <w:tcW w:w="6960" w:type="dxa"/>
          </w:tcPr>
          <w:p w:rsidRPr="00EC6ACE" w:rsidR="00C64502" w:rsidP="00C64502" w:rsidRDefault="00C64502" w14:paraId="2A0DC7DC" w14:textId="461B18C5">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 xml:space="preserve">Attachments to the Prepared Testimony of Matthew Freedman and Sylvie Ashford Addressing </w:t>
            </w:r>
            <w:r w:rsidRPr="00EC6ACE" w:rsidR="00A86268">
              <w:t>SDG&amp;E</w:t>
            </w:r>
            <w:r w:rsidR="00A86268">
              <w:t xml:space="preserve"> </w:t>
            </w:r>
            <w:r w:rsidRPr="00EC6ACE">
              <w:t xml:space="preserve">Application to Establish a Ratemaking Mechanism for Energization Projects Pursuant to </w:t>
            </w:r>
            <w:r w:rsidR="002C4CEB">
              <w:t>SB</w:t>
            </w:r>
            <w:r w:rsidR="006326BB">
              <w:t> </w:t>
            </w:r>
            <w:r w:rsidRPr="00EC6ACE">
              <w:t>410 (</w:t>
            </w:r>
            <w:r w:rsidR="007F1773">
              <w:t>June </w:t>
            </w:r>
            <w:r w:rsidRPr="00EC6ACE">
              <w:t>30, 2025)</w:t>
            </w:r>
          </w:p>
        </w:tc>
      </w:tr>
      <w:tr w:rsidRPr="00EC6ACE" w:rsidR="00EC6ACE" w:rsidTr="00CA7330" w14:paraId="203A74D4"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tcPr>
          <w:p w:rsidRPr="009137DA" w:rsidR="00C64502" w:rsidP="00C64502" w:rsidRDefault="00C64502" w14:paraId="50A40DCC" w14:textId="69AFE0AB">
            <w:pPr>
              <w:spacing w:line="240" w:lineRule="auto"/>
              <w:ind w:firstLine="0"/>
              <w:rPr>
                <w:b w:val="0"/>
                <w:bCs w:val="0"/>
              </w:rPr>
            </w:pPr>
            <w:r w:rsidRPr="009137DA">
              <w:rPr>
                <w:b w:val="0"/>
                <w:bCs w:val="0"/>
              </w:rPr>
              <w:t>TURN</w:t>
            </w:r>
            <w:r w:rsidR="00503215">
              <w:rPr>
                <w:b w:val="0"/>
                <w:bCs w:val="0"/>
              </w:rPr>
              <w:noBreakHyphen/>
            </w:r>
            <w:r w:rsidRPr="009137DA">
              <w:rPr>
                <w:b w:val="0"/>
                <w:bCs w:val="0"/>
              </w:rPr>
              <w:t>03</w:t>
            </w:r>
          </w:p>
        </w:tc>
        <w:tc>
          <w:tcPr>
            <w:tcW w:w="2070" w:type="dxa"/>
            <w:noWrap/>
          </w:tcPr>
          <w:p w:rsidR="00A85AFC" w:rsidP="00C64502" w:rsidRDefault="00C64502" w14:paraId="5CF7AB0F" w14:textId="77777777">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Freedman/</w:t>
            </w:r>
          </w:p>
          <w:p w:rsidRPr="00EC6ACE" w:rsidR="00C64502" w:rsidP="00C64502" w:rsidRDefault="00C64502" w14:paraId="40B21C42" w14:textId="378DFB8A">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Ashford</w:t>
            </w:r>
          </w:p>
        </w:tc>
        <w:tc>
          <w:tcPr>
            <w:tcW w:w="6960" w:type="dxa"/>
          </w:tcPr>
          <w:p w:rsidRPr="00EC6ACE" w:rsidR="00C64502" w:rsidP="00C64502" w:rsidRDefault="00C64502" w14:paraId="0BF2DEF4" w14:textId="05E170CE">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SDG&amp;E Responses to TURN Data Request</w:t>
            </w:r>
            <w:r w:rsidR="002C4CEB">
              <w:t xml:space="preserve"> No. </w:t>
            </w:r>
            <w:r w:rsidRPr="00EC6ACE">
              <w:t>6</w:t>
            </w:r>
          </w:p>
        </w:tc>
      </w:tr>
      <w:tr w:rsidRPr="00EC6ACE" w:rsidR="00EC6ACE" w:rsidTr="00CA7330" w14:paraId="48504303"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tcPr>
          <w:p w:rsidRPr="009137DA" w:rsidR="00C64502" w:rsidP="00C64502" w:rsidRDefault="00C64502" w14:paraId="0530BC7C" w14:textId="22FCF401">
            <w:pPr>
              <w:spacing w:line="240" w:lineRule="auto"/>
              <w:ind w:firstLine="0"/>
              <w:rPr>
                <w:b w:val="0"/>
                <w:bCs w:val="0"/>
              </w:rPr>
            </w:pPr>
            <w:r w:rsidRPr="009137DA">
              <w:rPr>
                <w:b w:val="0"/>
                <w:bCs w:val="0"/>
              </w:rPr>
              <w:t>UCAN</w:t>
            </w:r>
            <w:r w:rsidR="00503215">
              <w:rPr>
                <w:b w:val="0"/>
                <w:bCs w:val="0"/>
              </w:rPr>
              <w:noBreakHyphen/>
            </w:r>
            <w:r w:rsidRPr="009137DA">
              <w:rPr>
                <w:b w:val="0"/>
                <w:bCs w:val="0"/>
              </w:rPr>
              <w:t>01</w:t>
            </w:r>
          </w:p>
        </w:tc>
        <w:tc>
          <w:tcPr>
            <w:tcW w:w="2070" w:type="dxa"/>
            <w:noWrap/>
          </w:tcPr>
          <w:p w:rsidRPr="00EC6ACE" w:rsidR="00C64502" w:rsidP="00C64502" w:rsidRDefault="00C64502" w14:paraId="39BBA096" w14:textId="0B179A22">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Zeller</w:t>
            </w:r>
          </w:p>
        </w:tc>
        <w:tc>
          <w:tcPr>
            <w:tcW w:w="6960" w:type="dxa"/>
          </w:tcPr>
          <w:p w:rsidRPr="00EC6ACE" w:rsidR="00C64502" w:rsidP="00C64502" w:rsidRDefault="00C64502" w14:paraId="6E0C7587" w14:textId="50144AF5">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 xml:space="preserve">Direct Testimony of Jason Zeller on Behalf of </w:t>
            </w:r>
            <w:r w:rsidR="002C4CEB">
              <w:t xml:space="preserve">UCAN </w:t>
            </w:r>
            <w:r w:rsidRPr="00EC6ACE">
              <w:t xml:space="preserve">Regarding the Accelerated Energization Application of </w:t>
            </w:r>
            <w:r w:rsidRPr="00EC6ACE" w:rsidR="00A86268">
              <w:t>SDG&amp;E</w:t>
            </w:r>
            <w:r w:rsidR="00A86268">
              <w:t xml:space="preserve"> </w:t>
            </w:r>
            <w:r w:rsidRPr="00EC6ACE">
              <w:t>(</w:t>
            </w:r>
            <w:r w:rsidR="007F1773">
              <w:t>June </w:t>
            </w:r>
            <w:r w:rsidRPr="00EC6ACE">
              <w:t>30, 2025)</w:t>
            </w:r>
          </w:p>
        </w:tc>
      </w:tr>
      <w:tr w:rsidRPr="00EC6ACE" w:rsidR="00EC6ACE" w:rsidTr="00CA7330" w14:paraId="4412795E"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tcPr>
          <w:p w:rsidRPr="009137DA" w:rsidR="00C64502" w:rsidP="00C64502" w:rsidRDefault="00C64502" w14:paraId="48C6FF33" w14:textId="1FA4868D">
            <w:pPr>
              <w:spacing w:line="240" w:lineRule="auto"/>
              <w:ind w:firstLine="0"/>
              <w:rPr>
                <w:b w:val="0"/>
                <w:bCs w:val="0"/>
              </w:rPr>
            </w:pPr>
            <w:r w:rsidRPr="009137DA">
              <w:rPr>
                <w:b w:val="0"/>
                <w:bCs w:val="0"/>
              </w:rPr>
              <w:t>UCAN</w:t>
            </w:r>
            <w:r w:rsidR="00503215">
              <w:rPr>
                <w:b w:val="0"/>
                <w:bCs w:val="0"/>
              </w:rPr>
              <w:noBreakHyphen/>
            </w:r>
            <w:r w:rsidRPr="009137DA">
              <w:rPr>
                <w:b w:val="0"/>
                <w:bCs w:val="0"/>
              </w:rPr>
              <w:t>02</w:t>
            </w:r>
          </w:p>
        </w:tc>
        <w:tc>
          <w:tcPr>
            <w:tcW w:w="2070" w:type="dxa"/>
            <w:noWrap/>
          </w:tcPr>
          <w:p w:rsidRPr="00EC6ACE" w:rsidR="00C64502" w:rsidP="00C64502" w:rsidRDefault="00C64502" w14:paraId="15392FC1" w14:textId="18975B1E">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Zeller/Lopez</w:t>
            </w:r>
          </w:p>
        </w:tc>
        <w:tc>
          <w:tcPr>
            <w:tcW w:w="6960" w:type="dxa"/>
          </w:tcPr>
          <w:p w:rsidRPr="00EC6ACE" w:rsidR="00C64502" w:rsidP="00C64502" w:rsidRDefault="00C64502" w14:paraId="4DE9CBFD" w14:textId="5B31BC8A">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SDG&amp;E Responses to UCAN D</w:t>
            </w:r>
            <w:r w:rsidR="002C4CEB">
              <w:t>ata Request No. </w:t>
            </w:r>
            <w:r w:rsidRPr="00EC6ACE">
              <w:t>1</w:t>
            </w:r>
          </w:p>
        </w:tc>
      </w:tr>
      <w:tr w:rsidRPr="00EC6ACE" w:rsidR="00EC6ACE" w:rsidTr="00CA7330" w14:paraId="4FBED6BA"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tcPr>
          <w:p w:rsidRPr="009137DA" w:rsidR="00C64502" w:rsidP="0095580E" w:rsidRDefault="00C64502" w14:paraId="3C7A69BA" w14:textId="4674CE25">
            <w:pPr>
              <w:spacing w:line="240" w:lineRule="auto"/>
              <w:ind w:firstLine="0"/>
              <w:rPr>
                <w:b w:val="0"/>
                <w:bCs w:val="0"/>
              </w:rPr>
            </w:pPr>
            <w:r w:rsidRPr="009137DA">
              <w:rPr>
                <w:b w:val="0"/>
                <w:bCs w:val="0"/>
              </w:rPr>
              <w:t>UCAN</w:t>
            </w:r>
            <w:r w:rsidR="00503215">
              <w:rPr>
                <w:b w:val="0"/>
                <w:bCs w:val="0"/>
              </w:rPr>
              <w:noBreakHyphen/>
            </w:r>
            <w:r w:rsidRPr="009137DA">
              <w:rPr>
                <w:b w:val="0"/>
                <w:bCs w:val="0"/>
              </w:rPr>
              <w:t>03</w:t>
            </w:r>
          </w:p>
        </w:tc>
        <w:tc>
          <w:tcPr>
            <w:tcW w:w="2070" w:type="dxa"/>
            <w:noWrap/>
          </w:tcPr>
          <w:p w:rsidRPr="00EC6ACE" w:rsidR="00C64502" w:rsidP="0095580E" w:rsidRDefault="00C64502" w14:paraId="3F36CADA" w14:textId="7E8A161E">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Zeller/Lopez</w:t>
            </w:r>
          </w:p>
        </w:tc>
        <w:tc>
          <w:tcPr>
            <w:tcW w:w="6960" w:type="dxa"/>
          </w:tcPr>
          <w:p w:rsidRPr="00EC6ACE" w:rsidR="00C64502" w:rsidP="0095580E" w:rsidRDefault="00C64502" w14:paraId="3410F592" w14:textId="3314AD37">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 xml:space="preserve">SDG&amp;E Responses to UCAN </w:t>
            </w:r>
            <w:r w:rsidRPr="00EC6ACE" w:rsidR="002C4CEB">
              <w:t>D</w:t>
            </w:r>
            <w:r w:rsidR="002C4CEB">
              <w:t>ata Request No. </w:t>
            </w:r>
            <w:r w:rsidRPr="00EC6ACE">
              <w:t>2</w:t>
            </w:r>
          </w:p>
        </w:tc>
      </w:tr>
      <w:tr w:rsidRPr="00EC6ACE" w:rsidR="00EC6ACE" w:rsidTr="00CA7330" w14:paraId="5964129B"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525" w:type="dxa"/>
            <w:noWrap/>
          </w:tcPr>
          <w:p w:rsidRPr="009137DA" w:rsidR="00C64502" w:rsidP="00C64502" w:rsidRDefault="00C64502" w14:paraId="2DFFF33A" w14:textId="6CEEBB0C">
            <w:pPr>
              <w:spacing w:line="240" w:lineRule="auto"/>
              <w:ind w:firstLine="0"/>
              <w:rPr>
                <w:b w:val="0"/>
                <w:bCs w:val="0"/>
              </w:rPr>
            </w:pPr>
            <w:r w:rsidRPr="009137DA">
              <w:rPr>
                <w:b w:val="0"/>
                <w:bCs w:val="0"/>
              </w:rPr>
              <w:lastRenderedPageBreak/>
              <w:t>SBUA</w:t>
            </w:r>
            <w:r w:rsidR="00503215">
              <w:rPr>
                <w:b w:val="0"/>
                <w:bCs w:val="0"/>
              </w:rPr>
              <w:noBreakHyphen/>
            </w:r>
            <w:r w:rsidRPr="009137DA">
              <w:rPr>
                <w:b w:val="0"/>
                <w:bCs w:val="0"/>
              </w:rPr>
              <w:t>01</w:t>
            </w:r>
          </w:p>
        </w:tc>
        <w:tc>
          <w:tcPr>
            <w:tcW w:w="2070" w:type="dxa"/>
            <w:noWrap/>
          </w:tcPr>
          <w:p w:rsidRPr="00EC6ACE" w:rsidR="00C64502" w:rsidP="00C64502" w:rsidRDefault="00C64502" w14:paraId="4F22CE03" w14:textId="59A5BE90">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Sherriff</w:t>
            </w:r>
          </w:p>
        </w:tc>
        <w:tc>
          <w:tcPr>
            <w:tcW w:w="6960" w:type="dxa"/>
          </w:tcPr>
          <w:p w:rsidRPr="00EC6ACE" w:rsidR="00C64502" w:rsidP="00C64502" w:rsidRDefault="00C64502" w14:paraId="0546300C" w14:textId="74382323">
            <w:pPr>
              <w:spacing w:line="240" w:lineRule="auto"/>
              <w:ind w:firstLine="0"/>
              <w:cnfStyle w:val="000000000000" w:firstRow="0" w:lastRow="0" w:firstColumn="0" w:lastColumn="0" w:oddVBand="0" w:evenVBand="0" w:oddHBand="0" w:evenHBand="0" w:firstRowFirstColumn="0" w:firstRowLastColumn="0" w:lastRowFirstColumn="0" w:lastRowLastColumn="0"/>
            </w:pPr>
            <w:r w:rsidRPr="00EC6ACE">
              <w:t xml:space="preserve">Prepared Testimony of Matt Sherriff on Behalf of </w:t>
            </w:r>
            <w:proofErr w:type="spellStart"/>
            <w:r w:rsidR="002C4CEB">
              <w:t>SBUA</w:t>
            </w:r>
            <w:proofErr w:type="spellEnd"/>
            <w:r w:rsidRPr="00EC6ACE">
              <w:t xml:space="preserve"> (</w:t>
            </w:r>
            <w:r w:rsidR="007F1773">
              <w:t>June </w:t>
            </w:r>
            <w:r w:rsidRPr="00EC6ACE">
              <w:t>30, 2025)</w:t>
            </w:r>
          </w:p>
        </w:tc>
      </w:tr>
    </w:tbl>
    <w:p w:rsidR="00BA5AC4" w:rsidP="00BA5AC4" w:rsidRDefault="00BA5AC4" w14:paraId="129DCC3B" w14:textId="77777777">
      <w:pPr>
        <w:pStyle w:val="HeadingTableSub"/>
      </w:pPr>
    </w:p>
    <w:p w:rsidRPr="00877B13" w:rsidR="003B54ED" w:rsidP="003B54ED" w:rsidRDefault="003B54ED" w14:paraId="04E18E6B" w14:textId="034EB268">
      <w:pPr>
        <w:pStyle w:val="Standard"/>
        <w:rPr>
          <w:i/>
          <w:iCs/>
        </w:rPr>
      </w:pPr>
      <w:r>
        <w:t xml:space="preserve">On August 1, 2025, Cal Advocates </w:t>
      </w:r>
      <w:r w:rsidR="00433D6D">
        <w:t xml:space="preserve">also </w:t>
      </w:r>
      <w:r>
        <w:t xml:space="preserve">filed a </w:t>
      </w:r>
      <w:r w:rsidRPr="002F40F2">
        <w:rPr>
          <w:i/>
          <w:iCs/>
        </w:rPr>
        <w:t xml:space="preserve">Motion </w:t>
      </w:r>
      <w:r>
        <w:rPr>
          <w:i/>
          <w:iCs/>
        </w:rPr>
        <w:t>of t</w:t>
      </w:r>
      <w:r w:rsidRPr="002F40F2">
        <w:rPr>
          <w:i/>
          <w:iCs/>
        </w:rPr>
        <w:t xml:space="preserve">he Public Advocates Office </w:t>
      </w:r>
      <w:r>
        <w:rPr>
          <w:i/>
          <w:iCs/>
        </w:rPr>
        <w:t>t</w:t>
      </w:r>
      <w:r w:rsidRPr="002F40F2">
        <w:rPr>
          <w:i/>
          <w:iCs/>
        </w:rPr>
        <w:t xml:space="preserve">o Seal Portions </w:t>
      </w:r>
      <w:r>
        <w:rPr>
          <w:i/>
          <w:iCs/>
        </w:rPr>
        <w:t>of t</w:t>
      </w:r>
      <w:r w:rsidRPr="002F40F2">
        <w:rPr>
          <w:i/>
          <w:iCs/>
        </w:rPr>
        <w:t>he Evidentiary Record</w:t>
      </w:r>
      <w:r>
        <w:rPr>
          <w:i/>
          <w:iCs/>
        </w:rPr>
        <w:t xml:space="preserve">. </w:t>
      </w:r>
      <w:r w:rsidR="00433D6D">
        <w:t>This</w:t>
      </w:r>
      <w:r>
        <w:t xml:space="preserve"> motion</w:t>
      </w:r>
      <w:r w:rsidR="00433D6D">
        <w:t xml:space="preserve"> i</w:t>
      </w:r>
      <w:r>
        <w:t>s granted.</w:t>
      </w:r>
      <w:r w:rsidRPr="00742685">
        <w:t xml:space="preserve"> </w:t>
      </w:r>
      <w:r w:rsidRPr="008B175A">
        <w:t>All motions not ruled on are deemed denied.</w:t>
      </w:r>
    </w:p>
    <w:p w:rsidR="003B54ED" w:rsidP="00BB4B1B" w:rsidRDefault="003B54ED" w14:paraId="14BE2DD9" w14:textId="582C722F">
      <w:pPr>
        <w:pStyle w:val="Standard"/>
      </w:pPr>
      <w:r w:rsidRPr="008B175A">
        <w:t xml:space="preserve">This decision affirms all rulings made by the </w:t>
      </w:r>
      <w:r>
        <w:t xml:space="preserve">assigned ALJ </w:t>
      </w:r>
      <w:r w:rsidRPr="008B175A">
        <w:t>and assigned Commissioner in this proceeding.</w:t>
      </w:r>
    </w:p>
    <w:p w:rsidR="005939A5" w:rsidP="005939A5" w:rsidRDefault="005939A5" w14:paraId="546169E3" w14:textId="38439BD6">
      <w:pPr>
        <w:pStyle w:val="Heading1"/>
      </w:pPr>
      <w:bookmarkStart w:name="_Toc212538577" w:id="76"/>
      <w:r>
        <w:t>Comments on Proposed Decision</w:t>
      </w:r>
      <w:bookmarkEnd w:id="74"/>
      <w:bookmarkEnd w:id="76"/>
    </w:p>
    <w:p w:rsidR="007F1773" w:rsidP="005B68F7" w:rsidRDefault="005C58FA" w14:paraId="5F83BFE9" w14:textId="5BCC6B81">
      <w:pPr>
        <w:pStyle w:val="Standard"/>
      </w:pPr>
      <w:r w:rsidRPr="00E928B0">
        <w:t xml:space="preserve">The proposed decision </w:t>
      </w:r>
      <w:r w:rsidR="002451D8">
        <w:t xml:space="preserve">(PD) </w:t>
      </w:r>
      <w:r w:rsidRPr="00E928B0">
        <w:t xml:space="preserve">of ALJ </w:t>
      </w:r>
      <w:r w:rsidRPr="00E928B0" w:rsidR="00E928B0">
        <w:t>Andrew Dugowson</w:t>
      </w:r>
      <w:r w:rsidR="00E928B0">
        <w:t xml:space="preserve"> </w:t>
      </w:r>
      <w:r>
        <w:t xml:space="preserve">in this matter was mailed to the parties in accordance with </w:t>
      </w:r>
      <w:r w:rsidRPr="00147172" w:rsidR="00147172">
        <w:t>Pub.</w:t>
      </w:r>
      <w:r w:rsidR="00147172">
        <w:t> </w:t>
      </w:r>
      <w:r w:rsidRPr="00147172" w:rsidR="00147172">
        <w:t>Util.</w:t>
      </w:r>
      <w:r w:rsidR="00147172">
        <w:t xml:space="preserve"> </w:t>
      </w:r>
      <w:r w:rsidR="004655D9">
        <w:t>Code Section </w:t>
      </w:r>
      <w:r>
        <w:t xml:space="preserve">311 and comments were allowed under </w:t>
      </w:r>
      <w:r w:rsidR="00147172">
        <w:t>Rule </w:t>
      </w:r>
      <w:r>
        <w:t>14.3.</w:t>
      </w:r>
      <w:r w:rsidR="007D7D45">
        <w:t xml:space="preserve"> </w:t>
      </w:r>
      <w:r>
        <w:t xml:space="preserve">Comments were filed on </w:t>
      </w:r>
      <w:r w:rsidR="00CA3FC9">
        <w:t xml:space="preserve">September </w:t>
      </w:r>
      <w:r w:rsidR="000422D8">
        <w:t>29</w:t>
      </w:r>
      <w:r w:rsidR="00CA3FC9">
        <w:t xml:space="preserve">, 2025 by Cal Advocates, </w:t>
      </w:r>
      <w:r w:rsidR="004B2D12">
        <w:t xml:space="preserve">CUE, </w:t>
      </w:r>
      <w:proofErr w:type="spellStart"/>
      <w:r w:rsidR="00CA3FC9">
        <w:t>SBUA</w:t>
      </w:r>
      <w:proofErr w:type="spellEnd"/>
      <w:r w:rsidR="00CA3FC9">
        <w:t>, SDG&amp;E, TURN, and UCAN,</w:t>
      </w:r>
      <w:r w:rsidR="00CA3FC9">
        <w:t xml:space="preserve"> </w:t>
      </w:r>
      <w:r>
        <w:t xml:space="preserve">and reply comments were filed on </w:t>
      </w:r>
      <w:r w:rsidR="00252DB0">
        <w:t xml:space="preserve">October 6, 2025 </w:t>
      </w:r>
      <w:r>
        <w:t xml:space="preserve">by </w:t>
      </w:r>
      <w:r w:rsidR="00E12C61">
        <w:t xml:space="preserve">Cal Advocates, CUE, </w:t>
      </w:r>
      <w:proofErr w:type="spellStart"/>
      <w:r w:rsidR="00E12C61">
        <w:t>SBUA</w:t>
      </w:r>
      <w:proofErr w:type="spellEnd"/>
      <w:r w:rsidR="00E12C61">
        <w:t>, SDG&amp;E, TURN, and UCAN.</w:t>
      </w:r>
    </w:p>
    <w:p w:rsidR="002D3DB4" w:rsidRDefault="002D3DB4" w14:paraId="55E74DAC" w14:textId="14C60F0B">
      <w:pPr>
        <w:pStyle w:val="Standard"/>
      </w:pPr>
      <w:r>
        <w:t xml:space="preserve">Cal Advocates </w:t>
      </w:r>
      <w:r w:rsidR="30C72132">
        <w:t xml:space="preserve">asks </w:t>
      </w:r>
      <w:r>
        <w:t xml:space="preserve">the Commission </w:t>
      </w:r>
      <w:r w:rsidR="32FB07FC">
        <w:t xml:space="preserve">to </w:t>
      </w:r>
      <w:r>
        <w:t>exclude 2024 costs from the cap.</w:t>
      </w:r>
      <w:r w:rsidR="002451D8">
        <w:t xml:space="preserve"> Cal Advocates’ argues that (1) the PD states the Commission will review SDG&amp;E’s cost forecasts on a case-by-case basis, but the recorded 2024 costs are not forecasts and therefore do not fit into the framework the PD laid out, and (2)</w:t>
      </w:r>
      <w:r w:rsidR="0033418C">
        <w:t> </w:t>
      </w:r>
      <w:r w:rsidR="002451D8">
        <w:t xml:space="preserve">the PD errs in its determination that SB 410’s use of the phrase “up-front annual cap” is ambiguous. Cal Advocates’ arguments are not persuasive: the first argument is about terminology and has been addressed by changes in word choice to this PD; the second argument </w:t>
      </w:r>
      <w:r w:rsidR="00005B67">
        <w:t xml:space="preserve">only reflects a difference in </w:t>
      </w:r>
      <w:r w:rsidR="004D3C1A">
        <w:t xml:space="preserve">statutory </w:t>
      </w:r>
      <w:r w:rsidR="00005B67">
        <w:t>interpretation between the PD and Cal Advocates.</w:t>
      </w:r>
    </w:p>
    <w:p w:rsidR="00331782" w:rsidP="005B68F7" w:rsidRDefault="00005B67" w14:paraId="00C82A64" w14:textId="04465897">
      <w:pPr>
        <w:pStyle w:val="Standard"/>
      </w:pPr>
      <w:r>
        <w:lastRenderedPageBreak/>
        <w:t xml:space="preserve">Cal Advocates argues that the PD errs because it requires SDG&amp;E only to seek cost recovery for projects once they are placed in service but does not set a cut-off date by which those projects must be placed in service. </w:t>
      </w:r>
    </w:p>
    <w:p w:rsidR="00EE2437" w:rsidP="005B68F7" w:rsidRDefault="005E744F" w14:paraId="10D7AEBF" w14:textId="6ECD804C">
      <w:pPr>
        <w:pStyle w:val="Standard"/>
      </w:pPr>
      <w:r>
        <w:t xml:space="preserve">SDG&amp;E argues that it is “arbitrary and capricious” for the PD only to record costs placed in service </w:t>
      </w:r>
      <w:r w:rsidR="00B00DDC">
        <w:t>on or before</w:t>
      </w:r>
      <w:r>
        <w:t xml:space="preserve"> </w:t>
      </w:r>
      <w:r w:rsidR="00B00DDC">
        <w:t>December 31</w:t>
      </w:r>
      <w:r>
        <w:t>, 202</w:t>
      </w:r>
      <w:r w:rsidR="00B00DDC">
        <w:t>6</w:t>
      </w:r>
      <w:r>
        <w:t xml:space="preserve">, but this argument </w:t>
      </w:r>
      <w:r w:rsidR="00D574A9">
        <w:t xml:space="preserve">is inapposite </w:t>
      </w:r>
      <w:r>
        <w:t xml:space="preserve">because </w:t>
      </w:r>
      <w:r w:rsidR="00102CA4">
        <w:t xml:space="preserve">(1) the PD </w:t>
      </w:r>
      <w:r w:rsidR="006A786D">
        <w:t>denied</w:t>
      </w:r>
      <w:r w:rsidR="00AF6179">
        <w:t xml:space="preserve"> post-2026 costs </w:t>
      </w:r>
      <w:r w:rsidR="00577CCC">
        <w:t xml:space="preserve">for lack of justification, not based on the </w:t>
      </w:r>
      <w:r w:rsidR="00D74F06">
        <w:t xml:space="preserve">date alone, and (2) </w:t>
      </w:r>
      <w:r>
        <w:t xml:space="preserve">SDG&amp;E committed to </w:t>
      </w:r>
      <w:r w:rsidR="00D74F06">
        <w:t xml:space="preserve">not recording post-2026 costs by </w:t>
      </w:r>
      <w:r>
        <w:t>its own volition</w:t>
      </w:r>
      <w:r w:rsidR="004C2B4B">
        <w:t xml:space="preserve"> in its response to a data request</w:t>
      </w:r>
      <w:r>
        <w:t>.</w:t>
      </w:r>
      <w:r w:rsidR="002A2C46">
        <w:rPr>
          <w:rStyle w:val="FootnoteReference"/>
        </w:rPr>
        <w:footnoteReference w:id="179"/>
      </w:r>
      <w:r>
        <w:t xml:space="preserve"> </w:t>
      </w:r>
      <w:r w:rsidR="00064303">
        <w:t>SDG&amp;E further requests for the Commission t</w:t>
      </w:r>
      <w:r w:rsidR="003F2149">
        <w:t>o only require reports from the third-party auditor through March 1, 2027, instead of March 1, 2028.</w:t>
      </w:r>
      <w:r w:rsidR="003F2149">
        <w:rPr>
          <w:rStyle w:val="FootnoteReference"/>
        </w:rPr>
        <w:footnoteReference w:id="180"/>
      </w:r>
      <w:r w:rsidR="003F2149">
        <w:t xml:space="preserve"> </w:t>
      </w:r>
      <w:r w:rsidR="005A63E5">
        <w:t xml:space="preserve">As SDG&amp;E may seek cost recovery for post-2026 costs in a future filing (PFM or otherwise), </w:t>
      </w:r>
      <w:r w:rsidR="00833E41">
        <w:t>the PD does not adopt that change.</w:t>
      </w:r>
    </w:p>
    <w:p w:rsidRPr="00665100" w:rsidR="00B24100" w:rsidP="00B24100" w:rsidRDefault="00B24100" w14:paraId="5D2FFED8" w14:textId="71E8B072">
      <w:pPr>
        <w:pStyle w:val="Standard"/>
      </w:pPr>
      <w:r w:rsidRPr="00665100">
        <w:t xml:space="preserve">SDG&amp;E disagrees with the </w:t>
      </w:r>
      <w:r w:rsidR="10201803">
        <w:t xml:space="preserve">PD’s </w:t>
      </w:r>
      <w:r w:rsidRPr="00665100">
        <w:t>reductions individually (discussed below), but also collectively</w:t>
      </w:r>
      <w:r w:rsidR="18E83F04">
        <w:t xml:space="preserve">. </w:t>
      </w:r>
      <w:r w:rsidRPr="00665100">
        <w:t>SDG&amp;E claims that the PD only authorizes SDG&amp;E to record costs for which it can demonstrate a need “beyond doubt,” only approving costs for which SDG&amp;E can demonstrate a “dire need…with absolute certainty.”</w:t>
      </w:r>
      <w:r w:rsidRPr="00665100">
        <w:rPr>
          <w:rStyle w:val="FootnoteReference"/>
        </w:rPr>
        <w:footnoteReference w:id="181"/>
      </w:r>
      <w:r w:rsidRPr="00665100">
        <w:t xml:space="preserve"> SDG&amp;E is incorrect: this PD authorizes a smaller cap because SDG&amp;E failed to make the de minimis showing that it needed cap space for much of its request. SB 410 does not require the Commission to allow SDG&amp;E to record </w:t>
      </w:r>
      <w:r w:rsidR="2CD882F6">
        <w:t>costs</w:t>
      </w:r>
      <w:r w:rsidRPr="00665100">
        <w:t xml:space="preserve"> for which the utility offered </w:t>
      </w:r>
      <w:r w:rsidR="00105150">
        <w:t>insufficient</w:t>
      </w:r>
      <w:r w:rsidR="2E9D3D26">
        <w:t xml:space="preserve"> evidence</w:t>
      </w:r>
      <w:r w:rsidR="0080524A">
        <w:t>:</w:t>
      </w:r>
      <w:r w:rsidR="004E1B5D">
        <w:t xml:space="preserve"> Section 973(b)(2) requires the Commission to review all the information submitted </w:t>
      </w:r>
      <w:r w:rsidR="002E417F">
        <w:t xml:space="preserve">by </w:t>
      </w:r>
      <w:r w:rsidR="001926DE">
        <w:t>a utility,</w:t>
      </w:r>
      <w:r w:rsidRPr="00665100">
        <w:t xml:space="preserve"> </w:t>
      </w:r>
      <w:r w:rsidR="001926DE">
        <w:lastRenderedPageBreak/>
        <w:t>and,</w:t>
      </w:r>
      <w:r w:rsidRPr="00665100">
        <w:t xml:space="preserve"> </w:t>
      </w:r>
      <w:proofErr w:type="spellStart"/>
      <w:r w:rsidRPr="00665100">
        <w:t>SBUA</w:t>
      </w:r>
      <w:proofErr w:type="spellEnd"/>
      <w:r w:rsidRPr="00665100">
        <w:t xml:space="preserve"> notes, it is appropriate to apply </w:t>
      </w:r>
      <w:r w:rsidRPr="00665100">
        <w:rPr>
          <w:i/>
          <w:iCs/>
        </w:rPr>
        <w:t>some</w:t>
      </w:r>
      <w:r w:rsidRPr="00665100">
        <w:t xml:space="preserve"> level of scrutiny to SDG&amp;E’s application.</w:t>
      </w:r>
      <w:r w:rsidRPr="00665100">
        <w:rPr>
          <w:rStyle w:val="FootnoteReference"/>
        </w:rPr>
        <w:footnoteReference w:id="182"/>
      </w:r>
    </w:p>
    <w:p w:rsidR="00B24100" w:rsidRDefault="00B24100" w14:paraId="3A1512FC" w14:textId="5DF72CB7">
      <w:pPr>
        <w:pStyle w:val="Standard"/>
      </w:pPr>
      <w:r>
        <w:t>SDG&amp;E argues that the PD, in stating that SDG&amp;E did not sufficiently describe the compliance requirements that its IT enhancements were designed to meet, mischaracterizes the record.</w:t>
      </w:r>
      <w:r>
        <w:rPr>
          <w:rStyle w:val="FootnoteReference"/>
        </w:rPr>
        <w:footnoteReference w:id="183"/>
      </w:r>
      <w:r w:rsidR="00B3669C">
        <w:t xml:space="preserve"> SDG&amp;E then presents a table </w:t>
      </w:r>
      <w:r w:rsidR="00391AA7">
        <w:t xml:space="preserve">and  narrative description </w:t>
      </w:r>
      <w:r w:rsidR="00B3669C">
        <w:t xml:space="preserve">that </w:t>
      </w:r>
      <w:r w:rsidR="00391AA7">
        <w:t>identify some of the compliance requirements that some of its proposed IT Enhancements would meet.</w:t>
      </w:r>
      <w:r w:rsidR="00391AA7">
        <w:rPr>
          <w:rStyle w:val="FootnoteReference"/>
        </w:rPr>
        <w:footnoteReference w:id="184"/>
      </w:r>
      <w:r w:rsidR="00391AA7">
        <w:t xml:space="preserve"> </w:t>
      </w:r>
      <w:r w:rsidR="00CB49D1">
        <w:t xml:space="preserve">However, </w:t>
      </w:r>
      <w:r w:rsidR="00391AA7">
        <w:t xml:space="preserve"> the PD’s conclusions are not premised on the assertion that SDG&amp;E </w:t>
      </w:r>
      <w:r w:rsidR="00773625">
        <w:t xml:space="preserve">did not </w:t>
      </w:r>
      <w:r w:rsidR="00391AA7">
        <w:t xml:space="preserve">provide  information, but rather that SDG&amp;E provided </w:t>
      </w:r>
      <w:r w:rsidRPr="2D45F21F" w:rsidR="00391AA7">
        <w:rPr>
          <w:i/>
          <w:iCs/>
        </w:rPr>
        <w:t>insufficient</w:t>
      </w:r>
      <w:r w:rsidR="00C4022B">
        <w:rPr>
          <w:i/>
          <w:iCs/>
        </w:rPr>
        <w:t xml:space="preserve"> and</w:t>
      </w:r>
      <w:r w:rsidRPr="2D45F21F" w:rsidR="00391AA7">
        <w:rPr>
          <w:i/>
          <w:iCs/>
        </w:rPr>
        <w:t xml:space="preserve"> unconvincing </w:t>
      </w:r>
      <w:r w:rsidR="00391AA7">
        <w:t xml:space="preserve">information </w:t>
      </w:r>
      <w:r w:rsidR="00992D82">
        <w:t>Additionally</w:t>
      </w:r>
      <w:r w:rsidR="00795B19">
        <w:t xml:space="preserve">, some of the </w:t>
      </w:r>
      <w:r w:rsidR="00391AA7">
        <w:t>information</w:t>
      </w:r>
      <w:r w:rsidR="00795B19">
        <w:t xml:space="preserve"> SDG&amp;E presents that describes how the IT Enhancements will allow SDG&amp;E to comply with Commission requirements</w:t>
      </w:r>
      <w:r w:rsidR="00391AA7">
        <w:t xml:space="preserve"> is not found in the record of the proceeding</w:t>
      </w:r>
      <w:r w:rsidR="08697274">
        <w:t xml:space="preserve">. </w:t>
      </w:r>
      <w:r w:rsidR="002A2156">
        <w:t xml:space="preserve"> Opening </w:t>
      </w:r>
      <w:r w:rsidR="00DC217B">
        <w:t>c</w:t>
      </w:r>
      <w:r w:rsidR="00391AA7">
        <w:t xml:space="preserve">omments on a PD </w:t>
      </w:r>
      <w:r w:rsidR="7987ED5A">
        <w:t xml:space="preserve">may </w:t>
      </w:r>
      <w:r w:rsidR="00391AA7">
        <w:t xml:space="preserve">not introduce new </w:t>
      </w:r>
      <w:r w:rsidR="4C13F3F8">
        <w:t xml:space="preserve">evidence </w:t>
      </w:r>
      <w:r w:rsidR="00391AA7">
        <w:t>into the record</w:t>
      </w:r>
      <w:r w:rsidR="00CB24F5">
        <w:t xml:space="preserve">, </w:t>
      </w:r>
      <w:r w:rsidR="501142D9">
        <w:t xml:space="preserve">so we do not consider the new </w:t>
      </w:r>
      <w:r w:rsidR="5C2E9CC2">
        <w:t>material</w:t>
      </w:r>
      <w:r w:rsidR="00982058">
        <w:t>.</w:t>
      </w:r>
      <w:r w:rsidR="00D90C61">
        <w:rPr>
          <w:rStyle w:val="FootnoteReference"/>
        </w:rPr>
        <w:footnoteReference w:id="185"/>
      </w:r>
    </w:p>
    <w:p w:rsidR="00BA65BB" w:rsidRDefault="00BA65BB" w14:paraId="53462A39" w14:textId="42CA81E3">
      <w:pPr>
        <w:pStyle w:val="Standard"/>
      </w:pPr>
      <w:r>
        <w:t>SDG&amp;E further argues that the PD</w:t>
      </w:r>
      <w:r w:rsidR="001E60AE">
        <w:t>,</w:t>
      </w:r>
      <w:r>
        <w:t xml:space="preserve"> </w:t>
      </w:r>
      <w:r w:rsidR="001E60AE">
        <w:t xml:space="preserve">by </w:t>
      </w:r>
      <w:r>
        <w:t>prohibiting SDG&amp;E from recording IT Enhancement</w:t>
      </w:r>
      <w:r w:rsidR="69B1A601">
        <w:t xml:space="preserve"> cost</w:t>
      </w:r>
      <w:r>
        <w:t xml:space="preserve">s, is inconsistent with D.24-09-020, the decision </w:t>
      </w:r>
      <w:r w:rsidR="64B64A41">
        <w:t xml:space="preserve">that </w:t>
      </w:r>
      <w:r>
        <w:t>set the energization timeline targets and reporting requirements.</w:t>
      </w:r>
      <w:r>
        <w:rPr>
          <w:rStyle w:val="FootnoteReference"/>
        </w:rPr>
        <w:footnoteReference w:id="186"/>
      </w:r>
      <w:r>
        <w:t xml:space="preserve"> SDG&amp;E</w:t>
      </w:r>
      <w:r w:rsidR="006E760C">
        <w:t xml:space="preserve"> </w:t>
      </w:r>
      <w:r w:rsidR="271C6897">
        <w:t xml:space="preserve">may seek funding for general IT upgrades in its GRC, but it did not make any showing that the IT at issue is </w:t>
      </w:r>
      <w:r w:rsidR="00996805">
        <w:t>only</w:t>
      </w:r>
      <w:r w:rsidR="002C3A81">
        <w:t xml:space="preserve"> </w:t>
      </w:r>
      <w:r w:rsidR="271C6897">
        <w:t xml:space="preserve">for energization. </w:t>
      </w:r>
      <w:r w:rsidR="002252C3">
        <w:t xml:space="preserve">In addition, </w:t>
      </w:r>
      <w:r w:rsidR="00DA0689">
        <w:t xml:space="preserve">SDG&amp;E </w:t>
      </w:r>
      <w:r w:rsidR="00145D90">
        <w:t xml:space="preserve">does not argue that </w:t>
      </w:r>
      <w:r w:rsidR="00145D90">
        <w:lastRenderedPageBreak/>
        <w:t xml:space="preserve">its </w:t>
      </w:r>
      <w:r w:rsidR="00DA0689">
        <w:t>IT Enhancements meet the definition of “energization project” which the SB 410 ratemaking mechanism was designed to record.</w:t>
      </w:r>
    </w:p>
    <w:p w:rsidR="00937E74" w:rsidP="005B68F7" w:rsidRDefault="00BE5083" w14:paraId="5F8941DD" w14:textId="19C15374">
      <w:pPr>
        <w:pStyle w:val="Standard"/>
      </w:pPr>
      <w:r>
        <w:t xml:space="preserve"> SDG&amp;E argues that the PD improperly </w:t>
      </w:r>
      <w:r w:rsidR="004F5A6D">
        <w:t xml:space="preserve">does not allow </w:t>
      </w:r>
      <w:r w:rsidR="77266674">
        <w:t xml:space="preserve">two </w:t>
      </w:r>
      <w:r w:rsidR="054BCC03">
        <w:t>subcategories</w:t>
      </w:r>
      <w:r w:rsidR="004F5A6D">
        <w:t xml:space="preserve"> </w:t>
      </w:r>
      <w:r w:rsidR="77266674">
        <w:t xml:space="preserve">in the New Business category </w:t>
      </w:r>
      <w:r w:rsidR="004F5A6D">
        <w:t xml:space="preserve">to count toward the New Business cost cap </w:t>
      </w:r>
      <w:r w:rsidR="77266674">
        <w:t xml:space="preserve">because </w:t>
      </w:r>
      <w:r>
        <w:t xml:space="preserve">SDG&amp;E did not respond to </w:t>
      </w:r>
      <w:proofErr w:type="spellStart"/>
      <w:r>
        <w:t>TURN</w:t>
      </w:r>
      <w:r w:rsidR="47FAAB28">
        <w:t>’s</w:t>
      </w:r>
      <w:proofErr w:type="spellEnd"/>
      <w:r>
        <w:t xml:space="preserve"> argument</w:t>
      </w:r>
      <w:r w:rsidR="50C35D15">
        <w:t xml:space="preserve"> on the items.</w:t>
      </w:r>
      <w:r>
        <w:rPr>
          <w:rStyle w:val="FootnoteReference"/>
        </w:rPr>
        <w:footnoteReference w:id="187"/>
      </w:r>
      <w:r>
        <w:t xml:space="preserve"> </w:t>
      </w:r>
      <w:r w:rsidR="32AAA935">
        <w:t xml:space="preserve">However, </w:t>
      </w:r>
      <w:r w:rsidR="01FBF648">
        <w:t>t</w:t>
      </w:r>
      <w:r w:rsidR="00EF31E7">
        <w:t xml:space="preserve">he PD agrees with </w:t>
      </w:r>
      <w:proofErr w:type="spellStart"/>
      <w:r w:rsidR="00EF31E7">
        <w:t>TURN’s</w:t>
      </w:r>
      <w:proofErr w:type="spellEnd"/>
      <w:r w:rsidR="00EF31E7">
        <w:t xml:space="preserve"> argument that SDG&amp;E </w:t>
      </w:r>
      <w:r w:rsidR="008A02F5">
        <w:t xml:space="preserve">was inconsistent in how it </w:t>
      </w:r>
      <w:r w:rsidR="00515393">
        <w:t>determine</w:t>
      </w:r>
      <w:r w:rsidR="008A02F5">
        <w:t>d</w:t>
      </w:r>
      <w:r w:rsidR="00515393">
        <w:t xml:space="preserve"> which</w:t>
      </w:r>
      <w:r w:rsidR="00EF31E7">
        <w:t xml:space="preserve"> </w:t>
      </w:r>
      <w:r w:rsidR="0CA1C27C">
        <w:t>subcategories</w:t>
      </w:r>
      <w:r w:rsidR="00EF31E7">
        <w:t xml:space="preserve"> in the New Business category were energization-related</w:t>
      </w:r>
      <w:r w:rsidR="00B36592">
        <w:t>.</w:t>
      </w:r>
      <w:r w:rsidR="0091397D">
        <w:t xml:space="preserve"> </w:t>
      </w:r>
      <w:r w:rsidR="00E02AA5">
        <w:t xml:space="preserve">The logic that </w:t>
      </w:r>
      <w:r w:rsidR="4DEEB418">
        <w:t xml:space="preserve">SDG&amp;E </w:t>
      </w:r>
      <w:r w:rsidR="00E02AA5">
        <w:t xml:space="preserve">relied upon to </w:t>
      </w:r>
      <w:r w:rsidR="0091397D">
        <w:t>exclude five s</w:t>
      </w:r>
      <w:r w:rsidR="15A415EA">
        <w:t>ubcategories</w:t>
      </w:r>
      <w:r w:rsidR="00E02AA5">
        <w:t xml:space="preserve"> equally applied to </w:t>
      </w:r>
      <w:r w:rsidR="0091397D">
        <w:t>two subcategories</w:t>
      </w:r>
      <w:r w:rsidR="00E02AA5">
        <w:t xml:space="preserve"> that </w:t>
      </w:r>
      <w:r w:rsidR="00F834FB">
        <w:t>SDG&amp;E counted toward the cap</w:t>
      </w:r>
      <w:r w:rsidR="00995928">
        <w:t xml:space="preserve"> </w:t>
      </w:r>
      <w:r w:rsidR="00F834FB">
        <w:t>(</w:t>
      </w:r>
      <w:r w:rsidR="0091397D">
        <w:t>Electric Distribution Easements and Customer Requested Upgrades &amp; Service</w:t>
      </w:r>
      <w:r w:rsidR="00F834FB">
        <w:t>)</w:t>
      </w:r>
      <w:r w:rsidR="008062E5">
        <w:t>.</w:t>
      </w:r>
      <w:r w:rsidR="00EF31E7">
        <w:t xml:space="preserve"> </w:t>
      </w:r>
      <w:r w:rsidR="000C4D58">
        <w:t xml:space="preserve">Because </w:t>
      </w:r>
      <w:r w:rsidR="00EF31E7">
        <w:t>SDG&amp;E</w:t>
      </w:r>
      <w:r w:rsidR="00F019AE">
        <w:t xml:space="preserve"> </w:t>
      </w:r>
      <w:r w:rsidR="00EF31E7">
        <w:t xml:space="preserve">failed to explain why those subcategories </w:t>
      </w:r>
      <w:r w:rsidR="00FB1394">
        <w:t>were treated differently, the PD concludes they should not count toward the cap</w:t>
      </w:r>
      <w:r w:rsidR="00EF31E7">
        <w:t>.</w:t>
      </w:r>
      <w:r w:rsidR="00F21DDD">
        <w:t xml:space="preserve"> </w:t>
      </w:r>
      <w:r w:rsidR="29A19052">
        <w:t xml:space="preserve">Minor changes in the text of the PD are made on this issue. </w:t>
      </w:r>
    </w:p>
    <w:p w:rsidRPr="00F4554E" w:rsidR="00F4554E" w:rsidRDefault="001E60AE" w14:paraId="50A0ABCC" w14:textId="02C272BE">
      <w:pPr>
        <w:pStyle w:val="Standard"/>
      </w:pPr>
      <w:r>
        <w:t>SDG&amp;E disagrees with the PD’s conclusion that SDG&amp;E’s land acquisition methodology is unclear, claiming that the PD “overlooks the detailed information provided in both testimony and data request responses.”</w:t>
      </w:r>
      <w:r>
        <w:rPr>
          <w:rStyle w:val="FootnoteReference"/>
        </w:rPr>
        <w:footnoteReference w:id="188"/>
      </w:r>
      <w:r>
        <w:t xml:space="preserve"> SDG&amp;E’s </w:t>
      </w:r>
      <w:r w:rsidR="45B92D52">
        <w:t>justification was not persuasive</w:t>
      </w:r>
      <w:r w:rsidR="00FB51AC">
        <w:t xml:space="preserve">: SDG&amp;E </w:t>
      </w:r>
      <w:r w:rsidR="000721AF">
        <w:t xml:space="preserve">claims </w:t>
      </w:r>
      <w:r w:rsidR="45B92D52">
        <w:t>that</w:t>
      </w:r>
      <w:r>
        <w:t xml:space="preserve"> it identified future substation needs by “[conducting] a comprehensive analysis of each load pocket within its service territory to identify areas where projected load growth may exceed the capacity of fully-built out substations</w:t>
      </w:r>
      <w:r w:rsidR="000721AF">
        <w:t>,</w:t>
      </w:r>
      <w:r>
        <w:t xml:space="preserve">” </w:t>
      </w:r>
      <w:r w:rsidR="00331782">
        <w:t xml:space="preserve">but </w:t>
      </w:r>
      <w:r w:rsidR="3D8F93F8">
        <w:t>SDG&amp;E</w:t>
      </w:r>
      <w:r w:rsidR="008C5B19">
        <w:t xml:space="preserve"> did not</w:t>
      </w:r>
      <w:r w:rsidR="3D8F93F8">
        <w:t xml:space="preserve"> </w:t>
      </w:r>
      <w:r w:rsidR="00B938B8">
        <w:t xml:space="preserve">provide </w:t>
      </w:r>
      <w:r w:rsidR="000721AF">
        <w:t>supporting</w:t>
      </w:r>
      <w:r w:rsidR="004F0D69">
        <w:t xml:space="preserve"> evidence </w:t>
      </w:r>
      <w:r w:rsidR="00E76453">
        <w:t xml:space="preserve">that </w:t>
      </w:r>
      <w:r w:rsidR="000721AF">
        <w:t xml:space="preserve">demonstrate </w:t>
      </w:r>
      <w:r w:rsidR="007A41E3">
        <w:t xml:space="preserve">the need for these new substations </w:t>
      </w:r>
      <w:r w:rsidR="000721AF">
        <w:t xml:space="preserve">(e.g., SDG&amp;E did not </w:t>
      </w:r>
      <w:r w:rsidR="00150545">
        <w:t xml:space="preserve">show how its updated forecasts changed the results of its </w:t>
      </w:r>
      <w:r w:rsidR="000721AF">
        <w:t>Distribution Planning Process</w:t>
      </w:r>
      <w:r w:rsidR="00150545">
        <w:t xml:space="preserve"> and SDG&amp;E did not explain the criteria it uses to </w:t>
      </w:r>
      <w:r w:rsidR="00150545">
        <w:lastRenderedPageBreak/>
        <w:t>determine when a new substation is needed)</w:t>
      </w:r>
      <w:r w:rsidR="00F4554E">
        <w:t>.</w:t>
      </w:r>
      <w:r>
        <w:rPr>
          <w:rStyle w:val="FootnoteReference"/>
        </w:rPr>
        <w:footnoteReference w:id="189"/>
      </w:r>
      <w:r>
        <w:t xml:space="preserve"> </w:t>
      </w:r>
      <w:r w:rsidR="00F4554E">
        <w:t xml:space="preserve">SDG&amp;E briefly mentions the need to maintain the confidentiality of the specific locations, but does not acknowledge that it could request to file </w:t>
      </w:r>
      <w:r w:rsidR="007A2DE8">
        <w:t>any</w:t>
      </w:r>
      <w:r w:rsidR="00F4554E">
        <w:t xml:space="preserve"> information under seal. </w:t>
      </w:r>
      <w:r w:rsidR="001204B0">
        <w:t xml:space="preserve">The supporting </w:t>
      </w:r>
      <w:r w:rsidR="00F12323">
        <w:t>information should be</w:t>
      </w:r>
      <w:r w:rsidR="00F4554E">
        <w:t xml:space="preserve"> readily available</w:t>
      </w:r>
      <w:r w:rsidR="00F12323">
        <w:t xml:space="preserve"> and could have been provided</w:t>
      </w:r>
      <w:r w:rsidR="00F4554E">
        <w:t xml:space="preserve"> after the issuance of </w:t>
      </w:r>
      <w:r w:rsidR="00F12323">
        <w:t>the</w:t>
      </w:r>
      <w:r w:rsidR="00F4554E">
        <w:t xml:space="preserve"> ALJ ruling </w:t>
      </w:r>
      <w:r w:rsidR="00F12323">
        <w:t xml:space="preserve">that </w:t>
      </w:r>
      <w:r w:rsidR="00F4554E">
        <w:t>express</w:t>
      </w:r>
      <w:r w:rsidR="00F12323">
        <w:t>ed</w:t>
      </w:r>
      <w:r w:rsidR="00F4554E">
        <w:t xml:space="preserve"> concerns that SDG&amp;E had not met the de minimis threshold of support for its requests.</w:t>
      </w:r>
    </w:p>
    <w:p w:rsidR="00165ED7" w:rsidP="00165ED7" w:rsidRDefault="00F247BA" w14:paraId="586E1738" w14:textId="1DE65F61">
      <w:pPr>
        <w:pStyle w:val="Standard"/>
      </w:pPr>
      <w:r>
        <w:t xml:space="preserve">CUE argues that </w:t>
      </w:r>
      <w:r w:rsidR="00331782">
        <w:t>the PD</w:t>
      </w:r>
      <w:r w:rsidR="1EBD43B7">
        <w:t xml:space="preserve"> </w:t>
      </w:r>
      <w:r w:rsidR="00185230">
        <w:t xml:space="preserve">errs </w:t>
      </w:r>
      <w:r w:rsidR="00A805F9">
        <w:t xml:space="preserve">by not approving </w:t>
      </w:r>
      <w:r w:rsidR="00331782">
        <w:t>land acquisition costs</w:t>
      </w:r>
      <w:r w:rsidR="7306AE1B">
        <w:t xml:space="preserve"> </w:t>
      </w:r>
      <w:r w:rsidR="00331782">
        <w:t>for projects placed in service after December 31, 2026.</w:t>
      </w:r>
      <w:r w:rsidR="00331782">
        <w:rPr>
          <w:rStyle w:val="FootnoteReference"/>
        </w:rPr>
        <w:footnoteReference w:id="190"/>
      </w:r>
      <w:r w:rsidR="00165ED7">
        <w:t xml:space="preserve"> </w:t>
      </w:r>
      <w:r w:rsidR="008F1D7D">
        <w:t xml:space="preserve">This comment is </w:t>
      </w:r>
      <w:r w:rsidR="00AB6F69">
        <w:t xml:space="preserve">inapposite, though, because </w:t>
      </w:r>
      <w:r w:rsidR="35F3737D">
        <w:t xml:space="preserve">the PD </w:t>
      </w:r>
      <w:r w:rsidR="00153C1D">
        <w:t xml:space="preserve">excluded those </w:t>
      </w:r>
      <w:r w:rsidR="00165ED7">
        <w:t xml:space="preserve">costs </w:t>
      </w:r>
      <w:r w:rsidR="00153C1D">
        <w:t xml:space="preserve">for a different reason; namely, that </w:t>
      </w:r>
      <w:r w:rsidR="00165ED7">
        <w:t xml:space="preserve">SDG&amp;E </w:t>
      </w:r>
      <w:r w:rsidR="001E60AE">
        <w:t>fail</w:t>
      </w:r>
      <w:r w:rsidR="00702941">
        <w:t>ed</w:t>
      </w:r>
      <w:r w:rsidR="001E60AE">
        <w:t xml:space="preserve"> to provide </w:t>
      </w:r>
      <w:r w:rsidR="00E14825">
        <w:t>sufficient</w:t>
      </w:r>
      <w:r w:rsidR="001E60AE">
        <w:t xml:space="preserve"> information about its </w:t>
      </w:r>
      <w:r w:rsidR="00165ED7">
        <w:t xml:space="preserve">cost and need </w:t>
      </w:r>
      <w:r w:rsidR="001E60AE">
        <w:t>forecasts</w:t>
      </w:r>
      <w:r w:rsidR="00165ED7">
        <w:t>.</w:t>
      </w:r>
    </w:p>
    <w:p w:rsidR="00D50AC1" w:rsidRDefault="00D50AC1" w14:paraId="7D56B619" w14:textId="79F6E485">
      <w:pPr>
        <w:pStyle w:val="Standard"/>
      </w:pPr>
      <w:r w:rsidRPr="00665100">
        <w:t>The PD require</w:t>
      </w:r>
      <w:r w:rsidR="00154718">
        <w:t>d</w:t>
      </w:r>
      <w:r w:rsidRPr="00665100">
        <w:t xml:space="preserve"> SDG&amp;E to </w:t>
      </w:r>
      <w:r w:rsidR="008C04E7">
        <w:t xml:space="preserve">determine </w:t>
      </w:r>
      <w:r w:rsidRPr="00665100">
        <w:t>incremental</w:t>
      </w:r>
      <w:r w:rsidR="0370AB9F">
        <w:t xml:space="preserve"> spending</w:t>
      </w:r>
      <w:r w:rsidRPr="00665100">
        <w:t xml:space="preserve"> at the </w:t>
      </w:r>
      <w:r w:rsidR="008C04E7">
        <w:t>sub</w:t>
      </w:r>
      <w:r w:rsidRPr="00665100">
        <w:t>category level</w:t>
      </w:r>
      <w:r w:rsidR="00646679">
        <w:t xml:space="preserve"> and set caps at the category level</w:t>
      </w:r>
      <w:r w:rsidRPr="00665100">
        <w:t xml:space="preserve">.  TURN </w:t>
      </w:r>
      <w:r w:rsidR="00D56858">
        <w:t>supports the PD’s direction to calculate incremental</w:t>
      </w:r>
      <w:r w:rsidR="1950BF83">
        <w:t xml:space="preserve"> spend</w:t>
      </w:r>
      <w:r w:rsidR="65F0A24B">
        <w:t>ing</w:t>
      </w:r>
      <w:r w:rsidR="00D56858">
        <w:t xml:space="preserve"> at the category level but</w:t>
      </w:r>
      <w:r>
        <w:t xml:space="preserve"> </w:t>
      </w:r>
      <w:r w:rsidR="7722B42B">
        <w:t xml:space="preserve">argues </w:t>
      </w:r>
      <w:r w:rsidRPr="00665100">
        <w:t xml:space="preserve">that </w:t>
      </w:r>
      <w:r w:rsidR="009C448C">
        <w:t xml:space="preserve">the PD errs in how it treats subcategories. </w:t>
      </w:r>
      <w:r w:rsidR="00B014B2">
        <w:t xml:space="preserve">TURN </w:t>
      </w:r>
      <w:r w:rsidR="00DB7D33">
        <w:t>argues that t</w:t>
      </w:r>
      <w:r w:rsidR="0058049A">
        <w:t xml:space="preserve">he PD’s method does not net </w:t>
      </w:r>
      <w:r w:rsidR="00995C27">
        <w:t>overspending and underspending across</w:t>
      </w:r>
      <w:r>
        <w:t xml:space="preserve"> </w:t>
      </w:r>
      <w:r w:rsidR="55039BBB">
        <w:t>subcategory</w:t>
      </w:r>
      <w:r w:rsidR="00A725D2">
        <w:t>, which can inflate recoverable costs.</w:t>
      </w:r>
      <w:r w:rsidR="00F13554">
        <w:t xml:space="preserve"> </w:t>
      </w:r>
      <w:r w:rsidR="005F5649">
        <w:t>TURN</w:t>
      </w:r>
      <w:r w:rsidR="00C95C26">
        <w:t xml:space="preserve"> states</w:t>
      </w:r>
      <w:r w:rsidR="0088336D">
        <w:t xml:space="preserve"> that the PD would allow </w:t>
      </w:r>
      <w:r w:rsidR="00DB42EF">
        <w:t xml:space="preserve">SDG&amp;E </w:t>
      </w:r>
      <w:r w:rsidR="0088336D">
        <w:t xml:space="preserve">to record an incremental $7 in spending at the subcategory level even though </w:t>
      </w:r>
      <w:r w:rsidR="00DA2D09">
        <w:t>the category only overspent by $6</w:t>
      </w:r>
      <w:r w:rsidR="00F13554">
        <w:t xml:space="preserve">. This occurs because the PD treats underspending </w:t>
      </w:r>
      <w:r w:rsidR="007E2E90">
        <w:t xml:space="preserve">in a given subcategory </w:t>
      </w:r>
      <w:r w:rsidR="00F13554">
        <w:t xml:space="preserve">as zero, </w:t>
      </w:r>
      <w:r w:rsidR="009D58F8">
        <w:t>preventing it from offsetting overspending within the same category, which increases the recoverable amount.</w:t>
      </w:r>
      <w:r w:rsidR="003B3A6A">
        <w:rPr>
          <w:rStyle w:val="FootnoteReference"/>
        </w:rPr>
        <w:footnoteReference w:id="191"/>
      </w:r>
      <w:r>
        <w:t xml:space="preserve"> </w:t>
      </w:r>
      <w:r w:rsidR="00C96E75">
        <w:t xml:space="preserve"> SDG&amp;E</w:t>
      </w:r>
      <w:r w:rsidR="004D289D">
        <w:t xml:space="preserve"> </w:t>
      </w:r>
      <w:r w:rsidR="0CDCD989">
        <w:t xml:space="preserve">asserts </w:t>
      </w:r>
      <w:r w:rsidR="00C96E75">
        <w:t xml:space="preserve">the per-category incrementality calculation </w:t>
      </w:r>
      <w:r w:rsidR="0B5285E6">
        <w:t>i</w:t>
      </w:r>
      <w:r w:rsidR="00C96E75">
        <w:t xml:space="preserve">s too restrictive, arguing that D.24-07-008 explicitly granted PG&amp;E the authority to calculate incrementality at the </w:t>
      </w:r>
      <w:r w:rsidRPr="247FC807" w:rsidR="00C96E75">
        <w:rPr>
          <w:i/>
          <w:iCs/>
        </w:rPr>
        <w:t>cap</w:t>
      </w:r>
      <w:r w:rsidR="00C96E75">
        <w:t xml:space="preserve"> </w:t>
      </w:r>
      <w:r w:rsidR="00C96E75">
        <w:lastRenderedPageBreak/>
        <w:t>level SDG&amp;E, thus, requests the same treatment in this PD.</w:t>
      </w:r>
      <w:r w:rsidR="00C96E75">
        <w:rPr>
          <w:rStyle w:val="FootnoteReference"/>
        </w:rPr>
        <w:footnoteReference w:id="192"/>
      </w:r>
      <w:r w:rsidR="00C96E75">
        <w:t xml:space="preserve"> </w:t>
      </w:r>
      <w:r w:rsidR="732B1C85">
        <w:t xml:space="preserve">This decision adopts the same approach as </w:t>
      </w:r>
      <w:r w:rsidR="1321760E">
        <w:t xml:space="preserve">applied </w:t>
      </w:r>
      <w:r w:rsidR="732B1C85">
        <w:t>in D.</w:t>
      </w:r>
      <w:r w:rsidR="12CC8F3D">
        <w:t>24-07-008</w:t>
      </w:r>
      <w:r w:rsidR="00197B77">
        <w:t>, as requested by SDG&amp;E</w:t>
      </w:r>
      <w:r w:rsidR="7A9DD848">
        <w:t xml:space="preserve">.  </w:t>
      </w:r>
      <w:r w:rsidR="00494525">
        <w:t>In D.24-07-008, t</w:t>
      </w:r>
      <w:r w:rsidR="4E074669">
        <w:t xml:space="preserve">he annual revenue cap </w:t>
      </w:r>
      <w:r w:rsidR="006D4BFC">
        <w:t xml:space="preserve">was </w:t>
      </w:r>
      <w:r w:rsidR="003374D5">
        <w:t xml:space="preserve">the sum of all </w:t>
      </w:r>
      <w:r w:rsidR="4E074669">
        <w:t>the</w:t>
      </w:r>
      <w:r w:rsidR="182A4170">
        <w:t xml:space="preserve"> incremental </w:t>
      </w:r>
      <w:r w:rsidR="4E074669">
        <w:t xml:space="preserve">costs forecast at the </w:t>
      </w:r>
      <w:r w:rsidR="006D4BFC">
        <w:t>sub</w:t>
      </w:r>
      <w:r w:rsidR="4E074669">
        <w:t xml:space="preserve">category </w:t>
      </w:r>
      <w:r w:rsidR="48382209">
        <w:t>level</w:t>
      </w:r>
      <w:r w:rsidR="00C34EC5">
        <w:t xml:space="preserve"> (i.e., Maintenance Activity Type or MAT)</w:t>
      </w:r>
      <w:r w:rsidR="48382209">
        <w:t xml:space="preserve"> for costs</w:t>
      </w:r>
      <w:r w:rsidR="4E074669">
        <w:t xml:space="preserve"> that the Commission found eligible </w:t>
      </w:r>
      <w:r w:rsidR="3A017AA7">
        <w:t>to be recorded as</w:t>
      </w:r>
      <w:r w:rsidR="4E074669">
        <w:t xml:space="preserve"> energization costs</w:t>
      </w:r>
      <w:r w:rsidR="2FF02B6C">
        <w:t xml:space="preserve">. </w:t>
      </w:r>
      <w:r w:rsidR="00297FBB">
        <w:t>For PG&amp;E,</w:t>
      </w:r>
      <w:r w:rsidR="06235459">
        <w:t xml:space="preserve"> </w:t>
      </w:r>
      <w:r w:rsidR="003F07BD">
        <w:t>t</w:t>
      </w:r>
      <w:r w:rsidR="06235459">
        <w:t xml:space="preserve">he amounts apportioned to each category </w:t>
      </w:r>
      <w:r w:rsidR="00297FBB">
        <w:t>and subcategory (</w:t>
      </w:r>
      <w:r w:rsidR="00C34EC5">
        <w:t>MAT</w:t>
      </w:r>
      <w:r w:rsidR="00297FBB">
        <w:t xml:space="preserve">) </w:t>
      </w:r>
      <w:r w:rsidR="06235459">
        <w:t>are</w:t>
      </w:r>
      <w:r w:rsidR="00EF2C08">
        <w:t xml:space="preserve"> based on PG&amp;E’s forecast of incremental spending and</w:t>
      </w:r>
      <w:r w:rsidR="06235459">
        <w:t xml:space="preserve"> used for computing the overall </w:t>
      </w:r>
      <w:r w:rsidR="00EF2C08">
        <w:t xml:space="preserve">annual </w:t>
      </w:r>
      <w:r w:rsidR="06235459">
        <w:t>cap amount</w:t>
      </w:r>
      <w:r w:rsidR="00A53E74">
        <w:t xml:space="preserve">. However, </w:t>
      </w:r>
      <w:r w:rsidR="00D66C62">
        <w:t xml:space="preserve">neither </w:t>
      </w:r>
      <w:r w:rsidR="00A53E74">
        <w:t xml:space="preserve">the </w:t>
      </w:r>
      <w:r w:rsidR="00D66C62">
        <w:t xml:space="preserve">category </w:t>
      </w:r>
      <w:r w:rsidR="00956843">
        <w:t>n</w:t>
      </w:r>
      <w:r w:rsidR="00D66C62">
        <w:t>or subcategory caps</w:t>
      </w:r>
      <w:r w:rsidR="06235459">
        <w:t xml:space="preserve"> limit the </w:t>
      </w:r>
      <w:r w:rsidR="008F4C5A">
        <w:t>amount of incremental spending in subcategories</w:t>
      </w:r>
      <w:r w:rsidR="00CC4D64">
        <w:t xml:space="preserve"> (</w:t>
      </w:r>
      <w:proofErr w:type="spellStart"/>
      <w:r w:rsidR="00CC4D64">
        <w:t>MATs</w:t>
      </w:r>
      <w:proofErr w:type="spellEnd"/>
      <w:r w:rsidR="00CC4D64">
        <w:t>)</w:t>
      </w:r>
      <w:r w:rsidR="008F4C5A">
        <w:t xml:space="preserve"> or categories</w:t>
      </w:r>
      <w:r w:rsidR="00CC4D64">
        <w:t xml:space="preserve"> (MWC)</w:t>
      </w:r>
      <w:r w:rsidR="00A820C1">
        <w:t xml:space="preserve">. </w:t>
      </w:r>
      <w:r w:rsidR="004221C0">
        <w:t xml:space="preserve">If </w:t>
      </w:r>
      <w:r w:rsidR="00196765">
        <w:t>spending is “incremental” to</w:t>
      </w:r>
      <w:r w:rsidR="008B1A07">
        <w:t xml:space="preserve"> </w:t>
      </w:r>
      <w:r w:rsidR="00046AB9">
        <w:t>previously authorized subcategory</w:t>
      </w:r>
      <w:r w:rsidR="00F96C2F">
        <w:t xml:space="preserve"> amounts</w:t>
      </w:r>
      <w:r w:rsidR="00046AB9">
        <w:t xml:space="preserve"> (i.e., MAT)</w:t>
      </w:r>
      <w:r w:rsidR="002C3CB5">
        <w:t xml:space="preserve">, then the incremental spending is counted against </w:t>
      </w:r>
      <w:r w:rsidR="00F96C2F">
        <w:t xml:space="preserve">the </w:t>
      </w:r>
      <w:r w:rsidR="06235459">
        <w:t xml:space="preserve">annual </w:t>
      </w:r>
      <w:r w:rsidR="004221C0">
        <w:t>cap</w:t>
      </w:r>
      <w:r w:rsidR="00F96C2F">
        <w:t xml:space="preserve">, not </w:t>
      </w:r>
      <w:r w:rsidR="006832B4">
        <w:t xml:space="preserve">the cap of </w:t>
      </w:r>
      <w:r w:rsidR="06235459">
        <w:t xml:space="preserve">any particular </w:t>
      </w:r>
      <w:r w:rsidR="39F7F5D3">
        <w:t>category</w:t>
      </w:r>
      <w:r w:rsidR="00F96C2F">
        <w:t xml:space="preserve"> or subcategory</w:t>
      </w:r>
      <w:r w:rsidR="06235459">
        <w:t xml:space="preserve">. Similarly, the amounts apportioned to each </w:t>
      </w:r>
      <w:r w:rsidR="6F6E71F4">
        <w:t xml:space="preserve">category </w:t>
      </w:r>
      <w:r w:rsidR="06235459">
        <w:t xml:space="preserve">for computing the overall cap do not limit the annual amount that can be applied to any particular </w:t>
      </w:r>
      <w:r w:rsidR="78E25789">
        <w:t xml:space="preserve">category </w:t>
      </w:r>
      <w:r w:rsidR="06235459">
        <w:t>as long as the total does not exceed the annual cap.</w:t>
      </w:r>
      <w:r w:rsidR="004F35FF">
        <w:t xml:space="preserve"> </w:t>
      </w:r>
    </w:p>
    <w:p w:rsidR="007422DB" w:rsidRDefault="00F374B7" w14:paraId="669BD208" w14:textId="0FA9BF26">
      <w:pPr>
        <w:pStyle w:val="Standard"/>
      </w:pPr>
      <w:r>
        <w:t xml:space="preserve">TURN </w:t>
      </w:r>
      <w:r w:rsidR="7683176A">
        <w:t>opposes the PD</w:t>
      </w:r>
      <w:r w:rsidR="00AA1789">
        <w:t>’s</w:t>
      </w:r>
      <w:r w:rsidR="7683176A">
        <w:t xml:space="preserve"> statement that </w:t>
      </w:r>
      <w:r>
        <w:t xml:space="preserve">SDG&amp;E </w:t>
      </w:r>
      <w:r w:rsidR="6ED5166A">
        <w:t xml:space="preserve">may </w:t>
      </w:r>
      <w:r>
        <w:t xml:space="preserve">file a </w:t>
      </w:r>
      <w:r w:rsidR="00F75DCB">
        <w:t>PFM</w:t>
      </w:r>
      <w:r>
        <w:t xml:space="preserve"> </w:t>
      </w:r>
      <w:r w:rsidR="03FE3EFA">
        <w:t xml:space="preserve">if </w:t>
      </w:r>
      <w:r w:rsidR="00AA1789">
        <w:t xml:space="preserve">SDG&amp;E </w:t>
      </w:r>
      <w:r w:rsidR="03FE3EFA">
        <w:t>later discovers a need for more funding.</w:t>
      </w:r>
      <w:r w:rsidR="009B4EB7">
        <w:rPr>
          <w:rStyle w:val="FootnoteReference"/>
        </w:rPr>
        <w:footnoteReference w:id="193"/>
      </w:r>
      <w:r w:rsidR="001D064B">
        <w:t xml:space="preserve"> </w:t>
      </w:r>
      <w:r w:rsidR="00C618A4">
        <w:t xml:space="preserve">TURN errs because SDG&amp;E would have the right </w:t>
      </w:r>
      <w:r w:rsidR="00480922">
        <w:t xml:space="preserve">to file a PFM under </w:t>
      </w:r>
      <w:r w:rsidR="00D50AC1">
        <w:t>Rule 16.4(b) of the Commission’s Rules of Practice and Procedure (Rules)</w:t>
      </w:r>
      <w:r w:rsidR="00A37451">
        <w:t>; this is not</w:t>
      </w:r>
      <w:r w:rsidR="00D50AC1">
        <w:t xml:space="preserve"> a “do-over,” as TURN suggests. </w:t>
      </w:r>
      <w:r w:rsidRPr="00665100" w:rsidR="00D50AC1">
        <w:t xml:space="preserve">SDG&amp;E </w:t>
      </w:r>
      <w:r w:rsidR="00E27BB9">
        <w:t>requests the Commission allow SDG&amp;E to seek modifications to the cap via motion, as was granted to PG&amp;E by D.24-07-008</w:t>
      </w:r>
      <w:r w:rsidR="03077101">
        <w:t>.</w:t>
      </w:r>
      <w:r w:rsidR="007422DB">
        <w:t xml:space="preserve"> </w:t>
      </w:r>
      <w:r w:rsidR="00117E96">
        <w:t xml:space="preserve">A </w:t>
      </w:r>
      <w:r w:rsidR="4CA43527">
        <w:t xml:space="preserve">PFM offers SDG&amp;E the </w:t>
      </w:r>
      <w:r w:rsidR="00C06B2A">
        <w:t xml:space="preserve">same opportunity to seek modification of the cap that </w:t>
      </w:r>
      <w:r w:rsidR="007E7B4B">
        <w:t xml:space="preserve">would be allowed by a motion. Accordingly, </w:t>
      </w:r>
      <w:r w:rsidR="00DB463B">
        <w:t xml:space="preserve">the Commission does not change this </w:t>
      </w:r>
      <w:r w:rsidR="00926A84">
        <w:t>provision.</w:t>
      </w:r>
    </w:p>
    <w:p w:rsidR="009A03C3" w:rsidP="009A03C3" w:rsidRDefault="0081480E" w14:paraId="7CC6607F" w14:textId="28D54854">
      <w:pPr>
        <w:pStyle w:val="Standard"/>
      </w:pPr>
      <w:r>
        <w:lastRenderedPageBreak/>
        <w:t xml:space="preserve">UCAN </w:t>
      </w:r>
      <w:r w:rsidR="297BF7E6">
        <w:t xml:space="preserve">asks </w:t>
      </w:r>
      <w:r w:rsidR="00CD3CE6">
        <w:t>the Commissio</w:t>
      </w:r>
      <w:r w:rsidRPr="003758C5" w:rsidR="00CD3CE6">
        <w:t xml:space="preserve">n </w:t>
      </w:r>
      <w:r w:rsidRPr="003758C5" w:rsidR="0A2F2B3C">
        <w:t>to include</w:t>
      </w:r>
      <w:r w:rsidRPr="003758C5" w:rsidR="00AC35F7">
        <w:t xml:space="preserve"> </w:t>
      </w:r>
      <w:r w:rsidRPr="003758C5" w:rsidR="00CD3CE6">
        <w:t>more affirmative findings on t</w:t>
      </w:r>
      <w:r w:rsidRPr="003758C5" w:rsidR="446FCDD7">
        <w:t>he</w:t>
      </w:r>
      <w:r w:rsidRPr="00665100" w:rsidR="446FCDD7">
        <w:rPr>
          <w:rFonts w:eastAsia="Calibri" w:cs="Arial"/>
          <w:szCs w:val="26"/>
        </w:rPr>
        <w:t xml:space="preserve"> amount and type of load growth SDG&amp;E should forecast in its service territory in the near term</w:t>
      </w:r>
      <w:r w:rsidRPr="003758C5" w:rsidR="00CD3CE6">
        <w:t>.</w:t>
      </w:r>
      <w:r w:rsidRPr="003758C5" w:rsidR="00725538">
        <w:t xml:space="preserve"> </w:t>
      </w:r>
      <w:r w:rsidRPr="003758C5" w:rsidR="696FEAA8">
        <w:t xml:space="preserve">However, </w:t>
      </w:r>
      <w:r w:rsidRPr="003758C5" w:rsidR="00725538">
        <w:t>SDG&amp;E’s application did not establish a</w:t>
      </w:r>
      <w:r w:rsidRPr="003758C5" w:rsidR="00AC35F7">
        <w:t xml:space="preserve"> </w:t>
      </w:r>
      <w:r w:rsidRPr="003758C5" w:rsidR="00725538">
        <w:t xml:space="preserve">link between its </w:t>
      </w:r>
      <w:r w:rsidRPr="003758C5" w:rsidR="6BCDF4FA">
        <w:t xml:space="preserve">projected </w:t>
      </w:r>
      <w:r w:rsidRPr="003758C5" w:rsidR="00725538">
        <w:t>load growth and its energization cost forecasts</w:t>
      </w:r>
      <w:r w:rsidRPr="003758C5" w:rsidR="68B3E4D9">
        <w:t>, so th</w:t>
      </w:r>
      <w:r w:rsidR="00EC1401">
        <w:t xml:space="preserve">is decision does not rely on and the </w:t>
      </w:r>
      <w:r w:rsidRPr="003758C5" w:rsidR="68B3E4D9">
        <w:t xml:space="preserve">record </w:t>
      </w:r>
      <w:r w:rsidRPr="003758C5" w:rsidR="003758C5">
        <w:t>would not be improved by the information that</w:t>
      </w:r>
      <w:r w:rsidR="003758C5">
        <w:t xml:space="preserve"> </w:t>
      </w:r>
      <w:r w:rsidR="68B3E4D9">
        <w:t xml:space="preserve">UCAN seeks. </w:t>
      </w:r>
      <w:r w:rsidR="009A03C3">
        <w:t xml:space="preserve">CUE recommends several changes to the PD </w:t>
      </w:r>
      <w:r w:rsidR="00E7558C">
        <w:t xml:space="preserve">based on </w:t>
      </w:r>
      <w:r w:rsidR="009A03C3">
        <w:t>the Commission’s inherent authority to authorize costs for projects placed in service after December 31, 2026, but those recommendations reflect policy preferences, are not alleging legal error, and are therefore not appropriate for consideration.</w:t>
      </w:r>
      <w:r w:rsidR="00492421">
        <w:t xml:space="preserve"> SDG&amp;E </w:t>
      </w:r>
      <w:r w:rsidR="004530E0">
        <w:t xml:space="preserve">similarly </w:t>
      </w:r>
      <w:r w:rsidR="71A5D98C">
        <w:t>reargues several points</w:t>
      </w:r>
      <w:r w:rsidR="00F13F6D">
        <w:t>; pursuant to Rule 14.3(c), those arguments are afforded no weight.</w:t>
      </w:r>
      <w:r w:rsidR="75748932">
        <w:t xml:space="preserve"> </w:t>
      </w:r>
    </w:p>
    <w:p w:rsidR="75748932" w:rsidP="2D45F21F" w:rsidRDefault="75748932" w14:paraId="2AEDA341" w14:textId="19447B23">
      <w:pPr>
        <w:pStyle w:val="Standard"/>
      </w:pPr>
      <w:r>
        <w:t xml:space="preserve">Finally, </w:t>
      </w:r>
      <w:r w:rsidR="00F13F6D">
        <w:t xml:space="preserve">this PD </w:t>
      </w:r>
      <w:r>
        <w:t>correct</w:t>
      </w:r>
      <w:r w:rsidR="00F13F6D">
        <w:t>s</w:t>
      </w:r>
      <w:r>
        <w:t xml:space="preserve"> a few typographical errors identified in comments.</w:t>
      </w:r>
    </w:p>
    <w:p w:rsidR="005939A5" w:rsidP="005939A5" w:rsidRDefault="005939A5" w14:paraId="4EEC194C" w14:textId="6326B893">
      <w:pPr>
        <w:pStyle w:val="Heading1"/>
      </w:pPr>
      <w:bookmarkStart w:name="_Toc8123724" w:id="77"/>
      <w:bookmarkStart w:name="_Toc212538578" w:id="78"/>
      <w:r>
        <w:t>Assignment of Proceeding</w:t>
      </w:r>
      <w:bookmarkEnd w:id="77"/>
      <w:bookmarkEnd w:id="78"/>
    </w:p>
    <w:p w:rsidR="005939A5" w:rsidP="006E6574" w:rsidRDefault="00E835BF" w14:paraId="52936721" w14:textId="5B6FA476">
      <w:pPr>
        <w:pStyle w:val="Standard"/>
      </w:pPr>
      <w:r>
        <w:t xml:space="preserve">Matthew Baker </w:t>
      </w:r>
      <w:r w:rsidR="005939A5">
        <w:t xml:space="preserve">is the assigned Commissioner and </w:t>
      </w:r>
      <w:r w:rsidR="63BE7C8B">
        <w:t>Andre</w:t>
      </w:r>
      <w:r w:rsidR="46E987E7">
        <w:t>w</w:t>
      </w:r>
      <w:r>
        <w:t xml:space="preserve"> Dugowson </w:t>
      </w:r>
      <w:r w:rsidR="005939A5">
        <w:t xml:space="preserve">is the assigned </w:t>
      </w:r>
      <w:r w:rsidR="00E50097">
        <w:t xml:space="preserve">ALJ </w:t>
      </w:r>
      <w:r w:rsidR="005939A5">
        <w:t>in this proceeding.</w:t>
      </w:r>
    </w:p>
    <w:p w:rsidR="00BB4B1B" w:rsidP="00BB4B1B" w:rsidRDefault="00BB4B1B" w14:paraId="4BD290F6" w14:textId="77777777">
      <w:pPr>
        <w:pStyle w:val="Dummy"/>
      </w:pPr>
      <w:bookmarkStart w:name="_Toc8123725" w:id="79"/>
      <w:bookmarkStart w:name="_Toc212538579" w:id="80"/>
      <w:r>
        <w:t>Findings of Fact</w:t>
      </w:r>
      <w:bookmarkEnd w:id="79"/>
      <w:bookmarkEnd w:id="80"/>
    </w:p>
    <w:p w:rsidR="00BB4B1B" w:rsidP="00BB4B1B" w:rsidRDefault="00BB4B1B" w14:paraId="681017D7" w14:textId="77777777">
      <w:pPr>
        <w:pStyle w:val="FoF"/>
      </w:pPr>
      <w:r>
        <w:t>Senate Bill (SB) </w:t>
      </w:r>
      <w:r w:rsidRPr="00554147">
        <w:t>410 (Becker, 2023), among other things, requires the Commission to approve an electrical corporation</w:t>
      </w:r>
      <w:r>
        <w:t>’</w:t>
      </w:r>
      <w:r w:rsidRPr="00554147">
        <w:t xml:space="preserve">s request for a ratemaking mechanism </w:t>
      </w:r>
      <w:r>
        <w:t>“</w:t>
      </w:r>
      <w:r w:rsidRPr="00554147">
        <w:t>to track the costs for energization projects place</w:t>
      </w:r>
      <w:r>
        <w:t>d in</w:t>
      </w:r>
      <w:r w:rsidRPr="00554147">
        <w:t xml:space="preserve"> service after </w:t>
      </w:r>
      <w:r>
        <w:t>January </w:t>
      </w:r>
      <w:r w:rsidRPr="00554147">
        <w:t>1, 2024, that exceed the costs included in the electrical corporation</w:t>
      </w:r>
      <w:r>
        <w:t>’</w:t>
      </w:r>
      <w:r w:rsidRPr="00554147">
        <w:t>s annual authorized revenue requirement for energization, as established in the electrical corporation</w:t>
      </w:r>
      <w:r>
        <w:t>’</w:t>
      </w:r>
      <w:r w:rsidRPr="00554147">
        <w:t>s general rate case or any other proceeding.</w:t>
      </w:r>
      <w:r>
        <w:t>” SB </w:t>
      </w:r>
      <w:r w:rsidRPr="00554147">
        <w:t>410 also requires the Commission to set a cap on the amount the electrical corporation can recover via that mechanism.</w:t>
      </w:r>
    </w:p>
    <w:p w:rsidR="00BB4B1B" w:rsidP="00BB4B1B" w:rsidRDefault="00BB4B1B" w14:paraId="4C6F7137" w14:textId="77777777">
      <w:pPr>
        <w:pStyle w:val="FoF"/>
      </w:pPr>
      <w:r>
        <w:t xml:space="preserve">On April 25, 2025, SDG&amp;E filed an application to establish a ratemaking mechanism pursuant to SB 410. SDG&amp;E requested the Commission set annual </w:t>
      </w:r>
      <w:r>
        <w:lastRenderedPageBreak/>
        <w:t>caps of $20.864 million in 2024, $144.631 million in 2025, and $144.631 million in 2026. These caps represent the sum of SDG&amp;E’s incremental cost forecasts for multiple categories and subcategories of energization-related spend.</w:t>
      </w:r>
    </w:p>
    <w:p w:rsidR="00BB4B1B" w:rsidP="00BB4B1B" w:rsidRDefault="00BB4B1B" w14:paraId="6A572A36" w14:textId="77777777">
      <w:pPr>
        <w:pStyle w:val="FoF"/>
      </w:pPr>
      <w:r>
        <w:t xml:space="preserve">SDG&amp;E’s application meets the requirements set by SB 410 for the application to be considered complete. </w:t>
      </w:r>
    </w:p>
    <w:p w:rsidR="00BB4B1B" w:rsidP="00BB4B1B" w:rsidRDefault="00BB4B1B" w14:paraId="2CFB54A7" w14:textId="77777777">
      <w:pPr>
        <w:pStyle w:val="FoF"/>
      </w:pPr>
      <w:r w:rsidRPr="00E24EA9">
        <w:t xml:space="preserve">SDG&amp;E currently meets its energization targets </w:t>
      </w:r>
      <w:r>
        <w:t xml:space="preserve">set by </w:t>
      </w:r>
      <w:r w:rsidRPr="00FF7FDE">
        <w:t>D.24-09-020</w:t>
      </w:r>
      <w:r>
        <w:t xml:space="preserve"> </w:t>
      </w:r>
      <w:r w:rsidRPr="00E24EA9">
        <w:t>on average and in aggregate</w:t>
      </w:r>
      <w:r>
        <w:t>. This is the average, however, of six categories of expansion (i.e., service extensions pursuant to tariff Rule 16 and five others). SDG&amp;E’s performance is driven by the fact</w:t>
      </w:r>
      <w:r w:rsidRPr="00E24EA9">
        <w:t xml:space="preserve"> </w:t>
      </w:r>
      <w:r>
        <w:t xml:space="preserve">that </w:t>
      </w:r>
      <w:r w:rsidRPr="00E24EA9">
        <w:t>SDG&amp;E outperforms for requests under tariff Rule 16</w:t>
      </w:r>
      <w:r>
        <w:t xml:space="preserve">; however, SDG&amp;E </w:t>
      </w:r>
      <w:r w:rsidRPr="00E24EA9">
        <w:t>underperforms in the five remaining categories</w:t>
      </w:r>
      <w:r>
        <w:t>.</w:t>
      </w:r>
    </w:p>
    <w:p w:rsidR="00BB4B1B" w:rsidP="00BB4B1B" w:rsidRDefault="00BB4B1B" w14:paraId="40EB47E2" w14:textId="77777777">
      <w:pPr>
        <w:pStyle w:val="FoF"/>
      </w:pPr>
      <w:r w:rsidRPr="00FF7FDE">
        <w:t xml:space="preserve">SB 410 does not restrict </w:t>
      </w:r>
      <w:r>
        <w:t xml:space="preserve">its </w:t>
      </w:r>
      <w:r w:rsidRPr="00FF7FDE">
        <w:t xml:space="preserve">ratemaking mechanism only to utilities that </w:t>
      </w:r>
      <w:r>
        <w:t>are out of compliance with D.24-09-020.</w:t>
      </w:r>
    </w:p>
    <w:p w:rsidR="00BB4B1B" w:rsidP="00BB4B1B" w:rsidRDefault="00BB4B1B" w14:paraId="1D31924E" w14:textId="77777777">
      <w:pPr>
        <w:pStyle w:val="FoF"/>
      </w:pPr>
      <w:r w:rsidRPr="5693D092">
        <w:t>SDG&amp;E has spent less than its GRC</w:t>
      </w:r>
      <w:r>
        <w:noBreakHyphen/>
      </w:r>
      <w:r w:rsidRPr="5693D092">
        <w:t xml:space="preserve">authorized amount of electric distribution capital in 2024 and </w:t>
      </w:r>
      <w:r>
        <w:t xml:space="preserve">in </w:t>
      </w:r>
      <w:r w:rsidRPr="5693D092">
        <w:t>five of the past six years</w:t>
      </w:r>
      <w:r>
        <w:t>; SB 410, however, does not restrict its ratemaking mechanism only to utilities that have spent met or exceeded the GRC-authorized amounts on electric distribution capital.</w:t>
      </w:r>
    </w:p>
    <w:p w:rsidR="00BB4B1B" w:rsidP="00BB4B1B" w:rsidRDefault="00BB4B1B" w14:paraId="11C66EB7" w14:textId="77777777">
      <w:pPr>
        <w:pStyle w:val="FoF"/>
      </w:pPr>
      <w:r>
        <w:t>It is ambiguous whether SB 410 intended for the Commission to authorize utilities to recover incremental costs incurred before the utilities filed their application.</w:t>
      </w:r>
    </w:p>
    <w:p w:rsidR="00BB4B1B" w:rsidP="00BB4B1B" w:rsidRDefault="00BB4B1B" w14:paraId="049214B0" w14:textId="49CF9340">
      <w:pPr>
        <w:pStyle w:val="FoF"/>
      </w:pPr>
      <w:r>
        <w:t xml:space="preserve">The Federal Energy Regulatory Commission’s Uniform System of Accounts (FERC USOA), which provides guidance certain companies must follow when reporting their financials, indicates that utilities may include certain assets (e.g., transformers) in their calculation of total plant in service even if those assets are currently held in reserve. That said, the FERC USOA has no bearing on </w:t>
      </w:r>
      <w:r w:rsidR="00C35FF4">
        <w:lastRenderedPageBreak/>
        <w:t>Pub</w:t>
      </w:r>
      <w:r w:rsidR="00B754E4">
        <w:t>. Util.</w:t>
      </w:r>
      <w:r w:rsidR="00C35FF4">
        <w:t xml:space="preserve"> Code Section</w:t>
      </w:r>
      <w:r w:rsidR="001A762F">
        <w:t> </w:t>
      </w:r>
      <w:r w:rsidR="00C35FF4">
        <w:t>937(b)(1)</w:t>
      </w:r>
      <w:r>
        <w:t>,</w:t>
      </w:r>
      <w:r>
        <w:t xml:space="preserve"> which states in plain language that SDG&amp;E may “track costs for projects placed in service.”</w:t>
      </w:r>
    </w:p>
    <w:p w:rsidR="00BB4B1B" w:rsidP="00BB4B1B" w:rsidRDefault="00BB4B1B" w14:paraId="1EDBA319" w14:textId="77777777">
      <w:pPr>
        <w:pStyle w:val="FoF"/>
      </w:pPr>
      <w:r>
        <w:t xml:space="preserve">It is consistent with SB 410 for the Commission to authorize SDG&amp;E to </w:t>
      </w:r>
      <w:r w:rsidRPr="006F1A62">
        <w:t xml:space="preserve">create a new memorandum account titled the </w:t>
      </w:r>
      <w:r>
        <w:t>Electric Energization Memorandum Account (EEMA) and to record to the EEMA</w:t>
      </w:r>
      <w:r w:rsidRPr="001B213F">
        <w:t xml:space="preserve"> </w:t>
      </w:r>
      <w:r w:rsidRPr="006F1A62">
        <w:t xml:space="preserve">the revenue requirement necessary to recover energization costs </w:t>
      </w:r>
      <w:r>
        <w:t xml:space="preserve">that are incurred in 2024, 2025, 2026 and are </w:t>
      </w:r>
      <w:r w:rsidRPr="006F1A62">
        <w:t xml:space="preserve">incremental to the energization costs authorized by </w:t>
      </w:r>
      <w:r>
        <w:t>D.24</w:t>
      </w:r>
      <w:r>
        <w:noBreakHyphen/>
        <w:t>12</w:t>
      </w:r>
      <w:r>
        <w:noBreakHyphen/>
        <w:t xml:space="preserve">074, the </w:t>
      </w:r>
      <w:r w:rsidRPr="00107AC0">
        <w:rPr>
          <w:i/>
          <w:iCs/>
        </w:rPr>
        <w:t xml:space="preserve">Decision Addressing </w:t>
      </w:r>
      <w:r>
        <w:rPr>
          <w:i/>
          <w:iCs/>
        </w:rPr>
        <w:t>t</w:t>
      </w:r>
      <w:r w:rsidRPr="00107AC0">
        <w:rPr>
          <w:i/>
          <w:iCs/>
        </w:rPr>
        <w:t xml:space="preserve">he 2024 Test Year General Rate Cases </w:t>
      </w:r>
      <w:r>
        <w:rPr>
          <w:i/>
          <w:iCs/>
        </w:rPr>
        <w:t>o</w:t>
      </w:r>
      <w:r w:rsidRPr="00107AC0">
        <w:rPr>
          <w:i/>
          <w:iCs/>
        </w:rPr>
        <w:t xml:space="preserve">f Southern California Gas Company </w:t>
      </w:r>
      <w:r>
        <w:rPr>
          <w:i/>
          <w:iCs/>
        </w:rPr>
        <w:t>a</w:t>
      </w:r>
      <w:r w:rsidRPr="00107AC0">
        <w:rPr>
          <w:i/>
          <w:iCs/>
        </w:rPr>
        <w:t xml:space="preserve">nd </w:t>
      </w:r>
      <w:r>
        <w:rPr>
          <w:i/>
          <w:iCs/>
        </w:rPr>
        <w:t>San </w:t>
      </w:r>
      <w:r w:rsidRPr="00107AC0">
        <w:rPr>
          <w:i/>
          <w:iCs/>
        </w:rPr>
        <w:t>Diego Gas</w:t>
      </w:r>
      <w:r>
        <w:rPr>
          <w:i/>
          <w:iCs/>
        </w:rPr>
        <w:t xml:space="preserve"> &amp; </w:t>
      </w:r>
      <w:r w:rsidRPr="00107AC0">
        <w:rPr>
          <w:i/>
          <w:iCs/>
        </w:rPr>
        <w:t>Electric Company</w:t>
      </w:r>
      <w:r>
        <w:t>.</w:t>
      </w:r>
    </w:p>
    <w:p w:rsidR="00BB4B1B" w:rsidP="00BB4B1B" w:rsidRDefault="00BB4B1B" w14:paraId="6B0CBDF0" w14:textId="3D644BBD">
      <w:pPr>
        <w:pStyle w:val="FoF"/>
      </w:pPr>
      <w:r>
        <w:t xml:space="preserve">It is consistent with SB 410 for the Commission to require SDG&amp;E to calculate </w:t>
      </w:r>
      <w:r>
        <w:t>incremental</w:t>
      </w:r>
      <w:r w:rsidR="6C26ABC7">
        <w:t xml:space="preserve"> spending</w:t>
      </w:r>
      <w:r>
        <w:t xml:space="preserve"> for individual cost </w:t>
      </w:r>
      <w:r w:rsidR="49D3ED4A">
        <w:t>sub</w:t>
      </w:r>
      <w:r>
        <w:t>categories</w:t>
      </w:r>
      <w:r>
        <w:t>, rather than for its entire portfolio of energization-related costs.</w:t>
      </w:r>
    </w:p>
    <w:p w:rsidR="00BB4B1B" w:rsidP="00BB4B1B" w:rsidRDefault="00BB4B1B" w14:paraId="62DF8171" w14:textId="4BBA607C">
      <w:pPr>
        <w:pStyle w:val="FoF"/>
      </w:pPr>
      <w:r>
        <w:t xml:space="preserve">It is consistent with SB 410 for the Commission to require SDG&amp;E, </w:t>
      </w:r>
      <w:r w:rsidRPr="00F134E1">
        <w:t xml:space="preserve">for the purposes of these </w:t>
      </w:r>
      <w:r>
        <w:t>incremental</w:t>
      </w:r>
      <w:r w:rsidR="567AB0D6">
        <w:t xml:space="preserve"> spending</w:t>
      </w:r>
      <w:r w:rsidRPr="00F134E1">
        <w:t xml:space="preserve"> calculations, not to modify, add, or remove the type of projects and activities included in any given category or subcategory.</w:t>
      </w:r>
    </w:p>
    <w:p w:rsidRPr="00F134E1" w:rsidR="00BB4B1B" w:rsidP="00BB4B1B" w:rsidRDefault="00BB4B1B" w14:paraId="3375C390" w14:textId="77777777">
      <w:pPr>
        <w:pStyle w:val="FoF"/>
      </w:pPr>
      <w:r>
        <w:t xml:space="preserve">SDG&amp;E did not justify its request to record to the EEMA eligible costs of no more than $20.864 million in 2024, $144.631 million in 2025, and $144.631 million in 2026, SDG&amp;E did not justify these numbers. Instead, it is more appropriate to set caps of </w:t>
      </w:r>
      <w:r w:rsidRPr="00775596">
        <w:t>$10.561 million in 2024, $20.793 million in 2025, and $19.834 million in 2026</w:t>
      </w:r>
      <w:r>
        <w:t xml:space="preserve"> as described in subsequent Findings of Fact.</w:t>
      </w:r>
    </w:p>
    <w:p w:rsidR="00BB4B1B" w:rsidP="00BB4B1B" w:rsidRDefault="00BB4B1B" w14:paraId="47DC3A49" w14:textId="77777777">
      <w:pPr>
        <w:pStyle w:val="FoF"/>
      </w:pPr>
      <w:r>
        <w:t>SDG&amp;E has justified its forecasted incremental costs of $1.389 million in 2024, $1.916 million in 2025, and $0.105 million in 2026 for Reactive Small Capital Projects.</w:t>
      </w:r>
    </w:p>
    <w:p w:rsidR="00BB4B1B" w:rsidP="00BB4B1B" w:rsidRDefault="00BB4B1B" w14:paraId="66B4ED97" w14:textId="77777777">
      <w:pPr>
        <w:pStyle w:val="FoF"/>
      </w:pPr>
      <w:r>
        <w:t xml:space="preserve">SDG&amp;E’s 2021 GRC authorized SDG&amp;E to construct the East Gate and Sampson projects, but SDG&amp;E delayed the projects because expected load </w:t>
      </w:r>
      <w:r>
        <w:lastRenderedPageBreak/>
        <w:t>growth did not materialize. As the instant application’s cost forecasts for those projects are in addition to any funds SDG&amp;E has already spent on the projects, authorizing SDG&amp;E to record those costs to the EEMA would not constitute double counting.</w:t>
      </w:r>
    </w:p>
    <w:p w:rsidR="00BB4B1B" w:rsidP="00BB4B1B" w:rsidRDefault="00BB4B1B" w14:paraId="460BA959" w14:textId="77777777">
      <w:pPr>
        <w:pStyle w:val="FoF"/>
      </w:pPr>
      <w:r>
        <w:t>SDG&amp;E has justified its forecasted incremental costs of $2.843 million in 2025 for the East Gate C1154 project and costs of $0.069 million in 2024 and $0.588 million in 2025 for the Sampson C369 project.</w:t>
      </w:r>
    </w:p>
    <w:p w:rsidR="00BB4B1B" w:rsidP="00BB4B1B" w:rsidRDefault="00BB4B1B" w14:paraId="486C9FF6" w14:textId="77777777">
      <w:pPr>
        <w:pStyle w:val="FoF"/>
      </w:pPr>
      <w:r>
        <w:t xml:space="preserve">The United States’ Bureau of Labor Statistics regularly calculates and makes public its Consumer Price Index for All Urban Consumers (CPI-U), and the change in the CPI-U is a reasonable proxy for changes in costs of electric distribution equipment. The CPI-U rose by 2.7 percent in the year ending July 2025. </w:t>
      </w:r>
    </w:p>
    <w:p w:rsidR="00BB4B1B" w:rsidP="00BB4B1B" w:rsidRDefault="00BB4B1B" w14:paraId="0A417809" w14:textId="77777777">
      <w:pPr>
        <w:pStyle w:val="FoF"/>
      </w:pPr>
      <w:r>
        <w:t xml:space="preserve">SDG&amp;E did not explain how it developed its forecasted incremental costs of negative $2.518 million in 2024, $2.221 million in 2025, and $5.433 million in 2026 for Planned Investments. Accordingly, SDG&amp;E has not justified adopting a cost forecast with such sudden, sharp increases. Instead, it is more appropriate to forecast that Planned Investment costs will increase at CPI-U, or 2.7 percent per year. Under that assumption, SDG&amp;E’s actual costs never exceed the amounts authorized by Commission Decision </w:t>
      </w:r>
      <w:r w:rsidRPr="00C46398">
        <w:t xml:space="preserve">24-12-074 </w:t>
      </w:r>
      <w:r>
        <w:t>on SDG&amp;E’s 2024 Test Year General Rate Case (2024 GRC). Consequently, the forecast does not show a need to record incremental costs in the Planned Investments category.</w:t>
      </w:r>
    </w:p>
    <w:p w:rsidR="00BB4B1B" w:rsidP="00BB4B1B" w:rsidRDefault="00BB4B1B" w14:paraId="0CA6B8AE" w14:textId="77777777">
      <w:pPr>
        <w:pStyle w:val="FoF"/>
      </w:pPr>
      <w:r>
        <w:t xml:space="preserve">SDG&amp;E did not explain how it developed its forecasted incremental costs of $2.959 million in 2024, $13.245 million in 2025, and $16.474 million in 2026 for Future Capacity Projects. Accordingly, SDG&amp;E has not justified adopting a cost forecast with such sudden, sharp increases. Instead, it is more appropriate to forecast that Planned Investment costs will increase at CPI-U, or 2.7 percent per </w:t>
      </w:r>
      <w:r>
        <w:lastRenderedPageBreak/>
        <w:t xml:space="preserve">year. Under that assumption, SDG&amp;E’s incremental costs are forecasted at $2.959 million in 2024, </w:t>
      </w:r>
      <w:r w:rsidRPr="005A5036">
        <w:t>$</w:t>
      </w:r>
      <w:r>
        <w:t>3.009 million</w:t>
      </w:r>
      <w:r w:rsidRPr="005A5036">
        <w:t xml:space="preserve"> in 2025</w:t>
      </w:r>
      <w:r>
        <w:t>,</w:t>
      </w:r>
      <w:r w:rsidRPr="005A5036">
        <w:t xml:space="preserve"> and $</w:t>
      </w:r>
      <w:r>
        <w:t>3.061 million</w:t>
      </w:r>
      <w:r w:rsidRPr="005A5036">
        <w:t xml:space="preserve"> in 2026</w:t>
      </w:r>
      <w:r>
        <w:t>.</w:t>
      </w:r>
    </w:p>
    <w:p w:rsidR="00BB4B1B" w:rsidP="00BB4B1B" w:rsidRDefault="00BB4B1B" w14:paraId="7307A2A8" w14:textId="77777777">
      <w:pPr>
        <w:pStyle w:val="FoF"/>
      </w:pPr>
      <w:r>
        <w:t>SDG&amp;E did not justify its forecasted incremental costs of $7.935 million in 2025 and $48.649 million in 2026 to acquire land for future substations. SDG&amp;E did not provide sufficient information describing how SDG&amp;E identified the locations that needed new or upgraded substations, where it planned to construct those substations, how it developed its cost forecasts, or the approximate in</w:t>
      </w:r>
      <w:r>
        <w:noBreakHyphen/>
        <w:t>service date for any of the substations. SDG&amp;E also did not convey the level of uncertainty associated with its cost forecasts. Accordingly, the Commission does not have enough information to evaluate whether any of SDG&amp;E’s assumptions were justified.</w:t>
      </w:r>
    </w:p>
    <w:p w:rsidR="00BB4B1B" w:rsidP="00BB4B1B" w:rsidRDefault="00BB4B1B" w14:paraId="06F7F0C2" w14:textId="77777777">
      <w:pPr>
        <w:pStyle w:val="FoF"/>
      </w:pPr>
      <w:r>
        <w:t xml:space="preserve">SDG&amp;E erroneously designated two subcategories within the New Business category (Electric Distribution Easements and Customer Requested Upgrades &amp; Services) as energization-related. With those subcategories removed, </w:t>
      </w:r>
      <w:r w:rsidRPr="00273138">
        <w:t>SDG&amp;E’s 2024 actual incremental spend on energization-related projects in the New Business category drops to $5.227 million.</w:t>
      </w:r>
    </w:p>
    <w:p w:rsidR="00BB4B1B" w:rsidP="00BB4B1B" w:rsidRDefault="00BB4B1B" w14:paraId="70DC0157" w14:textId="77777777">
      <w:pPr>
        <w:pStyle w:val="FoF"/>
      </w:pPr>
      <w:r>
        <w:t>SDG&amp;E did not justify its assumption that New Business costs would increase at 13% per year. This assumption was informed by SDG&amp;E’s historical spend from 2020 to 2023. 2020, however, was an anomalous year due to the COVID pandemic. It is more reasonable to consider the time window of 2021 to 2023, during which SDG&amp;E’s New Business spend increased by approximately 9.7 percent per year.</w:t>
      </w:r>
    </w:p>
    <w:p w:rsidR="00BB4B1B" w:rsidP="00BB4B1B" w:rsidRDefault="00BB4B1B" w14:paraId="432C4FA8" w14:textId="4814522F">
      <w:pPr>
        <w:pStyle w:val="FoF"/>
      </w:pPr>
      <w:r>
        <w:t xml:space="preserve">SDG&amp;E did not justify its forecasted incremental costs of $10.837 million in 2024, $19.094 million in 2025, and $28.603 million in 2026 in the New Business category. Instead, it is more appropriate to adopt incremental cost forecasts of $5.227 million in 2024, $8.949 million in 2025 and $13.130 million </w:t>
      </w:r>
      <w:r w:rsidRPr="003C5387">
        <w:t>2026</w:t>
      </w:r>
      <w:r w:rsidR="00612374">
        <w:t>.</w:t>
      </w:r>
    </w:p>
    <w:p w:rsidR="00BB4B1B" w:rsidP="00BB4B1B" w:rsidRDefault="00BB4B1B" w14:paraId="15F8ACFC" w14:textId="77777777">
      <w:pPr>
        <w:pStyle w:val="FoF"/>
      </w:pPr>
      <w:r>
        <w:lastRenderedPageBreak/>
        <w:t>SDG&amp;E did not present evidence to support its assumption that transformer spend would grow at the same rate at which the New Business costs grow (</w:t>
      </w:r>
      <w:r w:rsidRPr="004E3CF4">
        <w:rPr>
          <w:i/>
          <w:iCs/>
        </w:rPr>
        <w:t>i.e.</w:t>
      </w:r>
      <w:r>
        <w:t>, by 13 percent per year). It is more appropriate to assume that transformer spend grows at the rate of CPI-U (i.e., 2.7 percent per year).</w:t>
      </w:r>
    </w:p>
    <w:p w:rsidR="00BB4B1B" w:rsidP="00BB4B1B" w:rsidRDefault="00BB4B1B" w14:paraId="001107EF" w14:textId="77777777">
      <w:pPr>
        <w:pStyle w:val="FoF"/>
      </w:pPr>
      <w:r>
        <w:t>SDG&amp;E used data from 2019</w:t>
      </w:r>
      <w:r>
        <w:noBreakHyphen/>
        <w:t>2021 to estimate the amount of money the 2024 GRC authorized SDG&amp;E to spend on transformers for energization purposes.</w:t>
      </w:r>
      <w:r w:rsidRPr="00E22C29">
        <w:t xml:space="preserve"> </w:t>
      </w:r>
      <w:r>
        <w:t>It is more appropriate to use data more recent data from 2021-2023.</w:t>
      </w:r>
    </w:p>
    <w:p w:rsidR="00BB4B1B" w:rsidP="00BB4B1B" w:rsidRDefault="00BB4B1B" w14:paraId="2869FAC5" w14:textId="4EA1A672">
      <w:pPr>
        <w:pStyle w:val="FoF"/>
      </w:pPr>
      <w:r>
        <w:t xml:space="preserve">SDG&amp;E did not justify its forecasted incremental costs of $6.653 million in 2024, $8.583 million in 2025, and $10.796 million in 2026 for transformer purchases. Instead, it is more appropriate to adopt incremental cost forecasts of $3.435 million in 2024, </w:t>
      </w:r>
      <w:r w:rsidRPr="002A5FFB">
        <w:t>$3.</w:t>
      </w:r>
      <w:r>
        <w:t>487 million</w:t>
      </w:r>
      <w:r w:rsidRPr="002A5FFB">
        <w:t xml:space="preserve"> in 2025</w:t>
      </w:r>
      <w:r>
        <w:t>,</w:t>
      </w:r>
      <w:r w:rsidRPr="002A5FFB">
        <w:t xml:space="preserve"> and $3.</w:t>
      </w:r>
      <w:r>
        <w:t>538 million</w:t>
      </w:r>
      <w:r w:rsidRPr="002A5FFB">
        <w:t xml:space="preserve"> in 2026</w:t>
      </w:r>
      <w:r w:rsidR="00612374">
        <w:t>.</w:t>
      </w:r>
    </w:p>
    <w:p w:rsidR="00BB4B1B" w:rsidP="00BB4B1B" w:rsidRDefault="00BB4B1B" w14:paraId="04C63216" w14:textId="77777777">
      <w:pPr>
        <w:pStyle w:val="FoF"/>
      </w:pPr>
      <w:bookmarkStart w:name="_Toc8123726" w:id="81"/>
      <w:r>
        <w:t>SDG&amp;E did not justify its forecasted incremental costs of $</w:t>
      </w:r>
      <w:r w:rsidRPr="00AB5CF9">
        <w:t>1</w:t>
      </w:r>
      <w:r>
        <w:t>.</w:t>
      </w:r>
      <w:r w:rsidRPr="00AB5CF9">
        <w:t>475</w:t>
      </w:r>
      <w:r>
        <w:t xml:space="preserve"> million in 2024, $</w:t>
      </w:r>
      <w:r w:rsidRPr="00AB5CF9">
        <w:t>16</w:t>
      </w:r>
      <w:r>
        <w:t>.</w:t>
      </w:r>
      <w:r w:rsidRPr="00AB5CF9">
        <w:t>636</w:t>
      </w:r>
      <w:r>
        <w:t xml:space="preserve"> million in 2025, and $</w:t>
      </w:r>
      <w:r w:rsidRPr="00AB5CF9">
        <w:t>34</w:t>
      </w:r>
      <w:r>
        <w:t>.</w:t>
      </w:r>
      <w:r w:rsidRPr="00AB5CF9">
        <w:t xml:space="preserve">571 </w:t>
      </w:r>
      <w:r>
        <w:t>million in costs across 2025 and 2026 for Information Technology Enhancements to comply with requirements from Commission Decision 24</w:t>
      </w:r>
      <w:r>
        <w:noBreakHyphen/>
        <w:t>09</w:t>
      </w:r>
      <w:r>
        <w:noBreakHyphen/>
        <w:t xml:space="preserve">020 because </w:t>
      </w:r>
      <w:r w:rsidRPr="002F52D1">
        <w:t>SDG&amp;E has not sufficiently described the specific compliance requirements from the energization timelines decision it currently cannot meet, along with the deadline to meet those requirements; has not provided evidence supporting those claims; has not described how the proposed IT Enhancements allow SDG&amp;E to meet those compliance requirements; has not described how its proposed IT Enhancements would coordinate (and avoid duplication or redundancy) among themselves and other existing and planned IT projects; has not described those projects at a reasonable level of detail, including estimates of when the new capabilities would come online; has not tied those description to cost forecasts; and has not explained how it developed those cost forecasts.</w:t>
      </w:r>
    </w:p>
    <w:p w:rsidR="00BB4B1B" w:rsidP="00BB4B1B" w:rsidRDefault="00BB4B1B" w14:paraId="427C20ED" w14:textId="77777777">
      <w:pPr>
        <w:pStyle w:val="FoF"/>
      </w:pPr>
      <w:r>
        <w:lastRenderedPageBreak/>
        <w:t>SDG&amp;E did not justify its recommendation to increase the cap by $71.571 million in 2025 as a contingency to account for forecast uncertainty and to provide a buffer in case energization demand greatly exceeds forecasts, did not explain its methodology to calculate or estimate the need for contingency funds and did not explain the assumptions that went into the amount it requested.</w:t>
      </w:r>
    </w:p>
    <w:p w:rsidR="00BB4B1B" w:rsidP="00BB4B1B" w:rsidRDefault="00BB4B1B" w14:paraId="2F080103" w14:textId="77777777">
      <w:pPr>
        <w:pStyle w:val="FoF"/>
      </w:pPr>
      <w:r>
        <w:t>SDG&amp;E did not justify its intent to recover “additional miscellaneous compliance costs that may be needed to comply with SB 410 and D.24-09-020” because SDG&amp;E did not explain, estimate, or justify these costs.</w:t>
      </w:r>
    </w:p>
    <w:p w:rsidR="00BB4B1B" w:rsidP="00BB4B1B" w:rsidRDefault="00BB4B1B" w14:paraId="611B8C8E" w14:textId="77777777">
      <w:pPr>
        <w:pStyle w:val="FoF"/>
      </w:pPr>
      <w:r>
        <w:t xml:space="preserve">SDG&amp;E justified its request for authority to </w:t>
      </w:r>
      <w:r w:rsidRPr="00FF7FDE">
        <w:t>“roll over” unspent funds from 2025; that is, to add any underspend relative to its 2025 cap to its 2026 cap</w:t>
      </w:r>
      <w:r>
        <w:t xml:space="preserve">. Permitting SDG&amp;E to roll over unspent funds </w:t>
      </w:r>
      <w:r w:rsidRPr="00FF7FDE">
        <w:t xml:space="preserve">allows greater flexibility to prudently deploy </w:t>
      </w:r>
      <w:r>
        <w:t xml:space="preserve">capital </w:t>
      </w:r>
      <w:r w:rsidRPr="00FF7FDE">
        <w:t>as opportunities arise and removes the incentive to spend funds simply to meet the 2025 cutoff</w:t>
      </w:r>
      <w:r>
        <w:t>. It is consistent with SB 410, however, to require that unspent fund from 2025 must only be added to the 2026 cap for the same cost category.</w:t>
      </w:r>
    </w:p>
    <w:p w:rsidR="00BB4B1B" w:rsidP="00BB4B1B" w:rsidRDefault="00BB4B1B" w14:paraId="78EC13D3" w14:textId="4FCECB09">
      <w:pPr>
        <w:pStyle w:val="FoF"/>
      </w:pPr>
      <w:r>
        <w:t>It is consistent with SB 410 for the Commission to authorize SDG&amp;E to, on an annual basis, transfer eligible costs from the EEMA to the existing Electric Distribution Fixed Cost Account (</w:t>
      </w:r>
      <w:proofErr w:type="spellStart"/>
      <w:r>
        <w:t>EDFCA</w:t>
      </w:r>
      <w:proofErr w:type="spellEnd"/>
      <w:r>
        <w:t>) for recovery of those costs from customers. Costs would be eligible for transfer, pursuant to SB 410, once the project associated with those costs is placed into service.</w:t>
      </w:r>
    </w:p>
    <w:p w:rsidR="00BB4B1B" w:rsidP="00BB4B1B" w:rsidRDefault="00BB4B1B" w14:paraId="13C1899B" w14:textId="77777777">
      <w:pPr>
        <w:pStyle w:val="Dummy"/>
      </w:pPr>
      <w:bookmarkStart w:name="_Toc212538580" w:id="82"/>
      <w:r>
        <w:t>Conclusions of Law</w:t>
      </w:r>
      <w:bookmarkEnd w:id="81"/>
      <w:bookmarkEnd w:id="82"/>
    </w:p>
    <w:p w:rsidR="00BB4B1B" w:rsidP="00BB4B1B" w:rsidRDefault="00BB4B1B" w14:paraId="02C8ADD8" w14:textId="77777777">
      <w:pPr>
        <w:pStyle w:val="CoL"/>
        <w:numPr>
          <w:ilvl w:val="0"/>
          <w:numId w:val="7"/>
        </w:numPr>
      </w:pPr>
      <w:r>
        <w:t>I</w:t>
      </w:r>
      <w:r w:rsidRPr="00F95E01">
        <w:t>t is reasonable for the Commission not to deny the instant application for lack of evidence</w:t>
      </w:r>
      <w:r>
        <w:t xml:space="preserve">, and to instead </w:t>
      </w:r>
      <w:r w:rsidRPr="00F95E01">
        <w:t xml:space="preserve">review each </w:t>
      </w:r>
      <w:r>
        <w:t xml:space="preserve">of SDG&amp;E’s </w:t>
      </w:r>
      <w:r w:rsidRPr="00F95E01">
        <w:t>cost forecast</w:t>
      </w:r>
      <w:r>
        <w:t>s</w:t>
      </w:r>
      <w:r w:rsidRPr="00F95E01">
        <w:t xml:space="preserve"> individually.</w:t>
      </w:r>
    </w:p>
    <w:p w:rsidR="00BB4B1B" w:rsidP="00BB4B1B" w:rsidRDefault="00BB4B1B" w14:paraId="67C1E33A" w14:textId="77777777">
      <w:pPr>
        <w:pStyle w:val="CoL"/>
        <w:numPr>
          <w:ilvl w:val="0"/>
          <w:numId w:val="7"/>
        </w:numPr>
      </w:pPr>
      <w:r>
        <w:lastRenderedPageBreak/>
        <w:t>It is reasonable for the Commission not to deny the instant application even though SDG&amp;E’s average time-to-energize meets the targets set by D.24-09-020.</w:t>
      </w:r>
    </w:p>
    <w:p w:rsidR="00BB4B1B" w:rsidP="00BB4B1B" w:rsidRDefault="00BB4B1B" w14:paraId="143704E9" w14:textId="77777777">
      <w:pPr>
        <w:pStyle w:val="CoL"/>
        <w:numPr>
          <w:ilvl w:val="0"/>
          <w:numId w:val="7"/>
        </w:numPr>
      </w:pPr>
      <w:r>
        <w:t>It is reasonable for the Commission not to deny the instant application due to SDG&amp;E’s historic underspend in the electric distribution capital category.</w:t>
      </w:r>
    </w:p>
    <w:p w:rsidR="00BB4B1B" w:rsidP="00BB4B1B" w:rsidRDefault="00BB4B1B" w14:paraId="1DC42B26" w14:textId="77777777">
      <w:pPr>
        <w:pStyle w:val="CoL"/>
        <w:numPr>
          <w:ilvl w:val="0"/>
          <w:numId w:val="7"/>
        </w:numPr>
      </w:pPr>
      <w:r>
        <w:t>It is reasonable for the Commission not to categorically prohibit SDG&amp;E from recovering costs incurred in 2024 and instead review each cost forecast individually.</w:t>
      </w:r>
    </w:p>
    <w:p w:rsidR="00BB4B1B" w:rsidP="00BB4B1B" w:rsidRDefault="00BB4B1B" w14:paraId="09B815BE" w14:textId="77777777">
      <w:pPr>
        <w:pStyle w:val="CoL"/>
        <w:numPr>
          <w:ilvl w:val="0"/>
          <w:numId w:val="7"/>
        </w:numPr>
      </w:pPr>
      <w:r>
        <w:t>It is reasonable for the Commission to direct SDG&amp;E to only seek cost recovery for projects once those projects are placed in service. Additionally, it is reasonable for the Commission not to provide a special exemption for transformers, land, or any other equipment.</w:t>
      </w:r>
    </w:p>
    <w:p w:rsidRPr="006F1A62" w:rsidR="00BB4B1B" w:rsidP="004766B4" w:rsidRDefault="00BB4B1B" w14:paraId="4A4771EE" w14:textId="3D673336">
      <w:pPr>
        <w:pStyle w:val="CoL"/>
      </w:pPr>
      <w:r>
        <w:t xml:space="preserve">It is reasonable for the Commission to authorize </w:t>
      </w:r>
      <w:r w:rsidRPr="006F1A62">
        <w:t>SDG&amp;</w:t>
      </w:r>
      <w:r w:rsidR="6AC263A8">
        <w:t>E</w:t>
      </w:r>
      <w:r w:rsidRPr="006F1A62">
        <w:t xml:space="preserve"> to create a new memorandum account titled the </w:t>
      </w:r>
      <w:r>
        <w:t>Electric Energization Memorandum Account</w:t>
      </w:r>
      <w:r w:rsidRPr="006F1A62">
        <w:t>.</w:t>
      </w:r>
    </w:p>
    <w:p w:rsidR="00BB4B1B" w:rsidP="00BB4B1B" w:rsidRDefault="00BB4B1B" w14:paraId="31EA9067" w14:textId="77777777">
      <w:pPr>
        <w:pStyle w:val="CoL"/>
        <w:numPr>
          <w:ilvl w:val="0"/>
          <w:numId w:val="7"/>
        </w:numPr>
      </w:pPr>
      <w:r>
        <w:t xml:space="preserve">It is reasonable for the Commission to authorize </w:t>
      </w:r>
      <w:r w:rsidRPr="006F1A62">
        <w:t xml:space="preserve">SDG&amp;E </w:t>
      </w:r>
      <w:r>
        <w:t>to</w:t>
      </w:r>
      <w:r w:rsidRPr="006F1A62">
        <w:t xml:space="preserve"> record to the EEMA the revenue requirement necessary to recover energization costs </w:t>
      </w:r>
      <w:r>
        <w:t xml:space="preserve">that are incurred in 2024, 2025, 2026 and are </w:t>
      </w:r>
      <w:r w:rsidRPr="006F1A62">
        <w:t xml:space="preserve">incremental to the energization costs authorized by </w:t>
      </w:r>
      <w:r>
        <w:t>D.24</w:t>
      </w:r>
      <w:r>
        <w:noBreakHyphen/>
        <w:t>12</w:t>
      </w:r>
      <w:r>
        <w:noBreakHyphen/>
        <w:t xml:space="preserve">074, the </w:t>
      </w:r>
      <w:r w:rsidRPr="00107AC0">
        <w:rPr>
          <w:i/>
          <w:iCs/>
        </w:rPr>
        <w:t xml:space="preserve">Decision Addressing </w:t>
      </w:r>
      <w:r>
        <w:rPr>
          <w:i/>
          <w:iCs/>
        </w:rPr>
        <w:t>t</w:t>
      </w:r>
      <w:r w:rsidRPr="00107AC0">
        <w:rPr>
          <w:i/>
          <w:iCs/>
        </w:rPr>
        <w:t xml:space="preserve">he 2024 Test Year General Rate Cases </w:t>
      </w:r>
      <w:r>
        <w:rPr>
          <w:i/>
          <w:iCs/>
        </w:rPr>
        <w:t>o</w:t>
      </w:r>
      <w:r w:rsidRPr="00107AC0">
        <w:rPr>
          <w:i/>
          <w:iCs/>
        </w:rPr>
        <w:t xml:space="preserve">f Southern California Gas Company </w:t>
      </w:r>
      <w:r>
        <w:rPr>
          <w:i/>
          <w:iCs/>
        </w:rPr>
        <w:t>a</w:t>
      </w:r>
      <w:r w:rsidRPr="00107AC0">
        <w:rPr>
          <w:i/>
          <w:iCs/>
        </w:rPr>
        <w:t xml:space="preserve">nd </w:t>
      </w:r>
      <w:r>
        <w:rPr>
          <w:i/>
          <w:iCs/>
        </w:rPr>
        <w:t>San </w:t>
      </w:r>
      <w:r w:rsidRPr="00107AC0">
        <w:rPr>
          <w:i/>
          <w:iCs/>
        </w:rPr>
        <w:t>Diego Gas</w:t>
      </w:r>
      <w:r>
        <w:rPr>
          <w:i/>
          <w:iCs/>
        </w:rPr>
        <w:t xml:space="preserve"> &amp; </w:t>
      </w:r>
      <w:r w:rsidRPr="00107AC0">
        <w:rPr>
          <w:i/>
          <w:iCs/>
        </w:rPr>
        <w:t>Electric Company</w:t>
      </w:r>
      <w:r>
        <w:t>.</w:t>
      </w:r>
    </w:p>
    <w:p w:rsidR="00BB4B1B" w:rsidP="004766B4" w:rsidRDefault="00BB4B1B" w14:paraId="0EB28A33" w14:textId="31A7C66F">
      <w:pPr>
        <w:pStyle w:val="CoL"/>
      </w:pPr>
      <w:r>
        <w:t xml:space="preserve">It is reasonable for the Commission to require SDG&amp;E to calculate </w:t>
      </w:r>
      <w:r>
        <w:t>incremental</w:t>
      </w:r>
      <w:r w:rsidR="639EDAB4">
        <w:t xml:space="preserve"> spending</w:t>
      </w:r>
      <w:r>
        <w:t xml:space="preserve"> for individual </w:t>
      </w:r>
      <w:r w:rsidR="5EA7E874">
        <w:t>sub</w:t>
      </w:r>
      <w:r>
        <w:t>categories</w:t>
      </w:r>
      <w:r>
        <w:t>, rather than for its entire portfolio of energization</w:t>
      </w:r>
      <w:r w:rsidR="008507EC">
        <w:t xml:space="preserve"> </w:t>
      </w:r>
      <w:r>
        <w:t>related costs.</w:t>
      </w:r>
    </w:p>
    <w:p w:rsidR="001B1B41" w:rsidP="008D070E" w:rsidRDefault="001B1B41" w14:paraId="226DE490" w14:textId="07A30F35">
      <w:pPr>
        <w:pStyle w:val="CoL"/>
      </w:pPr>
      <w:r>
        <w:t xml:space="preserve">It is reasonable for the Commission </w:t>
      </w:r>
      <w:r w:rsidR="00E0409E">
        <w:t xml:space="preserve">not to cap </w:t>
      </w:r>
      <w:r w:rsidR="00D91A9A">
        <w:t xml:space="preserve">the amount of incremental spend SDG&amp;E can </w:t>
      </w:r>
      <w:r w:rsidR="008D070E">
        <w:t xml:space="preserve">record in any individual subcategory so </w:t>
      </w:r>
      <w:r>
        <w:t xml:space="preserve">long as the total </w:t>
      </w:r>
      <w:r w:rsidR="008D070E">
        <w:t xml:space="preserve">recorded incremental spend </w:t>
      </w:r>
      <w:r>
        <w:t>not exceed the annual cap.</w:t>
      </w:r>
    </w:p>
    <w:p w:rsidRPr="006F1A62" w:rsidR="00BB4B1B" w:rsidP="004766B4" w:rsidRDefault="00BB4B1B" w14:paraId="726C84A4" w14:textId="0C746B5E">
      <w:pPr>
        <w:pStyle w:val="CoL"/>
      </w:pPr>
      <w:r>
        <w:lastRenderedPageBreak/>
        <w:t>It is reasonable for the Commission to direct SDG&amp;E</w:t>
      </w:r>
      <w:bookmarkStart w:name="_Hlk208066266" w:id="83"/>
      <w:r>
        <w:t xml:space="preserve">, for the purposes of these </w:t>
      </w:r>
      <w:r>
        <w:t>incremental</w:t>
      </w:r>
      <w:r w:rsidR="617B49F0">
        <w:t xml:space="preserve"> spending</w:t>
      </w:r>
      <w:r>
        <w:t xml:space="preserve"> calculations, not to modify, add, or remove the type of projects and activities included in any given category or subcategory.</w:t>
      </w:r>
    </w:p>
    <w:bookmarkEnd w:id="83"/>
    <w:p w:rsidR="00BB4B1B" w:rsidP="00BB4B1B" w:rsidRDefault="00BB4B1B" w14:paraId="482977AC" w14:textId="77777777">
      <w:pPr>
        <w:pStyle w:val="CoL"/>
        <w:numPr>
          <w:ilvl w:val="0"/>
          <w:numId w:val="7"/>
        </w:numPr>
      </w:pPr>
      <w:r>
        <w:t xml:space="preserve">It is reasonable for the Commission to authorize SDG&amp;E to record to the EEMA eligible costs of no more than </w:t>
      </w:r>
      <w:r w:rsidRPr="00775596">
        <w:t>$10.561 million in 2024, $20.793 million in 2025, and $19.834 million in 2026</w:t>
      </w:r>
      <w:r>
        <w:t xml:space="preserve"> as described in subsequent Conclusions of Law.</w:t>
      </w:r>
    </w:p>
    <w:p w:rsidR="00BB4B1B" w:rsidP="00BB4B1B" w:rsidRDefault="00BB4B1B" w14:paraId="79E0D121" w14:textId="77777777">
      <w:pPr>
        <w:pStyle w:val="CoL"/>
        <w:numPr>
          <w:ilvl w:val="0"/>
          <w:numId w:val="7"/>
        </w:numPr>
      </w:pPr>
      <w:r>
        <w:t>It is reasonable for the Commission to count costs of $1.389 million in 2024, $1.916 million in 2025 and $0.105 million in 2026 for Reactive Small Capital Projects toward the caps.</w:t>
      </w:r>
    </w:p>
    <w:p w:rsidR="00BB4B1B" w:rsidP="00BB4B1B" w:rsidRDefault="00BB4B1B" w14:paraId="40C3E26A" w14:textId="77777777">
      <w:pPr>
        <w:pStyle w:val="CoL"/>
        <w:numPr>
          <w:ilvl w:val="0"/>
          <w:numId w:val="7"/>
        </w:numPr>
      </w:pPr>
      <w:r>
        <w:t>It is reasonable for the Commission to count costs of $2.843 million in 2025 for the East Gate C1154 project and costs of $0.069 million in 2024 and $0.588 million in 2025 for the Sampson C369 project toward the caps.</w:t>
      </w:r>
    </w:p>
    <w:p w:rsidR="00BB4B1B" w:rsidP="00BB4B1B" w:rsidRDefault="00BB4B1B" w14:paraId="35D1C710" w14:textId="77777777">
      <w:pPr>
        <w:pStyle w:val="CoL"/>
        <w:numPr>
          <w:ilvl w:val="0"/>
          <w:numId w:val="7"/>
        </w:numPr>
      </w:pPr>
      <w:r>
        <w:t>It is reasonable for the Commission not to count any Planned Investment costs toward the caps.</w:t>
      </w:r>
    </w:p>
    <w:p w:rsidR="00BB4B1B" w:rsidP="00BB4B1B" w:rsidRDefault="00BB4B1B" w14:paraId="4BCE8063" w14:textId="77777777">
      <w:pPr>
        <w:pStyle w:val="CoL"/>
        <w:numPr>
          <w:ilvl w:val="0"/>
          <w:numId w:val="7"/>
        </w:numPr>
      </w:pPr>
      <w:r>
        <w:t>It is reasonable for the Commission to count costs of $2.959 million in 2024,</w:t>
      </w:r>
      <w:r w:rsidRPr="00FF7FDE">
        <w:t xml:space="preserve"> $</w:t>
      </w:r>
      <w:r>
        <w:t>3</w:t>
      </w:r>
      <w:r w:rsidRPr="00FF7FDE">
        <w:t>.</w:t>
      </w:r>
      <w:r>
        <w:t>009</w:t>
      </w:r>
      <w:r w:rsidRPr="00FF7FDE">
        <w:t xml:space="preserve"> million in 2025 and $</w:t>
      </w:r>
      <w:r>
        <w:t>3.061</w:t>
      </w:r>
      <w:r w:rsidRPr="00FF7FDE">
        <w:t xml:space="preserve"> million in 2026</w:t>
      </w:r>
      <w:r>
        <w:t xml:space="preserve"> for Future Capacity Projects toward the caps.</w:t>
      </w:r>
    </w:p>
    <w:p w:rsidR="00BB4B1B" w:rsidP="00BB4B1B" w:rsidRDefault="00BB4B1B" w14:paraId="4C202C0F" w14:textId="77777777">
      <w:pPr>
        <w:pStyle w:val="CoL"/>
        <w:numPr>
          <w:ilvl w:val="0"/>
          <w:numId w:val="7"/>
        </w:numPr>
      </w:pPr>
      <w:r>
        <w:t xml:space="preserve">It is reasonable for the Commission not to count any costs for </w:t>
      </w:r>
      <w:r w:rsidRPr="00170BC4">
        <w:t>Substation Land Acquisition</w:t>
      </w:r>
      <w:r>
        <w:t xml:space="preserve"> should toward the caps.</w:t>
      </w:r>
    </w:p>
    <w:p w:rsidR="00BB4B1B" w:rsidP="00BB4B1B" w:rsidRDefault="00BB4B1B" w14:paraId="094709FA" w14:textId="77777777">
      <w:pPr>
        <w:pStyle w:val="CoL"/>
        <w:numPr>
          <w:ilvl w:val="0"/>
          <w:numId w:val="7"/>
        </w:numPr>
      </w:pPr>
      <w:r>
        <w:t xml:space="preserve">It is reasonable for the Commission to count costs of $5.227 million in 2024, $8.949 million in </w:t>
      </w:r>
      <w:r w:rsidRPr="003C5387">
        <w:t>2025</w:t>
      </w:r>
      <w:r>
        <w:t>,</w:t>
      </w:r>
      <w:r w:rsidRPr="003C5387">
        <w:t xml:space="preserve"> and </w:t>
      </w:r>
      <w:r>
        <w:t xml:space="preserve">$13.130 million in 2026 within the New Business category toward the caps. </w:t>
      </w:r>
    </w:p>
    <w:p w:rsidR="00BB4B1B" w:rsidP="00BB4B1B" w:rsidRDefault="00BB4B1B" w14:paraId="05567D16" w14:textId="77777777">
      <w:pPr>
        <w:pStyle w:val="CoL"/>
        <w:numPr>
          <w:ilvl w:val="0"/>
          <w:numId w:val="7"/>
        </w:numPr>
      </w:pPr>
      <w:r>
        <w:t>It is reasonable for the Commission to count costs of $3.435 million in 2024, $3.487 million in 2025, and $3.538 million in 2026 for transformers purchases toward the caps.</w:t>
      </w:r>
    </w:p>
    <w:p w:rsidR="00BB4B1B" w:rsidP="00BB4B1B" w:rsidRDefault="00BB4B1B" w14:paraId="6209707C" w14:textId="77777777">
      <w:pPr>
        <w:pStyle w:val="CoL"/>
        <w:numPr>
          <w:ilvl w:val="0"/>
          <w:numId w:val="7"/>
        </w:numPr>
      </w:pPr>
      <w:r>
        <w:lastRenderedPageBreak/>
        <w:t>It is reasonable for the Commission not to count IT Enhancement costs toward the caps.</w:t>
      </w:r>
    </w:p>
    <w:p w:rsidR="00BB4B1B" w:rsidP="00BB4B1B" w:rsidRDefault="00BB4B1B" w14:paraId="1F2D276E" w14:textId="77777777">
      <w:pPr>
        <w:pStyle w:val="CoL"/>
        <w:numPr>
          <w:ilvl w:val="0"/>
          <w:numId w:val="7"/>
        </w:numPr>
      </w:pPr>
      <w:r>
        <w:t>It is reasonable for the Commission not to count Contingency cost forecasts toward the caps.</w:t>
      </w:r>
    </w:p>
    <w:p w:rsidR="00BB4B1B" w:rsidP="00BB4B1B" w:rsidRDefault="00BB4B1B" w14:paraId="224E6D65" w14:textId="77777777">
      <w:pPr>
        <w:pStyle w:val="CoL"/>
        <w:numPr>
          <w:ilvl w:val="0"/>
          <w:numId w:val="7"/>
        </w:numPr>
      </w:pPr>
      <w:r>
        <w:t>It is reasonable for the Commission not to count any “m</w:t>
      </w:r>
      <w:r w:rsidRPr="00147172">
        <w:t>iscellaneous costs</w:t>
      </w:r>
      <w:r>
        <w:t>”</w:t>
      </w:r>
      <w:r w:rsidRPr="00147172">
        <w:t xml:space="preserve"> toward the cap</w:t>
      </w:r>
      <w:r>
        <w:t>.</w:t>
      </w:r>
    </w:p>
    <w:p w:rsidR="00BB4B1B" w:rsidP="00BB4B1B" w:rsidRDefault="00BB4B1B" w14:paraId="35C78BA4" w14:textId="77777777">
      <w:pPr>
        <w:pStyle w:val="CoL"/>
        <w:numPr>
          <w:ilvl w:val="0"/>
          <w:numId w:val="7"/>
        </w:numPr>
      </w:pPr>
      <w:r>
        <w:t xml:space="preserve">It is reasonable for the Commission to authorize </w:t>
      </w:r>
      <w:r w:rsidRPr="00FF7FDE">
        <w:t xml:space="preserve">SDG&amp;E </w:t>
      </w:r>
      <w:r>
        <w:t xml:space="preserve">to </w:t>
      </w:r>
      <w:r w:rsidRPr="00FF7FDE">
        <w:t>add any unspent funds from 2025 to the 2026 cap</w:t>
      </w:r>
      <w:r>
        <w:t>, and to require that unspent funds from 2025 must only be added to the 2026 cap for the same category of costs.</w:t>
      </w:r>
    </w:p>
    <w:p w:rsidR="00BB4B1B" w:rsidP="00BB4B1B" w:rsidRDefault="00BB4B1B" w14:paraId="4344E526" w14:textId="77777777">
      <w:pPr>
        <w:pStyle w:val="CoL"/>
        <w:numPr>
          <w:ilvl w:val="0"/>
          <w:numId w:val="7"/>
        </w:numPr>
      </w:pPr>
      <w:r>
        <w:t xml:space="preserve">It is reasonable for the Commission to authorize SDG&amp;E to, on an annual basis, to transfer eligible costs from the EEMA to the </w:t>
      </w:r>
      <w:proofErr w:type="spellStart"/>
      <w:r>
        <w:t>EDFCA</w:t>
      </w:r>
      <w:proofErr w:type="spellEnd"/>
      <w:r>
        <w:t xml:space="preserve"> for recovery of those costs from customers. Costs would be eligible for transfer, pursuant to SB 410, once the project associated with those costs is placed into service.</w:t>
      </w:r>
    </w:p>
    <w:p w:rsidRPr="007154EE" w:rsidR="007154EE" w:rsidP="007154EE" w:rsidRDefault="007154EE" w14:paraId="681903E5" w14:textId="0635A5E2">
      <w:pPr>
        <w:pStyle w:val="CoL"/>
        <w:numPr>
          <w:ilvl w:val="0"/>
          <w:numId w:val="7"/>
        </w:numPr>
      </w:pPr>
      <w:r w:rsidRPr="00665100">
        <w:t xml:space="preserve">The Commission should approve the selection of the third-party auditor in the </w:t>
      </w:r>
      <w:r w:rsidR="007A24F4">
        <w:t>September 27</w:t>
      </w:r>
      <w:r w:rsidRPr="00665100">
        <w:t>, 202</w:t>
      </w:r>
      <w:r w:rsidR="007A24F4">
        <w:t>7</w:t>
      </w:r>
      <w:r w:rsidRPr="00665100">
        <w:t xml:space="preserve"> ALJ ruling to perform and fulfill the requirements of SB</w:t>
      </w:r>
      <w:r w:rsidR="008E6655">
        <w:t> </w:t>
      </w:r>
      <w:r w:rsidRPr="00665100">
        <w:t xml:space="preserve">410. </w:t>
      </w:r>
    </w:p>
    <w:p w:rsidR="00BB4B1B" w:rsidP="00BB4B1B" w:rsidRDefault="00BB4B1B" w14:paraId="4517C316" w14:textId="7D84BB79">
      <w:pPr>
        <w:pStyle w:val="CoL"/>
        <w:numPr>
          <w:ilvl w:val="0"/>
          <w:numId w:val="7"/>
        </w:numPr>
      </w:pPr>
      <w:r>
        <w:t>It is reasonable to close the instant proceeding.</w:t>
      </w:r>
    </w:p>
    <w:p w:rsidRPr="00F849D0" w:rsidR="00BB4B1B" w:rsidP="00BB4B1B" w:rsidRDefault="00BB4B1B" w14:paraId="3BA40C7E" w14:textId="77777777">
      <w:pPr>
        <w:pStyle w:val="Mainex"/>
      </w:pPr>
      <w:bookmarkStart w:name="_Toc212538581" w:id="84"/>
      <w:r>
        <w:t>ORDER</w:t>
      </w:r>
      <w:bookmarkEnd w:id="84"/>
    </w:p>
    <w:p w:rsidR="00BB4B1B" w:rsidP="00BB4B1B" w:rsidRDefault="00BB4B1B" w14:paraId="1F800E06" w14:textId="77777777">
      <w:pPr>
        <w:keepNext/>
      </w:pPr>
      <w:r w:rsidRPr="00BB0243">
        <w:rPr>
          <w:b/>
        </w:rPr>
        <w:t>IT IS ORDERED</w:t>
      </w:r>
      <w:r>
        <w:t xml:space="preserve"> that:</w:t>
      </w:r>
    </w:p>
    <w:p w:rsidR="00BB4B1B" w:rsidP="00BB4B1B" w:rsidRDefault="00BB4B1B" w14:paraId="0EA6C444" w14:textId="096864F6">
      <w:pPr>
        <w:pStyle w:val="OP"/>
      </w:pPr>
      <w:r w:rsidRPr="00BB16B0">
        <w:t>San Diego Gas &amp;</w:t>
      </w:r>
      <w:r w:rsidR="00005B67">
        <w:t xml:space="preserve"> </w:t>
      </w:r>
      <w:r w:rsidRPr="00BB16B0">
        <w:t xml:space="preserve">Electric Company is authorized to </w:t>
      </w:r>
      <w:r>
        <w:t>file a Tier 1 Advice letter to establish an</w:t>
      </w:r>
      <w:r w:rsidRPr="00BB16B0">
        <w:t xml:space="preserve"> Electric Energization Memorandum Account</w:t>
      </w:r>
      <w:r>
        <w:t xml:space="preserve"> within 30 days of the issuance date of this decision.</w:t>
      </w:r>
    </w:p>
    <w:p w:rsidR="00BB4B1B" w:rsidP="00BB4B1B" w:rsidRDefault="00BB4B1B" w14:paraId="2EC40E24" w14:textId="77777777">
      <w:pPr>
        <w:pStyle w:val="OP"/>
      </w:pPr>
      <w:r w:rsidRPr="00BB16B0">
        <w:t>S</w:t>
      </w:r>
      <w:r>
        <w:t xml:space="preserve">an </w:t>
      </w:r>
      <w:r w:rsidRPr="00BB16B0">
        <w:t>D</w:t>
      </w:r>
      <w:r>
        <w:t xml:space="preserve">iego </w:t>
      </w:r>
      <w:r w:rsidRPr="00BB16B0">
        <w:t>G</w:t>
      </w:r>
      <w:r>
        <w:t xml:space="preserve">as </w:t>
      </w:r>
      <w:r w:rsidRPr="00BB16B0">
        <w:t>&amp;</w:t>
      </w:r>
      <w:r>
        <w:t xml:space="preserve"> </w:t>
      </w:r>
      <w:r w:rsidRPr="00BB16B0">
        <w:t>E</w:t>
      </w:r>
      <w:r>
        <w:t>lectric Company is</w:t>
      </w:r>
      <w:r w:rsidRPr="00BB16B0">
        <w:t xml:space="preserve"> authorized to record to </w:t>
      </w:r>
      <w:r>
        <w:t xml:space="preserve">its </w:t>
      </w:r>
      <w:r w:rsidRPr="00BB16B0">
        <w:t>Electric Energization Memorandum Account costs of no more than $10.561 million in 2024, $20.793 million in 2025, and $19.834 million in 2026</w:t>
      </w:r>
      <w:r>
        <w:t>.</w:t>
      </w:r>
    </w:p>
    <w:p w:rsidR="00BB4B1B" w:rsidP="00BB4B1B" w:rsidRDefault="00BB4B1B" w14:paraId="325F3FB7" w14:textId="77777777">
      <w:pPr>
        <w:pStyle w:val="OP"/>
      </w:pPr>
      <w:r>
        <w:lastRenderedPageBreak/>
        <w:t>San Diego Gas &amp; Electric Company is authorized to file a Tier 1 Advice Letter to add any unspent funds from 2025 to the 2026 cap. Unspent funds from 2025 must only be added to the 2026 cap for the same category of costs.</w:t>
      </w:r>
    </w:p>
    <w:p w:rsidRPr="00DB126B" w:rsidR="00BB4B1B" w:rsidP="00BB4B1B" w:rsidRDefault="00BB4B1B" w14:paraId="0B1C11A5" w14:textId="77777777">
      <w:pPr>
        <w:pStyle w:val="OP"/>
      </w:pPr>
      <w:r w:rsidRPr="00DB126B">
        <w:t xml:space="preserve">In its next General Rate Case Application, San Diego Gas &amp; Electric Company </w:t>
      </w:r>
      <w:r w:rsidRPr="00DB126B" w:rsidDel="00D32D67">
        <w:t xml:space="preserve">(SDG&amp;E) </w:t>
      </w:r>
      <w:r w:rsidRPr="00DB126B">
        <w:t>shall include the following information for any costs recorded to the Electric Energization Memorandum Account:</w:t>
      </w:r>
    </w:p>
    <w:p w:rsidRPr="00DB126B" w:rsidR="00BB4B1B" w:rsidP="00757F75" w:rsidRDefault="00BB4B1B" w14:paraId="4EDDA954" w14:textId="77777777">
      <w:pPr>
        <w:pStyle w:val="ListAlpha"/>
        <w:ind w:right="1440"/>
      </w:pPr>
      <w:r w:rsidRPr="00DB126B">
        <w:t xml:space="preserve">The </w:t>
      </w:r>
      <w:r>
        <w:t xml:space="preserve">General Rate Case </w:t>
      </w:r>
      <w:r w:rsidRPr="00DB126B">
        <w:t>category and subcategory (i.e., workpaper) for those costs.</w:t>
      </w:r>
    </w:p>
    <w:p w:rsidRPr="00DB126B" w:rsidR="00BB4B1B" w:rsidP="00757F75" w:rsidRDefault="00BB4B1B" w14:paraId="28B5D2CF" w14:textId="77777777">
      <w:pPr>
        <w:pStyle w:val="ListAlpha"/>
        <w:ind w:right="1440"/>
      </w:pPr>
      <w:r w:rsidRPr="00DB126B">
        <w:t>For the project associated with the recorded spending: the current status of the project (</w:t>
      </w:r>
      <w:r w:rsidRPr="00DB126B">
        <w:rPr>
          <w:i/>
          <w:iCs/>
        </w:rPr>
        <w:t>e.g.</w:t>
      </w:r>
      <w:r w:rsidRPr="00DB126B">
        <w:t xml:space="preserve">, completed, in progress, cancelled); the date the project was placed in service; </w:t>
      </w:r>
      <w:r>
        <w:t xml:space="preserve">and, </w:t>
      </w:r>
      <w:r w:rsidRPr="00DB126B">
        <w:t>the average cost for comparable projects SDG&amp;E completed in the last four years</w:t>
      </w:r>
      <w:r>
        <w:t>.</w:t>
      </w:r>
    </w:p>
    <w:p w:rsidR="00BB4B1B" w:rsidP="00BB4B1B" w:rsidRDefault="00BB4B1B" w14:paraId="62651A20" w14:textId="77777777">
      <w:pPr>
        <w:pStyle w:val="OP"/>
      </w:pPr>
      <w:r>
        <w:t xml:space="preserve">SDG&amp;E shall report the amount of costs transferred from the </w:t>
      </w:r>
      <w:r w:rsidRPr="00DB126B">
        <w:t>Electric Energization Memorandum Account</w:t>
      </w:r>
      <w:r w:rsidDel="00BB16B0">
        <w:t xml:space="preserve"> </w:t>
      </w:r>
      <w:r>
        <w:t>to the Electric Distribution Fixed Cost Account</w:t>
      </w:r>
      <w:r w:rsidDel="00D32D67">
        <w:t xml:space="preserve"> </w:t>
      </w:r>
      <w:r>
        <w:t xml:space="preserve">in its </w:t>
      </w:r>
      <w:r w:rsidRPr="00C8356C">
        <w:t xml:space="preserve">annual Regulatory Account Update Filing, which </w:t>
      </w:r>
      <w:r>
        <w:t xml:space="preserve">it shall consolidate with its </w:t>
      </w:r>
      <w:r w:rsidRPr="00C8356C">
        <w:t xml:space="preserve">Annual Electric True Up advice letter for rates effective </w:t>
      </w:r>
      <w:r>
        <w:t>January </w:t>
      </w:r>
      <w:r w:rsidRPr="00C8356C">
        <w:t>1</w:t>
      </w:r>
      <w:r>
        <w:t>.</w:t>
      </w:r>
    </w:p>
    <w:p w:rsidRPr="007A24F4" w:rsidR="007A24F4" w:rsidP="007A24F4" w:rsidRDefault="007A24F4" w14:paraId="67764294" w14:textId="1EC561BC">
      <w:pPr>
        <w:pStyle w:val="OP"/>
      </w:pPr>
      <w:r w:rsidRPr="00665100">
        <w:t xml:space="preserve">The selection of the third-party auditor in the </w:t>
      </w:r>
      <w:r>
        <w:t>September 27</w:t>
      </w:r>
      <w:r w:rsidRPr="00665100">
        <w:t>, 202</w:t>
      </w:r>
      <w:r>
        <w:t>5</w:t>
      </w:r>
      <w:r w:rsidRPr="00665100">
        <w:t xml:space="preserve"> Administrative Law Judge</w:t>
      </w:r>
      <w:r w:rsidR="007A3396">
        <w:t>’</w:t>
      </w:r>
      <w:r w:rsidRPr="00665100">
        <w:t xml:space="preserve">s ruling as the third-party auditor to perform and fulfill the requirements of Senate Bill 410 (Becker), Stats. 2023, </w:t>
      </w:r>
      <w:proofErr w:type="spellStart"/>
      <w:r w:rsidRPr="00665100">
        <w:t>ch.</w:t>
      </w:r>
      <w:proofErr w:type="spellEnd"/>
      <w:r w:rsidRPr="00665100">
        <w:t xml:space="preserve"> 394, is approved. </w:t>
      </w:r>
    </w:p>
    <w:p w:rsidR="00BB4B1B" w:rsidP="00BB4B1B" w:rsidRDefault="00BB4B1B" w14:paraId="5BA8300A" w14:textId="77777777">
      <w:pPr>
        <w:pStyle w:val="OP"/>
      </w:pPr>
      <w:r>
        <w:t>SDG&amp;E</w:t>
      </w:r>
      <w:r w:rsidRPr="00DB126B">
        <w:t xml:space="preserve"> shall cause its Commission-approved auditor, retained pursuant to Pub</w:t>
      </w:r>
      <w:r>
        <w:t>lic</w:t>
      </w:r>
      <w:r w:rsidRPr="00DB126B">
        <w:t xml:space="preserve"> Util</w:t>
      </w:r>
      <w:r>
        <w:t>ities</w:t>
      </w:r>
      <w:r w:rsidRPr="00DB126B">
        <w:t xml:space="preserve"> Code Section 938(a)(1), to provide a report to the California Public Utilities Commission on March 1, 2026, and every six months thereafter until March 1, 2028.</w:t>
      </w:r>
    </w:p>
    <w:p w:rsidR="00BB4B1B" w:rsidP="00960250" w:rsidRDefault="00BB4B1B" w14:paraId="3746E9BA" w14:textId="6D36CB19">
      <w:pPr>
        <w:pStyle w:val="OP"/>
        <w:keepNext/>
        <w:numPr>
          <w:ilvl w:val="0"/>
          <w:numId w:val="3"/>
        </w:numPr>
      </w:pPr>
      <w:r w:rsidRPr="001E2A62">
        <w:lastRenderedPageBreak/>
        <w:t>Application</w:t>
      </w:r>
      <w:r>
        <w:t xml:space="preserve"> 25</w:t>
      </w:r>
      <w:r>
        <w:noBreakHyphen/>
        <w:t>04</w:t>
      </w:r>
      <w:r>
        <w:noBreakHyphen/>
        <w:t xml:space="preserve">015 </w:t>
      </w:r>
      <w:r w:rsidRPr="001E2A62">
        <w:t>is closed.</w:t>
      </w:r>
    </w:p>
    <w:p w:rsidR="008F0116" w:rsidP="00476D4B" w:rsidRDefault="008F0116" w14:paraId="730EECD3" w14:textId="77777777">
      <w:pPr>
        <w:pStyle w:val="Standard"/>
        <w:keepNext/>
      </w:pPr>
      <w:r>
        <w:t>This order is effective today.</w:t>
      </w:r>
    </w:p>
    <w:p w:rsidR="00714CF2" w:rsidP="00476D4B" w:rsidRDefault="008F0116" w14:paraId="1EA05144" w14:textId="40C0300E">
      <w:pPr>
        <w:pStyle w:val="Standard"/>
        <w:keepNext/>
      </w:pPr>
      <w:r>
        <w:t xml:space="preserve">Dated </w:t>
      </w:r>
      <w:r w:rsidR="00716CD2">
        <w:t>____________________</w:t>
      </w:r>
      <w:r>
        <w:t xml:space="preserve">, at </w:t>
      </w:r>
      <w:r w:rsidR="003D3B2D">
        <w:t>Sacramento</w:t>
      </w:r>
      <w:r>
        <w:t>, California</w:t>
      </w:r>
      <w:r w:rsidR="00716CD2">
        <w:t>.</w:t>
      </w:r>
    </w:p>
    <w:p w:rsidR="00716CD2" w:rsidP="00476D4B" w:rsidRDefault="00716CD2" w14:paraId="4CE7C238" w14:textId="77777777">
      <w:pPr>
        <w:pStyle w:val="Standard"/>
        <w:keepNext/>
      </w:pPr>
    </w:p>
    <w:p w:rsidR="00716CD2" w:rsidP="00476D4B" w:rsidRDefault="00716CD2" w14:paraId="55D9F618" w14:textId="77777777">
      <w:pPr>
        <w:pStyle w:val="Standard"/>
        <w:keepNext/>
      </w:pPr>
    </w:p>
    <w:p w:rsidRPr="00714CF2" w:rsidR="00716CD2" w:rsidP="00476D4B" w:rsidRDefault="00716CD2" w14:paraId="40D5AC72" w14:textId="77777777">
      <w:pPr>
        <w:pStyle w:val="Standard"/>
        <w:keepNext/>
      </w:pPr>
    </w:p>
    <w:sectPr w:rsidRPr="00714CF2" w:rsidR="00716CD2" w:rsidSect="00F849D0">
      <w:footerReference w:type="default" r:id="rId14"/>
      <w:pgSz w:w="12240" w:h="15840"/>
      <w:pgMar w:top="1728" w:right="1440" w:bottom="1440" w:left="1440" w:header="720" w:footer="720" w:gutter="0"/>
      <w:pgNumType w:start="2"/>
      <w:cols w:space="720"/>
      <w:docGrid w:linePitch="360"/>
    </w:sectPr>
    <w:p>
      <w:r>
        <w:t xml:space="preserve"/>
      </w:r>
    </w:p>
    <w:p>
      <w:r>
        <w:t xml:space="preserve">Attachment 1: </w:t>
      </w:r>
    </w:p>
    <w:p>
      <w:hyperlink w:history="true" r:id="Rb738db7a7fd34858">
        <w:r w:rsidRPr="00CB1292">
          <w:rPr>
            <w:rStyle w:val="Hyperlink"/>
            <w:color w:val="2E74B5" w:themeColor="accent1" w:themeShade="BF"/>
            <w:u w:val="single"/>
          </w:rPr>
          <w:t>A2504015 Dugowson PD (Redline Version).pdf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B82A" w14:textId="77777777" w:rsidR="000A4623" w:rsidRDefault="000A4623" w:rsidP="0098138E">
      <w:pPr>
        <w:spacing w:line="240" w:lineRule="auto"/>
      </w:pPr>
      <w:r>
        <w:separator/>
      </w:r>
    </w:p>
  </w:endnote>
  <w:endnote w:type="continuationSeparator" w:id="0">
    <w:p w14:paraId="7B5D52A4" w14:textId="77777777" w:rsidR="000A4623" w:rsidRDefault="000A4623"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4229" w14:textId="335E8FCC" w:rsidR="00F92385" w:rsidRDefault="00503215" w:rsidP="00CB0148">
    <w:pPr>
      <w:spacing w:line="240" w:lineRule="auto"/>
      <w:ind w:firstLine="0"/>
      <w:jc w:val="center"/>
    </w:pPr>
    <w:r>
      <w:noBreakHyphen/>
    </w:r>
    <w:r w:rsidR="00CB0148">
      <w:t xml:space="preserve"> </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CB0148">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A5B7" w14:textId="4D7A504E" w:rsidR="00632207" w:rsidRDefault="00991AE6" w:rsidP="00990F72">
    <w:pPr>
      <w:tabs>
        <w:tab w:val="center" w:pos="4680"/>
      </w:tabs>
      <w:spacing w:line="240" w:lineRule="auto"/>
      <w:ind w:firstLine="0"/>
      <w:rPr>
        <w:noProof/>
      </w:rPr>
    </w:pPr>
    <w:sdt>
      <w:sdtPr>
        <w:id w:val="-1352874971"/>
        <w:docPartObj>
          <w:docPartGallery w:val="Page Numbers (Bottom of Page)"/>
          <w:docPartUnique/>
        </w:docPartObj>
      </w:sdtPr>
      <w:sdtEndPr>
        <w:rPr>
          <w:noProof/>
        </w:rPr>
      </w:sdtEndPr>
      <w:sdtContent>
        <w:r w:rsidR="00522DB4" w:rsidRPr="00522DB4">
          <w:rPr>
            <w:rFonts w:cs="Arial"/>
            <w:sz w:val="16"/>
            <w:szCs w:val="16"/>
          </w:rPr>
          <w:t>585369685</w:t>
        </w:r>
        <w:r w:rsidR="00632207">
          <w:rPr>
            <w:rFonts w:ascii="Arial" w:hAnsi="Arial" w:cs="Arial"/>
            <w:sz w:val="16"/>
            <w:szCs w:val="16"/>
          </w:rPr>
          <w:tab/>
        </w:r>
        <w:r w:rsidR="00503215">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503215">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AD16" w14:textId="199EC5AD" w:rsidR="00E23CBB" w:rsidRDefault="00503215" w:rsidP="00990F72">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F50A" w14:textId="77777777" w:rsidR="000A4623" w:rsidRDefault="000A4623" w:rsidP="00DF58E7">
      <w:pPr>
        <w:spacing w:line="240" w:lineRule="auto"/>
        <w:ind w:firstLine="0"/>
      </w:pPr>
      <w:r>
        <w:separator/>
      </w:r>
    </w:p>
  </w:footnote>
  <w:footnote w:type="continuationSeparator" w:id="0">
    <w:p w14:paraId="60CA9B7D" w14:textId="77777777" w:rsidR="000A4623" w:rsidRDefault="000A4623" w:rsidP="00DF58E7">
      <w:pPr>
        <w:spacing w:line="240" w:lineRule="auto"/>
        <w:ind w:firstLine="0"/>
      </w:pPr>
      <w:r>
        <w:continuationSeparator/>
      </w:r>
    </w:p>
  </w:footnote>
  <w:footnote w:type="continuationNotice" w:id="1">
    <w:p w14:paraId="5F7ACE0C" w14:textId="77777777" w:rsidR="000A4623" w:rsidRPr="00DF58E7" w:rsidRDefault="000A4623" w:rsidP="00DF58E7">
      <w:pPr>
        <w:spacing w:line="240" w:lineRule="auto"/>
        <w:ind w:firstLine="0"/>
        <w:jc w:val="right"/>
        <w:rPr>
          <w:i/>
          <w:sz w:val="22"/>
        </w:rPr>
      </w:pPr>
      <w:r w:rsidRPr="00DF58E7">
        <w:rPr>
          <w:i/>
          <w:sz w:val="22"/>
        </w:rPr>
        <w:t>Footnote continued on next page.</w:t>
      </w:r>
    </w:p>
  </w:footnote>
  <w:footnote w:id="2">
    <w:p w14:paraId="553ADE6D" w14:textId="056933F1" w:rsidR="00433E69" w:rsidRDefault="00433E69">
      <w:pPr>
        <w:pStyle w:val="FootnoteText"/>
      </w:pPr>
      <w:r>
        <w:rPr>
          <w:rStyle w:val="FootnoteReference"/>
        </w:rPr>
        <w:footnoteRef/>
      </w:r>
      <w:r>
        <w:t xml:space="preserve"> </w:t>
      </w:r>
      <w:r w:rsidR="00FC5D8C">
        <w:t>Pub. Util. Code Section 937(b)(</w:t>
      </w:r>
      <w:r w:rsidR="00650851">
        <w:t>1</w:t>
      </w:r>
      <w:r w:rsidR="00FC5D8C">
        <w:t>).</w:t>
      </w:r>
    </w:p>
  </w:footnote>
  <w:footnote w:id="3">
    <w:p w14:paraId="7B5BE30D" w14:textId="77777777" w:rsidR="00537F87" w:rsidRDefault="00537F87" w:rsidP="00537F87">
      <w:pPr>
        <w:pStyle w:val="FootnoteText"/>
      </w:pPr>
      <w:r>
        <w:rPr>
          <w:rStyle w:val="FootnoteReference"/>
        </w:rPr>
        <w:footnoteRef/>
      </w:r>
      <w:r>
        <w:t xml:space="preserve"> Pub. Util. Code Section 937(b)(3).</w:t>
      </w:r>
    </w:p>
  </w:footnote>
  <w:footnote w:id="4">
    <w:p w14:paraId="0EB31BE9" w14:textId="3BD0AEFA" w:rsidR="0030624F" w:rsidRDefault="0030624F">
      <w:pPr>
        <w:pStyle w:val="FootnoteText"/>
      </w:pPr>
      <w:r>
        <w:rPr>
          <w:rStyle w:val="FootnoteReference"/>
        </w:rPr>
        <w:footnoteRef/>
      </w:r>
      <w:r>
        <w:t xml:space="preserve"> Pub. Util. Code Section 937(b)(3).</w:t>
      </w:r>
    </w:p>
  </w:footnote>
  <w:footnote w:id="5">
    <w:p w14:paraId="1CD4B351" w14:textId="3A610044" w:rsidR="00366260" w:rsidRDefault="00366260">
      <w:pPr>
        <w:pStyle w:val="FootnoteText"/>
      </w:pPr>
      <w:r>
        <w:rPr>
          <w:rStyle w:val="FootnoteReference"/>
        </w:rPr>
        <w:footnoteRef/>
      </w:r>
      <w:r>
        <w:t xml:space="preserve"> </w:t>
      </w:r>
      <w:r w:rsidR="00C30899">
        <w:t>Pub. Util. Code Section 937(b)(1).</w:t>
      </w:r>
    </w:p>
  </w:footnote>
  <w:footnote w:id="6">
    <w:p w14:paraId="72B045E6" w14:textId="7E54E211" w:rsidR="002C7FE8" w:rsidRDefault="002C7FE8">
      <w:pPr>
        <w:pStyle w:val="FootnoteText"/>
      </w:pPr>
      <w:r w:rsidRPr="009550BB">
        <w:rPr>
          <w:rStyle w:val="FootnoteReference"/>
        </w:rPr>
        <w:footnoteRef/>
      </w:r>
      <w:r>
        <w:t xml:space="preserve"> </w:t>
      </w:r>
      <w:r w:rsidR="004655D9">
        <w:t>Exhibit CA</w:t>
      </w:r>
      <w:r w:rsidR="00503215">
        <w:noBreakHyphen/>
      </w:r>
      <w:r>
        <w:t xml:space="preserve">01 at 3, </w:t>
      </w:r>
      <w:r w:rsidR="00F91FEE">
        <w:t>Exhibit SBUA</w:t>
      </w:r>
      <w:r w:rsidR="00503215">
        <w:noBreakHyphen/>
      </w:r>
      <w:r w:rsidR="001452C0">
        <w:t xml:space="preserve">01 at 4, </w:t>
      </w:r>
      <w:r w:rsidR="004655D9">
        <w:t>Exhibit TURN</w:t>
      </w:r>
      <w:r w:rsidR="00503215">
        <w:noBreakHyphen/>
      </w:r>
      <w:r>
        <w:t>01 at 20</w:t>
      </w:r>
      <w:r w:rsidR="001452C0">
        <w:t xml:space="preserve">, </w:t>
      </w:r>
      <w:r w:rsidR="00F91FEE">
        <w:t>Exhibit UCAN</w:t>
      </w:r>
      <w:r w:rsidR="00503215">
        <w:noBreakHyphen/>
      </w:r>
      <w:r w:rsidR="001452C0">
        <w:t>01 at 7.</w:t>
      </w:r>
    </w:p>
  </w:footnote>
  <w:footnote w:id="7">
    <w:p w14:paraId="75145E3C" w14:textId="5E2CB08E" w:rsidR="00B506B4" w:rsidRDefault="00B506B4">
      <w:pPr>
        <w:pStyle w:val="FootnoteText"/>
      </w:pPr>
      <w:r w:rsidRPr="009550BB">
        <w:rPr>
          <w:rStyle w:val="FootnoteReference"/>
        </w:rPr>
        <w:footnoteRef/>
      </w:r>
      <w:r>
        <w:t xml:space="preserve"> </w:t>
      </w:r>
      <w:r w:rsidR="004655D9">
        <w:t>Exhibit CA</w:t>
      </w:r>
      <w:r w:rsidR="00503215">
        <w:noBreakHyphen/>
      </w:r>
      <w:r>
        <w:t xml:space="preserve">01 at 3, </w:t>
      </w:r>
      <w:r w:rsidR="004655D9">
        <w:t>Exhibit TURN</w:t>
      </w:r>
      <w:r w:rsidR="00503215">
        <w:noBreakHyphen/>
      </w:r>
      <w:r w:rsidR="006F47A0">
        <w:t>01 at 20</w:t>
      </w:r>
      <w:r w:rsidR="002C7FE8">
        <w:t>.</w:t>
      </w:r>
    </w:p>
  </w:footnote>
  <w:footnote w:id="8">
    <w:p w14:paraId="7DBEDE78" w14:textId="2A996722" w:rsidR="00FB0C3E" w:rsidRDefault="00FB0C3E">
      <w:pPr>
        <w:pStyle w:val="FootnoteText"/>
      </w:pPr>
      <w:r>
        <w:rPr>
          <w:rStyle w:val="FootnoteReference"/>
        </w:rPr>
        <w:footnoteRef/>
      </w:r>
      <w:r>
        <w:t xml:space="preserve"> </w:t>
      </w:r>
      <w:r w:rsidR="00D65DE0">
        <w:t xml:space="preserve">CUE Opening Brief at 5 to 6, SDG&amp;E </w:t>
      </w:r>
      <w:r w:rsidR="00CA76B6">
        <w:t xml:space="preserve">Opening Brief at </w:t>
      </w:r>
      <w:r w:rsidR="00AE22C2">
        <w:t>3 to 7.</w:t>
      </w:r>
    </w:p>
  </w:footnote>
  <w:footnote w:id="9">
    <w:p w14:paraId="544AF63F" w14:textId="330F103F" w:rsidR="00542240" w:rsidRDefault="00542240">
      <w:pPr>
        <w:pStyle w:val="FootnoteText"/>
      </w:pPr>
      <w:r w:rsidRPr="009550BB">
        <w:rPr>
          <w:rStyle w:val="FootnoteReference"/>
        </w:rPr>
        <w:footnoteRef/>
      </w:r>
      <w:r>
        <w:t xml:space="preserve"> This is consistent with </w:t>
      </w:r>
      <w:r w:rsidR="00147172">
        <w:t>Pub. Util.</w:t>
      </w:r>
      <w:r>
        <w:t xml:space="preserve"> Code </w:t>
      </w:r>
      <w:r w:rsidR="004655D9">
        <w:t>Section </w:t>
      </w:r>
      <w:r>
        <w:t xml:space="preserve">937(b) which </w:t>
      </w:r>
      <w:r w:rsidR="006567F0">
        <w:t xml:space="preserve">states that </w:t>
      </w:r>
      <w:r w:rsidR="00836A9E">
        <w:t>“</w:t>
      </w:r>
      <w:r w:rsidR="006567F0">
        <w:t>before establishing the cap, the [Commission] shall review all information submitted by the electrical corporation.</w:t>
      </w:r>
      <w:r w:rsidR="00836A9E">
        <w:t>”</w:t>
      </w:r>
    </w:p>
  </w:footnote>
  <w:footnote w:id="10">
    <w:p w14:paraId="7EE4D455" w14:textId="641FB74C" w:rsidR="00E92EA2" w:rsidRDefault="00E92EA2">
      <w:pPr>
        <w:pStyle w:val="FootnoteText"/>
      </w:pPr>
      <w:r>
        <w:rPr>
          <w:rStyle w:val="FootnoteReference"/>
        </w:rPr>
        <w:footnoteRef/>
      </w:r>
      <w:r>
        <w:t xml:space="preserve"> Pub. Util. Code Sections </w:t>
      </w:r>
      <w:r w:rsidR="008213E9">
        <w:t>933(c) and 933(d)</w:t>
      </w:r>
    </w:p>
  </w:footnote>
  <w:footnote w:id="11">
    <w:p w14:paraId="6B136BF4" w14:textId="40D3BD75" w:rsidR="00A20011" w:rsidRDefault="00A20011" w:rsidP="00A20011">
      <w:pPr>
        <w:pStyle w:val="FootnoteText"/>
      </w:pPr>
      <w:r w:rsidRPr="009550BB">
        <w:rPr>
          <w:rStyle w:val="FootnoteReference"/>
        </w:rPr>
        <w:footnoteRef/>
      </w:r>
      <w:r>
        <w:t xml:space="preserve"> </w:t>
      </w:r>
      <w:r w:rsidR="004655D9">
        <w:t>Exhibit TURN</w:t>
      </w:r>
      <w:r w:rsidR="00503215">
        <w:noBreakHyphen/>
      </w:r>
      <w:r>
        <w:t>01 at 10.</w:t>
      </w:r>
    </w:p>
  </w:footnote>
  <w:footnote w:id="12">
    <w:p w14:paraId="215A46DB" w14:textId="3D762786" w:rsidR="00897A6E" w:rsidRDefault="000E293E" w:rsidP="00897A6E">
      <w:pPr>
        <w:pStyle w:val="FootnoteText"/>
      </w:pPr>
      <w:r w:rsidRPr="009550BB">
        <w:rPr>
          <w:rStyle w:val="FootnoteReference"/>
        </w:rPr>
        <w:footnoteRef/>
      </w:r>
      <w:r>
        <w:t xml:space="preserve"> </w:t>
      </w:r>
      <w:r w:rsidR="004655D9">
        <w:t>Exhibit TURN</w:t>
      </w:r>
      <w:r w:rsidR="00503215">
        <w:noBreakHyphen/>
      </w:r>
      <w:r>
        <w:t>01 at 15 to 16, citing to</w:t>
      </w:r>
      <w:r w:rsidRPr="00725461">
        <w:rPr>
          <w:sz w:val="24"/>
          <w:szCs w:val="24"/>
        </w:rPr>
        <w:t xml:space="preserve"> </w:t>
      </w:r>
      <w:r w:rsidR="00897A6E">
        <w:t xml:space="preserve">Response of </w:t>
      </w:r>
      <w:r w:rsidR="00C23EB9">
        <w:t>San </w:t>
      </w:r>
      <w:r w:rsidR="00897A6E">
        <w:t>Diego Gas</w:t>
      </w:r>
      <w:r w:rsidR="00C23EB9">
        <w:t xml:space="preserve"> &amp; </w:t>
      </w:r>
      <w:r w:rsidR="00897A6E">
        <w:t>Electric Company (</w:t>
      </w:r>
      <w:r w:rsidR="006326BB">
        <w:t>U 902</w:t>
      </w:r>
      <w:r w:rsidR="00503215">
        <w:noBreakHyphen/>
      </w:r>
      <w:r w:rsidR="006326BB">
        <w:t>E</w:t>
      </w:r>
      <w:r w:rsidR="00897A6E">
        <w:t>) to Administrative Law Judge’s Ruling Providing Direction for Large Electric Investor</w:t>
      </w:r>
      <w:r w:rsidR="00503215">
        <w:noBreakHyphen/>
      </w:r>
      <w:r w:rsidR="00897A6E">
        <w:t>Owned Utilities to Comply With Ordering Paragraph 8 of Decision 24</w:t>
      </w:r>
      <w:r w:rsidR="00503215">
        <w:noBreakHyphen/>
      </w:r>
      <w:r w:rsidR="00897A6E">
        <w:t>09</w:t>
      </w:r>
      <w:r w:rsidR="00503215">
        <w:noBreakHyphen/>
      </w:r>
      <w:r w:rsidR="00897A6E">
        <w:t>020</w:t>
      </w:r>
      <w:r w:rsidRPr="00725461">
        <w:t xml:space="preserve"> (</w:t>
      </w:r>
      <w:r w:rsidR="007F1773">
        <w:t>November </w:t>
      </w:r>
      <w:r w:rsidRPr="00725461">
        <w:t>27, 2024)</w:t>
      </w:r>
      <w:r w:rsidR="004655D9">
        <w:t xml:space="preserve"> at </w:t>
      </w:r>
      <w:r w:rsidRPr="00725461">
        <w:t>4</w:t>
      </w:r>
      <w:r w:rsidR="00503215">
        <w:noBreakHyphen/>
      </w:r>
      <w:r w:rsidRPr="00725461">
        <w:t>5</w:t>
      </w:r>
      <w:r>
        <w:t xml:space="preserve"> </w:t>
      </w:r>
      <w:r w:rsidR="004655D9">
        <w:t>(</w:t>
      </w:r>
      <w:hyperlink r:id="rId1" w:history="1">
        <w:r w:rsidR="00484F64" w:rsidRPr="00171C2A">
          <w:rPr>
            <w:rStyle w:val="Hyperlink"/>
          </w:rPr>
          <w:t>https://docs.cpuc.ca.gov/PublishedDocs/Efile/G000/M547/K538/547538411.PDF</w:t>
        </w:r>
      </w:hyperlink>
      <w:r w:rsidR="004655D9">
        <w:t>).</w:t>
      </w:r>
    </w:p>
  </w:footnote>
  <w:footnote w:id="13">
    <w:p w14:paraId="0551EEB6" w14:textId="57751878" w:rsidR="00897A6E" w:rsidRDefault="00807B08" w:rsidP="00897A6E">
      <w:pPr>
        <w:pStyle w:val="FootnoteText"/>
      </w:pPr>
      <w:r w:rsidRPr="009550BB">
        <w:rPr>
          <w:rStyle w:val="FootnoteReference"/>
        </w:rPr>
        <w:footnoteRef/>
      </w:r>
      <w:r>
        <w:t xml:space="preserve"> </w:t>
      </w:r>
      <w:r w:rsidR="004655D9">
        <w:t>Exhibit TURN</w:t>
      </w:r>
      <w:r w:rsidR="00503215">
        <w:noBreakHyphen/>
      </w:r>
      <w:r>
        <w:t xml:space="preserve">01 at 16, citing to </w:t>
      </w:r>
      <w:r w:rsidR="00C23EB9">
        <w:t>San </w:t>
      </w:r>
      <w:r w:rsidR="00897A6E" w:rsidRPr="00897A6E">
        <w:t>Diego Gas</w:t>
      </w:r>
      <w:r w:rsidR="00C23EB9">
        <w:t xml:space="preserve"> &amp; </w:t>
      </w:r>
      <w:r w:rsidR="00897A6E" w:rsidRPr="00897A6E">
        <w:t>Electric Company’s (</w:t>
      </w:r>
      <w:r w:rsidR="006326BB">
        <w:t>U 902</w:t>
      </w:r>
      <w:r w:rsidR="00503215">
        <w:noBreakHyphen/>
      </w:r>
      <w:r w:rsidR="006326BB">
        <w:t>E</w:t>
      </w:r>
      <w:r w:rsidR="00897A6E" w:rsidRPr="00897A6E">
        <w:t xml:space="preserve">) Opening Comments on Next Steps for Flexible Service Connections, Modifying </w:t>
      </w:r>
      <w:r w:rsidR="00AF5EA5">
        <w:t>Phase </w:t>
      </w:r>
      <w:r w:rsidR="00897A6E" w:rsidRPr="00897A6E">
        <w:t>2 Schedule</w:t>
      </w:r>
      <w:r w:rsidRPr="0070361F">
        <w:t xml:space="preserve"> (</w:t>
      </w:r>
      <w:r w:rsidR="007F1773">
        <w:t>March </w:t>
      </w:r>
      <w:r w:rsidRPr="0070361F">
        <w:t>13, 2025)</w:t>
      </w:r>
      <w:r w:rsidR="004655D9">
        <w:t xml:space="preserve"> at </w:t>
      </w:r>
      <w:r w:rsidRPr="0070361F">
        <w:t xml:space="preserve">3 </w:t>
      </w:r>
      <w:r w:rsidR="004655D9">
        <w:t>(</w:t>
      </w:r>
      <w:hyperlink r:id="rId2" w:history="1">
        <w:r w:rsidR="004655D9" w:rsidRPr="00252952">
          <w:rPr>
            <w:rStyle w:val="Hyperlink"/>
          </w:rPr>
          <w:t>https://docs.cpuc.ca.gov/PublishedDocs/Efile/G000/M558/K405/558405944.PDF</w:t>
        </w:r>
      </w:hyperlink>
      <w:r w:rsidR="004655D9">
        <w:t>).</w:t>
      </w:r>
    </w:p>
  </w:footnote>
  <w:footnote w:id="14">
    <w:p w14:paraId="281D2CD4" w14:textId="10BBB44C" w:rsidR="00897A6E" w:rsidRDefault="00807B08" w:rsidP="00897A6E">
      <w:pPr>
        <w:pStyle w:val="FootnoteText"/>
      </w:pPr>
      <w:r w:rsidRPr="009550BB">
        <w:rPr>
          <w:rStyle w:val="FootnoteReference"/>
        </w:rPr>
        <w:footnoteRef/>
      </w:r>
      <w:r>
        <w:t xml:space="preserve"> </w:t>
      </w:r>
      <w:r w:rsidR="004655D9">
        <w:t>Exhibit TURN</w:t>
      </w:r>
      <w:r w:rsidR="00503215">
        <w:noBreakHyphen/>
      </w:r>
      <w:r>
        <w:t xml:space="preserve">01 at 16, citing to </w:t>
      </w:r>
      <w:r w:rsidR="00C23EB9">
        <w:t>San </w:t>
      </w:r>
      <w:r w:rsidR="00897A6E">
        <w:t>Diego Gas</w:t>
      </w:r>
      <w:r w:rsidR="00C23EB9">
        <w:t xml:space="preserve"> &amp; </w:t>
      </w:r>
      <w:r w:rsidR="00897A6E">
        <w:t>Electric Company’s (</w:t>
      </w:r>
      <w:r w:rsidR="006326BB">
        <w:t>U 902 E</w:t>
      </w:r>
      <w:r w:rsidR="00897A6E">
        <w:t>) Reply to Comments on Proposed Decision Adopting Improvements to Distribution Planning and Project Execution Process, Distribution Resource Planning Data Portals, and Integration Capacity Analysis Maps</w:t>
      </w:r>
      <w:r w:rsidRPr="00156A1B">
        <w:t xml:space="preserve"> (</w:t>
      </w:r>
      <w:r w:rsidR="007F1773">
        <w:t>October </w:t>
      </w:r>
      <w:r w:rsidRPr="00156A1B">
        <w:t>8, 2024)</w:t>
      </w:r>
      <w:r w:rsidR="004655D9">
        <w:t xml:space="preserve"> at </w:t>
      </w:r>
      <w:r w:rsidRPr="00156A1B">
        <w:t xml:space="preserve">4 </w:t>
      </w:r>
      <w:r w:rsidR="004655D9">
        <w:t>(</w:t>
      </w:r>
      <w:hyperlink r:id="rId3" w:history="1">
        <w:r w:rsidR="004655D9" w:rsidRPr="00252952">
          <w:rPr>
            <w:rStyle w:val="Hyperlink"/>
          </w:rPr>
          <w:t>https://docs.cpuc.ca.gov/PublishedDocs/Efile/G000/M542/K247/542247710.PDF</w:t>
        </w:r>
      </w:hyperlink>
      <w:r w:rsidR="004655D9">
        <w:t>).</w:t>
      </w:r>
    </w:p>
  </w:footnote>
  <w:footnote w:id="15">
    <w:p w14:paraId="76C0B724" w14:textId="0C338D80" w:rsidR="00DF6381" w:rsidRDefault="00DF6381" w:rsidP="00DF6381">
      <w:pPr>
        <w:pStyle w:val="FootnoteText"/>
      </w:pPr>
      <w:r w:rsidRPr="009550BB">
        <w:rPr>
          <w:rStyle w:val="FootnoteReference"/>
        </w:rPr>
        <w:footnoteRef/>
      </w:r>
      <w:r>
        <w:t xml:space="preserve"> </w:t>
      </w:r>
      <w:r w:rsidR="004655D9">
        <w:t>Exhibit SDGE</w:t>
      </w:r>
      <w:r w:rsidR="00503215">
        <w:noBreakHyphen/>
      </w:r>
      <w:r>
        <w:t>03 at 5.</w:t>
      </w:r>
    </w:p>
  </w:footnote>
  <w:footnote w:id="16">
    <w:p w14:paraId="0E9B6370" w14:textId="085253E6" w:rsidR="008B5505" w:rsidRDefault="008B5505">
      <w:pPr>
        <w:pStyle w:val="FootnoteText"/>
      </w:pPr>
      <w:r w:rsidRPr="009550BB">
        <w:rPr>
          <w:rStyle w:val="FootnoteReference"/>
        </w:rPr>
        <w:footnoteRef/>
      </w:r>
      <w:r>
        <w:t xml:space="preserve"> </w:t>
      </w:r>
      <w:r w:rsidR="004655D9">
        <w:t>Exhibit SDGE</w:t>
      </w:r>
      <w:r w:rsidR="00503215">
        <w:noBreakHyphen/>
      </w:r>
      <w:r>
        <w:t>03 at 4 to 5.</w:t>
      </w:r>
    </w:p>
  </w:footnote>
  <w:footnote w:id="17">
    <w:p w14:paraId="02DB5E08" w14:textId="3B6B0CD3" w:rsidR="00B36A52" w:rsidRDefault="00B36A52" w:rsidP="00B36A52">
      <w:pPr>
        <w:pStyle w:val="FootnoteText"/>
      </w:pPr>
      <w:r w:rsidRPr="009550BB">
        <w:rPr>
          <w:rStyle w:val="FootnoteReference"/>
        </w:rPr>
        <w:footnoteRef/>
      </w:r>
      <w:r>
        <w:t xml:space="preserve"> </w:t>
      </w:r>
      <w:r w:rsidR="004655D9">
        <w:t>Exhibit SDGE</w:t>
      </w:r>
      <w:r w:rsidR="00503215">
        <w:noBreakHyphen/>
      </w:r>
      <w:r>
        <w:t>03 at 6.</w:t>
      </w:r>
    </w:p>
  </w:footnote>
  <w:footnote w:id="18">
    <w:p w14:paraId="0382104A" w14:textId="36B7DAAE" w:rsidR="00A54296" w:rsidRDefault="00A54296" w:rsidP="00A54296">
      <w:pPr>
        <w:pStyle w:val="FootnoteText"/>
      </w:pPr>
      <w:r w:rsidRPr="009550BB">
        <w:rPr>
          <w:rStyle w:val="FootnoteReference"/>
        </w:rPr>
        <w:footnoteRef/>
      </w:r>
      <w:r>
        <w:t xml:space="preserve"> </w:t>
      </w:r>
      <w:r w:rsidR="004655D9">
        <w:t>Exhibit SDGE</w:t>
      </w:r>
      <w:r w:rsidR="00503215">
        <w:noBreakHyphen/>
      </w:r>
      <w:r>
        <w:t>03 at 3.</w:t>
      </w:r>
    </w:p>
  </w:footnote>
  <w:footnote w:id="19">
    <w:p w14:paraId="17101A1A" w14:textId="15CCFCFF" w:rsidR="00602A35" w:rsidRDefault="00602A35" w:rsidP="004655D9">
      <w:pPr>
        <w:pStyle w:val="FootnoteText"/>
      </w:pPr>
      <w:r w:rsidRPr="009550BB">
        <w:rPr>
          <w:rStyle w:val="FootnoteReference"/>
        </w:rPr>
        <w:footnoteRef/>
      </w:r>
      <w:r w:rsidRPr="5693D092">
        <w:t xml:space="preserve"> </w:t>
      </w:r>
      <w:r w:rsidR="004655D9">
        <w:t>Exhibit TURN</w:t>
      </w:r>
      <w:r w:rsidR="00503215">
        <w:noBreakHyphen/>
      </w:r>
      <w:r w:rsidRPr="5693D092">
        <w:t>01 at 19.</w:t>
      </w:r>
    </w:p>
  </w:footnote>
  <w:footnote w:id="20">
    <w:p w14:paraId="1580D6FB" w14:textId="77777777" w:rsidR="00834847" w:rsidRDefault="00834847" w:rsidP="00834847">
      <w:pPr>
        <w:pStyle w:val="FootnoteText"/>
      </w:pPr>
      <w:r>
        <w:rPr>
          <w:rStyle w:val="FootnoteReference"/>
        </w:rPr>
        <w:footnoteRef/>
      </w:r>
      <w:r>
        <w:t xml:space="preserve"> Exhibit TURN</w:t>
      </w:r>
      <w:r>
        <w:noBreakHyphen/>
      </w:r>
      <w:r w:rsidRPr="5693D092">
        <w:t>01 at 19.</w:t>
      </w:r>
    </w:p>
  </w:footnote>
  <w:footnote w:id="21">
    <w:p w14:paraId="1DD59410" w14:textId="02DFACFF" w:rsidR="002D0C78" w:rsidRDefault="002D0C78" w:rsidP="004655D9">
      <w:pPr>
        <w:pStyle w:val="FootnoteText"/>
      </w:pPr>
      <w:r w:rsidRPr="009550BB">
        <w:rPr>
          <w:rStyle w:val="FootnoteReference"/>
        </w:rPr>
        <w:footnoteRef/>
      </w:r>
      <w:r w:rsidRPr="5693D092">
        <w:t xml:space="preserve"> </w:t>
      </w:r>
      <w:r w:rsidR="004655D9">
        <w:t>Exhibit TURN</w:t>
      </w:r>
      <w:r w:rsidR="00503215">
        <w:noBreakHyphen/>
      </w:r>
      <w:r w:rsidRPr="5693D092">
        <w:t>01 at 19.</w:t>
      </w:r>
    </w:p>
  </w:footnote>
  <w:footnote w:id="22">
    <w:p w14:paraId="5D74F45F" w14:textId="42B27A8A" w:rsidR="002640D0" w:rsidRDefault="002640D0" w:rsidP="002640D0">
      <w:pPr>
        <w:pStyle w:val="FootnoteText"/>
      </w:pPr>
      <w:r w:rsidRPr="009550BB">
        <w:rPr>
          <w:rStyle w:val="FootnoteReference"/>
        </w:rPr>
        <w:footnoteRef/>
      </w:r>
      <w:r>
        <w:t xml:space="preserve"> </w:t>
      </w:r>
      <w:r w:rsidR="004655D9">
        <w:t>Exhibit SDGE</w:t>
      </w:r>
      <w:r w:rsidR="00503215">
        <w:noBreakHyphen/>
      </w:r>
      <w:r>
        <w:t>03 at 8.</w:t>
      </w:r>
    </w:p>
  </w:footnote>
  <w:footnote w:id="23">
    <w:p w14:paraId="65D94F10" w14:textId="3EF8528E" w:rsidR="00037AF1" w:rsidRDefault="00037AF1" w:rsidP="00037AF1">
      <w:pPr>
        <w:pStyle w:val="FootnoteText"/>
      </w:pPr>
      <w:r w:rsidRPr="009550BB">
        <w:rPr>
          <w:rStyle w:val="FootnoteReference"/>
        </w:rPr>
        <w:footnoteRef/>
      </w:r>
      <w:r>
        <w:t xml:space="preserve"> </w:t>
      </w:r>
      <w:r w:rsidR="004655D9">
        <w:t>Exhibit </w:t>
      </w:r>
      <w:r w:rsidR="00C62C49">
        <w:t>CA-01</w:t>
      </w:r>
      <w:r>
        <w:t xml:space="preserve"> at 3</w:t>
      </w:r>
      <w:r w:rsidR="00503215">
        <w:noBreakHyphen/>
      </w:r>
      <w:r>
        <w:t>18</w:t>
      </w:r>
      <w:r w:rsidR="00D44244">
        <w:t xml:space="preserve">, </w:t>
      </w:r>
      <w:r w:rsidR="004E2D1B">
        <w:t>Cal Advocates Opening Brief at 16.</w:t>
      </w:r>
    </w:p>
  </w:footnote>
  <w:footnote w:id="24">
    <w:p w14:paraId="5CBB1677" w14:textId="5E327451" w:rsidR="00037AF1" w:rsidRDefault="00037AF1" w:rsidP="00037AF1">
      <w:pPr>
        <w:pStyle w:val="FootnoteText"/>
      </w:pPr>
      <w:r w:rsidRPr="009550BB">
        <w:rPr>
          <w:rStyle w:val="FootnoteReference"/>
        </w:rPr>
        <w:footnoteRef/>
      </w:r>
      <w:r>
        <w:t xml:space="preserve"> </w:t>
      </w:r>
      <w:r w:rsidR="004655D9">
        <w:t>Exhibit SDGE</w:t>
      </w:r>
      <w:r w:rsidR="00503215">
        <w:noBreakHyphen/>
      </w:r>
      <w:r>
        <w:t>3 at 21.</w:t>
      </w:r>
    </w:p>
  </w:footnote>
  <w:footnote w:id="25">
    <w:p w14:paraId="1059C486" w14:textId="6AA6779D" w:rsidR="00037AF1" w:rsidRDefault="00037AF1" w:rsidP="00037AF1">
      <w:pPr>
        <w:pStyle w:val="FootnoteText"/>
      </w:pPr>
      <w:r w:rsidRPr="009550BB">
        <w:rPr>
          <w:rStyle w:val="FootnoteReference"/>
        </w:rPr>
        <w:footnoteRef/>
      </w:r>
      <w:r>
        <w:t xml:space="preserve"> </w:t>
      </w:r>
      <w:r w:rsidR="004655D9">
        <w:t>Exhibit SDGE</w:t>
      </w:r>
      <w:r w:rsidR="00503215">
        <w:noBreakHyphen/>
      </w:r>
      <w:r>
        <w:t>3 at 21.</w:t>
      </w:r>
    </w:p>
  </w:footnote>
  <w:footnote w:id="26">
    <w:p w14:paraId="5ED514BB" w14:textId="48A5E64B" w:rsidR="00037AF1" w:rsidRDefault="00037AF1" w:rsidP="00037AF1">
      <w:pPr>
        <w:pStyle w:val="FootnoteText"/>
      </w:pPr>
      <w:r w:rsidRPr="009550BB">
        <w:rPr>
          <w:rStyle w:val="FootnoteReference"/>
        </w:rPr>
        <w:footnoteRef/>
      </w:r>
      <w:r>
        <w:t xml:space="preserve"> </w:t>
      </w:r>
      <w:r w:rsidR="004655D9" w:rsidRPr="00A06BB6">
        <w:t>Exhibit SDGE</w:t>
      </w:r>
      <w:r w:rsidR="00503215" w:rsidRPr="00A06BB6">
        <w:noBreakHyphen/>
      </w:r>
      <w:r w:rsidRPr="00A06BB6">
        <w:t>4</w:t>
      </w:r>
      <w:r w:rsidR="001739C1" w:rsidRPr="001739C1">
        <w:t xml:space="preserve"> at 10.</w:t>
      </w:r>
    </w:p>
  </w:footnote>
  <w:footnote w:id="27">
    <w:p w14:paraId="2F8931C9" w14:textId="22D95F59" w:rsidR="00037AF1" w:rsidRDefault="00037AF1" w:rsidP="00037AF1">
      <w:pPr>
        <w:pStyle w:val="FootnoteText"/>
      </w:pPr>
      <w:r w:rsidRPr="009550BB">
        <w:rPr>
          <w:rStyle w:val="FootnoteReference"/>
        </w:rPr>
        <w:footnoteRef/>
      </w:r>
      <w:r>
        <w:t xml:space="preserve"> </w:t>
      </w:r>
      <w:r w:rsidR="004655D9">
        <w:t>Exhibit SDGE</w:t>
      </w:r>
      <w:r w:rsidR="00503215">
        <w:noBreakHyphen/>
      </w:r>
      <w:r>
        <w:t>4 at 10 to 11.</w:t>
      </w:r>
    </w:p>
  </w:footnote>
  <w:footnote w:id="28">
    <w:p w14:paraId="724AE607" w14:textId="0A6C6B60" w:rsidR="00DD011D" w:rsidRDefault="00DD011D" w:rsidP="00DD011D">
      <w:pPr>
        <w:pStyle w:val="FootnoteText"/>
      </w:pPr>
      <w:r w:rsidRPr="009550BB">
        <w:rPr>
          <w:rStyle w:val="FootnoteReference"/>
        </w:rPr>
        <w:footnoteRef/>
      </w:r>
      <w:r>
        <w:t xml:space="preserve"> </w:t>
      </w:r>
      <w:r w:rsidR="004655D9">
        <w:t>Exhibit SDGE</w:t>
      </w:r>
      <w:r w:rsidR="00503215">
        <w:noBreakHyphen/>
      </w:r>
      <w:r>
        <w:t>2 at 3.</w:t>
      </w:r>
    </w:p>
  </w:footnote>
  <w:footnote w:id="29">
    <w:p w14:paraId="3E679F52" w14:textId="06EFDF68" w:rsidR="00DD011D" w:rsidRDefault="00DD011D" w:rsidP="00DD011D">
      <w:pPr>
        <w:pStyle w:val="FootnoteText"/>
      </w:pPr>
      <w:r w:rsidRPr="009550BB">
        <w:rPr>
          <w:rStyle w:val="FootnoteReference"/>
        </w:rPr>
        <w:footnoteRef/>
      </w:r>
      <w:r>
        <w:t xml:space="preserve"> </w:t>
      </w:r>
      <w:r w:rsidR="004655D9">
        <w:t>Exhibit SDGE</w:t>
      </w:r>
      <w:r w:rsidR="00503215">
        <w:noBreakHyphen/>
      </w:r>
      <w:r>
        <w:t>2 at 3 to 4.</w:t>
      </w:r>
    </w:p>
  </w:footnote>
  <w:footnote w:id="30">
    <w:p w14:paraId="2857D240" w14:textId="5A3BB322" w:rsidR="00DD011D" w:rsidRDefault="00DD011D" w:rsidP="00DD011D">
      <w:pPr>
        <w:pStyle w:val="FootnoteText"/>
      </w:pPr>
      <w:r w:rsidRPr="009550BB">
        <w:rPr>
          <w:rStyle w:val="FootnoteReference"/>
        </w:rPr>
        <w:footnoteRef/>
      </w:r>
      <w:r>
        <w:t xml:space="preserve"> </w:t>
      </w:r>
      <w:r w:rsidR="004655D9">
        <w:t>Exhibit SDGE</w:t>
      </w:r>
      <w:r w:rsidR="00503215">
        <w:noBreakHyphen/>
      </w:r>
      <w:r>
        <w:t>2 at 4, citing to 18</w:t>
      </w:r>
      <w:r w:rsidR="00491578">
        <w:t> C.F.R.</w:t>
      </w:r>
      <w:r>
        <w:t xml:space="preserve"> </w:t>
      </w:r>
      <w:r w:rsidR="005006D9">
        <w:t xml:space="preserve">Part </w:t>
      </w:r>
      <w:r>
        <w:t>101 (1960) at account 368, Line Transformers.</w:t>
      </w:r>
    </w:p>
  </w:footnote>
  <w:footnote w:id="31">
    <w:p w14:paraId="4C29A356" w14:textId="1FCA4A4E" w:rsidR="00DD011D" w:rsidRDefault="00DD011D" w:rsidP="00DD011D">
      <w:pPr>
        <w:pStyle w:val="FootnoteText"/>
      </w:pPr>
      <w:r w:rsidRPr="009550BB">
        <w:rPr>
          <w:rStyle w:val="FootnoteReference"/>
        </w:rPr>
        <w:footnoteRef/>
      </w:r>
      <w:r>
        <w:t xml:space="preserve"> </w:t>
      </w:r>
      <w:r w:rsidR="004655D9">
        <w:t>Exhibit </w:t>
      </w:r>
      <w:r w:rsidR="00C62C49">
        <w:t>CA-01</w:t>
      </w:r>
      <w:r>
        <w:t xml:space="preserve"> at 3</w:t>
      </w:r>
      <w:r w:rsidR="00503215">
        <w:noBreakHyphen/>
      </w:r>
      <w:r>
        <w:t xml:space="preserve">16; </w:t>
      </w:r>
      <w:r w:rsidR="004655D9">
        <w:t>Exhibit TURN</w:t>
      </w:r>
      <w:r w:rsidR="00503215">
        <w:noBreakHyphen/>
      </w:r>
      <w:r>
        <w:t xml:space="preserve">01 at 21 to 22, citing to </w:t>
      </w:r>
      <w:r w:rsidR="00147172">
        <w:t>Pub. Util.</w:t>
      </w:r>
      <w:r>
        <w:t xml:space="preserve"> Code </w:t>
      </w:r>
      <w:r w:rsidR="004F6670">
        <w:t>§ </w:t>
      </w:r>
      <w:r>
        <w:t xml:space="preserve">938(b)(1) and </w:t>
      </w:r>
      <w:r w:rsidR="004F6670">
        <w:t>§ </w:t>
      </w:r>
      <w:r>
        <w:t>938(e).</w:t>
      </w:r>
    </w:p>
  </w:footnote>
  <w:footnote w:id="32">
    <w:p w14:paraId="746BFC05" w14:textId="19A84646" w:rsidR="00DD011D" w:rsidRDefault="00DD011D" w:rsidP="00DD011D">
      <w:pPr>
        <w:pStyle w:val="FootnoteText"/>
      </w:pPr>
      <w:r w:rsidRPr="009550BB">
        <w:rPr>
          <w:rStyle w:val="FootnoteReference"/>
        </w:rPr>
        <w:footnoteRef/>
      </w:r>
      <w:r>
        <w:t xml:space="preserve"> </w:t>
      </w:r>
      <w:r w:rsidR="004655D9">
        <w:t>Exhibit </w:t>
      </w:r>
      <w:r w:rsidR="00C62C49">
        <w:t>CA-01</w:t>
      </w:r>
      <w:r>
        <w:t xml:space="preserve"> at 3</w:t>
      </w:r>
      <w:r w:rsidR="00503215">
        <w:noBreakHyphen/>
      </w:r>
      <w:r>
        <w:t xml:space="preserve">16; </w:t>
      </w:r>
      <w:r w:rsidR="004655D9">
        <w:t>Exhibit TURN</w:t>
      </w:r>
      <w:r w:rsidR="00503215">
        <w:noBreakHyphen/>
      </w:r>
      <w:r>
        <w:t>01 at 22.</w:t>
      </w:r>
    </w:p>
  </w:footnote>
  <w:footnote w:id="33">
    <w:p w14:paraId="6DB04D97" w14:textId="031AE752" w:rsidR="00DD011D" w:rsidRDefault="00DD011D" w:rsidP="00DD011D">
      <w:pPr>
        <w:pStyle w:val="FootnoteText"/>
      </w:pPr>
      <w:r w:rsidRPr="009550BB">
        <w:rPr>
          <w:rStyle w:val="FootnoteReference"/>
        </w:rPr>
        <w:footnoteRef/>
      </w:r>
      <w:r>
        <w:t xml:space="preserve"> </w:t>
      </w:r>
      <w:r w:rsidR="004655D9">
        <w:t>Exhibit </w:t>
      </w:r>
      <w:r w:rsidR="00C62C49">
        <w:t>CA-01</w:t>
      </w:r>
      <w:r>
        <w:t xml:space="preserve"> at 3</w:t>
      </w:r>
      <w:r w:rsidR="00503215">
        <w:noBreakHyphen/>
      </w:r>
      <w:r>
        <w:t>17.</w:t>
      </w:r>
    </w:p>
  </w:footnote>
  <w:footnote w:id="34">
    <w:p w14:paraId="1F9D8AC6" w14:textId="6FD597F4" w:rsidR="00DD011D" w:rsidRDefault="00DD011D" w:rsidP="00DD011D">
      <w:pPr>
        <w:pStyle w:val="FootnoteText"/>
      </w:pPr>
      <w:r w:rsidRPr="009550BB">
        <w:rPr>
          <w:rStyle w:val="FootnoteReference"/>
        </w:rPr>
        <w:footnoteRef/>
      </w:r>
      <w:r>
        <w:t xml:space="preserve"> </w:t>
      </w:r>
      <w:r w:rsidR="004655D9">
        <w:t>Exhibit SDGE</w:t>
      </w:r>
      <w:r w:rsidR="00503215">
        <w:noBreakHyphen/>
      </w:r>
      <w:r>
        <w:t>4 at 5 to 6.</w:t>
      </w:r>
    </w:p>
  </w:footnote>
  <w:footnote w:id="35">
    <w:p w14:paraId="79E19D93" w14:textId="008F9DBA" w:rsidR="00DD011D" w:rsidRDefault="00DD011D" w:rsidP="00DD011D">
      <w:pPr>
        <w:pStyle w:val="FootnoteText"/>
      </w:pPr>
      <w:r w:rsidRPr="009550BB">
        <w:rPr>
          <w:rStyle w:val="FootnoteReference"/>
        </w:rPr>
        <w:footnoteRef/>
      </w:r>
      <w:r>
        <w:t xml:space="preserve"> </w:t>
      </w:r>
      <w:r w:rsidR="004655D9">
        <w:t>Exhibit SDGE</w:t>
      </w:r>
      <w:r w:rsidR="00503215">
        <w:noBreakHyphen/>
      </w:r>
      <w:r>
        <w:t>4 at 6.</w:t>
      </w:r>
    </w:p>
  </w:footnote>
  <w:footnote w:id="36">
    <w:p w14:paraId="5F6713D3" w14:textId="1AC4B8F7" w:rsidR="00DD011D" w:rsidRDefault="00DD011D" w:rsidP="00DD011D">
      <w:pPr>
        <w:pStyle w:val="FootnoteText"/>
      </w:pPr>
      <w:r w:rsidRPr="009550BB">
        <w:rPr>
          <w:rStyle w:val="FootnoteReference"/>
        </w:rPr>
        <w:footnoteRef/>
      </w:r>
      <w:r>
        <w:t xml:space="preserve"> </w:t>
      </w:r>
      <w:r w:rsidR="004655D9">
        <w:t>Exhibit SDGE</w:t>
      </w:r>
      <w:r w:rsidR="00503215">
        <w:noBreakHyphen/>
      </w:r>
      <w:r>
        <w:t>4 at 6 to 7.</w:t>
      </w:r>
    </w:p>
  </w:footnote>
  <w:footnote w:id="37">
    <w:p w14:paraId="10707693" w14:textId="663A3EBF" w:rsidR="00DD011D" w:rsidRDefault="00DD011D" w:rsidP="00DD011D">
      <w:pPr>
        <w:pStyle w:val="FootnoteText"/>
      </w:pPr>
      <w:r w:rsidRPr="009550BB">
        <w:rPr>
          <w:rStyle w:val="FootnoteReference"/>
        </w:rPr>
        <w:footnoteRef/>
      </w:r>
      <w:r>
        <w:t xml:space="preserve"> </w:t>
      </w:r>
      <w:r w:rsidR="004655D9">
        <w:t>Exhibit SDGE</w:t>
      </w:r>
      <w:r w:rsidR="00503215">
        <w:noBreakHyphen/>
      </w:r>
      <w:r>
        <w:t>4 at 8.</w:t>
      </w:r>
    </w:p>
  </w:footnote>
  <w:footnote w:id="38">
    <w:p w14:paraId="364927C2" w14:textId="71C3E93A" w:rsidR="00260077" w:rsidRDefault="00260077">
      <w:pPr>
        <w:pStyle w:val="FootnoteText"/>
      </w:pPr>
      <w:r>
        <w:rPr>
          <w:rStyle w:val="FootnoteReference"/>
        </w:rPr>
        <w:footnoteRef/>
      </w:r>
      <w:r>
        <w:t xml:space="preserve"> SCE Opening Brief at 6 to 10.</w:t>
      </w:r>
    </w:p>
  </w:footnote>
  <w:footnote w:id="39">
    <w:p w14:paraId="15D92CCD" w14:textId="047CD55E" w:rsidR="003B7A91" w:rsidRDefault="003B7A91">
      <w:pPr>
        <w:pStyle w:val="FootnoteText"/>
      </w:pPr>
      <w:r>
        <w:rPr>
          <w:rStyle w:val="FootnoteReference"/>
        </w:rPr>
        <w:footnoteRef/>
      </w:r>
      <w:r>
        <w:t xml:space="preserve"> </w:t>
      </w:r>
      <w:r w:rsidR="00CF4563" w:rsidRPr="00CF4563">
        <w:t>Exhibit TURN-2, SDG&amp;E response to TURN DR4, Q7.</w:t>
      </w:r>
    </w:p>
  </w:footnote>
  <w:footnote w:id="40">
    <w:p w14:paraId="737473A6" w14:textId="29A3D2EE" w:rsidR="00537D98" w:rsidRDefault="00537D98" w:rsidP="00537D98">
      <w:pPr>
        <w:pStyle w:val="FootnoteText"/>
      </w:pPr>
      <w:r w:rsidRPr="009550BB">
        <w:rPr>
          <w:rStyle w:val="FootnoteReference"/>
        </w:rPr>
        <w:footnoteRef/>
      </w:r>
      <w:r>
        <w:t xml:space="preserve"> </w:t>
      </w:r>
      <w:r w:rsidR="004655D9">
        <w:t>Exhibit SDGE</w:t>
      </w:r>
      <w:r w:rsidR="00503215">
        <w:noBreakHyphen/>
      </w:r>
      <w:r>
        <w:t>1 at 9.</w:t>
      </w:r>
    </w:p>
  </w:footnote>
  <w:footnote w:id="41">
    <w:p w14:paraId="5585A8EE" w14:textId="7BF82B52" w:rsidR="00537D98" w:rsidRDefault="00537D98" w:rsidP="00537D98">
      <w:pPr>
        <w:pStyle w:val="FootnoteText"/>
      </w:pPr>
      <w:r w:rsidRPr="009550BB">
        <w:rPr>
          <w:rStyle w:val="FootnoteReference"/>
        </w:rPr>
        <w:footnoteRef/>
      </w:r>
      <w:r>
        <w:t xml:space="preserve"> </w:t>
      </w:r>
      <w:r w:rsidR="004655D9">
        <w:t>Exhibit SDGE</w:t>
      </w:r>
      <w:r w:rsidR="00503215">
        <w:noBreakHyphen/>
      </w:r>
      <w:r>
        <w:t>1 at 9 to 10.</w:t>
      </w:r>
    </w:p>
  </w:footnote>
  <w:footnote w:id="42">
    <w:p w14:paraId="03AE9598" w14:textId="563BB0BE" w:rsidR="00537D98" w:rsidRDefault="00537D98" w:rsidP="00537D98">
      <w:pPr>
        <w:pStyle w:val="FootnoteText"/>
      </w:pPr>
      <w:r w:rsidRPr="009550BB">
        <w:rPr>
          <w:rStyle w:val="FootnoteReference"/>
        </w:rPr>
        <w:footnoteRef/>
      </w:r>
      <w:r>
        <w:t xml:space="preserve"> </w:t>
      </w:r>
      <w:r w:rsidR="004655D9">
        <w:t>Exhibit SDGE</w:t>
      </w:r>
      <w:r w:rsidR="00503215">
        <w:noBreakHyphen/>
      </w:r>
      <w:r>
        <w:t>1 at 11.</w:t>
      </w:r>
    </w:p>
  </w:footnote>
  <w:footnote w:id="43">
    <w:p w14:paraId="5BADA79B" w14:textId="358537C8" w:rsidR="00537D98" w:rsidRDefault="00537D98" w:rsidP="00537D98">
      <w:pPr>
        <w:pStyle w:val="FootnoteText"/>
      </w:pPr>
      <w:r w:rsidRPr="009550BB">
        <w:rPr>
          <w:rStyle w:val="FootnoteReference"/>
        </w:rPr>
        <w:footnoteRef/>
      </w:r>
      <w:r>
        <w:t xml:space="preserve"> </w:t>
      </w:r>
      <w:r w:rsidR="004655D9">
        <w:t>Exhibit SDGE</w:t>
      </w:r>
      <w:r w:rsidR="00503215">
        <w:noBreakHyphen/>
      </w:r>
      <w:r>
        <w:t>1 at 11. The 217</w:t>
      </w:r>
      <w:r w:rsidR="000034EF">
        <w:t> MW</w:t>
      </w:r>
      <w:r>
        <w:t xml:space="preserve"> figure reflects the sum of incremental </w:t>
      </w:r>
      <w:proofErr w:type="spellStart"/>
      <w:r>
        <w:t>TE</w:t>
      </w:r>
      <w:proofErr w:type="spellEnd"/>
      <w:r>
        <w:t xml:space="preserve"> load (148</w:t>
      </w:r>
      <w:r w:rsidR="000034EF">
        <w:t> MW</w:t>
      </w:r>
      <w:r>
        <w:t>) and incremental BE load (69</w:t>
      </w:r>
      <w:r w:rsidR="000034EF">
        <w:t> MW</w:t>
      </w:r>
      <w:r>
        <w:t>).</w:t>
      </w:r>
    </w:p>
  </w:footnote>
  <w:footnote w:id="44">
    <w:p w14:paraId="3003D8C6" w14:textId="3913C097" w:rsidR="00537D98" w:rsidRDefault="00537D98" w:rsidP="00537D98">
      <w:pPr>
        <w:pStyle w:val="FootnoteText"/>
      </w:pPr>
      <w:r w:rsidRPr="009550BB">
        <w:rPr>
          <w:rStyle w:val="FootnoteReference"/>
        </w:rPr>
        <w:footnoteRef/>
      </w:r>
      <w:r>
        <w:t xml:space="preserve"> </w:t>
      </w:r>
      <w:r w:rsidR="004655D9">
        <w:t>Exhibit SDGE</w:t>
      </w:r>
      <w:r w:rsidR="00503215">
        <w:noBreakHyphen/>
      </w:r>
      <w:r>
        <w:t>1 at 11.</w:t>
      </w:r>
    </w:p>
  </w:footnote>
  <w:footnote w:id="45">
    <w:p w14:paraId="0DDB2BF6" w14:textId="607F8F4D" w:rsidR="007A2830" w:rsidRDefault="007A2830" w:rsidP="007A2830">
      <w:pPr>
        <w:pStyle w:val="FootnoteText"/>
      </w:pPr>
      <w:r w:rsidRPr="009550BB">
        <w:rPr>
          <w:rStyle w:val="FootnoteReference"/>
        </w:rPr>
        <w:footnoteRef/>
      </w:r>
      <w:r>
        <w:t xml:space="preserve"> </w:t>
      </w:r>
      <w:r w:rsidR="004655D9">
        <w:t>Exhibit TURN</w:t>
      </w:r>
      <w:r w:rsidR="00503215">
        <w:noBreakHyphen/>
      </w:r>
      <w:r>
        <w:t>01 at 26.</w:t>
      </w:r>
    </w:p>
  </w:footnote>
  <w:footnote w:id="46">
    <w:p w14:paraId="2C322DD2" w14:textId="3431F2B3" w:rsidR="007A2830" w:rsidRDefault="007A2830" w:rsidP="007A2830">
      <w:pPr>
        <w:pStyle w:val="FootnoteText"/>
      </w:pPr>
      <w:r w:rsidRPr="009550BB">
        <w:rPr>
          <w:rStyle w:val="FootnoteReference"/>
        </w:rPr>
        <w:footnoteRef/>
      </w:r>
      <w:r>
        <w:t xml:space="preserve"> </w:t>
      </w:r>
      <w:r w:rsidR="004655D9">
        <w:t>Exhibit TURN</w:t>
      </w:r>
      <w:r w:rsidR="00503215">
        <w:noBreakHyphen/>
      </w:r>
      <w:r>
        <w:t>01 at 26 to 27.</w:t>
      </w:r>
    </w:p>
  </w:footnote>
  <w:footnote w:id="47">
    <w:p w14:paraId="1C14A6A3" w14:textId="446B1B0C" w:rsidR="007A2830" w:rsidRDefault="007A2830" w:rsidP="007A2830">
      <w:pPr>
        <w:pStyle w:val="FootnoteText"/>
      </w:pPr>
      <w:r w:rsidRPr="009550BB">
        <w:rPr>
          <w:rStyle w:val="FootnoteReference"/>
        </w:rPr>
        <w:footnoteRef/>
      </w:r>
      <w:r>
        <w:t xml:space="preserve"> </w:t>
      </w:r>
      <w:r w:rsidR="004655D9">
        <w:t>Exhibit SDGE</w:t>
      </w:r>
      <w:r w:rsidR="00503215">
        <w:noBreakHyphen/>
      </w:r>
      <w:r>
        <w:t>3 at 17.</w:t>
      </w:r>
    </w:p>
  </w:footnote>
  <w:footnote w:id="48">
    <w:p w14:paraId="3FBD36F2" w14:textId="09A51323" w:rsidR="00B41F2D" w:rsidRDefault="00B41F2D" w:rsidP="00B41F2D">
      <w:pPr>
        <w:pStyle w:val="FootnoteText"/>
      </w:pPr>
      <w:r w:rsidRPr="009550BB">
        <w:rPr>
          <w:rStyle w:val="FootnoteReference"/>
        </w:rPr>
        <w:footnoteRef/>
      </w:r>
      <w:r>
        <w:t xml:space="preserve"> </w:t>
      </w:r>
      <w:r w:rsidR="004655D9">
        <w:t>Exhibit SDGE</w:t>
      </w:r>
      <w:r w:rsidR="00503215">
        <w:noBreakHyphen/>
      </w:r>
      <w:r>
        <w:t>1 at 13</w:t>
      </w:r>
    </w:p>
  </w:footnote>
  <w:footnote w:id="49">
    <w:p w14:paraId="58F1C86A" w14:textId="77777777" w:rsidR="00B41F2D" w:rsidRDefault="00B41F2D" w:rsidP="00B41F2D">
      <w:pPr>
        <w:pStyle w:val="FootnoteText"/>
      </w:pPr>
      <w:r w:rsidRPr="009550BB">
        <w:rPr>
          <w:rStyle w:val="FootnoteReference"/>
        </w:rPr>
        <w:footnoteRef/>
      </w:r>
      <w:r>
        <w:t xml:space="preserve"> SDG&amp;E Response to ALJ Ruling at 11.</w:t>
      </w:r>
    </w:p>
  </w:footnote>
  <w:footnote w:id="50">
    <w:p w14:paraId="4EA276EE" w14:textId="3A41B1CD" w:rsidR="00B41F2D" w:rsidRDefault="00B41F2D" w:rsidP="00B41F2D">
      <w:pPr>
        <w:pStyle w:val="FootnoteText"/>
      </w:pPr>
      <w:r w:rsidRPr="009550BB">
        <w:rPr>
          <w:rStyle w:val="FootnoteReference"/>
        </w:rPr>
        <w:footnoteRef/>
      </w:r>
      <w:r>
        <w:t xml:space="preserve"> </w:t>
      </w:r>
      <w:r w:rsidR="004655D9">
        <w:t>Exhibit SDGE</w:t>
      </w:r>
      <w:r w:rsidR="00503215">
        <w:noBreakHyphen/>
      </w:r>
      <w:r>
        <w:t>1 at 13.</w:t>
      </w:r>
    </w:p>
  </w:footnote>
  <w:footnote w:id="51">
    <w:p w14:paraId="3CB167C7" w14:textId="3AC0756E" w:rsidR="0087352F" w:rsidRDefault="0087352F" w:rsidP="0087352F">
      <w:pPr>
        <w:pStyle w:val="FootnoteText"/>
      </w:pPr>
      <w:r w:rsidRPr="009550BB">
        <w:rPr>
          <w:rStyle w:val="FootnoteReference"/>
        </w:rPr>
        <w:footnoteRef/>
      </w:r>
      <w:r>
        <w:t xml:space="preserve"> </w:t>
      </w:r>
      <w:r w:rsidR="004655D9">
        <w:t>Exhibit SDGE</w:t>
      </w:r>
      <w:r w:rsidR="00503215">
        <w:noBreakHyphen/>
      </w:r>
      <w:r>
        <w:t>1 at 14.</w:t>
      </w:r>
    </w:p>
  </w:footnote>
  <w:footnote w:id="52">
    <w:p w14:paraId="7CE724EA" w14:textId="4FD7A033" w:rsidR="0087352F" w:rsidRDefault="0087352F" w:rsidP="0087352F">
      <w:pPr>
        <w:pStyle w:val="FootnoteText"/>
      </w:pPr>
      <w:r w:rsidRPr="009550BB">
        <w:rPr>
          <w:rStyle w:val="FootnoteReference"/>
        </w:rPr>
        <w:footnoteRef/>
      </w:r>
      <w:r>
        <w:t xml:space="preserve"> </w:t>
      </w:r>
      <w:r w:rsidR="004655D9">
        <w:t>Exhibit SDGE</w:t>
      </w:r>
      <w:r w:rsidR="00503215">
        <w:noBreakHyphen/>
      </w:r>
      <w:r>
        <w:t>1 at 7.</w:t>
      </w:r>
    </w:p>
  </w:footnote>
  <w:footnote w:id="53">
    <w:p w14:paraId="4603AC53" w14:textId="3D7F4FE4" w:rsidR="003C5387" w:rsidRDefault="003C5387" w:rsidP="003C5387">
      <w:pPr>
        <w:pStyle w:val="FootnoteText"/>
      </w:pPr>
      <w:r w:rsidRPr="009550BB">
        <w:rPr>
          <w:rStyle w:val="FootnoteReference"/>
        </w:rPr>
        <w:footnoteRef/>
      </w:r>
      <w:r>
        <w:t xml:space="preserve"> </w:t>
      </w:r>
      <w:r w:rsidR="004655D9">
        <w:t>Exhibit SDGE</w:t>
      </w:r>
      <w:r w:rsidR="00503215">
        <w:noBreakHyphen/>
      </w:r>
      <w:r>
        <w:t>1 at 14.</w:t>
      </w:r>
    </w:p>
  </w:footnote>
  <w:footnote w:id="54">
    <w:p w14:paraId="15F6D2CF" w14:textId="2B6BC032" w:rsidR="003C5387" w:rsidRDefault="003C5387" w:rsidP="003C5387">
      <w:pPr>
        <w:pStyle w:val="FootnoteText"/>
      </w:pPr>
      <w:r w:rsidRPr="009550BB">
        <w:rPr>
          <w:rStyle w:val="FootnoteReference"/>
        </w:rPr>
        <w:footnoteRef/>
      </w:r>
      <w:r>
        <w:t xml:space="preserve"> </w:t>
      </w:r>
      <w:r w:rsidR="004655D9">
        <w:t>Exhibit SDGE</w:t>
      </w:r>
      <w:r w:rsidR="00503215">
        <w:noBreakHyphen/>
      </w:r>
      <w:r>
        <w:t>1 at 7</w:t>
      </w:r>
      <w:r w:rsidR="004655D9">
        <w:t xml:space="preserve"> to</w:t>
      </w:r>
      <w:r>
        <w:t xml:space="preserve"> 8 and 14.</w:t>
      </w:r>
    </w:p>
  </w:footnote>
  <w:footnote w:id="55">
    <w:p w14:paraId="3901FCD5" w14:textId="373E5E59" w:rsidR="003C5387" w:rsidRDefault="003C5387" w:rsidP="003C5387">
      <w:pPr>
        <w:pStyle w:val="FootnoteText"/>
      </w:pPr>
      <w:r w:rsidRPr="009550BB">
        <w:rPr>
          <w:rStyle w:val="FootnoteReference"/>
        </w:rPr>
        <w:footnoteRef/>
      </w:r>
      <w:r>
        <w:t xml:space="preserve"> </w:t>
      </w:r>
      <w:r w:rsidR="004655D9">
        <w:t>Exhibit CA</w:t>
      </w:r>
      <w:r w:rsidR="00503215">
        <w:noBreakHyphen/>
      </w:r>
      <w:r>
        <w:t>01 at 4</w:t>
      </w:r>
      <w:r w:rsidR="00503215">
        <w:noBreakHyphen/>
      </w:r>
      <w:r>
        <w:t>3.</w:t>
      </w:r>
    </w:p>
  </w:footnote>
  <w:footnote w:id="56">
    <w:p w14:paraId="1C4D429C" w14:textId="6345B0F7" w:rsidR="003C5387" w:rsidRDefault="003C5387" w:rsidP="003C5387">
      <w:pPr>
        <w:pStyle w:val="FootnoteText"/>
      </w:pPr>
      <w:r w:rsidRPr="009550BB">
        <w:rPr>
          <w:rStyle w:val="FootnoteReference"/>
        </w:rPr>
        <w:footnoteRef/>
      </w:r>
      <w:r>
        <w:t xml:space="preserve"> </w:t>
      </w:r>
      <w:r w:rsidR="004655D9">
        <w:t>Exhibit TURN</w:t>
      </w:r>
      <w:r w:rsidR="00503215">
        <w:noBreakHyphen/>
      </w:r>
      <w:r>
        <w:t>01 at 24.</w:t>
      </w:r>
    </w:p>
  </w:footnote>
  <w:footnote w:id="57">
    <w:p w14:paraId="5B011C3C" w14:textId="1BE27B9B" w:rsidR="003C5387" w:rsidRDefault="003C5387" w:rsidP="003C5387">
      <w:pPr>
        <w:pStyle w:val="FootnoteText"/>
      </w:pPr>
      <w:r w:rsidRPr="009550BB">
        <w:rPr>
          <w:rStyle w:val="FootnoteReference"/>
        </w:rPr>
        <w:footnoteRef/>
      </w:r>
      <w:r>
        <w:t xml:space="preserve"> </w:t>
      </w:r>
      <w:r w:rsidR="004655D9">
        <w:t>Exhibit SDGE</w:t>
      </w:r>
      <w:r w:rsidR="00503215">
        <w:noBreakHyphen/>
      </w:r>
      <w:r>
        <w:t>03 at 26.</w:t>
      </w:r>
    </w:p>
  </w:footnote>
  <w:footnote w:id="58">
    <w:p w14:paraId="52B6263C" w14:textId="12AAE898" w:rsidR="00A9507C" w:rsidRDefault="00A9507C" w:rsidP="00A9507C">
      <w:pPr>
        <w:pStyle w:val="FootnoteText"/>
      </w:pPr>
      <w:r>
        <w:rPr>
          <w:rStyle w:val="FootnoteReference"/>
        </w:rPr>
        <w:footnoteRef/>
      </w:r>
      <w:r>
        <w:t xml:space="preserve"> </w:t>
      </w:r>
      <w:r w:rsidR="001B7E71">
        <w:t>SDG&amp;E Reply Brief at 44.</w:t>
      </w:r>
    </w:p>
  </w:footnote>
  <w:footnote w:id="59">
    <w:p w14:paraId="48D847DA" w14:textId="2B2FDAE2" w:rsidR="001B19CC" w:rsidRDefault="001B19CC" w:rsidP="001B19CC">
      <w:pPr>
        <w:pStyle w:val="FootnoteText"/>
      </w:pPr>
      <w:r w:rsidRPr="009550BB">
        <w:rPr>
          <w:rStyle w:val="FootnoteReference"/>
        </w:rPr>
        <w:footnoteRef/>
      </w:r>
      <w:r>
        <w:t xml:space="preserve"> </w:t>
      </w:r>
      <w:r w:rsidR="004655D9">
        <w:t>Exhibit SDGE</w:t>
      </w:r>
      <w:r w:rsidR="00503215">
        <w:noBreakHyphen/>
      </w:r>
      <w:r>
        <w:t>1 at 14.</w:t>
      </w:r>
    </w:p>
  </w:footnote>
  <w:footnote w:id="60">
    <w:p w14:paraId="2C494D57" w14:textId="49E0B65D" w:rsidR="001B19CC" w:rsidRDefault="001B19CC" w:rsidP="001B19CC">
      <w:pPr>
        <w:pStyle w:val="FootnoteText"/>
      </w:pPr>
      <w:r w:rsidRPr="009550BB">
        <w:rPr>
          <w:rStyle w:val="FootnoteReference"/>
        </w:rPr>
        <w:footnoteRef/>
      </w:r>
      <w:r>
        <w:t xml:space="preserve"> </w:t>
      </w:r>
      <w:r w:rsidR="004655D9">
        <w:t>Exhibit SDGE</w:t>
      </w:r>
      <w:r w:rsidR="00503215">
        <w:noBreakHyphen/>
      </w:r>
      <w:r>
        <w:t>1 at 8.</w:t>
      </w:r>
    </w:p>
  </w:footnote>
  <w:footnote w:id="61">
    <w:p w14:paraId="1328BF9A" w14:textId="21825FC7" w:rsidR="001B19CC" w:rsidRDefault="001B19CC" w:rsidP="001B19CC">
      <w:pPr>
        <w:pStyle w:val="FootnoteText"/>
      </w:pPr>
      <w:r w:rsidRPr="009550BB">
        <w:rPr>
          <w:rStyle w:val="FootnoteReference"/>
        </w:rPr>
        <w:footnoteRef/>
      </w:r>
      <w:r>
        <w:t xml:space="preserve"> </w:t>
      </w:r>
      <w:r w:rsidR="004655D9">
        <w:t>Exhibit TURN</w:t>
      </w:r>
      <w:r w:rsidR="00503215">
        <w:noBreakHyphen/>
      </w:r>
      <w:r>
        <w:t>01 at 33, citing to SDG&amp;E</w:t>
      </w:r>
      <w:r w:rsidR="00836A9E">
        <w:t>’</w:t>
      </w:r>
      <w:r>
        <w:t>s workpapers.</w:t>
      </w:r>
    </w:p>
  </w:footnote>
  <w:footnote w:id="62">
    <w:p w14:paraId="1D4B24E1" w14:textId="3ED685D1" w:rsidR="001B19CC" w:rsidRDefault="001B19CC" w:rsidP="001B19CC">
      <w:pPr>
        <w:pStyle w:val="FootnoteText"/>
      </w:pPr>
      <w:r w:rsidRPr="009550BB">
        <w:rPr>
          <w:rStyle w:val="FootnoteReference"/>
        </w:rPr>
        <w:footnoteRef/>
      </w:r>
      <w:r>
        <w:t xml:space="preserve"> </w:t>
      </w:r>
      <w:r w:rsidR="004655D9">
        <w:t>Exhibit TURN</w:t>
      </w:r>
      <w:r w:rsidR="00503215">
        <w:noBreakHyphen/>
      </w:r>
      <w:r>
        <w:t>01 at 33.</w:t>
      </w:r>
    </w:p>
  </w:footnote>
  <w:footnote w:id="63">
    <w:p w14:paraId="66D28C79" w14:textId="7BE66979" w:rsidR="001B19CC" w:rsidRDefault="001B19CC" w:rsidP="001B19CC">
      <w:pPr>
        <w:pStyle w:val="FootnoteText"/>
      </w:pPr>
      <w:r w:rsidRPr="009550BB">
        <w:rPr>
          <w:rStyle w:val="FootnoteReference"/>
        </w:rPr>
        <w:footnoteRef/>
      </w:r>
      <w:r>
        <w:t xml:space="preserve"> </w:t>
      </w:r>
      <w:r w:rsidR="004655D9">
        <w:t>Exhibit SDGE</w:t>
      </w:r>
      <w:r w:rsidR="00503215">
        <w:noBreakHyphen/>
      </w:r>
      <w:r>
        <w:t>1 at 8.</w:t>
      </w:r>
    </w:p>
  </w:footnote>
  <w:footnote w:id="64">
    <w:p w14:paraId="3663FBC3" w14:textId="4E23C9EB" w:rsidR="001B19CC" w:rsidRDefault="001B19CC" w:rsidP="001B19CC">
      <w:pPr>
        <w:pStyle w:val="FootnoteText"/>
      </w:pPr>
      <w:r w:rsidRPr="009550BB">
        <w:rPr>
          <w:rStyle w:val="FootnoteReference"/>
        </w:rPr>
        <w:footnoteRef/>
      </w:r>
      <w:r>
        <w:t xml:space="preserve"> </w:t>
      </w:r>
      <w:r w:rsidR="004655D9">
        <w:t>Exhibit TURN</w:t>
      </w:r>
      <w:r w:rsidR="00503215">
        <w:noBreakHyphen/>
      </w:r>
      <w:r>
        <w:t>01 at 33.</w:t>
      </w:r>
    </w:p>
  </w:footnote>
  <w:footnote w:id="65">
    <w:p w14:paraId="34BE40B5" w14:textId="5AD10450" w:rsidR="001B19CC" w:rsidRDefault="001B19CC" w:rsidP="001B19CC">
      <w:pPr>
        <w:pStyle w:val="FootnoteText"/>
      </w:pPr>
      <w:r w:rsidRPr="009550BB">
        <w:rPr>
          <w:rStyle w:val="FootnoteReference"/>
        </w:rPr>
        <w:footnoteRef/>
      </w:r>
      <w:r>
        <w:t xml:space="preserve"> </w:t>
      </w:r>
      <w:r w:rsidR="004655D9">
        <w:t>Exhibit TURN</w:t>
      </w:r>
      <w:r w:rsidR="00503215">
        <w:noBreakHyphen/>
      </w:r>
      <w:r>
        <w:t>01 at 34.</w:t>
      </w:r>
    </w:p>
  </w:footnote>
  <w:footnote w:id="66">
    <w:p w14:paraId="01C52391" w14:textId="40030F52" w:rsidR="001B19CC" w:rsidRDefault="001B19CC" w:rsidP="001B19CC">
      <w:pPr>
        <w:pStyle w:val="FootnoteText"/>
      </w:pPr>
      <w:r w:rsidRPr="009550BB">
        <w:rPr>
          <w:rStyle w:val="FootnoteReference"/>
        </w:rPr>
        <w:footnoteRef/>
      </w:r>
      <w:r>
        <w:t xml:space="preserve"> </w:t>
      </w:r>
      <w:r w:rsidR="004655D9">
        <w:t>Exhibit SDGE</w:t>
      </w:r>
      <w:r w:rsidR="00503215">
        <w:noBreakHyphen/>
      </w:r>
      <w:r>
        <w:t>3 at 16.</w:t>
      </w:r>
    </w:p>
  </w:footnote>
  <w:footnote w:id="67">
    <w:p w14:paraId="02F233EB" w14:textId="61322FD8" w:rsidR="001B19CC" w:rsidRDefault="001B19CC" w:rsidP="001B19CC">
      <w:pPr>
        <w:pStyle w:val="FootnoteText"/>
      </w:pPr>
      <w:r w:rsidRPr="009550BB">
        <w:rPr>
          <w:rStyle w:val="FootnoteReference"/>
        </w:rPr>
        <w:footnoteRef/>
      </w:r>
      <w:r>
        <w:t xml:space="preserve"> </w:t>
      </w:r>
      <w:r w:rsidR="004655D9">
        <w:t>Exhibit SDGE</w:t>
      </w:r>
      <w:r w:rsidR="00503215">
        <w:noBreakHyphen/>
      </w:r>
      <w:r>
        <w:t>3 at 16.</w:t>
      </w:r>
    </w:p>
  </w:footnote>
  <w:footnote w:id="68">
    <w:p w14:paraId="1E2C0806" w14:textId="20B33312" w:rsidR="009A3D00" w:rsidRDefault="009A3D00" w:rsidP="009A3D00">
      <w:pPr>
        <w:pStyle w:val="FootnoteText"/>
      </w:pPr>
      <w:r w:rsidRPr="009550BB">
        <w:rPr>
          <w:rStyle w:val="FootnoteReference"/>
        </w:rPr>
        <w:footnoteRef/>
      </w:r>
      <w:r>
        <w:t xml:space="preserve"> </w:t>
      </w:r>
      <w:r w:rsidR="004655D9">
        <w:t>Exhibit SDGE</w:t>
      </w:r>
      <w:r w:rsidR="00503215">
        <w:noBreakHyphen/>
      </w:r>
      <w:r>
        <w:t>1 at 14.</w:t>
      </w:r>
    </w:p>
  </w:footnote>
  <w:footnote w:id="69">
    <w:p w14:paraId="1A3C9643" w14:textId="3FD89BFA" w:rsidR="009A3D00" w:rsidRDefault="009A3D00" w:rsidP="009A3D00">
      <w:pPr>
        <w:pStyle w:val="FootnoteText"/>
      </w:pPr>
      <w:r w:rsidRPr="009550BB">
        <w:rPr>
          <w:rStyle w:val="FootnoteReference"/>
        </w:rPr>
        <w:footnoteRef/>
      </w:r>
      <w:r>
        <w:t xml:space="preserve"> </w:t>
      </w:r>
      <w:r w:rsidR="004655D9">
        <w:t>Exhibit SDGE</w:t>
      </w:r>
      <w:r w:rsidR="00503215">
        <w:noBreakHyphen/>
      </w:r>
      <w:r>
        <w:t>1 at 8.</w:t>
      </w:r>
    </w:p>
  </w:footnote>
  <w:footnote w:id="70">
    <w:p w14:paraId="215D5824" w14:textId="2612B974" w:rsidR="009A3D00" w:rsidRDefault="009A3D00" w:rsidP="009A3D00">
      <w:pPr>
        <w:pStyle w:val="FootnoteText"/>
      </w:pPr>
      <w:r w:rsidRPr="009550BB">
        <w:rPr>
          <w:rStyle w:val="FootnoteReference"/>
        </w:rPr>
        <w:footnoteRef/>
      </w:r>
      <w:r>
        <w:t xml:space="preserve"> </w:t>
      </w:r>
      <w:r w:rsidR="004655D9">
        <w:t>Exhibit SDGE</w:t>
      </w:r>
      <w:r w:rsidR="00503215">
        <w:noBreakHyphen/>
      </w:r>
      <w:r>
        <w:t>1 at 8.</w:t>
      </w:r>
    </w:p>
  </w:footnote>
  <w:footnote w:id="71">
    <w:p w14:paraId="150B21B7" w14:textId="2F5DA8AF" w:rsidR="009A3D00" w:rsidRDefault="009A3D00" w:rsidP="009A3D00">
      <w:pPr>
        <w:pStyle w:val="FootnoteText"/>
      </w:pPr>
      <w:r w:rsidRPr="009550BB">
        <w:rPr>
          <w:rStyle w:val="FootnoteReference"/>
        </w:rPr>
        <w:footnoteRef/>
      </w:r>
      <w:r>
        <w:t xml:space="preserve"> </w:t>
      </w:r>
      <w:r w:rsidR="004655D9">
        <w:t>Exhibit TURN</w:t>
      </w:r>
      <w:r w:rsidR="00503215">
        <w:noBreakHyphen/>
      </w:r>
      <w:r>
        <w:t>01 at 34.</w:t>
      </w:r>
    </w:p>
  </w:footnote>
  <w:footnote w:id="72">
    <w:p w14:paraId="67192BA4" w14:textId="7391B917" w:rsidR="009A3D00" w:rsidRDefault="009A3D00" w:rsidP="009A3D00">
      <w:pPr>
        <w:pStyle w:val="FootnoteText"/>
      </w:pPr>
      <w:r w:rsidRPr="009550BB">
        <w:rPr>
          <w:rStyle w:val="FootnoteReference"/>
        </w:rPr>
        <w:footnoteRef/>
      </w:r>
      <w:r>
        <w:t xml:space="preserve"> </w:t>
      </w:r>
      <w:r w:rsidR="004655D9">
        <w:t>Exhibit TURN</w:t>
      </w:r>
      <w:r w:rsidR="00503215">
        <w:noBreakHyphen/>
      </w:r>
      <w:r>
        <w:t>01 at 34.</w:t>
      </w:r>
    </w:p>
  </w:footnote>
  <w:footnote w:id="73">
    <w:p w14:paraId="6B626088" w14:textId="77777777" w:rsidR="000E41F6" w:rsidRDefault="000E41F6" w:rsidP="000E41F6">
      <w:pPr>
        <w:pStyle w:val="FootnoteText"/>
      </w:pPr>
      <w:r>
        <w:rPr>
          <w:rStyle w:val="FootnoteReference"/>
        </w:rPr>
        <w:footnoteRef/>
      </w:r>
      <w:r>
        <w:t xml:space="preserve"> TURN Opening Brief at 49.</w:t>
      </w:r>
    </w:p>
  </w:footnote>
  <w:footnote w:id="74">
    <w:p w14:paraId="77D449BF" w14:textId="11FE5EF0" w:rsidR="00DB6138" w:rsidRDefault="00DB6138">
      <w:pPr>
        <w:pStyle w:val="FootnoteText"/>
      </w:pPr>
      <w:r>
        <w:rPr>
          <w:rStyle w:val="FootnoteReference"/>
        </w:rPr>
        <w:footnoteRef/>
      </w:r>
      <w:r>
        <w:t xml:space="preserve"> These numbers figured were obtained from the Bureau of Labor Statistics’ website, available at: </w:t>
      </w:r>
      <w:hyperlink r:id="rId4" w:history="1">
        <w:r w:rsidRPr="00E35150">
          <w:rPr>
            <w:rStyle w:val="Hyperlink"/>
          </w:rPr>
          <w:t>https://www.bls.gov/news.release/cpi.t01.htm</w:t>
        </w:r>
      </w:hyperlink>
      <w:r>
        <w:t>. Accessed September 1, 2025.</w:t>
      </w:r>
    </w:p>
  </w:footnote>
  <w:footnote w:id="75">
    <w:p w14:paraId="381E35C5" w14:textId="77777777" w:rsidR="000E41F6" w:rsidRDefault="000E41F6" w:rsidP="000E41F6">
      <w:pPr>
        <w:pStyle w:val="FootnoteText"/>
      </w:pPr>
      <w:r>
        <w:rPr>
          <w:rStyle w:val="FootnoteReference"/>
        </w:rPr>
        <w:footnoteRef/>
      </w:r>
      <w:r>
        <w:t xml:space="preserve"> $12.611 million increased by 2.7% is $12.951 million, and $12.951 million increased by 2.7% is 13.301 million.</w:t>
      </w:r>
    </w:p>
  </w:footnote>
  <w:footnote w:id="76">
    <w:p w14:paraId="02952DED" w14:textId="38C80490" w:rsidR="006E2BB5" w:rsidRDefault="006E2BB5" w:rsidP="006E2BB5">
      <w:pPr>
        <w:pStyle w:val="FootnoteText"/>
      </w:pPr>
      <w:r w:rsidRPr="009550BB">
        <w:rPr>
          <w:rStyle w:val="FootnoteReference"/>
        </w:rPr>
        <w:footnoteRef/>
      </w:r>
      <w:r>
        <w:t xml:space="preserve"> </w:t>
      </w:r>
      <w:r w:rsidR="004655D9">
        <w:t>Exhibit SDGE</w:t>
      </w:r>
      <w:r w:rsidR="00503215">
        <w:noBreakHyphen/>
      </w:r>
      <w:r>
        <w:t>1 at 14.</w:t>
      </w:r>
    </w:p>
  </w:footnote>
  <w:footnote w:id="77">
    <w:p w14:paraId="300F96CB" w14:textId="4CEAFABB" w:rsidR="006E2BB5" w:rsidRDefault="006E2BB5" w:rsidP="006E2BB5">
      <w:pPr>
        <w:pStyle w:val="FootnoteText"/>
      </w:pPr>
      <w:r w:rsidRPr="009550BB">
        <w:rPr>
          <w:rStyle w:val="FootnoteReference"/>
        </w:rPr>
        <w:footnoteRef/>
      </w:r>
      <w:r>
        <w:t xml:space="preserve"> </w:t>
      </w:r>
      <w:r w:rsidR="004655D9">
        <w:t>Exhibit SDGE</w:t>
      </w:r>
      <w:r w:rsidR="00503215">
        <w:noBreakHyphen/>
      </w:r>
      <w:r>
        <w:t>1 at 12, SDG&amp;E Response to ALJ Ruling at 5.</w:t>
      </w:r>
    </w:p>
  </w:footnote>
  <w:footnote w:id="78">
    <w:p w14:paraId="6118BE57" w14:textId="6F338A57" w:rsidR="006E2BB5" w:rsidRDefault="006E2BB5" w:rsidP="006E2BB5">
      <w:pPr>
        <w:pStyle w:val="FootnoteText"/>
      </w:pPr>
      <w:r w:rsidRPr="009550BB">
        <w:rPr>
          <w:rStyle w:val="FootnoteReference"/>
        </w:rPr>
        <w:footnoteRef/>
      </w:r>
      <w:r>
        <w:t xml:space="preserve"> </w:t>
      </w:r>
      <w:r w:rsidR="004655D9">
        <w:t>Exhibit SDGE</w:t>
      </w:r>
      <w:r w:rsidR="00503215">
        <w:noBreakHyphen/>
      </w:r>
      <w:r>
        <w:t>1 at 12, SDG&amp;E Response to ALJ Ruling at 11.</w:t>
      </w:r>
    </w:p>
  </w:footnote>
  <w:footnote w:id="79">
    <w:p w14:paraId="0D4B0339" w14:textId="220304F3" w:rsidR="006E2BB5" w:rsidRDefault="006E2BB5" w:rsidP="006E2BB5">
      <w:pPr>
        <w:pStyle w:val="FootnoteText"/>
      </w:pPr>
      <w:r w:rsidRPr="009550BB">
        <w:rPr>
          <w:rStyle w:val="FootnoteReference"/>
        </w:rPr>
        <w:footnoteRef/>
      </w:r>
      <w:r>
        <w:t xml:space="preserve"> </w:t>
      </w:r>
      <w:r w:rsidR="004655D9">
        <w:t>Exhibit TURN</w:t>
      </w:r>
      <w:r w:rsidR="00503215">
        <w:noBreakHyphen/>
      </w:r>
      <w:r>
        <w:t>01 at 38 to 39.</w:t>
      </w:r>
    </w:p>
  </w:footnote>
  <w:footnote w:id="80">
    <w:p w14:paraId="11C75F9A" w14:textId="3441E104" w:rsidR="006E2BB5" w:rsidRDefault="006E2BB5" w:rsidP="006E2BB5">
      <w:pPr>
        <w:pStyle w:val="FootnoteText"/>
      </w:pPr>
      <w:r w:rsidRPr="009550BB">
        <w:rPr>
          <w:rStyle w:val="FootnoteReference"/>
        </w:rPr>
        <w:footnoteRef/>
      </w:r>
      <w:r>
        <w:t xml:space="preserve"> </w:t>
      </w:r>
      <w:r w:rsidR="004655D9">
        <w:t>Exhibit TURN</w:t>
      </w:r>
      <w:r w:rsidR="00503215">
        <w:noBreakHyphen/>
      </w:r>
      <w:r>
        <w:t>01 at 39.</w:t>
      </w:r>
    </w:p>
  </w:footnote>
  <w:footnote w:id="81">
    <w:p w14:paraId="3224B327" w14:textId="73D00DDC" w:rsidR="005935CF" w:rsidRDefault="005935CF" w:rsidP="005935CF">
      <w:pPr>
        <w:pStyle w:val="FootnoteText"/>
      </w:pPr>
      <w:r w:rsidRPr="009550BB">
        <w:rPr>
          <w:rStyle w:val="FootnoteReference"/>
        </w:rPr>
        <w:footnoteRef/>
      </w:r>
      <w:r>
        <w:t xml:space="preserve"> </w:t>
      </w:r>
      <w:r w:rsidR="004655D9">
        <w:t>Exhibit TURN</w:t>
      </w:r>
      <w:r w:rsidR="00503215">
        <w:noBreakHyphen/>
      </w:r>
      <w:r>
        <w:t>01 at 23.</w:t>
      </w:r>
    </w:p>
  </w:footnote>
  <w:footnote w:id="82">
    <w:p w14:paraId="4E86A094" w14:textId="086E0B9D" w:rsidR="006E2BB5" w:rsidRDefault="006E2BB5" w:rsidP="006E2BB5">
      <w:pPr>
        <w:pStyle w:val="FootnoteText"/>
      </w:pPr>
      <w:r w:rsidRPr="009550BB">
        <w:rPr>
          <w:rStyle w:val="FootnoteReference"/>
        </w:rPr>
        <w:footnoteRef/>
      </w:r>
      <w:r>
        <w:t xml:space="preserve"> </w:t>
      </w:r>
      <w:r w:rsidR="004655D9">
        <w:t>Exhibit TURN</w:t>
      </w:r>
      <w:r w:rsidR="00503215">
        <w:noBreakHyphen/>
      </w:r>
      <w:r>
        <w:t>01 at 39.</w:t>
      </w:r>
    </w:p>
  </w:footnote>
  <w:footnote w:id="83">
    <w:p w14:paraId="1DCB29B4" w14:textId="1418D2E0" w:rsidR="006E2BB5" w:rsidRDefault="006E2BB5" w:rsidP="006E2BB5">
      <w:pPr>
        <w:pStyle w:val="FootnoteText"/>
      </w:pPr>
      <w:r w:rsidRPr="009550BB">
        <w:rPr>
          <w:rStyle w:val="FootnoteReference"/>
        </w:rPr>
        <w:footnoteRef/>
      </w:r>
      <w:r>
        <w:t xml:space="preserve"> </w:t>
      </w:r>
      <w:r w:rsidR="004655D9">
        <w:t>Exhibit CA</w:t>
      </w:r>
      <w:r w:rsidR="00503215">
        <w:noBreakHyphen/>
      </w:r>
      <w:r>
        <w:t>01 at 3</w:t>
      </w:r>
      <w:r w:rsidR="00293AC9">
        <w:noBreakHyphen/>
      </w:r>
      <w:r>
        <w:t>16.</w:t>
      </w:r>
    </w:p>
  </w:footnote>
  <w:footnote w:id="84">
    <w:p w14:paraId="160BB35D" w14:textId="2B6CCFC0" w:rsidR="006E2BB5" w:rsidRDefault="006E2BB5" w:rsidP="006E2BB5">
      <w:pPr>
        <w:pStyle w:val="FootnoteText"/>
      </w:pPr>
      <w:r w:rsidRPr="009550BB">
        <w:rPr>
          <w:rStyle w:val="FootnoteReference"/>
        </w:rPr>
        <w:footnoteRef/>
      </w:r>
      <w:r>
        <w:t xml:space="preserve"> </w:t>
      </w:r>
      <w:r w:rsidR="004655D9">
        <w:t>Exhibit SDGE</w:t>
      </w:r>
      <w:r w:rsidR="00503215">
        <w:noBreakHyphen/>
      </w:r>
      <w:r>
        <w:t>03 at 22 to 23.</w:t>
      </w:r>
    </w:p>
  </w:footnote>
  <w:footnote w:id="85">
    <w:p w14:paraId="59ECA983" w14:textId="030FB433" w:rsidR="006E2BB5" w:rsidRDefault="006E2BB5" w:rsidP="006E2BB5">
      <w:pPr>
        <w:pStyle w:val="FootnoteText"/>
      </w:pPr>
      <w:r w:rsidRPr="009550BB">
        <w:rPr>
          <w:rStyle w:val="FootnoteReference"/>
        </w:rPr>
        <w:footnoteRef/>
      </w:r>
      <w:r>
        <w:t xml:space="preserve"> </w:t>
      </w:r>
      <w:r w:rsidR="004655D9">
        <w:t>Exhibit SDGE</w:t>
      </w:r>
      <w:r w:rsidR="00503215">
        <w:noBreakHyphen/>
      </w:r>
      <w:r>
        <w:t>03 at 22 to 23.</w:t>
      </w:r>
    </w:p>
  </w:footnote>
  <w:footnote w:id="86">
    <w:p w14:paraId="71C0D96C" w14:textId="3FB0FB72" w:rsidR="005D12BB" w:rsidRDefault="005D12BB" w:rsidP="005D12BB">
      <w:pPr>
        <w:pStyle w:val="FootnoteText"/>
      </w:pPr>
      <w:r w:rsidRPr="009550BB">
        <w:rPr>
          <w:rStyle w:val="FootnoteReference"/>
        </w:rPr>
        <w:footnoteRef/>
      </w:r>
      <w:r>
        <w:t xml:space="preserve"> </w:t>
      </w:r>
      <w:r w:rsidR="004655D9">
        <w:t>Exhibit SDGE</w:t>
      </w:r>
      <w:r w:rsidR="00503215">
        <w:noBreakHyphen/>
      </w:r>
      <w:r>
        <w:t>1 at 15.</w:t>
      </w:r>
    </w:p>
  </w:footnote>
  <w:footnote w:id="87">
    <w:p w14:paraId="0E61F7C7" w14:textId="56E21734" w:rsidR="005D12BB" w:rsidRDefault="005D12BB" w:rsidP="005D12BB">
      <w:pPr>
        <w:pStyle w:val="FootnoteText"/>
      </w:pPr>
      <w:r w:rsidRPr="009550BB">
        <w:rPr>
          <w:rStyle w:val="FootnoteReference"/>
        </w:rPr>
        <w:footnoteRef/>
      </w:r>
      <w:r>
        <w:t xml:space="preserve"> </w:t>
      </w:r>
      <w:r w:rsidR="004655D9">
        <w:t>Exhibit SDGE</w:t>
      </w:r>
      <w:r w:rsidR="00503215">
        <w:noBreakHyphen/>
      </w:r>
      <w:r>
        <w:t>1 at 15.</w:t>
      </w:r>
    </w:p>
  </w:footnote>
  <w:footnote w:id="88">
    <w:p w14:paraId="5F6B445D" w14:textId="4EBBAC61" w:rsidR="005D12BB" w:rsidRDefault="005D12BB" w:rsidP="005D12BB">
      <w:pPr>
        <w:pStyle w:val="FootnoteText"/>
      </w:pPr>
      <w:r w:rsidRPr="009550BB">
        <w:rPr>
          <w:rStyle w:val="FootnoteReference"/>
        </w:rPr>
        <w:footnoteRef/>
      </w:r>
      <w:r>
        <w:t xml:space="preserve"> </w:t>
      </w:r>
      <w:r w:rsidR="004655D9">
        <w:t>Exhibit SDGE</w:t>
      </w:r>
      <w:r w:rsidR="00503215">
        <w:noBreakHyphen/>
      </w:r>
      <w:r>
        <w:t>1 at 19.</w:t>
      </w:r>
    </w:p>
  </w:footnote>
  <w:footnote w:id="89">
    <w:p w14:paraId="312A9108" w14:textId="3907C88F" w:rsidR="005D12BB" w:rsidRDefault="005D12BB" w:rsidP="005D12BB">
      <w:pPr>
        <w:pStyle w:val="FootnoteText"/>
      </w:pPr>
      <w:r w:rsidRPr="009550BB">
        <w:rPr>
          <w:rStyle w:val="FootnoteReference"/>
        </w:rPr>
        <w:footnoteRef/>
      </w:r>
      <w:r>
        <w:t xml:space="preserve"> </w:t>
      </w:r>
      <w:r w:rsidR="004655D9">
        <w:t>Exhibit SDGE</w:t>
      </w:r>
      <w:r w:rsidR="00503215">
        <w:noBreakHyphen/>
      </w:r>
      <w:r>
        <w:t>1 at 21.</w:t>
      </w:r>
    </w:p>
  </w:footnote>
  <w:footnote w:id="90">
    <w:p w14:paraId="490AB34D" w14:textId="4840C8D6" w:rsidR="005D12BB" w:rsidRPr="00CC4C3B" w:rsidRDefault="005D12BB" w:rsidP="005D12BB">
      <w:pPr>
        <w:pStyle w:val="FootnoteText"/>
        <w:rPr>
          <w:i/>
          <w:iCs/>
        </w:rPr>
      </w:pPr>
      <w:r w:rsidRPr="009550BB">
        <w:rPr>
          <w:rStyle w:val="FootnoteReference"/>
        </w:rPr>
        <w:footnoteRef/>
      </w:r>
      <w:r>
        <w:t xml:space="preserve"> </w:t>
      </w:r>
      <w:r w:rsidR="004655D9">
        <w:t>Exhibit SDGE</w:t>
      </w:r>
      <w:r w:rsidR="00503215">
        <w:noBreakHyphen/>
      </w:r>
      <w:r>
        <w:t xml:space="preserve">1 at 20, citing to </w:t>
      </w:r>
      <w:r w:rsidR="00B50C8C">
        <w:t>B</w:t>
      </w:r>
      <w:r w:rsidR="0028341A">
        <w:t>C</w:t>
      </w:r>
      <w:r w:rsidR="00B50C8C">
        <w:t>G</w:t>
      </w:r>
      <w:r w:rsidR="00836A9E">
        <w:t>’</w:t>
      </w:r>
      <w:r>
        <w:t xml:space="preserve">s </w:t>
      </w:r>
      <w:r>
        <w:rPr>
          <w:i/>
          <w:iCs/>
        </w:rPr>
        <w:t>Unlocking California</w:t>
      </w:r>
      <w:r w:rsidR="00836A9E">
        <w:rPr>
          <w:i/>
          <w:iCs/>
        </w:rPr>
        <w:t>’</w:t>
      </w:r>
      <w:r>
        <w:rPr>
          <w:i/>
          <w:iCs/>
        </w:rPr>
        <w:t>s Climate Ambition.</w:t>
      </w:r>
    </w:p>
  </w:footnote>
  <w:footnote w:id="91">
    <w:p w14:paraId="3A8D712E" w14:textId="3B52D706" w:rsidR="005D12BB" w:rsidRDefault="005D12BB" w:rsidP="005D12BB">
      <w:pPr>
        <w:pStyle w:val="FootnoteText"/>
      </w:pPr>
      <w:r w:rsidRPr="009550BB">
        <w:rPr>
          <w:rStyle w:val="FootnoteReference"/>
        </w:rPr>
        <w:footnoteRef/>
      </w:r>
      <w:r>
        <w:t xml:space="preserve"> </w:t>
      </w:r>
      <w:r w:rsidR="004655D9">
        <w:t>Exhibit CA</w:t>
      </w:r>
      <w:r w:rsidR="00503215">
        <w:noBreakHyphen/>
      </w:r>
      <w:r>
        <w:t>01 at 5</w:t>
      </w:r>
      <w:r w:rsidR="00503215">
        <w:noBreakHyphen/>
      </w:r>
      <w:r>
        <w:t>3.</w:t>
      </w:r>
    </w:p>
  </w:footnote>
  <w:footnote w:id="92">
    <w:p w14:paraId="5F3BD43D" w14:textId="1B920BB0" w:rsidR="005D12BB" w:rsidRDefault="005D12BB" w:rsidP="005D12BB">
      <w:pPr>
        <w:pStyle w:val="FootnoteText"/>
      </w:pPr>
      <w:r w:rsidRPr="009550BB">
        <w:rPr>
          <w:rStyle w:val="FootnoteReference"/>
        </w:rPr>
        <w:footnoteRef/>
      </w:r>
      <w:r>
        <w:t xml:space="preserve"> </w:t>
      </w:r>
      <w:r w:rsidR="004655D9">
        <w:t>Exhibit SDGE</w:t>
      </w:r>
      <w:r w:rsidR="00503215">
        <w:noBreakHyphen/>
      </w:r>
      <w:r>
        <w:t>1 at 22</w:t>
      </w:r>
      <w:r w:rsidR="0027489B">
        <w:t xml:space="preserve"> to </w:t>
      </w:r>
      <w:r>
        <w:t>23.</w:t>
      </w:r>
    </w:p>
  </w:footnote>
  <w:footnote w:id="93">
    <w:p w14:paraId="154A22E5" w14:textId="7126C6F9" w:rsidR="005D12BB" w:rsidRDefault="005D12BB" w:rsidP="005D12BB">
      <w:pPr>
        <w:pStyle w:val="FootnoteText"/>
      </w:pPr>
      <w:r w:rsidRPr="009550BB">
        <w:rPr>
          <w:rStyle w:val="FootnoteReference"/>
        </w:rPr>
        <w:footnoteRef/>
      </w:r>
      <w:r>
        <w:t xml:space="preserve"> </w:t>
      </w:r>
      <w:r w:rsidR="004655D9">
        <w:t>Exhibit SDGE</w:t>
      </w:r>
      <w:r w:rsidR="00503215">
        <w:noBreakHyphen/>
      </w:r>
      <w:r>
        <w:t>1 at 22.</w:t>
      </w:r>
    </w:p>
  </w:footnote>
  <w:footnote w:id="94">
    <w:p w14:paraId="1CCCEFBF" w14:textId="0EBC00A9" w:rsidR="00757743" w:rsidRDefault="00757743" w:rsidP="00757743">
      <w:pPr>
        <w:pStyle w:val="FootnoteText"/>
      </w:pPr>
      <w:r>
        <w:rPr>
          <w:rStyle w:val="FootnoteReference"/>
        </w:rPr>
        <w:footnoteRef/>
      </w:r>
      <w:r>
        <w:t xml:space="preserve"> Exhibit SDGE-1 at 16.</w:t>
      </w:r>
    </w:p>
  </w:footnote>
  <w:footnote w:id="95">
    <w:p w14:paraId="7D163F8F" w14:textId="3DD325AB" w:rsidR="00757743" w:rsidRDefault="00757743" w:rsidP="00757743">
      <w:pPr>
        <w:pStyle w:val="FootnoteText"/>
      </w:pPr>
      <w:r>
        <w:rPr>
          <w:rStyle w:val="FootnoteReference"/>
        </w:rPr>
        <w:footnoteRef/>
      </w:r>
      <w:r>
        <w:t xml:space="preserve"> Exhibit TURN-01 at 27.</w:t>
      </w:r>
    </w:p>
  </w:footnote>
  <w:footnote w:id="96">
    <w:p w14:paraId="59915499" w14:textId="1669B283" w:rsidR="00757743" w:rsidRDefault="00757743" w:rsidP="00757743">
      <w:pPr>
        <w:pStyle w:val="FootnoteText"/>
      </w:pPr>
      <w:r>
        <w:rPr>
          <w:rStyle w:val="FootnoteReference"/>
        </w:rPr>
        <w:footnoteRef/>
      </w:r>
      <w:r>
        <w:t xml:space="preserve"> Exhibit TURN-01 at 26.</w:t>
      </w:r>
    </w:p>
  </w:footnote>
  <w:footnote w:id="97">
    <w:p w14:paraId="7DBF853E" w14:textId="77777777" w:rsidR="0059166E" w:rsidRDefault="0059166E" w:rsidP="0059166E">
      <w:pPr>
        <w:pStyle w:val="FootnoteText"/>
      </w:pPr>
      <w:r>
        <w:rPr>
          <w:rStyle w:val="FootnoteReference"/>
        </w:rPr>
        <w:footnoteRef/>
      </w:r>
      <w:r>
        <w:t xml:space="preserve"> Exhibit TURN-01 at 27.</w:t>
      </w:r>
    </w:p>
  </w:footnote>
  <w:footnote w:id="98">
    <w:p w14:paraId="4746E917" w14:textId="4F069EE7" w:rsidR="00C07836" w:rsidRDefault="00C07836" w:rsidP="00C07836">
      <w:pPr>
        <w:pStyle w:val="FootnoteText"/>
      </w:pPr>
      <w:r w:rsidRPr="009550BB">
        <w:rPr>
          <w:rStyle w:val="FootnoteReference"/>
        </w:rPr>
        <w:footnoteRef/>
      </w:r>
      <w:r>
        <w:t xml:space="preserve"> </w:t>
      </w:r>
      <w:r w:rsidR="004655D9">
        <w:t>Exhibit SDGE</w:t>
      </w:r>
      <w:r w:rsidR="00503215">
        <w:noBreakHyphen/>
      </w:r>
      <w:r>
        <w:t>1 at 23.</w:t>
      </w:r>
    </w:p>
  </w:footnote>
  <w:footnote w:id="99">
    <w:p w14:paraId="0668F4DF" w14:textId="5737F52A" w:rsidR="00C07836" w:rsidRDefault="00C07836" w:rsidP="00C07836">
      <w:pPr>
        <w:pStyle w:val="FootnoteText"/>
      </w:pPr>
      <w:r w:rsidRPr="009550BB">
        <w:rPr>
          <w:rStyle w:val="FootnoteReference"/>
        </w:rPr>
        <w:footnoteRef/>
      </w:r>
      <w:r>
        <w:t xml:space="preserve"> </w:t>
      </w:r>
      <w:r w:rsidR="004655D9">
        <w:t>Exhibit SDGE</w:t>
      </w:r>
      <w:r w:rsidR="00503215">
        <w:noBreakHyphen/>
      </w:r>
      <w:r>
        <w:t>1 at 23.</w:t>
      </w:r>
    </w:p>
  </w:footnote>
  <w:footnote w:id="100">
    <w:p w14:paraId="0386B681" w14:textId="77777777" w:rsidR="00C07836" w:rsidRDefault="00C07836" w:rsidP="00C07836">
      <w:pPr>
        <w:pStyle w:val="FootnoteText"/>
      </w:pPr>
      <w:r w:rsidRPr="009550BB">
        <w:rPr>
          <w:rStyle w:val="FootnoteReference"/>
        </w:rPr>
        <w:footnoteRef/>
      </w:r>
      <w:r>
        <w:t xml:space="preserve"> SDG&amp;E Response to ALJ Ruling at 8.</w:t>
      </w:r>
    </w:p>
  </w:footnote>
  <w:footnote w:id="101">
    <w:p w14:paraId="449F1AB9" w14:textId="77777777" w:rsidR="00575C1A" w:rsidRDefault="00575C1A" w:rsidP="00575C1A">
      <w:pPr>
        <w:pStyle w:val="FootnoteText"/>
      </w:pPr>
      <w:r>
        <w:rPr>
          <w:rStyle w:val="FootnoteReference"/>
        </w:rPr>
        <w:footnoteRef/>
      </w:r>
      <w:r>
        <w:t xml:space="preserve"> SDG&amp;E Reply Brief at 39.</w:t>
      </w:r>
    </w:p>
  </w:footnote>
  <w:footnote w:id="102">
    <w:p w14:paraId="62141BC6" w14:textId="620DB3D1" w:rsidR="00C07836" w:rsidRDefault="00C07836" w:rsidP="00C07836">
      <w:pPr>
        <w:pStyle w:val="FootnoteText"/>
      </w:pPr>
      <w:r w:rsidRPr="009550BB">
        <w:rPr>
          <w:rStyle w:val="FootnoteReference"/>
        </w:rPr>
        <w:footnoteRef/>
      </w:r>
      <w:r>
        <w:t xml:space="preserve"> SDG&amp;E Response to ALJ Ruling at 8</w:t>
      </w:r>
      <w:r w:rsidR="00503215">
        <w:noBreakHyphen/>
      </w:r>
      <w:r>
        <w:t>9.</w:t>
      </w:r>
    </w:p>
  </w:footnote>
  <w:footnote w:id="103">
    <w:p w14:paraId="77378BEC" w14:textId="315D8568" w:rsidR="0022657D" w:rsidRDefault="0022657D" w:rsidP="0022657D">
      <w:pPr>
        <w:pStyle w:val="FootnoteText"/>
      </w:pPr>
      <w:r w:rsidRPr="009550BB">
        <w:rPr>
          <w:rStyle w:val="FootnoteReference"/>
        </w:rPr>
        <w:footnoteRef/>
      </w:r>
      <w:r>
        <w:t xml:space="preserve"> </w:t>
      </w:r>
      <w:r w:rsidR="004655D9">
        <w:t>Exhibit TURN</w:t>
      </w:r>
      <w:r w:rsidR="00503215">
        <w:noBreakHyphen/>
      </w:r>
      <w:r>
        <w:t>01 at 31.</w:t>
      </w:r>
    </w:p>
  </w:footnote>
  <w:footnote w:id="104">
    <w:p w14:paraId="28FFDEF6" w14:textId="36775B17" w:rsidR="0022657D" w:rsidRDefault="0022657D" w:rsidP="0022657D">
      <w:pPr>
        <w:pStyle w:val="FootnoteText"/>
      </w:pPr>
      <w:r w:rsidRPr="009550BB">
        <w:rPr>
          <w:rStyle w:val="FootnoteReference"/>
        </w:rPr>
        <w:footnoteRef/>
      </w:r>
      <w:r>
        <w:t xml:space="preserve"> </w:t>
      </w:r>
      <w:r w:rsidR="004655D9">
        <w:t>Exhibit TURN</w:t>
      </w:r>
      <w:r w:rsidR="00503215">
        <w:noBreakHyphen/>
      </w:r>
      <w:r>
        <w:t>01 at 31 to 32.</w:t>
      </w:r>
    </w:p>
  </w:footnote>
  <w:footnote w:id="105">
    <w:p w14:paraId="7B195184" w14:textId="1EB806AC" w:rsidR="0022657D" w:rsidRDefault="0022657D" w:rsidP="0022657D">
      <w:pPr>
        <w:pStyle w:val="FootnoteText"/>
      </w:pPr>
      <w:r w:rsidRPr="009550BB">
        <w:rPr>
          <w:rStyle w:val="FootnoteReference"/>
        </w:rPr>
        <w:footnoteRef/>
      </w:r>
      <w:r>
        <w:t xml:space="preserve"> </w:t>
      </w:r>
      <w:r w:rsidR="004655D9">
        <w:t>Exhibit TURN</w:t>
      </w:r>
      <w:r w:rsidR="00503215">
        <w:noBreakHyphen/>
      </w:r>
      <w:r>
        <w:t>01 at 10.</w:t>
      </w:r>
    </w:p>
  </w:footnote>
  <w:footnote w:id="106">
    <w:p w14:paraId="1559201B" w14:textId="23799520" w:rsidR="0022657D" w:rsidRDefault="0022657D" w:rsidP="0022657D">
      <w:pPr>
        <w:pStyle w:val="FootnoteText"/>
      </w:pPr>
      <w:r w:rsidRPr="009550BB">
        <w:rPr>
          <w:rStyle w:val="FootnoteReference"/>
        </w:rPr>
        <w:footnoteRef/>
      </w:r>
      <w:r>
        <w:t xml:space="preserve"> </w:t>
      </w:r>
      <w:r w:rsidR="004655D9">
        <w:t>Exhibit TURN</w:t>
      </w:r>
      <w:r w:rsidR="00503215">
        <w:noBreakHyphen/>
      </w:r>
      <w:r>
        <w:t>01 at 32.</w:t>
      </w:r>
    </w:p>
  </w:footnote>
  <w:footnote w:id="107">
    <w:p w14:paraId="173155B2" w14:textId="7EC60A30" w:rsidR="0022657D" w:rsidRDefault="0022657D" w:rsidP="0022657D">
      <w:pPr>
        <w:pStyle w:val="FootnoteText"/>
      </w:pPr>
      <w:r w:rsidRPr="009550BB">
        <w:rPr>
          <w:rStyle w:val="FootnoteReference"/>
        </w:rPr>
        <w:footnoteRef/>
      </w:r>
      <w:r>
        <w:t xml:space="preserve"> </w:t>
      </w:r>
      <w:r w:rsidR="004655D9">
        <w:t>Exhibit CA</w:t>
      </w:r>
      <w:r w:rsidR="00503215">
        <w:noBreakHyphen/>
      </w:r>
      <w:r>
        <w:t>01 at 5</w:t>
      </w:r>
      <w:r w:rsidR="00503215">
        <w:noBreakHyphen/>
      </w:r>
      <w:r>
        <w:t>2.</w:t>
      </w:r>
    </w:p>
  </w:footnote>
  <w:footnote w:id="108">
    <w:p w14:paraId="5AB155BE" w14:textId="5C772BBF" w:rsidR="0022657D" w:rsidRDefault="0022657D" w:rsidP="0022657D">
      <w:pPr>
        <w:pStyle w:val="FootnoteText"/>
      </w:pPr>
      <w:r w:rsidRPr="009550BB">
        <w:rPr>
          <w:rStyle w:val="FootnoteReference"/>
        </w:rPr>
        <w:footnoteRef/>
      </w:r>
      <w:r>
        <w:t xml:space="preserve"> </w:t>
      </w:r>
      <w:r w:rsidR="004655D9">
        <w:t>Exhibit CA</w:t>
      </w:r>
      <w:r w:rsidR="00503215">
        <w:noBreakHyphen/>
      </w:r>
      <w:r>
        <w:t>01 at 5</w:t>
      </w:r>
      <w:r w:rsidR="00503215">
        <w:noBreakHyphen/>
      </w:r>
      <w:r>
        <w:t>7.</w:t>
      </w:r>
    </w:p>
  </w:footnote>
  <w:footnote w:id="109">
    <w:p w14:paraId="6033502F" w14:textId="4F0F6554" w:rsidR="0022657D" w:rsidRDefault="0022657D" w:rsidP="0022657D">
      <w:pPr>
        <w:pStyle w:val="FootnoteText"/>
      </w:pPr>
      <w:r w:rsidRPr="009550BB">
        <w:rPr>
          <w:rStyle w:val="FootnoteReference"/>
        </w:rPr>
        <w:footnoteRef/>
      </w:r>
      <w:r>
        <w:t xml:space="preserve"> </w:t>
      </w:r>
      <w:r w:rsidR="004655D9">
        <w:t>Exhibit SDGE</w:t>
      </w:r>
      <w:r w:rsidR="00503215">
        <w:noBreakHyphen/>
      </w:r>
      <w:r>
        <w:t>03 at 19 to 20.</w:t>
      </w:r>
    </w:p>
  </w:footnote>
  <w:footnote w:id="110">
    <w:p w14:paraId="28DA51C9" w14:textId="225CA8D7" w:rsidR="00F35820" w:rsidRDefault="00F35820">
      <w:pPr>
        <w:pStyle w:val="FootnoteText"/>
      </w:pPr>
      <w:r>
        <w:rPr>
          <w:rStyle w:val="FootnoteReference"/>
        </w:rPr>
        <w:footnoteRef/>
      </w:r>
      <w:r>
        <w:t xml:space="preserve"> </w:t>
      </w:r>
      <w:r w:rsidR="00D12A47">
        <w:t>2024 actual costs were revised to $53.242 million</w:t>
      </w:r>
      <w:r w:rsidR="00A0085E">
        <w:t xml:space="preserve"> in Section 3.3.3.2</w:t>
      </w:r>
      <w:r w:rsidR="00D12A47">
        <w:t>, and $53.242 million escalated at 9.7 percent is $</w:t>
      </w:r>
      <w:r w:rsidR="00A0085E">
        <w:t>58.406</w:t>
      </w:r>
      <w:r w:rsidR="00D12A47">
        <w:t xml:space="preserve"> million; </w:t>
      </w:r>
      <w:r w:rsidR="00A0085E">
        <w:t>$58.406</w:t>
      </w:r>
      <w:r w:rsidR="00D12A47">
        <w:t> million escalated at 9.7 percent is $</w:t>
      </w:r>
      <w:r w:rsidR="00A0085E">
        <w:t>64</w:t>
      </w:r>
      <w:r w:rsidR="00D12A47">
        <w:t>.</w:t>
      </w:r>
      <w:r w:rsidR="00A0085E">
        <w:t>072</w:t>
      </w:r>
      <w:r w:rsidR="00D12A47">
        <w:t> million.</w:t>
      </w:r>
    </w:p>
  </w:footnote>
  <w:footnote w:id="111">
    <w:p w14:paraId="71A00CD5" w14:textId="0934687B" w:rsidR="0047320B" w:rsidRDefault="0047320B" w:rsidP="0047320B">
      <w:pPr>
        <w:pStyle w:val="FootnoteText"/>
      </w:pPr>
      <w:r w:rsidRPr="009550BB">
        <w:rPr>
          <w:rStyle w:val="FootnoteReference"/>
        </w:rPr>
        <w:footnoteRef/>
      </w:r>
      <w:r>
        <w:t xml:space="preserve"> </w:t>
      </w:r>
      <w:r w:rsidR="004655D9">
        <w:t>Exhibit SDGE</w:t>
      </w:r>
      <w:r w:rsidR="00503215">
        <w:noBreakHyphen/>
      </w:r>
      <w:r>
        <w:t>1 at 24.</w:t>
      </w:r>
    </w:p>
  </w:footnote>
  <w:footnote w:id="112">
    <w:p w14:paraId="24194470" w14:textId="15C0EB10" w:rsidR="0047320B" w:rsidRDefault="0047320B" w:rsidP="0047320B">
      <w:pPr>
        <w:pStyle w:val="FootnoteText"/>
      </w:pPr>
      <w:r w:rsidRPr="009550BB">
        <w:rPr>
          <w:rStyle w:val="FootnoteReference"/>
        </w:rPr>
        <w:footnoteRef/>
      </w:r>
      <w:r>
        <w:t xml:space="preserve"> </w:t>
      </w:r>
      <w:r w:rsidR="004655D9">
        <w:t>Exhibit SDGE</w:t>
      </w:r>
      <w:r w:rsidR="00503215">
        <w:noBreakHyphen/>
      </w:r>
      <w:r>
        <w:t>1 at 24 to 25.</w:t>
      </w:r>
    </w:p>
  </w:footnote>
  <w:footnote w:id="113">
    <w:p w14:paraId="43957464" w14:textId="06440969" w:rsidR="0047592A" w:rsidRDefault="0047592A" w:rsidP="0047592A">
      <w:pPr>
        <w:pStyle w:val="FootnoteText"/>
      </w:pPr>
      <w:r w:rsidRPr="009550BB">
        <w:rPr>
          <w:rStyle w:val="FootnoteReference"/>
        </w:rPr>
        <w:footnoteRef/>
      </w:r>
      <w:r>
        <w:t xml:space="preserve"> </w:t>
      </w:r>
      <w:r w:rsidR="004655D9">
        <w:t>Exhibit SDGE</w:t>
      </w:r>
      <w:r w:rsidR="00503215">
        <w:noBreakHyphen/>
      </w:r>
      <w:r>
        <w:t>1 at 25.</w:t>
      </w:r>
    </w:p>
  </w:footnote>
  <w:footnote w:id="114">
    <w:p w14:paraId="579EEEA1" w14:textId="08A17958" w:rsidR="0047592A" w:rsidRDefault="0047592A" w:rsidP="0047592A">
      <w:pPr>
        <w:pStyle w:val="FootnoteText"/>
      </w:pPr>
      <w:r w:rsidRPr="009550BB">
        <w:rPr>
          <w:rStyle w:val="FootnoteReference"/>
        </w:rPr>
        <w:footnoteRef/>
      </w:r>
      <w:r>
        <w:t xml:space="preserve"> </w:t>
      </w:r>
      <w:r w:rsidR="004655D9">
        <w:t>Exhibit TURN</w:t>
      </w:r>
      <w:r w:rsidR="00503215">
        <w:noBreakHyphen/>
      </w:r>
      <w:r>
        <w:t>01 at 35 to 36.</w:t>
      </w:r>
    </w:p>
  </w:footnote>
  <w:footnote w:id="115">
    <w:p w14:paraId="07356937" w14:textId="107F51A4" w:rsidR="0047592A" w:rsidRDefault="0047592A" w:rsidP="0047592A">
      <w:pPr>
        <w:pStyle w:val="FootnoteText"/>
      </w:pPr>
      <w:r w:rsidRPr="009550BB">
        <w:rPr>
          <w:rStyle w:val="FootnoteReference"/>
        </w:rPr>
        <w:footnoteRef/>
      </w:r>
      <w:r>
        <w:t xml:space="preserve"> </w:t>
      </w:r>
      <w:r w:rsidR="004655D9">
        <w:t>Exhibit SDGE</w:t>
      </w:r>
      <w:r w:rsidR="00503215">
        <w:noBreakHyphen/>
      </w:r>
      <w:r>
        <w:t>03 at 25.</w:t>
      </w:r>
    </w:p>
  </w:footnote>
  <w:footnote w:id="116">
    <w:p w14:paraId="1B42AA1A" w14:textId="77777777" w:rsidR="00C14C0B" w:rsidRDefault="00C14C0B" w:rsidP="00C14C0B">
      <w:pPr>
        <w:pStyle w:val="FootnoteText"/>
      </w:pPr>
      <w:r w:rsidRPr="009550BB">
        <w:rPr>
          <w:rStyle w:val="FootnoteReference"/>
        </w:rPr>
        <w:footnoteRef/>
      </w:r>
      <w:r>
        <w:t xml:space="preserve"> SDG&amp;E Response to ALJ Ruling at 9.</w:t>
      </w:r>
    </w:p>
  </w:footnote>
  <w:footnote w:id="117">
    <w:p w14:paraId="678478F7" w14:textId="77777777" w:rsidR="00C14C0B" w:rsidRDefault="00C14C0B" w:rsidP="00C14C0B">
      <w:pPr>
        <w:pStyle w:val="FootnoteText"/>
      </w:pPr>
      <w:r w:rsidRPr="009550BB">
        <w:rPr>
          <w:rStyle w:val="FootnoteReference"/>
        </w:rPr>
        <w:footnoteRef/>
      </w:r>
      <w:r>
        <w:t xml:space="preserve"> SDG&amp;E Response to ALJ Ruling at 9.</w:t>
      </w:r>
    </w:p>
  </w:footnote>
  <w:footnote w:id="118">
    <w:p w14:paraId="60218D8B" w14:textId="60D91AEA" w:rsidR="00C14C0B" w:rsidRDefault="00C14C0B" w:rsidP="00C14C0B">
      <w:pPr>
        <w:pStyle w:val="FootnoteText"/>
      </w:pPr>
      <w:r w:rsidRPr="009550BB">
        <w:rPr>
          <w:rStyle w:val="FootnoteReference"/>
        </w:rPr>
        <w:footnoteRef/>
      </w:r>
      <w:r>
        <w:t xml:space="preserve"> </w:t>
      </w:r>
      <w:r w:rsidR="004655D9">
        <w:t>Exhibit TURN</w:t>
      </w:r>
      <w:r w:rsidR="00503215">
        <w:noBreakHyphen/>
      </w:r>
      <w:r>
        <w:t>01 at 36.</w:t>
      </w:r>
    </w:p>
  </w:footnote>
  <w:footnote w:id="119">
    <w:p w14:paraId="02400A55" w14:textId="46435CC3" w:rsidR="00C14C0B" w:rsidRDefault="00C14C0B" w:rsidP="00C14C0B">
      <w:pPr>
        <w:pStyle w:val="FootnoteText"/>
      </w:pPr>
      <w:r w:rsidRPr="009550BB">
        <w:rPr>
          <w:rStyle w:val="FootnoteReference"/>
        </w:rPr>
        <w:footnoteRef/>
      </w:r>
      <w:r>
        <w:t xml:space="preserve"> </w:t>
      </w:r>
      <w:r w:rsidR="004655D9">
        <w:t>Exhibit CA</w:t>
      </w:r>
      <w:r w:rsidR="00503215">
        <w:noBreakHyphen/>
      </w:r>
      <w:r>
        <w:t>01 at 4</w:t>
      </w:r>
      <w:r w:rsidR="00503215">
        <w:noBreakHyphen/>
      </w:r>
      <w:r>
        <w:t>3.</w:t>
      </w:r>
    </w:p>
  </w:footnote>
  <w:footnote w:id="120">
    <w:p w14:paraId="6DD90384" w14:textId="3F94C5C8" w:rsidR="00C14C0B" w:rsidRDefault="00C14C0B" w:rsidP="00C14C0B">
      <w:pPr>
        <w:pStyle w:val="FootnoteText"/>
      </w:pPr>
      <w:r w:rsidRPr="009550BB">
        <w:rPr>
          <w:rStyle w:val="FootnoteReference"/>
        </w:rPr>
        <w:footnoteRef/>
      </w:r>
      <w:r>
        <w:t xml:space="preserve"> </w:t>
      </w:r>
      <w:r w:rsidR="004655D9">
        <w:t>Exhibit TURN</w:t>
      </w:r>
      <w:r w:rsidR="00503215">
        <w:noBreakHyphen/>
      </w:r>
      <w:r>
        <w:t>01 at 37.</w:t>
      </w:r>
    </w:p>
  </w:footnote>
  <w:footnote w:id="121">
    <w:p w14:paraId="07D7231B" w14:textId="5988A78D" w:rsidR="0045304D" w:rsidRDefault="0045304D" w:rsidP="0045304D">
      <w:pPr>
        <w:pStyle w:val="FootnoteText"/>
      </w:pPr>
      <w:r w:rsidRPr="009550BB">
        <w:rPr>
          <w:rStyle w:val="FootnoteReference"/>
        </w:rPr>
        <w:footnoteRef/>
      </w:r>
      <w:r>
        <w:t xml:space="preserve"> </w:t>
      </w:r>
      <w:r w:rsidR="004655D9">
        <w:t>Exhibit CA</w:t>
      </w:r>
      <w:r w:rsidR="00503215">
        <w:noBreakHyphen/>
      </w:r>
      <w:r>
        <w:t>01 at 3</w:t>
      </w:r>
      <w:r w:rsidR="00503215">
        <w:noBreakHyphen/>
      </w:r>
      <w:r>
        <w:t>17.</w:t>
      </w:r>
    </w:p>
  </w:footnote>
  <w:footnote w:id="122">
    <w:p w14:paraId="636A66B3" w14:textId="3A195CC1" w:rsidR="0045304D" w:rsidRDefault="0045304D" w:rsidP="0045304D">
      <w:pPr>
        <w:pStyle w:val="FootnoteText"/>
      </w:pPr>
      <w:r w:rsidRPr="009550BB">
        <w:rPr>
          <w:rStyle w:val="FootnoteReference"/>
        </w:rPr>
        <w:footnoteRef/>
      </w:r>
      <w:r>
        <w:t xml:space="preserve"> </w:t>
      </w:r>
      <w:r w:rsidR="004655D9">
        <w:t>Exhibit CA</w:t>
      </w:r>
      <w:r w:rsidR="00503215">
        <w:noBreakHyphen/>
      </w:r>
      <w:r>
        <w:t>01 at 3</w:t>
      </w:r>
      <w:r w:rsidR="00503215">
        <w:noBreakHyphen/>
      </w:r>
      <w:r>
        <w:t>17.</w:t>
      </w:r>
    </w:p>
  </w:footnote>
  <w:footnote w:id="123">
    <w:p w14:paraId="03F2BB18" w14:textId="6DE831A4" w:rsidR="0045304D" w:rsidRDefault="0045304D" w:rsidP="0045304D">
      <w:pPr>
        <w:pStyle w:val="FootnoteText"/>
      </w:pPr>
      <w:r w:rsidRPr="009550BB">
        <w:rPr>
          <w:rStyle w:val="FootnoteReference"/>
        </w:rPr>
        <w:footnoteRef/>
      </w:r>
      <w:r>
        <w:t xml:space="preserve"> </w:t>
      </w:r>
      <w:r w:rsidR="004655D9">
        <w:t>Exhibit CA</w:t>
      </w:r>
      <w:r w:rsidR="00503215">
        <w:noBreakHyphen/>
      </w:r>
      <w:r>
        <w:t>01 at 3</w:t>
      </w:r>
      <w:r w:rsidR="00503215">
        <w:noBreakHyphen/>
      </w:r>
      <w:r>
        <w:t>18.</w:t>
      </w:r>
    </w:p>
  </w:footnote>
  <w:footnote w:id="124">
    <w:p w14:paraId="120047EF" w14:textId="4E0E1938" w:rsidR="0045304D" w:rsidRDefault="0045304D" w:rsidP="0045304D">
      <w:pPr>
        <w:pStyle w:val="FootnoteText"/>
      </w:pPr>
      <w:r w:rsidRPr="009550BB">
        <w:rPr>
          <w:rStyle w:val="FootnoteReference"/>
        </w:rPr>
        <w:footnoteRef/>
      </w:r>
      <w:r>
        <w:t xml:space="preserve"> </w:t>
      </w:r>
      <w:r w:rsidR="004655D9">
        <w:t>Exhibit SDGE</w:t>
      </w:r>
      <w:r w:rsidR="00503215">
        <w:noBreakHyphen/>
      </w:r>
      <w:r>
        <w:t>03 at 24 to 25.</w:t>
      </w:r>
    </w:p>
  </w:footnote>
  <w:footnote w:id="125">
    <w:p w14:paraId="10ED6555" w14:textId="71DC3FDD" w:rsidR="009458A2" w:rsidRDefault="009458A2" w:rsidP="009458A2">
      <w:pPr>
        <w:pStyle w:val="FootnoteText"/>
      </w:pPr>
      <w:r w:rsidRPr="009550BB">
        <w:rPr>
          <w:rStyle w:val="FootnoteReference"/>
        </w:rPr>
        <w:footnoteRef/>
      </w:r>
      <w:r>
        <w:t xml:space="preserve"> </w:t>
      </w:r>
      <w:r w:rsidR="004655D9">
        <w:t>Exhibit SDGE</w:t>
      </w:r>
      <w:r w:rsidR="00503215">
        <w:noBreakHyphen/>
      </w:r>
      <w:r>
        <w:t>1 at 26.</w:t>
      </w:r>
    </w:p>
  </w:footnote>
  <w:footnote w:id="126">
    <w:p w14:paraId="5A7393B4" w14:textId="536BF9AD" w:rsidR="00C044F0" w:rsidRDefault="00C044F0" w:rsidP="00C044F0">
      <w:pPr>
        <w:pStyle w:val="FootnoteText"/>
      </w:pPr>
      <w:r w:rsidRPr="009550BB">
        <w:rPr>
          <w:rStyle w:val="FootnoteReference"/>
        </w:rPr>
        <w:footnoteRef/>
      </w:r>
      <w:r>
        <w:t xml:space="preserve"> </w:t>
      </w:r>
      <w:r w:rsidR="004655D9">
        <w:t>Exhibit SDGE</w:t>
      </w:r>
      <w:r w:rsidR="00503215">
        <w:noBreakHyphen/>
      </w:r>
      <w:r>
        <w:t>1 at 26.</w:t>
      </w:r>
    </w:p>
  </w:footnote>
  <w:footnote w:id="127">
    <w:p w14:paraId="2C7FD578" w14:textId="3ECE7C32" w:rsidR="0049488C" w:rsidRDefault="0049488C" w:rsidP="0049488C">
      <w:pPr>
        <w:pStyle w:val="FootnoteText"/>
      </w:pPr>
      <w:r w:rsidRPr="009550BB">
        <w:rPr>
          <w:rStyle w:val="FootnoteReference"/>
        </w:rPr>
        <w:footnoteRef/>
      </w:r>
      <w:r>
        <w:t xml:space="preserve"> </w:t>
      </w:r>
      <w:r w:rsidR="004655D9">
        <w:t>Exhibit CA</w:t>
      </w:r>
      <w:r w:rsidR="00503215">
        <w:noBreakHyphen/>
      </w:r>
      <w:r>
        <w:t>01 at 6</w:t>
      </w:r>
      <w:r w:rsidR="00503215">
        <w:noBreakHyphen/>
      </w:r>
      <w:r>
        <w:t>1.</w:t>
      </w:r>
    </w:p>
  </w:footnote>
  <w:footnote w:id="128">
    <w:p w14:paraId="3F2D14F1" w14:textId="14BA965E" w:rsidR="0049488C" w:rsidRDefault="0049488C" w:rsidP="0049488C">
      <w:pPr>
        <w:pStyle w:val="FootnoteText"/>
      </w:pPr>
      <w:r w:rsidRPr="009550BB">
        <w:rPr>
          <w:rStyle w:val="FootnoteReference"/>
        </w:rPr>
        <w:footnoteRef/>
      </w:r>
      <w:r>
        <w:t xml:space="preserve"> </w:t>
      </w:r>
      <w:r w:rsidR="004655D9">
        <w:t>Exhibit CA</w:t>
      </w:r>
      <w:r w:rsidR="00503215">
        <w:noBreakHyphen/>
      </w:r>
      <w:r>
        <w:t>01 at 6</w:t>
      </w:r>
      <w:r w:rsidR="00503215">
        <w:noBreakHyphen/>
      </w:r>
      <w:r>
        <w:t>4.</w:t>
      </w:r>
    </w:p>
  </w:footnote>
  <w:footnote w:id="129">
    <w:p w14:paraId="322F416F" w14:textId="62E76946" w:rsidR="00224ED1" w:rsidRDefault="00224ED1" w:rsidP="00224ED1">
      <w:pPr>
        <w:pStyle w:val="FootnoteText"/>
      </w:pPr>
      <w:r w:rsidRPr="009550BB">
        <w:rPr>
          <w:rStyle w:val="FootnoteReference"/>
        </w:rPr>
        <w:footnoteRef/>
      </w:r>
      <w:r>
        <w:t xml:space="preserve"> </w:t>
      </w:r>
      <w:r w:rsidR="004655D9">
        <w:t>Exhibit SDGE</w:t>
      </w:r>
      <w:r w:rsidR="00503215">
        <w:noBreakHyphen/>
      </w:r>
      <w:r>
        <w:t>03 at 29 to 32.</w:t>
      </w:r>
    </w:p>
  </w:footnote>
  <w:footnote w:id="130">
    <w:p w14:paraId="3E6B23D8" w14:textId="0934CE05" w:rsidR="007D7FB7" w:rsidRDefault="007D7FB7">
      <w:pPr>
        <w:pStyle w:val="FootnoteText"/>
      </w:pPr>
      <w:r w:rsidRPr="009550BB">
        <w:rPr>
          <w:rStyle w:val="FootnoteReference"/>
        </w:rPr>
        <w:footnoteRef/>
      </w:r>
      <w:r>
        <w:t xml:space="preserve"> SDG&amp;E </w:t>
      </w:r>
      <w:r w:rsidR="00BF5BE1">
        <w:t>Biannual Energization Report</w:t>
      </w:r>
      <w:r w:rsidR="00D2556F">
        <w:t xml:space="preserve"> at 14.</w:t>
      </w:r>
    </w:p>
  </w:footnote>
  <w:footnote w:id="131">
    <w:p w14:paraId="74F131D8" w14:textId="41B4E919" w:rsidR="004D1FF7" w:rsidRDefault="004D1FF7" w:rsidP="004D1FF7">
      <w:pPr>
        <w:pStyle w:val="FootnoteText"/>
      </w:pPr>
      <w:r w:rsidRPr="009550BB">
        <w:rPr>
          <w:rStyle w:val="FootnoteReference"/>
        </w:rPr>
        <w:footnoteRef/>
      </w:r>
      <w:r>
        <w:t xml:space="preserve"> </w:t>
      </w:r>
      <w:r w:rsidR="004655D9">
        <w:t>Exhibit SDGE</w:t>
      </w:r>
      <w:r w:rsidR="00503215">
        <w:noBreakHyphen/>
      </w:r>
      <w:r>
        <w:t>1 at 28.</w:t>
      </w:r>
    </w:p>
  </w:footnote>
  <w:footnote w:id="132">
    <w:p w14:paraId="64121BA2" w14:textId="66AEC332" w:rsidR="004D1FF7" w:rsidRDefault="004D1FF7" w:rsidP="004D1FF7">
      <w:pPr>
        <w:pStyle w:val="FootnoteText"/>
      </w:pPr>
      <w:r w:rsidRPr="009550BB">
        <w:rPr>
          <w:rStyle w:val="FootnoteReference"/>
        </w:rPr>
        <w:footnoteRef/>
      </w:r>
      <w:r>
        <w:t xml:space="preserve"> </w:t>
      </w:r>
      <w:r w:rsidR="004655D9">
        <w:t>Exhibit SDGE</w:t>
      </w:r>
      <w:r w:rsidR="00503215">
        <w:noBreakHyphen/>
      </w:r>
      <w:r>
        <w:t>1 at 28.</w:t>
      </w:r>
    </w:p>
  </w:footnote>
  <w:footnote w:id="133">
    <w:p w14:paraId="25BB12E9" w14:textId="1AD13277" w:rsidR="004D1FF7" w:rsidRDefault="004D1FF7" w:rsidP="004D1FF7">
      <w:pPr>
        <w:pStyle w:val="FootnoteText"/>
      </w:pPr>
      <w:r w:rsidRPr="009550BB">
        <w:rPr>
          <w:rStyle w:val="FootnoteReference"/>
        </w:rPr>
        <w:footnoteRef/>
      </w:r>
      <w:r>
        <w:t xml:space="preserve"> </w:t>
      </w:r>
      <w:r w:rsidR="004655D9">
        <w:t>Exhibit SDGE</w:t>
      </w:r>
      <w:r w:rsidR="00503215">
        <w:noBreakHyphen/>
      </w:r>
      <w:r>
        <w:t>1 at 29.</w:t>
      </w:r>
    </w:p>
  </w:footnote>
  <w:footnote w:id="134">
    <w:p w14:paraId="14D12E31" w14:textId="4EEC7525" w:rsidR="004D1FF7" w:rsidRDefault="004D1FF7" w:rsidP="004D1FF7">
      <w:pPr>
        <w:pStyle w:val="FootnoteText"/>
      </w:pPr>
      <w:r w:rsidRPr="009550BB">
        <w:rPr>
          <w:rStyle w:val="FootnoteReference"/>
        </w:rPr>
        <w:footnoteRef/>
      </w:r>
      <w:r>
        <w:t xml:space="preserve"> </w:t>
      </w:r>
      <w:r w:rsidR="004655D9">
        <w:t>Exhibit SDGE</w:t>
      </w:r>
      <w:r w:rsidR="00503215">
        <w:noBreakHyphen/>
      </w:r>
      <w:r>
        <w:t>1 at 29.</w:t>
      </w:r>
    </w:p>
  </w:footnote>
  <w:footnote w:id="135">
    <w:p w14:paraId="37E5D475" w14:textId="0C56AEE2" w:rsidR="004D1FF7" w:rsidRDefault="004D1FF7" w:rsidP="004D1FF7">
      <w:pPr>
        <w:pStyle w:val="FootnoteText"/>
      </w:pPr>
      <w:r w:rsidRPr="009550BB">
        <w:rPr>
          <w:rStyle w:val="FootnoteReference"/>
        </w:rPr>
        <w:footnoteRef/>
      </w:r>
      <w:r>
        <w:t xml:space="preserve"> </w:t>
      </w:r>
      <w:r w:rsidR="004655D9">
        <w:t>Exhibit CA</w:t>
      </w:r>
      <w:r w:rsidR="00503215">
        <w:noBreakHyphen/>
      </w:r>
      <w:r>
        <w:t>01 at 6</w:t>
      </w:r>
      <w:r w:rsidR="00503215">
        <w:noBreakHyphen/>
      </w:r>
      <w:r>
        <w:t>2.</w:t>
      </w:r>
    </w:p>
  </w:footnote>
  <w:footnote w:id="136">
    <w:p w14:paraId="0714715C" w14:textId="66741AC9" w:rsidR="004D1FF7" w:rsidRDefault="004D1FF7" w:rsidP="004D1FF7">
      <w:pPr>
        <w:pStyle w:val="FootnoteText"/>
      </w:pPr>
      <w:r w:rsidRPr="009550BB">
        <w:rPr>
          <w:rStyle w:val="FootnoteReference"/>
        </w:rPr>
        <w:footnoteRef/>
      </w:r>
      <w:r>
        <w:t xml:space="preserve"> </w:t>
      </w:r>
      <w:r w:rsidR="004655D9">
        <w:t>Exhibit SDGE</w:t>
      </w:r>
      <w:r w:rsidR="00503215">
        <w:noBreakHyphen/>
      </w:r>
      <w:r>
        <w:t>1 at 28.</w:t>
      </w:r>
    </w:p>
  </w:footnote>
  <w:footnote w:id="137">
    <w:p w14:paraId="364D9CA1" w14:textId="6EA889E5" w:rsidR="004D1FF7" w:rsidRDefault="004D1FF7" w:rsidP="004D1FF7">
      <w:pPr>
        <w:pStyle w:val="FootnoteText"/>
      </w:pPr>
      <w:r w:rsidRPr="009550BB">
        <w:rPr>
          <w:rStyle w:val="FootnoteReference"/>
        </w:rPr>
        <w:footnoteRef/>
      </w:r>
      <w:r>
        <w:t xml:space="preserve"> </w:t>
      </w:r>
      <w:r w:rsidR="004655D9">
        <w:t>Exhibit SDGE</w:t>
      </w:r>
      <w:r w:rsidR="00503215">
        <w:noBreakHyphen/>
      </w:r>
      <w:r>
        <w:t>1 at 29.</w:t>
      </w:r>
    </w:p>
  </w:footnote>
  <w:footnote w:id="138">
    <w:p w14:paraId="5A7EADE5" w14:textId="047258FB" w:rsidR="004D1FF7" w:rsidRDefault="004D1FF7" w:rsidP="004D1FF7">
      <w:pPr>
        <w:pStyle w:val="FootnoteText"/>
      </w:pPr>
      <w:r w:rsidRPr="009550BB">
        <w:rPr>
          <w:rStyle w:val="FootnoteReference"/>
        </w:rPr>
        <w:footnoteRef/>
      </w:r>
      <w:r>
        <w:t xml:space="preserve"> </w:t>
      </w:r>
      <w:r w:rsidR="004655D9">
        <w:t>Exhibit SDGE</w:t>
      </w:r>
      <w:r w:rsidR="00503215">
        <w:noBreakHyphen/>
      </w:r>
      <w:r>
        <w:t>1 at 30.</w:t>
      </w:r>
    </w:p>
  </w:footnote>
  <w:footnote w:id="139">
    <w:p w14:paraId="48E20920" w14:textId="15DBA3C3" w:rsidR="004D1FF7" w:rsidRDefault="004D1FF7" w:rsidP="004D1FF7">
      <w:pPr>
        <w:pStyle w:val="FootnoteText"/>
      </w:pPr>
      <w:r w:rsidRPr="009550BB">
        <w:rPr>
          <w:rStyle w:val="FootnoteReference"/>
        </w:rPr>
        <w:footnoteRef/>
      </w:r>
      <w:r>
        <w:t xml:space="preserve"> </w:t>
      </w:r>
      <w:r w:rsidR="004655D9">
        <w:t>Exhibit CA</w:t>
      </w:r>
      <w:r w:rsidR="00503215">
        <w:noBreakHyphen/>
      </w:r>
      <w:r>
        <w:t>01 at 6</w:t>
      </w:r>
      <w:r w:rsidR="00503215">
        <w:noBreakHyphen/>
      </w:r>
      <w:r>
        <w:t>2 to 6</w:t>
      </w:r>
      <w:r w:rsidR="00503215">
        <w:noBreakHyphen/>
      </w:r>
      <w:r>
        <w:t>3.</w:t>
      </w:r>
    </w:p>
  </w:footnote>
  <w:footnote w:id="140">
    <w:p w14:paraId="2284EFC9" w14:textId="24501C1F" w:rsidR="004D1FF7" w:rsidRDefault="004D1FF7" w:rsidP="004D1FF7">
      <w:pPr>
        <w:pStyle w:val="FootnoteText"/>
      </w:pPr>
      <w:r w:rsidRPr="009550BB">
        <w:rPr>
          <w:rStyle w:val="FootnoteReference"/>
        </w:rPr>
        <w:footnoteRef/>
      </w:r>
      <w:r>
        <w:t xml:space="preserve"> </w:t>
      </w:r>
      <w:r w:rsidR="004655D9">
        <w:t>Exhibit SDGE</w:t>
      </w:r>
      <w:r w:rsidR="00503215">
        <w:noBreakHyphen/>
      </w:r>
      <w:r>
        <w:t>1 at 28.</w:t>
      </w:r>
    </w:p>
  </w:footnote>
  <w:footnote w:id="141">
    <w:p w14:paraId="60EFBFB8" w14:textId="0FDE6F69" w:rsidR="004D1FF7" w:rsidRDefault="004D1FF7" w:rsidP="004D1FF7">
      <w:pPr>
        <w:pStyle w:val="FootnoteText"/>
      </w:pPr>
      <w:r w:rsidRPr="009550BB">
        <w:rPr>
          <w:rStyle w:val="FootnoteReference"/>
        </w:rPr>
        <w:footnoteRef/>
      </w:r>
      <w:r>
        <w:t xml:space="preserve"> </w:t>
      </w:r>
      <w:r w:rsidR="004655D9">
        <w:t>Exhibit SDGE</w:t>
      </w:r>
      <w:r w:rsidR="00503215">
        <w:noBreakHyphen/>
      </w:r>
      <w:r>
        <w:t>1 at 30.</w:t>
      </w:r>
    </w:p>
  </w:footnote>
  <w:footnote w:id="142">
    <w:p w14:paraId="689ADD8B" w14:textId="292EAC86" w:rsidR="004D1FF7" w:rsidRDefault="004D1FF7" w:rsidP="004D1FF7">
      <w:pPr>
        <w:pStyle w:val="FootnoteText"/>
      </w:pPr>
      <w:r w:rsidRPr="009550BB">
        <w:rPr>
          <w:rStyle w:val="FootnoteReference"/>
        </w:rPr>
        <w:footnoteRef/>
      </w:r>
      <w:r>
        <w:t xml:space="preserve"> </w:t>
      </w:r>
      <w:r w:rsidR="004655D9">
        <w:t>Exhibit CA</w:t>
      </w:r>
      <w:r w:rsidR="00503215">
        <w:noBreakHyphen/>
      </w:r>
      <w:r>
        <w:t>1 at 6</w:t>
      </w:r>
      <w:r w:rsidR="00503215">
        <w:noBreakHyphen/>
      </w:r>
      <w:r>
        <w:t>3.</w:t>
      </w:r>
    </w:p>
  </w:footnote>
  <w:footnote w:id="143">
    <w:p w14:paraId="18320653" w14:textId="7579FF9A" w:rsidR="004D1FF7" w:rsidRDefault="004D1FF7" w:rsidP="004D1FF7">
      <w:pPr>
        <w:pStyle w:val="FootnoteText"/>
      </w:pPr>
      <w:r w:rsidRPr="009550BB">
        <w:rPr>
          <w:rStyle w:val="FootnoteReference"/>
        </w:rPr>
        <w:footnoteRef/>
      </w:r>
      <w:r>
        <w:t xml:space="preserve"> </w:t>
      </w:r>
      <w:r w:rsidR="004655D9">
        <w:t>Exhibit SDGE</w:t>
      </w:r>
      <w:r w:rsidR="00503215">
        <w:noBreakHyphen/>
      </w:r>
      <w:r>
        <w:t>1 at 28.</w:t>
      </w:r>
    </w:p>
  </w:footnote>
  <w:footnote w:id="144">
    <w:p w14:paraId="5229560C" w14:textId="5ED659B5" w:rsidR="004D1FF7" w:rsidRDefault="004D1FF7" w:rsidP="004D1FF7">
      <w:pPr>
        <w:pStyle w:val="FootnoteText"/>
      </w:pPr>
      <w:r w:rsidRPr="009550BB">
        <w:rPr>
          <w:rStyle w:val="FootnoteReference"/>
        </w:rPr>
        <w:footnoteRef/>
      </w:r>
      <w:r>
        <w:t xml:space="preserve"> </w:t>
      </w:r>
      <w:r w:rsidR="004655D9">
        <w:t>Exhibit SDGE</w:t>
      </w:r>
      <w:r w:rsidR="00503215">
        <w:noBreakHyphen/>
      </w:r>
      <w:r>
        <w:t>1 at 30 to 31.</w:t>
      </w:r>
    </w:p>
  </w:footnote>
  <w:footnote w:id="145">
    <w:p w14:paraId="16D6F788" w14:textId="08D01EA8" w:rsidR="004D1FF7" w:rsidRDefault="004D1FF7" w:rsidP="004D1FF7">
      <w:pPr>
        <w:pStyle w:val="FootnoteText"/>
      </w:pPr>
      <w:r w:rsidRPr="009550BB">
        <w:rPr>
          <w:rStyle w:val="FootnoteReference"/>
        </w:rPr>
        <w:footnoteRef/>
      </w:r>
      <w:r>
        <w:t xml:space="preserve"> </w:t>
      </w:r>
      <w:r w:rsidR="004655D9">
        <w:t>Exhibit SDGE</w:t>
      </w:r>
      <w:r w:rsidR="00503215">
        <w:noBreakHyphen/>
      </w:r>
      <w:r>
        <w:t>1 at 28.</w:t>
      </w:r>
    </w:p>
  </w:footnote>
  <w:footnote w:id="146">
    <w:p w14:paraId="4FE2E8D5" w14:textId="0A3A6034" w:rsidR="004D1FF7" w:rsidRDefault="004D1FF7" w:rsidP="004D1FF7">
      <w:pPr>
        <w:pStyle w:val="FootnoteText"/>
      </w:pPr>
      <w:r w:rsidRPr="009550BB">
        <w:rPr>
          <w:rStyle w:val="FootnoteReference"/>
        </w:rPr>
        <w:footnoteRef/>
      </w:r>
      <w:r>
        <w:t xml:space="preserve"> </w:t>
      </w:r>
      <w:r w:rsidR="004655D9">
        <w:t>Exhibit SDGE</w:t>
      </w:r>
      <w:r w:rsidR="00503215">
        <w:noBreakHyphen/>
      </w:r>
      <w:r>
        <w:t>1 at 31 to 32.</w:t>
      </w:r>
    </w:p>
  </w:footnote>
  <w:footnote w:id="147">
    <w:p w14:paraId="4F0B17B5" w14:textId="3F37D3D3" w:rsidR="004D1FF7" w:rsidRDefault="004D1FF7" w:rsidP="004D1FF7">
      <w:pPr>
        <w:pStyle w:val="FootnoteText"/>
      </w:pPr>
      <w:r w:rsidRPr="009550BB">
        <w:rPr>
          <w:rStyle w:val="FootnoteReference"/>
        </w:rPr>
        <w:footnoteRef/>
      </w:r>
      <w:r>
        <w:t xml:space="preserve"> </w:t>
      </w:r>
      <w:r w:rsidR="004655D9">
        <w:t>Exhibit SDGE</w:t>
      </w:r>
      <w:r w:rsidR="00503215">
        <w:noBreakHyphen/>
      </w:r>
      <w:r>
        <w:t>1 at 32.</w:t>
      </w:r>
    </w:p>
  </w:footnote>
  <w:footnote w:id="148">
    <w:p w14:paraId="77995CE8" w14:textId="5CFD5C10" w:rsidR="004D1FF7" w:rsidRDefault="004D1FF7" w:rsidP="004D1FF7">
      <w:pPr>
        <w:pStyle w:val="FootnoteText"/>
      </w:pPr>
      <w:r w:rsidRPr="009550BB">
        <w:rPr>
          <w:rStyle w:val="FootnoteReference"/>
        </w:rPr>
        <w:footnoteRef/>
      </w:r>
      <w:r>
        <w:t xml:space="preserve"> </w:t>
      </w:r>
      <w:r w:rsidR="004655D9">
        <w:t>Exhibit SDGE</w:t>
      </w:r>
      <w:r w:rsidR="00503215">
        <w:noBreakHyphen/>
      </w:r>
      <w:r>
        <w:t>1 at 28.</w:t>
      </w:r>
    </w:p>
  </w:footnote>
  <w:footnote w:id="149">
    <w:p w14:paraId="518E2E89" w14:textId="6750326C" w:rsidR="004D1FF7" w:rsidRDefault="004D1FF7" w:rsidP="004D1FF7">
      <w:pPr>
        <w:pStyle w:val="FootnoteText"/>
      </w:pPr>
      <w:r w:rsidRPr="009550BB">
        <w:rPr>
          <w:rStyle w:val="FootnoteReference"/>
        </w:rPr>
        <w:footnoteRef/>
      </w:r>
      <w:r>
        <w:t xml:space="preserve"> </w:t>
      </w:r>
      <w:r w:rsidR="004655D9">
        <w:t>Exhibit SDGE</w:t>
      </w:r>
      <w:r w:rsidR="00503215">
        <w:noBreakHyphen/>
      </w:r>
      <w:r>
        <w:t>1 at 32.</w:t>
      </w:r>
    </w:p>
  </w:footnote>
  <w:footnote w:id="150">
    <w:p w14:paraId="0DC64E46" w14:textId="56882BD5" w:rsidR="003374D5" w:rsidRDefault="003374D5">
      <w:pPr>
        <w:pStyle w:val="FootnoteText"/>
      </w:pPr>
      <w:r>
        <w:rPr>
          <w:rStyle w:val="FootnoteReference"/>
        </w:rPr>
        <w:footnoteRef/>
      </w:r>
      <w:r>
        <w:t xml:space="preserve"> Exhibit SDGE</w:t>
      </w:r>
      <w:r>
        <w:noBreakHyphen/>
        <w:t>1 at 33 to 34.</w:t>
      </w:r>
    </w:p>
  </w:footnote>
  <w:footnote w:id="151">
    <w:p w14:paraId="3DA448F2" w14:textId="3A9F762F" w:rsidR="004D1FF7" w:rsidRDefault="004D1FF7" w:rsidP="004D1FF7">
      <w:pPr>
        <w:pStyle w:val="FootnoteText"/>
      </w:pPr>
      <w:r w:rsidRPr="009550BB">
        <w:rPr>
          <w:rStyle w:val="FootnoteReference"/>
        </w:rPr>
        <w:footnoteRef/>
      </w:r>
      <w:r>
        <w:t xml:space="preserve"> </w:t>
      </w:r>
      <w:r w:rsidR="004655D9">
        <w:t>Exhibit CA</w:t>
      </w:r>
      <w:r w:rsidR="00503215">
        <w:noBreakHyphen/>
      </w:r>
      <w:r>
        <w:t>01 at 6</w:t>
      </w:r>
      <w:r w:rsidR="00503215">
        <w:noBreakHyphen/>
      </w:r>
      <w:r>
        <w:t>4.</w:t>
      </w:r>
    </w:p>
  </w:footnote>
  <w:footnote w:id="152">
    <w:p w14:paraId="3E6F29F7" w14:textId="2FAD6707" w:rsidR="00294120" w:rsidRDefault="00294120" w:rsidP="00294120">
      <w:pPr>
        <w:pStyle w:val="FootnoteText"/>
      </w:pPr>
      <w:r w:rsidRPr="009550BB">
        <w:rPr>
          <w:rStyle w:val="FootnoteReference"/>
        </w:rPr>
        <w:footnoteRef/>
      </w:r>
      <w:r>
        <w:t xml:space="preserve"> </w:t>
      </w:r>
      <w:r w:rsidR="004655D9">
        <w:t>Exhibit TURN</w:t>
      </w:r>
      <w:r w:rsidR="00503215">
        <w:noBreakHyphen/>
      </w:r>
      <w:r>
        <w:t>01 at 30.</w:t>
      </w:r>
    </w:p>
  </w:footnote>
  <w:footnote w:id="153">
    <w:p w14:paraId="49A9B814" w14:textId="4A15C9F3" w:rsidR="00294120" w:rsidRDefault="00294120" w:rsidP="00294120">
      <w:pPr>
        <w:pStyle w:val="FootnoteText"/>
      </w:pPr>
      <w:r w:rsidRPr="009550BB">
        <w:rPr>
          <w:rStyle w:val="FootnoteReference"/>
        </w:rPr>
        <w:footnoteRef/>
      </w:r>
      <w:r>
        <w:t xml:space="preserve"> </w:t>
      </w:r>
      <w:r w:rsidR="004655D9">
        <w:t>Exhibit SDGE</w:t>
      </w:r>
      <w:r w:rsidR="00503215">
        <w:noBreakHyphen/>
      </w:r>
      <w:r>
        <w:t>1 at 29.</w:t>
      </w:r>
    </w:p>
  </w:footnote>
  <w:footnote w:id="154">
    <w:p w14:paraId="0F07BED2" w14:textId="036C5720" w:rsidR="00294120" w:rsidRDefault="00294120" w:rsidP="00294120">
      <w:pPr>
        <w:pStyle w:val="FootnoteText"/>
      </w:pPr>
      <w:r w:rsidRPr="009550BB">
        <w:rPr>
          <w:rStyle w:val="FootnoteReference"/>
        </w:rPr>
        <w:footnoteRef/>
      </w:r>
      <w:r>
        <w:t xml:space="preserve"> </w:t>
      </w:r>
      <w:r w:rsidR="004655D9">
        <w:t>Exhibit TURN</w:t>
      </w:r>
      <w:r w:rsidR="00503215">
        <w:noBreakHyphen/>
      </w:r>
      <w:r>
        <w:t>01 at 30.</w:t>
      </w:r>
    </w:p>
  </w:footnote>
  <w:footnote w:id="155">
    <w:p w14:paraId="2FD17CB1" w14:textId="0F2AFE06" w:rsidR="0015321D" w:rsidRDefault="0015321D">
      <w:pPr>
        <w:pStyle w:val="FootnoteText"/>
      </w:pPr>
      <w:r w:rsidRPr="009550BB">
        <w:rPr>
          <w:rStyle w:val="FootnoteReference"/>
        </w:rPr>
        <w:footnoteRef/>
      </w:r>
      <w:r>
        <w:t xml:space="preserve"> </w:t>
      </w:r>
      <w:r w:rsidR="003A1A2F">
        <w:t>Exhibit CA-01 at 6-5</w:t>
      </w:r>
      <w:r w:rsidR="007F1773">
        <w:t>.</w:t>
      </w:r>
    </w:p>
  </w:footnote>
  <w:footnote w:id="156">
    <w:p w14:paraId="373032D1" w14:textId="1A078AE7" w:rsidR="00294120" w:rsidRDefault="00294120" w:rsidP="00294120">
      <w:pPr>
        <w:pStyle w:val="FootnoteText"/>
      </w:pPr>
      <w:r w:rsidRPr="009550BB">
        <w:rPr>
          <w:rStyle w:val="FootnoteReference"/>
        </w:rPr>
        <w:footnoteRef/>
      </w:r>
      <w:r>
        <w:t xml:space="preserve"> </w:t>
      </w:r>
      <w:r w:rsidR="004655D9">
        <w:t>Exhibit CA</w:t>
      </w:r>
      <w:r w:rsidR="00503215">
        <w:noBreakHyphen/>
      </w:r>
      <w:r>
        <w:t>01 at 6</w:t>
      </w:r>
      <w:r w:rsidR="00503215">
        <w:noBreakHyphen/>
      </w:r>
      <w:r>
        <w:t>6.</w:t>
      </w:r>
    </w:p>
  </w:footnote>
  <w:footnote w:id="157">
    <w:p w14:paraId="4F1A3C10" w14:textId="286DE31A" w:rsidR="00294120" w:rsidRDefault="00294120" w:rsidP="00294120">
      <w:pPr>
        <w:pStyle w:val="FootnoteText"/>
      </w:pPr>
      <w:r w:rsidRPr="009550BB">
        <w:rPr>
          <w:rStyle w:val="FootnoteReference"/>
        </w:rPr>
        <w:footnoteRef/>
      </w:r>
      <w:r>
        <w:t xml:space="preserve"> </w:t>
      </w:r>
      <w:r w:rsidR="004655D9">
        <w:t>Exhibit CA</w:t>
      </w:r>
      <w:r w:rsidR="00503215">
        <w:noBreakHyphen/>
      </w:r>
      <w:r>
        <w:t>01 at 6</w:t>
      </w:r>
      <w:r w:rsidR="00503215">
        <w:noBreakHyphen/>
      </w:r>
      <w:r>
        <w:t>6.</w:t>
      </w:r>
    </w:p>
  </w:footnote>
  <w:footnote w:id="158">
    <w:p w14:paraId="3C7F1E3C" w14:textId="191AB361" w:rsidR="00294120" w:rsidRDefault="00294120" w:rsidP="00294120">
      <w:pPr>
        <w:pStyle w:val="FootnoteText"/>
      </w:pPr>
      <w:r w:rsidRPr="009550BB">
        <w:rPr>
          <w:rStyle w:val="FootnoteReference"/>
        </w:rPr>
        <w:footnoteRef/>
      </w:r>
      <w:r>
        <w:t xml:space="preserve"> </w:t>
      </w:r>
      <w:r w:rsidR="004655D9">
        <w:t>Exhibit CA</w:t>
      </w:r>
      <w:r w:rsidR="00503215">
        <w:noBreakHyphen/>
      </w:r>
      <w:r>
        <w:t>01 at 6</w:t>
      </w:r>
      <w:r w:rsidR="00503215">
        <w:noBreakHyphen/>
      </w:r>
      <w:r>
        <w:t>6.</w:t>
      </w:r>
    </w:p>
  </w:footnote>
  <w:footnote w:id="159">
    <w:p w14:paraId="73B7B744" w14:textId="79406792" w:rsidR="00294120" w:rsidRDefault="00294120" w:rsidP="00294120">
      <w:pPr>
        <w:pStyle w:val="FootnoteText"/>
      </w:pPr>
      <w:r w:rsidRPr="009550BB">
        <w:rPr>
          <w:rStyle w:val="FootnoteReference"/>
        </w:rPr>
        <w:footnoteRef/>
      </w:r>
      <w:r>
        <w:t xml:space="preserve"> </w:t>
      </w:r>
      <w:r w:rsidR="00F91FEE">
        <w:t>Exhibit UCAN</w:t>
      </w:r>
      <w:r w:rsidR="00503215">
        <w:noBreakHyphen/>
      </w:r>
      <w:r>
        <w:t>01 at 13.</w:t>
      </w:r>
    </w:p>
  </w:footnote>
  <w:footnote w:id="160">
    <w:p w14:paraId="69FE92E1" w14:textId="3B176B9E" w:rsidR="00294120" w:rsidRDefault="00294120" w:rsidP="00294120">
      <w:pPr>
        <w:pStyle w:val="FootnoteText"/>
      </w:pPr>
      <w:r w:rsidRPr="009550BB">
        <w:rPr>
          <w:rStyle w:val="FootnoteReference"/>
        </w:rPr>
        <w:footnoteRef/>
      </w:r>
      <w:r>
        <w:t xml:space="preserve"> </w:t>
      </w:r>
      <w:r w:rsidR="00F91FEE">
        <w:t>Exhibit UCAN</w:t>
      </w:r>
      <w:r w:rsidR="00503215">
        <w:noBreakHyphen/>
      </w:r>
      <w:r>
        <w:t>01 at 14.</w:t>
      </w:r>
    </w:p>
  </w:footnote>
  <w:footnote w:id="161">
    <w:p w14:paraId="6655A039" w14:textId="64154E61" w:rsidR="00294120" w:rsidRDefault="00294120" w:rsidP="00294120">
      <w:pPr>
        <w:pStyle w:val="FootnoteText"/>
      </w:pPr>
      <w:r w:rsidRPr="009550BB">
        <w:rPr>
          <w:rStyle w:val="FootnoteReference"/>
        </w:rPr>
        <w:footnoteRef/>
      </w:r>
      <w:r>
        <w:t xml:space="preserve"> </w:t>
      </w:r>
      <w:r w:rsidR="00F91FEE">
        <w:t>Exhibit UCAN</w:t>
      </w:r>
      <w:r w:rsidR="00503215">
        <w:noBreakHyphen/>
      </w:r>
      <w:r>
        <w:t>01 at 14.</w:t>
      </w:r>
    </w:p>
  </w:footnote>
  <w:footnote w:id="162">
    <w:p w14:paraId="7DF0866A" w14:textId="07EAD016" w:rsidR="00294120" w:rsidRDefault="00294120" w:rsidP="00294120">
      <w:pPr>
        <w:pStyle w:val="FootnoteText"/>
      </w:pPr>
      <w:r w:rsidRPr="009550BB">
        <w:rPr>
          <w:rStyle w:val="FootnoteReference"/>
        </w:rPr>
        <w:footnoteRef/>
      </w:r>
      <w:r>
        <w:t xml:space="preserve"> </w:t>
      </w:r>
      <w:r w:rsidR="00F91FEE">
        <w:t>Exhibit UCAN</w:t>
      </w:r>
      <w:r w:rsidR="00503215">
        <w:noBreakHyphen/>
      </w:r>
      <w:r>
        <w:t>01 at 21.</w:t>
      </w:r>
    </w:p>
  </w:footnote>
  <w:footnote w:id="163">
    <w:p w14:paraId="0F619D4D" w14:textId="11C16B43" w:rsidR="00294120" w:rsidRDefault="00294120" w:rsidP="00294120">
      <w:pPr>
        <w:pStyle w:val="FootnoteText"/>
      </w:pPr>
      <w:r w:rsidRPr="009550BB">
        <w:rPr>
          <w:rStyle w:val="FootnoteReference"/>
        </w:rPr>
        <w:footnoteRef/>
      </w:r>
      <w:r>
        <w:t xml:space="preserve"> </w:t>
      </w:r>
      <w:r w:rsidR="004655D9">
        <w:t>Exhibit SDGE</w:t>
      </w:r>
      <w:r w:rsidR="00503215">
        <w:noBreakHyphen/>
      </w:r>
      <w:r>
        <w:t>03 at 29 to 32.</w:t>
      </w:r>
    </w:p>
  </w:footnote>
  <w:footnote w:id="164">
    <w:p w14:paraId="5E7F6750" w14:textId="650827B5" w:rsidR="0034383A" w:rsidRDefault="0034383A" w:rsidP="0034383A">
      <w:pPr>
        <w:pStyle w:val="FootnoteText"/>
      </w:pPr>
      <w:r w:rsidRPr="009550BB">
        <w:rPr>
          <w:rStyle w:val="FootnoteReference"/>
        </w:rPr>
        <w:footnoteRef/>
      </w:r>
      <w:r>
        <w:t xml:space="preserve"> </w:t>
      </w:r>
      <w:r w:rsidR="004655D9">
        <w:t>Exhibit SDGE</w:t>
      </w:r>
      <w:r w:rsidR="00503215">
        <w:noBreakHyphen/>
      </w:r>
      <w:r>
        <w:t>01 at 27.</w:t>
      </w:r>
    </w:p>
  </w:footnote>
  <w:footnote w:id="165">
    <w:p w14:paraId="5FC265E9" w14:textId="5B51B00D" w:rsidR="00E50D76" w:rsidRDefault="00E50D76" w:rsidP="00E50D76">
      <w:pPr>
        <w:pStyle w:val="FootnoteText"/>
      </w:pPr>
      <w:r w:rsidRPr="009550BB">
        <w:rPr>
          <w:rStyle w:val="FootnoteReference"/>
        </w:rPr>
        <w:footnoteRef/>
      </w:r>
      <w:r>
        <w:t xml:space="preserve"> </w:t>
      </w:r>
      <w:r w:rsidR="004655D9">
        <w:t>Exhibit SDGE</w:t>
      </w:r>
      <w:r w:rsidR="00503215">
        <w:noBreakHyphen/>
      </w:r>
      <w:r w:rsidR="00286FEE">
        <w:t>0</w:t>
      </w:r>
      <w:r>
        <w:t>2 at 7.</w:t>
      </w:r>
    </w:p>
  </w:footnote>
  <w:footnote w:id="166">
    <w:p w14:paraId="3FCC8388" w14:textId="740E8FC8" w:rsidR="00E50D76" w:rsidRDefault="00E50D76" w:rsidP="00E50D76">
      <w:pPr>
        <w:pStyle w:val="FootnoteText"/>
      </w:pPr>
      <w:r w:rsidRPr="009550BB">
        <w:rPr>
          <w:rStyle w:val="FootnoteReference"/>
        </w:rPr>
        <w:footnoteRef/>
      </w:r>
      <w:r>
        <w:t xml:space="preserve"> </w:t>
      </w:r>
      <w:r w:rsidR="004655D9">
        <w:t>Exhibit SDGE</w:t>
      </w:r>
      <w:r w:rsidR="00503215">
        <w:noBreakHyphen/>
      </w:r>
      <w:r>
        <w:t>2 at 7.</w:t>
      </w:r>
    </w:p>
  </w:footnote>
  <w:footnote w:id="167">
    <w:p w14:paraId="23DEDF82" w14:textId="6B89BE02" w:rsidR="00E50D76" w:rsidRDefault="00E50D76" w:rsidP="00E50D76">
      <w:pPr>
        <w:pStyle w:val="FootnoteText"/>
      </w:pPr>
      <w:r w:rsidRPr="009550BB">
        <w:rPr>
          <w:rStyle w:val="FootnoteReference"/>
        </w:rPr>
        <w:footnoteRef/>
      </w:r>
      <w:r>
        <w:t xml:space="preserve"> </w:t>
      </w:r>
      <w:r w:rsidR="004655D9">
        <w:t>Exhibit TURN</w:t>
      </w:r>
      <w:r w:rsidR="00503215">
        <w:noBreakHyphen/>
      </w:r>
      <w:r>
        <w:t>01 at 18.</w:t>
      </w:r>
    </w:p>
  </w:footnote>
  <w:footnote w:id="168">
    <w:p w14:paraId="383155AB" w14:textId="195815A9" w:rsidR="00E50D76" w:rsidRDefault="00E50D76" w:rsidP="00E50D76">
      <w:pPr>
        <w:pStyle w:val="FootnoteText"/>
      </w:pPr>
      <w:r w:rsidRPr="009550BB">
        <w:rPr>
          <w:rStyle w:val="FootnoteReference"/>
        </w:rPr>
        <w:footnoteRef/>
      </w:r>
      <w:r>
        <w:t xml:space="preserve"> </w:t>
      </w:r>
      <w:r w:rsidR="004655D9">
        <w:t>Exhibit CA</w:t>
      </w:r>
      <w:r w:rsidR="00503215">
        <w:noBreakHyphen/>
      </w:r>
      <w:r>
        <w:t>01 at 3</w:t>
      </w:r>
      <w:r w:rsidR="00503215">
        <w:noBreakHyphen/>
      </w:r>
      <w:r>
        <w:t>19 to 3</w:t>
      </w:r>
      <w:r w:rsidR="00503215">
        <w:noBreakHyphen/>
      </w:r>
      <w:r>
        <w:t>20.</w:t>
      </w:r>
    </w:p>
  </w:footnote>
  <w:footnote w:id="169">
    <w:p w14:paraId="57B059FC" w14:textId="77777777" w:rsidR="00E50D76" w:rsidRDefault="00E50D76" w:rsidP="00E50D76">
      <w:pPr>
        <w:pStyle w:val="FootnoteText"/>
      </w:pPr>
      <w:r w:rsidRPr="009550BB">
        <w:rPr>
          <w:rStyle w:val="FootnoteReference"/>
        </w:rPr>
        <w:footnoteRef/>
      </w:r>
      <w:r>
        <w:t xml:space="preserve"> SDG&amp;E Response to ALJ Ruling at 14.</w:t>
      </w:r>
    </w:p>
  </w:footnote>
  <w:footnote w:id="170">
    <w:p w14:paraId="7121C19D" w14:textId="2C8FEECB" w:rsidR="001C505A" w:rsidRDefault="001C505A">
      <w:pPr>
        <w:pStyle w:val="FootnoteText"/>
      </w:pPr>
      <w:r w:rsidRPr="009550BB">
        <w:rPr>
          <w:rStyle w:val="FootnoteReference"/>
        </w:rPr>
        <w:footnoteRef/>
      </w:r>
      <w:r>
        <w:t xml:space="preserve"> D.24</w:t>
      </w:r>
      <w:r w:rsidR="00503215">
        <w:noBreakHyphen/>
      </w:r>
      <w:r>
        <w:t>07</w:t>
      </w:r>
      <w:r w:rsidR="00503215">
        <w:noBreakHyphen/>
      </w:r>
      <w:r>
        <w:t>008 at 49.</w:t>
      </w:r>
    </w:p>
  </w:footnote>
  <w:footnote w:id="171">
    <w:p w14:paraId="223C2BF1" w14:textId="32E07412" w:rsidR="000475BA" w:rsidRDefault="000475BA">
      <w:pPr>
        <w:pStyle w:val="FootnoteText"/>
      </w:pPr>
      <w:r w:rsidRPr="009550BB">
        <w:rPr>
          <w:rStyle w:val="FootnoteReference"/>
        </w:rPr>
        <w:footnoteRef/>
      </w:r>
      <w:r>
        <w:t xml:space="preserve"> </w:t>
      </w:r>
      <w:r w:rsidR="004655D9">
        <w:t>Exhibit SDGE</w:t>
      </w:r>
      <w:r w:rsidR="00503215">
        <w:noBreakHyphen/>
      </w:r>
      <w:r w:rsidR="00C50A9A">
        <w:t>2 at 1.</w:t>
      </w:r>
    </w:p>
  </w:footnote>
  <w:footnote w:id="172">
    <w:p w14:paraId="2FB5D841" w14:textId="6E1E3C4F" w:rsidR="00EC5FA8" w:rsidRDefault="00EC5FA8">
      <w:pPr>
        <w:pStyle w:val="FootnoteText"/>
      </w:pPr>
      <w:r w:rsidRPr="009550BB">
        <w:rPr>
          <w:rStyle w:val="FootnoteReference"/>
        </w:rPr>
        <w:footnoteRef/>
      </w:r>
      <w:r>
        <w:t xml:space="preserve"> </w:t>
      </w:r>
      <w:r w:rsidR="004655D9">
        <w:t>Exhibit SDGE</w:t>
      </w:r>
      <w:r w:rsidR="00503215">
        <w:noBreakHyphen/>
      </w:r>
      <w:r>
        <w:t>2 at 1 to 2.</w:t>
      </w:r>
    </w:p>
  </w:footnote>
  <w:footnote w:id="173">
    <w:p w14:paraId="213B3F6C" w14:textId="2F24C81D" w:rsidR="006A6BE9" w:rsidRDefault="006A6BE9">
      <w:pPr>
        <w:pStyle w:val="FootnoteText"/>
      </w:pPr>
      <w:r w:rsidRPr="009550BB">
        <w:rPr>
          <w:rStyle w:val="FootnoteReference"/>
        </w:rPr>
        <w:footnoteRef/>
      </w:r>
      <w:r>
        <w:t xml:space="preserve"> </w:t>
      </w:r>
      <w:r w:rsidR="004655D9">
        <w:t>Exhibit SDGE</w:t>
      </w:r>
      <w:r w:rsidR="00503215">
        <w:noBreakHyphen/>
      </w:r>
      <w:r>
        <w:t>02 at 6.</w:t>
      </w:r>
    </w:p>
  </w:footnote>
  <w:footnote w:id="174">
    <w:p w14:paraId="10DBB02F" w14:textId="77777777" w:rsidR="0040551C" w:rsidRDefault="0040551C" w:rsidP="0040551C">
      <w:pPr>
        <w:pStyle w:val="FootnoteText"/>
      </w:pPr>
      <w:r>
        <w:rPr>
          <w:rStyle w:val="FootnoteReference"/>
        </w:rPr>
        <w:footnoteRef/>
      </w:r>
      <w:r>
        <w:t xml:space="preserve"> In other words, SDG&amp;E may record all incremental energization costs to the EEMA, but may only transfer costs from the EEMA to the </w:t>
      </w:r>
      <w:proofErr w:type="spellStart"/>
      <w:r>
        <w:t>EDFCA</w:t>
      </w:r>
      <w:proofErr w:type="spellEnd"/>
      <w:r>
        <w:t xml:space="preserve"> (i.e., recover the costs) once the projects are placed in service.</w:t>
      </w:r>
    </w:p>
  </w:footnote>
  <w:footnote w:id="175">
    <w:p w14:paraId="63645026" w14:textId="77777777" w:rsidR="003445A8" w:rsidRDefault="003445A8" w:rsidP="003445A8">
      <w:pPr>
        <w:pStyle w:val="FootnoteText"/>
      </w:pPr>
      <w:r>
        <w:rPr>
          <w:rStyle w:val="FootnoteReference"/>
        </w:rPr>
        <w:footnoteRef/>
      </w:r>
      <w:r>
        <w:t xml:space="preserve"> SBUA-01 at 10.</w:t>
      </w:r>
    </w:p>
  </w:footnote>
  <w:footnote w:id="176">
    <w:p w14:paraId="76FF0081" w14:textId="49CAF358" w:rsidR="006149E1" w:rsidRDefault="006149E1">
      <w:pPr>
        <w:pStyle w:val="FootnoteText"/>
      </w:pPr>
      <w:r>
        <w:rPr>
          <w:rStyle w:val="FootnoteReference"/>
        </w:rPr>
        <w:footnoteRef/>
      </w:r>
      <w:r>
        <w:t xml:space="preserve"> </w:t>
      </w:r>
      <w:r w:rsidR="002D3B85">
        <w:t>This guidance is not a prescriptive list of all the elements than any future SB 410 filing should contain and does not guarantee that the Commission will approve all or any o</w:t>
      </w:r>
      <w:r w:rsidR="00B94AC0">
        <w:t xml:space="preserve">f a future request for a cap increase. Instead, </w:t>
      </w:r>
      <w:r>
        <w:t xml:space="preserve">SDG&amp;E should treat these </w:t>
      </w:r>
      <w:r w:rsidR="004F6777">
        <w:t xml:space="preserve">observations as guidance that describe ways </w:t>
      </w:r>
      <w:r w:rsidR="009563E1">
        <w:t xml:space="preserve">in which </w:t>
      </w:r>
      <w:r w:rsidR="004F6777">
        <w:t xml:space="preserve">SDG&amp;E could improve </w:t>
      </w:r>
      <w:r w:rsidR="00B94AC0">
        <w:t>future filing</w:t>
      </w:r>
      <w:r w:rsidR="00590A5A">
        <w:t>s</w:t>
      </w:r>
      <w:r w:rsidR="00A70005">
        <w:t xml:space="preserve"> to expedite the review process.</w:t>
      </w:r>
    </w:p>
  </w:footnote>
  <w:footnote w:id="177">
    <w:p w14:paraId="415C60DC" w14:textId="77777777" w:rsidR="00516747" w:rsidRDefault="00516747" w:rsidP="00516747">
      <w:pPr>
        <w:pStyle w:val="FootnoteText"/>
      </w:pPr>
      <w:r>
        <w:rPr>
          <w:rStyle w:val="FootnoteReference"/>
        </w:rPr>
        <w:footnoteRef/>
      </w:r>
      <w:r>
        <w:t xml:space="preserve"> Exhibit TURN</w:t>
      </w:r>
      <w:r>
        <w:noBreakHyphen/>
        <w:t>01 at 20.</w:t>
      </w:r>
    </w:p>
  </w:footnote>
  <w:footnote w:id="178">
    <w:p w14:paraId="0FFCBCB4" w14:textId="77777777" w:rsidR="00516747" w:rsidRDefault="00516747" w:rsidP="00516747">
      <w:pPr>
        <w:pStyle w:val="FootnoteText"/>
      </w:pPr>
      <w:r>
        <w:rPr>
          <w:rStyle w:val="FootnoteReference"/>
        </w:rPr>
        <w:footnoteRef/>
      </w:r>
      <w:r>
        <w:t xml:space="preserve"> Exhibit TURN</w:t>
      </w:r>
      <w:r>
        <w:noBreakHyphen/>
        <w:t>01 at 20.</w:t>
      </w:r>
    </w:p>
  </w:footnote>
  <w:footnote w:id="179">
    <w:p w14:paraId="66210388" w14:textId="361E5679" w:rsidR="002A2C46" w:rsidRDefault="002A2C46">
      <w:pPr>
        <w:pStyle w:val="FootnoteText"/>
      </w:pPr>
      <w:r>
        <w:rPr>
          <w:rStyle w:val="FootnoteReference"/>
        </w:rPr>
        <w:footnoteRef/>
      </w:r>
      <w:r>
        <w:t xml:space="preserve"> </w:t>
      </w:r>
      <w:r w:rsidRPr="002A2C46">
        <w:t>Ex</w:t>
      </w:r>
      <w:r>
        <w:t>hibit</w:t>
      </w:r>
      <w:r w:rsidRPr="002A2C46">
        <w:t xml:space="preserve"> TURN-2, SDG&amp;E response to TURN DR4, Q7.  </w:t>
      </w:r>
    </w:p>
  </w:footnote>
  <w:footnote w:id="180">
    <w:p w14:paraId="55E4ABD4" w14:textId="50F4F136" w:rsidR="003F2149" w:rsidRDefault="003F2149">
      <w:pPr>
        <w:pStyle w:val="FootnoteText"/>
      </w:pPr>
      <w:r>
        <w:rPr>
          <w:rStyle w:val="FootnoteReference"/>
        </w:rPr>
        <w:footnoteRef/>
      </w:r>
      <w:r>
        <w:t xml:space="preserve"> SDG&amp;E Opening Comments on Proposed Decision </w:t>
      </w:r>
      <w:r w:rsidR="005A63E5">
        <w:t>at v.</w:t>
      </w:r>
    </w:p>
  </w:footnote>
  <w:footnote w:id="181">
    <w:p w14:paraId="019E05FF" w14:textId="77777777" w:rsidR="00B24100" w:rsidRDefault="00B24100" w:rsidP="00B24100">
      <w:pPr>
        <w:pStyle w:val="FootnoteText"/>
      </w:pPr>
      <w:r>
        <w:rPr>
          <w:rStyle w:val="FootnoteReference"/>
        </w:rPr>
        <w:footnoteRef/>
      </w:r>
      <w:r>
        <w:t xml:space="preserve"> SDG&amp;E Opening Comments on Proposed Decision at 2.</w:t>
      </w:r>
    </w:p>
  </w:footnote>
  <w:footnote w:id="182">
    <w:p w14:paraId="369047E1" w14:textId="77777777" w:rsidR="00B24100" w:rsidRDefault="00B24100" w:rsidP="00B24100">
      <w:pPr>
        <w:pStyle w:val="FootnoteText"/>
      </w:pPr>
      <w:r>
        <w:rPr>
          <w:rStyle w:val="FootnoteReference"/>
        </w:rPr>
        <w:footnoteRef/>
      </w:r>
      <w:r>
        <w:t xml:space="preserve"> </w:t>
      </w:r>
      <w:proofErr w:type="spellStart"/>
      <w:r>
        <w:t>SBUA</w:t>
      </w:r>
      <w:proofErr w:type="spellEnd"/>
      <w:r>
        <w:t xml:space="preserve"> Opening Comments on Proposed Decision at 2 to 3.</w:t>
      </w:r>
    </w:p>
  </w:footnote>
  <w:footnote w:id="183">
    <w:p w14:paraId="0253525A" w14:textId="59E8084F" w:rsidR="00B24100" w:rsidRDefault="00B24100">
      <w:pPr>
        <w:pStyle w:val="FootnoteText"/>
      </w:pPr>
      <w:r>
        <w:rPr>
          <w:rStyle w:val="FootnoteReference"/>
        </w:rPr>
        <w:footnoteRef/>
      </w:r>
      <w:r>
        <w:t xml:space="preserve"> SDG&amp;E Opening Comments on Proposed Decision at 3 to 4.</w:t>
      </w:r>
    </w:p>
  </w:footnote>
  <w:footnote w:id="184">
    <w:p w14:paraId="725CC44D" w14:textId="578F6875" w:rsidR="00391AA7" w:rsidRDefault="00391AA7">
      <w:pPr>
        <w:pStyle w:val="FootnoteText"/>
      </w:pPr>
      <w:r>
        <w:rPr>
          <w:rStyle w:val="FootnoteReference"/>
        </w:rPr>
        <w:footnoteRef/>
      </w:r>
      <w:r>
        <w:t xml:space="preserve"> SDG&amp;E Opening Comments on Proposed Decision at 4.</w:t>
      </w:r>
    </w:p>
  </w:footnote>
  <w:footnote w:id="185">
    <w:p w14:paraId="23A0EF78" w14:textId="53C7E20F" w:rsidR="00D90C61" w:rsidRDefault="00D90C61">
      <w:pPr>
        <w:pStyle w:val="FootnoteText"/>
      </w:pPr>
      <w:r>
        <w:rPr>
          <w:rStyle w:val="FootnoteReference"/>
        </w:rPr>
        <w:footnoteRef/>
      </w:r>
      <w:r>
        <w:t xml:space="preserve"> Rule</w:t>
      </w:r>
      <w:r w:rsidR="00E85A4D">
        <w:t> </w:t>
      </w:r>
      <w:r>
        <w:t>14(c) states</w:t>
      </w:r>
      <w:r w:rsidR="00D37D58">
        <w:t>, “C</w:t>
      </w:r>
      <w:r w:rsidR="00D37D58" w:rsidRPr="00D37D58">
        <w:t>omments shall focus on factual, legal or technical errors in the proposed or alternate decision and in citing such errors shall make specific references to the record or applicable law. Comments which fail to do so will be accorded no weight</w:t>
      </w:r>
      <w:r w:rsidR="00D37D58">
        <w:t>.”</w:t>
      </w:r>
    </w:p>
  </w:footnote>
  <w:footnote w:id="186">
    <w:p w14:paraId="5330E145" w14:textId="6F822960" w:rsidR="00BA65BB" w:rsidRDefault="00BA65BB">
      <w:pPr>
        <w:pStyle w:val="FootnoteText"/>
      </w:pPr>
      <w:r>
        <w:rPr>
          <w:rStyle w:val="FootnoteReference"/>
        </w:rPr>
        <w:footnoteRef/>
      </w:r>
      <w:r>
        <w:t xml:space="preserve"> SDG&amp;E Opening Comments on Proposed Decision at 6 to 7.</w:t>
      </w:r>
    </w:p>
  </w:footnote>
  <w:footnote w:id="187">
    <w:p w14:paraId="42E52F08" w14:textId="7F6FF160" w:rsidR="00BE5083" w:rsidRDefault="00BE5083">
      <w:pPr>
        <w:pStyle w:val="FootnoteText"/>
      </w:pPr>
      <w:r>
        <w:rPr>
          <w:rStyle w:val="FootnoteReference"/>
        </w:rPr>
        <w:footnoteRef/>
      </w:r>
      <w:r>
        <w:t xml:space="preserve"> SDG&amp;E Opening Comments on Proposed Decision at 8 to 10.</w:t>
      </w:r>
    </w:p>
  </w:footnote>
  <w:footnote w:id="188">
    <w:p w14:paraId="20195BEE" w14:textId="335CE718" w:rsidR="001E60AE" w:rsidRDefault="001E60AE">
      <w:pPr>
        <w:pStyle w:val="FootnoteText"/>
      </w:pPr>
      <w:r>
        <w:rPr>
          <w:rStyle w:val="FootnoteReference"/>
        </w:rPr>
        <w:footnoteRef/>
      </w:r>
      <w:r>
        <w:t xml:space="preserve"> SDG&amp;E Opening Comments on Proposed Decision at 12.</w:t>
      </w:r>
    </w:p>
  </w:footnote>
  <w:footnote w:id="189">
    <w:p w14:paraId="585EC888" w14:textId="7A6EFF6F" w:rsidR="001E60AE" w:rsidRDefault="001E60AE">
      <w:pPr>
        <w:pStyle w:val="FootnoteText"/>
      </w:pPr>
      <w:r>
        <w:rPr>
          <w:rStyle w:val="FootnoteReference"/>
        </w:rPr>
        <w:footnoteRef/>
      </w:r>
      <w:r>
        <w:t xml:space="preserve"> SDG&amp;E Opening Comments on Proposed Decision at 12. </w:t>
      </w:r>
    </w:p>
  </w:footnote>
  <w:footnote w:id="190">
    <w:p w14:paraId="7C5AFE23" w14:textId="221735E6" w:rsidR="00331782" w:rsidRDefault="00331782">
      <w:pPr>
        <w:pStyle w:val="FootnoteText"/>
      </w:pPr>
      <w:r>
        <w:rPr>
          <w:rStyle w:val="FootnoteReference"/>
        </w:rPr>
        <w:footnoteRef/>
      </w:r>
      <w:r>
        <w:t xml:space="preserve"> CUE Opening Comments on Proposed Decision at 4.</w:t>
      </w:r>
    </w:p>
  </w:footnote>
  <w:footnote w:id="191">
    <w:p w14:paraId="004FF71F" w14:textId="75EF893A" w:rsidR="003B3A6A" w:rsidRDefault="003B3A6A">
      <w:pPr>
        <w:pStyle w:val="FootnoteText"/>
      </w:pPr>
      <w:r>
        <w:rPr>
          <w:rStyle w:val="FootnoteReference"/>
        </w:rPr>
        <w:footnoteRef/>
      </w:r>
      <w:r>
        <w:t xml:space="preserve"> TURN Opening Comments on Proposed Decision at 4 to </w:t>
      </w:r>
      <w:r w:rsidR="00E93296">
        <w:t>6</w:t>
      </w:r>
      <w:r>
        <w:t>.</w:t>
      </w:r>
    </w:p>
  </w:footnote>
  <w:footnote w:id="192">
    <w:p w14:paraId="55115C1C" w14:textId="4775D1CD" w:rsidR="00C96E75" w:rsidRDefault="00C96E75">
      <w:pPr>
        <w:pStyle w:val="FootnoteText"/>
      </w:pPr>
      <w:r>
        <w:rPr>
          <w:rStyle w:val="FootnoteReference"/>
        </w:rPr>
        <w:footnoteRef/>
      </w:r>
      <w:r>
        <w:t xml:space="preserve"> SDG&amp;E Opening Comments on Proposed Decision at 14 to 15.</w:t>
      </w:r>
    </w:p>
  </w:footnote>
  <w:footnote w:id="193">
    <w:p w14:paraId="54D56C17" w14:textId="74B8475E" w:rsidR="009B4EB7" w:rsidRDefault="009B4EB7">
      <w:pPr>
        <w:pStyle w:val="FootnoteText"/>
      </w:pPr>
      <w:r>
        <w:rPr>
          <w:rStyle w:val="FootnoteReference"/>
        </w:rPr>
        <w:footnoteRef/>
      </w:r>
      <w:r>
        <w:t xml:space="preserve"> TURN Opening Comments on Proposed Decision at 2 to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83B3" w14:textId="6B969DE8" w:rsidR="00F31C01" w:rsidRDefault="00F31C01" w:rsidP="00F31C01">
    <w:pPr>
      <w:pStyle w:val="Header"/>
      <w:tabs>
        <w:tab w:val="clear" w:pos="4680"/>
      </w:tabs>
      <w:ind w:firstLine="0"/>
      <w:rPr>
        <w:b/>
      </w:rPr>
    </w:pPr>
    <w:r w:rsidRPr="00F31C01">
      <w:t>A</w:t>
    </w:r>
    <w:r>
      <w:t>.</w:t>
    </w:r>
    <w:r w:rsidRPr="00F31C01">
      <w:t>25</w:t>
    </w:r>
    <w:r w:rsidR="00503215">
      <w:noBreakHyphen/>
    </w:r>
    <w:r w:rsidRPr="00F31C01">
      <w:t>04</w:t>
    </w:r>
    <w:r w:rsidR="00503215">
      <w:noBreakHyphen/>
    </w:r>
    <w:r w:rsidRPr="00F31C01">
      <w:t>015</w:t>
    </w:r>
    <w:r>
      <w:t xml:space="preserve">  ALJ/</w:t>
    </w:r>
    <w:proofErr w:type="spellStart"/>
    <w:r>
      <w:t>ADW</w:t>
    </w:r>
    <w:proofErr w:type="spellEnd"/>
    <w:r>
      <w:t>/nd3</w:t>
    </w:r>
    <w:r>
      <w:tab/>
    </w:r>
    <w:r w:rsidRPr="00D82F2C">
      <w:rPr>
        <w:bCs/>
      </w:rPr>
      <w:t>PROPOSED DECISION</w:t>
    </w:r>
    <w:r w:rsidR="00D72914">
      <w:rPr>
        <w:bCs/>
      </w:rPr>
      <w:t xml:space="preserve"> (Rev.1)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1AB2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F6867"/>
    <w:multiLevelType w:val="hybridMultilevel"/>
    <w:tmpl w:val="F97CAD4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46C1C14"/>
    <w:multiLevelType w:val="multilevel"/>
    <w:tmpl w:val="E1169482"/>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612E7F84"/>
    <w:lvl w:ilvl="0">
      <w:start w:val="1"/>
      <w:numFmt w:val="decimal"/>
      <w:pStyle w:val="CoL"/>
      <w:lvlText w:val="%1."/>
      <w:lvlJc w:val="right"/>
      <w:pPr>
        <w:ind w:left="0" w:firstLine="540"/>
      </w:pPr>
      <w:rPr>
        <w:rFonts w:hint="default"/>
      </w:rPr>
    </w:lvl>
    <w:lvl w:ilvl="1">
      <w:start w:val="1"/>
      <w:numFmt w:val="lowerLetter"/>
      <w:lvlText w:val="(%2)"/>
      <w:lvlJc w:val="left"/>
      <w:pPr>
        <w:ind w:left="1195" w:hanging="475"/>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D1F5BF4"/>
    <w:multiLevelType w:val="hybridMultilevel"/>
    <w:tmpl w:val="03BCBB1E"/>
    <w:lvl w:ilvl="0" w:tplc="BF0A558E">
      <w:start w:val="1"/>
      <w:numFmt w:val="decimal"/>
      <w:pStyle w:val="FoF"/>
      <w:lvlText w:val="%1."/>
      <w:lvlJc w:val="right"/>
      <w:pPr>
        <w:ind w:left="0" w:firstLine="547"/>
      </w:pPr>
      <w:rPr>
        <w:rFonts w:hint="default"/>
      </w:r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6" w15:restartNumberingAfterBreak="0">
    <w:nsid w:val="36C84C81"/>
    <w:multiLevelType w:val="multilevel"/>
    <w:tmpl w:val="D6CA840C"/>
    <w:styleLink w:val="CurrentList1"/>
    <w:lvl w:ilvl="0">
      <w:start w:val="1"/>
      <w:numFmt w:val="decimal"/>
      <w:lvlText w:val="%1"/>
      <w:lvlJc w:val="left"/>
      <w:pPr>
        <w:ind w:left="1267" w:hanging="360"/>
      </w:pPr>
      <w:rPr>
        <w:rFonts w:hint="default"/>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7" w15:restartNumberingAfterBreak="0">
    <w:nsid w:val="5C72524B"/>
    <w:multiLevelType w:val="hybridMultilevel"/>
    <w:tmpl w:val="B830B63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A25780"/>
    <w:multiLevelType w:val="multilevel"/>
    <w:tmpl w:val="AE92A9C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ind w:left="2592" w:hanging="1008"/>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ind w:left="3888" w:hanging="1296"/>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ind w:left="5400" w:hanging="1512"/>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9" w15:restartNumberingAfterBreak="0">
    <w:nsid w:val="61E713BF"/>
    <w:multiLevelType w:val="hybridMultilevel"/>
    <w:tmpl w:val="F8DCD4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6E3073"/>
    <w:multiLevelType w:val="hybridMultilevel"/>
    <w:tmpl w:val="D286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D367D"/>
    <w:multiLevelType w:val="hybridMultilevel"/>
    <w:tmpl w:val="1CCE829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766018A1"/>
    <w:multiLevelType w:val="hybridMultilevel"/>
    <w:tmpl w:val="8BD26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9A0AFE"/>
    <w:multiLevelType w:val="multilevel"/>
    <w:tmpl w:val="E1169482"/>
    <w:numStyleLink w:val="FoFCoLOP"/>
  </w:abstractNum>
  <w:num w:numId="1" w16cid:durableId="140774137">
    <w:abstractNumId w:val="2"/>
  </w:num>
  <w:num w:numId="2" w16cid:durableId="973756952">
    <w:abstractNumId w:val="5"/>
  </w:num>
  <w:num w:numId="3" w16cid:durableId="1109860560">
    <w:abstractNumId w:val="12"/>
  </w:num>
  <w:num w:numId="4" w16cid:durableId="1064256712">
    <w:abstractNumId w:val="7"/>
  </w:num>
  <w:num w:numId="5" w16cid:durableId="1996638138">
    <w:abstractNumId w:val="9"/>
  </w:num>
  <w:num w:numId="6" w16cid:durableId="2009674343">
    <w:abstractNumId w:val="10"/>
  </w:num>
  <w:num w:numId="7" w16cid:durableId="1695885273">
    <w:abstractNumId w:val="3"/>
  </w:num>
  <w:num w:numId="8" w16cid:durableId="511800925">
    <w:abstractNumId w:val="0"/>
  </w:num>
  <w:num w:numId="9" w16cid:durableId="1521043270">
    <w:abstractNumId w:val="8"/>
  </w:num>
  <w:num w:numId="10" w16cid:durableId="1816222380">
    <w:abstractNumId w:val="13"/>
    <w:lvlOverride w:ilvl="0">
      <w:lvl w:ilvl="0">
        <w:start w:val="1"/>
        <w:numFmt w:val="decimal"/>
        <w:pStyle w:val="OP"/>
        <w:lvlText w:val="%1."/>
        <w:lvlJc w:val="right"/>
        <w:pPr>
          <w:ind w:left="0" w:firstLine="540"/>
        </w:pPr>
        <w:rPr>
          <w:rFonts w:hint="default"/>
        </w:rPr>
      </w:lvl>
    </w:lvlOverride>
  </w:num>
  <w:num w:numId="11" w16cid:durableId="992219658">
    <w:abstractNumId w:val="6"/>
  </w:num>
  <w:num w:numId="12" w16cid:durableId="1492679707">
    <w:abstractNumId w:val="4"/>
  </w:num>
  <w:num w:numId="13" w16cid:durableId="596982619">
    <w:abstractNumId w:val="3"/>
  </w:num>
  <w:num w:numId="14" w16cid:durableId="1671134426">
    <w:abstractNumId w:val="3"/>
  </w:num>
  <w:num w:numId="15" w16cid:durableId="2014067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672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2893307">
    <w:abstractNumId w:val="11"/>
  </w:num>
  <w:num w:numId="18" w16cid:durableId="2112965470">
    <w:abstractNumId w:val="4"/>
  </w:num>
  <w:num w:numId="19" w16cid:durableId="76488544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2D"/>
    <w:rsid w:val="0000038C"/>
    <w:rsid w:val="00000F52"/>
    <w:rsid w:val="00000F6A"/>
    <w:rsid w:val="00001536"/>
    <w:rsid w:val="0000167D"/>
    <w:rsid w:val="00001897"/>
    <w:rsid w:val="00001AE8"/>
    <w:rsid w:val="00002378"/>
    <w:rsid w:val="0000256D"/>
    <w:rsid w:val="000034EF"/>
    <w:rsid w:val="000036A7"/>
    <w:rsid w:val="00003D2A"/>
    <w:rsid w:val="000049C1"/>
    <w:rsid w:val="00005364"/>
    <w:rsid w:val="00005433"/>
    <w:rsid w:val="000059A8"/>
    <w:rsid w:val="00005A43"/>
    <w:rsid w:val="00005B67"/>
    <w:rsid w:val="00005EE2"/>
    <w:rsid w:val="00006F14"/>
    <w:rsid w:val="0000757A"/>
    <w:rsid w:val="00007AE0"/>
    <w:rsid w:val="00007C33"/>
    <w:rsid w:val="0001037C"/>
    <w:rsid w:val="00011329"/>
    <w:rsid w:val="00012EA8"/>
    <w:rsid w:val="00013562"/>
    <w:rsid w:val="00013978"/>
    <w:rsid w:val="00014862"/>
    <w:rsid w:val="00015132"/>
    <w:rsid w:val="00015920"/>
    <w:rsid w:val="00015D5E"/>
    <w:rsid w:val="000161D9"/>
    <w:rsid w:val="0001623C"/>
    <w:rsid w:val="00016E9B"/>
    <w:rsid w:val="000176FF"/>
    <w:rsid w:val="00017D42"/>
    <w:rsid w:val="00020759"/>
    <w:rsid w:val="000209C5"/>
    <w:rsid w:val="00020C8F"/>
    <w:rsid w:val="0002193F"/>
    <w:rsid w:val="00021CC3"/>
    <w:rsid w:val="00021D27"/>
    <w:rsid w:val="000223AC"/>
    <w:rsid w:val="00022C06"/>
    <w:rsid w:val="00022DFE"/>
    <w:rsid w:val="00023C15"/>
    <w:rsid w:val="00023D10"/>
    <w:rsid w:val="00023D16"/>
    <w:rsid w:val="00023F5A"/>
    <w:rsid w:val="000245B1"/>
    <w:rsid w:val="000246E3"/>
    <w:rsid w:val="00024801"/>
    <w:rsid w:val="00025E34"/>
    <w:rsid w:val="00026824"/>
    <w:rsid w:val="00026826"/>
    <w:rsid w:val="0002756C"/>
    <w:rsid w:val="000277EF"/>
    <w:rsid w:val="0003090C"/>
    <w:rsid w:val="00030ED5"/>
    <w:rsid w:val="00031435"/>
    <w:rsid w:val="00031B7F"/>
    <w:rsid w:val="00031BE1"/>
    <w:rsid w:val="00031EF5"/>
    <w:rsid w:val="000320C3"/>
    <w:rsid w:val="00033233"/>
    <w:rsid w:val="00033882"/>
    <w:rsid w:val="00033DE6"/>
    <w:rsid w:val="00033F0D"/>
    <w:rsid w:val="000344FB"/>
    <w:rsid w:val="00034630"/>
    <w:rsid w:val="000347B2"/>
    <w:rsid w:val="00034AF8"/>
    <w:rsid w:val="00034C68"/>
    <w:rsid w:val="00035103"/>
    <w:rsid w:val="000353D7"/>
    <w:rsid w:val="000355AA"/>
    <w:rsid w:val="00035B0B"/>
    <w:rsid w:val="000360F2"/>
    <w:rsid w:val="000365D4"/>
    <w:rsid w:val="000367A8"/>
    <w:rsid w:val="00036906"/>
    <w:rsid w:val="00036BEC"/>
    <w:rsid w:val="00036C8A"/>
    <w:rsid w:val="00037AF1"/>
    <w:rsid w:val="00040696"/>
    <w:rsid w:val="00040E68"/>
    <w:rsid w:val="00040EB9"/>
    <w:rsid w:val="00041A8C"/>
    <w:rsid w:val="00041BCF"/>
    <w:rsid w:val="000422D8"/>
    <w:rsid w:val="00042404"/>
    <w:rsid w:val="00042A95"/>
    <w:rsid w:val="000430CB"/>
    <w:rsid w:val="00043344"/>
    <w:rsid w:val="00043FCF"/>
    <w:rsid w:val="0004426C"/>
    <w:rsid w:val="00044633"/>
    <w:rsid w:val="00046019"/>
    <w:rsid w:val="0004623A"/>
    <w:rsid w:val="00046A07"/>
    <w:rsid w:val="00046AB9"/>
    <w:rsid w:val="0004707E"/>
    <w:rsid w:val="000475BA"/>
    <w:rsid w:val="00047B0E"/>
    <w:rsid w:val="00047F0C"/>
    <w:rsid w:val="0005016B"/>
    <w:rsid w:val="0005036D"/>
    <w:rsid w:val="00050D74"/>
    <w:rsid w:val="000513A3"/>
    <w:rsid w:val="000514D6"/>
    <w:rsid w:val="00051622"/>
    <w:rsid w:val="0005216A"/>
    <w:rsid w:val="00052ADE"/>
    <w:rsid w:val="00052DB9"/>
    <w:rsid w:val="00052F9B"/>
    <w:rsid w:val="00053575"/>
    <w:rsid w:val="00054165"/>
    <w:rsid w:val="000551AE"/>
    <w:rsid w:val="000552E6"/>
    <w:rsid w:val="00055658"/>
    <w:rsid w:val="000557B0"/>
    <w:rsid w:val="00055C94"/>
    <w:rsid w:val="00055E0F"/>
    <w:rsid w:val="00055EBD"/>
    <w:rsid w:val="00056471"/>
    <w:rsid w:val="00056E76"/>
    <w:rsid w:val="00057214"/>
    <w:rsid w:val="00057A73"/>
    <w:rsid w:val="00060B83"/>
    <w:rsid w:val="00060E7E"/>
    <w:rsid w:val="00061406"/>
    <w:rsid w:val="00061EC3"/>
    <w:rsid w:val="00062079"/>
    <w:rsid w:val="0006228E"/>
    <w:rsid w:val="00062748"/>
    <w:rsid w:val="00063AC6"/>
    <w:rsid w:val="00063BA8"/>
    <w:rsid w:val="00064029"/>
    <w:rsid w:val="00064303"/>
    <w:rsid w:val="00064FE1"/>
    <w:rsid w:val="000653FA"/>
    <w:rsid w:val="0006548D"/>
    <w:rsid w:val="00065580"/>
    <w:rsid w:val="00065623"/>
    <w:rsid w:val="000658A7"/>
    <w:rsid w:val="000660D9"/>
    <w:rsid w:val="0006655E"/>
    <w:rsid w:val="000667D2"/>
    <w:rsid w:val="00066822"/>
    <w:rsid w:val="00066C4F"/>
    <w:rsid w:val="00067346"/>
    <w:rsid w:val="000676E8"/>
    <w:rsid w:val="00067AAF"/>
    <w:rsid w:val="0007029A"/>
    <w:rsid w:val="000706AF"/>
    <w:rsid w:val="0007115A"/>
    <w:rsid w:val="00071786"/>
    <w:rsid w:val="00071B38"/>
    <w:rsid w:val="00071C4B"/>
    <w:rsid w:val="00071D3F"/>
    <w:rsid w:val="000721AF"/>
    <w:rsid w:val="00072A45"/>
    <w:rsid w:val="00072A77"/>
    <w:rsid w:val="00072F54"/>
    <w:rsid w:val="0007367D"/>
    <w:rsid w:val="0007422F"/>
    <w:rsid w:val="00074415"/>
    <w:rsid w:val="00074A80"/>
    <w:rsid w:val="00074AD4"/>
    <w:rsid w:val="00074DBF"/>
    <w:rsid w:val="00075346"/>
    <w:rsid w:val="0007549C"/>
    <w:rsid w:val="000757B1"/>
    <w:rsid w:val="000760E9"/>
    <w:rsid w:val="00076134"/>
    <w:rsid w:val="00077DC5"/>
    <w:rsid w:val="000800E8"/>
    <w:rsid w:val="000802D2"/>
    <w:rsid w:val="0008036B"/>
    <w:rsid w:val="0008085C"/>
    <w:rsid w:val="000816F0"/>
    <w:rsid w:val="000819BA"/>
    <w:rsid w:val="0008273D"/>
    <w:rsid w:val="000838E4"/>
    <w:rsid w:val="000849BB"/>
    <w:rsid w:val="0008501A"/>
    <w:rsid w:val="0008537A"/>
    <w:rsid w:val="000855C7"/>
    <w:rsid w:val="00085C78"/>
    <w:rsid w:val="00085F48"/>
    <w:rsid w:val="00086037"/>
    <w:rsid w:val="000861BB"/>
    <w:rsid w:val="0008638C"/>
    <w:rsid w:val="00086A2D"/>
    <w:rsid w:val="00086E56"/>
    <w:rsid w:val="00087316"/>
    <w:rsid w:val="000878E8"/>
    <w:rsid w:val="000914CB"/>
    <w:rsid w:val="0009152C"/>
    <w:rsid w:val="00091CE1"/>
    <w:rsid w:val="00091D27"/>
    <w:rsid w:val="00092343"/>
    <w:rsid w:val="00092611"/>
    <w:rsid w:val="0009364F"/>
    <w:rsid w:val="00093E13"/>
    <w:rsid w:val="000946E9"/>
    <w:rsid w:val="00095019"/>
    <w:rsid w:val="00095269"/>
    <w:rsid w:val="0009541A"/>
    <w:rsid w:val="00095444"/>
    <w:rsid w:val="000967B8"/>
    <w:rsid w:val="000973C8"/>
    <w:rsid w:val="0009770B"/>
    <w:rsid w:val="00097EF5"/>
    <w:rsid w:val="000A0482"/>
    <w:rsid w:val="000A093B"/>
    <w:rsid w:val="000A0F46"/>
    <w:rsid w:val="000A1551"/>
    <w:rsid w:val="000A17E7"/>
    <w:rsid w:val="000A1A28"/>
    <w:rsid w:val="000A1F91"/>
    <w:rsid w:val="000A2458"/>
    <w:rsid w:val="000A24B0"/>
    <w:rsid w:val="000A2785"/>
    <w:rsid w:val="000A2AA9"/>
    <w:rsid w:val="000A2AB0"/>
    <w:rsid w:val="000A2F5F"/>
    <w:rsid w:val="000A31F7"/>
    <w:rsid w:val="000A3B04"/>
    <w:rsid w:val="000A4623"/>
    <w:rsid w:val="000A4F10"/>
    <w:rsid w:val="000A507B"/>
    <w:rsid w:val="000A5243"/>
    <w:rsid w:val="000A55C3"/>
    <w:rsid w:val="000A563B"/>
    <w:rsid w:val="000A56F2"/>
    <w:rsid w:val="000A6E05"/>
    <w:rsid w:val="000A738D"/>
    <w:rsid w:val="000A78C0"/>
    <w:rsid w:val="000B0A94"/>
    <w:rsid w:val="000B0D64"/>
    <w:rsid w:val="000B0E11"/>
    <w:rsid w:val="000B12FA"/>
    <w:rsid w:val="000B2255"/>
    <w:rsid w:val="000B2495"/>
    <w:rsid w:val="000B293C"/>
    <w:rsid w:val="000B3861"/>
    <w:rsid w:val="000B3961"/>
    <w:rsid w:val="000B3AD4"/>
    <w:rsid w:val="000B4386"/>
    <w:rsid w:val="000B4DB6"/>
    <w:rsid w:val="000B520D"/>
    <w:rsid w:val="000B58BF"/>
    <w:rsid w:val="000B6008"/>
    <w:rsid w:val="000B63FD"/>
    <w:rsid w:val="000B6B54"/>
    <w:rsid w:val="000B6B63"/>
    <w:rsid w:val="000B6FC8"/>
    <w:rsid w:val="000B708A"/>
    <w:rsid w:val="000B75F9"/>
    <w:rsid w:val="000B79DB"/>
    <w:rsid w:val="000B7A72"/>
    <w:rsid w:val="000B7FB4"/>
    <w:rsid w:val="000C03A2"/>
    <w:rsid w:val="000C087A"/>
    <w:rsid w:val="000C08BF"/>
    <w:rsid w:val="000C0915"/>
    <w:rsid w:val="000C0BEF"/>
    <w:rsid w:val="000C0F99"/>
    <w:rsid w:val="000C1815"/>
    <w:rsid w:val="000C2286"/>
    <w:rsid w:val="000C24BE"/>
    <w:rsid w:val="000C3B9A"/>
    <w:rsid w:val="000C3DA2"/>
    <w:rsid w:val="000C4455"/>
    <w:rsid w:val="000C4C44"/>
    <w:rsid w:val="000C4D58"/>
    <w:rsid w:val="000C581B"/>
    <w:rsid w:val="000C58C3"/>
    <w:rsid w:val="000C5A95"/>
    <w:rsid w:val="000C5D38"/>
    <w:rsid w:val="000C6965"/>
    <w:rsid w:val="000C714D"/>
    <w:rsid w:val="000C7A44"/>
    <w:rsid w:val="000D0DAD"/>
    <w:rsid w:val="000D0F3A"/>
    <w:rsid w:val="000D122C"/>
    <w:rsid w:val="000D16D0"/>
    <w:rsid w:val="000D1E2C"/>
    <w:rsid w:val="000D1F2F"/>
    <w:rsid w:val="000D229D"/>
    <w:rsid w:val="000D25A8"/>
    <w:rsid w:val="000D3C58"/>
    <w:rsid w:val="000D41C9"/>
    <w:rsid w:val="000D4311"/>
    <w:rsid w:val="000D4814"/>
    <w:rsid w:val="000D4DD5"/>
    <w:rsid w:val="000D4FC0"/>
    <w:rsid w:val="000D51EF"/>
    <w:rsid w:val="000D55F9"/>
    <w:rsid w:val="000D5B50"/>
    <w:rsid w:val="000D5F51"/>
    <w:rsid w:val="000D6556"/>
    <w:rsid w:val="000D6681"/>
    <w:rsid w:val="000D6784"/>
    <w:rsid w:val="000D6B8E"/>
    <w:rsid w:val="000D6DFC"/>
    <w:rsid w:val="000D701A"/>
    <w:rsid w:val="000D7942"/>
    <w:rsid w:val="000E014B"/>
    <w:rsid w:val="000E085A"/>
    <w:rsid w:val="000E0D00"/>
    <w:rsid w:val="000E1417"/>
    <w:rsid w:val="000E2644"/>
    <w:rsid w:val="000E270A"/>
    <w:rsid w:val="000E293E"/>
    <w:rsid w:val="000E2F8E"/>
    <w:rsid w:val="000E3742"/>
    <w:rsid w:val="000E3962"/>
    <w:rsid w:val="000E3D25"/>
    <w:rsid w:val="000E402D"/>
    <w:rsid w:val="000E41F6"/>
    <w:rsid w:val="000E42EA"/>
    <w:rsid w:val="000E4427"/>
    <w:rsid w:val="000E484E"/>
    <w:rsid w:val="000E4AD2"/>
    <w:rsid w:val="000E4C53"/>
    <w:rsid w:val="000E4E91"/>
    <w:rsid w:val="000E504A"/>
    <w:rsid w:val="000E5CA7"/>
    <w:rsid w:val="000E5CC2"/>
    <w:rsid w:val="000E692B"/>
    <w:rsid w:val="000E7BA2"/>
    <w:rsid w:val="000F0370"/>
    <w:rsid w:val="000F09CA"/>
    <w:rsid w:val="000F0D29"/>
    <w:rsid w:val="000F1823"/>
    <w:rsid w:val="000F22A3"/>
    <w:rsid w:val="000F2512"/>
    <w:rsid w:val="000F3270"/>
    <w:rsid w:val="000F4124"/>
    <w:rsid w:val="000F48C6"/>
    <w:rsid w:val="000F4A1F"/>
    <w:rsid w:val="000F4E06"/>
    <w:rsid w:val="000F5263"/>
    <w:rsid w:val="000F534B"/>
    <w:rsid w:val="000F6A71"/>
    <w:rsid w:val="000F706C"/>
    <w:rsid w:val="000F7576"/>
    <w:rsid w:val="000F7603"/>
    <w:rsid w:val="000F7BAF"/>
    <w:rsid w:val="000F7F60"/>
    <w:rsid w:val="00100361"/>
    <w:rsid w:val="00101705"/>
    <w:rsid w:val="00101A73"/>
    <w:rsid w:val="0010212F"/>
    <w:rsid w:val="00102473"/>
    <w:rsid w:val="0010268D"/>
    <w:rsid w:val="00102CA4"/>
    <w:rsid w:val="00102DFF"/>
    <w:rsid w:val="001037BA"/>
    <w:rsid w:val="00103A7A"/>
    <w:rsid w:val="001047A0"/>
    <w:rsid w:val="00104DFB"/>
    <w:rsid w:val="00105150"/>
    <w:rsid w:val="001059AD"/>
    <w:rsid w:val="00105E1F"/>
    <w:rsid w:val="00106445"/>
    <w:rsid w:val="00106818"/>
    <w:rsid w:val="001074EB"/>
    <w:rsid w:val="00107AC0"/>
    <w:rsid w:val="00110124"/>
    <w:rsid w:val="00110378"/>
    <w:rsid w:val="00110578"/>
    <w:rsid w:val="00110784"/>
    <w:rsid w:val="00110EE2"/>
    <w:rsid w:val="00111050"/>
    <w:rsid w:val="001113A6"/>
    <w:rsid w:val="00111B17"/>
    <w:rsid w:val="00111C68"/>
    <w:rsid w:val="00112076"/>
    <w:rsid w:val="00112530"/>
    <w:rsid w:val="00113695"/>
    <w:rsid w:val="001141A9"/>
    <w:rsid w:val="0011564B"/>
    <w:rsid w:val="00115CFE"/>
    <w:rsid w:val="00115F1E"/>
    <w:rsid w:val="00116C4F"/>
    <w:rsid w:val="00117E96"/>
    <w:rsid w:val="00117FDC"/>
    <w:rsid w:val="001204B0"/>
    <w:rsid w:val="0012092E"/>
    <w:rsid w:val="00121089"/>
    <w:rsid w:val="00121D31"/>
    <w:rsid w:val="00121F3F"/>
    <w:rsid w:val="001229EB"/>
    <w:rsid w:val="00122F8A"/>
    <w:rsid w:val="0012333D"/>
    <w:rsid w:val="00123363"/>
    <w:rsid w:val="00124118"/>
    <w:rsid w:val="0012453A"/>
    <w:rsid w:val="00124764"/>
    <w:rsid w:val="00124C10"/>
    <w:rsid w:val="00124CF9"/>
    <w:rsid w:val="00124F31"/>
    <w:rsid w:val="0012516E"/>
    <w:rsid w:val="001252BC"/>
    <w:rsid w:val="0012566C"/>
    <w:rsid w:val="00125786"/>
    <w:rsid w:val="00125AD2"/>
    <w:rsid w:val="001264F5"/>
    <w:rsid w:val="00126C77"/>
    <w:rsid w:val="00126CC4"/>
    <w:rsid w:val="00126F5E"/>
    <w:rsid w:val="001271FD"/>
    <w:rsid w:val="00127895"/>
    <w:rsid w:val="00127958"/>
    <w:rsid w:val="0012797A"/>
    <w:rsid w:val="00127CB0"/>
    <w:rsid w:val="00127E97"/>
    <w:rsid w:val="001301D3"/>
    <w:rsid w:val="001301DC"/>
    <w:rsid w:val="00130231"/>
    <w:rsid w:val="00130D5C"/>
    <w:rsid w:val="00130DEB"/>
    <w:rsid w:val="0013245D"/>
    <w:rsid w:val="001327C6"/>
    <w:rsid w:val="00132A87"/>
    <w:rsid w:val="00132E06"/>
    <w:rsid w:val="00132EBD"/>
    <w:rsid w:val="00133022"/>
    <w:rsid w:val="00134554"/>
    <w:rsid w:val="0013467A"/>
    <w:rsid w:val="001348A6"/>
    <w:rsid w:val="00134FDA"/>
    <w:rsid w:val="00135699"/>
    <w:rsid w:val="00136286"/>
    <w:rsid w:val="001365B2"/>
    <w:rsid w:val="001375A2"/>
    <w:rsid w:val="00137909"/>
    <w:rsid w:val="001379A0"/>
    <w:rsid w:val="00137FAF"/>
    <w:rsid w:val="00140242"/>
    <w:rsid w:val="00140CC1"/>
    <w:rsid w:val="00140D6D"/>
    <w:rsid w:val="001410B1"/>
    <w:rsid w:val="00141240"/>
    <w:rsid w:val="0014127D"/>
    <w:rsid w:val="001413CB"/>
    <w:rsid w:val="001415AA"/>
    <w:rsid w:val="001418EC"/>
    <w:rsid w:val="00141DE8"/>
    <w:rsid w:val="001422D9"/>
    <w:rsid w:val="001427CF"/>
    <w:rsid w:val="00142B02"/>
    <w:rsid w:val="00143A83"/>
    <w:rsid w:val="00143D95"/>
    <w:rsid w:val="0014409D"/>
    <w:rsid w:val="00144674"/>
    <w:rsid w:val="00144CB2"/>
    <w:rsid w:val="001452C0"/>
    <w:rsid w:val="001458E6"/>
    <w:rsid w:val="00145D41"/>
    <w:rsid w:val="00145D90"/>
    <w:rsid w:val="001460F4"/>
    <w:rsid w:val="00146F58"/>
    <w:rsid w:val="00147172"/>
    <w:rsid w:val="001479EE"/>
    <w:rsid w:val="00150545"/>
    <w:rsid w:val="00150ACB"/>
    <w:rsid w:val="0015143B"/>
    <w:rsid w:val="0015176E"/>
    <w:rsid w:val="0015292E"/>
    <w:rsid w:val="00152D46"/>
    <w:rsid w:val="0015321D"/>
    <w:rsid w:val="00153A15"/>
    <w:rsid w:val="00153C1D"/>
    <w:rsid w:val="00153E50"/>
    <w:rsid w:val="001541D4"/>
    <w:rsid w:val="001543B4"/>
    <w:rsid w:val="00154667"/>
    <w:rsid w:val="00154718"/>
    <w:rsid w:val="0015566B"/>
    <w:rsid w:val="001556D1"/>
    <w:rsid w:val="00155BC0"/>
    <w:rsid w:val="00156188"/>
    <w:rsid w:val="00156517"/>
    <w:rsid w:val="00156EA4"/>
    <w:rsid w:val="001577B7"/>
    <w:rsid w:val="00160483"/>
    <w:rsid w:val="00160CA9"/>
    <w:rsid w:val="00160D00"/>
    <w:rsid w:val="00161A51"/>
    <w:rsid w:val="00161D2F"/>
    <w:rsid w:val="00161E5F"/>
    <w:rsid w:val="00161E94"/>
    <w:rsid w:val="00161F5C"/>
    <w:rsid w:val="0016212E"/>
    <w:rsid w:val="00162466"/>
    <w:rsid w:val="00162B10"/>
    <w:rsid w:val="0016315A"/>
    <w:rsid w:val="001634A7"/>
    <w:rsid w:val="00163E46"/>
    <w:rsid w:val="001641EA"/>
    <w:rsid w:val="001654F2"/>
    <w:rsid w:val="00165DD0"/>
    <w:rsid w:val="00165ED7"/>
    <w:rsid w:val="001661BD"/>
    <w:rsid w:val="0016671F"/>
    <w:rsid w:val="001670FB"/>
    <w:rsid w:val="00167738"/>
    <w:rsid w:val="00167D38"/>
    <w:rsid w:val="00170BC4"/>
    <w:rsid w:val="00171134"/>
    <w:rsid w:val="001713B1"/>
    <w:rsid w:val="0017156F"/>
    <w:rsid w:val="001715F5"/>
    <w:rsid w:val="00171A75"/>
    <w:rsid w:val="00171A8D"/>
    <w:rsid w:val="001722B7"/>
    <w:rsid w:val="001739C1"/>
    <w:rsid w:val="00173B07"/>
    <w:rsid w:val="00174DF9"/>
    <w:rsid w:val="001752E6"/>
    <w:rsid w:val="0017560F"/>
    <w:rsid w:val="001769C0"/>
    <w:rsid w:val="00176C36"/>
    <w:rsid w:val="001774E7"/>
    <w:rsid w:val="00177C68"/>
    <w:rsid w:val="00180946"/>
    <w:rsid w:val="00180BF6"/>
    <w:rsid w:val="00180C89"/>
    <w:rsid w:val="00180DFC"/>
    <w:rsid w:val="001814DD"/>
    <w:rsid w:val="00181C7B"/>
    <w:rsid w:val="00182592"/>
    <w:rsid w:val="00182BD9"/>
    <w:rsid w:val="00182EED"/>
    <w:rsid w:val="001830E0"/>
    <w:rsid w:val="00183761"/>
    <w:rsid w:val="001839F4"/>
    <w:rsid w:val="00183E4C"/>
    <w:rsid w:val="0018405C"/>
    <w:rsid w:val="001842FC"/>
    <w:rsid w:val="00184A8F"/>
    <w:rsid w:val="00185230"/>
    <w:rsid w:val="001862CF"/>
    <w:rsid w:val="0018654A"/>
    <w:rsid w:val="001865D7"/>
    <w:rsid w:val="00186698"/>
    <w:rsid w:val="00187496"/>
    <w:rsid w:val="0018760F"/>
    <w:rsid w:val="0018789B"/>
    <w:rsid w:val="00187A71"/>
    <w:rsid w:val="0019032E"/>
    <w:rsid w:val="00191ACA"/>
    <w:rsid w:val="00191EF5"/>
    <w:rsid w:val="001926DE"/>
    <w:rsid w:val="001927F6"/>
    <w:rsid w:val="001936E8"/>
    <w:rsid w:val="00193AAF"/>
    <w:rsid w:val="00193E00"/>
    <w:rsid w:val="00194441"/>
    <w:rsid w:val="001949CD"/>
    <w:rsid w:val="00195448"/>
    <w:rsid w:val="001955D9"/>
    <w:rsid w:val="00195EB4"/>
    <w:rsid w:val="00196423"/>
    <w:rsid w:val="0019643C"/>
    <w:rsid w:val="00196765"/>
    <w:rsid w:val="00196D2D"/>
    <w:rsid w:val="00196FDD"/>
    <w:rsid w:val="00197862"/>
    <w:rsid w:val="00197AE7"/>
    <w:rsid w:val="00197B77"/>
    <w:rsid w:val="00197C3F"/>
    <w:rsid w:val="00197E93"/>
    <w:rsid w:val="00197EAE"/>
    <w:rsid w:val="001A03F6"/>
    <w:rsid w:val="001A06FA"/>
    <w:rsid w:val="001A0A58"/>
    <w:rsid w:val="001A0BFA"/>
    <w:rsid w:val="001A1645"/>
    <w:rsid w:val="001A1CD1"/>
    <w:rsid w:val="001A247C"/>
    <w:rsid w:val="001A3B99"/>
    <w:rsid w:val="001A3DE1"/>
    <w:rsid w:val="001A4430"/>
    <w:rsid w:val="001A48DE"/>
    <w:rsid w:val="001A50B5"/>
    <w:rsid w:val="001A576E"/>
    <w:rsid w:val="001A63D1"/>
    <w:rsid w:val="001A7155"/>
    <w:rsid w:val="001A762F"/>
    <w:rsid w:val="001A79EB"/>
    <w:rsid w:val="001B0557"/>
    <w:rsid w:val="001B07C0"/>
    <w:rsid w:val="001B0ABA"/>
    <w:rsid w:val="001B121C"/>
    <w:rsid w:val="001B161C"/>
    <w:rsid w:val="001B170F"/>
    <w:rsid w:val="001B19CC"/>
    <w:rsid w:val="001B1B41"/>
    <w:rsid w:val="001B213F"/>
    <w:rsid w:val="001B2957"/>
    <w:rsid w:val="001B2B0F"/>
    <w:rsid w:val="001B32CB"/>
    <w:rsid w:val="001B35B1"/>
    <w:rsid w:val="001B38AC"/>
    <w:rsid w:val="001B4353"/>
    <w:rsid w:val="001B4C53"/>
    <w:rsid w:val="001B4E28"/>
    <w:rsid w:val="001B5CF0"/>
    <w:rsid w:val="001B6A2D"/>
    <w:rsid w:val="001B6E8D"/>
    <w:rsid w:val="001B77DD"/>
    <w:rsid w:val="001B7BBB"/>
    <w:rsid w:val="001B7E71"/>
    <w:rsid w:val="001C0A0B"/>
    <w:rsid w:val="001C0C24"/>
    <w:rsid w:val="001C0F3E"/>
    <w:rsid w:val="001C100C"/>
    <w:rsid w:val="001C10E8"/>
    <w:rsid w:val="001C1EE1"/>
    <w:rsid w:val="001C300C"/>
    <w:rsid w:val="001C363F"/>
    <w:rsid w:val="001C4138"/>
    <w:rsid w:val="001C476B"/>
    <w:rsid w:val="001C4B19"/>
    <w:rsid w:val="001C505A"/>
    <w:rsid w:val="001C5DC0"/>
    <w:rsid w:val="001C6784"/>
    <w:rsid w:val="001C688B"/>
    <w:rsid w:val="001C6C86"/>
    <w:rsid w:val="001C7084"/>
    <w:rsid w:val="001C758E"/>
    <w:rsid w:val="001C7C0F"/>
    <w:rsid w:val="001D012F"/>
    <w:rsid w:val="001D064B"/>
    <w:rsid w:val="001D0A2E"/>
    <w:rsid w:val="001D11C0"/>
    <w:rsid w:val="001D1555"/>
    <w:rsid w:val="001D16F9"/>
    <w:rsid w:val="001D25C8"/>
    <w:rsid w:val="001D25F8"/>
    <w:rsid w:val="001D2859"/>
    <w:rsid w:val="001D2934"/>
    <w:rsid w:val="001D363D"/>
    <w:rsid w:val="001D3B77"/>
    <w:rsid w:val="001D4366"/>
    <w:rsid w:val="001D4382"/>
    <w:rsid w:val="001D43E2"/>
    <w:rsid w:val="001D5F30"/>
    <w:rsid w:val="001D656F"/>
    <w:rsid w:val="001D6AFF"/>
    <w:rsid w:val="001D6B9F"/>
    <w:rsid w:val="001D73B0"/>
    <w:rsid w:val="001D787D"/>
    <w:rsid w:val="001E03B6"/>
    <w:rsid w:val="001E040D"/>
    <w:rsid w:val="001E0452"/>
    <w:rsid w:val="001E048A"/>
    <w:rsid w:val="001E0B96"/>
    <w:rsid w:val="001E149E"/>
    <w:rsid w:val="001E1B34"/>
    <w:rsid w:val="001E241A"/>
    <w:rsid w:val="001E256B"/>
    <w:rsid w:val="001E27A9"/>
    <w:rsid w:val="001E2A62"/>
    <w:rsid w:val="001E302C"/>
    <w:rsid w:val="001E314B"/>
    <w:rsid w:val="001E32C6"/>
    <w:rsid w:val="001E3C1A"/>
    <w:rsid w:val="001E4092"/>
    <w:rsid w:val="001E41AF"/>
    <w:rsid w:val="001E41CF"/>
    <w:rsid w:val="001E4AC8"/>
    <w:rsid w:val="001E567C"/>
    <w:rsid w:val="001E5A31"/>
    <w:rsid w:val="001E60AE"/>
    <w:rsid w:val="001E6232"/>
    <w:rsid w:val="001E63FB"/>
    <w:rsid w:val="001E77F4"/>
    <w:rsid w:val="001F030A"/>
    <w:rsid w:val="001F0B63"/>
    <w:rsid w:val="001F143A"/>
    <w:rsid w:val="001F193F"/>
    <w:rsid w:val="001F19C7"/>
    <w:rsid w:val="001F1B22"/>
    <w:rsid w:val="001F1E0B"/>
    <w:rsid w:val="001F2819"/>
    <w:rsid w:val="001F2C57"/>
    <w:rsid w:val="001F2D3F"/>
    <w:rsid w:val="001F2DE1"/>
    <w:rsid w:val="001F3301"/>
    <w:rsid w:val="001F351D"/>
    <w:rsid w:val="001F399A"/>
    <w:rsid w:val="001F3C53"/>
    <w:rsid w:val="001F45EC"/>
    <w:rsid w:val="001F4E62"/>
    <w:rsid w:val="001F510F"/>
    <w:rsid w:val="001F52D5"/>
    <w:rsid w:val="001F53AE"/>
    <w:rsid w:val="001F5B37"/>
    <w:rsid w:val="001F631C"/>
    <w:rsid w:val="001F7350"/>
    <w:rsid w:val="001F7C46"/>
    <w:rsid w:val="00200788"/>
    <w:rsid w:val="0020089E"/>
    <w:rsid w:val="0020096B"/>
    <w:rsid w:val="002017C2"/>
    <w:rsid w:val="00201D76"/>
    <w:rsid w:val="00201FE7"/>
    <w:rsid w:val="00202E5E"/>
    <w:rsid w:val="00203461"/>
    <w:rsid w:val="002036E2"/>
    <w:rsid w:val="00203E2B"/>
    <w:rsid w:val="002043EC"/>
    <w:rsid w:val="00204F4C"/>
    <w:rsid w:val="00205641"/>
    <w:rsid w:val="002058F5"/>
    <w:rsid w:val="00205F60"/>
    <w:rsid w:val="002060B5"/>
    <w:rsid w:val="002067AF"/>
    <w:rsid w:val="00206B0C"/>
    <w:rsid w:val="00206E18"/>
    <w:rsid w:val="00207109"/>
    <w:rsid w:val="0020718F"/>
    <w:rsid w:val="002074AC"/>
    <w:rsid w:val="00210D11"/>
    <w:rsid w:val="00211096"/>
    <w:rsid w:val="0021159D"/>
    <w:rsid w:val="002115BB"/>
    <w:rsid w:val="0021235F"/>
    <w:rsid w:val="00212DB3"/>
    <w:rsid w:val="002130FA"/>
    <w:rsid w:val="00213554"/>
    <w:rsid w:val="00213741"/>
    <w:rsid w:val="002139EA"/>
    <w:rsid w:val="00213DF0"/>
    <w:rsid w:val="00215CAD"/>
    <w:rsid w:val="00216459"/>
    <w:rsid w:val="002169E5"/>
    <w:rsid w:val="00216C84"/>
    <w:rsid w:val="00216EB6"/>
    <w:rsid w:val="00217089"/>
    <w:rsid w:val="00217100"/>
    <w:rsid w:val="00220A16"/>
    <w:rsid w:val="00220A61"/>
    <w:rsid w:val="00220EEF"/>
    <w:rsid w:val="00221124"/>
    <w:rsid w:val="00221A9A"/>
    <w:rsid w:val="00222076"/>
    <w:rsid w:val="00222738"/>
    <w:rsid w:val="00222D40"/>
    <w:rsid w:val="0022303F"/>
    <w:rsid w:val="00223CF3"/>
    <w:rsid w:val="00223E9D"/>
    <w:rsid w:val="00223FFF"/>
    <w:rsid w:val="00224035"/>
    <w:rsid w:val="002240F3"/>
    <w:rsid w:val="00224351"/>
    <w:rsid w:val="00224ED1"/>
    <w:rsid w:val="00224F66"/>
    <w:rsid w:val="00224F9A"/>
    <w:rsid w:val="002252C3"/>
    <w:rsid w:val="00225534"/>
    <w:rsid w:val="00225EC6"/>
    <w:rsid w:val="00226114"/>
    <w:rsid w:val="0022643F"/>
    <w:rsid w:val="0022657D"/>
    <w:rsid w:val="00227DB5"/>
    <w:rsid w:val="00230907"/>
    <w:rsid w:val="00231759"/>
    <w:rsid w:val="00232ADA"/>
    <w:rsid w:val="0023305A"/>
    <w:rsid w:val="0023321A"/>
    <w:rsid w:val="00233A95"/>
    <w:rsid w:val="0023452B"/>
    <w:rsid w:val="0023463B"/>
    <w:rsid w:val="00235D99"/>
    <w:rsid w:val="00236FF0"/>
    <w:rsid w:val="002370CD"/>
    <w:rsid w:val="00240786"/>
    <w:rsid w:val="00240D8E"/>
    <w:rsid w:val="002411F6"/>
    <w:rsid w:val="00242787"/>
    <w:rsid w:val="00242BDB"/>
    <w:rsid w:val="002433F3"/>
    <w:rsid w:val="002434D2"/>
    <w:rsid w:val="00243D9E"/>
    <w:rsid w:val="00243DC0"/>
    <w:rsid w:val="0024446C"/>
    <w:rsid w:val="00244980"/>
    <w:rsid w:val="00244BE1"/>
    <w:rsid w:val="00244C2E"/>
    <w:rsid w:val="002451D8"/>
    <w:rsid w:val="00245EF2"/>
    <w:rsid w:val="002460DA"/>
    <w:rsid w:val="002461EE"/>
    <w:rsid w:val="0024662A"/>
    <w:rsid w:val="00246828"/>
    <w:rsid w:val="002469E6"/>
    <w:rsid w:val="002472EC"/>
    <w:rsid w:val="00247477"/>
    <w:rsid w:val="0024761A"/>
    <w:rsid w:val="00247816"/>
    <w:rsid w:val="00247C07"/>
    <w:rsid w:val="002506B7"/>
    <w:rsid w:val="00250D0C"/>
    <w:rsid w:val="00250EE5"/>
    <w:rsid w:val="00250EEA"/>
    <w:rsid w:val="00251206"/>
    <w:rsid w:val="00251BD3"/>
    <w:rsid w:val="002525D6"/>
    <w:rsid w:val="00252ACE"/>
    <w:rsid w:val="00252DB0"/>
    <w:rsid w:val="00252E58"/>
    <w:rsid w:val="00253029"/>
    <w:rsid w:val="0025334D"/>
    <w:rsid w:val="00253435"/>
    <w:rsid w:val="00253626"/>
    <w:rsid w:val="0025491E"/>
    <w:rsid w:val="00254DB7"/>
    <w:rsid w:val="002561FE"/>
    <w:rsid w:val="002568EA"/>
    <w:rsid w:val="00257134"/>
    <w:rsid w:val="002573A5"/>
    <w:rsid w:val="00257483"/>
    <w:rsid w:val="00257D4D"/>
    <w:rsid w:val="00260077"/>
    <w:rsid w:val="0026050C"/>
    <w:rsid w:val="0026079F"/>
    <w:rsid w:val="00260AD1"/>
    <w:rsid w:val="00260CD9"/>
    <w:rsid w:val="002615F5"/>
    <w:rsid w:val="002621C9"/>
    <w:rsid w:val="00262870"/>
    <w:rsid w:val="00263619"/>
    <w:rsid w:val="00263752"/>
    <w:rsid w:val="00263D1B"/>
    <w:rsid w:val="002640D0"/>
    <w:rsid w:val="00264662"/>
    <w:rsid w:val="002651B6"/>
    <w:rsid w:val="00265FCD"/>
    <w:rsid w:val="00266130"/>
    <w:rsid w:val="002665FF"/>
    <w:rsid w:val="00266707"/>
    <w:rsid w:val="00267FB7"/>
    <w:rsid w:val="00270440"/>
    <w:rsid w:val="0027056C"/>
    <w:rsid w:val="00270C0A"/>
    <w:rsid w:val="00270E8A"/>
    <w:rsid w:val="00271289"/>
    <w:rsid w:val="002715C2"/>
    <w:rsid w:val="00271FE9"/>
    <w:rsid w:val="00272303"/>
    <w:rsid w:val="0027246F"/>
    <w:rsid w:val="00273B67"/>
    <w:rsid w:val="0027489B"/>
    <w:rsid w:val="00274BCA"/>
    <w:rsid w:val="002753AA"/>
    <w:rsid w:val="00275430"/>
    <w:rsid w:val="002754C3"/>
    <w:rsid w:val="002755E9"/>
    <w:rsid w:val="0027569D"/>
    <w:rsid w:val="00275957"/>
    <w:rsid w:val="00277428"/>
    <w:rsid w:val="00277722"/>
    <w:rsid w:val="00277D3E"/>
    <w:rsid w:val="00280440"/>
    <w:rsid w:val="00280944"/>
    <w:rsid w:val="002809F5"/>
    <w:rsid w:val="0028165B"/>
    <w:rsid w:val="00281AFD"/>
    <w:rsid w:val="0028341A"/>
    <w:rsid w:val="00283B46"/>
    <w:rsid w:val="0028404A"/>
    <w:rsid w:val="002848C3"/>
    <w:rsid w:val="00284D8D"/>
    <w:rsid w:val="0028579D"/>
    <w:rsid w:val="00286A4B"/>
    <w:rsid w:val="00286B06"/>
    <w:rsid w:val="00286FEE"/>
    <w:rsid w:val="00287095"/>
    <w:rsid w:val="002870C0"/>
    <w:rsid w:val="00287397"/>
    <w:rsid w:val="002877D1"/>
    <w:rsid w:val="00287BC5"/>
    <w:rsid w:val="002906E7"/>
    <w:rsid w:val="002907F8"/>
    <w:rsid w:val="002908CD"/>
    <w:rsid w:val="00290BBB"/>
    <w:rsid w:val="00292ACC"/>
    <w:rsid w:val="00292BF3"/>
    <w:rsid w:val="002931AD"/>
    <w:rsid w:val="002937E0"/>
    <w:rsid w:val="002938A7"/>
    <w:rsid w:val="00293AC9"/>
    <w:rsid w:val="00293DEE"/>
    <w:rsid w:val="00293F55"/>
    <w:rsid w:val="00294120"/>
    <w:rsid w:val="002942E0"/>
    <w:rsid w:val="002943CC"/>
    <w:rsid w:val="00294EE7"/>
    <w:rsid w:val="0029584A"/>
    <w:rsid w:val="002959A7"/>
    <w:rsid w:val="002959FD"/>
    <w:rsid w:val="00295CF3"/>
    <w:rsid w:val="002965CE"/>
    <w:rsid w:val="002966DF"/>
    <w:rsid w:val="00296761"/>
    <w:rsid w:val="00296833"/>
    <w:rsid w:val="00296896"/>
    <w:rsid w:val="002968DF"/>
    <w:rsid w:val="00297440"/>
    <w:rsid w:val="00297754"/>
    <w:rsid w:val="0029776B"/>
    <w:rsid w:val="00297D4F"/>
    <w:rsid w:val="00297FBB"/>
    <w:rsid w:val="002A09A7"/>
    <w:rsid w:val="002A0A17"/>
    <w:rsid w:val="002A0B5D"/>
    <w:rsid w:val="002A0CC0"/>
    <w:rsid w:val="002A15DA"/>
    <w:rsid w:val="002A2156"/>
    <w:rsid w:val="002A2AFC"/>
    <w:rsid w:val="002A2C46"/>
    <w:rsid w:val="002A311D"/>
    <w:rsid w:val="002A3212"/>
    <w:rsid w:val="002A335D"/>
    <w:rsid w:val="002A3F72"/>
    <w:rsid w:val="002A41A4"/>
    <w:rsid w:val="002A4509"/>
    <w:rsid w:val="002A4E7F"/>
    <w:rsid w:val="002A5B33"/>
    <w:rsid w:val="002A5FFB"/>
    <w:rsid w:val="002A6544"/>
    <w:rsid w:val="002A66BB"/>
    <w:rsid w:val="002A6986"/>
    <w:rsid w:val="002A758C"/>
    <w:rsid w:val="002A7751"/>
    <w:rsid w:val="002A793C"/>
    <w:rsid w:val="002B15B1"/>
    <w:rsid w:val="002B18FE"/>
    <w:rsid w:val="002B1A63"/>
    <w:rsid w:val="002B26A1"/>
    <w:rsid w:val="002B29BC"/>
    <w:rsid w:val="002B2CFE"/>
    <w:rsid w:val="002B44C4"/>
    <w:rsid w:val="002B4C2A"/>
    <w:rsid w:val="002B4C7F"/>
    <w:rsid w:val="002B4D16"/>
    <w:rsid w:val="002B4F0C"/>
    <w:rsid w:val="002B5232"/>
    <w:rsid w:val="002B5667"/>
    <w:rsid w:val="002B5F0D"/>
    <w:rsid w:val="002B6925"/>
    <w:rsid w:val="002C06C5"/>
    <w:rsid w:val="002C0A42"/>
    <w:rsid w:val="002C0D82"/>
    <w:rsid w:val="002C1B52"/>
    <w:rsid w:val="002C1C2E"/>
    <w:rsid w:val="002C1CBB"/>
    <w:rsid w:val="002C24F4"/>
    <w:rsid w:val="002C36E4"/>
    <w:rsid w:val="002C3A81"/>
    <w:rsid w:val="002C3AFD"/>
    <w:rsid w:val="002C3CB5"/>
    <w:rsid w:val="002C3E19"/>
    <w:rsid w:val="002C3EA1"/>
    <w:rsid w:val="002C4064"/>
    <w:rsid w:val="002C4113"/>
    <w:rsid w:val="002C4CEB"/>
    <w:rsid w:val="002C4D03"/>
    <w:rsid w:val="002C4ED0"/>
    <w:rsid w:val="002C5189"/>
    <w:rsid w:val="002C710A"/>
    <w:rsid w:val="002C730E"/>
    <w:rsid w:val="002C7650"/>
    <w:rsid w:val="002C788F"/>
    <w:rsid w:val="002C791C"/>
    <w:rsid w:val="002C7EBF"/>
    <w:rsid w:val="002C7F32"/>
    <w:rsid w:val="002C7FE8"/>
    <w:rsid w:val="002C7FE9"/>
    <w:rsid w:val="002D072F"/>
    <w:rsid w:val="002D0830"/>
    <w:rsid w:val="002D0966"/>
    <w:rsid w:val="002D0971"/>
    <w:rsid w:val="002D0C78"/>
    <w:rsid w:val="002D0DC5"/>
    <w:rsid w:val="002D15CB"/>
    <w:rsid w:val="002D23BD"/>
    <w:rsid w:val="002D2896"/>
    <w:rsid w:val="002D362F"/>
    <w:rsid w:val="002D3B85"/>
    <w:rsid w:val="002D3C27"/>
    <w:rsid w:val="002D3DB4"/>
    <w:rsid w:val="002D416C"/>
    <w:rsid w:val="002D4578"/>
    <w:rsid w:val="002D46F4"/>
    <w:rsid w:val="002D4EFD"/>
    <w:rsid w:val="002D4F1F"/>
    <w:rsid w:val="002D5EA2"/>
    <w:rsid w:val="002D5F86"/>
    <w:rsid w:val="002D6509"/>
    <w:rsid w:val="002D78E3"/>
    <w:rsid w:val="002D7E16"/>
    <w:rsid w:val="002E0048"/>
    <w:rsid w:val="002E0D49"/>
    <w:rsid w:val="002E0D7F"/>
    <w:rsid w:val="002E0EA0"/>
    <w:rsid w:val="002E1899"/>
    <w:rsid w:val="002E242B"/>
    <w:rsid w:val="002E31EE"/>
    <w:rsid w:val="002E354E"/>
    <w:rsid w:val="002E3B68"/>
    <w:rsid w:val="002E3D8C"/>
    <w:rsid w:val="002E3DDD"/>
    <w:rsid w:val="002E417F"/>
    <w:rsid w:val="002E4BDA"/>
    <w:rsid w:val="002E4C51"/>
    <w:rsid w:val="002E532D"/>
    <w:rsid w:val="002E5896"/>
    <w:rsid w:val="002E5939"/>
    <w:rsid w:val="002E655B"/>
    <w:rsid w:val="002E6EAC"/>
    <w:rsid w:val="002E724B"/>
    <w:rsid w:val="002E737E"/>
    <w:rsid w:val="002E7834"/>
    <w:rsid w:val="002E7D25"/>
    <w:rsid w:val="002F05B1"/>
    <w:rsid w:val="002F0D5C"/>
    <w:rsid w:val="002F11D4"/>
    <w:rsid w:val="002F1A75"/>
    <w:rsid w:val="002F1E57"/>
    <w:rsid w:val="002F2101"/>
    <w:rsid w:val="002F21D4"/>
    <w:rsid w:val="002F2627"/>
    <w:rsid w:val="002F270D"/>
    <w:rsid w:val="002F32C8"/>
    <w:rsid w:val="002F37FC"/>
    <w:rsid w:val="002F40F2"/>
    <w:rsid w:val="002F4696"/>
    <w:rsid w:val="002F4F12"/>
    <w:rsid w:val="002F4F56"/>
    <w:rsid w:val="002F58D1"/>
    <w:rsid w:val="002F5B00"/>
    <w:rsid w:val="002F62D2"/>
    <w:rsid w:val="002F6681"/>
    <w:rsid w:val="002F6821"/>
    <w:rsid w:val="002F713E"/>
    <w:rsid w:val="002F7349"/>
    <w:rsid w:val="002F787D"/>
    <w:rsid w:val="002F7BCB"/>
    <w:rsid w:val="0030038F"/>
    <w:rsid w:val="003007B9"/>
    <w:rsid w:val="00300C72"/>
    <w:rsid w:val="003010DC"/>
    <w:rsid w:val="003013C8"/>
    <w:rsid w:val="00301FC1"/>
    <w:rsid w:val="00302A9B"/>
    <w:rsid w:val="00302D59"/>
    <w:rsid w:val="00302E1B"/>
    <w:rsid w:val="0030373D"/>
    <w:rsid w:val="00304092"/>
    <w:rsid w:val="0030458D"/>
    <w:rsid w:val="00304A3D"/>
    <w:rsid w:val="00304D27"/>
    <w:rsid w:val="00304DFE"/>
    <w:rsid w:val="003051B7"/>
    <w:rsid w:val="00305C4A"/>
    <w:rsid w:val="003061AB"/>
    <w:rsid w:val="0030624F"/>
    <w:rsid w:val="003063CC"/>
    <w:rsid w:val="003078EA"/>
    <w:rsid w:val="0030799C"/>
    <w:rsid w:val="00310863"/>
    <w:rsid w:val="00310B83"/>
    <w:rsid w:val="00310DDA"/>
    <w:rsid w:val="00311306"/>
    <w:rsid w:val="00312409"/>
    <w:rsid w:val="0031241E"/>
    <w:rsid w:val="00312B9C"/>
    <w:rsid w:val="0031309C"/>
    <w:rsid w:val="00313781"/>
    <w:rsid w:val="003139F6"/>
    <w:rsid w:val="00313B4F"/>
    <w:rsid w:val="003144F3"/>
    <w:rsid w:val="0031463D"/>
    <w:rsid w:val="00314CC2"/>
    <w:rsid w:val="00314F71"/>
    <w:rsid w:val="00315067"/>
    <w:rsid w:val="003151F5"/>
    <w:rsid w:val="00315A97"/>
    <w:rsid w:val="00315C80"/>
    <w:rsid w:val="00316071"/>
    <w:rsid w:val="00316D35"/>
    <w:rsid w:val="00317573"/>
    <w:rsid w:val="00317759"/>
    <w:rsid w:val="00317CC0"/>
    <w:rsid w:val="003200EB"/>
    <w:rsid w:val="0032157F"/>
    <w:rsid w:val="00321B60"/>
    <w:rsid w:val="0032214D"/>
    <w:rsid w:val="003222FE"/>
    <w:rsid w:val="003226E6"/>
    <w:rsid w:val="00322C63"/>
    <w:rsid w:val="003231E9"/>
    <w:rsid w:val="00323639"/>
    <w:rsid w:val="00323756"/>
    <w:rsid w:val="00323928"/>
    <w:rsid w:val="00323DCD"/>
    <w:rsid w:val="0032536B"/>
    <w:rsid w:val="00325FE3"/>
    <w:rsid w:val="00326A0F"/>
    <w:rsid w:val="0032729D"/>
    <w:rsid w:val="003273AA"/>
    <w:rsid w:val="00327A7C"/>
    <w:rsid w:val="00327C4B"/>
    <w:rsid w:val="00330191"/>
    <w:rsid w:val="00330677"/>
    <w:rsid w:val="00331782"/>
    <w:rsid w:val="00331966"/>
    <w:rsid w:val="00332117"/>
    <w:rsid w:val="00332171"/>
    <w:rsid w:val="00332AEC"/>
    <w:rsid w:val="003332AC"/>
    <w:rsid w:val="003333C4"/>
    <w:rsid w:val="00333D53"/>
    <w:rsid w:val="0033418C"/>
    <w:rsid w:val="0033429E"/>
    <w:rsid w:val="00334A62"/>
    <w:rsid w:val="00334E5D"/>
    <w:rsid w:val="00335058"/>
    <w:rsid w:val="0033577E"/>
    <w:rsid w:val="00335B58"/>
    <w:rsid w:val="00335B9A"/>
    <w:rsid w:val="00335F46"/>
    <w:rsid w:val="003362A5"/>
    <w:rsid w:val="003362AD"/>
    <w:rsid w:val="003363B9"/>
    <w:rsid w:val="00336E32"/>
    <w:rsid w:val="00337360"/>
    <w:rsid w:val="003374D5"/>
    <w:rsid w:val="003376BD"/>
    <w:rsid w:val="0034022E"/>
    <w:rsid w:val="003406D8"/>
    <w:rsid w:val="003407D5"/>
    <w:rsid w:val="0034081A"/>
    <w:rsid w:val="003408E8"/>
    <w:rsid w:val="00340CF8"/>
    <w:rsid w:val="0034126B"/>
    <w:rsid w:val="003417A3"/>
    <w:rsid w:val="0034183B"/>
    <w:rsid w:val="00341A27"/>
    <w:rsid w:val="00341C75"/>
    <w:rsid w:val="003422F1"/>
    <w:rsid w:val="00342C08"/>
    <w:rsid w:val="00342F44"/>
    <w:rsid w:val="003436F2"/>
    <w:rsid w:val="0034383A"/>
    <w:rsid w:val="00343847"/>
    <w:rsid w:val="00343B66"/>
    <w:rsid w:val="00343E5C"/>
    <w:rsid w:val="00344550"/>
    <w:rsid w:val="003445A8"/>
    <w:rsid w:val="00344FB8"/>
    <w:rsid w:val="0034501A"/>
    <w:rsid w:val="00345716"/>
    <w:rsid w:val="003459DF"/>
    <w:rsid w:val="00345A63"/>
    <w:rsid w:val="0034650B"/>
    <w:rsid w:val="00346B2A"/>
    <w:rsid w:val="00347728"/>
    <w:rsid w:val="003478D1"/>
    <w:rsid w:val="00347A1F"/>
    <w:rsid w:val="00347B7E"/>
    <w:rsid w:val="00350AFC"/>
    <w:rsid w:val="00350C70"/>
    <w:rsid w:val="0035167C"/>
    <w:rsid w:val="00351B7D"/>
    <w:rsid w:val="00352941"/>
    <w:rsid w:val="003532F9"/>
    <w:rsid w:val="003536EC"/>
    <w:rsid w:val="00353806"/>
    <w:rsid w:val="00353910"/>
    <w:rsid w:val="00354182"/>
    <w:rsid w:val="0035491A"/>
    <w:rsid w:val="00354F24"/>
    <w:rsid w:val="00355802"/>
    <w:rsid w:val="003561CD"/>
    <w:rsid w:val="0035673C"/>
    <w:rsid w:val="0035686E"/>
    <w:rsid w:val="00357997"/>
    <w:rsid w:val="00357A1F"/>
    <w:rsid w:val="0036017B"/>
    <w:rsid w:val="0036051C"/>
    <w:rsid w:val="00360C05"/>
    <w:rsid w:val="003612D0"/>
    <w:rsid w:val="00361412"/>
    <w:rsid w:val="003617A3"/>
    <w:rsid w:val="003620F2"/>
    <w:rsid w:val="00362616"/>
    <w:rsid w:val="0036263F"/>
    <w:rsid w:val="00362748"/>
    <w:rsid w:val="00362755"/>
    <w:rsid w:val="00362BF7"/>
    <w:rsid w:val="003630A5"/>
    <w:rsid w:val="003639E9"/>
    <w:rsid w:val="00363A05"/>
    <w:rsid w:val="00363AA8"/>
    <w:rsid w:val="00363BF3"/>
    <w:rsid w:val="00363F69"/>
    <w:rsid w:val="003643F6"/>
    <w:rsid w:val="00364517"/>
    <w:rsid w:val="00364841"/>
    <w:rsid w:val="003650C0"/>
    <w:rsid w:val="0036515E"/>
    <w:rsid w:val="0036533A"/>
    <w:rsid w:val="003656EF"/>
    <w:rsid w:val="00365713"/>
    <w:rsid w:val="00365AF3"/>
    <w:rsid w:val="00366260"/>
    <w:rsid w:val="00366301"/>
    <w:rsid w:val="003665DF"/>
    <w:rsid w:val="00367573"/>
    <w:rsid w:val="00367798"/>
    <w:rsid w:val="00370249"/>
    <w:rsid w:val="00370336"/>
    <w:rsid w:val="00370CE4"/>
    <w:rsid w:val="00370FD5"/>
    <w:rsid w:val="003714BC"/>
    <w:rsid w:val="00371C37"/>
    <w:rsid w:val="0037227A"/>
    <w:rsid w:val="0037286C"/>
    <w:rsid w:val="00372C30"/>
    <w:rsid w:val="003739AF"/>
    <w:rsid w:val="00373B93"/>
    <w:rsid w:val="00373D8D"/>
    <w:rsid w:val="00373F7A"/>
    <w:rsid w:val="0037405F"/>
    <w:rsid w:val="00374503"/>
    <w:rsid w:val="0037474E"/>
    <w:rsid w:val="00375138"/>
    <w:rsid w:val="003752DA"/>
    <w:rsid w:val="003758C5"/>
    <w:rsid w:val="00375B05"/>
    <w:rsid w:val="00377162"/>
    <w:rsid w:val="003773EA"/>
    <w:rsid w:val="003774BD"/>
    <w:rsid w:val="003775E1"/>
    <w:rsid w:val="00380314"/>
    <w:rsid w:val="0038047D"/>
    <w:rsid w:val="00380CD1"/>
    <w:rsid w:val="00381673"/>
    <w:rsid w:val="00382057"/>
    <w:rsid w:val="00382A0A"/>
    <w:rsid w:val="003831C3"/>
    <w:rsid w:val="00384178"/>
    <w:rsid w:val="00384E6B"/>
    <w:rsid w:val="00385A28"/>
    <w:rsid w:val="00385EAF"/>
    <w:rsid w:val="00385F66"/>
    <w:rsid w:val="003861BF"/>
    <w:rsid w:val="00386205"/>
    <w:rsid w:val="003865E7"/>
    <w:rsid w:val="00386AA1"/>
    <w:rsid w:val="0038708C"/>
    <w:rsid w:val="003872FB"/>
    <w:rsid w:val="00387CD7"/>
    <w:rsid w:val="003905BB"/>
    <w:rsid w:val="00390891"/>
    <w:rsid w:val="00390E0E"/>
    <w:rsid w:val="00390E51"/>
    <w:rsid w:val="0039124D"/>
    <w:rsid w:val="00391AA7"/>
    <w:rsid w:val="00391D3C"/>
    <w:rsid w:val="00392C01"/>
    <w:rsid w:val="003931EC"/>
    <w:rsid w:val="0039339A"/>
    <w:rsid w:val="00393781"/>
    <w:rsid w:val="00393817"/>
    <w:rsid w:val="00394368"/>
    <w:rsid w:val="00394B9F"/>
    <w:rsid w:val="00394E11"/>
    <w:rsid w:val="0039521C"/>
    <w:rsid w:val="00395473"/>
    <w:rsid w:val="00395523"/>
    <w:rsid w:val="0039603E"/>
    <w:rsid w:val="00396187"/>
    <w:rsid w:val="00396435"/>
    <w:rsid w:val="003966D4"/>
    <w:rsid w:val="00396DB5"/>
    <w:rsid w:val="00396DDB"/>
    <w:rsid w:val="00397168"/>
    <w:rsid w:val="003971C0"/>
    <w:rsid w:val="003974CE"/>
    <w:rsid w:val="00397874"/>
    <w:rsid w:val="003A02CA"/>
    <w:rsid w:val="003A06A5"/>
    <w:rsid w:val="003A0F6B"/>
    <w:rsid w:val="003A1108"/>
    <w:rsid w:val="003A1A2F"/>
    <w:rsid w:val="003A1EEF"/>
    <w:rsid w:val="003A22C3"/>
    <w:rsid w:val="003A268A"/>
    <w:rsid w:val="003A2B85"/>
    <w:rsid w:val="003A2FC5"/>
    <w:rsid w:val="003A34D4"/>
    <w:rsid w:val="003A36FE"/>
    <w:rsid w:val="003A38F0"/>
    <w:rsid w:val="003A4307"/>
    <w:rsid w:val="003A537D"/>
    <w:rsid w:val="003A55FF"/>
    <w:rsid w:val="003A58AA"/>
    <w:rsid w:val="003A62CD"/>
    <w:rsid w:val="003A727C"/>
    <w:rsid w:val="003A784B"/>
    <w:rsid w:val="003A7DDC"/>
    <w:rsid w:val="003B08E0"/>
    <w:rsid w:val="003B0F1B"/>
    <w:rsid w:val="003B1A4A"/>
    <w:rsid w:val="003B1C0A"/>
    <w:rsid w:val="003B1E35"/>
    <w:rsid w:val="003B1F23"/>
    <w:rsid w:val="003B1FF1"/>
    <w:rsid w:val="003B2275"/>
    <w:rsid w:val="003B232C"/>
    <w:rsid w:val="003B236D"/>
    <w:rsid w:val="003B24C4"/>
    <w:rsid w:val="003B3468"/>
    <w:rsid w:val="003B3A6A"/>
    <w:rsid w:val="003B3D8E"/>
    <w:rsid w:val="003B3F7F"/>
    <w:rsid w:val="003B447B"/>
    <w:rsid w:val="003B49FB"/>
    <w:rsid w:val="003B52CF"/>
    <w:rsid w:val="003B54ED"/>
    <w:rsid w:val="003B6BEC"/>
    <w:rsid w:val="003B6DF3"/>
    <w:rsid w:val="003B6F20"/>
    <w:rsid w:val="003B7A91"/>
    <w:rsid w:val="003B7FAA"/>
    <w:rsid w:val="003C0605"/>
    <w:rsid w:val="003C0614"/>
    <w:rsid w:val="003C08EA"/>
    <w:rsid w:val="003C0DC2"/>
    <w:rsid w:val="003C0E5D"/>
    <w:rsid w:val="003C0F8B"/>
    <w:rsid w:val="003C1545"/>
    <w:rsid w:val="003C1595"/>
    <w:rsid w:val="003C1FC3"/>
    <w:rsid w:val="003C2903"/>
    <w:rsid w:val="003C2B47"/>
    <w:rsid w:val="003C2B6B"/>
    <w:rsid w:val="003C2CF4"/>
    <w:rsid w:val="003C31EF"/>
    <w:rsid w:val="003C3B33"/>
    <w:rsid w:val="003C426C"/>
    <w:rsid w:val="003C436D"/>
    <w:rsid w:val="003C4845"/>
    <w:rsid w:val="003C4C3E"/>
    <w:rsid w:val="003C5387"/>
    <w:rsid w:val="003C570D"/>
    <w:rsid w:val="003C5860"/>
    <w:rsid w:val="003C5E22"/>
    <w:rsid w:val="003C66C2"/>
    <w:rsid w:val="003C7652"/>
    <w:rsid w:val="003C7A65"/>
    <w:rsid w:val="003C7E05"/>
    <w:rsid w:val="003D0198"/>
    <w:rsid w:val="003D1867"/>
    <w:rsid w:val="003D18E5"/>
    <w:rsid w:val="003D1FF3"/>
    <w:rsid w:val="003D21F7"/>
    <w:rsid w:val="003D35D4"/>
    <w:rsid w:val="003D379D"/>
    <w:rsid w:val="003D3B2D"/>
    <w:rsid w:val="003D3B6A"/>
    <w:rsid w:val="003D439E"/>
    <w:rsid w:val="003D5256"/>
    <w:rsid w:val="003D55BF"/>
    <w:rsid w:val="003D5BF6"/>
    <w:rsid w:val="003D6C3A"/>
    <w:rsid w:val="003D6EDA"/>
    <w:rsid w:val="003D7181"/>
    <w:rsid w:val="003D77D3"/>
    <w:rsid w:val="003D7A3B"/>
    <w:rsid w:val="003D7B72"/>
    <w:rsid w:val="003E10C5"/>
    <w:rsid w:val="003E200C"/>
    <w:rsid w:val="003E29CD"/>
    <w:rsid w:val="003E356D"/>
    <w:rsid w:val="003E3A63"/>
    <w:rsid w:val="003E3BCD"/>
    <w:rsid w:val="003E4027"/>
    <w:rsid w:val="003E4163"/>
    <w:rsid w:val="003E4C85"/>
    <w:rsid w:val="003E4C9B"/>
    <w:rsid w:val="003E520E"/>
    <w:rsid w:val="003E5977"/>
    <w:rsid w:val="003E6803"/>
    <w:rsid w:val="003E6A5C"/>
    <w:rsid w:val="003E6BB6"/>
    <w:rsid w:val="003E6BD1"/>
    <w:rsid w:val="003F03F2"/>
    <w:rsid w:val="003F069A"/>
    <w:rsid w:val="003F0728"/>
    <w:rsid w:val="003F07BD"/>
    <w:rsid w:val="003F16DC"/>
    <w:rsid w:val="003F1B47"/>
    <w:rsid w:val="003F1ED6"/>
    <w:rsid w:val="003F2149"/>
    <w:rsid w:val="003F35CB"/>
    <w:rsid w:val="003F36DA"/>
    <w:rsid w:val="003F3B97"/>
    <w:rsid w:val="003F3F5B"/>
    <w:rsid w:val="003F4116"/>
    <w:rsid w:val="003F4329"/>
    <w:rsid w:val="003F43DF"/>
    <w:rsid w:val="003F470C"/>
    <w:rsid w:val="003F47A9"/>
    <w:rsid w:val="003F59E7"/>
    <w:rsid w:val="003F5D24"/>
    <w:rsid w:val="003F5E1C"/>
    <w:rsid w:val="003F68CD"/>
    <w:rsid w:val="003F68FB"/>
    <w:rsid w:val="003F6AA2"/>
    <w:rsid w:val="003F7BB8"/>
    <w:rsid w:val="003F7E93"/>
    <w:rsid w:val="004001F8"/>
    <w:rsid w:val="00400426"/>
    <w:rsid w:val="004007D4"/>
    <w:rsid w:val="00400CC6"/>
    <w:rsid w:val="00400CE5"/>
    <w:rsid w:val="00401224"/>
    <w:rsid w:val="004016D1"/>
    <w:rsid w:val="004019FB"/>
    <w:rsid w:val="00401DD8"/>
    <w:rsid w:val="00402331"/>
    <w:rsid w:val="00403581"/>
    <w:rsid w:val="0040495F"/>
    <w:rsid w:val="00404B29"/>
    <w:rsid w:val="00404E31"/>
    <w:rsid w:val="0040551C"/>
    <w:rsid w:val="00405662"/>
    <w:rsid w:val="00405E94"/>
    <w:rsid w:val="00406800"/>
    <w:rsid w:val="00406992"/>
    <w:rsid w:val="004075B1"/>
    <w:rsid w:val="004077D8"/>
    <w:rsid w:val="004078E3"/>
    <w:rsid w:val="004114D8"/>
    <w:rsid w:val="00411682"/>
    <w:rsid w:val="004119A9"/>
    <w:rsid w:val="004119FE"/>
    <w:rsid w:val="00411B7D"/>
    <w:rsid w:val="00411B9A"/>
    <w:rsid w:val="004123E1"/>
    <w:rsid w:val="00412534"/>
    <w:rsid w:val="00412AC3"/>
    <w:rsid w:val="00412BD3"/>
    <w:rsid w:val="00412C83"/>
    <w:rsid w:val="0041318E"/>
    <w:rsid w:val="0041369F"/>
    <w:rsid w:val="00413BFE"/>
    <w:rsid w:val="00414437"/>
    <w:rsid w:val="004144D8"/>
    <w:rsid w:val="00414B00"/>
    <w:rsid w:val="00414E39"/>
    <w:rsid w:val="004155A6"/>
    <w:rsid w:val="004155AC"/>
    <w:rsid w:val="00415F8E"/>
    <w:rsid w:val="004161E7"/>
    <w:rsid w:val="00416497"/>
    <w:rsid w:val="0041661F"/>
    <w:rsid w:val="00416953"/>
    <w:rsid w:val="004169C0"/>
    <w:rsid w:val="00417021"/>
    <w:rsid w:val="0041713C"/>
    <w:rsid w:val="0041770D"/>
    <w:rsid w:val="004178EE"/>
    <w:rsid w:val="00417E72"/>
    <w:rsid w:val="00420174"/>
    <w:rsid w:val="004210DF"/>
    <w:rsid w:val="00421374"/>
    <w:rsid w:val="0042165D"/>
    <w:rsid w:val="00421C46"/>
    <w:rsid w:val="00421CFC"/>
    <w:rsid w:val="004221C0"/>
    <w:rsid w:val="00423432"/>
    <w:rsid w:val="00423E82"/>
    <w:rsid w:val="00424291"/>
    <w:rsid w:val="00425229"/>
    <w:rsid w:val="004257B5"/>
    <w:rsid w:val="00425C29"/>
    <w:rsid w:val="00426014"/>
    <w:rsid w:val="00426044"/>
    <w:rsid w:val="00426448"/>
    <w:rsid w:val="004268F4"/>
    <w:rsid w:val="0042726A"/>
    <w:rsid w:val="004276B0"/>
    <w:rsid w:val="00427DDA"/>
    <w:rsid w:val="00430D6F"/>
    <w:rsid w:val="00430FEB"/>
    <w:rsid w:val="00431182"/>
    <w:rsid w:val="00431C65"/>
    <w:rsid w:val="00432174"/>
    <w:rsid w:val="00432958"/>
    <w:rsid w:val="00432D7C"/>
    <w:rsid w:val="00432E61"/>
    <w:rsid w:val="004332A0"/>
    <w:rsid w:val="004334D2"/>
    <w:rsid w:val="004335B8"/>
    <w:rsid w:val="00433D6D"/>
    <w:rsid w:val="00433E69"/>
    <w:rsid w:val="00434090"/>
    <w:rsid w:val="00434918"/>
    <w:rsid w:val="00434D5D"/>
    <w:rsid w:val="0043555A"/>
    <w:rsid w:val="0043575B"/>
    <w:rsid w:val="00435AAA"/>
    <w:rsid w:val="00435D2F"/>
    <w:rsid w:val="00435EE8"/>
    <w:rsid w:val="0043652B"/>
    <w:rsid w:val="00436968"/>
    <w:rsid w:val="004373A0"/>
    <w:rsid w:val="0043769B"/>
    <w:rsid w:val="004378C5"/>
    <w:rsid w:val="00437B10"/>
    <w:rsid w:val="00437E54"/>
    <w:rsid w:val="00440003"/>
    <w:rsid w:val="0044078F"/>
    <w:rsid w:val="004410C4"/>
    <w:rsid w:val="00441CE2"/>
    <w:rsid w:val="00442072"/>
    <w:rsid w:val="004425A3"/>
    <w:rsid w:val="0044269E"/>
    <w:rsid w:val="004429D6"/>
    <w:rsid w:val="00443055"/>
    <w:rsid w:val="0044326E"/>
    <w:rsid w:val="00443466"/>
    <w:rsid w:val="00444020"/>
    <w:rsid w:val="00444301"/>
    <w:rsid w:val="00444B88"/>
    <w:rsid w:val="00444BA5"/>
    <w:rsid w:val="00444EE9"/>
    <w:rsid w:val="00445105"/>
    <w:rsid w:val="004457C2"/>
    <w:rsid w:val="004459F3"/>
    <w:rsid w:val="0044617E"/>
    <w:rsid w:val="0044690A"/>
    <w:rsid w:val="00446CB2"/>
    <w:rsid w:val="004475FB"/>
    <w:rsid w:val="0045002D"/>
    <w:rsid w:val="004500C1"/>
    <w:rsid w:val="0045027B"/>
    <w:rsid w:val="00450A68"/>
    <w:rsid w:val="00450B5F"/>
    <w:rsid w:val="004513B2"/>
    <w:rsid w:val="0045170B"/>
    <w:rsid w:val="00452195"/>
    <w:rsid w:val="0045235C"/>
    <w:rsid w:val="004523A3"/>
    <w:rsid w:val="00452778"/>
    <w:rsid w:val="0045304D"/>
    <w:rsid w:val="004530E0"/>
    <w:rsid w:val="0045388F"/>
    <w:rsid w:val="00453918"/>
    <w:rsid w:val="00453A45"/>
    <w:rsid w:val="00453BD6"/>
    <w:rsid w:val="00453FD4"/>
    <w:rsid w:val="004553C6"/>
    <w:rsid w:val="00455B1D"/>
    <w:rsid w:val="00456361"/>
    <w:rsid w:val="004567C2"/>
    <w:rsid w:val="00456E09"/>
    <w:rsid w:val="00456E5E"/>
    <w:rsid w:val="0045706B"/>
    <w:rsid w:val="00457723"/>
    <w:rsid w:val="00460603"/>
    <w:rsid w:val="004606E9"/>
    <w:rsid w:val="0046078B"/>
    <w:rsid w:val="00460985"/>
    <w:rsid w:val="00460B7D"/>
    <w:rsid w:val="00460CF4"/>
    <w:rsid w:val="00460E24"/>
    <w:rsid w:val="00461AA4"/>
    <w:rsid w:val="00462F26"/>
    <w:rsid w:val="004632EE"/>
    <w:rsid w:val="00463581"/>
    <w:rsid w:val="00463603"/>
    <w:rsid w:val="004639D6"/>
    <w:rsid w:val="00463EC8"/>
    <w:rsid w:val="004647C8"/>
    <w:rsid w:val="00464922"/>
    <w:rsid w:val="004655D9"/>
    <w:rsid w:val="00465F10"/>
    <w:rsid w:val="004664DE"/>
    <w:rsid w:val="004667C3"/>
    <w:rsid w:val="00466A9B"/>
    <w:rsid w:val="004673B0"/>
    <w:rsid w:val="00467D4C"/>
    <w:rsid w:val="004706E8"/>
    <w:rsid w:val="004711CC"/>
    <w:rsid w:val="00471660"/>
    <w:rsid w:val="00471D8F"/>
    <w:rsid w:val="00472799"/>
    <w:rsid w:val="00472C7E"/>
    <w:rsid w:val="0047320B"/>
    <w:rsid w:val="00474303"/>
    <w:rsid w:val="00474A3A"/>
    <w:rsid w:val="0047536A"/>
    <w:rsid w:val="0047592A"/>
    <w:rsid w:val="004761AD"/>
    <w:rsid w:val="00476652"/>
    <w:rsid w:val="004766B4"/>
    <w:rsid w:val="00476830"/>
    <w:rsid w:val="00476D4B"/>
    <w:rsid w:val="00476F79"/>
    <w:rsid w:val="00477547"/>
    <w:rsid w:val="00477B00"/>
    <w:rsid w:val="00480922"/>
    <w:rsid w:val="00480CB0"/>
    <w:rsid w:val="00481EC9"/>
    <w:rsid w:val="004825B4"/>
    <w:rsid w:val="00482D52"/>
    <w:rsid w:val="00483554"/>
    <w:rsid w:val="00483603"/>
    <w:rsid w:val="00483698"/>
    <w:rsid w:val="004847E4"/>
    <w:rsid w:val="00484B4F"/>
    <w:rsid w:val="00484F64"/>
    <w:rsid w:val="0048516A"/>
    <w:rsid w:val="00485575"/>
    <w:rsid w:val="0048689A"/>
    <w:rsid w:val="0048762E"/>
    <w:rsid w:val="00487FBB"/>
    <w:rsid w:val="00490023"/>
    <w:rsid w:val="00490E30"/>
    <w:rsid w:val="00490FB4"/>
    <w:rsid w:val="00491490"/>
    <w:rsid w:val="00491534"/>
    <w:rsid w:val="00491578"/>
    <w:rsid w:val="004919B4"/>
    <w:rsid w:val="004923C0"/>
    <w:rsid w:val="00492421"/>
    <w:rsid w:val="00493228"/>
    <w:rsid w:val="00493581"/>
    <w:rsid w:val="00493A6A"/>
    <w:rsid w:val="00493A79"/>
    <w:rsid w:val="00493D22"/>
    <w:rsid w:val="00494192"/>
    <w:rsid w:val="00494525"/>
    <w:rsid w:val="0049488C"/>
    <w:rsid w:val="00494C9A"/>
    <w:rsid w:val="00495E7F"/>
    <w:rsid w:val="00495ECD"/>
    <w:rsid w:val="004965D6"/>
    <w:rsid w:val="0049677D"/>
    <w:rsid w:val="00496835"/>
    <w:rsid w:val="00496F5C"/>
    <w:rsid w:val="0049726D"/>
    <w:rsid w:val="00497DE6"/>
    <w:rsid w:val="004A0658"/>
    <w:rsid w:val="004A06C9"/>
    <w:rsid w:val="004A0CA4"/>
    <w:rsid w:val="004A1030"/>
    <w:rsid w:val="004A17FD"/>
    <w:rsid w:val="004A19E5"/>
    <w:rsid w:val="004A1C44"/>
    <w:rsid w:val="004A1EAD"/>
    <w:rsid w:val="004A278D"/>
    <w:rsid w:val="004A281D"/>
    <w:rsid w:val="004A2D29"/>
    <w:rsid w:val="004A2DD5"/>
    <w:rsid w:val="004A2E75"/>
    <w:rsid w:val="004A2EFC"/>
    <w:rsid w:val="004A325F"/>
    <w:rsid w:val="004A3441"/>
    <w:rsid w:val="004A37AE"/>
    <w:rsid w:val="004A469B"/>
    <w:rsid w:val="004A47BE"/>
    <w:rsid w:val="004A483B"/>
    <w:rsid w:val="004A4E5D"/>
    <w:rsid w:val="004A5A5E"/>
    <w:rsid w:val="004A5A70"/>
    <w:rsid w:val="004A635A"/>
    <w:rsid w:val="004A677E"/>
    <w:rsid w:val="004A747D"/>
    <w:rsid w:val="004A788F"/>
    <w:rsid w:val="004A7A96"/>
    <w:rsid w:val="004B0A48"/>
    <w:rsid w:val="004B0FAA"/>
    <w:rsid w:val="004B17B8"/>
    <w:rsid w:val="004B1E5F"/>
    <w:rsid w:val="004B2078"/>
    <w:rsid w:val="004B20B6"/>
    <w:rsid w:val="004B2D12"/>
    <w:rsid w:val="004B30A8"/>
    <w:rsid w:val="004B34EA"/>
    <w:rsid w:val="004B3A8D"/>
    <w:rsid w:val="004B4A22"/>
    <w:rsid w:val="004B52A6"/>
    <w:rsid w:val="004B52E9"/>
    <w:rsid w:val="004B5494"/>
    <w:rsid w:val="004B5CA4"/>
    <w:rsid w:val="004B6CEE"/>
    <w:rsid w:val="004B70D7"/>
    <w:rsid w:val="004B715D"/>
    <w:rsid w:val="004B7195"/>
    <w:rsid w:val="004B7DFF"/>
    <w:rsid w:val="004C00E6"/>
    <w:rsid w:val="004C06AB"/>
    <w:rsid w:val="004C0A64"/>
    <w:rsid w:val="004C0D5B"/>
    <w:rsid w:val="004C10F1"/>
    <w:rsid w:val="004C1273"/>
    <w:rsid w:val="004C140B"/>
    <w:rsid w:val="004C1B0D"/>
    <w:rsid w:val="004C206B"/>
    <w:rsid w:val="004C2233"/>
    <w:rsid w:val="004C2301"/>
    <w:rsid w:val="004C24FE"/>
    <w:rsid w:val="004C2800"/>
    <w:rsid w:val="004C2B4B"/>
    <w:rsid w:val="004C2DDE"/>
    <w:rsid w:val="004C2E5B"/>
    <w:rsid w:val="004C3FCA"/>
    <w:rsid w:val="004C43D5"/>
    <w:rsid w:val="004C4B76"/>
    <w:rsid w:val="004C50B0"/>
    <w:rsid w:val="004C50BE"/>
    <w:rsid w:val="004C6430"/>
    <w:rsid w:val="004C7055"/>
    <w:rsid w:val="004C7A2B"/>
    <w:rsid w:val="004C7BEA"/>
    <w:rsid w:val="004C7CFE"/>
    <w:rsid w:val="004C7D3A"/>
    <w:rsid w:val="004D0244"/>
    <w:rsid w:val="004D0EE5"/>
    <w:rsid w:val="004D11CE"/>
    <w:rsid w:val="004D125D"/>
    <w:rsid w:val="004D1FF7"/>
    <w:rsid w:val="004D2613"/>
    <w:rsid w:val="004D26E8"/>
    <w:rsid w:val="004D289D"/>
    <w:rsid w:val="004D2BB2"/>
    <w:rsid w:val="004D2CEB"/>
    <w:rsid w:val="004D3025"/>
    <w:rsid w:val="004D3C1A"/>
    <w:rsid w:val="004D3F89"/>
    <w:rsid w:val="004D4665"/>
    <w:rsid w:val="004D4E26"/>
    <w:rsid w:val="004D51D8"/>
    <w:rsid w:val="004D5637"/>
    <w:rsid w:val="004D5F55"/>
    <w:rsid w:val="004D6087"/>
    <w:rsid w:val="004D6A59"/>
    <w:rsid w:val="004D7B66"/>
    <w:rsid w:val="004E001A"/>
    <w:rsid w:val="004E01AB"/>
    <w:rsid w:val="004E06FD"/>
    <w:rsid w:val="004E07C5"/>
    <w:rsid w:val="004E0889"/>
    <w:rsid w:val="004E1B5D"/>
    <w:rsid w:val="004E1F6A"/>
    <w:rsid w:val="004E2C79"/>
    <w:rsid w:val="004E2D1B"/>
    <w:rsid w:val="004E3575"/>
    <w:rsid w:val="004E3670"/>
    <w:rsid w:val="004E406A"/>
    <w:rsid w:val="004E408F"/>
    <w:rsid w:val="004E43CE"/>
    <w:rsid w:val="004E453D"/>
    <w:rsid w:val="004E4754"/>
    <w:rsid w:val="004E4B19"/>
    <w:rsid w:val="004E5349"/>
    <w:rsid w:val="004E553E"/>
    <w:rsid w:val="004E5D9D"/>
    <w:rsid w:val="004E6CFC"/>
    <w:rsid w:val="004E6FEC"/>
    <w:rsid w:val="004E7AB0"/>
    <w:rsid w:val="004F0324"/>
    <w:rsid w:val="004F0370"/>
    <w:rsid w:val="004F0A4C"/>
    <w:rsid w:val="004F0BAA"/>
    <w:rsid w:val="004F0D69"/>
    <w:rsid w:val="004F0DC1"/>
    <w:rsid w:val="004F14AD"/>
    <w:rsid w:val="004F2931"/>
    <w:rsid w:val="004F30C3"/>
    <w:rsid w:val="004F35FF"/>
    <w:rsid w:val="004F3BA9"/>
    <w:rsid w:val="004F4842"/>
    <w:rsid w:val="004F4915"/>
    <w:rsid w:val="004F4C6E"/>
    <w:rsid w:val="004F52AF"/>
    <w:rsid w:val="004F5A6D"/>
    <w:rsid w:val="004F6045"/>
    <w:rsid w:val="004F6242"/>
    <w:rsid w:val="004F6670"/>
    <w:rsid w:val="004F6777"/>
    <w:rsid w:val="004F6992"/>
    <w:rsid w:val="004F69AB"/>
    <w:rsid w:val="004F6B97"/>
    <w:rsid w:val="004F6D70"/>
    <w:rsid w:val="004F6F05"/>
    <w:rsid w:val="004F7100"/>
    <w:rsid w:val="004F7B09"/>
    <w:rsid w:val="0050057A"/>
    <w:rsid w:val="00500657"/>
    <w:rsid w:val="005006D9"/>
    <w:rsid w:val="005009A3"/>
    <w:rsid w:val="00500B2B"/>
    <w:rsid w:val="005018A8"/>
    <w:rsid w:val="00502456"/>
    <w:rsid w:val="00503215"/>
    <w:rsid w:val="005035B4"/>
    <w:rsid w:val="00503903"/>
    <w:rsid w:val="00503E73"/>
    <w:rsid w:val="00503EA4"/>
    <w:rsid w:val="00504CDE"/>
    <w:rsid w:val="00505053"/>
    <w:rsid w:val="005052A2"/>
    <w:rsid w:val="00505832"/>
    <w:rsid w:val="00505A39"/>
    <w:rsid w:val="00505E77"/>
    <w:rsid w:val="00506076"/>
    <w:rsid w:val="00506222"/>
    <w:rsid w:val="00506851"/>
    <w:rsid w:val="005074DE"/>
    <w:rsid w:val="00507BC6"/>
    <w:rsid w:val="005103CD"/>
    <w:rsid w:val="0051040A"/>
    <w:rsid w:val="005104DE"/>
    <w:rsid w:val="00510A93"/>
    <w:rsid w:val="00510DD7"/>
    <w:rsid w:val="00510F93"/>
    <w:rsid w:val="00511CD6"/>
    <w:rsid w:val="00511D8D"/>
    <w:rsid w:val="00511FAF"/>
    <w:rsid w:val="005120E0"/>
    <w:rsid w:val="005129AE"/>
    <w:rsid w:val="00512D50"/>
    <w:rsid w:val="00512D9C"/>
    <w:rsid w:val="00512DFC"/>
    <w:rsid w:val="005132F3"/>
    <w:rsid w:val="00513F60"/>
    <w:rsid w:val="00514479"/>
    <w:rsid w:val="005151C6"/>
    <w:rsid w:val="00515353"/>
    <w:rsid w:val="00515393"/>
    <w:rsid w:val="005155A8"/>
    <w:rsid w:val="005160A5"/>
    <w:rsid w:val="0051628F"/>
    <w:rsid w:val="00516747"/>
    <w:rsid w:val="005177E9"/>
    <w:rsid w:val="00517B6D"/>
    <w:rsid w:val="00517DD6"/>
    <w:rsid w:val="00520196"/>
    <w:rsid w:val="0052025B"/>
    <w:rsid w:val="0052039B"/>
    <w:rsid w:val="0052165A"/>
    <w:rsid w:val="00521AA3"/>
    <w:rsid w:val="005225E7"/>
    <w:rsid w:val="00522BA7"/>
    <w:rsid w:val="00522DB4"/>
    <w:rsid w:val="00522FF5"/>
    <w:rsid w:val="00523234"/>
    <w:rsid w:val="00523244"/>
    <w:rsid w:val="005235B7"/>
    <w:rsid w:val="00523826"/>
    <w:rsid w:val="005239AD"/>
    <w:rsid w:val="00523CB9"/>
    <w:rsid w:val="00523FAB"/>
    <w:rsid w:val="005240BF"/>
    <w:rsid w:val="005245C5"/>
    <w:rsid w:val="0052499E"/>
    <w:rsid w:val="00525209"/>
    <w:rsid w:val="0052601A"/>
    <w:rsid w:val="0052627A"/>
    <w:rsid w:val="00526F3A"/>
    <w:rsid w:val="005276CF"/>
    <w:rsid w:val="00527926"/>
    <w:rsid w:val="00527FC6"/>
    <w:rsid w:val="005300B3"/>
    <w:rsid w:val="00530295"/>
    <w:rsid w:val="005303FA"/>
    <w:rsid w:val="00530640"/>
    <w:rsid w:val="005315A3"/>
    <w:rsid w:val="005316CF"/>
    <w:rsid w:val="0053196E"/>
    <w:rsid w:val="00531AA4"/>
    <w:rsid w:val="00531E4B"/>
    <w:rsid w:val="005320C5"/>
    <w:rsid w:val="00532606"/>
    <w:rsid w:val="00532D4E"/>
    <w:rsid w:val="0053314B"/>
    <w:rsid w:val="00533790"/>
    <w:rsid w:val="005338F6"/>
    <w:rsid w:val="005340E5"/>
    <w:rsid w:val="005355D0"/>
    <w:rsid w:val="00535847"/>
    <w:rsid w:val="00535A6C"/>
    <w:rsid w:val="00536424"/>
    <w:rsid w:val="005366B7"/>
    <w:rsid w:val="0053692F"/>
    <w:rsid w:val="00536AD9"/>
    <w:rsid w:val="00537D98"/>
    <w:rsid w:val="00537F87"/>
    <w:rsid w:val="0053F8A9"/>
    <w:rsid w:val="005404D6"/>
    <w:rsid w:val="00540CC7"/>
    <w:rsid w:val="005414D8"/>
    <w:rsid w:val="005415C1"/>
    <w:rsid w:val="00541BCC"/>
    <w:rsid w:val="00542240"/>
    <w:rsid w:val="00542268"/>
    <w:rsid w:val="00542BA9"/>
    <w:rsid w:val="00543227"/>
    <w:rsid w:val="005444F7"/>
    <w:rsid w:val="00544F33"/>
    <w:rsid w:val="00544F4B"/>
    <w:rsid w:val="00545139"/>
    <w:rsid w:val="0054544A"/>
    <w:rsid w:val="00545762"/>
    <w:rsid w:val="00545E73"/>
    <w:rsid w:val="00545FCA"/>
    <w:rsid w:val="00546331"/>
    <w:rsid w:val="00546C08"/>
    <w:rsid w:val="00546E60"/>
    <w:rsid w:val="00546ED8"/>
    <w:rsid w:val="0054702D"/>
    <w:rsid w:val="0054792F"/>
    <w:rsid w:val="00547B98"/>
    <w:rsid w:val="00547CC1"/>
    <w:rsid w:val="00550003"/>
    <w:rsid w:val="00550533"/>
    <w:rsid w:val="005505F0"/>
    <w:rsid w:val="00550A68"/>
    <w:rsid w:val="00550B10"/>
    <w:rsid w:val="00551651"/>
    <w:rsid w:val="00551D90"/>
    <w:rsid w:val="00552397"/>
    <w:rsid w:val="00552573"/>
    <w:rsid w:val="00552A7F"/>
    <w:rsid w:val="00553625"/>
    <w:rsid w:val="00553E07"/>
    <w:rsid w:val="00554147"/>
    <w:rsid w:val="0055463F"/>
    <w:rsid w:val="00554767"/>
    <w:rsid w:val="005548EA"/>
    <w:rsid w:val="00554D3B"/>
    <w:rsid w:val="005551BC"/>
    <w:rsid w:val="0055588B"/>
    <w:rsid w:val="00555900"/>
    <w:rsid w:val="005559F3"/>
    <w:rsid w:val="005560A0"/>
    <w:rsid w:val="00556F71"/>
    <w:rsid w:val="00557A0D"/>
    <w:rsid w:val="00557C67"/>
    <w:rsid w:val="00557E7A"/>
    <w:rsid w:val="0056048D"/>
    <w:rsid w:val="00560711"/>
    <w:rsid w:val="00560D82"/>
    <w:rsid w:val="00561A60"/>
    <w:rsid w:val="00561B11"/>
    <w:rsid w:val="005625FC"/>
    <w:rsid w:val="005633DD"/>
    <w:rsid w:val="00563A24"/>
    <w:rsid w:val="00563B3C"/>
    <w:rsid w:val="00564A36"/>
    <w:rsid w:val="00564F2C"/>
    <w:rsid w:val="00566676"/>
    <w:rsid w:val="00566A1D"/>
    <w:rsid w:val="00567396"/>
    <w:rsid w:val="00567540"/>
    <w:rsid w:val="005710A3"/>
    <w:rsid w:val="00571873"/>
    <w:rsid w:val="0057199E"/>
    <w:rsid w:val="005724D0"/>
    <w:rsid w:val="005728DA"/>
    <w:rsid w:val="00572EDC"/>
    <w:rsid w:val="005734B8"/>
    <w:rsid w:val="0057402D"/>
    <w:rsid w:val="005745AE"/>
    <w:rsid w:val="00574A15"/>
    <w:rsid w:val="00574A1F"/>
    <w:rsid w:val="00574E5C"/>
    <w:rsid w:val="00574F7B"/>
    <w:rsid w:val="005758D0"/>
    <w:rsid w:val="00575C1A"/>
    <w:rsid w:val="005769B3"/>
    <w:rsid w:val="00576AC6"/>
    <w:rsid w:val="00576AE6"/>
    <w:rsid w:val="00577335"/>
    <w:rsid w:val="005773E8"/>
    <w:rsid w:val="0057775F"/>
    <w:rsid w:val="005777B9"/>
    <w:rsid w:val="005779E3"/>
    <w:rsid w:val="00577BDC"/>
    <w:rsid w:val="00577CCC"/>
    <w:rsid w:val="00577EA8"/>
    <w:rsid w:val="0058049A"/>
    <w:rsid w:val="005807CA"/>
    <w:rsid w:val="00580DD1"/>
    <w:rsid w:val="005820D4"/>
    <w:rsid w:val="00583929"/>
    <w:rsid w:val="00584306"/>
    <w:rsid w:val="00584387"/>
    <w:rsid w:val="00584773"/>
    <w:rsid w:val="00584D46"/>
    <w:rsid w:val="00585390"/>
    <w:rsid w:val="0058565A"/>
    <w:rsid w:val="00586266"/>
    <w:rsid w:val="00587EF6"/>
    <w:rsid w:val="00590495"/>
    <w:rsid w:val="005904BE"/>
    <w:rsid w:val="00590A5A"/>
    <w:rsid w:val="00590D01"/>
    <w:rsid w:val="0059127D"/>
    <w:rsid w:val="0059166E"/>
    <w:rsid w:val="005917A3"/>
    <w:rsid w:val="00591993"/>
    <w:rsid w:val="00591BD4"/>
    <w:rsid w:val="00591E97"/>
    <w:rsid w:val="00591F09"/>
    <w:rsid w:val="0059220F"/>
    <w:rsid w:val="005923BA"/>
    <w:rsid w:val="005935CF"/>
    <w:rsid w:val="005939A5"/>
    <w:rsid w:val="00594588"/>
    <w:rsid w:val="00594E59"/>
    <w:rsid w:val="00595116"/>
    <w:rsid w:val="00595CC8"/>
    <w:rsid w:val="00595D59"/>
    <w:rsid w:val="00595EB4"/>
    <w:rsid w:val="00596588"/>
    <w:rsid w:val="00596801"/>
    <w:rsid w:val="00596AA9"/>
    <w:rsid w:val="005977D1"/>
    <w:rsid w:val="00597905"/>
    <w:rsid w:val="005A0192"/>
    <w:rsid w:val="005A0EB6"/>
    <w:rsid w:val="005A11CE"/>
    <w:rsid w:val="005A148C"/>
    <w:rsid w:val="005A1C31"/>
    <w:rsid w:val="005A2391"/>
    <w:rsid w:val="005A2D3C"/>
    <w:rsid w:val="005A2DED"/>
    <w:rsid w:val="005A2E61"/>
    <w:rsid w:val="005A3C4D"/>
    <w:rsid w:val="005A4164"/>
    <w:rsid w:val="005A4B51"/>
    <w:rsid w:val="005A5036"/>
    <w:rsid w:val="005A508F"/>
    <w:rsid w:val="005A51DE"/>
    <w:rsid w:val="005A5264"/>
    <w:rsid w:val="005A5726"/>
    <w:rsid w:val="005A5AED"/>
    <w:rsid w:val="005A607B"/>
    <w:rsid w:val="005A63E5"/>
    <w:rsid w:val="005A63F6"/>
    <w:rsid w:val="005A6779"/>
    <w:rsid w:val="005A6A85"/>
    <w:rsid w:val="005A7076"/>
    <w:rsid w:val="005A7601"/>
    <w:rsid w:val="005A7A1E"/>
    <w:rsid w:val="005B016A"/>
    <w:rsid w:val="005B0D08"/>
    <w:rsid w:val="005B0D55"/>
    <w:rsid w:val="005B1291"/>
    <w:rsid w:val="005B1697"/>
    <w:rsid w:val="005B20BC"/>
    <w:rsid w:val="005B2597"/>
    <w:rsid w:val="005B2B69"/>
    <w:rsid w:val="005B2D8F"/>
    <w:rsid w:val="005B35B7"/>
    <w:rsid w:val="005B37A2"/>
    <w:rsid w:val="005B4DF1"/>
    <w:rsid w:val="005B4E06"/>
    <w:rsid w:val="005B55F2"/>
    <w:rsid w:val="005B5E51"/>
    <w:rsid w:val="005B61F8"/>
    <w:rsid w:val="005B649D"/>
    <w:rsid w:val="005B68F7"/>
    <w:rsid w:val="005C0129"/>
    <w:rsid w:val="005C0167"/>
    <w:rsid w:val="005C18F0"/>
    <w:rsid w:val="005C20CF"/>
    <w:rsid w:val="005C21B8"/>
    <w:rsid w:val="005C2220"/>
    <w:rsid w:val="005C22EA"/>
    <w:rsid w:val="005C27EE"/>
    <w:rsid w:val="005C3006"/>
    <w:rsid w:val="005C3066"/>
    <w:rsid w:val="005C35E0"/>
    <w:rsid w:val="005C37AE"/>
    <w:rsid w:val="005C3964"/>
    <w:rsid w:val="005C3A72"/>
    <w:rsid w:val="005C4A02"/>
    <w:rsid w:val="005C58FA"/>
    <w:rsid w:val="005C6625"/>
    <w:rsid w:val="005C735F"/>
    <w:rsid w:val="005C7658"/>
    <w:rsid w:val="005D013A"/>
    <w:rsid w:val="005D0DF1"/>
    <w:rsid w:val="005D0F2D"/>
    <w:rsid w:val="005D12BB"/>
    <w:rsid w:val="005D22A8"/>
    <w:rsid w:val="005D25EC"/>
    <w:rsid w:val="005D2611"/>
    <w:rsid w:val="005D27DA"/>
    <w:rsid w:val="005D2A93"/>
    <w:rsid w:val="005D2D6C"/>
    <w:rsid w:val="005D2D89"/>
    <w:rsid w:val="005D32E0"/>
    <w:rsid w:val="005D35E6"/>
    <w:rsid w:val="005D431E"/>
    <w:rsid w:val="005D4B80"/>
    <w:rsid w:val="005D5179"/>
    <w:rsid w:val="005D51B7"/>
    <w:rsid w:val="005D5578"/>
    <w:rsid w:val="005D5AF6"/>
    <w:rsid w:val="005D6479"/>
    <w:rsid w:val="005D6A5F"/>
    <w:rsid w:val="005D6B69"/>
    <w:rsid w:val="005D7281"/>
    <w:rsid w:val="005D7686"/>
    <w:rsid w:val="005D7FEA"/>
    <w:rsid w:val="005E0290"/>
    <w:rsid w:val="005E054C"/>
    <w:rsid w:val="005E06A7"/>
    <w:rsid w:val="005E0E0D"/>
    <w:rsid w:val="005E130F"/>
    <w:rsid w:val="005E1490"/>
    <w:rsid w:val="005E2E3D"/>
    <w:rsid w:val="005E2F25"/>
    <w:rsid w:val="005E3247"/>
    <w:rsid w:val="005E39FD"/>
    <w:rsid w:val="005E476F"/>
    <w:rsid w:val="005E4801"/>
    <w:rsid w:val="005E4E88"/>
    <w:rsid w:val="005E4F04"/>
    <w:rsid w:val="005E5364"/>
    <w:rsid w:val="005E66BA"/>
    <w:rsid w:val="005E71AC"/>
    <w:rsid w:val="005E7203"/>
    <w:rsid w:val="005E744F"/>
    <w:rsid w:val="005E76DE"/>
    <w:rsid w:val="005F05DA"/>
    <w:rsid w:val="005F08CB"/>
    <w:rsid w:val="005F094F"/>
    <w:rsid w:val="005F09C1"/>
    <w:rsid w:val="005F0CDD"/>
    <w:rsid w:val="005F1EBD"/>
    <w:rsid w:val="005F23FF"/>
    <w:rsid w:val="005F2559"/>
    <w:rsid w:val="005F26D9"/>
    <w:rsid w:val="005F2B1D"/>
    <w:rsid w:val="005F2B42"/>
    <w:rsid w:val="005F31B4"/>
    <w:rsid w:val="005F3F98"/>
    <w:rsid w:val="005F40E8"/>
    <w:rsid w:val="005F4B1D"/>
    <w:rsid w:val="005F4BF8"/>
    <w:rsid w:val="005F4C98"/>
    <w:rsid w:val="005F4DAB"/>
    <w:rsid w:val="005F534B"/>
    <w:rsid w:val="005F5649"/>
    <w:rsid w:val="005F5814"/>
    <w:rsid w:val="005F5C5D"/>
    <w:rsid w:val="005F63DD"/>
    <w:rsid w:val="005F685F"/>
    <w:rsid w:val="005F6BD5"/>
    <w:rsid w:val="005F6D0D"/>
    <w:rsid w:val="005F6D2B"/>
    <w:rsid w:val="005F6E93"/>
    <w:rsid w:val="005F749D"/>
    <w:rsid w:val="005F7515"/>
    <w:rsid w:val="005F7572"/>
    <w:rsid w:val="006008DC"/>
    <w:rsid w:val="006012C2"/>
    <w:rsid w:val="0060139A"/>
    <w:rsid w:val="006014EA"/>
    <w:rsid w:val="00602024"/>
    <w:rsid w:val="006021B8"/>
    <w:rsid w:val="006027FB"/>
    <w:rsid w:val="00602A35"/>
    <w:rsid w:val="00602F4F"/>
    <w:rsid w:val="0060306D"/>
    <w:rsid w:val="006031C2"/>
    <w:rsid w:val="00603238"/>
    <w:rsid w:val="006033A5"/>
    <w:rsid w:val="00603773"/>
    <w:rsid w:val="00603A8C"/>
    <w:rsid w:val="00605C0F"/>
    <w:rsid w:val="00605DD3"/>
    <w:rsid w:val="00606742"/>
    <w:rsid w:val="00606C6A"/>
    <w:rsid w:val="006072CF"/>
    <w:rsid w:val="00607DF0"/>
    <w:rsid w:val="00610342"/>
    <w:rsid w:val="006103B9"/>
    <w:rsid w:val="00611418"/>
    <w:rsid w:val="00611EF4"/>
    <w:rsid w:val="00612374"/>
    <w:rsid w:val="00612B9C"/>
    <w:rsid w:val="00612DC7"/>
    <w:rsid w:val="006130B3"/>
    <w:rsid w:val="006130DE"/>
    <w:rsid w:val="006131B3"/>
    <w:rsid w:val="00613875"/>
    <w:rsid w:val="00613A48"/>
    <w:rsid w:val="006145AB"/>
    <w:rsid w:val="00614742"/>
    <w:rsid w:val="006147BF"/>
    <w:rsid w:val="00614990"/>
    <w:rsid w:val="006149E1"/>
    <w:rsid w:val="00614F65"/>
    <w:rsid w:val="006150C0"/>
    <w:rsid w:val="00616150"/>
    <w:rsid w:val="0061630E"/>
    <w:rsid w:val="00616A69"/>
    <w:rsid w:val="00617197"/>
    <w:rsid w:val="0061756B"/>
    <w:rsid w:val="00617DDD"/>
    <w:rsid w:val="00617E01"/>
    <w:rsid w:val="00620251"/>
    <w:rsid w:val="00621AA8"/>
    <w:rsid w:val="006221EB"/>
    <w:rsid w:val="006223B9"/>
    <w:rsid w:val="00622A80"/>
    <w:rsid w:val="00623E35"/>
    <w:rsid w:val="00624000"/>
    <w:rsid w:val="00624778"/>
    <w:rsid w:val="006247AC"/>
    <w:rsid w:val="00624CD6"/>
    <w:rsid w:val="00625205"/>
    <w:rsid w:val="00625E32"/>
    <w:rsid w:val="00626BF8"/>
    <w:rsid w:val="00627117"/>
    <w:rsid w:val="00627E9C"/>
    <w:rsid w:val="0063059D"/>
    <w:rsid w:val="006308AC"/>
    <w:rsid w:val="006309D6"/>
    <w:rsid w:val="00631137"/>
    <w:rsid w:val="00631E9A"/>
    <w:rsid w:val="00632207"/>
    <w:rsid w:val="006326BB"/>
    <w:rsid w:val="0063278C"/>
    <w:rsid w:val="00632D55"/>
    <w:rsid w:val="0063433E"/>
    <w:rsid w:val="006343C5"/>
    <w:rsid w:val="006344DC"/>
    <w:rsid w:val="0063491C"/>
    <w:rsid w:val="00634D4E"/>
    <w:rsid w:val="00634EA7"/>
    <w:rsid w:val="006350DD"/>
    <w:rsid w:val="006351EF"/>
    <w:rsid w:val="00635FC8"/>
    <w:rsid w:val="00636C78"/>
    <w:rsid w:val="00636D06"/>
    <w:rsid w:val="006371E1"/>
    <w:rsid w:val="0063742D"/>
    <w:rsid w:val="006379B4"/>
    <w:rsid w:val="00640395"/>
    <w:rsid w:val="00641096"/>
    <w:rsid w:val="00641955"/>
    <w:rsid w:val="00641A5C"/>
    <w:rsid w:val="00641CAF"/>
    <w:rsid w:val="00641FED"/>
    <w:rsid w:val="00642A33"/>
    <w:rsid w:val="00642C2C"/>
    <w:rsid w:val="0064375A"/>
    <w:rsid w:val="00644BB0"/>
    <w:rsid w:val="00644D36"/>
    <w:rsid w:val="00645830"/>
    <w:rsid w:val="00645A3F"/>
    <w:rsid w:val="00645FCB"/>
    <w:rsid w:val="00646679"/>
    <w:rsid w:val="00646E01"/>
    <w:rsid w:val="0064701E"/>
    <w:rsid w:val="00647795"/>
    <w:rsid w:val="00647CEB"/>
    <w:rsid w:val="00647EB8"/>
    <w:rsid w:val="00647EED"/>
    <w:rsid w:val="0065029B"/>
    <w:rsid w:val="00650851"/>
    <w:rsid w:val="00651F60"/>
    <w:rsid w:val="006521E4"/>
    <w:rsid w:val="0065226C"/>
    <w:rsid w:val="0065283F"/>
    <w:rsid w:val="00652ABD"/>
    <w:rsid w:val="0065376D"/>
    <w:rsid w:val="00653889"/>
    <w:rsid w:val="006542F0"/>
    <w:rsid w:val="0065442B"/>
    <w:rsid w:val="00654757"/>
    <w:rsid w:val="00654762"/>
    <w:rsid w:val="006548AF"/>
    <w:rsid w:val="00655B65"/>
    <w:rsid w:val="00656122"/>
    <w:rsid w:val="006567C9"/>
    <w:rsid w:val="006567F0"/>
    <w:rsid w:val="00656E22"/>
    <w:rsid w:val="00657EC6"/>
    <w:rsid w:val="00657FA3"/>
    <w:rsid w:val="00660262"/>
    <w:rsid w:val="0066069C"/>
    <w:rsid w:val="00661AFE"/>
    <w:rsid w:val="00662235"/>
    <w:rsid w:val="00662D13"/>
    <w:rsid w:val="006639DB"/>
    <w:rsid w:val="00664746"/>
    <w:rsid w:val="00664975"/>
    <w:rsid w:val="00664A54"/>
    <w:rsid w:val="00664C99"/>
    <w:rsid w:val="00664FD8"/>
    <w:rsid w:val="00665100"/>
    <w:rsid w:val="006657F4"/>
    <w:rsid w:val="00665FC1"/>
    <w:rsid w:val="00666968"/>
    <w:rsid w:val="00667133"/>
    <w:rsid w:val="00667384"/>
    <w:rsid w:val="0066758E"/>
    <w:rsid w:val="006677A3"/>
    <w:rsid w:val="00667B45"/>
    <w:rsid w:val="00667FF1"/>
    <w:rsid w:val="0067029F"/>
    <w:rsid w:val="0067069B"/>
    <w:rsid w:val="006707B7"/>
    <w:rsid w:val="00671193"/>
    <w:rsid w:val="006715F9"/>
    <w:rsid w:val="006719A3"/>
    <w:rsid w:val="006722CA"/>
    <w:rsid w:val="00672D60"/>
    <w:rsid w:val="00673391"/>
    <w:rsid w:val="006737B7"/>
    <w:rsid w:val="00673E00"/>
    <w:rsid w:val="006740AC"/>
    <w:rsid w:val="00674515"/>
    <w:rsid w:val="0067516B"/>
    <w:rsid w:val="006754F3"/>
    <w:rsid w:val="0067560A"/>
    <w:rsid w:val="006756C5"/>
    <w:rsid w:val="006757BD"/>
    <w:rsid w:val="00675936"/>
    <w:rsid w:val="00675DBB"/>
    <w:rsid w:val="00676B97"/>
    <w:rsid w:val="0067730F"/>
    <w:rsid w:val="006804B6"/>
    <w:rsid w:val="00680A90"/>
    <w:rsid w:val="00680F19"/>
    <w:rsid w:val="006810BB"/>
    <w:rsid w:val="0068175C"/>
    <w:rsid w:val="00682B5E"/>
    <w:rsid w:val="006832B4"/>
    <w:rsid w:val="00683503"/>
    <w:rsid w:val="00683B2C"/>
    <w:rsid w:val="00684AE1"/>
    <w:rsid w:val="00685B34"/>
    <w:rsid w:val="00685B9E"/>
    <w:rsid w:val="00685CC5"/>
    <w:rsid w:val="006863A5"/>
    <w:rsid w:val="006866A5"/>
    <w:rsid w:val="00686B69"/>
    <w:rsid w:val="00686E8C"/>
    <w:rsid w:val="006871FE"/>
    <w:rsid w:val="00687370"/>
    <w:rsid w:val="006875E6"/>
    <w:rsid w:val="00690836"/>
    <w:rsid w:val="0069084C"/>
    <w:rsid w:val="006908C7"/>
    <w:rsid w:val="006911BE"/>
    <w:rsid w:val="0069142D"/>
    <w:rsid w:val="00691510"/>
    <w:rsid w:val="0069188B"/>
    <w:rsid w:val="006919CA"/>
    <w:rsid w:val="00691AC4"/>
    <w:rsid w:val="006924DE"/>
    <w:rsid w:val="006933E9"/>
    <w:rsid w:val="00693921"/>
    <w:rsid w:val="00693BDD"/>
    <w:rsid w:val="00694165"/>
    <w:rsid w:val="00694218"/>
    <w:rsid w:val="0069482B"/>
    <w:rsid w:val="00695139"/>
    <w:rsid w:val="00695D96"/>
    <w:rsid w:val="006969DE"/>
    <w:rsid w:val="0069714E"/>
    <w:rsid w:val="00697DA1"/>
    <w:rsid w:val="006A0023"/>
    <w:rsid w:val="006A017F"/>
    <w:rsid w:val="006A0478"/>
    <w:rsid w:val="006A0CD3"/>
    <w:rsid w:val="006A0D1E"/>
    <w:rsid w:val="006A0D89"/>
    <w:rsid w:val="006A0F2D"/>
    <w:rsid w:val="006A0F61"/>
    <w:rsid w:val="006A1730"/>
    <w:rsid w:val="006A1C14"/>
    <w:rsid w:val="006A225C"/>
    <w:rsid w:val="006A26D0"/>
    <w:rsid w:val="006A29B8"/>
    <w:rsid w:val="006A2E87"/>
    <w:rsid w:val="006A3088"/>
    <w:rsid w:val="006A313C"/>
    <w:rsid w:val="006A354C"/>
    <w:rsid w:val="006A3A73"/>
    <w:rsid w:val="006A3EC7"/>
    <w:rsid w:val="006A46ED"/>
    <w:rsid w:val="006A49F5"/>
    <w:rsid w:val="006A5E86"/>
    <w:rsid w:val="006A623C"/>
    <w:rsid w:val="006A65D6"/>
    <w:rsid w:val="006A65F9"/>
    <w:rsid w:val="006A6BE9"/>
    <w:rsid w:val="006A702D"/>
    <w:rsid w:val="006A70CA"/>
    <w:rsid w:val="006A72EB"/>
    <w:rsid w:val="006A786D"/>
    <w:rsid w:val="006B1640"/>
    <w:rsid w:val="006B3238"/>
    <w:rsid w:val="006B35B0"/>
    <w:rsid w:val="006B391D"/>
    <w:rsid w:val="006B4956"/>
    <w:rsid w:val="006B4B4C"/>
    <w:rsid w:val="006B4F15"/>
    <w:rsid w:val="006B4F58"/>
    <w:rsid w:val="006B4FF5"/>
    <w:rsid w:val="006B5DE7"/>
    <w:rsid w:val="006B5F12"/>
    <w:rsid w:val="006B6044"/>
    <w:rsid w:val="006B618F"/>
    <w:rsid w:val="006B6953"/>
    <w:rsid w:val="006B7162"/>
    <w:rsid w:val="006B7433"/>
    <w:rsid w:val="006B79CC"/>
    <w:rsid w:val="006C0201"/>
    <w:rsid w:val="006C021D"/>
    <w:rsid w:val="006C0CC0"/>
    <w:rsid w:val="006C0FF3"/>
    <w:rsid w:val="006C1495"/>
    <w:rsid w:val="006C17CB"/>
    <w:rsid w:val="006C1F10"/>
    <w:rsid w:val="006C2261"/>
    <w:rsid w:val="006C2B5A"/>
    <w:rsid w:val="006C32E5"/>
    <w:rsid w:val="006C335F"/>
    <w:rsid w:val="006C342B"/>
    <w:rsid w:val="006C35EF"/>
    <w:rsid w:val="006C3757"/>
    <w:rsid w:val="006C48A9"/>
    <w:rsid w:val="006C48EC"/>
    <w:rsid w:val="006C4D47"/>
    <w:rsid w:val="006C525C"/>
    <w:rsid w:val="006C61AC"/>
    <w:rsid w:val="006C646E"/>
    <w:rsid w:val="006C68D7"/>
    <w:rsid w:val="006C7438"/>
    <w:rsid w:val="006C7618"/>
    <w:rsid w:val="006C786F"/>
    <w:rsid w:val="006C7C38"/>
    <w:rsid w:val="006C7C53"/>
    <w:rsid w:val="006D169B"/>
    <w:rsid w:val="006D1D5D"/>
    <w:rsid w:val="006D1E7E"/>
    <w:rsid w:val="006D2009"/>
    <w:rsid w:val="006D3063"/>
    <w:rsid w:val="006D38B0"/>
    <w:rsid w:val="006D39CE"/>
    <w:rsid w:val="006D47C6"/>
    <w:rsid w:val="006D4BFC"/>
    <w:rsid w:val="006D50B1"/>
    <w:rsid w:val="006D50ED"/>
    <w:rsid w:val="006D5DA6"/>
    <w:rsid w:val="006D61E0"/>
    <w:rsid w:val="006D7277"/>
    <w:rsid w:val="006D7523"/>
    <w:rsid w:val="006D77AE"/>
    <w:rsid w:val="006D7E2D"/>
    <w:rsid w:val="006D7FB0"/>
    <w:rsid w:val="006E0158"/>
    <w:rsid w:val="006E0AB3"/>
    <w:rsid w:val="006E15BF"/>
    <w:rsid w:val="006E1661"/>
    <w:rsid w:val="006E1FC1"/>
    <w:rsid w:val="006E28C5"/>
    <w:rsid w:val="006E2BB5"/>
    <w:rsid w:val="006E3631"/>
    <w:rsid w:val="006E3941"/>
    <w:rsid w:val="006E415B"/>
    <w:rsid w:val="006E43F7"/>
    <w:rsid w:val="006E45FC"/>
    <w:rsid w:val="006E4A68"/>
    <w:rsid w:val="006E4D7B"/>
    <w:rsid w:val="006E527E"/>
    <w:rsid w:val="006E592D"/>
    <w:rsid w:val="006E5E28"/>
    <w:rsid w:val="006E61BB"/>
    <w:rsid w:val="006E6250"/>
    <w:rsid w:val="006E62A3"/>
    <w:rsid w:val="006E6574"/>
    <w:rsid w:val="006E6D2D"/>
    <w:rsid w:val="006E760C"/>
    <w:rsid w:val="006F09FA"/>
    <w:rsid w:val="006F0D80"/>
    <w:rsid w:val="006F18B1"/>
    <w:rsid w:val="006F1A62"/>
    <w:rsid w:val="006F1E86"/>
    <w:rsid w:val="006F1FE8"/>
    <w:rsid w:val="006F21E2"/>
    <w:rsid w:val="006F27EF"/>
    <w:rsid w:val="006F4018"/>
    <w:rsid w:val="006F4321"/>
    <w:rsid w:val="006F47A0"/>
    <w:rsid w:val="006F4A1B"/>
    <w:rsid w:val="006F522F"/>
    <w:rsid w:val="006F5A93"/>
    <w:rsid w:val="006F607D"/>
    <w:rsid w:val="006F67AC"/>
    <w:rsid w:val="006F6ACD"/>
    <w:rsid w:val="006F6AE5"/>
    <w:rsid w:val="006F6B6C"/>
    <w:rsid w:val="006F6C48"/>
    <w:rsid w:val="006F71E9"/>
    <w:rsid w:val="006F73D5"/>
    <w:rsid w:val="006F776C"/>
    <w:rsid w:val="007004D2"/>
    <w:rsid w:val="00700DB6"/>
    <w:rsid w:val="00701A5B"/>
    <w:rsid w:val="00701C23"/>
    <w:rsid w:val="00701F89"/>
    <w:rsid w:val="00702380"/>
    <w:rsid w:val="00702941"/>
    <w:rsid w:val="00702CDA"/>
    <w:rsid w:val="007037EA"/>
    <w:rsid w:val="00703E70"/>
    <w:rsid w:val="0070422D"/>
    <w:rsid w:val="00704F57"/>
    <w:rsid w:val="007054CD"/>
    <w:rsid w:val="00705805"/>
    <w:rsid w:val="0070583F"/>
    <w:rsid w:val="00705AE8"/>
    <w:rsid w:val="00705DBC"/>
    <w:rsid w:val="007065BF"/>
    <w:rsid w:val="00706AD4"/>
    <w:rsid w:val="00707536"/>
    <w:rsid w:val="007078D6"/>
    <w:rsid w:val="00707D85"/>
    <w:rsid w:val="007101F3"/>
    <w:rsid w:val="007104EB"/>
    <w:rsid w:val="00710C2A"/>
    <w:rsid w:val="00710CEC"/>
    <w:rsid w:val="00710F28"/>
    <w:rsid w:val="00711253"/>
    <w:rsid w:val="00711D0F"/>
    <w:rsid w:val="00711D82"/>
    <w:rsid w:val="007123E3"/>
    <w:rsid w:val="007125CC"/>
    <w:rsid w:val="00712910"/>
    <w:rsid w:val="007148BF"/>
    <w:rsid w:val="00714CF2"/>
    <w:rsid w:val="00714FD9"/>
    <w:rsid w:val="0071507B"/>
    <w:rsid w:val="007154EE"/>
    <w:rsid w:val="007156B9"/>
    <w:rsid w:val="00715B26"/>
    <w:rsid w:val="00715B52"/>
    <w:rsid w:val="007164A5"/>
    <w:rsid w:val="00716885"/>
    <w:rsid w:val="00716CD2"/>
    <w:rsid w:val="0071722F"/>
    <w:rsid w:val="00717E50"/>
    <w:rsid w:val="007202BE"/>
    <w:rsid w:val="00720365"/>
    <w:rsid w:val="007204D4"/>
    <w:rsid w:val="00720817"/>
    <w:rsid w:val="00720A1D"/>
    <w:rsid w:val="00720F34"/>
    <w:rsid w:val="00721074"/>
    <w:rsid w:val="00721988"/>
    <w:rsid w:val="007219B3"/>
    <w:rsid w:val="00721CA2"/>
    <w:rsid w:val="0072217F"/>
    <w:rsid w:val="00722850"/>
    <w:rsid w:val="007228A8"/>
    <w:rsid w:val="00722973"/>
    <w:rsid w:val="00722C86"/>
    <w:rsid w:val="007231C3"/>
    <w:rsid w:val="00723621"/>
    <w:rsid w:val="0072364D"/>
    <w:rsid w:val="00724A3A"/>
    <w:rsid w:val="00724E5E"/>
    <w:rsid w:val="007253EC"/>
    <w:rsid w:val="00725432"/>
    <w:rsid w:val="00725538"/>
    <w:rsid w:val="0072593E"/>
    <w:rsid w:val="00725B86"/>
    <w:rsid w:val="007262C9"/>
    <w:rsid w:val="00726314"/>
    <w:rsid w:val="007265F0"/>
    <w:rsid w:val="00726AA1"/>
    <w:rsid w:val="00726DFA"/>
    <w:rsid w:val="00726E45"/>
    <w:rsid w:val="00726F8D"/>
    <w:rsid w:val="007275B3"/>
    <w:rsid w:val="0073127B"/>
    <w:rsid w:val="00731422"/>
    <w:rsid w:val="00732157"/>
    <w:rsid w:val="0073274E"/>
    <w:rsid w:val="0073353F"/>
    <w:rsid w:val="00733D58"/>
    <w:rsid w:val="007345F0"/>
    <w:rsid w:val="0073476F"/>
    <w:rsid w:val="007349F6"/>
    <w:rsid w:val="00734A2B"/>
    <w:rsid w:val="00734AB6"/>
    <w:rsid w:val="00735855"/>
    <w:rsid w:val="00735A91"/>
    <w:rsid w:val="00735CEC"/>
    <w:rsid w:val="00735DAF"/>
    <w:rsid w:val="0073602B"/>
    <w:rsid w:val="007361D2"/>
    <w:rsid w:val="0073653A"/>
    <w:rsid w:val="007368DE"/>
    <w:rsid w:val="00736A40"/>
    <w:rsid w:val="0073737A"/>
    <w:rsid w:val="00737B10"/>
    <w:rsid w:val="00740486"/>
    <w:rsid w:val="00740CD3"/>
    <w:rsid w:val="007410FB"/>
    <w:rsid w:val="007412B3"/>
    <w:rsid w:val="0074163F"/>
    <w:rsid w:val="00741F4F"/>
    <w:rsid w:val="00741FBE"/>
    <w:rsid w:val="007422DB"/>
    <w:rsid w:val="00742E1B"/>
    <w:rsid w:val="00742E45"/>
    <w:rsid w:val="0074300B"/>
    <w:rsid w:val="00743916"/>
    <w:rsid w:val="007447AF"/>
    <w:rsid w:val="007447C0"/>
    <w:rsid w:val="00744E5B"/>
    <w:rsid w:val="00744E8F"/>
    <w:rsid w:val="00744FFB"/>
    <w:rsid w:val="007459CF"/>
    <w:rsid w:val="00745BA9"/>
    <w:rsid w:val="00745C6F"/>
    <w:rsid w:val="007466C9"/>
    <w:rsid w:val="00746AFB"/>
    <w:rsid w:val="00747336"/>
    <w:rsid w:val="0074774D"/>
    <w:rsid w:val="0074785A"/>
    <w:rsid w:val="00750452"/>
    <w:rsid w:val="0075045E"/>
    <w:rsid w:val="00750816"/>
    <w:rsid w:val="00750C88"/>
    <w:rsid w:val="00750CB2"/>
    <w:rsid w:val="00750FC0"/>
    <w:rsid w:val="007511D1"/>
    <w:rsid w:val="00752097"/>
    <w:rsid w:val="0075252B"/>
    <w:rsid w:val="00752A5F"/>
    <w:rsid w:val="00752AE0"/>
    <w:rsid w:val="00754026"/>
    <w:rsid w:val="00754988"/>
    <w:rsid w:val="00754F9E"/>
    <w:rsid w:val="00755ACF"/>
    <w:rsid w:val="00755B6F"/>
    <w:rsid w:val="00756492"/>
    <w:rsid w:val="00757005"/>
    <w:rsid w:val="007574EF"/>
    <w:rsid w:val="00757743"/>
    <w:rsid w:val="00757B7C"/>
    <w:rsid w:val="00757D35"/>
    <w:rsid w:val="00757DE6"/>
    <w:rsid w:val="00757F75"/>
    <w:rsid w:val="00760ADF"/>
    <w:rsid w:val="007615E9"/>
    <w:rsid w:val="007618B7"/>
    <w:rsid w:val="00761EAD"/>
    <w:rsid w:val="00761ED9"/>
    <w:rsid w:val="00762173"/>
    <w:rsid w:val="007635AF"/>
    <w:rsid w:val="00763B4D"/>
    <w:rsid w:val="007644EE"/>
    <w:rsid w:val="007646C8"/>
    <w:rsid w:val="007657C1"/>
    <w:rsid w:val="00765D99"/>
    <w:rsid w:val="00765DE3"/>
    <w:rsid w:val="0076634D"/>
    <w:rsid w:val="007678EF"/>
    <w:rsid w:val="00767A9F"/>
    <w:rsid w:val="00767C8E"/>
    <w:rsid w:val="00770D9B"/>
    <w:rsid w:val="00770DD9"/>
    <w:rsid w:val="007728A5"/>
    <w:rsid w:val="00773625"/>
    <w:rsid w:val="00773B02"/>
    <w:rsid w:val="00775596"/>
    <w:rsid w:val="00775BE9"/>
    <w:rsid w:val="00776B5F"/>
    <w:rsid w:val="0077755F"/>
    <w:rsid w:val="00777639"/>
    <w:rsid w:val="00777662"/>
    <w:rsid w:val="00780B22"/>
    <w:rsid w:val="00780C42"/>
    <w:rsid w:val="00780D7C"/>
    <w:rsid w:val="007824CD"/>
    <w:rsid w:val="00782E4E"/>
    <w:rsid w:val="00783984"/>
    <w:rsid w:val="00783B9E"/>
    <w:rsid w:val="00784C58"/>
    <w:rsid w:val="0078504D"/>
    <w:rsid w:val="00785832"/>
    <w:rsid w:val="00785F8F"/>
    <w:rsid w:val="00786190"/>
    <w:rsid w:val="00786197"/>
    <w:rsid w:val="007869EA"/>
    <w:rsid w:val="0078717A"/>
    <w:rsid w:val="00787629"/>
    <w:rsid w:val="007878F3"/>
    <w:rsid w:val="00787E55"/>
    <w:rsid w:val="00790426"/>
    <w:rsid w:val="007908DE"/>
    <w:rsid w:val="007911FA"/>
    <w:rsid w:val="00791234"/>
    <w:rsid w:val="00791BB8"/>
    <w:rsid w:val="0079248B"/>
    <w:rsid w:val="007928ED"/>
    <w:rsid w:val="00792B21"/>
    <w:rsid w:val="00793251"/>
    <w:rsid w:val="00794665"/>
    <w:rsid w:val="00794A23"/>
    <w:rsid w:val="00794D8F"/>
    <w:rsid w:val="00794F05"/>
    <w:rsid w:val="00794F96"/>
    <w:rsid w:val="00795105"/>
    <w:rsid w:val="0079511E"/>
    <w:rsid w:val="00795162"/>
    <w:rsid w:val="00795457"/>
    <w:rsid w:val="00795B19"/>
    <w:rsid w:val="0079609C"/>
    <w:rsid w:val="007972CC"/>
    <w:rsid w:val="007975E5"/>
    <w:rsid w:val="007976FB"/>
    <w:rsid w:val="007979C4"/>
    <w:rsid w:val="00797CC5"/>
    <w:rsid w:val="00797D1F"/>
    <w:rsid w:val="007A06D4"/>
    <w:rsid w:val="007A081C"/>
    <w:rsid w:val="007A0994"/>
    <w:rsid w:val="007A14D0"/>
    <w:rsid w:val="007A1A8E"/>
    <w:rsid w:val="007A1CB0"/>
    <w:rsid w:val="007A1E47"/>
    <w:rsid w:val="007A22A4"/>
    <w:rsid w:val="007A23F8"/>
    <w:rsid w:val="007A24C9"/>
    <w:rsid w:val="007A24F4"/>
    <w:rsid w:val="007A2696"/>
    <w:rsid w:val="007A2830"/>
    <w:rsid w:val="007A28F2"/>
    <w:rsid w:val="007A299A"/>
    <w:rsid w:val="007A2DE8"/>
    <w:rsid w:val="007A2FE2"/>
    <w:rsid w:val="007A3034"/>
    <w:rsid w:val="007A316D"/>
    <w:rsid w:val="007A3396"/>
    <w:rsid w:val="007A35A7"/>
    <w:rsid w:val="007A406D"/>
    <w:rsid w:val="007A40BF"/>
    <w:rsid w:val="007A41E3"/>
    <w:rsid w:val="007A4228"/>
    <w:rsid w:val="007A422B"/>
    <w:rsid w:val="007A42EF"/>
    <w:rsid w:val="007A4CB3"/>
    <w:rsid w:val="007A50F7"/>
    <w:rsid w:val="007A519E"/>
    <w:rsid w:val="007A55E7"/>
    <w:rsid w:val="007A5949"/>
    <w:rsid w:val="007A59CF"/>
    <w:rsid w:val="007A5A2C"/>
    <w:rsid w:val="007A62B0"/>
    <w:rsid w:val="007A6546"/>
    <w:rsid w:val="007B050F"/>
    <w:rsid w:val="007B0B97"/>
    <w:rsid w:val="007B0BDA"/>
    <w:rsid w:val="007B0F3D"/>
    <w:rsid w:val="007B1199"/>
    <w:rsid w:val="007B1A36"/>
    <w:rsid w:val="007B1D8F"/>
    <w:rsid w:val="007B2024"/>
    <w:rsid w:val="007B23A8"/>
    <w:rsid w:val="007B2FAE"/>
    <w:rsid w:val="007B3BD5"/>
    <w:rsid w:val="007B4EBE"/>
    <w:rsid w:val="007B5304"/>
    <w:rsid w:val="007B5990"/>
    <w:rsid w:val="007B5DCF"/>
    <w:rsid w:val="007B6519"/>
    <w:rsid w:val="007B6F2F"/>
    <w:rsid w:val="007B71A0"/>
    <w:rsid w:val="007C02EE"/>
    <w:rsid w:val="007C0AA0"/>
    <w:rsid w:val="007C219A"/>
    <w:rsid w:val="007C2B8C"/>
    <w:rsid w:val="007C2D12"/>
    <w:rsid w:val="007C32ED"/>
    <w:rsid w:val="007C3DA4"/>
    <w:rsid w:val="007C45C9"/>
    <w:rsid w:val="007C4B54"/>
    <w:rsid w:val="007C5A0C"/>
    <w:rsid w:val="007C6036"/>
    <w:rsid w:val="007C65BF"/>
    <w:rsid w:val="007C66DD"/>
    <w:rsid w:val="007C6AFA"/>
    <w:rsid w:val="007C6E30"/>
    <w:rsid w:val="007C70D6"/>
    <w:rsid w:val="007C77F4"/>
    <w:rsid w:val="007C7B8A"/>
    <w:rsid w:val="007C7F15"/>
    <w:rsid w:val="007D002F"/>
    <w:rsid w:val="007D00DE"/>
    <w:rsid w:val="007D026F"/>
    <w:rsid w:val="007D0CB3"/>
    <w:rsid w:val="007D0DB8"/>
    <w:rsid w:val="007D1C62"/>
    <w:rsid w:val="007D1E42"/>
    <w:rsid w:val="007D2593"/>
    <w:rsid w:val="007D27A0"/>
    <w:rsid w:val="007D2A6C"/>
    <w:rsid w:val="007D32A9"/>
    <w:rsid w:val="007D3DA2"/>
    <w:rsid w:val="007D558F"/>
    <w:rsid w:val="007D5937"/>
    <w:rsid w:val="007D5953"/>
    <w:rsid w:val="007D61BF"/>
    <w:rsid w:val="007D64BD"/>
    <w:rsid w:val="007D6CB2"/>
    <w:rsid w:val="007D713B"/>
    <w:rsid w:val="007D731D"/>
    <w:rsid w:val="007D7D45"/>
    <w:rsid w:val="007D7DCE"/>
    <w:rsid w:val="007D7FB7"/>
    <w:rsid w:val="007E0436"/>
    <w:rsid w:val="007E07A0"/>
    <w:rsid w:val="007E0B27"/>
    <w:rsid w:val="007E0FEE"/>
    <w:rsid w:val="007E1E39"/>
    <w:rsid w:val="007E2871"/>
    <w:rsid w:val="007E2E90"/>
    <w:rsid w:val="007E395C"/>
    <w:rsid w:val="007E3C74"/>
    <w:rsid w:val="007E4B37"/>
    <w:rsid w:val="007E4D17"/>
    <w:rsid w:val="007E5D09"/>
    <w:rsid w:val="007E69B7"/>
    <w:rsid w:val="007E69D4"/>
    <w:rsid w:val="007E6BFC"/>
    <w:rsid w:val="007E7958"/>
    <w:rsid w:val="007E7B4B"/>
    <w:rsid w:val="007F01B1"/>
    <w:rsid w:val="007F062E"/>
    <w:rsid w:val="007F130E"/>
    <w:rsid w:val="007F1680"/>
    <w:rsid w:val="007F1746"/>
    <w:rsid w:val="007F1773"/>
    <w:rsid w:val="007F1F6A"/>
    <w:rsid w:val="007F2017"/>
    <w:rsid w:val="007F274F"/>
    <w:rsid w:val="007F2EF6"/>
    <w:rsid w:val="007F2FB8"/>
    <w:rsid w:val="007F33F9"/>
    <w:rsid w:val="007F3832"/>
    <w:rsid w:val="007F3904"/>
    <w:rsid w:val="007F3EBB"/>
    <w:rsid w:val="007F3EF9"/>
    <w:rsid w:val="007F4325"/>
    <w:rsid w:val="007F4755"/>
    <w:rsid w:val="007F47BD"/>
    <w:rsid w:val="007F49F4"/>
    <w:rsid w:val="007F4BE8"/>
    <w:rsid w:val="007F5E73"/>
    <w:rsid w:val="007F651B"/>
    <w:rsid w:val="007F6946"/>
    <w:rsid w:val="007F734D"/>
    <w:rsid w:val="007F75EF"/>
    <w:rsid w:val="007F7975"/>
    <w:rsid w:val="007F7CE2"/>
    <w:rsid w:val="007F7F9F"/>
    <w:rsid w:val="0080032B"/>
    <w:rsid w:val="00800ADE"/>
    <w:rsid w:val="00800BE0"/>
    <w:rsid w:val="00801044"/>
    <w:rsid w:val="00801D2A"/>
    <w:rsid w:val="008022FE"/>
    <w:rsid w:val="00802347"/>
    <w:rsid w:val="00802409"/>
    <w:rsid w:val="00802A09"/>
    <w:rsid w:val="00802AC0"/>
    <w:rsid w:val="0080390E"/>
    <w:rsid w:val="00804051"/>
    <w:rsid w:val="008049C7"/>
    <w:rsid w:val="00804A4A"/>
    <w:rsid w:val="0080524A"/>
    <w:rsid w:val="008052C0"/>
    <w:rsid w:val="008053A0"/>
    <w:rsid w:val="00805B53"/>
    <w:rsid w:val="008062E5"/>
    <w:rsid w:val="008064EA"/>
    <w:rsid w:val="00806604"/>
    <w:rsid w:val="00806D03"/>
    <w:rsid w:val="00806E28"/>
    <w:rsid w:val="00806E6C"/>
    <w:rsid w:val="00807637"/>
    <w:rsid w:val="00807B08"/>
    <w:rsid w:val="00807B20"/>
    <w:rsid w:val="00807CE1"/>
    <w:rsid w:val="008108D5"/>
    <w:rsid w:val="008109B2"/>
    <w:rsid w:val="008126F9"/>
    <w:rsid w:val="00812765"/>
    <w:rsid w:val="00812F08"/>
    <w:rsid w:val="00813413"/>
    <w:rsid w:val="008135C3"/>
    <w:rsid w:val="00813B68"/>
    <w:rsid w:val="0081423B"/>
    <w:rsid w:val="0081480E"/>
    <w:rsid w:val="00814968"/>
    <w:rsid w:val="008152A0"/>
    <w:rsid w:val="00815785"/>
    <w:rsid w:val="008159CF"/>
    <w:rsid w:val="00815C94"/>
    <w:rsid w:val="0081659F"/>
    <w:rsid w:val="008169F8"/>
    <w:rsid w:val="00816E05"/>
    <w:rsid w:val="00816E41"/>
    <w:rsid w:val="00817425"/>
    <w:rsid w:val="008209D2"/>
    <w:rsid w:val="008213E9"/>
    <w:rsid w:val="008214C5"/>
    <w:rsid w:val="008218D6"/>
    <w:rsid w:val="00822ED0"/>
    <w:rsid w:val="00823A1A"/>
    <w:rsid w:val="008256AE"/>
    <w:rsid w:val="0082599E"/>
    <w:rsid w:val="00825D7C"/>
    <w:rsid w:val="0082625C"/>
    <w:rsid w:val="008263F3"/>
    <w:rsid w:val="008301C4"/>
    <w:rsid w:val="00830EBC"/>
    <w:rsid w:val="00830EDA"/>
    <w:rsid w:val="00831D18"/>
    <w:rsid w:val="00831E2C"/>
    <w:rsid w:val="00832DB2"/>
    <w:rsid w:val="008339BB"/>
    <w:rsid w:val="00833CC3"/>
    <w:rsid w:val="00833E41"/>
    <w:rsid w:val="00833EEB"/>
    <w:rsid w:val="00834072"/>
    <w:rsid w:val="00834847"/>
    <w:rsid w:val="00835090"/>
    <w:rsid w:val="008350A3"/>
    <w:rsid w:val="00835170"/>
    <w:rsid w:val="008356A2"/>
    <w:rsid w:val="00835A1D"/>
    <w:rsid w:val="00835A51"/>
    <w:rsid w:val="00835C6D"/>
    <w:rsid w:val="00835FE1"/>
    <w:rsid w:val="008361C9"/>
    <w:rsid w:val="0083644B"/>
    <w:rsid w:val="00836A9E"/>
    <w:rsid w:val="00837215"/>
    <w:rsid w:val="00837688"/>
    <w:rsid w:val="00837877"/>
    <w:rsid w:val="00840108"/>
    <w:rsid w:val="008406B2"/>
    <w:rsid w:val="00840910"/>
    <w:rsid w:val="008409E8"/>
    <w:rsid w:val="008410A5"/>
    <w:rsid w:val="008410E1"/>
    <w:rsid w:val="00841285"/>
    <w:rsid w:val="008419E8"/>
    <w:rsid w:val="00841E9F"/>
    <w:rsid w:val="00842036"/>
    <w:rsid w:val="008423E3"/>
    <w:rsid w:val="00842589"/>
    <w:rsid w:val="00842688"/>
    <w:rsid w:val="008427E6"/>
    <w:rsid w:val="00842AA4"/>
    <w:rsid w:val="00842E20"/>
    <w:rsid w:val="00842E89"/>
    <w:rsid w:val="0084307D"/>
    <w:rsid w:val="0084309C"/>
    <w:rsid w:val="008439BA"/>
    <w:rsid w:val="008439DD"/>
    <w:rsid w:val="00843A30"/>
    <w:rsid w:val="00844037"/>
    <w:rsid w:val="00844404"/>
    <w:rsid w:val="0084447D"/>
    <w:rsid w:val="008455B1"/>
    <w:rsid w:val="00845E6E"/>
    <w:rsid w:val="0084632D"/>
    <w:rsid w:val="008464CD"/>
    <w:rsid w:val="00847042"/>
    <w:rsid w:val="0084707B"/>
    <w:rsid w:val="00847453"/>
    <w:rsid w:val="008507EC"/>
    <w:rsid w:val="00850E5B"/>
    <w:rsid w:val="00850ED5"/>
    <w:rsid w:val="008511B3"/>
    <w:rsid w:val="008511F8"/>
    <w:rsid w:val="0085201B"/>
    <w:rsid w:val="00852367"/>
    <w:rsid w:val="00852663"/>
    <w:rsid w:val="00852929"/>
    <w:rsid w:val="0085298C"/>
    <w:rsid w:val="00852A09"/>
    <w:rsid w:val="00852D52"/>
    <w:rsid w:val="00853955"/>
    <w:rsid w:val="00853A29"/>
    <w:rsid w:val="00853FEF"/>
    <w:rsid w:val="00854071"/>
    <w:rsid w:val="008547D7"/>
    <w:rsid w:val="0085483E"/>
    <w:rsid w:val="0085557D"/>
    <w:rsid w:val="00855D6B"/>
    <w:rsid w:val="00855F07"/>
    <w:rsid w:val="008561BB"/>
    <w:rsid w:val="00856E42"/>
    <w:rsid w:val="008571D2"/>
    <w:rsid w:val="00857446"/>
    <w:rsid w:val="00857F79"/>
    <w:rsid w:val="00860815"/>
    <w:rsid w:val="00860971"/>
    <w:rsid w:val="008609E3"/>
    <w:rsid w:val="0086140B"/>
    <w:rsid w:val="0086157D"/>
    <w:rsid w:val="00861D1C"/>
    <w:rsid w:val="00862801"/>
    <w:rsid w:val="00862BA4"/>
    <w:rsid w:val="00862EC3"/>
    <w:rsid w:val="00862FC1"/>
    <w:rsid w:val="00863357"/>
    <w:rsid w:val="0086353D"/>
    <w:rsid w:val="008635E0"/>
    <w:rsid w:val="00863B80"/>
    <w:rsid w:val="00863BA9"/>
    <w:rsid w:val="0086419A"/>
    <w:rsid w:val="0086510B"/>
    <w:rsid w:val="00865683"/>
    <w:rsid w:val="00865EEF"/>
    <w:rsid w:val="00865F9A"/>
    <w:rsid w:val="00865FFB"/>
    <w:rsid w:val="00866563"/>
    <w:rsid w:val="0086791A"/>
    <w:rsid w:val="00867DA3"/>
    <w:rsid w:val="008701FC"/>
    <w:rsid w:val="0087023B"/>
    <w:rsid w:val="0087046D"/>
    <w:rsid w:val="008705D6"/>
    <w:rsid w:val="00870ADD"/>
    <w:rsid w:val="00870B12"/>
    <w:rsid w:val="00871BE5"/>
    <w:rsid w:val="00871E40"/>
    <w:rsid w:val="00872227"/>
    <w:rsid w:val="008727BF"/>
    <w:rsid w:val="00872FED"/>
    <w:rsid w:val="00873309"/>
    <w:rsid w:val="0087352F"/>
    <w:rsid w:val="00873567"/>
    <w:rsid w:val="00873CF0"/>
    <w:rsid w:val="00874EA9"/>
    <w:rsid w:val="0087562F"/>
    <w:rsid w:val="00875636"/>
    <w:rsid w:val="00876200"/>
    <w:rsid w:val="00876AB4"/>
    <w:rsid w:val="008773B6"/>
    <w:rsid w:val="00877ADA"/>
    <w:rsid w:val="00877B13"/>
    <w:rsid w:val="00877D5B"/>
    <w:rsid w:val="008800B5"/>
    <w:rsid w:val="008805C7"/>
    <w:rsid w:val="00880CC6"/>
    <w:rsid w:val="00880D4F"/>
    <w:rsid w:val="00881858"/>
    <w:rsid w:val="00881FA0"/>
    <w:rsid w:val="00882716"/>
    <w:rsid w:val="00882892"/>
    <w:rsid w:val="008828D0"/>
    <w:rsid w:val="008828E5"/>
    <w:rsid w:val="0088336D"/>
    <w:rsid w:val="00884D99"/>
    <w:rsid w:val="00884DB8"/>
    <w:rsid w:val="00884E17"/>
    <w:rsid w:val="008859F6"/>
    <w:rsid w:val="0088646C"/>
    <w:rsid w:val="008877C8"/>
    <w:rsid w:val="00887EF9"/>
    <w:rsid w:val="00889214"/>
    <w:rsid w:val="00890D6E"/>
    <w:rsid w:val="00890F7E"/>
    <w:rsid w:val="00892076"/>
    <w:rsid w:val="00892E1A"/>
    <w:rsid w:val="008932E9"/>
    <w:rsid w:val="00893972"/>
    <w:rsid w:val="00893C2C"/>
    <w:rsid w:val="00894429"/>
    <w:rsid w:val="0089464E"/>
    <w:rsid w:val="008946AC"/>
    <w:rsid w:val="00894969"/>
    <w:rsid w:val="00894A8B"/>
    <w:rsid w:val="00895A4F"/>
    <w:rsid w:val="00895AE6"/>
    <w:rsid w:val="00895B78"/>
    <w:rsid w:val="008967A9"/>
    <w:rsid w:val="008971D4"/>
    <w:rsid w:val="008973A6"/>
    <w:rsid w:val="00897A6E"/>
    <w:rsid w:val="008A02F5"/>
    <w:rsid w:val="008A0423"/>
    <w:rsid w:val="008A0441"/>
    <w:rsid w:val="008A050A"/>
    <w:rsid w:val="008A08BF"/>
    <w:rsid w:val="008A179F"/>
    <w:rsid w:val="008A17F3"/>
    <w:rsid w:val="008A1AE4"/>
    <w:rsid w:val="008A1F84"/>
    <w:rsid w:val="008A1FA1"/>
    <w:rsid w:val="008A3174"/>
    <w:rsid w:val="008A34C1"/>
    <w:rsid w:val="008A3899"/>
    <w:rsid w:val="008A3EA7"/>
    <w:rsid w:val="008A4719"/>
    <w:rsid w:val="008A4E58"/>
    <w:rsid w:val="008A58C2"/>
    <w:rsid w:val="008A5BC0"/>
    <w:rsid w:val="008A5F6C"/>
    <w:rsid w:val="008A60D1"/>
    <w:rsid w:val="008A678A"/>
    <w:rsid w:val="008A6C03"/>
    <w:rsid w:val="008A6DFE"/>
    <w:rsid w:val="008A6EE6"/>
    <w:rsid w:val="008A7167"/>
    <w:rsid w:val="008A7578"/>
    <w:rsid w:val="008A7D78"/>
    <w:rsid w:val="008B0178"/>
    <w:rsid w:val="008B0864"/>
    <w:rsid w:val="008B090B"/>
    <w:rsid w:val="008B09C4"/>
    <w:rsid w:val="008B0D89"/>
    <w:rsid w:val="008B0EC6"/>
    <w:rsid w:val="008B175A"/>
    <w:rsid w:val="008B191B"/>
    <w:rsid w:val="008B1A07"/>
    <w:rsid w:val="008B20EF"/>
    <w:rsid w:val="008B238F"/>
    <w:rsid w:val="008B23F7"/>
    <w:rsid w:val="008B2750"/>
    <w:rsid w:val="008B2767"/>
    <w:rsid w:val="008B2B1D"/>
    <w:rsid w:val="008B2F5B"/>
    <w:rsid w:val="008B3B6A"/>
    <w:rsid w:val="008B41A7"/>
    <w:rsid w:val="008B4571"/>
    <w:rsid w:val="008B4734"/>
    <w:rsid w:val="008B5505"/>
    <w:rsid w:val="008B59CF"/>
    <w:rsid w:val="008B667B"/>
    <w:rsid w:val="008B6B0F"/>
    <w:rsid w:val="008B6E9E"/>
    <w:rsid w:val="008B7376"/>
    <w:rsid w:val="008B7705"/>
    <w:rsid w:val="008B7837"/>
    <w:rsid w:val="008B7DD7"/>
    <w:rsid w:val="008C0138"/>
    <w:rsid w:val="008C02CF"/>
    <w:rsid w:val="008C04E7"/>
    <w:rsid w:val="008C0EC9"/>
    <w:rsid w:val="008C0F9B"/>
    <w:rsid w:val="008C1B84"/>
    <w:rsid w:val="008C1FCE"/>
    <w:rsid w:val="008C207A"/>
    <w:rsid w:val="008C3158"/>
    <w:rsid w:val="008C31C5"/>
    <w:rsid w:val="008C34CD"/>
    <w:rsid w:val="008C39F8"/>
    <w:rsid w:val="008C3CB7"/>
    <w:rsid w:val="008C44C4"/>
    <w:rsid w:val="008C4D2B"/>
    <w:rsid w:val="008C51A1"/>
    <w:rsid w:val="008C56A8"/>
    <w:rsid w:val="008C5B19"/>
    <w:rsid w:val="008C5B51"/>
    <w:rsid w:val="008C6A25"/>
    <w:rsid w:val="008C6B47"/>
    <w:rsid w:val="008C6DA8"/>
    <w:rsid w:val="008C7413"/>
    <w:rsid w:val="008C7846"/>
    <w:rsid w:val="008C788E"/>
    <w:rsid w:val="008D001C"/>
    <w:rsid w:val="008D055C"/>
    <w:rsid w:val="008D070E"/>
    <w:rsid w:val="008D0EB6"/>
    <w:rsid w:val="008D10D3"/>
    <w:rsid w:val="008D1405"/>
    <w:rsid w:val="008D150A"/>
    <w:rsid w:val="008D16B7"/>
    <w:rsid w:val="008D1AC5"/>
    <w:rsid w:val="008D1E5A"/>
    <w:rsid w:val="008D2CA5"/>
    <w:rsid w:val="008D2CCA"/>
    <w:rsid w:val="008D30A7"/>
    <w:rsid w:val="008D3894"/>
    <w:rsid w:val="008D4308"/>
    <w:rsid w:val="008D4428"/>
    <w:rsid w:val="008D44C7"/>
    <w:rsid w:val="008D4B13"/>
    <w:rsid w:val="008D5397"/>
    <w:rsid w:val="008D5A72"/>
    <w:rsid w:val="008D627B"/>
    <w:rsid w:val="008D6FB2"/>
    <w:rsid w:val="008D7813"/>
    <w:rsid w:val="008E0438"/>
    <w:rsid w:val="008E09B1"/>
    <w:rsid w:val="008E0BC9"/>
    <w:rsid w:val="008E15C5"/>
    <w:rsid w:val="008E1675"/>
    <w:rsid w:val="008E245A"/>
    <w:rsid w:val="008E24A7"/>
    <w:rsid w:val="008E2E68"/>
    <w:rsid w:val="008E3553"/>
    <w:rsid w:val="008E43E0"/>
    <w:rsid w:val="008E4A3A"/>
    <w:rsid w:val="008E4A42"/>
    <w:rsid w:val="008E5062"/>
    <w:rsid w:val="008E6655"/>
    <w:rsid w:val="008E6AE6"/>
    <w:rsid w:val="008E6C1A"/>
    <w:rsid w:val="008E6DFC"/>
    <w:rsid w:val="008E6F44"/>
    <w:rsid w:val="008E7387"/>
    <w:rsid w:val="008E73F4"/>
    <w:rsid w:val="008E7C0B"/>
    <w:rsid w:val="008F0116"/>
    <w:rsid w:val="008F02EA"/>
    <w:rsid w:val="008F0D13"/>
    <w:rsid w:val="008F0FF2"/>
    <w:rsid w:val="008F143D"/>
    <w:rsid w:val="008F192C"/>
    <w:rsid w:val="008F1D7D"/>
    <w:rsid w:val="008F1E6E"/>
    <w:rsid w:val="008F2BA5"/>
    <w:rsid w:val="008F2F46"/>
    <w:rsid w:val="008F330E"/>
    <w:rsid w:val="008F33C9"/>
    <w:rsid w:val="008F37FA"/>
    <w:rsid w:val="008F38AC"/>
    <w:rsid w:val="008F3EF4"/>
    <w:rsid w:val="008F48B6"/>
    <w:rsid w:val="008F4C5A"/>
    <w:rsid w:val="008F4C78"/>
    <w:rsid w:val="008F572A"/>
    <w:rsid w:val="008F61A0"/>
    <w:rsid w:val="008F675C"/>
    <w:rsid w:val="008F67B5"/>
    <w:rsid w:val="008F706A"/>
    <w:rsid w:val="008F7290"/>
    <w:rsid w:val="008F793A"/>
    <w:rsid w:val="008F7C84"/>
    <w:rsid w:val="008F7D7A"/>
    <w:rsid w:val="0090095E"/>
    <w:rsid w:val="0090099C"/>
    <w:rsid w:val="00900D87"/>
    <w:rsid w:val="009011BA"/>
    <w:rsid w:val="009014F5"/>
    <w:rsid w:val="009026A4"/>
    <w:rsid w:val="00902970"/>
    <w:rsid w:val="00902A32"/>
    <w:rsid w:val="00902FFD"/>
    <w:rsid w:val="009031CE"/>
    <w:rsid w:val="00903698"/>
    <w:rsid w:val="00904017"/>
    <w:rsid w:val="009046BB"/>
    <w:rsid w:val="009050F5"/>
    <w:rsid w:val="009051B3"/>
    <w:rsid w:val="00905327"/>
    <w:rsid w:val="009069AB"/>
    <w:rsid w:val="00907596"/>
    <w:rsid w:val="0090783B"/>
    <w:rsid w:val="00910DD3"/>
    <w:rsid w:val="009120A7"/>
    <w:rsid w:val="009122AC"/>
    <w:rsid w:val="009122DB"/>
    <w:rsid w:val="00913625"/>
    <w:rsid w:val="009137DA"/>
    <w:rsid w:val="0091397D"/>
    <w:rsid w:val="00913994"/>
    <w:rsid w:val="00914292"/>
    <w:rsid w:val="00915B91"/>
    <w:rsid w:val="009164F4"/>
    <w:rsid w:val="009166EB"/>
    <w:rsid w:val="00916B0A"/>
    <w:rsid w:val="0091794B"/>
    <w:rsid w:val="00917B0D"/>
    <w:rsid w:val="00917D22"/>
    <w:rsid w:val="009206D1"/>
    <w:rsid w:val="00920A2C"/>
    <w:rsid w:val="00920A78"/>
    <w:rsid w:val="00920B47"/>
    <w:rsid w:val="00920CE7"/>
    <w:rsid w:val="00920F87"/>
    <w:rsid w:val="00921110"/>
    <w:rsid w:val="009214E9"/>
    <w:rsid w:val="009219B4"/>
    <w:rsid w:val="00921CD3"/>
    <w:rsid w:val="00922CD2"/>
    <w:rsid w:val="00923C3F"/>
    <w:rsid w:val="00924102"/>
    <w:rsid w:val="009244B1"/>
    <w:rsid w:val="009250C5"/>
    <w:rsid w:val="0092514B"/>
    <w:rsid w:val="0092535F"/>
    <w:rsid w:val="0092577D"/>
    <w:rsid w:val="009259B9"/>
    <w:rsid w:val="009260F2"/>
    <w:rsid w:val="00926A84"/>
    <w:rsid w:val="00927163"/>
    <w:rsid w:val="0092724F"/>
    <w:rsid w:val="0092788D"/>
    <w:rsid w:val="00930351"/>
    <w:rsid w:val="009306E2"/>
    <w:rsid w:val="009308C7"/>
    <w:rsid w:val="00930A01"/>
    <w:rsid w:val="0093143C"/>
    <w:rsid w:val="00931644"/>
    <w:rsid w:val="009316C0"/>
    <w:rsid w:val="00931828"/>
    <w:rsid w:val="00931E52"/>
    <w:rsid w:val="00932865"/>
    <w:rsid w:val="00932896"/>
    <w:rsid w:val="00932BB4"/>
    <w:rsid w:val="009340BA"/>
    <w:rsid w:val="00934291"/>
    <w:rsid w:val="00934E89"/>
    <w:rsid w:val="0093507F"/>
    <w:rsid w:val="00935440"/>
    <w:rsid w:val="00936CD5"/>
    <w:rsid w:val="00937E74"/>
    <w:rsid w:val="0094002B"/>
    <w:rsid w:val="009400F8"/>
    <w:rsid w:val="00941537"/>
    <w:rsid w:val="00941A5F"/>
    <w:rsid w:val="009424EA"/>
    <w:rsid w:val="00942BFE"/>
    <w:rsid w:val="00942C6D"/>
    <w:rsid w:val="00942EA7"/>
    <w:rsid w:val="009439B8"/>
    <w:rsid w:val="00943CA4"/>
    <w:rsid w:val="00943CA8"/>
    <w:rsid w:val="00943F8C"/>
    <w:rsid w:val="00944316"/>
    <w:rsid w:val="009443A0"/>
    <w:rsid w:val="00944544"/>
    <w:rsid w:val="009453AE"/>
    <w:rsid w:val="009458A2"/>
    <w:rsid w:val="00945FDC"/>
    <w:rsid w:val="00946279"/>
    <w:rsid w:val="0094632F"/>
    <w:rsid w:val="00950282"/>
    <w:rsid w:val="0095123E"/>
    <w:rsid w:val="0095152F"/>
    <w:rsid w:val="00951F1C"/>
    <w:rsid w:val="00952133"/>
    <w:rsid w:val="00952220"/>
    <w:rsid w:val="00952923"/>
    <w:rsid w:val="00952C36"/>
    <w:rsid w:val="00952E0E"/>
    <w:rsid w:val="00953177"/>
    <w:rsid w:val="00954550"/>
    <w:rsid w:val="00954748"/>
    <w:rsid w:val="009550BB"/>
    <w:rsid w:val="009551EE"/>
    <w:rsid w:val="0095526D"/>
    <w:rsid w:val="0095580E"/>
    <w:rsid w:val="00955CB2"/>
    <w:rsid w:val="009563E1"/>
    <w:rsid w:val="00956843"/>
    <w:rsid w:val="00956AC3"/>
    <w:rsid w:val="00957BDB"/>
    <w:rsid w:val="00960250"/>
    <w:rsid w:val="00960516"/>
    <w:rsid w:val="0096068E"/>
    <w:rsid w:val="00960FB1"/>
    <w:rsid w:val="009619D0"/>
    <w:rsid w:val="00961DAF"/>
    <w:rsid w:val="009626C3"/>
    <w:rsid w:val="00962C16"/>
    <w:rsid w:val="009630CA"/>
    <w:rsid w:val="0096398E"/>
    <w:rsid w:val="00964434"/>
    <w:rsid w:val="00965084"/>
    <w:rsid w:val="00966308"/>
    <w:rsid w:val="00967F57"/>
    <w:rsid w:val="00970094"/>
    <w:rsid w:val="009701AF"/>
    <w:rsid w:val="00970AF9"/>
    <w:rsid w:val="00970DC2"/>
    <w:rsid w:val="0097120D"/>
    <w:rsid w:val="00971DAD"/>
    <w:rsid w:val="00971DC0"/>
    <w:rsid w:val="00971FF9"/>
    <w:rsid w:val="009723CB"/>
    <w:rsid w:val="00972E47"/>
    <w:rsid w:val="009731D8"/>
    <w:rsid w:val="009732F4"/>
    <w:rsid w:val="00973D9A"/>
    <w:rsid w:val="00973DA5"/>
    <w:rsid w:val="00974073"/>
    <w:rsid w:val="00974549"/>
    <w:rsid w:val="00974847"/>
    <w:rsid w:val="00975368"/>
    <w:rsid w:val="00975F52"/>
    <w:rsid w:val="0097711F"/>
    <w:rsid w:val="00977F5E"/>
    <w:rsid w:val="009804B0"/>
    <w:rsid w:val="009806F9"/>
    <w:rsid w:val="009809B5"/>
    <w:rsid w:val="00980ADB"/>
    <w:rsid w:val="009810E6"/>
    <w:rsid w:val="0098138E"/>
    <w:rsid w:val="0098185E"/>
    <w:rsid w:val="00981A08"/>
    <w:rsid w:val="00982058"/>
    <w:rsid w:val="0098244F"/>
    <w:rsid w:val="0098294E"/>
    <w:rsid w:val="00983E18"/>
    <w:rsid w:val="00983EBC"/>
    <w:rsid w:val="009845B7"/>
    <w:rsid w:val="00985DCE"/>
    <w:rsid w:val="00985E3C"/>
    <w:rsid w:val="00986035"/>
    <w:rsid w:val="0098624B"/>
    <w:rsid w:val="0098644F"/>
    <w:rsid w:val="00986555"/>
    <w:rsid w:val="0098655A"/>
    <w:rsid w:val="009877DA"/>
    <w:rsid w:val="00990136"/>
    <w:rsid w:val="00990680"/>
    <w:rsid w:val="00990F72"/>
    <w:rsid w:val="00991076"/>
    <w:rsid w:val="009910C3"/>
    <w:rsid w:val="009915D3"/>
    <w:rsid w:val="00991AE6"/>
    <w:rsid w:val="00992D82"/>
    <w:rsid w:val="00993658"/>
    <w:rsid w:val="00993F52"/>
    <w:rsid w:val="0099447F"/>
    <w:rsid w:val="00994929"/>
    <w:rsid w:val="00994BC1"/>
    <w:rsid w:val="00994C79"/>
    <w:rsid w:val="00994E01"/>
    <w:rsid w:val="00994FF0"/>
    <w:rsid w:val="009953F0"/>
    <w:rsid w:val="00995928"/>
    <w:rsid w:val="00995C27"/>
    <w:rsid w:val="00996805"/>
    <w:rsid w:val="00996AF9"/>
    <w:rsid w:val="00996E46"/>
    <w:rsid w:val="00996EB7"/>
    <w:rsid w:val="009972E4"/>
    <w:rsid w:val="00997478"/>
    <w:rsid w:val="00997700"/>
    <w:rsid w:val="00997868"/>
    <w:rsid w:val="00997AD1"/>
    <w:rsid w:val="00997B35"/>
    <w:rsid w:val="009A003D"/>
    <w:rsid w:val="009A03C3"/>
    <w:rsid w:val="009A04CD"/>
    <w:rsid w:val="009A139D"/>
    <w:rsid w:val="009A1FDC"/>
    <w:rsid w:val="009A24D8"/>
    <w:rsid w:val="009A2D48"/>
    <w:rsid w:val="009A314F"/>
    <w:rsid w:val="009A3B47"/>
    <w:rsid w:val="009A3CA8"/>
    <w:rsid w:val="009A3D00"/>
    <w:rsid w:val="009A3FCC"/>
    <w:rsid w:val="009A48FA"/>
    <w:rsid w:val="009A56F6"/>
    <w:rsid w:val="009A5A55"/>
    <w:rsid w:val="009A5CE7"/>
    <w:rsid w:val="009A5F2B"/>
    <w:rsid w:val="009A6CAC"/>
    <w:rsid w:val="009A6E36"/>
    <w:rsid w:val="009A7A11"/>
    <w:rsid w:val="009B0590"/>
    <w:rsid w:val="009B06B8"/>
    <w:rsid w:val="009B095B"/>
    <w:rsid w:val="009B0CDF"/>
    <w:rsid w:val="009B2061"/>
    <w:rsid w:val="009B2184"/>
    <w:rsid w:val="009B28D2"/>
    <w:rsid w:val="009B2904"/>
    <w:rsid w:val="009B2C87"/>
    <w:rsid w:val="009B31C0"/>
    <w:rsid w:val="009B3BDF"/>
    <w:rsid w:val="009B458B"/>
    <w:rsid w:val="009B4685"/>
    <w:rsid w:val="009B4AF3"/>
    <w:rsid w:val="009B4D83"/>
    <w:rsid w:val="009B4EB7"/>
    <w:rsid w:val="009B4F4C"/>
    <w:rsid w:val="009B5233"/>
    <w:rsid w:val="009B5C54"/>
    <w:rsid w:val="009B67B7"/>
    <w:rsid w:val="009B69DA"/>
    <w:rsid w:val="009B761D"/>
    <w:rsid w:val="009B7E37"/>
    <w:rsid w:val="009B7E3E"/>
    <w:rsid w:val="009C08C6"/>
    <w:rsid w:val="009C0D82"/>
    <w:rsid w:val="009C11C6"/>
    <w:rsid w:val="009C1E13"/>
    <w:rsid w:val="009C2611"/>
    <w:rsid w:val="009C2A4F"/>
    <w:rsid w:val="009C309A"/>
    <w:rsid w:val="009C3FA6"/>
    <w:rsid w:val="009C448C"/>
    <w:rsid w:val="009C46BE"/>
    <w:rsid w:val="009C5F7A"/>
    <w:rsid w:val="009C6124"/>
    <w:rsid w:val="009C6570"/>
    <w:rsid w:val="009C6EF8"/>
    <w:rsid w:val="009C75DE"/>
    <w:rsid w:val="009C7DC6"/>
    <w:rsid w:val="009D0F12"/>
    <w:rsid w:val="009D1437"/>
    <w:rsid w:val="009D18E4"/>
    <w:rsid w:val="009D1C51"/>
    <w:rsid w:val="009D256F"/>
    <w:rsid w:val="009D2680"/>
    <w:rsid w:val="009D2843"/>
    <w:rsid w:val="009D3067"/>
    <w:rsid w:val="009D3576"/>
    <w:rsid w:val="009D3B8A"/>
    <w:rsid w:val="009D3BBF"/>
    <w:rsid w:val="009D4401"/>
    <w:rsid w:val="009D4544"/>
    <w:rsid w:val="009D470B"/>
    <w:rsid w:val="009D4E03"/>
    <w:rsid w:val="009D5247"/>
    <w:rsid w:val="009D58F8"/>
    <w:rsid w:val="009D5ACC"/>
    <w:rsid w:val="009D6735"/>
    <w:rsid w:val="009D67A9"/>
    <w:rsid w:val="009D67DD"/>
    <w:rsid w:val="009D742C"/>
    <w:rsid w:val="009D7ACB"/>
    <w:rsid w:val="009E0A5E"/>
    <w:rsid w:val="009E124E"/>
    <w:rsid w:val="009E15D7"/>
    <w:rsid w:val="009E168C"/>
    <w:rsid w:val="009E16FF"/>
    <w:rsid w:val="009E212E"/>
    <w:rsid w:val="009E2773"/>
    <w:rsid w:val="009E2A0A"/>
    <w:rsid w:val="009E39A9"/>
    <w:rsid w:val="009E4391"/>
    <w:rsid w:val="009E44B5"/>
    <w:rsid w:val="009E46B2"/>
    <w:rsid w:val="009E525D"/>
    <w:rsid w:val="009E5349"/>
    <w:rsid w:val="009E6052"/>
    <w:rsid w:val="009E689A"/>
    <w:rsid w:val="009E6BD8"/>
    <w:rsid w:val="009E708D"/>
    <w:rsid w:val="009E77CB"/>
    <w:rsid w:val="009E7C7F"/>
    <w:rsid w:val="009F0075"/>
    <w:rsid w:val="009F13C6"/>
    <w:rsid w:val="009F1402"/>
    <w:rsid w:val="009F2791"/>
    <w:rsid w:val="009F289D"/>
    <w:rsid w:val="009F2A4D"/>
    <w:rsid w:val="009F2C15"/>
    <w:rsid w:val="009F2FB4"/>
    <w:rsid w:val="009F306E"/>
    <w:rsid w:val="009F35EA"/>
    <w:rsid w:val="009F3846"/>
    <w:rsid w:val="009F3CFC"/>
    <w:rsid w:val="009F44B8"/>
    <w:rsid w:val="009F4F11"/>
    <w:rsid w:val="009F5041"/>
    <w:rsid w:val="009F5EEB"/>
    <w:rsid w:val="009F6306"/>
    <w:rsid w:val="009F712A"/>
    <w:rsid w:val="009F7499"/>
    <w:rsid w:val="009F7762"/>
    <w:rsid w:val="009F7ADC"/>
    <w:rsid w:val="00A001EA"/>
    <w:rsid w:val="00A002DF"/>
    <w:rsid w:val="00A00608"/>
    <w:rsid w:val="00A0071E"/>
    <w:rsid w:val="00A0085E"/>
    <w:rsid w:val="00A00B80"/>
    <w:rsid w:val="00A01900"/>
    <w:rsid w:val="00A01A3F"/>
    <w:rsid w:val="00A01F40"/>
    <w:rsid w:val="00A027F4"/>
    <w:rsid w:val="00A04274"/>
    <w:rsid w:val="00A04D8B"/>
    <w:rsid w:val="00A05101"/>
    <w:rsid w:val="00A05FAB"/>
    <w:rsid w:val="00A06262"/>
    <w:rsid w:val="00A06BB6"/>
    <w:rsid w:val="00A06CC7"/>
    <w:rsid w:val="00A102A2"/>
    <w:rsid w:val="00A103AC"/>
    <w:rsid w:val="00A11C3B"/>
    <w:rsid w:val="00A122A8"/>
    <w:rsid w:val="00A12371"/>
    <w:rsid w:val="00A128B1"/>
    <w:rsid w:val="00A12D3D"/>
    <w:rsid w:val="00A12F76"/>
    <w:rsid w:val="00A13CD4"/>
    <w:rsid w:val="00A1487A"/>
    <w:rsid w:val="00A14C42"/>
    <w:rsid w:val="00A14C78"/>
    <w:rsid w:val="00A151DF"/>
    <w:rsid w:val="00A15B20"/>
    <w:rsid w:val="00A16089"/>
    <w:rsid w:val="00A16499"/>
    <w:rsid w:val="00A17020"/>
    <w:rsid w:val="00A170EA"/>
    <w:rsid w:val="00A17178"/>
    <w:rsid w:val="00A17ABE"/>
    <w:rsid w:val="00A17BD7"/>
    <w:rsid w:val="00A17CE0"/>
    <w:rsid w:val="00A20011"/>
    <w:rsid w:val="00A200E3"/>
    <w:rsid w:val="00A2032D"/>
    <w:rsid w:val="00A205B8"/>
    <w:rsid w:val="00A20C95"/>
    <w:rsid w:val="00A20FDB"/>
    <w:rsid w:val="00A2159A"/>
    <w:rsid w:val="00A21CBE"/>
    <w:rsid w:val="00A227DF"/>
    <w:rsid w:val="00A22AB2"/>
    <w:rsid w:val="00A2350C"/>
    <w:rsid w:val="00A239DE"/>
    <w:rsid w:val="00A23D48"/>
    <w:rsid w:val="00A24C38"/>
    <w:rsid w:val="00A24D26"/>
    <w:rsid w:val="00A258CF"/>
    <w:rsid w:val="00A259F1"/>
    <w:rsid w:val="00A25E15"/>
    <w:rsid w:val="00A267DA"/>
    <w:rsid w:val="00A2722E"/>
    <w:rsid w:val="00A2736B"/>
    <w:rsid w:val="00A27762"/>
    <w:rsid w:val="00A27BDB"/>
    <w:rsid w:val="00A3018E"/>
    <w:rsid w:val="00A302E8"/>
    <w:rsid w:val="00A30D6B"/>
    <w:rsid w:val="00A310A3"/>
    <w:rsid w:val="00A311F0"/>
    <w:rsid w:val="00A31B99"/>
    <w:rsid w:val="00A3219A"/>
    <w:rsid w:val="00A323F6"/>
    <w:rsid w:val="00A3251C"/>
    <w:rsid w:val="00A32ABC"/>
    <w:rsid w:val="00A32F67"/>
    <w:rsid w:val="00A3333B"/>
    <w:rsid w:val="00A33DAD"/>
    <w:rsid w:val="00A349B2"/>
    <w:rsid w:val="00A34C4B"/>
    <w:rsid w:val="00A34E51"/>
    <w:rsid w:val="00A34F58"/>
    <w:rsid w:val="00A356D3"/>
    <w:rsid w:val="00A35BFC"/>
    <w:rsid w:val="00A35D19"/>
    <w:rsid w:val="00A36211"/>
    <w:rsid w:val="00A362BE"/>
    <w:rsid w:val="00A36B55"/>
    <w:rsid w:val="00A37001"/>
    <w:rsid w:val="00A37451"/>
    <w:rsid w:val="00A377A4"/>
    <w:rsid w:val="00A40851"/>
    <w:rsid w:val="00A40C7A"/>
    <w:rsid w:val="00A40EBA"/>
    <w:rsid w:val="00A40EC9"/>
    <w:rsid w:val="00A41453"/>
    <w:rsid w:val="00A41626"/>
    <w:rsid w:val="00A416F1"/>
    <w:rsid w:val="00A42306"/>
    <w:rsid w:val="00A42350"/>
    <w:rsid w:val="00A4238B"/>
    <w:rsid w:val="00A42E21"/>
    <w:rsid w:val="00A430CA"/>
    <w:rsid w:val="00A43173"/>
    <w:rsid w:val="00A43696"/>
    <w:rsid w:val="00A43788"/>
    <w:rsid w:val="00A43BB2"/>
    <w:rsid w:val="00A43F08"/>
    <w:rsid w:val="00A449B1"/>
    <w:rsid w:val="00A44E8D"/>
    <w:rsid w:val="00A44F77"/>
    <w:rsid w:val="00A45105"/>
    <w:rsid w:val="00A451C4"/>
    <w:rsid w:val="00A454C1"/>
    <w:rsid w:val="00A4600A"/>
    <w:rsid w:val="00A46087"/>
    <w:rsid w:val="00A46848"/>
    <w:rsid w:val="00A46EA8"/>
    <w:rsid w:val="00A4788C"/>
    <w:rsid w:val="00A47EF6"/>
    <w:rsid w:val="00A50231"/>
    <w:rsid w:val="00A50417"/>
    <w:rsid w:val="00A50C2E"/>
    <w:rsid w:val="00A50F6A"/>
    <w:rsid w:val="00A5147A"/>
    <w:rsid w:val="00A51980"/>
    <w:rsid w:val="00A51FDC"/>
    <w:rsid w:val="00A5217A"/>
    <w:rsid w:val="00A53E74"/>
    <w:rsid w:val="00A53EB5"/>
    <w:rsid w:val="00A54296"/>
    <w:rsid w:val="00A542FA"/>
    <w:rsid w:val="00A54B8D"/>
    <w:rsid w:val="00A55391"/>
    <w:rsid w:val="00A55ACD"/>
    <w:rsid w:val="00A55D3E"/>
    <w:rsid w:val="00A57389"/>
    <w:rsid w:val="00A578D4"/>
    <w:rsid w:val="00A57D3B"/>
    <w:rsid w:val="00A60B49"/>
    <w:rsid w:val="00A60BE9"/>
    <w:rsid w:val="00A60C8C"/>
    <w:rsid w:val="00A6117E"/>
    <w:rsid w:val="00A6121A"/>
    <w:rsid w:val="00A61293"/>
    <w:rsid w:val="00A612E9"/>
    <w:rsid w:val="00A615C4"/>
    <w:rsid w:val="00A61AEE"/>
    <w:rsid w:val="00A61BD6"/>
    <w:rsid w:val="00A6329E"/>
    <w:rsid w:val="00A63BD8"/>
    <w:rsid w:val="00A64A3A"/>
    <w:rsid w:val="00A64B45"/>
    <w:rsid w:val="00A64DC6"/>
    <w:rsid w:val="00A64F1B"/>
    <w:rsid w:val="00A64FB2"/>
    <w:rsid w:val="00A6748A"/>
    <w:rsid w:val="00A674CB"/>
    <w:rsid w:val="00A679A0"/>
    <w:rsid w:val="00A67A91"/>
    <w:rsid w:val="00A67DCC"/>
    <w:rsid w:val="00A70005"/>
    <w:rsid w:val="00A702DC"/>
    <w:rsid w:val="00A70652"/>
    <w:rsid w:val="00A70D1A"/>
    <w:rsid w:val="00A71108"/>
    <w:rsid w:val="00A71C41"/>
    <w:rsid w:val="00A71F3F"/>
    <w:rsid w:val="00A72028"/>
    <w:rsid w:val="00A72064"/>
    <w:rsid w:val="00A72582"/>
    <w:rsid w:val="00A725D2"/>
    <w:rsid w:val="00A72989"/>
    <w:rsid w:val="00A729FE"/>
    <w:rsid w:val="00A73027"/>
    <w:rsid w:val="00A73431"/>
    <w:rsid w:val="00A73531"/>
    <w:rsid w:val="00A741DC"/>
    <w:rsid w:val="00A746BF"/>
    <w:rsid w:val="00A7495A"/>
    <w:rsid w:val="00A749FB"/>
    <w:rsid w:val="00A74B0C"/>
    <w:rsid w:val="00A74C9C"/>
    <w:rsid w:val="00A74FE9"/>
    <w:rsid w:val="00A7501F"/>
    <w:rsid w:val="00A75B13"/>
    <w:rsid w:val="00A75F67"/>
    <w:rsid w:val="00A75FFC"/>
    <w:rsid w:val="00A77082"/>
    <w:rsid w:val="00A77254"/>
    <w:rsid w:val="00A7730F"/>
    <w:rsid w:val="00A77530"/>
    <w:rsid w:val="00A77B38"/>
    <w:rsid w:val="00A77BD1"/>
    <w:rsid w:val="00A805F9"/>
    <w:rsid w:val="00A80A4F"/>
    <w:rsid w:val="00A80DDB"/>
    <w:rsid w:val="00A80F32"/>
    <w:rsid w:val="00A81BA4"/>
    <w:rsid w:val="00A81F23"/>
    <w:rsid w:val="00A82020"/>
    <w:rsid w:val="00A820C1"/>
    <w:rsid w:val="00A823D0"/>
    <w:rsid w:val="00A829D1"/>
    <w:rsid w:val="00A82EEE"/>
    <w:rsid w:val="00A82FFF"/>
    <w:rsid w:val="00A831AE"/>
    <w:rsid w:val="00A8393E"/>
    <w:rsid w:val="00A83E2C"/>
    <w:rsid w:val="00A83EE6"/>
    <w:rsid w:val="00A843C7"/>
    <w:rsid w:val="00A84B05"/>
    <w:rsid w:val="00A84D39"/>
    <w:rsid w:val="00A8588D"/>
    <w:rsid w:val="00A859EA"/>
    <w:rsid w:val="00A85AFC"/>
    <w:rsid w:val="00A85D27"/>
    <w:rsid w:val="00A86268"/>
    <w:rsid w:val="00A86342"/>
    <w:rsid w:val="00A8642C"/>
    <w:rsid w:val="00A86991"/>
    <w:rsid w:val="00A86F7D"/>
    <w:rsid w:val="00A8738B"/>
    <w:rsid w:val="00A87916"/>
    <w:rsid w:val="00A90327"/>
    <w:rsid w:val="00A90898"/>
    <w:rsid w:val="00A90FC0"/>
    <w:rsid w:val="00A9144F"/>
    <w:rsid w:val="00A91DBB"/>
    <w:rsid w:val="00A92505"/>
    <w:rsid w:val="00A9259D"/>
    <w:rsid w:val="00A92E51"/>
    <w:rsid w:val="00A937B5"/>
    <w:rsid w:val="00A9401D"/>
    <w:rsid w:val="00A940A4"/>
    <w:rsid w:val="00A94293"/>
    <w:rsid w:val="00A948E3"/>
    <w:rsid w:val="00A94B5C"/>
    <w:rsid w:val="00A94C7E"/>
    <w:rsid w:val="00A94DDF"/>
    <w:rsid w:val="00A9507C"/>
    <w:rsid w:val="00A956B0"/>
    <w:rsid w:val="00A956B9"/>
    <w:rsid w:val="00A957D3"/>
    <w:rsid w:val="00A95F7A"/>
    <w:rsid w:val="00A967D2"/>
    <w:rsid w:val="00A96BF8"/>
    <w:rsid w:val="00A97107"/>
    <w:rsid w:val="00A973FC"/>
    <w:rsid w:val="00A976AB"/>
    <w:rsid w:val="00AA0183"/>
    <w:rsid w:val="00AA02DF"/>
    <w:rsid w:val="00AA05E2"/>
    <w:rsid w:val="00AA0739"/>
    <w:rsid w:val="00AA0B70"/>
    <w:rsid w:val="00AA12A5"/>
    <w:rsid w:val="00AA12C4"/>
    <w:rsid w:val="00AA1789"/>
    <w:rsid w:val="00AA18A9"/>
    <w:rsid w:val="00AA196B"/>
    <w:rsid w:val="00AA1BE3"/>
    <w:rsid w:val="00AA1D45"/>
    <w:rsid w:val="00AA1DF2"/>
    <w:rsid w:val="00AA20CE"/>
    <w:rsid w:val="00AA2659"/>
    <w:rsid w:val="00AA2C02"/>
    <w:rsid w:val="00AA2D35"/>
    <w:rsid w:val="00AA307A"/>
    <w:rsid w:val="00AA3097"/>
    <w:rsid w:val="00AA339A"/>
    <w:rsid w:val="00AA3484"/>
    <w:rsid w:val="00AA3B89"/>
    <w:rsid w:val="00AA4184"/>
    <w:rsid w:val="00AA4490"/>
    <w:rsid w:val="00AA44D8"/>
    <w:rsid w:val="00AA459F"/>
    <w:rsid w:val="00AA67C0"/>
    <w:rsid w:val="00AA6B0D"/>
    <w:rsid w:val="00AA6BC5"/>
    <w:rsid w:val="00AA7895"/>
    <w:rsid w:val="00AA7B8A"/>
    <w:rsid w:val="00AA7EBA"/>
    <w:rsid w:val="00AB067A"/>
    <w:rsid w:val="00AB0BB8"/>
    <w:rsid w:val="00AB0F5B"/>
    <w:rsid w:val="00AB0FCF"/>
    <w:rsid w:val="00AB11CC"/>
    <w:rsid w:val="00AB145E"/>
    <w:rsid w:val="00AB15EF"/>
    <w:rsid w:val="00AB161E"/>
    <w:rsid w:val="00AB1CD3"/>
    <w:rsid w:val="00AB242C"/>
    <w:rsid w:val="00AB29BC"/>
    <w:rsid w:val="00AB377E"/>
    <w:rsid w:val="00AB3911"/>
    <w:rsid w:val="00AB3A1A"/>
    <w:rsid w:val="00AB3BF3"/>
    <w:rsid w:val="00AB3DBB"/>
    <w:rsid w:val="00AB3DCA"/>
    <w:rsid w:val="00AB4638"/>
    <w:rsid w:val="00AB57E8"/>
    <w:rsid w:val="00AB5CF9"/>
    <w:rsid w:val="00AB6494"/>
    <w:rsid w:val="00AB66EF"/>
    <w:rsid w:val="00AB6AF1"/>
    <w:rsid w:val="00AB6B74"/>
    <w:rsid w:val="00AB6F69"/>
    <w:rsid w:val="00AB707C"/>
    <w:rsid w:val="00AB7089"/>
    <w:rsid w:val="00AB7875"/>
    <w:rsid w:val="00AB7A21"/>
    <w:rsid w:val="00AC0B62"/>
    <w:rsid w:val="00AC107F"/>
    <w:rsid w:val="00AC10E3"/>
    <w:rsid w:val="00AC13F0"/>
    <w:rsid w:val="00AC1400"/>
    <w:rsid w:val="00AC2236"/>
    <w:rsid w:val="00AC286B"/>
    <w:rsid w:val="00AC29D9"/>
    <w:rsid w:val="00AC34E6"/>
    <w:rsid w:val="00AC35F7"/>
    <w:rsid w:val="00AC3ECE"/>
    <w:rsid w:val="00AC413F"/>
    <w:rsid w:val="00AC483A"/>
    <w:rsid w:val="00AC51E7"/>
    <w:rsid w:val="00AC5650"/>
    <w:rsid w:val="00AC5CE2"/>
    <w:rsid w:val="00AC63AC"/>
    <w:rsid w:val="00AC68EE"/>
    <w:rsid w:val="00AC6AA0"/>
    <w:rsid w:val="00AC7253"/>
    <w:rsid w:val="00AC782A"/>
    <w:rsid w:val="00AC7E9F"/>
    <w:rsid w:val="00AD06A7"/>
    <w:rsid w:val="00AD075E"/>
    <w:rsid w:val="00AD0875"/>
    <w:rsid w:val="00AD1651"/>
    <w:rsid w:val="00AD178C"/>
    <w:rsid w:val="00AD1AE6"/>
    <w:rsid w:val="00AD2123"/>
    <w:rsid w:val="00AD2221"/>
    <w:rsid w:val="00AD32EA"/>
    <w:rsid w:val="00AD3347"/>
    <w:rsid w:val="00AD3AEC"/>
    <w:rsid w:val="00AD3D38"/>
    <w:rsid w:val="00AD4173"/>
    <w:rsid w:val="00AD562A"/>
    <w:rsid w:val="00AD5B6A"/>
    <w:rsid w:val="00AD5D58"/>
    <w:rsid w:val="00AD7239"/>
    <w:rsid w:val="00AE0790"/>
    <w:rsid w:val="00AE0AA4"/>
    <w:rsid w:val="00AE0F61"/>
    <w:rsid w:val="00AE11C8"/>
    <w:rsid w:val="00AE1E06"/>
    <w:rsid w:val="00AE203F"/>
    <w:rsid w:val="00AE22C2"/>
    <w:rsid w:val="00AE2A32"/>
    <w:rsid w:val="00AE38A3"/>
    <w:rsid w:val="00AE41C4"/>
    <w:rsid w:val="00AE52E6"/>
    <w:rsid w:val="00AE542E"/>
    <w:rsid w:val="00AE5707"/>
    <w:rsid w:val="00AE5AF6"/>
    <w:rsid w:val="00AE5C17"/>
    <w:rsid w:val="00AE5FC5"/>
    <w:rsid w:val="00AE6140"/>
    <w:rsid w:val="00AE6341"/>
    <w:rsid w:val="00AE7553"/>
    <w:rsid w:val="00AE77CB"/>
    <w:rsid w:val="00AE7E40"/>
    <w:rsid w:val="00AE7FB2"/>
    <w:rsid w:val="00AF0CE7"/>
    <w:rsid w:val="00AF1141"/>
    <w:rsid w:val="00AF15E1"/>
    <w:rsid w:val="00AF1651"/>
    <w:rsid w:val="00AF1669"/>
    <w:rsid w:val="00AF1774"/>
    <w:rsid w:val="00AF222F"/>
    <w:rsid w:val="00AF244C"/>
    <w:rsid w:val="00AF2605"/>
    <w:rsid w:val="00AF26CC"/>
    <w:rsid w:val="00AF3178"/>
    <w:rsid w:val="00AF347A"/>
    <w:rsid w:val="00AF4629"/>
    <w:rsid w:val="00AF479E"/>
    <w:rsid w:val="00AF4A38"/>
    <w:rsid w:val="00AF5881"/>
    <w:rsid w:val="00AF5EA5"/>
    <w:rsid w:val="00AF6154"/>
    <w:rsid w:val="00AF6179"/>
    <w:rsid w:val="00AF73E0"/>
    <w:rsid w:val="00AF7479"/>
    <w:rsid w:val="00AF75A6"/>
    <w:rsid w:val="00B007EF"/>
    <w:rsid w:val="00B00914"/>
    <w:rsid w:val="00B009DC"/>
    <w:rsid w:val="00B00D1D"/>
    <w:rsid w:val="00B00DDC"/>
    <w:rsid w:val="00B01096"/>
    <w:rsid w:val="00B011E2"/>
    <w:rsid w:val="00B01427"/>
    <w:rsid w:val="00B014B2"/>
    <w:rsid w:val="00B01956"/>
    <w:rsid w:val="00B019B6"/>
    <w:rsid w:val="00B01F7E"/>
    <w:rsid w:val="00B01F96"/>
    <w:rsid w:val="00B02678"/>
    <w:rsid w:val="00B02907"/>
    <w:rsid w:val="00B02954"/>
    <w:rsid w:val="00B0304C"/>
    <w:rsid w:val="00B033EE"/>
    <w:rsid w:val="00B039BC"/>
    <w:rsid w:val="00B045F3"/>
    <w:rsid w:val="00B048C6"/>
    <w:rsid w:val="00B04B62"/>
    <w:rsid w:val="00B04C16"/>
    <w:rsid w:val="00B05096"/>
    <w:rsid w:val="00B05DD5"/>
    <w:rsid w:val="00B06B3E"/>
    <w:rsid w:val="00B06BEB"/>
    <w:rsid w:val="00B06CEE"/>
    <w:rsid w:val="00B06ED3"/>
    <w:rsid w:val="00B0782E"/>
    <w:rsid w:val="00B1079C"/>
    <w:rsid w:val="00B1133C"/>
    <w:rsid w:val="00B120CA"/>
    <w:rsid w:val="00B125C2"/>
    <w:rsid w:val="00B12A8F"/>
    <w:rsid w:val="00B12A9C"/>
    <w:rsid w:val="00B12DB5"/>
    <w:rsid w:val="00B13681"/>
    <w:rsid w:val="00B13774"/>
    <w:rsid w:val="00B13ABC"/>
    <w:rsid w:val="00B1495C"/>
    <w:rsid w:val="00B14B0C"/>
    <w:rsid w:val="00B1588C"/>
    <w:rsid w:val="00B1678E"/>
    <w:rsid w:val="00B16C2A"/>
    <w:rsid w:val="00B16E41"/>
    <w:rsid w:val="00B172EA"/>
    <w:rsid w:val="00B21EB7"/>
    <w:rsid w:val="00B22D76"/>
    <w:rsid w:val="00B2349A"/>
    <w:rsid w:val="00B24100"/>
    <w:rsid w:val="00B2483C"/>
    <w:rsid w:val="00B250FE"/>
    <w:rsid w:val="00B2513E"/>
    <w:rsid w:val="00B25341"/>
    <w:rsid w:val="00B255E1"/>
    <w:rsid w:val="00B25875"/>
    <w:rsid w:val="00B25A47"/>
    <w:rsid w:val="00B26C69"/>
    <w:rsid w:val="00B271DF"/>
    <w:rsid w:val="00B30234"/>
    <w:rsid w:val="00B30670"/>
    <w:rsid w:val="00B3087D"/>
    <w:rsid w:val="00B30ECA"/>
    <w:rsid w:val="00B30ED4"/>
    <w:rsid w:val="00B30F0D"/>
    <w:rsid w:val="00B31A88"/>
    <w:rsid w:val="00B31E03"/>
    <w:rsid w:val="00B32863"/>
    <w:rsid w:val="00B32875"/>
    <w:rsid w:val="00B32ED8"/>
    <w:rsid w:val="00B342AB"/>
    <w:rsid w:val="00B34794"/>
    <w:rsid w:val="00B348B7"/>
    <w:rsid w:val="00B35B19"/>
    <w:rsid w:val="00B35C3C"/>
    <w:rsid w:val="00B36592"/>
    <w:rsid w:val="00B3669C"/>
    <w:rsid w:val="00B36A52"/>
    <w:rsid w:val="00B37083"/>
    <w:rsid w:val="00B37243"/>
    <w:rsid w:val="00B3760B"/>
    <w:rsid w:val="00B402F7"/>
    <w:rsid w:val="00B40395"/>
    <w:rsid w:val="00B40A25"/>
    <w:rsid w:val="00B41ACD"/>
    <w:rsid w:val="00B41F2D"/>
    <w:rsid w:val="00B423C9"/>
    <w:rsid w:val="00B4249D"/>
    <w:rsid w:val="00B43227"/>
    <w:rsid w:val="00B43712"/>
    <w:rsid w:val="00B43EFC"/>
    <w:rsid w:val="00B444FC"/>
    <w:rsid w:val="00B4473E"/>
    <w:rsid w:val="00B44821"/>
    <w:rsid w:val="00B44892"/>
    <w:rsid w:val="00B44E5A"/>
    <w:rsid w:val="00B455DD"/>
    <w:rsid w:val="00B45860"/>
    <w:rsid w:val="00B459C6"/>
    <w:rsid w:val="00B45A36"/>
    <w:rsid w:val="00B45B9E"/>
    <w:rsid w:val="00B45FEE"/>
    <w:rsid w:val="00B4642C"/>
    <w:rsid w:val="00B464BA"/>
    <w:rsid w:val="00B46567"/>
    <w:rsid w:val="00B46D6D"/>
    <w:rsid w:val="00B46F47"/>
    <w:rsid w:val="00B471CD"/>
    <w:rsid w:val="00B473D6"/>
    <w:rsid w:val="00B5040C"/>
    <w:rsid w:val="00B506B4"/>
    <w:rsid w:val="00B50C8C"/>
    <w:rsid w:val="00B51938"/>
    <w:rsid w:val="00B523C6"/>
    <w:rsid w:val="00B52A3B"/>
    <w:rsid w:val="00B52C60"/>
    <w:rsid w:val="00B530F6"/>
    <w:rsid w:val="00B53799"/>
    <w:rsid w:val="00B53DD0"/>
    <w:rsid w:val="00B54122"/>
    <w:rsid w:val="00B542DA"/>
    <w:rsid w:val="00B54CBC"/>
    <w:rsid w:val="00B54DBA"/>
    <w:rsid w:val="00B55453"/>
    <w:rsid w:val="00B557EC"/>
    <w:rsid w:val="00B55CC6"/>
    <w:rsid w:val="00B55F6C"/>
    <w:rsid w:val="00B5603D"/>
    <w:rsid w:val="00B56729"/>
    <w:rsid w:val="00B56839"/>
    <w:rsid w:val="00B56A55"/>
    <w:rsid w:val="00B56F4D"/>
    <w:rsid w:val="00B56F9D"/>
    <w:rsid w:val="00B57469"/>
    <w:rsid w:val="00B574EF"/>
    <w:rsid w:val="00B57903"/>
    <w:rsid w:val="00B6036C"/>
    <w:rsid w:val="00B60421"/>
    <w:rsid w:val="00B60F03"/>
    <w:rsid w:val="00B6114F"/>
    <w:rsid w:val="00B61561"/>
    <w:rsid w:val="00B61953"/>
    <w:rsid w:val="00B6305F"/>
    <w:rsid w:val="00B632E6"/>
    <w:rsid w:val="00B634BB"/>
    <w:rsid w:val="00B637EB"/>
    <w:rsid w:val="00B6426F"/>
    <w:rsid w:val="00B64831"/>
    <w:rsid w:val="00B64C2F"/>
    <w:rsid w:val="00B64CB9"/>
    <w:rsid w:val="00B656C2"/>
    <w:rsid w:val="00B65A79"/>
    <w:rsid w:val="00B65C57"/>
    <w:rsid w:val="00B65FEB"/>
    <w:rsid w:val="00B664F5"/>
    <w:rsid w:val="00B67BBD"/>
    <w:rsid w:val="00B7099C"/>
    <w:rsid w:val="00B70A5B"/>
    <w:rsid w:val="00B71074"/>
    <w:rsid w:val="00B7108A"/>
    <w:rsid w:val="00B7122E"/>
    <w:rsid w:val="00B712CF"/>
    <w:rsid w:val="00B7142D"/>
    <w:rsid w:val="00B717A6"/>
    <w:rsid w:val="00B71E58"/>
    <w:rsid w:val="00B724A9"/>
    <w:rsid w:val="00B73BC2"/>
    <w:rsid w:val="00B747E2"/>
    <w:rsid w:val="00B74C26"/>
    <w:rsid w:val="00B75470"/>
    <w:rsid w:val="00B754E4"/>
    <w:rsid w:val="00B75C53"/>
    <w:rsid w:val="00B76035"/>
    <w:rsid w:val="00B76183"/>
    <w:rsid w:val="00B7643C"/>
    <w:rsid w:val="00B76AB1"/>
    <w:rsid w:val="00B770D8"/>
    <w:rsid w:val="00B80D3D"/>
    <w:rsid w:val="00B8114A"/>
    <w:rsid w:val="00B814D6"/>
    <w:rsid w:val="00B81EB6"/>
    <w:rsid w:val="00B820FC"/>
    <w:rsid w:val="00B8256D"/>
    <w:rsid w:val="00B830C8"/>
    <w:rsid w:val="00B839F9"/>
    <w:rsid w:val="00B83DBE"/>
    <w:rsid w:val="00B8446D"/>
    <w:rsid w:val="00B84BAE"/>
    <w:rsid w:val="00B853FE"/>
    <w:rsid w:val="00B8568D"/>
    <w:rsid w:val="00B85850"/>
    <w:rsid w:val="00B85C46"/>
    <w:rsid w:val="00B86315"/>
    <w:rsid w:val="00B8645A"/>
    <w:rsid w:val="00B865E5"/>
    <w:rsid w:val="00B86925"/>
    <w:rsid w:val="00B86A73"/>
    <w:rsid w:val="00B86E85"/>
    <w:rsid w:val="00B876C5"/>
    <w:rsid w:val="00B87EA3"/>
    <w:rsid w:val="00B90159"/>
    <w:rsid w:val="00B9019B"/>
    <w:rsid w:val="00B908F0"/>
    <w:rsid w:val="00B9134E"/>
    <w:rsid w:val="00B91586"/>
    <w:rsid w:val="00B917AE"/>
    <w:rsid w:val="00B9343D"/>
    <w:rsid w:val="00B934F8"/>
    <w:rsid w:val="00B936D2"/>
    <w:rsid w:val="00B93871"/>
    <w:rsid w:val="00B93888"/>
    <w:rsid w:val="00B938B8"/>
    <w:rsid w:val="00B938BF"/>
    <w:rsid w:val="00B94151"/>
    <w:rsid w:val="00B94271"/>
    <w:rsid w:val="00B9435E"/>
    <w:rsid w:val="00B94570"/>
    <w:rsid w:val="00B94AC0"/>
    <w:rsid w:val="00B94C68"/>
    <w:rsid w:val="00B94D23"/>
    <w:rsid w:val="00B94FF6"/>
    <w:rsid w:val="00B956F0"/>
    <w:rsid w:val="00B95E42"/>
    <w:rsid w:val="00B96747"/>
    <w:rsid w:val="00B96871"/>
    <w:rsid w:val="00B97309"/>
    <w:rsid w:val="00BA028A"/>
    <w:rsid w:val="00BA031A"/>
    <w:rsid w:val="00BA063F"/>
    <w:rsid w:val="00BA2022"/>
    <w:rsid w:val="00BA2E63"/>
    <w:rsid w:val="00BA3D63"/>
    <w:rsid w:val="00BA3F9A"/>
    <w:rsid w:val="00BA49B5"/>
    <w:rsid w:val="00BA4E1A"/>
    <w:rsid w:val="00BA50C0"/>
    <w:rsid w:val="00BA5AC4"/>
    <w:rsid w:val="00BA62B0"/>
    <w:rsid w:val="00BA65BB"/>
    <w:rsid w:val="00BA6A51"/>
    <w:rsid w:val="00BA7096"/>
    <w:rsid w:val="00BA73A3"/>
    <w:rsid w:val="00BA742C"/>
    <w:rsid w:val="00BA7973"/>
    <w:rsid w:val="00BA7AD0"/>
    <w:rsid w:val="00BB0139"/>
    <w:rsid w:val="00BB0243"/>
    <w:rsid w:val="00BB03B5"/>
    <w:rsid w:val="00BB0BD5"/>
    <w:rsid w:val="00BB1494"/>
    <w:rsid w:val="00BB16B0"/>
    <w:rsid w:val="00BB27EA"/>
    <w:rsid w:val="00BB2CA5"/>
    <w:rsid w:val="00BB313A"/>
    <w:rsid w:val="00BB4451"/>
    <w:rsid w:val="00BB4B1B"/>
    <w:rsid w:val="00BB4E36"/>
    <w:rsid w:val="00BB53BE"/>
    <w:rsid w:val="00BB5537"/>
    <w:rsid w:val="00BB55DF"/>
    <w:rsid w:val="00BB5906"/>
    <w:rsid w:val="00BB6B0A"/>
    <w:rsid w:val="00BB7220"/>
    <w:rsid w:val="00BB771B"/>
    <w:rsid w:val="00BC0198"/>
    <w:rsid w:val="00BC0342"/>
    <w:rsid w:val="00BC0644"/>
    <w:rsid w:val="00BC07DF"/>
    <w:rsid w:val="00BC0DAB"/>
    <w:rsid w:val="00BC0E48"/>
    <w:rsid w:val="00BC137F"/>
    <w:rsid w:val="00BC22FB"/>
    <w:rsid w:val="00BC2829"/>
    <w:rsid w:val="00BC2DD6"/>
    <w:rsid w:val="00BC4D7F"/>
    <w:rsid w:val="00BC4F31"/>
    <w:rsid w:val="00BC5071"/>
    <w:rsid w:val="00BC50BD"/>
    <w:rsid w:val="00BC5C03"/>
    <w:rsid w:val="00BC5DCD"/>
    <w:rsid w:val="00BC5FF1"/>
    <w:rsid w:val="00BC7D53"/>
    <w:rsid w:val="00BD0B24"/>
    <w:rsid w:val="00BD1492"/>
    <w:rsid w:val="00BD1494"/>
    <w:rsid w:val="00BD19C2"/>
    <w:rsid w:val="00BD261C"/>
    <w:rsid w:val="00BD2B5A"/>
    <w:rsid w:val="00BD345D"/>
    <w:rsid w:val="00BD3533"/>
    <w:rsid w:val="00BD3FF6"/>
    <w:rsid w:val="00BD4583"/>
    <w:rsid w:val="00BD45FB"/>
    <w:rsid w:val="00BD4F66"/>
    <w:rsid w:val="00BD57F0"/>
    <w:rsid w:val="00BD587E"/>
    <w:rsid w:val="00BD5A01"/>
    <w:rsid w:val="00BD60DF"/>
    <w:rsid w:val="00BD68D7"/>
    <w:rsid w:val="00BD6CCF"/>
    <w:rsid w:val="00BD72C8"/>
    <w:rsid w:val="00BD7F7B"/>
    <w:rsid w:val="00BD7FE7"/>
    <w:rsid w:val="00BE00CF"/>
    <w:rsid w:val="00BE0C3D"/>
    <w:rsid w:val="00BE0E32"/>
    <w:rsid w:val="00BE1FAE"/>
    <w:rsid w:val="00BE22DE"/>
    <w:rsid w:val="00BE2C52"/>
    <w:rsid w:val="00BE2F6F"/>
    <w:rsid w:val="00BE33D9"/>
    <w:rsid w:val="00BE3BC9"/>
    <w:rsid w:val="00BE438A"/>
    <w:rsid w:val="00BE43C3"/>
    <w:rsid w:val="00BE43C5"/>
    <w:rsid w:val="00BE4948"/>
    <w:rsid w:val="00BE4DED"/>
    <w:rsid w:val="00BE5083"/>
    <w:rsid w:val="00BE516B"/>
    <w:rsid w:val="00BE65E3"/>
    <w:rsid w:val="00BE6A36"/>
    <w:rsid w:val="00BE6BAC"/>
    <w:rsid w:val="00BE6C72"/>
    <w:rsid w:val="00BE74A6"/>
    <w:rsid w:val="00BE7CF9"/>
    <w:rsid w:val="00BE7E90"/>
    <w:rsid w:val="00BE7E95"/>
    <w:rsid w:val="00BF138A"/>
    <w:rsid w:val="00BF18E0"/>
    <w:rsid w:val="00BF1DFB"/>
    <w:rsid w:val="00BF23AA"/>
    <w:rsid w:val="00BF28DE"/>
    <w:rsid w:val="00BF2C0D"/>
    <w:rsid w:val="00BF2C6F"/>
    <w:rsid w:val="00BF2F12"/>
    <w:rsid w:val="00BF2F9D"/>
    <w:rsid w:val="00BF3630"/>
    <w:rsid w:val="00BF3B02"/>
    <w:rsid w:val="00BF47AF"/>
    <w:rsid w:val="00BF5BE1"/>
    <w:rsid w:val="00BF6509"/>
    <w:rsid w:val="00BF68F7"/>
    <w:rsid w:val="00C0022D"/>
    <w:rsid w:val="00C00921"/>
    <w:rsid w:val="00C00F14"/>
    <w:rsid w:val="00C00FA6"/>
    <w:rsid w:val="00C0128A"/>
    <w:rsid w:val="00C029AA"/>
    <w:rsid w:val="00C0350F"/>
    <w:rsid w:val="00C0354D"/>
    <w:rsid w:val="00C035FA"/>
    <w:rsid w:val="00C03D30"/>
    <w:rsid w:val="00C044F0"/>
    <w:rsid w:val="00C049B7"/>
    <w:rsid w:val="00C06211"/>
    <w:rsid w:val="00C06487"/>
    <w:rsid w:val="00C069C3"/>
    <w:rsid w:val="00C06B2A"/>
    <w:rsid w:val="00C06F7C"/>
    <w:rsid w:val="00C071E9"/>
    <w:rsid w:val="00C072E3"/>
    <w:rsid w:val="00C074F0"/>
    <w:rsid w:val="00C07836"/>
    <w:rsid w:val="00C07E89"/>
    <w:rsid w:val="00C07EE6"/>
    <w:rsid w:val="00C102D1"/>
    <w:rsid w:val="00C1034D"/>
    <w:rsid w:val="00C10547"/>
    <w:rsid w:val="00C10608"/>
    <w:rsid w:val="00C10661"/>
    <w:rsid w:val="00C10B5F"/>
    <w:rsid w:val="00C10D4A"/>
    <w:rsid w:val="00C116C3"/>
    <w:rsid w:val="00C11708"/>
    <w:rsid w:val="00C11BE9"/>
    <w:rsid w:val="00C121F5"/>
    <w:rsid w:val="00C12ABA"/>
    <w:rsid w:val="00C13584"/>
    <w:rsid w:val="00C141FB"/>
    <w:rsid w:val="00C14248"/>
    <w:rsid w:val="00C14C0B"/>
    <w:rsid w:val="00C14EA6"/>
    <w:rsid w:val="00C154FA"/>
    <w:rsid w:val="00C157D8"/>
    <w:rsid w:val="00C15BFC"/>
    <w:rsid w:val="00C1602F"/>
    <w:rsid w:val="00C16DE4"/>
    <w:rsid w:val="00C17BCC"/>
    <w:rsid w:val="00C20D19"/>
    <w:rsid w:val="00C21F76"/>
    <w:rsid w:val="00C2227E"/>
    <w:rsid w:val="00C2246F"/>
    <w:rsid w:val="00C224C0"/>
    <w:rsid w:val="00C23630"/>
    <w:rsid w:val="00C23EB9"/>
    <w:rsid w:val="00C24355"/>
    <w:rsid w:val="00C2465E"/>
    <w:rsid w:val="00C24A2F"/>
    <w:rsid w:val="00C25092"/>
    <w:rsid w:val="00C25413"/>
    <w:rsid w:val="00C25A6C"/>
    <w:rsid w:val="00C2632D"/>
    <w:rsid w:val="00C2729D"/>
    <w:rsid w:val="00C2761C"/>
    <w:rsid w:val="00C27BF6"/>
    <w:rsid w:val="00C30586"/>
    <w:rsid w:val="00C30899"/>
    <w:rsid w:val="00C30B0F"/>
    <w:rsid w:val="00C31019"/>
    <w:rsid w:val="00C3154C"/>
    <w:rsid w:val="00C322A8"/>
    <w:rsid w:val="00C322F8"/>
    <w:rsid w:val="00C32492"/>
    <w:rsid w:val="00C328BD"/>
    <w:rsid w:val="00C33303"/>
    <w:rsid w:val="00C34047"/>
    <w:rsid w:val="00C34196"/>
    <w:rsid w:val="00C34EC5"/>
    <w:rsid w:val="00C3543C"/>
    <w:rsid w:val="00C35E18"/>
    <w:rsid w:val="00C35FF4"/>
    <w:rsid w:val="00C360F4"/>
    <w:rsid w:val="00C36E29"/>
    <w:rsid w:val="00C37377"/>
    <w:rsid w:val="00C378EA"/>
    <w:rsid w:val="00C37B81"/>
    <w:rsid w:val="00C40035"/>
    <w:rsid w:val="00C4021A"/>
    <w:rsid w:val="00C4022B"/>
    <w:rsid w:val="00C40B65"/>
    <w:rsid w:val="00C40B81"/>
    <w:rsid w:val="00C40D18"/>
    <w:rsid w:val="00C40DBC"/>
    <w:rsid w:val="00C410EB"/>
    <w:rsid w:val="00C426D3"/>
    <w:rsid w:val="00C42706"/>
    <w:rsid w:val="00C43315"/>
    <w:rsid w:val="00C43CB6"/>
    <w:rsid w:val="00C440A4"/>
    <w:rsid w:val="00C443BB"/>
    <w:rsid w:val="00C459D1"/>
    <w:rsid w:val="00C45D4E"/>
    <w:rsid w:val="00C45F81"/>
    <w:rsid w:val="00C46087"/>
    <w:rsid w:val="00C46398"/>
    <w:rsid w:val="00C46997"/>
    <w:rsid w:val="00C46D63"/>
    <w:rsid w:val="00C46E3D"/>
    <w:rsid w:val="00C46F61"/>
    <w:rsid w:val="00C506D9"/>
    <w:rsid w:val="00C50A9A"/>
    <w:rsid w:val="00C514F6"/>
    <w:rsid w:val="00C528EB"/>
    <w:rsid w:val="00C52A22"/>
    <w:rsid w:val="00C52CFB"/>
    <w:rsid w:val="00C5338A"/>
    <w:rsid w:val="00C53466"/>
    <w:rsid w:val="00C536FE"/>
    <w:rsid w:val="00C5468D"/>
    <w:rsid w:val="00C54A78"/>
    <w:rsid w:val="00C54EBB"/>
    <w:rsid w:val="00C5512E"/>
    <w:rsid w:val="00C55447"/>
    <w:rsid w:val="00C556D1"/>
    <w:rsid w:val="00C56336"/>
    <w:rsid w:val="00C56567"/>
    <w:rsid w:val="00C56EC9"/>
    <w:rsid w:val="00C57013"/>
    <w:rsid w:val="00C60B07"/>
    <w:rsid w:val="00C61278"/>
    <w:rsid w:val="00C618A4"/>
    <w:rsid w:val="00C619E3"/>
    <w:rsid w:val="00C61C0A"/>
    <w:rsid w:val="00C61E3D"/>
    <w:rsid w:val="00C61EFD"/>
    <w:rsid w:val="00C61F9F"/>
    <w:rsid w:val="00C621BF"/>
    <w:rsid w:val="00C62344"/>
    <w:rsid w:val="00C62555"/>
    <w:rsid w:val="00C626A9"/>
    <w:rsid w:val="00C629D0"/>
    <w:rsid w:val="00C62C49"/>
    <w:rsid w:val="00C634FE"/>
    <w:rsid w:val="00C63DA1"/>
    <w:rsid w:val="00C63E4A"/>
    <w:rsid w:val="00C64502"/>
    <w:rsid w:val="00C64F3E"/>
    <w:rsid w:val="00C650D4"/>
    <w:rsid w:val="00C65124"/>
    <w:rsid w:val="00C65710"/>
    <w:rsid w:val="00C659DF"/>
    <w:rsid w:val="00C65C94"/>
    <w:rsid w:val="00C66036"/>
    <w:rsid w:val="00C66483"/>
    <w:rsid w:val="00C666BD"/>
    <w:rsid w:val="00C666D5"/>
    <w:rsid w:val="00C66B9F"/>
    <w:rsid w:val="00C6773D"/>
    <w:rsid w:val="00C67789"/>
    <w:rsid w:val="00C67F65"/>
    <w:rsid w:val="00C7058D"/>
    <w:rsid w:val="00C709A9"/>
    <w:rsid w:val="00C70B22"/>
    <w:rsid w:val="00C72B5E"/>
    <w:rsid w:val="00C72CE1"/>
    <w:rsid w:val="00C73A44"/>
    <w:rsid w:val="00C74101"/>
    <w:rsid w:val="00C74DE1"/>
    <w:rsid w:val="00C75177"/>
    <w:rsid w:val="00C75C81"/>
    <w:rsid w:val="00C75CF4"/>
    <w:rsid w:val="00C7648B"/>
    <w:rsid w:val="00C76D03"/>
    <w:rsid w:val="00C776F0"/>
    <w:rsid w:val="00C77EAD"/>
    <w:rsid w:val="00C77F13"/>
    <w:rsid w:val="00C801C2"/>
    <w:rsid w:val="00C81391"/>
    <w:rsid w:val="00C8173B"/>
    <w:rsid w:val="00C81C63"/>
    <w:rsid w:val="00C82FE7"/>
    <w:rsid w:val="00C836DC"/>
    <w:rsid w:val="00C842A8"/>
    <w:rsid w:val="00C8445A"/>
    <w:rsid w:val="00C84F80"/>
    <w:rsid w:val="00C85437"/>
    <w:rsid w:val="00C862B1"/>
    <w:rsid w:val="00C8657B"/>
    <w:rsid w:val="00C8676E"/>
    <w:rsid w:val="00C86986"/>
    <w:rsid w:val="00C86AB2"/>
    <w:rsid w:val="00C86C2D"/>
    <w:rsid w:val="00C8740B"/>
    <w:rsid w:val="00C8779C"/>
    <w:rsid w:val="00C878D5"/>
    <w:rsid w:val="00C87F34"/>
    <w:rsid w:val="00C9033B"/>
    <w:rsid w:val="00C905C8"/>
    <w:rsid w:val="00C908CF"/>
    <w:rsid w:val="00C90ED5"/>
    <w:rsid w:val="00C913A1"/>
    <w:rsid w:val="00C9222F"/>
    <w:rsid w:val="00C9253F"/>
    <w:rsid w:val="00C93FFC"/>
    <w:rsid w:val="00C944E0"/>
    <w:rsid w:val="00C94581"/>
    <w:rsid w:val="00C94657"/>
    <w:rsid w:val="00C947B4"/>
    <w:rsid w:val="00C94DDD"/>
    <w:rsid w:val="00C9525E"/>
    <w:rsid w:val="00C9584E"/>
    <w:rsid w:val="00C95C26"/>
    <w:rsid w:val="00C95EA6"/>
    <w:rsid w:val="00C965C9"/>
    <w:rsid w:val="00C96858"/>
    <w:rsid w:val="00C968EA"/>
    <w:rsid w:val="00C969DD"/>
    <w:rsid w:val="00C96C8F"/>
    <w:rsid w:val="00C96E75"/>
    <w:rsid w:val="00C971C0"/>
    <w:rsid w:val="00C97317"/>
    <w:rsid w:val="00CA0694"/>
    <w:rsid w:val="00CA0CB5"/>
    <w:rsid w:val="00CA1119"/>
    <w:rsid w:val="00CA14D1"/>
    <w:rsid w:val="00CA1595"/>
    <w:rsid w:val="00CA1FBA"/>
    <w:rsid w:val="00CA2316"/>
    <w:rsid w:val="00CA2D5F"/>
    <w:rsid w:val="00CA3353"/>
    <w:rsid w:val="00CA3480"/>
    <w:rsid w:val="00CA35D0"/>
    <w:rsid w:val="00CA38B6"/>
    <w:rsid w:val="00CA3DF3"/>
    <w:rsid w:val="00CA3FC9"/>
    <w:rsid w:val="00CA432E"/>
    <w:rsid w:val="00CA4782"/>
    <w:rsid w:val="00CA47B8"/>
    <w:rsid w:val="00CA4BA4"/>
    <w:rsid w:val="00CA583F"/>
    <w:rsid w:val="00CA5BAD"/>
    <w:rsid w:val="00CA5E11"/>
    <w:rsid w:val="00CA63AC"/>
    <w:rsid w:val="00CA6FB0"/>
    <w:rsid w:val="00CA7330"/>
    <w:rsid w:val="00CA7389"/>
    <w:rsid w:val="00CA76B6"/>
    <w:rsid w:val="00CA7F07"/>
    <w:rsid w:val="00CB0148"/>
    <w:rsid w:val="00CB0BE8"/>
    <w:rsid w:val="00CB1BBF"/>
    <w:rsid w:val="00CB2161"/>
    <w:rsid w:val="00CB24F5"/>
    <w:rsid w:val="00CB28CA"/>
    <w:rsid w:val="00CB49D1"/>
    <w:rsid w:val="00CB4D6F"/>
    <w:rsid w:val="00CB5E9E"/>
    <w:rsid w:val="00CB6452"/>
    <w:rsid w:val="00CB7B3C"/>
    <w:rsid w:val="00CB7D87"/>
    <w:rsid w:val="00CB7FE8"/>
    <w:rsid w:val="00CC05EE"/>
    <w:rsid w:val="00CC0A85"/>
    <w:rsid w:val="00CC0B6D"/>
    <w:rsid w:val="00CC0EA7"/>
    <w:rsid w:val="00CC0F45"/>
    <w:rsid w:val="00CC10D1"/>
    <w:rsid w:val="00CC1FCF"/>
    <w:rsid w:val="00CC2B8A"/>
    <w:rsid w:val="00CC375E"/>
    <w:rsid w:val="00CC3DDD"/>
    <w:rsid w:val="00CC3F19"/>
    <w:rsid w:val="00CC4D64"/>
    <w:rsid w:val="00CC5CAB"/>
    <w:rsid w:val="00CC5FFC"/>
    <w:rsid w:val="00CC6044"/>
    <w:rsid w:val="00CC6513"/>
    <w:rsid w:val="00CC66B7"/>
    <w:rsid w:val="00CC6949"/>
    <w:rsid w:val="00CC6A99"/>
    <w:rsid w:val="00CC7922"/>
    <w:rsid w:val="00CC7CFD"/>
    <w:rsid w:val="00CD04B7"/>
    <w:rsid w:val="00CD04FC"/>
    <w:rsid w:val="00CD0A8E"/>
    <w:rsid w:val="00CD0F3E"/>
    <w:rsid w:val="00CD1447"/>
    <w:rsid w:val="00CD14FE"/>
    <w:rsid w:val="00CD21FF"/>
    <w:rsid w:val="00CD233C"/>
    <w:rsid w:val="00CD2784"/>
    <w:rsid w:val="00CD2EA0"/>
    <w:rsid w:val="00CD2FF1"/>
    <w:rsid w:val="00CD3A52"/>
    <w:rsid w:val="00CD3CE6"/>
    <w:rsid w:val="00CD4FEE"/>
    <w:rsid w:val="00CD619A"/>
    <w:rsid w:val="00CD61E5"/>
    <w:rsid w:val="00CD68E2"/>
    <w:rsid w:val="00CD68F4"/>
    <w:rsid w:val="00CD6ADD"/>
    <w:rsid w:val="00CD6D57"/>
    <w:rsid w:val="00CD6F69"/>
    <w:rsid w:val="00CD74E1"/>
    <w:rsid w:val="00CD7B08"/>
    <w:rsid w:val="00CD7BEE"/>
    <w:rsid w:val="00CE01BA"/>
    <w:rsid w:val="00CE04D9"/>
    <w:rsid w:val="00CE084C"/>
    <w:rsid w:val="00CE0B68"/>
    <w:rsid w:val="00CE0DCC"/>
    <w:rsid w:val="00CE147D"/>
    <w:rsid w:val="00CE174C"/>
    <w:rsid w:val="00CE1EE7"/>
    <w:rsid w:val="00CE2AD4"/>
    <w:rsid w:val="00CE346A"/>
    <w:rsid w:val="00CE39B1"/>
    <w:rsid w:val="00CE3DDC"/>
    <w:rsid w:val="00CE49DE"/>
    <w:rsid w:val="00CE5539"/>
    <w:rsid w:val="00CE56F8"/>
    <w:rsid w:val="00CE57ED"/>
    <w:rsid w:val="00CE5F55"/>
    <w:rsid w:val="00CE6942"/>
    <w:rsid w:val="00CE6C3E"/>
    <w:rsid w:val="00CE6DE6"/>
    <w:rsid w:val="00CE7DB3"/>
    <w:rsid w:val="00CF07A0"/>
    <w:rsid w:val="00CF0EE2"/>
    <w:rsid w:val="00CF13EE"/>
    <w:rsid w:val="00CF2311"/>
    <w:rsid w:val="00CF2B3A"/>
    <w:rsid w:val="00CF30EF"/>
    <w:rsid w:val="00CF3526"/>
    <w:rsid w:val="00CF39CD"/>
    <w:rsid w:val="00CF3B61"/>
    <w:rsid w:val="00CF3E22"/>
    <w:rsid w:val="00CF4563"/>
    <w:rsid w:val="00CF53CA"/>
    <w:rsid w:val="00CF55DC"/>
    <w:rsid w:val="00CF5D4B"/>
    <w:rsid w:val="00CF6025"/>
    <w:rsid w:val="00CF62C1"/>
    <w:rsid w:val="00CF6B36"/>
    <w:rsid w:val="00CF6CD2"/>
    <w:rsid w:val="00CF734E"/>
    <w:rsid w:val="00CF79E6"/>
    <w:rsid w:val="00CF7A8C"/>
    <w:rsid w:val="00D00532"/>
    <w:rsid w:val="00D00AA3"/>
    <w:rsid w:val="00D01365"/>
    <w:rsid w:val="00D0199C"/>
    <w:rsid w:val="00D01AA6"/>
    <w:rsid w:val="00D022D3"/>
    <w:rsid w:val="00D024F7"/>
    <w:rsid w:val="00D0252F"/>
    <w:rsid w:val="00D02DAA"/>
    <w:rsid w:val="00D03B74"/>
    <w:rsid w:val="00D03CF0"/>
    <w:rsid w:val="00D0424B"/>
    <w:rsid w:val="00D04871"/>
    <w:rsid w:val="00D04CB0"/>
    <w:rsid w:val="00D04D14"/>
    <w:rsid w:val="00D04F03"/>
    <w:rsid w:val="00D0504E"/>
    <w:rsid w:val="00D07517"/>
    <w:rsid w:val="00D077A9"/>
    <w:rsid w:val="00D0792A"/>
    <w:rsid w:val="00D07F73"/>
    <w:rsid w:val="00D10933"/>
    <w:rsid w:val="00D11072"/>
    <w:rsid w:val="00D11ECB"/>
    <w:rsid w:val="00D120A9"/>
    <w:rsid w:val="00D122B1"/>
    <w:rsid w:val="00D124EC"/>
    <w:rsid w:val="00D12A47"/>
    <w:rsid w:val="00D1373C"/>
    <w:rsid w:val="00D140B1"/>
    <w:rsid w:val="00D14201"/>
    <w:rsid w:val="00D14844"/>
    <w:rsid w:val="00D14A50"/>
    <w:rsid w:val="00D157D4"/>
    <w:rsid w:val="00D159BC"/>
    <w:rsid w:val="00D16BB3"/>
    <w:rsid w:val="00D172A9"/>
    <w:rsid w:val="00D17F6C"/>
    <w:rsid w:val="00D2041C"/>
    <w:rsid w:val="00D207BF"/>
    <w:rsid w:val="00D225A9"/>
    <w:rsid w:val="00D2271A"/>
    <w:rsid w:val="00D22CAE"/>
    <w:rsid w:val="00D22E5F"/>
    <w:rsid w:val="00D23155"/>
    <w:rsid w:val="00D23615"/>
    <w:rsid w:val="00D23902"/>
    <w:rsid w:val="00D251C1"/>
    <w:rsid w:val="00D2545D"/>
    <w:rsid w:val="00D25489"/>
    <w:rsid w:val="00D2556F"/>
    <w:rsid w:val="00D256BC"/>
    <w:rsid w:val="00D25ADE"/>
    <w:rsid w:val="00D26E92"/>
    <w:rsid w:val="00D270A0"/>
    <w:rsid w:val="00D27490"/>
    <w:rsid w:val="00D274E4"/>
    <w:rsid w:val="00D2792C"/>
    <w:rsid w:val="00D2798D"/>
    <w:rsid w:val="00D314DA"/>
    <w:rsid w:val="00D314E0"/>
    <w:rsid w:val="00D31CB6"/>
    <w:rsid w:val="00D31E95"/>
    <w:rsid w:val="00D32B24"/>
    <w:rsid w:val="00D339DC"/>
    <w:rsid w:val="00D35133"/>
    <w:rsid w:val="00D3579D"/>
    <w:rsid w:val="00D35AA9"/>
    <w:rsid w:val="00D36083"/>
    <w:rsid w:val="00D36936"/>
    <w:rsid w:val="00D36BF5"/>
    <w:rsid w:val="00D37316"/>
    <w:rsid w:val="00D37A3B"/>
    <w:rsid w:val="00D37D58"/>
    <w:rsid w:val="00D40218"/>
    <w:rsid w:val="00D40E5F"/>
    <w:rsid w:val="00D40E93"/>
    <w:rsid w:val="00D40F5A"/>
    <w:rsid w:val="00D42227"/>
    <w:rsid w:val="00D428BB"/>
    <w:rsid w:val="00D42FDF"/>
    <w:rsid w:val="00D43297"/>
    <w:rsid w:val="00D4372E"/>
    <w:rsid w:val="00D437F3"/>
    <w:rsid w:val="00D44244"/>
    <w:rsid w:val="00D44951"/>
    <w:rsid w:val="00D44DB6"/>
    <w:rsid w:val="00D4568E"/>
    <w:rsid w:val="00D45B14"/>
    <w:rsid w:val="00D45E5D"/>
    <w:rsid w:val="00D46151"/>
    <w:rsid w:val="00D4680A"/>
    <w:rsid w:val="00D46911"/>
    <w:rsid w:val="00D473CB"/>
    <w:rsid w:val="00D477EB"/>
    <w:rsid w:val="00D50119"/>
    <w:rsid w:val="00D50402"/>
    <w:rsid w:val="00D50AC1"/>
    <w:rsid w:val="00D50D66"/>
    <w:rsid w:val="00D51A94"/>
    <w:rsid w:val="00D523F1"/>
    <w:rsid w:val="00D5305F"/>
    <w:rsid w:val="00D5365B"/>
    <w:rsid w:val="00D5428A"/>
    <w:rsid w:val="00D54365"/>
    <w:rsid w:val="00D543D0"/>
    <w:rsid w:val="00D54652"/>
    <w:rsid w:val="00D54764"/>
    <w:rsid w:val="00D54965"/>
    <w:rsid w:val="00D54F53"/>
    <w:rsid w:val="00D556DC"/>
    <w:rsid w:val="00D55DBC"/>
    <w:rsid w:val="00D5650C"/>
    <w:rsid w:val="00D565C6"/>
    <w:rsid w:val="00D56858"/>
    <w:rsid w:val="00D56AB8"/>
    <w:rsid w:val="00D57370"/>
    <w:rsid w:val="00D573AC"/>
    <w:rsid w:val="00D574A9"/>
    <w:rsid w:val="00D57E15"/>
    <w:rsid w:val="00D60115"/>
    <w:rsid w:val="00D60BF4"/>
    <w:rsid w:val="00D61C4B"/>
    <w:rsid w:val="00D622AC"/>
    <w:rsid w:val="00D628DD"/>
    <w:rsid w:val="00D645D7"/>
    <w:rsid w:val="00D64946"/>
    <w:rsid w:val="00D6494B"/>
    <w:rsid w:val="00D65A27"/>
    <w:rsid w:val="00D65DE0"/>
    <w:rsid w:val="00D65E35"/>
    <w:rsid w:val="00D66097"/>
    <w:rsid w:val="00D66C62"/>
    <w:rsid w:val="00D67663"/>
    <w:rsid w:val="00D7055F"/>
    <w:rsid w:val="00D705E1"/>
    <w:rsid w:val="00D70717"/>
    <w:rsid w:val="00D70EE0"/>
    <w:rsid w:val="00D71D4A"/>
    <w:rsid w:val="00D71E21"/>
    <w:rsid w:val="00D72914"/>
    <w:rsid w:val="00D72A3F"/>
    <w:rsid w:val="00D72AA1"/>
    <w:rsid w:val="00D72B2E"/>
    <w:rsid w:val="00D7339F"/>
    <w:rsid w:val="00D734EF"/>
    <w:rsid w:val="00D74F06"/>
    <w:rsid w:val="00D76027"/>
    <w:rsid w:val="00D762A7"/>
    <w:rsid w:val="00D7685C"/>
    <w:rsid w:val="00D76E70"/>
    <w:rsid w:val="00D76EEE"/>
    <w:rsid w:val="00D76F1E"/>
    <w:rsid w:val="00D772E1"/>
    <w:rsid w:val="00D77C75"/>
    <w:rsid w:val="00D77D3E"/>
    <w:rsid w:val="00D80E74"/>
    <w:rsid w:val="00D80E91"/>
    <w:rsid w:val="00D80F7A"/>
    <w:rsid w:val="00D81034"/>
    <w:rsid w:val="00D8114C"/>
    <w:rsid w:val="00D81514"/>
    <w:rsid w:val="00D815D8"/>
    <w:rsid w:val="00D8165D"/>
    <w:rsid w:val="00D8216D"/>
    <w:rsid w:val="00D82263"/>
    <w:rsid w:val="00D82A43"/>
    <w:rsid w:val="00D82DD7"/>
    <w:rsid w:val="00D82F2C"/>
    <w:rsid w:val="00D83BCA"/>
    <w:rsid w:val="00D83FAC"/>
    <w:rsid w:val="00D8491A"/>
    <w:rsid w:val="00D84A30"/>
    <w:rsid w:val="00D84A4E"/>
    <w:rsid w:val="00D85ADB"/>
    <w:rsid w:val="00D85EF4"/>
    <w:rsid w:val="00D8616F"/>
    <w:rsid w:val="00D8754F"/>
    <w:rsid w:val="00D8765B"/>
    <w:rsid w:val="00D87833"/>
    <w:rsid w:val="00D878B3"/>
    <w:rsid w:val="00D87959"/>
    <w:rsid w:val="00D879E8"/>
    <w:rsid w:val="00D90640"/>
    <w:rsid w:val="00D90774"/>
    <w:rsid w:val="00D90C61"/>
    <w:rsid w:val="00D91A9A"/>
    <w:rsid w:val="00D92D5B"/>
    <w:rsid w:val="00D93FE3"/>
    <w:rsid w:val="00D943F9"/>
    <w:rsid w:val="00D945D9"/>
    <w:rsid w:val="00D9556C"/>
    <w:rsid w:val="00D95777"/>
    <w:rsid w:val="00D95A38"/>
    <w:rsid w:val="00D963BE"/>
    <w:rsid w:val="00D9659C"/>
    <w:rsid w:val="00D965F3"/>
    <w:rsid w:val="00D96627"/>
    <w:rsid w:val="00D9667C"/>
    <w:rsid w:val="00D96727"/>
    <w:rsid w:val="00D968E3"/>
    <w:rsid w:val="00D96934"/>
    <w:rsid w:val="00D96C2F"/>
    <w:rsid w:val="00D970AF"/>
    <w:rsid w:val="00D97BBE"/>
    <w:rsid w:val="00DA04FF"/>
    <w:rsid w:val="00DA0689"/>
    <w:rsid w:val="00DA0DD2"/>
    <w:rsid w:val="00DA117E"/>
    <w:rsid w:val="00DA15E2"/>
    <w:rsid w:val="00DA1A72"/>
    <w:rsid w:val="00DA2D09"/>
    <w:rsid w:val="00DA3D66"/>
    <w:rsid w:val="00DA453F"/>
    <w:rsid w:val="00DA4E5B"/>
    <w:rsid w:val="00DA4E85"/>
    <w:rsid w:val="00DA5171"/>
    <w:rsid w:val="00DA57F2"/>
    <w:rsid w:val="00DA69FC"/>
    <w:rsid w:val="00DA6B3A"/>
    <w:rsid w:val="00DA7143"/>
    <w:rsid w:val="00DA7319"/>
    <w:rsid w:val="00DA7675"/>
    <w:rsid w:val="00DA77C7"/>
    <w:rsid w:val="00DA7B5D"/>
    <w:rsid w:val="00DA7CDB"/>
    <w:rsid w:val="00DB04DE"/>
    <w:rsid w:val="00DB126B"/>
    <w:rsid w:val="00DB1EBD"/>
    <w:rsid w:val="00DB2710"/>
    <w:rsid w:val="00DB28F1"/>
    <w:rsid w:val="00DB30FF"/>
    <w:rsid w:val="00DB3F16"/>
    <w:rsid w:val="00DB42EF"/>
    <w:rsid w:val="00DB438B"/>
    <w:rsid w:val="00DB463B"/>
    <w:rsid w:val="00DB46F5"/>
    <w:rsid w:val="00DB4BA9"/>
    <w:rsid w:val="00DB5427"/>
    <w:rsid w:val="00DB55C1"/>
    <w:rsid w:val="00DB566A"/>
    <w:rsid w:val="00DB6138"/>
    <w:rsid w:val="00DB6A83"/>
    <w:rsid w:val="00DB6B44"/>
    <w:rsid w:val="00DB7D33"/>
    <w:rsid w:val="00DB7F37"/>
    <w:rsid w:val="00DC0BC9"/>
    <w:rsid w:val="00DC0BE5"/>
    <w:rsid w:val="00DC0E31"/>
    <w:rsid w:val="00DC147E"/>
    <w:rsid w:val="00DC1590"/>
    <w:rsid w:val="00DC1AEF"/>
    <w:rsid w:val="00DC1D2C"/>
    <w:rsid w:val="00DC217B"/>
    <w:rsid w:val="00DC24D3"/>
    <w:rsid w:val="00DC35EF"/>
    <w:rsid w:val="00DC479E"/>
    <w:rsid w:val="00DC5498"/>
    <w:rsid w:val="00DC55D0"/>
    <w:rsid w:val="00DC57DE"/>
    <w:rsid w:val="00DC598F"/>
    <w:rsid w:val="00DC5C84"/>
    <w:rsid w:val="00DC779E"/>
    <w:rsid w:val="00DC7B1F"/>
    <w:rsid w:val="00DC7B39"/>
    <w:rsid w:val="00DD011D"/>
    <w:rsid w:val="00DD03D5"/>
    <w:rsid w:val="00DD1251"/>
    <w:rsid w:val="00DD127B"/>
    <w:rsid w:val="00DD19F5"/>
    <w:rsid w:val="00DD21EB"/>
    <w:rsid w:val="00DD25F4"/>
    <w:rsid w:val="00DD331E"/>
    <w:rsid w:val="00DD3E85"/>
    <w:rsid w:val="00DD505D"/>
    <w:rsid w:val="00DD50D4"/>
    <w:rsid w:val="00DD576B"/>
    <w:rsid w:val="00DD5EE0"/>
    <w:rsid w:val="00DD6601"/>
    <w:rsid w:val="00DD6674"/>
    <w:rsid w:val="00DD67FB"/>
    <w:rsid w:val="00DD6D24"/>
    <w:rsid w:val="00DD7297"/>
    <w:rsid w:val="00DD79B3"/>
    <w:rsid w:val="00DD7BE1"/>
    <w:rsid w:val="00DE0359"/>
    <w:rsid w:val="00DE0CFF"/>
    <w:rsid w:val="00DE12B5"/>
    <w:rsid w:val="00DE21D9"/>
    <w:rsid w:val="00DE29B9"/>
    <w:rsid w:val="00DE31A6"/>
    <w:rsid w:val="00DE3C4F"/>
    <w:rsid w:val="00DE408B"/>
    <w:rsid w:val="00DE413F"/>
    <w:rsid w:val="00DE4957"/>
    <w:rsid w:val="00DE5045"/>
    <w:rsid w:val="00DE5567"/>
    <w:rsid w:val="00DE6D73"/>
    <w:rsid w:val="00DE708B"/>
    <w:rsid w:val="00DE73D3"/>
    <w:rsid w:val="00DE7450"/>
    <w:rsid w:val="00DE7683"/>
    <w:rsid w:val="00DE7727"/>
    <w:rsid w:val="00DE7764"/>
    <w:rsid w:val="00DE7AB8"/>
    <w:rsid w:val="00DF04CB"/>
    <w:rsid w:val="00DF0875"/>
    <w:rsid w:val="00DF1002"/>
    <w:rsid w:val="00DF104E"/>
    <w:rsid w:val="00DF10F8"/>
    <w:rsid w:val="00DF1F32"/>
    <w:rsid w:val="00DF2BB8"/>
    <w:rsid w:val="00DF2C8B"/>
    <w:rsid w:val="00DF3064"/>
    <w:rsid w:val="00DF35B7"/>
    <w:rsid w:val="00DF3B4A"/>
    <w:rsid w:val="00DF44B5"/>
    <w:rsid w:val="00DF46B2"/>
    <w:rsid w:val="00DF51A2"/>
    <w:rsid w:val="00DF58E7"/>
    <w:rsid w:val="00DF5E2A"/>
    <w:rsid w:val="00DF6381"/>
    <w:rsid w:val="00DF67F5"/>
    <w:rsid w:val="00DF6CF9"/>
    <w:rsid w:val="00DF6D71"/>
    <w:rsid w:val="00DF7804"/>
    <w:rsid w:val="00E00355"/>
    <w:rsid w:val="00E006E4"/>
    <w:rsid w:val="00E00B16"/>
    <w:rsid w:val="00E00BDB"/>
    <w:rsid w:val="00E00CC6"/>
    <w:rsid w:val="00E01720"/>
    <w:rsid w:val="00E019B0"/>
    <w:rsid w:val="00E02AA5"/>
    <w:rsid w:val="00E03375"/>
    <w:rsid w:val="00E035A5"/>
    <w:rsid w:val="00E03CA9"/>
    <w:rsid w:val="00E03DE4"/>
    <w:rsid w:val="00E03EE2"/>
    <w:rsid w:val="00E0409E"/>
    <w:rsid w:val="00E0529E"/>
    <w:rsid w:val="00E0558E"/>
    <w:rsid w:val="00E05630"/>
    <w:rsid w:val="00E05889"/>
    <w:rsid w:val="00E059BF"/>
    <w:rsid w:val="00E05A6F"/>
    <w:rsid w:val="00E0630B"/>
    <w:rsid w:val="00E065E0"/>
    <w:rsid w:val="00E06913"/>
    <w:rsid w:val="00E06CE8"/>
    <w:rsid w:val="00E073D9"/>
    <w:rsid w:val="00E074A7"/>
    <w:rsid w:val="00E0757C"/>
    <w:rsid w:val="00E0781E"/>
    <w:rsid w:val="00E103C8"/>
    <w:rsid w:val="00E10416"/>
    <w:rsid w:val="00E1071E"/>
    <w:rsid w:val="00E10EDC"/>
    <w:rsid w:val="00E11155"/>
    <w:rsid w:val="00E11458"/>
    <w:rsid w:val="00E11854"/>
    <w:rsid w:val="00E11876"/>
    <w:rsid w:val="00E12000"/>
    <w:rsid w:val="00E12488"/>
    <w:rsid w:val="00E1254F"/>
    <w:rsid w:val="00E12639"/>
    <w:rsid w:val="00E12C61"/>
    <w:rsid w:val="00E12D42"/>
    <w:rsid w:val="00E12F73"/>
    <w:rsid w:val="00E1319E"/>
    <w:rsid w:val="00E1331A"/>
    <w:rsid w:val="00E136C8"/>
    <w:rsid w:val="00E1384E"/>
    <w:rsid w:val="00E138E7"/>
    <w:rsid w:val="00E142BF"/>
    <w:rsid w:val="00E14825"/>
    <w:rsid w:val="00E14A89"/>
    <w:rsid w:val="00E14BC5"/>
    <w:rsid w:val="00E15ACE"/>
    <w:rsid w:val="00E15AFB"/>
    <w:rsid w:val="00E15D2A"/>
    <w:rsid w:val="00E160AD"/>
    <w:rsid w:val="00E1616A"/>
    <w:rsid w:val="00E1632C"/>
    <w:rsid w:val="00E16CCD"/>
    <w:rsid w:val="00E17AA6"/>
    <w:rsid w:val="00E17B00"/>
    <w:rsid w:val="00E201FA"/>
    <w:rsid w:val="00E202FE"/>
    <w:rsid w:val="00E2032C"/>
    <w:rsid w:val="00E2088F"/>
    <w:rsid w:val="00E20E15"/>
    <w:rsid w:val="00E216B4"/>
    <w:rsid w:val="00E22C03"/>
    <w:rsid w:val="00E23094"/>
    <w:rsid w:val="00E236BD"/>
    <w:rsid w:val="00E23C1E"/>
    <w:rsid w:val="00E23CBB"/>
    <w:rsid w:val="00E242DA"/>
    <w:rsid w:val="00E24726"/>
    <w:rsid w:val="00E24C45"/>
    <w:rsid w:val="00E24E6D"/>
    <w:rsid w:val="00E24EA9"/>
    <w:rsid w:val="00E24F01"/>
    <w:rsid w:val="00E24F92"/>
    <w:rsid w:val="00E25DCD"/>
    <w:rsid w:val="00E25EB3"/>
    <w:rsid w:val="00E26085"/>
    <w:rsid w:val="00E265DF"/>
    <w:rsid w:val="00E26AA9"/>
    <w:rsid w:val="00E26D3D"/>
    <w:rsid w:val="00E27237"/>
    <w:rsid w:val="00E27BB9"/>
    <w:rsid w:val="00E30BBB"/>
    <w:rsid w:val="00E31A27"/>
    <w:rsid w:val="00E31B88"/>
    <w:rsid w:val="00E31DC6"/>
    <w:rsid w:val="00E31F6C"/>
    <w:rsid w:val="00E32481"/>
    <w:rsid w:val="00E325A5"/>
    <w:rsid w:val="00E32C8C"/>
    <w:rsid w:val="00E33023"/>
    <w:rsid w:val="00E3381B"/>
    <w:rsid w:val="00E33970"/>
    <w:rsid w:val="00E33B28"/>
    <w:rsid w:val="00E34784"/>
    <w:rsid w:val="00E355B5"/>
    <w:rsid w:val="00E35AC5"/>
    <w:rsid w:val="00E36752"/>
    <w:rsid w:val="00E36CF5"/>
    <w:rsid w:val="00E3746C"/>
    <w:rsid w:val="00E37574"/>
    <w:rsid w:val="00E37B59"/>
    <w:rsid w:val="00E37C6B"/>
    <w:rsid w:val="00E37C8F"/>
    <w:rsid w:val="00E4069D"/>
    <w:rsid w:val="00E40C54"/>
    <w:rsid w:val="00E40F51"/>
    <w:rsid w:val="00E41110"/>
    <w:rsid w:val="00E41F15"/>
    <w:rsid w:val="00E41F51"/>
    <w:rsid w:val="00E42290"/>
    <w:rsid w:val="00E4246E"/>
    <w:rsid w:val="00E42A35"/>
    <w:rsid w:val="00E42D7B"/>
    <w:rsid w:val="00E42FED"/>
    <w:rsid w:val="00E4375C"/>
    <w:rsid w:val="00E43B03"/>
    <w:rsid w:val="00E43CE8"/>
    <w:rsid w:val="00E442E9"/>
    <w:rsid w:val="00E44335"/>
    <w:rsid w:val="00E443A4"/>
    <w:rsid w:val="00E4501D"/>
    <w:rsid w:val="00E4597C"/>
    <w:rsid w:val="00E45C27"/>
    <w:rsid w:val="00E45D4A"/>
    <w:rsid w:val="00E46346"/>
    <w:rsid w:val="00E46B93"/>
    <w:rsid w:val="00E478BA"/>
    <w:rsid w:val="00E47BFE"/>
    <w:rsid w:val="00E47FF5"/>
    <w:rsid w:val="00E50097"/>
    <w:rsid w:val="00E5016E"/>
    <w:rsid w:val="00E502DA"/>
    <w:rsid w:val="00E5079B"/>
    <w:rsid w:val="00E50D76"/>
    <w:rsid w:val="00E5155B"/>
    <w:rsid w:val="00E52740"/>
    <w:rsid w:val="00E5278D"/>
    <w:rsid w:val="00E527DA"/>
    <w:rsid w:val="00E53438"/>
    <w:rsid w:val="00E53F1B"/>
    <w:rsid w:val="00E543A0"/>
    <w:rsid w:val="00E5472C"/>
    <w:rsid w:val="00E5497D"/>
    <w:rsid w:val="00E54B59"/>
    <w:rsid w:val="00E54D95"/>
    <w:rsid w:val="00E54ED5"/>
    <w:rsid w:val="00E55254"/>
    <w:rsid w:val="00E56958"/>
    <w:rsid w:val="00E56B41"/>
    <w:rsid w:val="00E5719E"/>
    <w:rsid w:val="00E579EC"/>
    <w:rsid w:val="00E57B0B"/>
    <w:rsid w:val="00E57FFC"/>
    <w:rsid w:val="00E604A8"/>
    <w:rsid w:val="00E6146E"/>
    <w:rsid w:val="00E624A9"/>
    <w:rsid w:val="00E62BE5"/>
    <w:rsid w:val="00E633CD"/>
    <w:rsid w:val="00E63909"/>
    <w:rsid w:val="00E63976"/>
    <w:rsid w:val="00E6442A"/>
    <w:rsid w:val="00E6556F"/>
    <w:rsid w:val="00E65E27"/>
    <w:rsid w:val="00E66157"/>
    <w:rsid w:val="00E66891"/>
    <w:rsid w:val="00E668A8"/>
    <w:rsid w:val="00E66D20"/>
    <w:rsid w:val="00E66F36"/>
    <w:rsid w:val="00E67D10"/>
    <w:rsid w:val="00E67E5A"/>
    <w:rsid w:val="00E701E5"/>
    <w:rsid w:val="00E7131C"/>
    <w:rsid w:val="00E71399"/>
    <w:rsid w:val="00E725AA"/>
    <w:rsid w:val="00E725FC"/>
    <w:rsid w:val="00E726DB"/>
    <w:rsid w:val="00E72D08"/>
    <w:rsid w:val="00E734C8"/>
    <w:rsid w:val="00E73AD7"/>
    <w:rsid w:val="00E74100"/>
    <w:rsid w:val="00E75010"/>
    <w:rsid w:val="00E753B5"/>
    <w:rsid w:val="00E7558C"/>
    <w:rsid w:val="00E755E2"/>
    <w:rsid w:val="00E757FB"/>
    <w:rsid w:val="00E758C0"/>
    <w:rsid w:val="00E7590F"/>
    <w:rsid w:val="00E75A43"/>
    <w:rsid w:val="00E75D07"/>
    <w:rsid w:val="00E76453"/>
    <w:rsid w:val="00E7673F"/>
    <w:rsid w:val="00E76BAB"/>
    <w:rsid w:val="00E776ED"/>
    <w:rsid w:val="00E77E76"/>
    <w:rsid w:val="00E80B03"/>
    <w:rsid w:val="00E80DA4"/>
    <w:rsid w:val="00E81880"/>
    <w:rsid w:val="00E8221A"/>
    <w:rsid w:val="00E82642"/>
    <w:rsid w:val="00E8302A"/>
    <w:rsid w:val="00E835BF"/>
    <w:rsid w:val="00E8445F"/>
    <w:rsid w:val="00E84BB0"/>
    <w:rsid w:val="00E84CBE"/>
    <w:rsid w:val="00E853F2"/>
    <w:rsid w:val="00E85A42"/>
    <w:rsid w:val="00E85A4D"/>
    <w:rsid w:val="00E8657F"/>
    <w:rsid w:val="00E86888"/>
    <w:rsid w:val="00E8747C"/>
    <w:rsid w:val="00E87928"/>
    <w:rsid w:val="00E87B99"/>
    <w:rsid w:val="00E87DA9"/>
    <w:rsid w:val="00E9032E"/>
    <w:rsid w:val="00E90ACF"/>
    <w:rsid w:val="00E91036"/>
    <w:rsid w:val="00E913A0"/>
    <w:rsid w:val="00E919AF"/>
    <w:rsid w:val="00E923E6"/>
    <w:rsid w:val="00E92517"/>
    <w:rsid w:val="00E928B0"/>
    <w:rsid w:val="00E92EA2"/>
    <w:rsid w:val="00E92F6B"/>
    <w:rsid w:val="00E93169"/>
    <w:rsid w:val="00E93296"/>
    <w:rsid w:val="00E9450E"/>
    <w:rsid w:val="00E94629"/>
    <w:rsid w:val="00E9521A"/>
    <w:rsid w:val="00E95848"/>
    <w:rsid w:val="00E95919"/>
    <w:rsid w:val="00E95C81"/>
    <w:rsid w:val="00E95FD5"/>
    <w:rsid w:val="00E9613E"/>
    <w:rsid w:val="00E96626"/>
    <w:rsid w:val="00E96CE7"/>
    <w:rsid w:val="00E96F35"/>
    <w:rsid w:val="00E97863"/>
    <w:rsid w:val="00E9792B"/>
    <w:rsid w:val="00EA01A4"/>
    <w:rsid w:val="00EA06C2"/>
    <w:rsid w:val="00EA0E01"/>
    <w:rsid w:val="00EA15D9"/>
    <w:rsid w:val="00EA2167"/>
    <w:rsid w:val="00EA2216"/>
    <w:rsid w:val="00EA2504"/>
    <w:rsid w:val="00EA2E9F"/>
    <w:rsid w:val="00EA36C6"/>
    <w:rsid w:val="00EA3CCE"/>
    <w:rsid w:val="00EA3EAA"/>
    <w:rsid w:val="00EA4169"/>
    <w:rsid w:val="00EA4F43"/>
    <w:rsid w:val="00EA4F99"/>
    <w:rsid w:val="00EA56D0"/>
    <w:rsid w:val="00EA5D45"/>
    <w:rsid w:val="00EA6609"/>
    <w:rsid w:val="00EA6816"/>
    <w:rsid w:val="00EA6D24"/>
    <w:rsid w:val="00EA7D8F"/>
    <w:rsid w:val="00EA7FE7"/>
    <w:rsid w:val="00EB0A7A"/>
    <w:rsid w:val="00EB1436"/>
    <w:rsid w:val="00EB1F3D"/>
    <w:rsid w:val="00EB28AF"/>
    <w:rsid w:val="00EB2911"/>
    <w:rsid w:val="00EB2E48"/>
    <w:rsid w:val="00EB2EF7"/>
    <w:rsid w:val="00EB318E"/>
    <w:rsid w:val="00EB3906"/>
    <w:rsid w:val="00EB3FF9"/>
    <w:rsid w:val="00EB46D0"/>
    <w:rsid w:val="00EB4FAA"/>
    <w:rsid w:val="00EB51C1"/>
    <w:rsid w:val="00EB5CE4"/>
    <w:rsid w:val="00EB5E8F"/>
    <w:rsid w:val="00EB615A"/>
    <w:rsid w:val="00EB644B"/>
    <w:rsid w:val="00EB6AB0"/>
    <w:rsid w:val="00EB6D51"/>
    <w:rsid w:val="00EB762F"/>
    <w:rsid w:val="00EB783C"/>
    <w:rsid w:val="00EC0035"/>
    <w:rsid w:val="00EC1170"/>
    <w:rsid w:val="00EC1401"/>
    <w:rsid w:val="00EC217E"/>
    <w:rsid w:val="00EC244B"/>
    <w:rsid w:val="00EC247F"/>
    <w:rsid w:val="00EC2A18"/>
    <w:rsid w:val="00EC30F9"/>
    <w:rsid w:val="00EC4CD6"/>
    <w:rsid w:val="00EC4F50"/>
    <w:rsid w:val="00EC4FA5"/>
    <w:rsid w:val="00EC519E"/>
    <w:rsid w:val="00EC5324"/>
    <w:rsid w:val="00EC5922"/>
    <w:rsid w:val="00EC5BD2"/>
    <w:rsid w:val="00EC5C61"/>
    <w:rsid w:val="00EC5FA8"/>
    <w:rsid w:val="00EC6ACE"/>
    <w:rsid w:val="00EC6D31"/>
    <w:rsid w:val="00EC6E79"/>
    <w:rsid w:val="00EC6F74"/>
    <w:rsid w:val="00EC7162"/>
    <w:rsid w:val="00EC728A"/>
    <w:rsid w:val="00EC782F"/>
    <w:rsid w:val="00EC7EF7"/>
    <w:rsid w:val="00ED02A1"/>
    <w:rsid w:val="00ED04FA"/>
    <w:rsid w:val="00ED0708"/>
    <w:rsid w:val="00ED09F6"/>
    <w:rsid w:val="00ED143A"/>
    <w:rsid w:val="00ED176E"/>
    <w:rsid w:val="00ED17EF"/>
    <w:rsid w:val="00ED1C24"/>
    <w:rsid w:val="00ED2498"/>
    <w:rsid w:val="00ED24B4"/>
    <w:rsid w:val="00ED25FE"/>
    <w:rsid w:val="00ED2696"/>
    <w:rsid w:val="00ED2DB8"/>
    <w:rsid w:val="00ED37F8"/>
    <w:rsid w:val="00ED39A1"/>
    <w:rsid w:val="00ED458D"/>
    <w:rsid w:val="00ED4913"/>
    <w:rsid w:val="00ED4E73"/>
    <w:rsid w:val="00ED515E"/>
    <w:rsid w:val="00ED5725"/>
    <w:rsid w:val="00ED575B"/>
    <w:rsid w:val="00ED5C2B"/>
    <w:rsid w:val="00ED6B97"/>
    <w:rsid w:val="00ED7031"/>
    <w:rsid w:val="00ED7149"/>
    <w:rsid w:val="00ED725B"/>
    <w:rsid w:val="00ED7265"/>
    <w:rsid w:val="00ED793A"/>
    <w:rsid w:val="00EE037E"/>
    <w:rsid w:val="00EE0641"/>
    <w:rsid w:val="00EE1047"/>
    <w:rsid w:val="00EE12C4"/>
    <w:rsid w:val="00EE1614"/>
    <w:rsid w:val="00EE182B"/>
    <w:rsid w:val="00EE2437"/>
    <w:rsid w:val="00EE2B4A"/>
    <w:rsid w:val="00EE3060"/>
    <w:rsid w:val="00EE40B1"/>
    <w:rsid w:val="00EE40EE"/>
    <w:rsid w:val="00EE425F"/>
    <w:rsid w:val="00EE4315"/>
    <w:rsid w:val="00EE45A8"/>
    <w:rsid w:val="00EE4691"/>
    <w:rsid w:val="00EE48C5"/>
    <w:rsid w:val="00EE4ABD"/>
    <w:rsid w:val="00EE5B95"/>
    <w:rsid w:val="00EE5E44"/>
    <w:rsid w:val="00EE6E7A"/>
    <w:rsid w:val="00EE7707"/>
    <w:rsid w:val="00EE77DF"/>
    <w:rsid w:val="00EE7B2B"/>
    <w:rsid w:val="00EF0079"/>
    <w:rsid w:val="00EF00B2"/>
    <w:rsid w:val="00EF036E"/>
    <w:rsid w:val="00EF06AF"/>
    <w:rsid w:val="00EF0873"/>
    <w:rsid w:val="00EF102B"/>
    <w:rsid w:val="00EF102F"/>
    <w:rsid w:val="00EF1CF6"/>
    <w:rsid w:val="00EF1F70"/>
    <w:rsid w:val="00EF2C08"/>
    <w:rsid w:val="00EF31E7"/>
    <w:rsid w:val="00EF38CC"/>
    <w:rsid w:val="00EF3C5E"/>
    <w:rsid w:val="00EF3D72"/>
    <w:rsid w:val="00EF3EB8"/>
    <w:rsid w:val="00EF3FDD"/>
    <w:rsid w:val="00EF45B0"/>
    <w:rsid w:val="00EF4BC1"/>
    <w:rsid w:val="00EF52A0"/>
    <w:rsid w:val="00EF65FA"/>
    <w:rsid w:val="00EF6925"/>
    <w:rsid w:val="00EF7291"/>
    <w:rsid w:val="00EF7620"/>
    <w:rsid w:val="00EF7AFD"/>
    <w:rsid w:val="00EF7B32"/>
    <w:rsid w:val="00EF7FB8"/>
    <w:rsid w:val="00F00381"/>
    <w:rsid w:val="00F003AF"/>
    <w:rsid w:val="00F019AE"/>
    <w:rsid w:val="00F01D5D"/>
    <w:rsid w:val="00F01DC6"/>
    <w:rsid w:val="00F02766"/>
    <w:rsid w:val="00F02B38"/>
    <w:rsid w:val="00F02FF2"/>
    <w:rsid w:val="00F034A2"/>
    <w:rsid w:val="00F03CBC"/>
    <w:rsid w:val="00F040BA"/>
    <w:rsid w:val="00F047F1"/>
    <w:rsid w:val="00F04B94"/>
    <w:rsid w:val="00F05276"/>
    <w:rsid w:val="00F054DD"/>
    <w:rsid w:val="00F057DA"/>
    <w:rsid w:val="00F057EA"/>
    <w:rsid w:val="00F06CF1"/>
    <w:rsid w:val="00F100A3"/>
    <w:rsid w:val="00F100C0"/>
    <w:rsid w:val="00F100DE"/>
    <w:rsid w:val="00F10656"/>
    <w:rsid w:val="00F10FF6"/>
    <w:rsid w:val="00F11362"/>
    <w:rsid w:val="00F11A00"/>
    <w:rsid w:val="00F12118"/>
    <w:rsid w:val="00F12323"/>
    <w:rsid w:val="00F12570"/>
    <w:rsid w:val="00F12605"/>
    <w:rsid w:val="00F1299C"/>
    <w:rsid w:val="00F13015"/>
    <w:rsid w:val="00F13183"/>
    <w:rsid w:val="00F13554"/>
    <w:rsid w:val="00F139CA"/>
    <w:rsid w:val="00F13C4D"/>
    <w:rsid w:val="00F13DE6"/>
    <w:rsid w:val="00F13F6D"/>
    <w:rsid w:val="00F14088"/>
    <w:rsid w:val="00F145E2"/>
    <w:rsid w:val="00F14A8D"/>
    <w:rsid w:val="00F14D15"/>
    <w:rsid w:val="00F151A6"/>
    <w:rsid w:val="00F15C31"/>
    <w:rsid w:val="00F16082"/>
    <w:rsid w:val="00F16191"/>
    <w:rsid w:val="00F16BF9"/>
    <w:rsid w:val="00F176BE"/>
    <w:rsid w:val="00F17A7E"/>
    <w:rsid w:val="00F17B5E"/>
    <w:rsid w:val="00F2030F"/>
    <w:rsid w:val="00F203F7"/>
    <w:rsid w:val="00F207CA"/>
    <w:rsid w:val="00F21326"/>
    <w:rsid w:val="00F2168D"/>
    <w:rsid w:val="00F21DDD"/>
    <w:rsid w:val="00F21F57"/>
    <w:rsid w:val="00F22376"/>
    <w:rsid w:val="00F22E17"/>
    <w:rsid w:val="00F23004"/>
    <w:rsid w:val="00F23106"/>
    <w:rsid w:val="00F233C0"/>
    <w:rsid w:val="00F238D5"/>
    <w:rsid w:val="00F2395B"/>
    <w:rsid w:val="00F24017"/>
    <w:rsid w:val="00F247BA"/>
    <w:rsid w:val="00F24D5F"/>
    <w:rsid w:val="00F24E16"/>
    <w:rsid w:val="00F24FA5"/>
    <w:rsid w:val="00F252B1"/>
    <w:rsid w:val="00F2592A"/>
    <w:rsid w:val="00F25952"/>
    <w:rsid w:val="00F26534"/>
    <w:rsid w:val="00F26600"/>
    <w:rsid w:val="00F26765"/>
    <w:rsid w:val="00F26814"/>
    <w:rsid w:val="00F268D5"/>
    <w:rsid w:val="00F26B8F"/>
    <w:rsid w:val="00F26ED3"/>
    <w:rsid w:val="00F26FEE"/>
    <w:rsid w:val="00F275AE"/>
    <w:rsid w:val="00F27948"/>
    <w:rsid w:val="00F27C9D"/>
    <w:rsid w:val="00F27D33"/>
    <w:rsid w:val="00F308AF"/>
    <w:rsid w:val="00F3091E"/>
    <w:rsid w:val="00F30E87"/>
    <w:rsid w:val="00F31910"/>
    <w:rsid w:val="00F31998"/>
    <w:rsid w:val="00F31C01"/>
    <w:rsid w:val="00F31C5D"/>
    <w:rsid w:val="00F328C4"/>
    <w:rsid w:val="00F32A06"/>
    <w:rsid w:val="00F3331B"/>
    <w:rsid w:val="00F3343A"/>
    <w:rsid w:val="00F33BDB"/>
    <w:rsid w:val="00F34183"/>
    <w:rsid w:val="00F3439E"/>
    <w:rsid w:val="00F3447C"/>
    <w:rsid w:val="00F35515"/>
    <w:rsid w:val="00F35541"/>
    <w:rsid w:val="00F35820"/>
    <w:rsid w:val="00F35C02"/>
    <w:rsid w:val="00F36338"/>
    <w:rsid w:val="00F36677"/>
    <w:rsid w:val="00F36B01"/>
    <w:rsid w:val="00F36B52"/>
    <w:rsid w:val="00F36D3E"/>
    <w:rsid w:val="00F373B6"/>
    <w:rsid w:val="00F374B7"/>
    <w:rsid w:val="00F37523"/>
    <w:rsid w:val="00F37914"/>
    <w:rsid w:val="00F37EE2"/>
    <w:rsid w:val="00F4026F"/>
    <w:rsid w:val="00F40486"/>
    <w:rsid w:val="00F407B9"/>
    <w:rsid w:val="00F40AA7"/>
    <w:rsid w:val="00F40B02"/>
    <w:rsid w:val="00F40C1F"/>
    <w:rsid w:val="00F412D5"/>
    <w:rsid w:val="00F4171E"/>
    <w:rsid w:val="00F424E2"/>
    <w:rsid w:val="00F4280D"/>
    <w:rsid w:val="00F42F9C"/>
    <w:rsid w:val="00F432A0"/>
    <w:rsid w:val="00F437AB"/>
    <w:rsid w:val="00F4404B"/>
    <w:rsid w:val="00F44C7D"/>
    <w:rsid w:val="00F44DF0"/>
    <w:rsid w:val="00F4504E"/>
    <w:rsid w:val="00F4554E"/>
    <w:rsid w:val="00F4577C"/>
    <w:rsid w:val="00F4623A"/>
    <w:rsid w:val="00F475CE"/>
    <w:rsid w:val="00F47FC4"/>
    <w:rsid w:val="00F502A8"/>
    <w:rsid w:val="00F50475"/>
    <w:rsid w:val="00F50810"/>
    <w:rsid w:val="00F50D2D"/>
    <w:rsid w:val="00F5126A"/>
    <w:rsid w:val="00F5155F"/>
    <w:rsid w:val="00F515FD"/>
    <w:rsid w:val="00F518AA"/>
    <w:rsid w:val="00F51AC8"/>
    <w:rsid w:val="00F51AD4"/>
    <w:rsid w:val="00F51DD6"/>
    <w:rsid w:val="00F52312"/>
    <w:rsid w:val="00F52A42"/>
    <w:rsid w:val="00F52FB9"/>
    <w:rsid w:val="00F5375B"/>
    <w:rsid w:val="00F53CD0"/>
    <w:rsid w:val="00F551E3"/>
    <w:rsid w:val="00F552C7"/>
    <w:rsid w:val="00F5665C"/>
    <w:rsid w:val="00F56686"/>
    <w:rsid w:val="00F5684F"/>
    <w:rsid w:val="00F56BB5"/>
    <w:rsid w:val="00F56F66"/>
    <w:rsid w:val="00F57085"/>
    <w:rsid w:val="00F571B6"/>
    <w:rsid w:val="00F57768"/>
    <w:rsid w:val="00F57CD2"/>
    <w:rsid w:val="00F600BA"/>
    <w:rsid w:val="00F6057C"/>
    <w:rsid w:val="00F60AA2"/>
    <w:rsid w:val="00F62B7A"/>
    <w:rsid w:val="00F632E1"/>
    <w:rsid w:val="00F6345C"/>
    <w:rsid w:val="00F6397D"/>
    <w:rsid w:val="00F639FB"/>
    <w:rsid w:val="00F63C5C"/>
    <w:rsid w:val="00F63F2C"/>
    <w:rsid w:val="00F643C6"/>
    <w:rsid w:val="00F64840"/>
    <w:rsid w:val="00F64C09"/>
    <w:rsid w:val="00F6508A"/>
    <w:rsid w:val="00F659EA"/>
    <w:rsid w:val="00F65B49"/>
    <w:rsid w:val="00F65FB8"/>
    <w:rsid w:val="00F6612D"/>
    <w:rsid w:val="00F66745"/>
    <w:rsid w:val="00F66905"/>
    <w:rsid w:val="00F66AE9"/>
    <w:rsid w:val="00F66C15"/>
    <w:rsid w:val="00F66C91"/>
    <w:rsid w:val="00F66F50"/>
    <w:rsid w:val="00F671AD"/>
    <w:rsid w:val="00F67BCA"/>
    <w:rsid w:val="00F70613"/>
    <w:rsid w:val="00F706AF"/>
    <w:rsid w:val="00F70821"/>
    <w:rsid w:val="00F71218"/>
    <w:rsid w:val="00F71D8E"/>
    <w:rsid w:val="00F71F81"/>
    <w:rsid w:val="00F720F7"/>
    <w:rsid w:val="00F7293E"/>
    <w:rsid w:val="00F73E07"/>
    <w:rsid w:val="00F7447E"/>
    <w:rsid w:val="00F745EE"/>
    <w:rsid w:val="00F748CE"/>
    <w:rsid w:val="00F74B4B"/>
    <w:rsid w:val="00F75C21"/>
    <w:rsid w:val="00F75DCB"/>
    <w:rsid w:val="00F75F8F"/>
    <w:rsid w:val="00F760E1"/>
    <w:rsid w:val="00F76650"/>
    <w:rsid w:val="00F77186"/>
    <w:rsid w:val="00F77B84"/>
    <w:rsid w:val="00F77CFC"/>
    <w:rsid w:val="00F800F8"/>
    <w:rsid w:val="00F80B06"/>
    <w:rsid w:val="00F81630"/>
    <w:rsid w:val="00F81B74"/>
    <w:rsid w:val="00F82366"/>
    <w:rsid w:val="00F82780"/>
    <w:rsid w:val="00F82EC1"/>
    <w:rsid w:val="00F834FB"/>
    <w:rsid w:val="00F837AF"/>
    <w:rsid w:val="00F83947"/>
    <w:rsid w:val="00F839F2"/>
    <w:rsid w:val="00F84539"/>
    <w:rsid w:val="00F84810"/>
    <w:rsid w:val="00F84926"/>
    <w:rsid w:val="00F849D0"/>
    <w:rsid w:val="00F849D6"/>
    <w:rsid w:val="00F84CE5"/>
    <w:rsid w:val="00F84E30"/>
    <w:rsid w:val="00F853BB"/>
    <w:rsid w:val="00F854CF"/>
    <w:rsid w:val="00F855BB"/>
    <w:rsid w:val="00F86B4B"/>
    <w:rsid w:val="00F87275"/>
    <w:rsid w:val="00F87314"/>
    <w:rsid w:val="00F877CC"/>
    <w:rsid w:val="00F9113D"/>
    <w:rsid w:val="00F91375"/>
    <w:rsid w:val="00F9175A"/>
    <w:rsid w:val="00F9187B"/>
    <w:rsid w:val="00F91E6D"/>
    <w:rsid w:val="00F91FEE"/>
    <w:rsid w:val="00F92272"/>
    <w:rsid w:val="00F92385"/>
    <w:rsid w:val="00F923C9"/>
    <w:rsid w:val="00F92513"/>
    <w:rsid w:val="00F92CEB"/>
    <w:rsid w:val="00F9319B"/>
    <w:rsid w:val="00F93980"/>
    <w:rsid w:val="00F954BD"/>
    <w:rsid w:val="00F95A82"/>
    <w:rsid w:val="00F95C4C"/>
    <w:rsid w:val="00F95E5C"/>
    <w:rsid w:val="00F96751"/>
    <w:rsid w:val="00F96BF0"/>
    <w:rsid w:val="00F96C2F"/>
    <w:rsid w:val="00F972C4"/>
    <w:rsid w:val="00F974C5"/>
    <w:rsid w:val="00F97CF6"/>
    <w:rsid w:val="00F97EEE"/>
    <w:rsid w:val="00FA05D5"/>
    <w:rsid w:val="00FA1B4F"/>
    <w:rsid w:val="00FA219C"/>
    <w:rsid w:val="00FA21DE"/>
    <w:rsid w:val="00FA270D"/>
    <w:rsid w:val="00FA2F0E"/>
    <w:rsid w:val="00FA2FA5"/>
    <w:rsid w:val="00FA332C"/>
    <w:rsid w:val="00FA3463"/>
    <w:rsid w:val="00FA36DB"/>
    <w:rsid w:val="00FA3EDF"/>
    <w:rsid w:val="00FA405D"/>
    <w:rsid w:val="00FA4377"/>
    <w:rsid w:val="00FA4688"/>
    <w:rsid w:val="00FA4F79"/>
    <w:rsid w:val="00FA4FF6"/>
    <w:rsid w:val="00FA4FFE"/>
    <w:rsid w:val="00FA5A7A"/>
    <w:rsid w:val="00FA5B3B"/>
    <w:rsid w:val="00FA5B7A"/>
    <w:rsid w:val="00FA6307"/>
    <w:rsid w:val="00FA6367"/>
    <w:rsid w:val="00FA6758"/>
    <w:rsid w:val="00FA6F13"/>
    <w:rsid w:val="00FA713D"/>
    <w:rsid w:val="00FA7726"/>
    <w:rsid w:val="00FA7F14"/>
    <w:rsid w:val="00FB06BA"/>
    <w:rsid w:val="00FB0C3E"/>
    <w:rsid w:val="00FB128E"/>
    <w:rsid w:val="00FB12BA"/>
    <w:rsid w:val="00FB1359"/>
    <w:rsid w:val="00FB1394"/>
    <w:rsid w:val="00FB1D50"/>
    <w:rsid w:val="00FB208E"/>
    <w:rsid w:val="00FB23D5"/>
    <w:rsid w:val="00FB2E88"/>
    <w:rsid w:val="00FB3A68"/>
    <w:rsid w:val="00FB3E7C"/>
    <w:rsid w:val="00FB4900"/>
    <w:rsid w:val="00FB4D38"/>
    <w:rsid w:val="00FB51AC"/>
    <w:rsid w:val="00FB5206"/>
    <w:rsid w:val="00FB52AA"/>
    <w:rsid w:val="00FB54E1"/>
    <w:rsid w:val="00FB56C4"/>
    <w:rsid w:val="00FB56C5"/>
    <w:rsid w:val="00FB59B4"/>
    <w:rsid w:val="00FB5F71"/>
    <w:rsid w:val="00FB64F9"/>
    <w:rsid w:val="00FB65CA"/>
    <w:rsid w:val="00FB6CA8"/>
    <w:rsid w:val="00FB6FFB"/>
    <w:rsid w:val="00FB7075"/>
    <w:rsid w:val="00FB75FE"/>
    <w:rsid w:val="00FB7634"/>
    <w:rsid w:val="00FB7831"/>
    <w:rsid w:val="00FB7D51"/>
    <w:rsid w:val="00FC01AA"/>
    <w:rsid w:val="00FC04FD"/>
    <w:rsid w:val="00FC08DD"/>
    <w:rsid w:val="00FC09C9"/>
    <w:rsid w:val="00FC0C45"/>
    <w:rsid w:val="00FC0F64"/>
    <w:rsid w:val="00FC1022"/>
    <w:rsid w:val="00FC14C7"/>
    <w:rsid w:val="00FC1540"/>
    <w:rsid w:val="00FC1AD5"/>
    <w:rsid w:val="00FC1BF8"/>
    <w:rsid w:val="00FC2056"/>
    <w:rsid w:val="00FC2B50"/>
    <w:rsid w:val="00FC2EFB"/>
    <w:rsid w:val="00FC352D"/>
    <w:rsid w:val="00FC3B2B"/>
    <w:rsid w:val="00FC3E76"/>
    <w:rsid w:val="00FC4199"/>
    <w:rsid w:val="00FC4787"/>
    <w:rsid w:val="00FC47F9"/>
    <w:rsid w:val="00FC51C3"/>
    <w:rsid w:val="00FC5323"/>
    <w:rsid w:val="00FC58EA"/>
    <w:rsid w:val="00FC58F4"/>
    <w:rsid w:val="00FC5D8C"/>
    <w:rsid w:val="00FC6104"/>
    <w:rsid w:val="00FC66F0"/>
    <w:rsid w:val="00FC7246"/>
    <w:rsid w:val="00FC77FE"/>
    <w:rsid w:val="00FD00E0"/>
    <w:rsid w:val="00FD05EF"/>
    <w:rsid w:val="00FD093C"/>
    <w:rsid w:val="00FD0941"/>
    <w:rsid w:val="00FD09EA"/>
    <w:rsid w:val="00FD0A78"/>
    <w:rsid w:val="00FD1D4B"/>
    <w:rsid w:val="00FD2913"/>
    <w:rsid w:val="00FD2C70"/>
    <w:rsid w:val="00FD3779"/>
    <w:rsid w:val="00FD37BB"/>
    <w:rsid w:val="00FD687D"/>
    <w:rsid w:val="00FD6A98"/>
    <w:rsid w:val="00FD7940"/>
    <w:rsid w:val="00FD7B5E"/>
    <w:rsid w:val="00FD7BFD"/>
    <w:rsid w:val="00FE0325"/>
    <w:rsid w:val="00FE074C"/>
    <w:rsid w:val="00FE14A7"/>
    <w:rsid w:val="00FE20A3"/>
    <w:rsid w:val="00FE2351"/>
    <w:rsid w:val="00FE2745"/>
    <w:rsid w:val="00FE2FDF"/>
    <w:rsid w:val="00FE337D"/>
    <w:rsid w:val="00FE4143"/>
    <w:rsid w:val="00FE4BC8"/>
    <w:rsid w:val="00FE4DCD"/>
    <w:rsid w:val="00FE5427"/>
    <w:rsid w:val="00FE5580"/>
    <w:rsid w:val="00FE592B"/>
    <w:rsid w:val="00FE60BA"/>
    <w:rsid w:val="00FE616C"/>
    <w:rsid w:val="00FE69EF"/>
    <w:rsid w:val="00FE6DAC"/>
    <w:rsid w:val="00FE7192"/>
    <w:rsid w:val="00FE7286"/>
    <w:rsid w:val="00FE780A"/>
    <w:rsid w:val="00FE7BA8"/>
    <w:rsid w:val="00FF0077"/>
    <w:rsid w:val="00FF02BE"/>
    <w:rsid w:val="00FF06E9"/>
    <w:rsid w:val="00FF0A65"/>
    <w:rsid w:val="00FF0CD5"/>
    <w:rsid w:val="00FF110C"/>
    <w:rsid w:val="00FF1B65"/>
    <w:rsid w:val="00FF1FDF"/>
    <w:rsid w:val="00FF2318"/>
    <w:rsid w:val="00FF2E85"/>
    <w:rsid w:val="00FF310A"/>
    <w:rsid w:val="00FF3324"/>
    <w:rsid w:val="00FF451D"/>
    <w:rsid w:val="00FF4592"/>
    <w:rsid w:val="00FF4697"/>
    <w:rsid w:val="00FF49FB"/>
    <w:rsid w:val="00FF4D2A"/>
    <w:rsid w:val="00FF4D64"/>
    <w:rsid w:val="00FF57AB"/>
    <w:rsid w:val="00FF5FCD"/>
    <w:rsid w:val="00FF6292"/>
    <w:rsid w:val="00FF63D5"/>
    <w:rsid w:val="00FF6639"/>
    <w:rsid w:val="00FF6BC5"/>
    <w:rsid w:val="00FF7418"/>
    <w:rsid w:val="00FF78AE"/>
    <w:rsid w:val="00FF7975"/>
    <w:rsid w:val="00FF7AE9"/>
    <w:rsid w:val="00FF7B13"/>
    <w:rsid w:val="012A6BFA"/>
    <w:rsid w:val="0146768A"/>
    <w:rsid w:val="01568012"/>
    <w:rsid w:val="0176DA57"/>
    <w:rsid w:val="017ED498"/>
    <w:rsid w:val="018C6231"/>
    <w:rsid w:val="019ECF09"/>
    <w:rsid w:val="01A3EEFE"/>
    <w:rsid w:val="01F2F0E5"/>
    <w:rsid w:val="01FBF648"/>
    <w:rsid w:val="0212BFBC"/>
    <w:rsid w:val="021956CF"/>
    <w:rsid w:val="02200230"/>
    <w:rsid w:val="0225CA5A"/>
    <w:rsid w:val="022BEFE1"/>
    <w:rsid w:val="0253E5C1"/>
    <w:rsid w:val="02569612"/>
    <w:rsid w:val="0259F4F6"/>
    <w:rsid w:val="02665E5F"/>
    <w:rsid w:val="02668CCC"/>
    <w:rsid w:val="026E1D1F"/>
    <w:rsid w:val="02928451"/>
    <w:rsid w:val="02C8F6EF"/>
    <w:rsid w:val="02DB1246"/>
    <w:rsid w:val="02FDA1D9"/>
    <w:rsid w:val="03077101"/>
    <w:rsid w:val="0370AB9F"/>
    <w:rsid w:val="03778B5D"/>
    <w:rsid w:val="03870499"/>
    <w:rsid w:val="03AB2B0E"/>
    <w:rsid w:val="03C343B8"/>
    <w:rsid w:val="03CB37B6"/>
    <w:rsid w:val="03FE3EFA"/>
    <w:rsid w:val="04075A54"/>
    <w:rsid w:val="042F7BA8"/>
    <w:rsid w:val="04785DFD"/>
    <w:rsid w:val="048F8727"/>
    <w:rsid w:val="04A956DE"/>
    <w:rsid w:val="04B61CEC"/>
    <w:rsid w:val="04BEBB95"/>
    <w:rsid w:val="04D97B9B"/>
    <w:rsid w:val="04DE3782"/>
    <w:rsid w:val="04E5E03C"/>
    <w:rsid w:val="04EE0AC8"/>
    <w:rsid w:val="04F771D1"/>
    <w:rsid w:val="054BCC03"/>
    <w:rsid w:val="05755717"/>
    <w:rsid w:val="0594F63F"/>
    <w:rsid w:val="05B23D1D"/>
    <w:rsid w:val="05B895B2"/>
    <w:rsid w:val="05BDB331"/>
    <w:rsid w:val="05D54D76"/>
    <w:rsid w:val="05D826F8"/>
    <w:rsid w:val="05FA9478"/>
    <w:rsid w:val="05FDFB1D"/>
    <w:rsid w:val="06197CC9"/>
    <w:rsid w:val="0619D641"/>
    <w:rsid w:val="06235459"/>
    <w:rsid w:val="0655BB17"/>
    <w:rsid w:val="066F592F"/>
    <w:rsid w:val="068AA066"/>
    <w:rsid w:val="069F7508"/>
    <w:rsid w:val="06C2324D"/>
    <w:rsid w:val="06F32413"/>
    <w:rsid w:val="07078544"/>
    <w:rsid w:val="07DE5D0A"/>
    <w:rsid w:val="07F572ED"/>
    <w:rsid w:val="084FFCF0"/>
    <w:rsid w:val="08697274"/>
    <w:rsid w:val="086D1B94"/>
    <w:rsid w:val="0870C54E"/>
    <w:rsid w:val="0872F64C"/>
    <w:rsid w:val="08811300"/>
    <w:rsid w:val="08880967"/>
    <w:rsid w:val="089A8ADB"/>
    <w:rsid w:val="08EF6AC7"/>
    <w:rsid w:val="09057E83"/>
    <w:rsid w:val="09154A60"/>
    <w:rsid w:val="095771B9"/>
    <w:rsid w:val="099A035C"/>
    <w:rsid w:val="09AE76BB"/>
    <w:rsid w:val="0A2F2B3C"/>
    <w:rsid w:val="0A7D570A"/>
    <w:rsid w:val="0A89B58C"/>
    <w:rsid w:val="0A96CF43"/>
    <w:rsid w:val="0AB60333"/>
    <w:rsid w:val="0AB91566"/>
    <w:rsid w:val="0AB9E3EB"/>
    <w:rsid w:val="0B19743F"/>
    <w:rsid w:val="0B5285E6"/>
    <w:rsid w:val="0B606AF5"/>
    <w:rsid w:val="0B85A443"/>
    <w:rsid w:val="0C14C07F"/>
    <w:rsid w:val="0C26B7AF"/>
    <w:rsid w:val="0C33DEB1"/>
    <w:rsid w:val="0CA1C27C"/>
    <w:rsid w:val="0CB42A57"/>
    <w:rsid w:val="0CCBA0FD"/>
    <w:rsid w:val="0CDCD989"/>
    <w:rsid w:val="0CE7232D"/>
    <w:rsid w:val="0CE7F456"/>
    <w:rsid w:val="0CEDE760"/>
    <w:rsid w:val="0CFEE64B"/>
    <w:rsid w:val="0D105FDA"/>
    <w:rsid w:val="0D66DD3B"/>
    <w:rsid w:val="0D69F0BB"/>
    <w:rsid w:val="0D739639"/>
    <w:rsid w:val="0D7CB2BE"/>
    <w:rsid w:val="0DB82761"/>
    <w:rsid w:val="0DBC2F69"/>
    <w:rsid w:val="0DE7D39C"/>
    <w:rsid w:val="0E596321"/>
    <w:rsid w:val="0E95C3C5"/>
    <w:rsid w:val="0EBBDF38"/>
    <w:rsid w:val="0ECCE2A6"/>
    <w:rsid w:val="0ED5497F"/>
    <w:rsid w:val="0F1EB855"/>
    <w:rsid w:val="0F20704D"/>
    <w:rsid w:val="0F2100C7"/>
    <w:rsid w:val="0F7696DF"/>
    <w:rsid w:val="0F7B9833"/>
    <w:rsid w:val="0FB70C58"/>
    <w:rsid w:val="0FC6AB72"/>
    <w:rsid w:val="0FEB83C9"/>
    <w:rsid w:val="0FEE0799"/>
    <w:rsid w:val="100221A6"/>
    <w:rsid w:val="100B8D01"/>
    <w:rsid w:val="10201803"/>
    <w:rsid w:val="10556E4C"/>
    <w:rsid w:val="10AC7E59"/>
    <w:rsid w:val="10AD928F"/>
    <w:rsid w:val="10C0BA67"/>
    <w:rsid w:val="1112C020"/>
    <w:rsid w:val="112C261E"/>
    <w:rsid w:val="113A41A3"/>
    <w:rsid w:val="114ACFF0"/>
    <w:rsid w:val="11801BAD"/>
    <w:rsid w:val="1192E7B1"/>
    <w:rsid w:val="11A32A6F"/>
    <w:rsid w:val="11D3C610"/>
    <w:rsid w:val="1204B1CB"/>
    <w:rsid w:val="12069C63"/>
    <w:rsid w:val="1213E202"/>
    <w:rsid w:val="1296FED5"/>
    <w:rsid w:val="12B67E64"/>
    <w:rsid w:val="12C06A61"/>
    <w:rsid w:val="12CC8F3D"/>
    <w:rsid w:val="12D8568A"/>
    <w:rsid w:val="12D866FB"/>
    <w:rsid w:val="1321760E"/>
    <w:rsid w:val="13702F2D"/>
    <w:rsid w:val="13980F48"/>
    <w:rsid w:val="13C90E7F"/>
    <w:rsid w:val="13D7D56E"/>
    <w:rsid w:val="13D8E4C4"/>
    <w:rsid w:val="13E7A1FD"/>
    <w:rsid w:val="1414D304"/>
    <w:rsid w:val="142C492D"/>
    <w:rsid w:val="14A2D5DF"/>
    <w:rsid w:val="14E1B66B"/>
    <w:rsid w:val="14EFAC5D"/>
    <w:rsid w:val="151D3C32"/>
    <w:rsid w:val="15279C9A"/>
    <w:rsid w:val="15542AD0"/>
    <w:rsid w:val="155AD990"/>
    <w:rsid w:val="157750F6"/>
    <w:rsid w:val="15A415EA"/>
    <w:rsid w:val="15A89A16"/>
    <w:rsid w:val="15A89D4B"/>
    <w:rsid w:val="15B1B675"/>
    <w:rsid w:val="161C25F0"/>
    <w:rsid w:val="1673686F"/>
    <w:rsid w:val="16D263C7"/>
    <w:rsid w:val="1716E670"/>
    <w:rsid w:val="1719F25F"/>
    <w:rsid w:val="17ADEE46"/>
    <w:rsid w:val="17DA709C"/>
    <w:rsid w:val="182A4170"/>
    <w:rsid w:val="182AFFD3"/>
    <w:rsid w:val="183D17ED"/>
    <w:rsid w:val="183F2579"/>
    <w:rsid w:val="18467610"/>
    <w:rsid w:val="1871054A"/>
    <w:rsid w:val="18B781F9"/>
    <w:rsid w:val="18D51DCD"/>
    <w:rsid w:val="18E83F04"/>
    <w:rsid w:val="18EC1B7F"/>
    <w:rsid w:val="1944257D"/>
    <w:rsid w:val="19455586"/>
    <w:rsid w:val="1950BF83"/>
    <w:rsid w:val="19651CFC"/>
    <w:rsid w:val="197B246F"/>
    <w:rsid w:val="19E071E5"/>
    <w:rsid w:val="19F0A92A"/>
    <w:rsid w:val="19FE89B5"/>
    <w:rsid w:val="1A2BD941"/>
    <w:rsid w:val="1A31179A"/>
    <w:rsid w:val="1A3975D6"/>
    <w:rsid w:val="1A493A5D"/>
    <w:rsid w:val="1A713C19"/>
    <w:rsid w:val="1AD25E7A"/>
    <w:rsid w:val="1AE9F22B"/>
    <w:rsid w:val="1AF64034"/>
    <w:rsid w:val="1B16A15B"/>
    <w:rsid w:val="1B34437F"/>
    <w:rsid w:val="1B800217"/>
    <w:rsid w:val="1B81A546"/>
    <w:rsid w:val="1BD661DE"/>
    <w:rsid w:val="1BE6679C"/>
    <w:rsid w:val="1BEF4158"/>
    <w:rsid w:val="1BF55AA6"/>
    <w:rsid w:val="1C0CA5BF"/>
    <w:rsid w:val="1CAFB0A8"/>
    <w:rsid w:val="1CB12144"/>
    <w:rsid w:val="1CC1D4B7"/>
    <w:rsid w:val="1CE1C852"/>
    <w:rsid w:val="1D2B4382"/>
    <w:rsid w:val="1D80F6DE"/>
    <w:rsid w:val="1DA7D516"/>
    <w:rsid w:val="1DE5B2D2"/>
    <w:rsid w:val="1E17AFFA"/>
    <w:rsid w:val="1E4EEDA4"/>
    <w:rsid w:val="1E668CB3"/>
    <w:rsid w:val="1EA84242"/>
    <w:rsid w:val="1EBD43B7"/>
    <w:rsid w:val="1ECFBDBF"/>
    <w:rsid w:val="1F2229C8"/>
    <w:rsid w:val="1FA904CF"/>
    <w:rsid w:val="1FEF9798"/>
    <w:rsid w:val="2001FFB5"/>
    <w:rsid w:val="200FDF48"/>
    <w:rsid w:val="20666EAA"/>
    <w:rsid w:val="20768B84"/>
    <w:rsid w:val="208BB319"/>
    <w:rsid w:val="20B3AE70"/>
    <w:rsid w:val="20D644AD"/>
    <w:rsid w:val="210A73BF"/>
    <w:rsid w:val="21273812"/>
    <w:rsid w:val="2129072B"/>
    <w:rsid w:val="2180D501"/>
    <w:rsid w:val="2200D100"/>
    <w:rsid w:val="22389243"/>
    <w:rsid w:val="225E605D"/>
    <w:rsid w:val="22B55371"/>
    <w:rsid w:val="22B90501"/>
    <w:rsid w:val="2313C65D"/>
    <w:rsid w:val="23565DE1"/>
    <w:rsid w:val="236841E2"/>
    <w:rsid w:val="23845715"/>
    <w:rsid w:val="238540F6"/>
    <w:rsid w:val="23B21936"/>
    <w:rsid w:val="23C7C19A"/>
    <w:rsid w:val="240B6164"/>
    <w:rsid w:val="247FC807"/>
    <w:rsid w:val="248609D4"/>
    <w:rsid w:val="249B8EE9"/>
    <w:rsid w:val="24D36FF0"/>
    <w:rsid w:val="250D770D"/>
    <w:rsid w:val="252E9461"/>
    <w:rsid w:val="2576CC7B"/>
    <w:rsid w:val="25B3D620"/>
    <w:rsid w:val="25B4F492"/>
    <w:rsid w:val="25BA4BE1"/>
    <w:rsid w:val="25D234CB"/>
    <w:rsid w:val="25E1E9C3"/>
    <w:rsid w:val="25E4FC9C"/>
    <w:rsid w:val="25EBFCC2"/>
    <w:rsid w:val="2610A284"/>
    <w:rsid w:val="26153FE3"/>
    <w:rsid w:val="2656582E"/>
    <w:rsid w:val="265B20E0"/>
    <w:rsid w:val="266B84DF"/>
    <w:rsid w:val="266F65C9"/>
    <w:rsid w:val="26B3C36C"/>
    <w:rsid w:val="26DC4559"/>
    <w:rsid w:val="26E85372"/>
    <w:rsid w:val="26ED023D"/>
    <w:rsid w:val="26EDDC93"/>
    <w:rsid w:val="26FB7B40"/>
    <w:rsid w:val="271C6897"/>
    <w:rsid w:val="271F9250"/>
    <w:rsid w:val="273E212A"/>
    <w:rsid w:val="273F10B4"/>
    <w:rsid w:val="27455F1A"/>
    <w:rsid w:val="27966DB6"/>
    <w:rsid w:val="279C8D6E"/>
    <w:rsid w:val="27CAF6DE"/>
    <w:rsid w:val="27D2E3E5"/>
    <w:rsid w:val="27EE58DF"/>
    <w:rsid w:val="282F2B54"/>
    <w:rsid w:val="283EB403"/>
    <w:rsid w:val="284A8A51"/>
    <w:rsid w:val="28970178"/>
    <w:rsid w:val="28975255"/>
    <w:rsid w:val="28A3F996"/>
    <w:rsid w:val="28D0D933"/>
    <w:rsid w:val="28D2E5E0"/>
    <w:rsid w:val="28EB3223"/>
    <w:rsid w:val="28FF4920"/>
    <w:rsid w:val="297BF7E6"/>
    <w:rsid w:val="29A19052"/>
    <w:rsid w:val="29D3D2D7"/>
    <w:rsid w:val="29FE8427"/>
    <w:rsid w:val="2A4CE5CD"/>
    <w:rsid w:val="2AAC54C0"/>
    <w:rsid w:val="2AF51DC9"/>
    <w:rsid w:val="2B02D65E"/>
    <w:rsid w:val="2B09B212"/>
    <w:rsid w:val="2B1AE37C"/>
    <w:rsid w:val="2B1D333B"/>
    <w:rsid w:val="2B335788"/>
    <w:rsid w:val="2B466B4A"/>
    <w:rsid w:val="2B4E934D"/>
    <w:rsid w:val="2B51B48C"/>
    <w:rsid w:val="2B5AA93A"/>
    <w:rsid w:val="2B80E009"/>
    <w:rsid w:val="2B8695B6"/>
    <w:rsid w:val="2BAA8E52"/>
    <w:rsid w:val="2BC85C28"/>
    <w:rsid w:val="2BD27681"/>
    <w:rsid w:val="2BF28871"/>
    <w:rsid w:val="2C015CE0"/>
    <w:rsid w:val="2C040268"/>
    <w:rsid w:val="2C07954D"/>
    <w:rsid w:val="2C11E0BD"/>
    <w:rsid w:val="2C1317F4"/>
    <w:rsid w:val="2C72CDEF"/>
    <w:rsid w:val="2C75136B"/>
    <w:rsid w:val="2C88C8A7"/>
    <w:rsid w:val="2C8AAC4B"/>
    <w:rsid w:val="2C96A535"/>
    <w:rsid w:val="2CA297B5"/>
    <w:rsid w:val="2CA68A35"/>
    <w:rsid w:val="2CA6F986"/>
    <w:rsid w:val="2CD882F6"/>
    <w:rsid w:val="2D0974FE"/>
    <w:rsid w:val="2D39CF5E"/>
    <w:rsid w:val="2D45F21F"/>
    <w:rsid w:val="2D4EDDDC"/>
    <w:rsid w:val="2D520EFA"/>
    <w:rsid w:val="2D5CA82D"/>
    <w:rsid w:val="2D5CF99B"/>
    <w:rsid w:val="2E2627E9"/>
    <w:rsid w:val="2E2779CC"/>
    <w:rsid w:val="2E466AD6"/>
    <w:rsid w:val="2E4A826C"/>
    <w:rsid w:val="2E6BFCA5"/>
    <w:rsid w:val="2E842939"/>
    <w:rsid w:val="2E925DF8"/>
    <w:rsid w:val="2E9D3D26"/>
    <w:rsid w:val="2ED0E083"/>
    <w:rsid w:val="2F5140EF"/>
    <w:rsid w:val="2F570453"/>
    <w:rsid w:val="2F67808B"/>
    <w:rsid w:val="2F72A3A6"/>
    <w:rsid w:val="2F94E7C0"/>
    <w:rsid w:val="2FB03424"/>
    <w:rsid w:val="2FE3660F"/>
    <w:rsid w:val="2FF02B6C"/>
    <w:rsid w:val="300659B1"/>
    <w:rsid w:val="3066C948"/>
    <w:rsid w:val="309E72AA"/>
    <w:rsid w:val="30C44744"/>
    <w:rsid w:val="30C72132"/>
    <w:rsid w:val="310A6173"/>
    <w:rsid w:val="310BACFC"/>
    <w:rsid w:val="31375D08"/>
    <w:rsid w:val="313769CB"/>
    <w:rsid w:val="3146FA50"/>
    <w:rsid w:val="316EE9A9"/>
    <w:rsid w:val="31B1CA03"/>
    <w:rsid w:val="31B80769"/>
    <w:rsid w:val="31D57C78"/>
    <w:rsid w:val="31F2047C"/>
    <w:rsid w:val="3201D175"/>
    <w:rsid w:val="3216E0B5"/>
    <w:rsid w:val="3225F3C0"/>
    <w:rsid w:val="3234C651"/>
    <w:rsid w:val="327DD092"/>
    <w:rsid w:val="328F03C8"/>
    <w:rsid w:val="32AAA935"/>
    <w:rsid w:val="32FB07FC"/>
    <w:rsid w:val="33109FD8"/>
    <w:rsid w:val="33861E64"/>
    <w:rsid w:val="33DFC6E2"/>
    <w:rsid w:val="33E1BDF4"/>
    <w:rsid w:val="33F93345"/>
    <w:rsid w:val="33FD8707"/>
    <w:rsid w:val="33FE0873"/>
    <w:rsid w:val="34411A8F"/>
    <w:rsid w:val="346F0FFE"/>
    <w:rsid w:val="3473B117"/>
    <w:rsid w:val="34805290"/>
    <w:rsid w:val="34839327"/>
    <w:rsid w:val="3496B3F8"/>
    <w:rsid w:val="34ECEE14"/>
    <w:rsid w:val="34FB870F"/>
    <w:rsid w:val="3506EA31"/>
    <w:rsid w:val="3518993B"/>
    <w:rsid w:val="351A425E"/>
    <w:rsid w:val="351E5F77"/>
    <w:rsid w:val="3522367A"/>
    <w:rsid w:val="352DDEDB"/>
    <w:rsid w:val="35370CDA"/>
    <w:rsid w:val="3566DB65"/>
    <w:rsid w:val="3571E476"/>
    <w:rsid w:val="35A0D3AB"/>
    <w:rsid w:val="35BC1BEB"/>
    <w:rsid w:val="35F3737D"/>
    <w:rsid w:val="361A47A0"/>
    <w:rsid w:val="36285E25"/>
    <w:rsid w:val="362F7E69"/>
    <w:rsid w:val="364B7316"/>
    <w:rsid w:val="366CBDE8"/>
    <w:rsid w:val="369B0B4A"/>
    <w:rsid w:val="36D156E3"/>
    <w:rsid w:val="36E08C0D"/>
    <w:rsid w:val="37683DC4"/>
    <w:rsid w:val="377CDEA3"/>
    <w:rsid w:val="379A8DEC"/>
    <w:rsid w:val="37D23DA4"/>
    <w:rsid w:val="38128FC9"/>
    <w:rsid w:val="38421D1E"/>
    <w:rsid w:val="3863E78E"/>
    <w:rsid w:val="38BD50F8"/>
    <w:rsid w:val="38CEA0AD"/>
    <w:rsid w:val="38D626A6"/>
    <w:rsid w:val="38E7D901"/>
    <w:rsid w:val="3921B387"/>
    <w:rsid w:val="392AF608"/>
    <w:rsid w:val="393F6D59"/>
    <w:rsid w:val="39541359"/>
    <w:rsid w:val="39650DEE"/>
    <w:rsid w:val="3975EABC"/>
    <w:rsid w:val="3996869B"/>
    <w:rsid w:val="399E24F0"/>
    <w:rsid w:val="39BDA5F8"/>
    <w:rsid w:val="39CED13A"/>
    <w:rsid w:val="39F7F5D3"/>
    <w:rsid w:val="3A017AA7"/>
    <w:rsid w:val="3A28D811"/>
    <w:rsid w:val="3A449513"/>
    <w:rsid w:val="3A540431"/>
    <w:rsid w:val="3A57A608"/>
    <w:rsid w:val="3A5E8A69"/>
    <w:rsid w:val="3A65411F"/>
    <w:rsid w:val="3A838182"/>
    <w:rsid w:val="3A8F1DD4"/>
    <w:rsid w:val="3A9953CD"/>
    <w:rsid w:val="3AD414E0"/>
    <w:rsid w:val="3B08CD51"/>
    <w:rsid w:val="3B1153D6"/>
    <w:rsid w:val="3B42A688"/>
    <w:rsid w:val="3B59EEE0"/>
    <w:rsid w:val="3B60E5F5"/>
    <w:rsid w:val="3B6CE254"/>
    <w:rsid w:val="3B7DA190"/>
    <w:rsid w:val="3B8A1AD0"/>
    <w:rsid w:val="3BC68BA7"/>
    <w:rsid w:val="3BD304CB"/>
    <w:rsid w:val="3C6580FE"/>
    <w:rsid w:val="3C74B43A"/>
    <w:rsid w:val="3C764A51"/>
    <w:rsid w:val="3C7ABADC"/>
    <w:rsid w:val="3CB37504"/>
    <w:rsid w:val="3CB92441"/>
    <w:rsid w:val="3D15F7F6"/>
    <w:rsid w:val="3D3A2E59"/>
    <w:rsid w:val="3D53D5E7"/>
    <w:rsid w:val="3D55B24C"/>
    <w:rsid w:val="3D8F93F8"/>
    <w:rsid w:val="3DABD35F"/>
    <w:rsid w:val="3DBC4914"/>
    <w:rsid w:val="3DE023D9"/>
    <w:rsid w:val="3E439BD8"/>
    <w:rsid w:val="3E62FC43"/>
    <w:rsid w:val="3E786EB2"/>
    <w:rsid w:val="3E885CDA"/>
    <w:rsid w:val="3EB0066C"/>
    <w:rsid w:val="3EDB65E0"/>
    <w:rsid w:val="3EDDBE03"/>
    <w:rsid w:val="3EE5280F"/>
    <w:rsid w:val="3F44504D"/>
    <w:rsid w:val="3F4DDB16"/>
    <w:rsid w:val="3F718EF1"/>
    <w:rsid w:val="3F933AE9"/>
    <w:rsid w:val="3FA44C85"/>
    <w:rsid w:val="401084DA"/>
    <w:rsid w:val="40310BB0"/>
    <w:rsid w:val="403FB3A5"/>
    <w:rsid w:val="406B9BEE"/>
    <w:rsid w:val="40A10458"/>
    <w:rsid w:val="40A3E183"/>
    <w:rsid w:val="40CB9549"/>
    <w:rsid w:val="40D759A7"/>
    <w:rsid w:val="4109C3FD"/>
    <w:rsid w:val="416523E3"/>
    <w:rsid w:val="418382DB"/>
    <w:rsid w:val="419130A2"/>
    <w:rsid w:val="4193A3CD"/>
    <w:rsid w:val="41A423DD"/>
    <w:rsid w:val="41A7DC88"/>
    <w:rsid w:val="41B241EF"/>
    <w:rsid w:val="41C48B12"/>
    <w:rsid w:val="41D30634"/>
    <w:rsid w:val="41ED62E0"/>
    <w:rsid w:val="41FC7D04"/>
    <w:rsid w:val="422276D7"/>
    <w:rsid w:val="4247AB1C"/>
    <w:rsid w:val="424B455C"/>
    <w:rsid w:val="426217B5"/>
    <w:rsid w:val="42896456"/>
    <w:rsid w:val="428986E6"/>
    <w:rsid w:val="42A1DE42"/>
    <w:rsid w:val="42FC8F2E"/>
    <w:rsid w:val="4305F2FE"/>
    <w:rsid w:val="430B2198"/>
    <w:rsid w:val="4324F693"/>
    <w:rsid w:val="432EF351"/>
    <w:rsid w:val="4342C218"/>
    <w:rsid w:val="4353C8CC"/>
    <w:rsid w:val="437133A2"/>
    <w:rsid w:val="442531AD"/>
    <w:rsid w:val="4450606A"/>
    <w:rsid w:val="446FCDD7"/>
    <w:rsid w:val="4473D39E"/>
    <w:rsid w:val="44785F30"/>
    <w:rsid w:val="44B34EEE"/>
    <w:rsid w:val="44C9A71A"/>
    <w:rsid w:val="450B6F5A"/>
    <w:rsid w:val="450BF47F"/>
    <w:rsid w:val="4517729A"/>
    <w:rsid w:val="452A46EA"/>
    <w:rsid w:val="453958C2"/>
    <w:rsid w:val="4539902C"/>
    <w:rsid w:val="459A6395"/>
    <w:rsid w:val="45B8B985"/>
    <w:rsid w:val="45B92D52"/>
    <w:rsid w:val="45C6A0FF"/>
    <w:rsid w:val="45DC578D"/>
    <w:rsid w:val="45E4DDE4"/>
    <w:rsid w:val="45F1DBD0"/>
    <w:rsid w:val="467103D0"/>
    <w:rsid w:val="46A70B67"/>
    <w:rsid w:val="46B6C60C"/>
    <w:rsid w:val="46D0E46B"/>
    <w:rsid w:val="46D236E0"/>
    <w:rsid w:val="46E987E7"/>
    <w:rsid w:val="46ECD407"/>
    <w:rsid w:val="47432E19"/>
    <w:rsid w:val="4755B9C4"/>
    <w:rsid w:val="476041BD"/>
    <w:rsid w:val="47765010"/>
    <w:rsid w:val="47B0D745"/>
    <w:rsid w:val="47FAAB28"/>
    <w:rsid w:val="47FAACFC"/>
    <w:rsid w:val="480F3383"/>
    <w:rsid w:val="481CADDF"/>
    <w:rsid w:val="48382209"/>
    <w:rsid w:val="48DFCD44"/>
    <w:rsid w:val="49001137"/>
    <w:rsid w:val="49A32582"/>
    <w:rsid w:val="49CBC148"/>
    <w:rsid w:val="49CE2EB8"/>
    <w:rsid w:val="49D12DBD"/>
    <w:rsid w:val="49D3ED4A"/>
    <w:rsid w:val="49DADD1E"/>
    <w:rsid w:val="4A2265B2"/>
    <w:rsid w:val="4A72C921"/>
    <w:rsid w:val="4A733C93"/>
    <w:rsid w:val="4A879A43"/>
    <w:rsid w:val="4AD3F73B"/>
    <w:rsid w:val="4AD7E08B"/>
    <w:rsid w:val="4AE470F7"/>
    <w:rsid w:val="4B0784A5"/>
    <w:rsid w:val="4B559229"/>
    <w:rsid w:val="4B71B4E3"/>
    <w:rsid w:val="4B8E4676"/>
    <w:rsid w:val="4BA22F37"/>
    <w:rsid w:val="4BB44CEF"/>
    <w:rsid w:val="4BB85010"/>
    <w:rsid w:val="4BD955A4"/>
    <w:rsid w:val="4BEBDD5C"/>
    <w:rsid w:val="4BF8B927"/>
    <w:rsid w:val="4C13F3F8"/>
    <w:rsid w:val="4C3C07A8"/>
    <w:rsid w:val="4C985591"/>
    <w:rsid w:val="4CA43527"/>
    <w:rsid w:val="4CB0A317"/>
    <w:rsid w:val="4D82BCA7"/>
    <w:rsid w:val="4DEEB418"/>
    <w:rsid w:val="4DFE1F69"/>
    <w:rsid w:val="4E074669"/>
    <w:rsid w:val="4E5BCCFE"/>
    <w:rsid w:val="4E63C6A9"/>
    <w:rsid w:val="4E9C24F7"/>
    <w:rsid w:val="4EB0DB6A"/>
    <w:rsid w:val="4EC8E2F9"/>
    <w:rsid w:val="4F176253"/>
    <w:rsid w:val="4F2145BD"/>
    <w:rsid w:val="4F2B3949"/>
    <w:rsid w:val="4F2CE755"/>
    <w:rsid w:val="4F2DB88C"/>
    <w:rsid w:val="4F4A4596"/>
    <w:rsid w:val="4F84FFE3"/>
    <w:rsid w:val="4FBC41CB"/>
    <w:rsid w:val="501142D9"/>
    <w:rsid w:val="50430704"/>
    <w:rsid w:val="50432169"/>
    <w:rsid w:val="5051ED60"/>
    <w:rsid w:val="505841D2"/>
    <w:rsid w:val="5090B572"/>
    <w:rsid w:val="50A91A2D"/>
    <w:rsid w:val="50B64978"/>
    <w:rsid w:val="50C35D15"/>
    <w:rsid w:val="50E4947A"/>
    <w:rsid w:val="514606A0"/>
    <w:rsid w:val="515721B6"/>
    <w:rsid w:val="51619513"/>
    <w:rsid w:val="5165EC25"/>
    <w:rsid w:val="516D6E44"/>
    <w:rsid w:val="51912BDA"/>
    <w:rsid w:val="5210BB16"/>
    <w:rsid w:val="521B3733"/>
    <w:rsid w:val="524BF611"/>
    <w:rsid w:val="52C52D8F"/>
    <w:rsid w:val="52D362FF"/>
    <w:rsid w:val="52D3D7A3"/>
    <w:rsid w:val="52D7A868"/>
    <w:rsid w:val="53013C42"/>
    <w:rsid w:val="53173427"/>
    <w:rsid w:val="53177409"/>
    <w:rsid w:val="531CEC1E"/>
    <w:rsid w:val="53312C40"/>
    <w:rsid w:val="539142CD"/>
    <w:rsid w:val="539AE4A6"/>
    <w:rsid w:val="53E53A0C"/>
    <w:rsid w:val="53F78153"/>
    <w:rsid w:val="547E79FA"/>
    <w:rsid w:val="54B4E085"/>
    <w:rsid w:val="54E5220E"/>
    <w:rsid w:val="54E572B8"/>
    <w:rsid w:val="54F3C063"/>
    <w:rsid w:val="54FAE6E0"/>
    <w:rsid w:val="55039BBB"/>
    <w:rsid w:val="5526A390"/>
    <w:rsid w:val="553129BC"/>
    <w:rsid w:val="554FAEBC"/>
    <w:rsid w:val="55B2CB9A"/>
    <w:rsid w:val="55C052A9"/>
    <w:rsid w:val="55C218FC"/>
    <w:rsid w:val="55CDFCF1"/>
    <w:rsid w:val="55DF14EC"/>
    <w:rsid w:val="55EB92AA"/>
    <w:rsid w:val="55F082FB"/>
    <w:rsid w:val="5656E405"/>
    <w:rsid w:val="5658C7F0"/>
    <w:rsid w:val="567441A3"/>
    <w:rsid w:val="567AB0D6"/>
    <w:rsid w:val="5693D092"/>
    <w:rsid w:val="5727AF45"/>
    <w:rsid w:val="57748B7B"/>
    <w:rsid w:val="58300DB2"/>
    <w:rsid w:val="58342965"/>
    <w:rsid w:val="588F6955"/>
    <w:rsid w:val="58AC413C"/>
    <w:rsid w:val="58C3ABAC"/>
    <w:rsid w:val="58CDA207"/>
    <w:rsid w:val="58EDF998"/>
    <w:rsid w:val="5901B04E"/>
    <w:rsid w:val="5943FF4A"/>
    <w:rsid w:val="5953EF8F"/>
    <w:rsid w:val="597B027F"/>
    <w:rsid w:val="59C3B854"/>
    <w:rsid w:val="5A0CD3B6"/>
    <w:rsid w:val="5A195B15"/>
    <w:rsid w:val="5A28CD58"/>
    <w:rsid w:val="5A311313"/>
    <w:rsid w:val="5A74FC53"/>
    <w:rsid w:val="5A9AF5BC"/>
    <w:rsid w:val="5AA5C646"/>
    <w:rsid w:val="5AAED250"/>
    <w:rsid w:val="5AE97A1A"/>
    <w:rsid w:val="5AEE221D"/>
    <w:rsid w:val="5B0A3984"/>
    <w:rsid w:val="5B31A98D"/>
    <w:rsid w:val="5B31C522"/>
    <w:rsid w:val="5B4E718F"/>
    <w:rsid w:val="5B944ABC"/>
    <w:rsid w:val="5BF56FB1"/>
    <w:rsid w:val="5C2E9CC2"/>
    <w:rsid w:val="5C76E4B9"/>
    <w:rsid w:val="5C78F681"/>
    <w:rsid w:val="5CDF34CE"/>
    <w:rsid w:val="5D7B0CAF"/>
    <w:rsid w:val="5D8F0B64"/>
    <w:rsid w:val="5D99F1B9"/>
    <w:rsid w:val="5DCC4531"/>
    <w:rsid w:val="5DF000D9"/>
    <w:rsid w:val="5DF741BA"/>
    <w:rsid w:val="5DFA88F4"/>
    <w:rsid w:val="5E073978"/>
    <w:rsid w:val="5E324C54"/>
    <w:rsid w:val="5E49697A"/>
    <w:rsid w:val="5E5A49EC"/>
    <w:rsid w:val="5E7125D6"/>
    <w:rsid w:val="5E84E2B5"/>
    <w:rsid w:val="5EA7E874"/>
    <w:rsid w:val="5EADF3B4"/>
    <w:rsid w:val="5EB5DC75"/>
    <w:rsid w:val="5EC2D037"/>
    <w:rsid w:val="5F0B6F31"/>
    <w:rsid w:val="5F227E23"/>
    <w:rsid w:val="5F3A8E03"/>
    <w:rsid w:val="5F446B57"/>
    <w:rsid w:val="5FA3C253"/>
    <w:rsid w:val="600E644A"/>
    <w:rsid w:val="60320B45"/>
    <w:rsid w:val="6039B010"/>
    <w:rsid w:val="6065EB3D"/>
    <w:rsid w:val="60837DED"/>
    <w:rsid w:val="60FC35D9"/>
    <w:rsid w:val="6109CDBE"/>
    <w:rsid w:val="61296B03"/>
    <w:rsid w:val="61589489"/>
    <w:rsid w:val="6166BA6E"/>
    <w:rsid w:val="616B33A9"/>
    <w:rsid w:val="617B49F0"/>
    <w:rsid w:val="61860105"/>
    <w:rsid w:val="61A06D05"/>
    <w:rsid w:val="61AED2A0"/>
    <w:rsid w:val="61AF3C26"/>
    <w:rsid w:val="61C61315"/>
    <w:rsid w:val="61D27DBE"/>
    <w:rsid w:val="61F57C9E"/>
    <w:rsid w:val="6283F736"/>
    <w:rsid w:val="62863D4E"/>
    <w:rsid w:val="62A73684"/>
    <w:rsid w:val="62D48070"/>
    <w:rsid w:val="62E51A09"/>
    <w:rsid w:val="6308C3CA"/>
    <w:rsid w:val="635BF44F"/>
    <w:rsid w:val="638F034F"/>
    <w:rsid w:val="639EDAB4"/>
    <w:rsid w:val="63AA0662"/>
    <w:rsid w:val="63BE7C8B"/>
    <w:rsid w:val="64038A28"/>
    <w:rsid w:val="640810F4"/>
    <w:rsid w:val="6419C706"/>
    <w:rsid w:val="6432E2E2"/>
    <w:rsid w:val="64619AA7"/>
    <w:rsid w:val="647B6897"/>
    <w:rsid w:val="64A63B21"/>
    <w:rsid w:val="64B64A41"/>
    <w:rsid w:val="64CDE28F"/>
    <w:rsid w:val="64D1FDE9"/>
    <w:rsid w:val="651F8AB4"/>
    <w:rsid w:val="6523895F"/>
    <w:rsid w:val="652B2E35"/>
    <w:rsid w:val="65707BC2"/>
    <w:rsid w:val="657EAA88"/>
    <w:rsid w:val="65836F26"/>
    <w:rsid w:val="65A3D3E5"/>
    <w:rsid w:val="65C60AD5"/>
    <w:rsid w:val="65D204F6"/>
    <w:rsid w:val="65F02BC4"/>
    <w:rsid w:val="65F0A24B"/>
    <w:rsid w:val="65F3245A"/>
    <w:rsid w:val="660B3BAA"/>
    <w:rsid w:val="669260B6"/>
    <w:rsid w:val="669DF122"/>
    <w:rsid w:val="66E2977F"/>
    <w:rsid w:val="67A6CE90"/>
    <w:rsid w:val="67B0FD4C"/>
    <w:rsid w:val="67C6A65A"/>
    <w:rsid w:val="6804AFDA"/>
    <w:rsid w:val="6805D70D"/>
    <w:rsid w:val="686834D0"/>
    <w:rsid w:val="68B3E4D9"/>
    <w:rsid w:val="68E2B584"/>
    <w:rsid w:val="6919170B"/>
    <w:rsid w:val="69214EAB"/>
    <w:rsid w:val="6932D9F1"/>
    <w:rsid w:val="696FEAA8"/>
    <w:rsid w:val="6974B62F"/>
    <w:rsid w:val="69803D78"/>
    <w:rsid w:val="69B1A601"/>
    <w:rsid w:val="69B4DD28"/>
    <w:rsid w:val="6A188450"/>
    <w:rsid w:val="6A225966"/>
    <w:rsid w:val="6A87D324"/>
    <w:rsid w:val="6AA563C9"/>
    <w:rsid w:val="6AB9BEA7"/>
    <w:rsid w:val="6AC263A8"/>
    <w:rsid w:val="6B0F7233"/>
    <w:rsid w:val="6B48D9F0"/>
    <w:rsid w:val="6B591AF5"/>
    <w:rsid w:val="6BBD7876"/>
    <w:rsid w:val="6BCDF4FA"/>
    <w:rsid w:val="6BE38851"/>
    <w:rsid w:val="6BF5AEE0"/>
    <w:rsid w:val="6C07B4B5"/>
    <w:rsid w:val="6C195257"/>
    <w:rsid w:val="6C26ABC7"/>
    <w:rsid w:val="6C370049"/>
    <w:rsid w:val="6C751FF6"/>
    <w:rsid w:val="6C97438F"/>
    <w:rsid w:val="6CAD72C9"/>
    <w:rsid w:val="6CCD2996"/>
    <w:rsid w:val="6CE3181C"/>
    <w:rsid w:val="6CE8CB65"/>
    <w:rsid w:val="6D1E8FC7"/>
    <w:rsid w:val="6D2B5067"/>
    <w:rsid w:val="6D32E5F2"/>
    <w:rsid w:val="6D3E13A0"/>
    <w:rsid w:val="6DB34463"/>
    <w:rsid w:val="6DBE1180"/>
    <w:rsid w:val="6E489B31"/>
    <w:rsid w:val="6E4FF412"/>
    <w:rsid w:val="6E5131B7"/>
    <w:rsid w:val="6E71B58A"/>
    <w:rsid w:val="6E74ECEB"/>
    <w:rsid w:val="6E7D091C"/>
    <w:rsid w:val="6E7EEAFB"/>
    <w:rsid w:val="6E85E42F"/>
    <w:rsid w:val="6E9F2D3C"/>
    <w:rsid w:val="6EB49D48"/>
    <w:rsid w:val="6EC06CFA"/>
    <w:rsid w:val="6EC83844"/>
    <w:rsid w:val="6ECAE08A"/>
    <w:rsid w:val="6ECFDD9D"/>
    <w:rsid w:val="6ED187E1"/>
    <w:rsid w:val="6ED5166A"/>
    <w:rsid w:val="6ED87271"/>
    <w:rsid w:val="6EE9BDC2"/>
    <w:rsid w:val="6F1B341D"/>
    <w:rsid w:val="6F35AF57"/>
    <w:rsid w:val="6F57AB09"/>
    <w:rsid w:val="6F5DF02F"/>
    <w:rsid w:val="6F6E71F4"/>
    <w:rsid w:val="6F744C32"/>
    <w:rsid w:val="6FDFD4EB"/>
    <w:rsid w:val="701FF91D"/>
    <w:rsid w:val="705129D1"/>
    <w:rsid w:val="7057394A"/>
    <w:rsid w:val="7086BFC3"/>
    <w:rsid w:val="7087A460"/>
    <w:rsid w:val="70916E38"/>
    <w:rsid w:val="70926CF7"/>
    <w:rsid w:val="70CEF0A7"/>
    <w:rsid w:val="70DD9AAE"/>
    <w:rsid w:val="70E5ED9A"/>
    <w:rsid w:val="70F50614"/>
    <w:rsid w:val="714017D2"/>
    <w:rsid w:val="71424B5B"/>
    <w:rsid w:val="71557C28"/>
    <w:rsid w:val="715BD0DE"/>
    <w:rsid w:val="71A5D98C"/>
    <w:rsid w:val="71AEF62D"/>
    <w:rsid w:val="71B74836"/>
    <w:rsid w:val="71BF4404"/>
    <w:rsid w:val="71C7931C"/>
    <w:rsid w:val="72047570"/>
    <w:rsid w:val="72129F89"/>
    <w:rsid w:val="721BA912"/>
    <w:rsid w:val="724C3CA2"/>
    <w:rsid w:val="725C8DB9"/>
    <w:rsid w:val="72809060"/>
    <w:rsid w:val="72CCAA62"/>
    <w:rsid w:val="72F66833"/>
    <w:rsid w:val="7306AE1B"/>
    <w:rsid w:val="732B1C85"/>
    <w:rsid w:val="73916241"/>
    <w:rsid w:val="73A4EED9"/>
    <w:rsid w:val="73C98479"/>
    <w:rsid w:val="73E0E2DD"/>
    <w:rsid w:val="73EAD19F"/>
    <w:rsid w:val="73F7A3E9"/>
    <w:rsid w:val="7433B4B6"/>
    <w:rsid w:val="7453A820"/>
    <w:rsid w:val="745F2F91"/>
    <w:rsid w:val="747029D0"/>
    <w:rsid w:val="747658AA"/>
    <w:rsid w:val="749F8188"/>
    <w:rsid w:val="7500D772"/>
    <w:rsid w:val="7500DEE4"/>
    <w:rsid w:val="75545F22"/>
    <w:rsid w:val="7556214A"/>
    <w:rsid w:val="75748932"/>
    <w:rsid w:val="757E4B6B"/>
    <w:rsid w:val="7585394D"/>
    <w:rsid w:val="760431B7"/>
    <w:rsid w:val="7678B857"/>
    <w:rsid w:val="7683176A"/>
    <w:rsid w:val="76A6F879"/>
    <w:rsid w:val="76A934C4"/>
    <w:rsid w:val="76C255F3"/>
    <w:rsid w:val="76CE0D7E"/>
    <w:rsid w:val="76F3A4D2"/>
    <w:rsid w:val="76F9E570"/>
    <w:rsid w:val="7722B42B"/>
    <w:rsid w:val="77266674"/>
    <w:rsid w:val="7761C153"/>
    <w:rsid w:val="77668E2F"/>
    <w:rsid w:val="77B4F086"/>
    <w:rsid w:val="77B704E8"/>
    <w:rsid w:val="77B7E079"/>
    <w:rsid w:val="780AC4B5"/>
    <w:rsid w:val="780FB283"/>
    <w:rsid w:val="7820AF4B"/>
    <w:rsid w:val="782E4732"/>
    <w:rsid w:val="78E25789"/>
    <w:rsid w:val="793AD0F7"/>
    <w:rsid w:val="793F88AD"/>
    <w:rsid w:val="7958806C"/>
    <w:rsid w:val="7987ED5A"/>
    <w:rsid w:val="799A3A54"/>
    <w:rsid w:val="79A87FA2"/>
    <w:rsid w:val="79B5D653"/>
    <w:rsid w:val="7A07EE58"/>
    <w:rsid w:val="7A325BF2"/>
    <w:rsid w:val="7A3B1968"/>
    <w:rsid w:val="7A4938EF"/>
    <w:rsid w:val="7A76A9D3"/>
    <w:rsid w:val="7A9DD848"/>
    <w:rsid w:val="7AAF2A03"/>
    <w:rsid w:val="7AC26E1D"/>
    <w:rsid w:val="7AD7C222"/>
    <w:rsid w:val="7B171081"/>
    <w:rsid w:val="7B36F99B"/>
    <w:rsid w:val="7B396DCD"/>
    <w:rsid w:val="7B3C5FBA"/>
    <w:rsid w:val="7B83B542"/>
    <w:rsid w:val="7BB23E3D"/>
    <w:rsid w:val="7BB266B2"/>
    <w:rsid w:val="7BC9C591"/>
    <w:rsid w:val="7BE6B0DB"/>
    <w:rsid w:val="7BF97F89"/>
    <w:rsid w:val="7C0E9BC5"/>
    <w:rsid w:val="7C8CD0F0"/>
    <w:rsid w:val="7C9C3D33"/>
    <w:rsid w:val="7C9FA768"/>
    <w:rsid w:val="7CD41E11"/>
    <w:rsid w:val="7CE4E34E"/>
    <w:rsid w:val="7D24BB59"/>
    <w:rsid w:val="7D4A2118"/>
    <w:rsid w:val="7D887D88"/>
    <w:rsid w:val="7DBAC5FF"/>
    <w:rsid w:val="7DEB22DB"/>
    <w:rsid w:val="7E108A27"/>
    <w:rsid w:val="7E355734"/>
    <w:rsid w:val="7E5237EC"/>
    <w:rsid w:val="7E549ADB"/>
    <w:rsid w:val="7E8F0070"/>
    <w:rsid w:val="7E94A988"/>
    <w:rsid w:val="7EC6A4B4"/>
    <w:rsid w:val="7ECF5EE1"/>
    <w:rsid w:val="7EF40653"/>
    <w:rsid w:val="7F0B641B"/>
    <w:rsid w:val="7F225A68"/>
    <w:rsid w:val="7F313FBC"/>
    <w:rsid w:val="7F3B0FD8"/>
    <w:rsid w:val="7F68F120"/>
    <w:rsid w:val="7FA0C00D"/>
    <w:rsid w:val="7FAAAE55"/>
    <w:rsid w:val="7FB3AEF5"/>
    <w:rsid w:val="7FBF1DD3"/>
    <w:rsid w:val="7FEE4F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C0595"/>
  <w15:chartTrackingRefBased/>
  <w15:docId w15:val="{0B231729-86F9-48E1-833E-1731F74338A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1C6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D1C62"/>
    <w:pPr>
      <w:numPr>
        <w:numId w:val="9"/>
      </w:numPr>
      <w:ind w:right="2160"/>
    </w:pPr>
    <w:rPr>
      <w:rFonts w:eastAsiaTheme="majorEastAsia" w:cstheme="majorBidi"/>
      <w:szCs w:val="32"/>
    </w:rPr>
  </w:style>
  <w:style w:type="paragraph" w:styleId="Heading2">
    <w:name w:val="heading 2"/>
    <w:basedOn w:val="Dummy"/>
    <w:next w:val="Standard"/>
    <w:link w:val="Heading2Char"/>
    <w:uiPriority w:val="4"/>
    <w:qFormat/>
    <w:rsid w:val="007D1C62"/>
    <w:pPr>
      <w:numPr>
        <w:ilvl w:val="1"/>
        <w:numId w:val="9"/>
      </w:numPr>
      <w:ind w:right="2160"/>
      <w:outlineLvl w:val="1"/>
    </w:pPr>
  </w:style>
  <w:style w:type="paragraph" w:styleId="Heading3">
    <w:name w:val="heading 3"/>
    <w:basedOn w:val="Dummy"/>
    <w:next w:val="Standard"/>
    <w:link w:val="Heading3Char"/>
    <w:uiPriority w:val="4"/>
    <w:qFormat/>
    <w:rsid w:val="00CB0148"/>
    <w:pPr>
      <w:numPr>
        <w:ilvl w:val="2"/>
        <w:numId w:val="9"/>
      </w:numPr>
      <w:ind w:right="1728"/>
      <w:outlineLvl w:val="2"/>
    </w:pPr>
    <w:rPr>
      <w:rFonts w:eastAsiaTheme="majorEastAsia" w:cstheme="majorBidi"/>
      <w:szCs w:val="24"/>
    </w:rPr>
  </w:style>
  <w:style w:type="paragraph" w:styleId="Heading4">
    <w:name w:val="heading 4"/>
    <w:basedOn w:val="Dummy"/>
    <w:next w:val="Standard"/>
    <w:link w:val="Heading4Char"/>
    <w:uiPriority w:val="4"/>
    <w:rsid w:val="00CB0148"/>
    <w:pPr>
      <w:numPr>
        <w:ilvl w:val="3"/>
        <w:numId w:val="9"/>
      </w:numPr>
      <w:ind w:right="720"/>
      <w:outlineLvl w:val="3"/>
    </w:pPr>
    <w:rPr>
      <w:rFonts w:eastAsiaTheme="majorEastAsia" w:cstheme="majorBidi"/>
      <w:iCs/>
    </w:rPr>
  </w:style>
  <w:style w:type="paragraph" w:styleId="Heading5">
    <w:name w:val="heading 5"/>
    <w:basedOn w:val="Dummy"/>
    <w:next w:val="Standard"/>
    <w:link w:val="Heading5Char"/>
    <w:uiPriority w:val="4"/>
    <w:rsid w:val="00CB0148"/>
    <w:pPr>
      <w:numPr>
        <w:ilvl w:val="4"/>
        <w:numId w:val="9"/>
      </w:numPr>
      <w:outlineLvl w:val="4"/>
    </w:pPr>
    <w:rPr>
      <w:rFonts w:eastAsiaTheme="majorEastAsia" w:cstheme="majorBidi"/>
    </w:rPr>
  </w:style>
  <w:style w:type="paragraph" w:styleId="Heading6">
    <w:name w:val="heading 6"/>
    <w:basedOn w:val="Dummy"/>
    <w:next w:val="Standard"/>
    <w:link w:val="Heading6Char"/>
    <w:uiPriority w:val="4"/>
    <w:rsid w:val="007D1C62"/>
    <w:pPr>
      <w:numPr>
        <w:ilvl w:val="5"/>
        <w:numId w:val="9"/>
      </w:numPr>
      <w:spacing w:before="40"/>
      <w:ind w:right="216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D1C62"/>
    <w:rPr>
      <w:rFonts w:ascii="Arial" w:eastAsiaTheme="majorEastAsia" w:hAnsi="Arial" w:cstheme="majorBidi"/>
      <w:b/>
      <w:sz w:val="26"/>
      <w:szCs w:val="32"/>
    </w:rPr>
  </w:style>
  <w:style w:type="paragraph" w:styleId="TOCHeading">
    <w:name w:val="TOC Heading"/>
    <w:next w:val="Normal"/>
    <w:uiPriority w:val="39"/>
    <w:unhideWhenUsed/>
    <w:rsid w:val="00F849D0"/>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7D1C62"/>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7D1C62"/>
    <w:rPr>
      <w:rFonts w:ascii="Arial" w:eastAsiaTheme="majorEastAsia" w:hAnsi="Arial" w:cstheme="majorBidi"/>
      <w:b/>
      <w:caps/>
      <w:sz w:val="26"/>
      <w:szCs w:val="56"/>
    </w:rPr>
  </w:style>
  <w:style w:type="paragraph" w:customStyle="1" w:styleId="Dummy">
    <w:name w:val="Dummy"/>
    <w:next w:val="Normal"/>
    <w:uiPriority w:val="19"/>
    <w:rsid w:val="007D1C62"/>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D1C62"/>
    <w:rPr>
      <w:rFonts w:ascii="Arial" w:hAnsi="Arial" w:cs="Arial"/>
      <w:b/>
      <w:sz w:val="26"/>
      <w:szCs w:val="26"/>
    </w:rPr>
  </w:style>
  <w:style w:type="character" w:customStyle="1" w:styleId="Heading3Char">
    <w:name w:val="Heading 3 Char"/>
    <w:basedOn w:val="DefaultParagraphFont"/>
    <w:link w:val="Heading3"/>
    <w:uiPriority w:val="4"/>
    <w:rsid w:val="00CB0148"/>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CB0148"/>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CB0148"/>
    <w:rPr>
      <w:rFonts w:ascii="Arial" w:eastAsiaTheme="majorEastAsia" w:hAnsi="Arial" w:cstheme="majorBidi"/>
      <w:b/>
      <w:sz w:val="26"/>
      <w:szCs w:val="26"/>
    </w:rPr>
  </w:style>
  <w:style w:type="paragraph" w:customStyle="1" w:styleId="Main">
    <w:name w:val="Main"/>
    <w:next w:val="Normal"/>
    <w:uiPriority w:val="19"/>
    <w:rsid w:val="007D1C62"/>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875636"/>
    <w:pPr>
      <w:keepNext/>
      <w:spacing w:before="180" w:line="360" w:lineRule="auto"/>
      <w:contextualSpacing/>
    </w:pPr>
    <w:rPr>
      <w:spacing w:val="120"/>
    </w:rPr>
  </w:style>
  <w:style w:type="paragraph" w:styleId="TOC2">
    <w:name w:val="toc 2"/>
    <w:basedOn w:val="Normal"/>
    <w:next w:val="Normal"/>
    <w:uiPriority w:val="39"/>
    <w:unhideWhenUsed/>
    <w:rsid w:val="00CB0148"/>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CB0148"/>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CB0148"/>
    <w:pPr>
      <w:spacing w:line="240" w:lineRule="auto"/>
      <w:ind w:left="1987" w:right="720" w:hanging="864"/>
    </w:pPr>
    <w:rPr>
      <w:rFonts w:eastAsiaTheme="minorEastAsia" w:cs="Times New Roman"/>
    </w:rPr>
  </w:style>
  <w:style w:type="character" w:styleId="Hyperlink">
    <w:name w:val="Hyperlink"/>
    <w:basedOn w:val="DefaultParagraphFont"/>
    <w:uiPriority w:val="99"/>
    <w:rsid w:val="007D1C62"/>
    <w:rPr>
      <w:color w:val="0563C1" w:themeColor="hyperlink"/>
      <w:u w:val="single"/>
    </w:rPr>
  </w:style>
  <w:style w:type="numbering" w:customStyle="1" w:styleId="FoFCoLOP">
    <w:name w:val="FoF/CoL/OP"/>
    <w:uiPriority w:val="99"/>
    <w:rsid w:val="000C4455"/>
    <w:pPr>
      <w:numPr>
        <w:numId w:val="1"/>
      </w:numPr>
    </w:pPr>
  </w:style>
  <w:style w:type="paragraph" w:styleId="TOC9">
    <w:name w:val="toc 9"/>
    <w:basedOn w:val="Normal"/>
    <w:next w:val="Normal"/>
    <w:autoRedefine/>
    <w:uiPriority w:val="39"/>
    <w:semiHidden/>
    <w:unhideWhenUsed/>
    <w:rsid w:val="007D1C62"/>
    <w:pPr>
      <w:spacing w:after="100"/>
      <w:ind w:left="2080"/>
    </w:pPr>
  </w:style>
  <w:style w:type="paragraph" w:styleId="Header">
    <w:name w:val="header"/>
    <w:basedOn w:val="Normal"/>
    <w:link w:val="HeaderChar"/>
    <w:uiPriority w:val="99"/>
    <w:semiHidden/>
    <w:rsid w:val="007D1C6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D1C62"/>
    <w:rPr>
      <w:rFonts w:ascii="Book Antiqua" w:hAnsi="Book Antiqua"/>
      <w:sz w:val="26"/>
    </w:rPr>
  </w:style>
  <w:style w:type="paragraph" w:styleId="Footer">
    <w:name w:val="footer"/>
    <w:basedOn w:val="Normal"/>
    <w:link w:val="FooterChar"/>
    <w:uiPriority w:val="99"/>
    <w:rsid w:val="007D1C62"/>
    <w:pPr>
      <w:tabs>
        <w:tab w:val="center" w:pos="4680"/>
        <w:tab w:val="right" w:pos="9360"/>
      </w:tabs>
      <w:spacing w:line="240" w:lineRule="auto"/>
    </w:pPr>
  </w:style>
  <w:style w:type="character" w:customStyle="1" w:styleId="FooterChar">
    <w:name w:val="Footer Char"/>
    <w:basedOn w:val="DefaultParagraphFont"/>
    <w:link w:val="Footer"/>
    <w:uiPriority w:val="99"/>
    <w:rsid w:val="007D1C62"/>
    <w:rPr>
      <w:rFonts w:ascii="Book Antiqua" w:hAnsi="Book Antiqua"/>
      <w:sz w:val="26"/>
    </w:rPr>
  </w:style>
  <w:style w:type="paragraph" w:customStyle="1" w:styleId="BlockQuote">
    <w:name w:val="Block Quote"/>
    <w:basedOn w:val="Standard"/>
    <w:uiPriority w:val="5"/>
    <w:qFormat/>
    <w:rsid w:val="007D1C62"/>
    <w:pPr>
      <w:spacing w:after="120" w:line="240" w:lineRule="auto"/>
      <w:ind w:left="720" w:right="720" w:firstLine="0"/>
    </w:pPr>
  </w:style>
  <w:style w:type="paragraph" w:styleId="FootnoteText">
    <w:name w:val="footnote text"/>
    <w:basedOn w:val="Normal"/>
    <w:link w:val="FootnoteTextChar"/>
    <w:uiPriority w:val="40"/>
    <w:rsid w:val="007D1C62"/>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D1C62"/>
    <w:rPr>
      <w:rFonts w:ascii="Book Antiqua" w:hAnsi="Book Antiqua"/>
      <w:szCs w:val="20"/>
    </w:rPr>
  </w:style>
  <w:style w:type="character" w:styleId="FootnoteReference">
    <w:name w:val="footnote reference"/>
    <w:basedOn w:val="DefaultParagraphFont"/>
    <w:uiPriority w:val="99"/>
    <w:unhideWhenUsed/>
    <w:rsid w:val="007D1C62"/>
    <w:rPr>
      <w:vertAlign w:val="superscript"/>
    </w:rPr>
  </w:style>
  <w:style w:type="paragraph" w:customStyle="1" w:styleId="FoF">
    <w:name w:val="FoF"/>
    <w:basedOn w:val="Standard"/>
    <w:uiPriority w:val="6"/>
    <w:qFormat/>
    <w:rsid w:val="000C4455"/>
    <w:pPr>
      <w:numPr>
        <w:numId w:val="12"/>
      </w:numPr>
    </w:pPr>
  </w:style>
  <w:style w:type="paragraph" w:customStyle="1" w:styleId="CoL">
    <w:name w:val="CoL"/>
    <w:basedOn w:val="Standard"/>
    <w:uiPriority w:val="7"/>
    <w:qFormat/>
    <w:rsid w:val="007D1C62"/>
    <w:pPr>
      <w:numPr>
        <w:numId w:val="14"/>
      </w:numPr>
    </w:pPr>
  </w:style>
  <w:style w:type="paragraph" w:styleId="NoSpacing">
    <w:name w:val="No Spacing"/>
    <w:basedOn w:val="Standard"/>
    <w:uiPriority w:val="1"/>
    <w:rsid w:val="007D1C62"/>
    <w:pPr>
      <w:spacing w:after="120" w:line="240" w:lineRule="auto"/>
      <w:ind w:firstLine="0"/>
      <w:contextualSpacing/>
    </w:pPr>
  </w:style>
  <w:style w:type="paragraph" w:customStyle="1" w:styleId="OP">
    <w:name w:val="OP"/>
    <w:basedOn w:val="Standard"/>
    <w:uiPriority w:val="8"/>
    <w:qFormat/>
    <w:rsid w:val="000C4455"/>
    <w:pPr>
      <w:numPr>
        <w:numId w:val="10"/>
      </w:numPr>
    </w:pPr>
  </w:style>
  <w:style w:type="paragraph" w:styleId="BalloonText">
    <w:name w:val="Balloon Text"/>
    <w:basedOn w:val="Normal"/>
    <w:link w:val="BalloonTextChar"/>
    <w:uiPriority w:val="99"/>
    <w:semiHidden/>
    <w:unhideWhenUsed/>
    <w:rsid w:val="007D1C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62"/>
    <w:rPr>
      <w:rFonts w:ascii="Segoe UI" w:hAnsi="Segoe UI" w:cs="Segoe UI"/>
      <w:sz w:val="18"/>
      <w:szCs w:val="18"/>
    </w:rPr>
  </w:style>
  <w:style w:type="numbering" w:customStyle="1" w:styleId="Headings">
    <w:name w:val="Headings"/>
    <w:uiPriority w:val="99"/>
    <w:rsid w:val="007D1C62"/>
    <w:pPr>
      <w:numPr>
        <w:numId w:val="2"/>
      </w:numPr>
    </w:pPr>
  </w:style>
  <w:style w:type="paragraph" w:customStyle="1" w:styleId="Standard">
    <w:name w:val="Standard"/>
    <w:basedOn w:val="Normal"/>
    <w:qFormat/>
    <w:rsid w:val="007D1C62"/>
  </w:style>
  <w:style w:type="paragraph" w:customStyle="1" w:styleId="ListAlpha">
    <w:name w:val="List Alpha"/>
    <w:basedOn w:val="Standard"/>
    <w:uiPriority w:val="4"/>
    <w:qFormat/>
    <w:rsid w:val="007D1C62"/>
    <w:pPr>
      <w:numPr>
        <w:ilvl w:val="7"/>
        <w:numId w:val="9"/>
      </w:numPr>
      <w:spacing w:after="120" w:line="240" w:lineRule="auto"/>
    </w:pPr>
  </w:style>
  <w:style w:type="paragraph" w:styleId="ListBullet">
    <w:name w:val="List Bullet"/>
    <w:basedOn w:val="Standard"/>
    <w:uiPriority w:val="4"/>
    <w:qFormat/>
    <w:rsid w:val="007D1C62"/>
    <w:pPr>
      <w:numPr>
        <w:numId w:val="8"/>
      </w:numPr>
      <w:tabs>
        <w:tab w:val="clear" w:pos="360"/>
      </w:tabs>
      <w:spacing w:after="120" w:line="240" w:lineRule="auto"/>
    </w:pPr>
  </w:style>
  <w:style w:type="character" w:customStyle="1" w:styleId="Heading6Char">
    <w:name w:val="Heading 6 Char"/>
    <w:basedOn w:val="DefaultParagraphFont"/>
    <w:link w:val="Heading6"/>
    <w:uiPriority w:val="4"/>
    <w:rsid w:val="007D1C62"/>
    <w:rPr>
      <w:rFonts w:ascii="Arial" w:eastAsiaTheme="majorEastAsia" w:hAnsi="Arial" w:cstheme="majorBidi"/>
      <w:b/>
      <w:sz w:val="26"/>
      <w:szCs w:val="26"/>
    </w:rPr>
  </w:style>
  <w:style w:type="paragraph" w:styleId="TOC4">
    <w:name w:val="toc 4"/>
    <w:basedOn w:val="Normal"/>
    <w:next w:val="Normal"/>
    <w:autoRedefine/>
    <w:uiPriority w:val="39"/>
    <w:unhideWhenUsed/>
    <w:rsid w:val="00CB0148"/>
    <w:pPr>
      <w:spacing w:line="240" w:lineRule="auto"/>
      <w:ind w:left="2995" w:right="720" w:hanging="1008"/>
    </w:pPr>
  </w:style>
  <w:style w:type="paragraph" w:styleId="TOC5">
    <w:name w:val="toc 5"/>
    <w:basedOn w:val="Normal"/>
    <w:next w:val="Normal"/>
    <w:autoRedefine/>
    <w:uiPriority w:val="39"/>
    <w:unhideWhenUsed/>
    <w:rsid w:val="00CB0148"/>
    <w:pPr>
      <w:tabs>
        <w:tab w:val="left" w:pos="2160"/>
        <w:tab w:val="right" w:leader="dot" w:pos="9350"/>
      </w:tabs>
      <w:spacing w:line="240" w:lineRule="auto"/>
      <w:ind w:left="4291" w:right="720" w:hanging="1296"/>
    </w:pPr>
  </w:style>
  <w:style w:type="paragraph" w:styleId="TOC6">
    <w:name w:val="toc 6"/>
    <w:basedOn w:val="Normal"/>
    <w:next w:val="Normal"/>
    <w:autoRedefine/>
    <w:uiPriority w:val="39"/>
    <w:unhideWhenUsed/>
    <w:rsid w:val="007D1C62"/>
    <w:pPr>
      <w:spacing w:line="240" w:lineRule="auto"/>
      <w:ind w:left="2592" w:hanging="1512"/>
    </w:pPr>
  </w:style>
  <w:style w:type="paragraph" w:customStyle="1" w:styleId="TableText">
    <w:name w:val="Table Text"/>
    <w:basedOn w:val="NoSpacing"/>
    <w:uiPriority w:val="5"/>
    <w:rsid w:val="007D1C62"/>
    <w:pPr>
      <w:spacing w:after="0"/>
    </w:pPr>
    <w:rPr>
      <w:sz w:val="22"/>
    </w:rPr>
  </w:style>
  <w:style w:type="paragraph" w:customStyle="1" w:styleId="ListNum">
    <w:name w:val="List Num"/>
    <w:basedOn w:val="Standard"/>
    <w:uiPriority w:val="4"/>
    <w:rsid w:val="007D1C62"/>
    <w:pPr>
      <w:numPr>
        <w:ilvl w:val="6"/>
        <w:numId w:val="9"/>
      </w:numPr>
      <w:spacing w:after="120" w:line="240" w:lineRule="auto"/>
    </w:pPr>
  </w:style>
  <w:style w:type="table" w:styleId="GridTable1Light">
    <w:name w:val="Grid Table 1 Light"/>
    <w:basedOn w:val="TableNormal"/>
    <w:uiPriority w:val="46"/>
    <w:rsid w:val="00C6450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73BC2"/>
    <w:rPr>
      <w:sz w:val="16"/>
      <w:szCs w:val="16"/>
    </w:rPr>
  </w:style>
  <w:style w:type="paragraph" w:styleId="CommentText">
    <w:name w:val="annotation text"/>
    <w:basedOn w:val="Normal"/>
    <w:link w:val="CommentTextChar"/>
    <w:uiPriority w:val="99"/>
    <w:unhideWhenUsed/>
    <w:rsid w:val="00B73BC2"/>
    <w:pPr>
      <w:spacing w:line="240" w:lineRule="auto"/>
    </w:pPr>
    <w:rPr>
      <w:sz w:val="20"/>
      <w:szCs w:val="20"/>
    </w:rPr>
  </w:style>
  <w:style w:type="character" w:customStyle="1" w:styleId="CommentTextChar">
    <w:name w:val="Comment Text Char"/>
    <w:basedOn w:val="DefaultParagraphFont"/>
    <w:link w:val="CommentText"/>
    <w:uiPriority w:val="99"/>
    <w:rsid w:val="00B73BC2"/>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73BC2"/>
    <w:rPr>
      <w:b/>
      <w:bCs/>
    </w:rPr>
  </w:style>
  <w:style w:type="character" w:customStyle="1" w:styleId="CommentSubjectChar">
    <w:name w:val="Comment Subject Char"/>
    <w:basedOn w:val="CommentTextChar"/>
    <w:link w:val="CommentSubject"/>
    <w:uiPriority w:val="99"/>
    <w:semiHidden/>
    <w:rsid w:val="00B73BC2"/>
    <w:rPr>
      <w:rFonts w:ascii="Book Antiqua" w:hAnsi="Book Antiqua"/>
      <w:b/>
      <w:bCs/>
      <w:sz w:val="20"/>
      <w:szCs w:val="20"/>
    </w:rPr>
  </w:style>
  <w:style w:type="paragraph" w:styleId="ListParagraph">
    <w:name w:val="List Paragraph"/>
    <w:basedOn w:val="Normal"/>
    <w:uiPriority w:val="34"/>
    <w:qFormat/>
    <w:rsid w:val="00ED4E73"/>
    <w:pPr>
      <w:spacing w:after="160" w:line="278" w:lineRule="auto"/>
      <w:ind w:left="720" w:firstLine="0"/>
      <w:contextualSpacing/>
    </w:pPr>
    <w:rPr>
      <w:rFonts w:asciiTheme="minorHAnsi" w:hAnsiTheme="minorHAnsi"/>
      <w:kern w:val="2"/>
      <w:sz w:val="24"/>
      <w:szCs w:val="24"/>
      <w14:ligatures w14:val="standardContextual"/>
    </w:rPr>
  </w:style>
  <w:style w:type="character" w:styleId="UnresolvedMention">
    <w:name w:val="Unresolved Mention"/>
    <w:basedOn w:val="DefaultParagraphFont"/>
    <w:uiPriority w:val="99"/>
    <w:semiHidden/>
    <w:unhideWhenUsed/>
    <w:rsid w:val="0032214D"/>
    <w:rPr>
      <w:color w:val="605E5C"/>
      <w:shd w:val="clear" w:color="auto" w:fill="E1DFDD"/>
    </w:rPr>
  </w:style>
  <w:style w:type="character" w:styleId="Mention">
    <w:name w:val="Mention"/>
    <w:basedOn w:val="DefaultParagraphFont"/>
    <w:uiPriority w:val="99"/>
    <w:unhideWhenUsed/>
    <w:rsid w:val="005A2DED"/>
    <w:rPr>
      <w:color w:val="2B579A"/>
      <w:shd w:val="clear" w:color="auto" w:fill="E1DFDD"/>
    </w:rPr>
  </w:style>
  <w:style w:type="paragraph" w:styleId="Revision">
    <w:name w:val="Revision"/>
    <w:hidden/>
    <w:uiPriority w:val="99"/>
    <w:semiHidden/>
    <w:rsid w:val="005A2DED"/>
    <w:pPr>
      <w:spacing w:after="0" w:line="240" w:lineRule="auto"/>
    </w:pPr>
    <w:rPr>
      <w:rFonts w:ascii="Book Antiqua" w:hAnsi="Book Antiqua"/>
      <w:sz w:val="26"/>
    </w:rPr>
  </w:style>
  <w:style w:type="numbering" w:customStyle="1" w:styleId="CurrentList1">
    <w:name w:val="Current List1"/>
    <w:uiPriority w:val="99"/>
    <w:rsid w:val="000C4455"/>
    <w:pPr>
      <w:numPr>
        <w:numId w:val="11"/>
      </w:numPr>
    </w:pPr>
  </w:style>
  <w:style w:type="paragraph" w:customStyle="1" w:styleId="HeadingTableSub">
    <w:name w:val="HeadingTableSub"/>
    <w:basedOn w:val="Standard"/>
    <w:rsid w:val="00CE39B1"/>
    <w:pPr>
      <w:spacing w:after="120" w:line="240" w:lineRule="auto"/>
      <w:ind w:firstLine="0"/>
    </w:pPr>
    <w:rPr>
      <w:sz w:val="10"/>
    </w:rPr>
  </w:style>
  <w:style w:type="paragraph" w:customStyle="1" w:styleId="BlockQuoteH025">
    <w:name w:val="BlockQuoteH025"/>
    <w:basedOn w:val="Normal"/>
    <w:qFormat/>
    <w:rsid w:val="0044326E"/>
    <w:pPr>
      <w:spacing w:after="120" w:line="240" w:lineRule="auto"/>
      <w:ind w:left="1080" w:right="1440" w:hanging="360"/>
    </w:pPr>
  </w:style>
  <w:style w:type="paragraph" w:customStyle="1" w:styleId="BlockQuoteH025subH025">
    <w:name w:val="BlockQuoteH025subH025"/>
    <w:basedOn w:val="Normal"/>
    <w:qFormat/>
    <w:rsid w:val="0044326E"/>
    <w:pPr>
      <w:spacing w:after="120" w:line="240" w:lineRule="auto"/>
      <w:ind w:left="1404" w:right="1440" w:hanging="360"/>
    </w:pPr>
  </w:style>
  <w:style w:type="paragraph" w:customStyle="1" w:styleId="BlockQuoteH033">
    <w:name w:val="BlockQuoteH033"/>
    <w:basedOn w:val="Normal"/>
    <w:qFormat/>
    <w:rsid w:val="00484F64"/>
    <w:pPr>
      <w:spacing w:after="120" w:line="240" w:lineRule="auto"/>
      <w:ind w:left="1195" w:right="1440" w:hanging="475"/>
    </w:pPr>
  </w:style>
  <w:style w:type="paragraph" w:customStyle="1" w:styleId="BlockQuoteH033subH033">
    <w:name w:val="BlockQuoteH033subH033"/>
    <w:basedOn w:val="Normal"/>
    <w:qFormat/>
    <w:rsid w:val="00484F64"/>
    <w:pPr>
      <w:spacing w:after="120" w:line="240" w:lineRule="auto"/>
      <w:ind w:left="1670" w:right="1440" w:hanging="475"/>
    </w:pPr>
  </w:style>
  <w:style w:type="paragraph" w:customStyle="1" w:styleId="BlockQuoteBullet1">
    <w:name w:val="BlockQuoteBullet1"/>
    <w:basedOn w:val="Normal"/>
    <w:qFormat/>
    <w:rsid w:val="00A72028"/>
    <w:pPr>
      <w:spacing w:after="120" w:line="240" w:lineRule="auto"/>
      <w:ind w:right="1440" w:firstLine="0"/>
    </w:pPr>
  </w:style>
  <w:style w:type="paragraph" w:customStyle="1" w:styleId="BlockQuoteBullet2">
    <w:name w:val="BlockQuoteBullet2"/>
    <w:basedOn w:val="BlockQuoteBullet1"/>
    <w:qFormat/>
    <w:rsid w:val="00A72028"/>
  </w:style>
  <w:style w:type="character" w:styleId="FollowedHyperlink">
    <w:name w:val="FollowedHyperlink"/>
    <w:basedOn w:val="DefaultParagraphFont"/>
    <w:uiPriority w:val="99"/>
    <w:semiHidden/>
    <w:unhideWhenUsed/>
    <w:rsid w:val="00897A6E"/>
    <w:rPr>
      <w:color w:val="954F72" w:themeColor="followedHyperlink"/>
      <w:u w:val="single"/>
    </w:rPr>
  </w:style>
  <w:style w:type="paragraph" w:styleId="BodyText">
    <w:name w:val="Body Text"/>
    <w:basedOn w:val="Normal"/>
    <w:link w:val="BodyTextChar"/>
    <w:unhideWhenUsed/>
    <w:rsid w:val="0009770B"/>
    <w:pPr>
      <w:tabs>
        <w:tab w:val="left" w:pos="2160"/>
        <w:tab w:val="left" w:pos="3600"/>
      </w:tabs>
      <w:spacing w:line="240" w:lineRule="auto"/>
      <w:ind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770B"/>
    <w:rPr>
      <w:rFonts w:ascii="Times New Roman" w:eastAsia="Times New Roman" w:hAnsi="Times New Roman" w:cs="Times New Roman"/>
      <w:sz w:val="24"/>
      <w:szCs w:val="20"/>
    </w:rPr>
  </w:style>
  <w:style w:type="paragraph" w:customStyle="1" w:styleId="Note1">
    <w:name w:val="Note1"/>
    <w:basedOn w:val="Normal"/>
    <w:qFormat/>
    <w:rsid w:val="0009770B"/>
    <w:pPr>
      <w:spacing w:line="240" w:lineRule="auto"/>
      <w:ind w:left="533" w:hanging="533"/>
    </w:pPr>
    <w:rPr>
      <w:rFonts w:ascii="Times New Roman" w:hAnsi="Times New Roman"/>
      <w:iCs/>
      <w:sz w:val="20"/>
    </w:rPr>
  </w:style>
  <w:style w:type="paragraph" w:customStyle="1" w:styleId="pf0">
    <w:name w:val="pf0"/>
    <w:basedOn w:val="Normal"/>
    <w:rsid w:val="007B0F3D"/>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cf01">
    <w:name w:val="cf01"/>
    <w:basedOn w:val="DefaultParagraphFont"/>
    <w:rsid w:val="007B0F3D"/>
    <w:rPr>
      <w:rFonts w:ascii="Segoe UI" w:hAnsi="Segoe UI" w:cs="Segoe UI" w:hint="default"/>
      <w:sz w:val="18"/>
      <w:szCs w:val="18"/>
    </w:rPr>
  </w:style>
  <w:style w:type="paragraph" w:customStyle="1" w:styleId="StandardTableSub">
    <w:name w:val="StandardTableSub"/>
    <w:basedOn w:val="Standard"/>
    <w:rsid w:val="008B667B"/>
    <w:pPr>
      <w:spacing w:after="120" w:line="240" w:lineRule="auto"/>
      <w:ind w:firstLine="0"/>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6882">
      <w:bodyDiv w:val="1"/>
      <w:marLeft w:val="0"/>
      <w:marRight w:val="0"/>
      <w:marTop w:val="0"/>
      <w:marBottom w:val="0"/>
      <w:divBdr>
        <w:top w:val="none" w:sz="0" w:space="0" w:color="auto"/>
        <w:left w:val="none" w:sz="0" w:space="0" w:color="auto"/>
        <w:bottom w:val="none" w:sz="0" w:space="0" w:color="auto"/>
        <w:right w:val="none" w:sz="0" w:space="0" w:color="auto"/>
      </w:divBdr>
    </w:div>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050961877">
      <w:bodyDiv w:val="1"/>
      <w:marLeft w:val="0"/>
      <w:marRight w:val="0"/>
      <w:marTop w:val="0"/>
      <w:marBottom w:val="0"/>
      <w:divBdr>
        <w:top w:val="none" w:sz="0" w:space="0" w:color="auto"/>
        <w:left w:val="none" w:sz="0" w:space="0" w:color="auto"/>
        <w:bottom w:val="none" w:sz="0" w:space="0" w:color="auto"/>
        <w:right w:val="none" w:sz="0" w:space="0" w:color="auto"/>
      </w:divBdr>
    </w:div>
    <w:div w:id="1053575085">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1638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yperlink" Target="https://docs.cpuc.ca.gov/PublishedDocs/Published/G000/M585/K484/585484420.pdf" TargetMode="External" Id="Rb738db7a7fd34858" /></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Efile/G000/M542/K247/542247710.PDF" TargetMode="External"/><Relationship Id="rId2" Type="http://schemas.openxmlformats.org/officeDocument/2006/relationships/hyperlink" Target="https://docs.cpuc.ca.gov/PublishedDocs/Efile/G000/M558/K405/558405944.PDF" TargetMode="External"/><Relationship Id="rId1" Type="http://schemas.openxmlformats.org/officeDocument/2006/relationships/hyperlink" Target="https://docs.cpuc.ca.gov/PublishedDocs/Efile/G000/M547/K538/547538411.PDF" TargetMode="External"/><Relationship Id="rId4" Type="http://schemas.openxmlformats.org/officeDocument/2006/relationships/hyperlink" Target="https://www.bls.gov/news.release/cpi.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79</ap:Pages>
  <ap:Words>18030</ap:Words>
  <ap:Characters>102775</ap:Characters>
  <ap:Application>Microsoft Office Word</ap:Application>
  <ap:DocSecurity>0</ap:DocSecurity>
  <ap:Lines>856</ap:Lines>
  <ap:Paragraphs>241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120564</ap:CharactersWithSpaces>
  <ap:SharedDoc>false</ap:SharedDoc>
  <ap:HLinks>
    <vt:vector baseType="variant" size="444">
      <vt:variant>
        <vt:i4>1900593</vt:i4>
      </vt:variant>
      <vt:variant>
        <vt:i4>383</vt:i4>
      </vt:variant>
      <vt:variant>
        <vt:i4>0</vt:i4>
      </vt:variant>
      <vt:variant>
        <vt:i4>5</vt:i4>
      </vt:variant>
      <vt:variant>
        <vt:lpwstr/>
      </vt:variant>
      <vt:variant>
        <vt:lpwstr>_Toc208229918</vt:lpwstr>
      </vt:variant>
      <vt:variant>
        <vt:i4>1900593</vt:i4>
      </vt:variant>
      <vt:variant>
        <vt:i4>377</vt:i4>
      </vt:variant>
      <vt:variant>
        <vt:i4>0</vt:i4>
      </vt:variant>
      <vt:variant>
        <vt:i4>5</vt:i4>
      </vt:variant>
      <vt:variant>
        <vt:lpwstr/>
      </vt:variant>
      <vt:variant>
        <vt:lpwstr>_Toc208229917</vt:lpwstr>
      </vt:variant>
      <vt:variant>
        <vt:i4>1900593</vt:i4>
      </vt:variant>
      <vt:variant>
        <vt:i4>371</vt:i4>
      </vt:variant>
      <vt:variant>
        <vt:i4>0</vt:i4>
      </vt:variant>
      <vt:variant>
        <vt:i4>5</vt:i4>
      </vt:variant>
      <vt:variant>
        <vt:lpwstr/>
      </vt:variant>
      <vt:variant>
        <vt:lpwstr>_Toc208229916</vt:lpwstr>
      </vt:variant>
      <vt:variant>
        <vt:i4>1900593</vt:i4>
      </vt:variant>
      <vt:variant>
        <vt:i4>365</vt:i4>
      </vt:variant>
      <vt:variant>
        <vt:i4>0</vt:i4>
      </vt:variant>
      <vt:variant>
        <vt:i4>5</vt:i4>
      </vt:variant>
      <vt:variant>
        <vt:lpwstr/>
      </vt:variant>
      <vt:variant>
        <vt:lpwstr>_Toc208229915</vt:lpwstr>
      </vt:variant>
      <vt:variant>
        <vt:i4>1900593</vt:i4>
      </vt:variant>
      <vt:variant>
        <vt:i4>359</vt:i4>
      </vt:variant>
      <vt:variant>
        <vt:i4>0</vt:i4>
      </vt:variant>
      <vt:variant>
        <vt:i4>5</vt:i4>
      </vt:variant>
      <vt:variant>
        <vt:lpwstr/>
      </vt:variant>
      <vt:variant>
        <vt:lpwstr>_Toc208229914</vt:lpwstr>
      </vt:variant>
      <vt:variant>
        <vt:i4>1900593</vt:i4>
      </vt:variant>
      <vt:variant>
        <vt:i4>353</vt:i4>
      </vt:variant>
      <vt:variant>
        <vt:i4>0</vt:i4>
      </vt:variant>
      <vt:variant>
        <vt:i4>5</vt:i4>
      </vt:variant>
      <vt:variant>
        <vt:lpwstr/>
      </vt:variant>
      <vt:variant>
        <vt:lpwstr>_Toc208229913</vt:lpwstr>
      </vt:variant>
      <vt:variant>
        <vt:i4>1900593</vt:i4>
      </vt:variant>
      <vt:variant>
        <vt:i4>347</vt:i4>
      </vt:variant>
      <vt:variant>
        <vt:i4>0</vt:i4>
      </vt:variant>
      <vt:variant>
        <vt:i4>5</vt:i4>
      </vt:variant>
      <vt:variant>
        <vt:lpwstr/>
      </vt:variant>
      <vt:variant>
        <vt:lpwstr>_Toc208229912</vt:lpwstr>
      </vt:variant>
      <vt:variant>
        <vt:i4>1900593</vt:i4>
      </vt:variant>
      <vt:variant>
        <vt:i4>341</vt:i4>
      </vt:variant>
      <vt:variant>
        <vt:i4>0</vt:i4>
      </vt:variant>
      <vt:variant>
        <vt:i4>5</vt:i4>
      </vt:variant>
      <vt:variant>
        <vt:lpwstr/>
      </vt:variant>
      <vt:variant>
        <vt:lpwstr>_Toc208229911</vt:lpwstr>
      </vt:variant>
      <vt:variant>
        <vt:i4>1900593</vt:i4>
      </vt:variant>
      <vt:variant>
        <vt:i4>335</vt:i4>
      </vt:variant>
      <vt:variant>
        <vt:i4>0</vt:i4>
      </vt:variant>
      <vt:variant>
        <vt:i4>5</vt:i4>
      </vt:variant>
      <vt:variant>
        <vt:lpwstr/>
      </vt:variant>
      <vt:variant>
        <vt:lpwstr>_Toc208229910</vt:lpwstr>
      </vt:variant>
      <vt:variant>
        <vt:i4>1835057</vt:i4>
      </vt:variant>
      <vt:variant>
        <vt:i4>329</vt:i4>
      </vt:variant>
      <vt:variant>
        <vt:i4>0</vt:i4>
      </vt:variant>
      <vt:variant>
        <vt:i4>5</vt:i4>
      </vt:variant>
      <vt:variant>
        <vt:lpwstr/>
      </vt:variant>
      <vt:variant>
        <vt:lpwstr>_Toc208229909</vt:lpwstr>
      </vt:variant>
      <vt:variant>
        <vt:i4>1835057</vt:i4>
      </vt:variant>
      <vt:variant>
        <vt:i4>323</vt:i4>
      </vt:variant>
      <vt:variant>
        <vt:i4>0</vt:i4>
      </vt:variant>
      <vt:variant>
        <vt:i4>5</vt:i4>
      </vt:variant>
      <vt:variant>
        <vt:lpwstr/>
      </vt:variant>
      <vt:variant>
        <vt:lpwstr>_Toc208229908</vt:lpwstr>
      </vt:variant>
      <vt:variant>
        <vt:i4>1835057</vt:i4>
      </vt:variant>
      <vt:variant>
        <vt:i4>317</vt:i4>
      </vt:variant>
      <vt:variant>
        <vt:i4>0</vt:i4>
      </vt:variant>
      <vt:variant>
        <vt:i4>5</vt:i4>
      </vt:variant>
      <vt:variant>
        <vt:lpwstr/>
      </vt:variant>
      <vt:variant>
        <vt:lpwstr>_Toc208229907</vt:lpwstr>
      </vt:variant>
      <vt:variant>
        <vt:i4>1835057</vt:i4>
      </vt:variant>
      <vt:variant>
        <vt:i4>311</vt:i4>
      </vt:variant>
      <vt:variant>
        <vt:i4>0</vt:i4>
      </vt:variant>
      <vt:variant>
        <vt:i4>5</vt:i4>
      </vt:variant>
      <vt:variant>
        <vt:lpwstr/>
      </vt:variant>
      <vt:variant>
        <vt:lpwstr>_Toc208229906</vt:lpwstr>
      </vt:variant>
      <vt:variant>
        <vt:i4>1835057</vt:i4>
      </vt:variant>
      <vt:variant>
        <vt:i4>305</vt:i4>
      </vt:variant>
      <vt:variant>
        <vt:i4>0</vt:i4>
      </vt:variant>
      <vt:variant>
        <vt:i4>5</vt:i4>
      </vt:variant>
      <vt:variant>
        <vt:lpwstr/>
      </vt:variant>
      <vt:variant>
        <vt:lpwstr>_Toc208229905</vt:lpwstr>
      </vt:variant>
      <vt:variant>
        <vt:i4>1835057</vt:i4>
      </vt:variant>
      <vt:variant>
        <vt:i4>299</vt:i4>
      </vt:variant>
      <vt:variant>
        <vt:i4>0</vt:i4>
      </vt:variant>
      <vt:variant>
        <vt:i4>5</vt:i4>
      </vt:variant>
      <vt:variant>
        <vt:lpwstr/>
      </vt:variant>
      <vt:variant>
        <vt:lpwstr>_Toc208229904</vt:lpwstr>
      </vt:variant>
      <vt:variant>
        <vt:i4>1835057</vt:i4>
      </vt:variant>
      <vt:variant>
        <vt:i4>293</vt:i4>
      </vt:variant>
      <vt:variant>
        <vt:i4>0</vt:i4>
      </vt:variant>
      <vt:variant>
        <vt:i4>5</vt:i4>
      </vt:variant>
      <vt:variant>
        <vt:lpwstr/>
      </vt:variant>
      <vt:variant>
        <vt:lpwstr>_Toc208229903</vt:lpwstr>
      </vt:variant>
      <vt:variant>
        <vt:i4>1835057</vt:i4>
      </vt:variant>
      <vt:variant>
        <vt:i4>287</vt:i4>
      </vt:variant>
      <vt:variant>
        <vt:i4>0</vt:i4>
      </vt:variant>
      <vt:variant>
        <vt:i4>5</vt:i4>
      </vt:variant>
      <vt:variant>
        <vt:lpwstr/>
      </vt:variant>
      <vt:variant>
        <vt:lpwstr>_Toc208229902</vt:lpwstr>
      </vt:variant>
      <vt:variant>
        <vt:i4>1835057</vt:i4>
      </vt:variant>
      <vt:variant>
        <vt:i4>281</vt:i4>
      </vt:variant>
      <vt:variant>
        <vt:i4>0</vt:i4>
      </vt:variant>
      <vt:variant>
        <vt:i4>5</vt:i4>
      </vt:variant>
      <vt:variant>
        <vt:lpwstr/>
      </vt:variant>
      <vt:variant>
        <vt:lpwstr>_Toc208229901</vt:lpwstr>
      </vt:variant>
      <vt:variant>
        <vt:i4>1835057</vt:i4>
      </vt:variant>
      <vt:variant>
        <vt:i4>275</vt:i4>
      </vt:variant>
      <vt:variant>
        <vt:i4>0</vt:i4>
      </vt:variant>
      <vt:variant>
        <vt:i4>5</vt:i4>
      </vt:variant>
      <vt:variant>
        <vt:lpwstr/>
      </vt:variant>
      <vt:variant>
        <vt:lpwstr>_Toc208229900</vt:lpwstr>
      </vt:variant>
      <vt:variant>
        <vt:i4>1376304</vt:i4>
      </vt:variant>
      <vt:variant>
        <vt:i4>269</vt:i4>
      </vt:variant>
      <vt:variant>
        <vt:i4>0</vt:i4>
      </vt:variant>
      <vt:variant>
        <vt:i4>5</vt:i4>
      </vt:variant>
      <vt:variant>
        <vt:lpwstr/>
      </vt:variant>
      <vt:variant>
        <vt:lpwstr>_Toc208229899</vt:lpwstr>
      </vt:variant>
      <vt:variant>
        <vt:i4>1376304</vt:i4>
      </vt:variant>
      <vt:variant>
        <vt:i4>263</vt:i4>
      </vt:variant>
      <vt:variant>
        <vt:i4>0</vt:i4>
      </vt:variant>
      <vt:variant>
        <vt:i4>5</vt:i4>
      </vt:variant>
      <vt:variant>
        <vt:lpwstr/>
      </vt:variant>
      <vt:variant>
        <vt:lpwstr>_Toc208229898</vt:lpwstr>
      </vt:variant>
      <vt:variant>
        <vt:i4>1376304</vt:i4>
      </vt:variant>
      <vt:variant>
        <vt:i4>257</vt:i4>
      </vt:variant>
      <vt:variant>
        <vt:i4>0</vt:i4>
      </vt:variant>
      <vt:variant>
        <vt:i4>5</vt:i4>
      </vt:variant>
      <vt:variant>
        <vt:lpwstr/>
      </vt:variant>
      <vt:variant>
        <vt:lpwstr>_Toc208229897</vt:lpwstr>
      </vt:variant>
      <vt:variant>
        <vt:i4>1376304</vt:i4>
      </vt:variant>
      <vt:variant>
        <vt:i4>251</vt:i4>
      </vt:variant>
      <vt:variant>
        <vt:i4>0</vt:i4>
      </vt:variant>
      <vt:variant>
        <vt:i4>5</vt:i4>
      </vt:variant>
      <vt:variant>
        <vt:lpwstr/>
      </vt:variant>
      <vt:variant>
        <vt:lpwstr>_Toc208229896</vt:lpwstr>
      </vt:variant>
      <vt:variant>
        <vt:i4>1376304</vt:i4>
      </vt:variant>
      <vt:variant>
        <vt:i4>245</vt:i4>
      </vt:variant>
      <vt:variant>
        <vt:i4>0</vt:i4>
      </vt:variant>
      <vt:variant>
        <vt:i4>5</vt:i4>
      </vt:variant>
      <vt:variant>
        <vt:lpwstr/>
      </vt:variant>
      <vt:variant>
        <vt:lpwstr>_Toc208229895</vt:lpwstr>
      </vt:variant>
      <vt:variant>
        <vt:i4>1376304</vt:i4>
      </vt:variant>
      <vt:variant>
        <vt:i4>239</vt:i4>
      </vt:variant>
      <vt:variant>
        <vt:i4>0</vt:i4>
      </vt:variant>
      <vt:variant>
        <vt:i4>5</vt:i4>
      </vt:variant>
      <vt:variant>
        <vt:lpwstr/>
      </vt:variant>
      <vt:variant>
        <vt:lpwstr>_Toc208229894</vt:lpwstr>
      </vt:variant>
      <vt:variant>
        <vt:i4>1376304</vt:i4>
      </vt:variant>
      <vt:variant>
        <vt:i4>233</vt:i4>
      </vt:variant>
      <vt:variant>
        <vt:i4>0</vt:i4>
      </vt:variant>
      <vt:variant>
        <vt:i4>5</vt:i4>
      </vt:variant>
      <vt:variant>
        <vt:lpwstr/>
      </vt:variant>
      <vt:variant>
        <vt:lpwstr>_Toc208229893</vt:lpwstr>
      </vt:variant>
      <vt:variant>
        <vt:i4>1376304</vt:i4>
      </vt:variant>
      <vt:variant>
        <vt:i4>227</vt:i4>
      </vt:variant>
      <vt:variant>
        <vt:i4>0</vt:i4>
      </vt:variant>
      <vt:variant>
        <vt:i4>5</vt:i4>
      </vt:variant>
      <vt:variant>
        <vt:lpwstr/>
      </vt:variant>
      <vt:variant>
        <vt:lpwstr>_Toc208229892</vt:lpwstr>
      </vt:variant>
      <vt:variant>
        <vt:i4>1376304</vt:i4>
      </vt:variant>
      <vt:variant>
        <vt:i4>221</vt:i4>
      </vt:variant>
      <vt:variant>
        <vt:i4>0</vt:i4>
      </vt:variant>
      <vt:variant>
        <vt:i4>5</vt:i4>
      </vt:variant>
      <vt:variant>
        <vt:lpwstr/>
      </vt:variant>
      <vt:variant>
        <vt:lpwstr>_Toc208229891</vt:lpwstr>
      </vt:variant>
      <vt:variant>
        <vt:i4>1376304</vt:i4>
      </vt:variant>
      <vt:variant>
        <vt:i4>215</vt:i4>
      </vt:variant>
      <vt:variant>
        <vt:i4>0</vt:i4>
      </vt:variant>
      <vt:variant>
        <vt:i4>5</vt:i4>
      </vt:variant>
      <vt:variant>
        <vt:lpwstr/>
      </vt:variant>
      <vt:variant>
        <vt:lpwstr>_Toc208229890</vt:lpwstr>
      </vt:variant>
      <vt:variant>
        <vt:i4>1310768</vt:i4>
      </vt:variant>
      <vt:variant>
        <vt:i4>209</vt:i4>
      </vt:variant>
      <vt:variant>
        <vt:i4>0</vt:i4>
      </vt:variant>
      <vt:variant>
        <vt:i4>5</vt:i4>
      </vt:variant>
      <vt:variant>
        <vt:lpwstr/>
      </vt:variant>
      <vt:variant>
        <vt:lpwstr>_Toc208229889</vt:lpwstr>
      </vt:variant>
      <vt:variant>
        <vt:i4>1310768</vt:i4>
      </vt:variant>
      <vt:variant>
        <vt:i4>203</vt:i4>
      </vt:variant>
      <vt:variant>
        <vt:i4>0</vt:i4>
      </vt:variant>
      <vt:variant>
        <vt:i4>5</vt:i4>
      </vt:variant>
      <vt:variant>
        <vt:lpwstr/>
      </vt:variant>
      <vt:variant>
        <vt:lpwstr>_Toc208229888</vt:lpwstr>
      </vt:variant>
      <vt:variant>
        <vt:i4>1310768</vt:i4>
      </vt:variant>
      <vt:variant>
        <vt:i4>197</vt:i4>
      </vt:variant>
      <vt:variant>
        <vt:i4>0</vt:i4>
      </vt:variant>
      <vt:variant>
        <vt:i4>5</vt:i4>
      </vt:variant>
      <vt:variant>
        <vt:lpwstr/>
      </vt:variant>
      <vt:variant>
        <vt:lpwstr>_Toc208229887</vt:lpwstr>
      </vt:variant>
      <vt:variant>
        <vt:i4>1310768</vt:i4>
      </vt:variant>
      <vt:variant>
        <vt:i4>191</vt:i4>
      </vt:variant>
      <vt:variant>
        <vt:i4>0</vt:i4>
      </vt:variant>
      <vt:variant>
        <vt:i4>5</vt:i4>
      </vt:variant>
      <vt:variant>
        <vt:lpwstr/>
      </vt:variant>
      <vt:variant>
        <vt:lpwstr>_Toc208229886</vt:lpwstr>
      </vt:variant>
      <vt:variant>
        <vt:i4>1310768</vt:i4>
      </vt:variant>
      <vt:variant>
        <vt:i4>185</vt:i4>
      </vt:variant>
      <vt:variant>
        <vt:i4>0</vt:i4>
      </vt:variant>
      <vt:variant>
        <vt:i4>5</vt:i4>
      </vt:variant>
      <vt:variant>
        <vt:lpwstr/>
      </vt:variant>
      <vt:variant>
        <vt:lpwstr>_Toc208229885</vt:lpwstr>
      </vt:variant>
      <vt:variant>
        <vt:i4>1310768</vt:i4>
      </vt:variant>
      <vt:variant>
        <vt:i4>179</vt:i4>
      </vt:variant>
      <vt:variant>
        <vt:i4>0</vt:i4>
      </vt:variant>
      <vt:variant>
        <vt:i4>5</vt:i4>
      </vt:variant>
      <vt:variant>
        <vt:lpwstr/>
      </vt:variant>
      <vt:variant>
        <vt:lpwstr>_Toc208229884</vt:lpwstr>
      </vt:variant>
      <vt:variant>
        <vt:i4>1310768</vt:i4>
      </vt:variant>
      <vt:variant>
        <vt:i4>173</vt:i4>
      </vt:variant>
      <vt:variant>
        <vt:i4>0</vt:i4>
      </vt:variant>
      <vt:variant>
        <vt:i4>5</vt:i4>
      </vt:variant>
      <vt:variant>
        <vt:lpwstr/>
      </vt:variant>
      <vt:variant>
        <vt:lpwstr>_Toc208229883</vt:lpwstr>
      </vt:variant>
      <vt:variant>
        <vt:i4>1310768</vt:i4>
      </vt:variant>
      <vt:variant>
        <vt:i4>167</vt:i4>
      </vt:variant>
      <vt:variant>
        <vt:i4>0</vt:i4>
      </vt:variant>
      <vt:variant>
        <vt:i4>5</vt:i4>
      </vt:variant>
      <vt:variant>
        <vt:lpwstr/>
      </vt:variant>
      <vt:variant>
        <vt:lpwstr>_Toc208229882</vt:lpwstr>
      </vt:variant>
      <vt:variant>
        <vt:i4>1310768</vt:i4>
      </vt:variant>
      <vt:variant>
        <vt:i4>161</vt:i4>
      </vt:variant>
      <vt:variant>
        <vt:i4>0</vt:i4>
      </vt:variant>
      <vt:variant>
        <vt:i4>5</vt:i4>
      </vt:variant>
      <vt:variant>
        <vt:lpwstr/>
      </vt:variant>
      <vt:variant>
        <vt:lpwstr>_Toc208229881</vt:lpwstr>
      </vt:variant>
      <vt:variant>
        <vt:i4>1310768</vt:i4>
      </vt:variant>
      <vt:variant>
        <vt:i4>155</vt:i4>
      </vt:variant>
      <vt:variant>
        <vt:i4>0</vt:i4>
      </vt:variant>
      <vt:variant>
        <vt:i4>5</vt:i4>
      </vt:variant>
      <vt:variant>
        <vt:lpwstr/>
      </vt:variant>
      <vt:variant>
        <vt:lpwstr>_Toc208229880</vt:lpwstr>
      </vt:variant>
      <vt:variant>
        <vt:i4>1769520</vt:i4>
      </vt:variant>
      <vt:variant>
        <vt:i4>149</vt:i4>
      </vt:variant>
      <vt:variant>
        <vt:i4>0</vt:i4>
      </vt:variant>
      <vt:variant>
        <vt:i4>5</vt:i4>
      </vt:variant>
      <vt:variant>
        <vt:lpwstr/>
      </vt:variant>
      <vt:variant>
        <vt:lpwstr>_Toc208229879</vt:lpwstr>
      </vt:variant>
      <vt:variant>
        <vt:i4>1769520</vt:i4>
      </vt:variant>
      <vt:variant>
        <vt:i4>143</vt:i4>
      </vt:variant>
      <vt:variant>
        <vt:i4>0</vt:i4>
      </vt:variant>
      <vt:variant>
        <vt:i4>5</vt:i4>
      </vt:variant>
      <vt:variant>
        <vt:lpwstr/>
      </vt:variant>
      <vt:variant>
        <vt:lpwstr>_Toc208229878</vt:lpwstr>
      </vt:variant>
      <vt:variant>
        <vt:i4>1769520</vt:i4>
      </vt:variant>
      <vt:variant>
        <vt:i4>137</vt:i4>
      </vt:variant>
      <vt:variant>
        <vt:i4>0</vt:i4>
      </vt:variant>
      <vt:variant>
        <vt:i4>5</vt:i4>
      </vt:variant>
      <vt:variant>
        <vt:lpwstr/>
      </vt:variant>
      <vt:variant>
        <vt:lpwstr>_Toc208229877</vt:lpwstr>
      </vt:variant>
      <vt:variant>
        <vt:i4>1769520</vt:i4>
      </vt:variant>
      <vt:variant>
        <vt:i4>131</vt:i4>
      </vt:variant>
      <vt:variant>
        <vt:i4>0</vt:i4>
      </vt:variant>
      <vt:variant>
        <vt:i4>5</vt:i4>
      </vt:variant>
      <vt:variant>
        <vt:lpwstr/>
      </vt:variant>
      <vt:variant>
        <vt:lpwstr>_Toc208229876</vt:lpwstr>
      </vt:variant>
      <vt:variant>
        <vt:i4>1769520</vt:i4>
      </vt:variant>
      <vt:variant>
        <vt:i4>125</vt:i4>
      </vt:variant>
      <vt:variant>
        <vt:i4>0</vt:i4>
      </vt:variant>
      <vt:variant>
        <vt:i4>5</vt:i4>
      </vt:variant>
      <vt:variant>
        <vt:lpwstr/>
      </vt:variant>
      <vt:variant>
        <vt:lpwstr>_Toc208229875</vt:lpwstr>
      </vt:variant>
      <vt:variant>
        <vt:i4>1769520</vt:i4>
      </vt:variant>
      <vt:variant>
        <vt:i4>119</vt:i4>
      </vt:variant>
      <vt:variant>
        <vt:i4>0</vt:i4>
      </vt:variant>
      <vt:variant>
        <vt:i4>5</vt:i4>
      </vt:variant>
      <vt:variant>
        <vt:lpwstr/>
      </vt:variant>
      <vt:variant>
        <vt:lpwstr>_Toc208229874</vt:lpwstr>
      </vt:variant>
      <vt:variant>
        <vt:i4>1769520</vt:i4>
      </vt:variant>
      <vt:variant>
        <vt:i4>113</vt:i4>
      </vt:variant>
      <vt:variant>
        <vt:i4>0</vt:i4>
      </vt:variant>
      <vt:variant>
        <vt:i4>5</vt:i4>
      </vt:variant>
      <vt:variant>
        <vt:lpwstr/>
      </vt:variant>
      <vt:variant>
        <vt:lpwstr>_Toc208229873</vt:lpwstr>
      </vt:variant>
      <vt:variant>
        <vt:i4>1769520</vt:i4>
      </vt:variant>
      <vt:variant>
        <vt:i4>107</vt:i4>
      </vt:variant>
      <vt:variant>
        <vt:i4>0</vt:i4>
      </vt:variant>
      <vt:variant>
        <vt:i4>5</vt:i4>
      </vt:variant>
      <vt:variant>
        <vt:lpwstr/>
      </vt:variant>
      <vt:variant>
        <vt:lpwstr>_Toc208229872</vt:lpwstr>
      </vt:variant>
      <vt:variant>
        <vt:i4>1769520</vt:i4>
      </vt:variant>
      <vt:variant>
        <vt:i4>101</vt:i4>
      </vt:variant>
      <vt:variant>
        <vt:i4>0</vt:i4>
      </vt:variant>
      <vt:variant>
        <vt:i4>5</vt:i4>
      </vt:variant>
      <vt:variant>
        <vt:lpwstr/>
      </vt:variant>
      <vt:variant>
        <vt:lpwstr>_Toc208229871</vt:lpwstr>
      </vt:variant>
      <vt:variant>
        <vt:i4>1769520</vt:i4>
      </vt:variant>
      <vt:variant>
        <vt:i4>95</vt:i4>
      </vt:variant>
      <vt:variant>
        <vt:i4>0</vt:i4>
      </vt:variant>
      <vt:variant>
        <vt:i4>5</vt:i4>
      </vt:variant>
      <vt:variant>
        <vt:lpwstr/>
      </vt:variant>
      <vt:variant>
        <vt:lpwstr>_Toc208229870</vt:lpwstr>
      </vt:variant>
      <vt:variant>
        <vt:i4>1703984</vt:i4>
      </vt:variant>
      <vt:variant>
        <vt:i4>89</vt:i4>
      </vt:variant>
      <vt:variant>
        <vt:i4>0</vt:i4>
      </vt:variant>
      <vt:variant>
        <vt:i4>5</vt:i4>
      </vt:variant>
      <vt:variant>
        <vt:lpwstr/>
      </vt:variant>
      <vt:variant>
        <vt:lpwstr>_Toc208229869</vt:lpwstr>
      </vt:variant>
      <vt:variant>
        <vt:i4>1703984</vt:i4>
      </vt:variant>
      <vt:variant>
        <vt:i4>83</vt:i4>
      </vt:variant>
      <vt:variant>
        <vt:i4>0</vt:i4>
      </vt:variant>
      <vt:variant>
        <vt:i4>5</vt:i4>
      </vt:variant>
      <vt:variant>
        <vt:lpwstr/>
      </vt:variant>
      <vt:variant>
        <vt:lpwstr>_Toc208229868</vt:lpwstr>
      </vt:variant>
      <vt:variant>
        <vt:i4>1703984</vt:i4>
      </vt:variant>
      <vt:variant>
        <vt:i4>77</vt:i4>
      </vt:variant>
      <vt:variant>
        <vt:i4>0</vt:i4>
      </vt:variant>
      <vt:variant>
        <vt:i4>5</vt:i4>
      </vt:variant>
      <vt:variant>
        <vt:lpwstr/>
      </vt:variant>
      <vt:variant>
        <vt:lpwstr>_Toc208229867</vt:lpwstr>
      </vt:variant>
      <vt:variant>
        <vt:i4>1703984</vt:i4>
      </vt:variant>
      <vt:variant>
        <vt:i4>71</vt:i4>
      </vt:variant>
      <vt:variant>
        <vt:i4>0</vt:i4>
      </vt:variant>
      <vt:variant>
        <vt:i4>5</vt:i4>
      </vt:variant>
      <vt:variant>
        <vt:lpwstr/>
      </vt:variant>
      <vt:variant>
        <vt:lpwstr>_Toc208229866</vt:lpwstr>
      </vt:variant>
      <vt:variant>
        <vt:i4>1703984</vt:i4>
      </vt:variant>
      <vt:variant>
        <vt:i4>65</vt:i4>
      </vt:variant>
      <vt:variant>
        <vt:i4>0</vt:i4>
      </vt:variant>
      <vt:variant>
        <vt:i4>5</vt:i4>
      </vt:variant>
      <vt:variant>
        <vt:lpwstr/>
      </vt:variant>
      <vt:variant>
        <vt:lpwstr>_Toc208229865</vt:lpwstr>
      </vt:variant>
      <vt:variant>
        <vt:i4>1703984</vt:i4>
      </vt:variant>
      <vt:variant>
        <vt:i4>59</vt:i4>
      </vt:variant>
      <vt:variant>
        <vt:i4>0</vt:i4>
      </vt:variant>
      <vt:variant>
        <vt:i4>5</vt:i4>
      </vt:variant>
      <vt:variant>
        <vt:lpwstr/>
      </vt:variant>
      <vt:variant>
        <vt:lpwstr>_Toc208229864</vt:lpwstr>
      </vt:variant>
      <vt:variant>
        <vt:i4>1703984</vt:i4>
      </vt:variant>
      <vt:variant>
        <vt:i4>53</vt:i4>
      </vt:variant>
      <vt:variant>
        <vt:i4>0</vt:i4>
      </vt:variant>
      <vt:variant>
        <vt:i4>5</vt:i4>
      </vt:variant>
      <vt:variant>
        <vt:lpwstr/>
      </vt:variant>
      <vt:variant>
        <vt:lpwstr>_Toc208229863</vt:lpwstr>
      </vt:variant>
      <vt:variant>
        <vt:i4>1703984</vt:i4>
      </vt:variant>
      <vt:variant>
        <vt:i4>47</vt:i4>
      </vt:variant>
      <vt:variant>
        <vt:i4>0</vt:i4>
      </vt:variant>
      <vt:variant>
        <vt:i4>5</vt:i4>
      </vt:variant>
      <vt:variant>
        <vt:lpwstr/>
      </vt:variant>
      <vt:variant>
        <vt:lpwstr>_Toc208229862</vt:lpwstr>
      </vt:variant>
      <vt:variant>
        <vt:i4>1703984</vt:i4>
      </vt:variant>
      <vt:variant>
        <vt:i4>41</vt:i4>
      </vt:variant>
      <vt:variant>
        <vt:i4>0</vt:i4>
      </vt:variant>
      <vt:variant>
        <vt:i4>5</vt:i4>
      </vt:variant>
      <vt:variant>
        <vt:lpwstr/>
      </vt:variant>
      <vt:variant>
        <vt:lpwstr>_Toc208229861</vt:lpwstr>
      </vt:variant>
      <vt:variant>
        <vt:i4>1703984</vt:i4>
      </vt:variant>
      <vt:variant>
        <vt:i4>35</vt:i4>
      </vt:variant>
      <vt:variant>
        <vt:i4>0</vt:i4>
      </vt:variant>
      <vt:variant>
        <vt:i4>5</vt:i4>
      </vt:variant>
      <vt:variant>
        <vt:lpwstr/>
      </vt:variant>
      <vt:variant>
        <vt:lpwstr>_Toc208229860</vt:lpwstr>
      </vt:variant>
      <vt:variant>
        <vt:i4>1638448</vt:i4>
      </vt:variant>
      <vt:variant>
        <vt:i4>29</vt:i4>
      </vt:variant>
      <vt:variant>
        <vt:i4>0</vt:i4>
      </vt:variant>
      <vt:variant>
        <vt:i4>5</vt:i4>
      </vt:variant>
      <vt:variant>
        <vt:lpwstr/>
      </vt:variant>
      <vt:variant>
        <vt:lpwstr>_Toc208229859</vt:lpwstr>
      </vt:variant>
      <vt:variant>
        <vt:i4>1638448</vt:i4>
      </vt:variant>
      <vt:variant>
        <vt:i4>23</vt:i4>
      </vt:variant>
      <vt:variant>
        <vt:i4>0</vt:i4>
      </vt:variant>
      <vt:variant>
        <vt:i4>5</vt:i4>
      </vt:variant>
      <vt:variant>
        <vt:lpwstr/>
      </vt:variant>
      <vt:variant>
        <vt:lpwstr>_Toc208229858</vt:lpwstr>
      </vt:variant>
      <vt:variant>
        <vt:i4>1638448</vt:i4>
      </vt:variant>
      <vt:variant>
        <vt:i4>17</vt:i4>
      </vt:variant>
      <vt:variant>
        <vt:i4>0</vt:i4>
      </vt:variant>
      <vt:variant>
        <vt:i4>5</vt:i4>
      </vt:variant>
      <vt:variant>
        <vt:lpwstr/>
      </vt:variant>
      <vt:variant>
        <vt:lpwstr>_Toc208229857</vt:lpwstr>
      </vt:variant>
      <vt:variant>
        <vt:i4>1638448</vt:i4>
      </vt:variant>
      <vt:variant>
        <vt:i4>11</vt:i4>
      </vt:variant>
      <vt:variant>
        <vt:i4>0</vt:i4>
      </vt:variant>
      <vt:variant>
        <vt:i4>5</vt:i4>
      </vt:variant>
      <vt:variant>
        <vt:lpwstr/>
      </vt:variant>
      <vt:variant>
        <vt:lpwstr>_Toc208229856</vt:lpwstr>
      </vt:variant>
      <vt:variant>
        <vt:i4>1638448</vt:i4>
      </vt:variant>
      <vt:variant>
        <vt:i4>5</vt:i4>
      </vt:variant>
      <vt:variant>
        <vt:i4>0</vt:i4>
      </vt:variant>
      <vt:variant>
        <vt:i4>5</vt:i4>
      </vt:variant>
      <vt:variant>
        <vt:lpwstr/>
      </vt:variant>
      <vt:variant>
        <vt:lpwstr>_Toc208229855</vt:lpwstr>
      </vt:variant>
      <vt:variant>
        <vt:i4>786463</vt:i4>
      </vt:variant>
      <vt:variant>
        <vt:i4>9</vt:i4>
      </vt:variant>
      <vt:variant>
        <vt:i4>0</vt:i4>
      </vt:variant>
      <vt:variant>
        <vt:i4>5</vt:i4>
      </vt:variant>
      <vt:variant>
        <vt:lpwstr>https://www.bls.gov/news.release/cpi.t01.htm</vt:lpwstr>
      </vt:variant>
      <vt:variant>
        <vt:lpwstr/>
      </vt:variant>
      <vt:variant>
        <vt:i4>131138</vt:i4>
      </vt:variant>
      <vt:variant>
        <vt:i4>6</vt:i4>
      </vt:variant>
      <vt:variant>
        <vt:i4>0</vt:i4>
      </vt:variant>
      <vt:variant>
        <vt:i4>5</vt:i4>
      </vt:variant>
      <vt:variant>
        <vt:lpwstr>https://docs.cpuc.ca.gov/PublishedDocs/Efile/G000/M542/K247/542247710.PDF</vt:lpwstr>
      </vt:variant>
      <vt:variant>
        <vt:lpwstr/>
      </vt:variant>
      <vt:variant>
        <vt:i4>786499</vt:i4>
      </vt:variant>
      <vt:variant>
        <vt:i4>3</vt:i4>
      </vt:variant>
      <vt:variant>
        <vt:i4>0</vt:i4>
      </vt:variant>
      <vt:variant>
        <vt:i4>5</vt:i4>
      </vt:variant>
      <vt:variant>
        <vt:lpwstr>https://docs.cpuc.ca.gov/PublishedDocs/Efile/G000/M558/K405/558405944.PDF</vt:lpwstr>
      </vt:variant>
      <vt:variant>
        <vt:lpwstr/>
      </vt:variant>
      <vt:variant>
        <vt:i4>524362</vt:i4>
      </vt:variant>
      <vt:variant>
        <vt:i4>0</vt:i4>
      </vt:variant>
      <vt:variant>
        <vt:i4>0</vt:i4>
      </vt:variant>
      <vt:variant>
        <vt:i4>5</vt:i4>
      </vt:variant>
      <vt:variant>
        <vt:lpwstr>https://docs.cpuc.ca.gov/PublishedDocs/Efile/G000/M547/K538/547538411.PDF</vt:lpwstr>
      </vt:variant>
      <vt:variant>
        <vt:lpwstr/>
      </vt:variant>
      <vt:variant>
        <vt:i4>6488139</vt:i4>
      </vt:variant>
      <vt:variant>
        <vt:i4>15</vt:i4>
      </vt:variant>
      <vt:variant>
        <vt:i4>0</vt:i4>
      </vt:variant>
      <vt:variant>
        <vt:i4>5</vt:i4>
      </vt:variant>
      <vt:variant>
        <vt:lpwstr>mailto:Andrew.Dugowson@cpuc.ca.gov</vt:lpwstr>
      </vt:variant>
      <vt:variant>
        <vt:lpwstr/>
      </vt:variant>
      <vt:variant>
        <vt:i4>3145731</vt:i4>
      </vt:variant>
      <vt:variant>
        <vt:i4>12</vt:i4>
      </vt:variant>
      <vt:variant>
        <vt:i4>0</vt:i4>
      </vt:variant>
      <vt:variant>
        <vt:i4>5</vt:i4>
      </vt:variant>
      <vt:variant>
        <vt:lpwstr>mailto:Khalil.Johnson@cpuc.ca.gov</vt:lpwstr>
      </vt:variant>
      <vt:variant>
        <vt:lpwstr/>
      </vt:variant>
      <vt:variant>
        <vt:i4>3145731</vt:i4>
      </vt:variant>
      <vt:variant>
        <vt:i4>9</vt:i4>
      </vt:variant>
      <vt:variant>
        <vt:i4>0</vt:i4>
      </vt:variant>
      <vt:variant>
        <vt:i4>5</vt:i4>
      </vt:variant>
      <vt:variant>
        <vt:lpwstr>mailto:Khalil.Johnson@cpuc.ca.gov</vt:lpwstr>
      </vt:variant>
      <vt:variant>
        <vt:lpwstr/>
      </vt:variant>
      <vt:variant>
        <vt:i4>6619213</vt:i4>
      </vt:variant>
      <vt:variant>
        <vt:i4>6</vt:i4>
      </vt:variant>
      <vt:variant>
        <vt:i4>0</vt:i4>
      </vt:variant>
      <vt:variant>
        <vt:i4>5</vt:i4>
      </vt:variant>
      <vt:variant>
        <vt:lpwstr>mailto:Jonathan.Reiger@cpuc.ca.gov</vt:lpwstr>
      </vt:variant>
      <vt:variant>
        <vt:lpwstr/>
      </vt:variant>
      <vt:variant>
        <vt:i4>2293779</vt:i4>
      </vt:variant>
      <vt:variant>
        <vt:i4>3</vt:i4>
      </vt:variant>
      <vt:variant>
        <vt:i4>0</vt:i4>
      </vt:variant>
      <vt:variant>
        <vt:i4>5</vt:i4>
      </vt:variant>
      <vt:variant>
        <vt:lpwstr>mailto:Justin.Ong@cpuc.ca.gov</vt:lpwstr>
      </vt:variant>
      <vt:variant>
        <vt:lpwstr/>
      </vt:variant>
      <vt:variant>
        <vt:i4>3145731</vt:i4>
      </vt:variant>
      <vt:variant>
        <vt:i4>0</vt:i4>
      </vt:variant>
      <vt:variant>
        <vt:i4>0</vt:i4>
      </vt:variant>
      <vt:variant>
        <vt:i4>5</vt:i4>
      </vt:variant>
      <vt:variant>
        <vt:lpwstr>mailto:Khalil.Johnson@cpuc.ca.gov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2019-07-04T14:18:00Z</cp:lastPrinted>
  <dcterms:created xsi:type="dcterms:W3CDTF">2025-10-28T10:23:50Z</dcterms:created>
  <dcterms:modified xsi:type="dcterms:W3CDTF">2025-10-28T10:23:50Z</dcterms:modified>
</cp:coreProperties>
</file>