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02705" w:rsidR="00A76F4A" w:rsidP="001C7001" w:rsidRDefault="00A76F4A" w14:paraId="1038F1A9" w14:textId="672E37F2">
      <w:pPr>
        <w:spacing w:after="0" w:line="240" w:lineRule="auto"/>
        <w:jc w:val="center"/>
        <w:rPr>
          <w:rFonts w:ascii="Helvetica" w:hAnsi="Helvetica" w:eastAsia="Times New Roman" w:cs="Times New Roman"/>
          <w:b/>
          <w:bCs/>
          <w:spacing w:val="20"/>
          <w:kern w:val="0"/>
          <w:sz w:val="26"/>
          <w:szCs w:val="20"/>
          <w14:ligatures w14:val="none"/>
        </w:rPr>
      </w:pPr>
      <w:r w:rsidRPr="00802705">
        <w:rPr>
          <w:rFonts w:ascii="Helvetica" w:hAnsi="Helvetica" w:eastAsia="Times New Roman" w:cs="Times New Roman"/>
          <w:b/>
          <w:bCs/>
          <w:spacing w:val="20"/>
          <w:kern w:val="0"/>
          <w:sz w:val="26"/>
          <w:szCs w:val="20"/>
          <w14:ligatures w14:val="none"/>
        </w:rPr>
        <w:t>PUBLIC UTILITIES COMMISSION OF THE STATE OF CALIFORNIA</w:t>
      </w:r>
    </w:p>
    <w:p w:rsidRPr="001942D0" w:rsidR="00A76F4A" w:rsidP="001C7001" w:rsidRDefault="00A76F4A" w14:paraId="739BA5B3" w14:textId="77777777">
      <w:pPr>
        <w:suppressAutoHyphens/>
        <w:spacing w:after="0" w:line="240" w:lineRule="auto"/>
        <w:rPr>
          <w:rFonts w:ascii="Palatino" w:hAnsi="Palatino" w:eastAsia="Times New Roman" w:cs="Times New Roman"/>
          <w:kern w:val="0"/>
          <w:sz w:val="26"/>
          <w:szCs w:val="20"/>
          <w14:ligatures w14:val="none"/>
        </w:rPr>
      </w:pPr>
    </w:p>
    <w:p w:rsidRPr="0051493D" w:rsidR="00A76F4A" w:rsidP="000568C4" w:rsidRDefault="00204B1B" w14:paraId="097CE738" w14:textId="702EF8C4">
      <w:pPr>
        <w:tabs>
          <w:tab w:val="right" w:pos="8820"/>
        </w:tabs>
        <w:spacing w:after="0" w:line="240" w:lineRule="auto"/>
        <w:ind w:left="270"/>
        <w:rPr>
          <w:rFonts w:ascii="Palatino Linotype" w:hAnsi="Palatino Linotype" w:eastAsia="Palatino Linotype" w:cs="Times New Roman"/>
          <w:b/>
          <w:kern w:val="0"/>
          <w:highlight w:val="yellow"/>
          <w14:ligatures w14:val="none"/>
        </w:rPr>
      </w:pPr>
      <w:r w:rsidRPr="00204B1B">
        <w:rPr>
          <w:rFonts w:ascii="Palatino Linotype" w:hAnsi="Palatino Linotype" w:eastAsia="Palatino Linotype" w:cs="Times New Roman"/>
          <w:b/>
          <w:kern w:val="0"/>
          <w14:ligatures w14:val="none"/>
        </w:rPr>
        <w:t>ENERGY DIVISION</w:t>
      </w:r>
      <w:r w:rsidRPr="00204B1B" w:rsidR="00A76F4A">
        <w:rPr>
          <w:rFonts w:ascii="Palatino Linotype" w:hAnsi="Palatino Linotype" w:eastAsia="Times New Roman" w:cs="Times New Roman"/>
          <w:b/>
          <w:kern w:val="0"/>
          <w14:ligatures w14:val="none"/>
        </w:rPr>
        <w:tab/>
      </w:r>
      <w:r w:rsidRPr="00683001" w:rsidR="00A76F4A">
        <w:rPr>
          <w:rFonts w:ascii="Palatino Linotype" w:hAnsi="Palatino Linotype" w:eastAsia="Palatino Linotype" w:cs="Times New Roman"/>
          <w:b/>
          <w:kern w:val="0"/>
          <w14:ligatures w14:val="none"/>
        </w:rPr>
        <w:t xml:space="preserve">       </w:t>
      </w:r>
      <w:r w:rsidRPr="00683001" w:rsidR="00A76F4A">
        <w:rPr>
          <w:rFonts w:ascii="Palatino Linotype" w:hAnsi="Palatino Linotype" w:eastAsia="Palatino Linotype" w:cs="Times New Roman"/>
          <w:b/>
        </w:rPr>
        <w:t xml:space="preserve">RESOLUTION </w:t>
      </w:r>
      <w:r w:rsidRPr="00683001" w:rsidR="003F0525">
        <w:rPr>
          <w:rFonts w:ascii="Palatino Linotype" w:hAnsi="Palatino Linotype" w:eastAsia="Palatino Linotype" w:cs="Times New Roman"/>
          <w:b/>
        </w:rPr>
        <w:t>E-54</w:t>
      </w:r>
      <w:r w:rsidR="00006CBA">
        <w:rPr>
          <w:rFonts w:ascii="Palatino Linotype" w:hAnsi="Palatino Linotype" w:eastAsia="Palatino Linotype" w:cs="Times New Roman"/>
          <w:b/>
        </w:rPr>
        <w:t>20</w:t>
      </w:r>
    </w:p>
    <w:p w:rsidRPr="001942D0" w:rsidR="00A76F4A" w:rsidP="001C7001" w:rsidRDefault="003F0525" w14:paraId="17BEFA95" w14:textId="3418DFB3">
      <w:pPr>
        <w:tabs>
          <w:tab w:val="right" w:pos="8820"/>
        </w:tabs>
        <w:spacing w:after="0" w:line="240" w:lineRule="auto"/>
        <w:ind w:left="5040"/>
        <w:rPr>
          <w:rFonts w:ascii="Palatino Linotype" w:hAnsi="Palatino Linotype" w:eastAsia="Times New Roman" w:cs="Times New Roman"/>
          <w:b/>
          <w:kern w:val="0"/>
          <w14:ligatures w14:val="none"/>
        </w:rPr>
      </w:pPr>
      <w:r>
        <w:rPr>
          <w:rFonts w:ascii="Palatino Linotype" w:hAnsi="Palatino Linotype" w:eastAsia="Times New Roman" w:cs="Times New Roman"/>
          <w:b/>
          <w:kern w:val="0"/>
          <w14:ligatures w14:val="none"/>
        </w:rPr>
        <w:tab/>
      </w:r>
      <w:r w:rsidR="00AB228F">
        <w:rPr>
          <w:rFonts w:ascii="Palatino Linotype" w:hAnsi="Palatino Linotype" w:eastAsia="Times New Roman" w:cs="Times New Roman"/>
          <w:b/>
          <w:kern w:val="0"/>
          <w14:ligatures w14:val="none"/>
        </w:rPr>
        <w:t xml:space="preserve">October </w:t>
      </w:r>
      <w:r w:rsidR="007D1A04">
        <w:rPr>
          <w:rFonts w:ascii="Palatino Linotype" w:hAnsi="Palatino Linotype" w:eastAsia="Times New Roman" w:cs="Times New Roman"/>
          <w:b/>
          <w:kern w:val="0"/>
          <w14:ligatures w14:val="none"/>
        </w:rPr>
        <w:t>30</w:t>
      </w:r>
      <w:r>
        <w:rPr>
          <w:rFonts w:ascii="Palatino Linotype" w:hAnsi="Palatino Linotype" w:eastAsia="Times New Roman" w:cs="Times New Roman"/>
          <w:b/>
          <w:kern w:val="0"/>
          <w14:ligatures w14:val="none"/>
        </w:rPr>
        <w:t>, 2025</w:t>
      </w:r>
    </w:p>
    <w:p w:rsidRPr="001942D0" w:rsidR="00A76F4A" w:rsidP="001C7001" w:rsidRDefault="00A76F4A" w14:paraId="524F4DC8" w14:textId="77777777">
      <w:pPr>
        <w:tabs>
          <w:tab w:val="right" w:pos="8910"/>
        </w:tabs>
        <w:spacing w:after="0" w:line="240" w:lineRule="auto"/>
        <w:ind w:left="1440" w:firstLine="720"/>
        <w:rPr>
          <w:rFonts w:ascii="Palatino" w:hAnsi="Palatino" w:eastAsia="Times New Roman" w:cs="Times New Roman"/>
          <w:b/>
          <w:kern w:val="0"/>
          <w:szCs w:val="20"/>
          <w14:ligatures w14:val="none"/>
        </w:rPr>
      </w:pPr>
    </w:p>
    <w:p w:rsidRPr="001942D0" w:rsidR="00A76F4A" w:rsidP="001C7001" w:rsidRDefault="00A76F4A" w14:paraId="4767E366" w14:textId="77777777">
      <w:pPr>
        <w:keepNext/>
        <w:spacing w:after="0" w:line="240" w:lineRule="auto"/>
        <w:jc w:val="center"/>
        <w:rPr>
          <w:rFonts w:ascii="Helvetica" w:hAnsi="Helvetica" w:eastAsia="Times New Roman" w:cs="Times New Roman"/>
          <w:b/>
          <w:spacing w:val="120"/>
          <w:kern w:val="0"/>
          <w:sz w:val="26"/>
          <w:szCs w:val="20"/>
          <w:u w:val="single"/>
          <w14:ligatures w14:val="none"/>
        </w:rPr>
      </w:pPr>
      <w:bookmarkStart w:name="_Ref404993683" w:id="0"/>
      <w:r w:rsidRPr="001942D0">
        <w:rPr>
          <w:rFonts w:ascii="Helvetica" w:hAnsi="Helvetica" w:eastAsia="Times New Roman" w:cs="Times New Roman"/>
          <w:b/>
          <w:spacing w:val="120"/>
          <w:kern w:val="0"/>
          <w:sz w:val="26"/>
          <w:szCs w:val="20"/>
          <w:u w:val="single"/>
          <w14:ligatures w14:val="none"/>
        </w:rPr>
        <w:t>RESOLUTION</w:t>
      </w:r>
    </w:p>
    <w:p w:rsidRPr="001942D0" w:rsidR="00A76F4A" w:rsidP="001C7001" w:rsidRDefault="00A76F4A" w14:paraId="778B8F8D" w14:textId="77777777">
      <w:pPr>
        <w:spacing w:after="0" w:line="240" w:lineRule="auto"/>
        <w:rPr>
          <w:rFonts w:ascii="Palatino" w:hAnsi="Palatino" w:eastAsia="Palatino Linotype" w:cs="Times New Roman"/>
          <w:kern w:val="0"/>
          <w:sz w:val="26"/>
          <w:szCs w:val="20"/>
          <w14:ligatures w14:val="none"/>
        </w:rPr>
      </w:pPr>
    </w:p>
    <w:p w:rsidR="00B40758" w:rsidP="001C7001" w:rsidRDefault="00A76F4A" w14:paraId="28FEE4A8" w14:textId="490DB29E">
      <w:pPr>
        <w:spacing w:after="0" w:line="240" w:lineRule="auto"/>
        <w:ind w:left="720" w:right="720"/>
        <w:rPr>
          <w:rFonts w:ascii="Palatino Linotype" w:hAnsi="Palatino Linotype" w:eastAsia="Times New Roman" w:cs="Times New Roman"/>
          <w:kern w:val="0"/>
          <w14:ligatures w14:val="none"/>
        </w:rPr>
      </w:pPr>
      <w:r w:rsidRPr="001942D0">
        <w:rPr>
          <w:rFonts w:ascii="Palatino Linotype" w:hAnsi="Palatino Linotype" w:eastAsia="Times New Roman" w:cs="Times New Roman"/>
          <w:kern w:val="0"/>
          <w14:ligatures w14:val="none"/>
        </w:rPr>
        <w:t xml:space="preserve">Resolution </w:t>
      </w:r>
      <w:r w:rsidR="003F0525">
        <w:rPr>
          <w:rFonts w:ascii="Palatino Linotype" w:hAnsi="Palatino Linotype" w:eastAsia="Times New Roman" w:cs="Times New Roman"/>
          <w:kern w:val="0"/>
          <w14:ligatures w14:val="none"/>
        </w:rPr>
        <w:t>E-</w:t>
      </w:r>
      <w:r w:rsidR="00D03441">
        <w:rPr>
          <w:rFonts w:ascii="Palatino Linotype" w:hAnsi="Palatino Linotype" w:eastAsia="Times New Roman" w:cs="Times New Roman"/>
          <w:kern w:val="0"/>
          <w14:ligatures w14:val="none"/>
        </w:rPr>
        <w:t>5420</w:t>
      </w:r>
      <w:r w:rsidR="00AA3B54">
        <w:rPr>
          <w:rFonts w:ascii="Palatino Linotype" w:hAnsi="Palatino Linotype" w:eastAsia="Times New Roman" w:cs="Times New Roman"/>
          <w:kern w:val="0"/>
          <w14:ligatures w14:val="none"/>
        </w:rPr>
        <w:t xml:space="preserve">. </w:t>
      </w:r>
      <w:r w:rsidR="00B40758">
        <w:rPr>
          <w:rFonts w:ascii="Palatino Linotype" w:hAnsi="Palatino Linotype" w:eastAsia="Times New Roman" w:cs="Times New Roman"/>
          <w:kern w:val="0"/>
          <w14:ligatures w14:val="none"/>
        </w:rPr>
        <w:t>Pacific Gas and Electric</w:t>
      </w:r>
      <w:r>
        <w:rPr>
          <w:rFonts w:ascii="Palatino Linotype" w:hAnsi="Palatino Linotype" w:eastAsia="Times New Roman" w:cs="Times New Roman"/>
          <w:kern w:val="0"/>
          <w14:ligatures w14:val="none"/>
        </w:rPr>
        <w:t>.</w:t>
      </w:r>
      <w:r w:rsidRPr="001942D0">
        <w:rPr>
          <w:rFonts w:ascii="Palatino Linotype" w:hAnsi="Palatino Linotype" w:eastAsia="Times New Roman" w:cs="Times New Roman"/>
          <w:kern w:val="0"/>
          <w14:ligatures w14:val="none"/>
        </w:rPr>
        <w:t xml:space="preserve"> </w:t>
      </w:r>
      <w:r w:rsidR="001F6674">
        <w:rPr>
          <w:rFonts w:ascii="Palatino Linotype" w:hAnsi="Palatino Linotype" w:eastAsia="Times New Roman" w:cs="Times New Roman"/>
          <w:kern w:val="0"/>
          <w14:ligatures w14:val="none"/>
        </w:rPr>
        <w:t>Electric Rule 2, 15, and 16 Exceptional Case Submittal for Electric Transmission Service Facilities for STACK</w:t>
      </w:r>
      <w:r w:rsidR="008B3AC3">
        <w:rPr>
          <w:rFonts w:ascii="Palatino Linotype" w:hAnsi="Palatino Linotype" w:eastAsia="Times New Roman" w:cs="Times New Roman"/>
          <w:kern w:val="0"/>
          <w14:ligatures w14:val="none"/>
        </w:rPr>
        <w:t xml:space="preserve"> Infrastructure</w:t>
      </w:r>
      <w:r w:rsidR="0004656B">
        <w:rPr>
          <w:rFonts w:ascii="Palatino Linotype" w:hAnsi="Palatino Linotype" w:eastAsia="Times New Roman" w:cs="Times New Roman"/>
          <w:kern w:val="0"/>
          <w14:ligatures w14:val="none"/>
        </w:rPr>
        <w:t>.</w:t>
      </w:r>
    </w:p>
    <w:p w:rsidRPr="001942D0" w:rsidR="00A76F4A" w:rsidP="001C7001" w:rsidRDefault="00A76F4A" w14:paraId="0054523B" w14:textId="77777777">
      <w:pPr>
        <w:spacing w:after="0" w:line="240" w:lineRule="auto"/>
        <w:ind w:left="720" w:right="720"/>
        <w:rPr>
          <w:rFonts w:ascii="Palatino Linotype" w:hAnsi="Palatino Linotype" w:eastAsia="Palatino Linotype" w:cs="Times New Roman"/>
          <w:kern w:val="0"/>
          <w14:ligatures w14:val="none"/>
        </w:rPr>
      </w:pPr>
    </w:p>
    <w:p w:rsidR="005E4856" w:rsidP="001C7001" w:rsidRDefault="00A76F4A" w14:paraId="4BF33247" w14:textId="77777777">
      <w:pPr>
        <w:spacing w:after="0" w:line="240" w:lineRule="auto"/>
        <w:ind w:left="720" w:right="720"/>
        <w:rPr>
          <w:rFonts w:ascii="Palatino Linotype" w:hAnsi="Palatino Linotype" w:eastAsia="Palatino Linotype" w:cs="Times New Roman"/>
          <w:kern w:val="0"/>
          <w14:ligatures w14:val="none"/>
        </w:rPr>
      </w:pPr>
      <w:r w:rsidRPr="001942D0">
        <w:rPr>
          <w:rFonts w:ascii="Palatino Linotype" w:hAnsi="Palatino Linotype" w:eastAsia="Palatino Linotype" w:cs="Times New Roman"/>
          <w:kern w:val="0"/>
          <w14:ligatures w14:val="none"/>
        </w:rPr>
        <w:t>PRO</w:t>
      </w:r>
      <w:r w:rsidRPr="00395335">
        <w:rPr>
          <w:rFonts w:ascii="Palatino Linotype" w:hAnsi="Palatino Linotype" w:eastAsia="Palatino Linotype" w:cs="Times New Roman"/>
          <w:kern w:val="0"/>
          <w14:ligatures w14:val="none"/>
        </w:rPr>
        <w:t>POSED OUTCOME:</w:t>
      </w:r>
    </w:p>
    <w:p w:rsidRPr="005E4856" w:rsidR="006F5DAD" w:rsidP="001C7001" w:rsidRDefault="00BF6777" w14:paraId="133320E3" w14:textId="7CB11C04">
      <w:pPr>
        <w:pStyle w:val="ListParagraph"/>
        <w:numPr>
          <w:ilvl w:val="0"/>
          <w:numId w:val="4"/>
        </w:numPr>
        <w:spacing w:after="0" w:line="240" w:lineRule="auto"/>
        <w:ind w:right="720"/>
        <w:rPr>
          <w:rFonts w:ascii="Palatino Linotype" w:hAnsi="Palatino Linotype" w:eastAsia="Palatino Linotype" w:cs="Times New Roman"/>
          <w:kern w:val="0"/>
          <w14:ligatures w14:val="none"/>
        </w:rPr>
      </w:pPr>
      <w:r>
        <w:rPr>
          <w:rFonts w:ascii="Palatino Linotype" w:hAnsi="Palatino Linotype" w:eastAsia="Times New Roman" w:cs="Times New Roman"/>
          <w:kern w:val="0"/>
          <w14:ligatures w14:val="none"/>
        </w:rPr>
        <w:t>Approves</w:t>
      </w:r>
      <w:r w:rsidR="007D1443">
        <w:rPr>
          <w:rFonts w:ascii="Palatino Linotype" w:hAnsi="Palatino Linotype" w:eastAsia="Times New Roman" w:cs="Times New Roman"/>
          <w:kern w:val="0"/>
          <w14:ligatures w14:val="none"/>
        </w:rPr>
        <w:t xml:space="preserve"> with modification</w:t>
      </w:r>
      <w:r>
        <w:rPr>
          <w:rFonts w:ascii="Palatino Linotype" w:hAnsi="Palatino Linotype" w:eastAsia="Times New Roman" w:cs="Times New Roman"/>
          <w:kern w:val="0"/>
          <w14:ligatures w14:val="none"/>
        </w:rPr>
        <w:t xml:space="preserve"> </w:t>
      </w:r>
      <w:r w:rsidR="008B3AC3">
        <w:rPr>
          <w:rFonts w:ascii="Palatino Linotype" w:hAnsi="Palatino Linotype" w:eastAsia="Times New Roman" w:cs="Times New Roman"/>
          <w:kern w:val="0"/>
          <w14:ligatures w14:val="none"/>
        </w:rPr>
        <w:t xml:space="preserve">two </w:t>
      </w:r>
      <w:r>
        <w:rPr>
          <w:rFonts w:ascii="Palatino Linotype" w:hAnsi="Palatino Linotype" w:eastAsia="Times New Roman" w:cs="Times New Roman"/>
          <w:kern w:val="0"/>
          <w14:ligatures w14:val="none"/>
        </w:rPr>
        <w:t xml:space="preserve">agreements to facilitate the </w:t>
      </w:r>
      <w:r w:rsidR="007D1443">
        <w:rPr>
          <w:rFonts w:ascii="Palatino Linotype" w:hAnsi="Palatino Linotype" w:eastAsia="Times New Roman" w:cs="Times New Roman"/>
          <w:kern w:val="0"/>
          <w14:ligatures w14:val="none"/>
        </w:rPr>
        <w:t xml:space="preserve">energization of a new 90 </w:t>
      </w:r>
      <w:r w:rsidR="00D67895">
        <w:rPr>
          <w:rFonts w:ascii="Palatino Linotype" w:hAnsi="Palatino Linotype" w:eastAsia="Times New Roman" w:cs="Times New Roman"/>
          <w:kern w:val="0"/>
          <w14:ligatures w14:val="none"/>
        </w:rPr>
        <w:t>megawatt</w:t>
      </w:r>
      <w:r w:rsidR="0037310F">
        <w:rPr>
          <w:rFonts w:ascii="Palatino Linotype" w:hAnsi="Palatino Linotype" w:eastAsia="Times New Roman" w:cs="Times New Roman"/>
          <w:kern w:val="0"/>
          <w14:ligatures w14:val="none"/>
        </w:rPr>
        <w:t xml:space="preserve"> </w:t>
      </w:r>
      <w:r w:rsidR="007D1443">
        <w:rPr>
          <w:rFonts w:ascii="Palatino Linotype" w:hAnsi="Palatino Linotype" w:eastAsia="Times New Roman" w:cs="Times New Roman"/>
          <w:kern w:val="0"/>
          <w14:ligatures w14:val="none"/>
        </w:rPr>
        <w:t xml:space="preserve">data center </w:t>
      </w:r>
      <w:r w:rsidR="00D03441">
        <w:rPr>
          <w:rFonts w:ascii="Palatino Linotype" w:hAnsi="Palatino Linotype" w:eastAsia="Times New Roman" w:cs="Times New Roman"/>
          <w:kern w:val="0"/>
          <w14:ligatures w14:val="none"/>
        </w:rPr>
        <w:t xml:space="preserve">for </w:t>
      </w:r>
      <w:r w:rsidR="007D1443">
        <w:rPr>
          <w:rFonts w:ascii="Palatino Linotype" w:hAnsi="Palatino Linotype" w:eastAsia="Times New Roman" w:cs="Times New Roman"/>
          <w:kern w:val="0"/>
          <w14:ligatures w14:val="none"/>
        </w:rPr>
        <w:t>customer STACK Infrastructure</w:t>
      </w:r>
      <w:r w:rsidRPr="005E4856" w:rsidR="00395335">
        <w:rPr>
          <w:rFonts w:ascii="Palatino Linotype" w:hAnsi="Palatino Linotype" w:eastAsia="Times New Roman" w:cs="Times New Roman"/>
          <w:kern w:val="0"/>
          <w14:ligatures w14:val="none"/>
        </w:rPr>
        <w:t>.</w:t>
      </w:r>
    </w:p>
    <w:p w:rsidRPr="005E4856" w:rsidR="005E4856" w:rsidP="001C7001" w:rsidRDefault="004F1B07" w14:paraId="18CE6661" w14:textId="18A7DD50">
      <w:pPr>
        <w:pStyle w:val="ListParagraph"/>
        <w:numPr>
          <w:ilvl w:val="0"/>
          <w:numId w:val="4"/>
        </w:numPr>
        <w:spacing w:after="0" w:line="240" w:lineRule="auto"/>
        <w:ind w:right="720"/>
        <w:rPr>
          <w:rFonts w:ascii="Palatino Linotype" w:hAnsi="Palatino Linotype" w:eastAsia="Palatino Linotype" w:cs="Times New Roman"/>
          <w:kern w:val="0"/>
          <w14:ligatures w14:val="none"/>
        </w:rPr>
      </w:pPr>
      <w:r>
        <w:rPr>
          <w:rFonts w:ascii="Palatino Linotype" w:hAnsi="Palatino Linotype" w:eastAsia="Times New Roman" w:cs="Times New Roman"/>
          <w:kern w:val="0"/>
          <w14:ligatures w14:val="none"/>
        </w:rPr>
        <w:t>Modifies the refund process for energization-related costs</w:t>
      </w:r>
      <w:r w:rsidR="00711259">
        <w:rPr>
          <w:rFonts w:ascii="Palatino Linotype" w:hAnsi="Palatino Linotype" w:eastAsia="Times New Roman" w:cs="Times New Roman"/>
          <w:kern w:val="0"/>
          <w14:ligatures w14:val="none"/>
        </w:rPr>
        <w:t xml:space="preserve"> in this case</w:t>
      </w:r>
      <w:r>
        <w:rPr>
          <w:rFonts w:ascii="Palatino Linotype" w:hAnsi="Palatino Linotype" w:eastAsia="Times New Roman" w:cs="Times New Roman"/>
          <w:kern w:val="0"/>
          <w14:ligatures w14:val="none"/>
        </w:rPr>
        <w:t xml:space="preserve">, limiting refunds to 75 percent of </w:t>
      </w:r>
      <w:r w:rsidR="00711259">
        <w:rPr>
          <w:rFonts w:ascii="Palatino Linotype" w:hAnsi="Palatino Linotype" w:eastAsia="Times New Roman" w:cs="Times New Roman"/>
          <w:kern w:val="0"/>
          <w14:ligatures w14:val="none"/>
        </w:rPr>
        <w:t>net revenues from the customer.</w:t>
      </w:r>
    </w:p>
    <w:p w:rsidRPr="001942D0" w:rsidR="00A76F4A" w:rsidP="001C7001" w:rsidRDefault="00A76F4A" w14:paraId="711BBA7A" w14:textId="77777777">
      <w:pPr>
        <w:spacing w:after="0" w:line="240" w:lineRule="auto"/>
        <w:rPr>
          <w:rFonts w:ascii="Palatino" w:hAnsi="Palatino" w:eastAsia="Palatino Linotype" w:cs="Times New Roman"/>
          <w:kern w:val="0"/>
          <w:sz w:val="26"/>
          <w:szCs w:val="20"/>
          <w14:ligatures w14:val="none"/>
        </w:rPr>
      </w:pPr>
    </w:p>
    <w:p w:rsidRPr="001942D0" w:rsidR="00A76F4A" w:rsidP="001C7001" w:rsidRDefault="00A76F4A" w14:paraId="4FCDC265" w14:textId="77777777">
      <w:pPr>
        <w:spacing w:after="0" w:line="240" w:lineRule="auto"/>
        <w:ind w:left="720" w:right="720"/>
        <w:rPr>
          <w:rFonts w:ascii="Palatino Linotype" w:hAnsi="Palatino Linotype" w:eastAsia="Palatino Linotype" w:cs="Times New Roman"/>
          <w:kern w:val="0"/>
          <w14:ligatures w14:val="none"/>
        </w:rPr>
      </w:pPr>
      <w:r w:rsidRPr="001942D0">
        <w:rPr>
          <w:rFonts w:ascii="Palatino Linotype" w:hAnsi="Palatino Linotype" w:eastAsia="Palatino Linotype" w:cs="Times New Roman"/>
          <w:kern w:val="0"/>
          <w14:ligatures w14:val="none"/>
        </w:rPr>
        <w:t>SAFETY CONSIDERATIONS:</w:t>
      </w:r>
    </w:p>
    <w:p w:rsidRPr="003263A4" w:rsidR="00A76F4A" w:rsidP="001C7001" w:rsidRDefault="00B21C8E" w14:paraId="64A6B8D1" w14:textId="00718B62">
      <w:pPr>
        <w:numPr>
          <w:ilvl w:val="0"/>
          <w:numId w:val="3"/>
        </w:numPr>
        <w:spacing w:after="0" w:line="240" w:lineRule="auto"/>
        <w:ind w:right="720"/>
        <w:rPr>
          <w:rFonts w:ascii="Palatino Linotype" w:hAnsi="Palatino Linotype" w:eastAsia="Palatino Linotype" w:cs="Times New Roman"/>
          <w:kern w:val="0"/>
          <w14:ligatures w14:val="none"/>
        </w:rPr>
      </w:pPr>
      <w:r w:rsidRPr="00B21C8E">
        <w:rPr>
          <w:rFonts w:ascii="Palatino Linotype" w:hAnsi="Palatino Linotype" w:eastAsia="Times New Roman" w:cs="Times New Roman"/>
          <w:kern w:val="0"/>
          <w14:ligatures w14:val="none"/>
        </w:rPr>
        <w:t>There are no safety considerations associated with this resolution.</w:t>
      </w:r>
    </w:p>
    <w:p w:rsidRPr="001942D0" w:rsidR="003263A4" w:rsidP="001C7001" w:rsidRDefault="003263A4" w14:paraId="08D3A347" w14:textId="77777777">
      <w:pPr>
        <w:spacing w:after="0" w:line="240" w:lineRule="auto"/>
        <w:ind w:right="720"/>
        <w:rPr>
          <w:rFonts w:ascii="Palatino Linotype" w:hAnsi="Palatino Linotype" w:eastAsia="Palatino Linotype" w:cs="Times New Roman"/>
          <w:kern w:val="0"/>
          <w14:ligatures w14:val="none"/>
        </w:rPr>
      </w:pPr>
    </w:p>
    <w:p w:rsidRPr="001942D0" w:rsidR="00A76F4A" w:rsidP="001C7001" w:rsidRDefault="00A76F4A" w14:paraId="6B0D0B8E" w14:textId="77777777">
      <w:pPr>
        <w:spacing w:after="0" w:line="240" w:lineRule="auto"/>
        <w:ind w:left="720" w:right="720"/>
        <w:rPr>
          <w:rFonts w:ascii="Palatino Linotype" w:hAnsi="Palatino Linotype" w:eastAsia="Palatino Linotype" w:cs="Times New Roman"/>
          <w:kern w:val="0"/>
          <w14:ligatures w14:val="none"/>
        </w:rPr>
      </w:pPr>
      <w:r w:rsidRPr="001942D0">
        <w:rPr>
          <w:rFonts w:ascii="Palatino Linotype" w:hAnsi="Palatino Linotype" w:eastAsia="Palatino Linotype" w:cs="Times New Roman"/>
          <w:kern w:val="0"/>
          <w14:ligatures w14:val="none"/>
        </w:rPr>
        <w:t xml:space="preserve">ESTIMATED COST:  </w:t>
      </w:r>
    </w:p>
    <w:p w:rsidRPr="00BD5B79" w:rsidR="00A76F4A" w:rsidP="001C7001" w:rsidRDefault="00C46D49" w14:paraId="0ADF6FD2" w14:textId="3E7E7FEC">
      <w:pPr>
        <w:numPr>
          <w:ilvl w:val="0"/>
          <w:numId w:val="3"/>
        </w:numPr>
        <w:spacing w:after="0" w:line="240" w:lineRule="auto"/>
        <w:ind w:right="720"/>
        <w:rPr>
          <w:rFonts w:ascii="Palatino Linotype" w:hAnsi="Palatino Linotype" w:eastAsia="Times New Roman" w:cs="Times New Roman"/>
          <w:kern w:val="0"/>
          <w14:ligatures w14:val="none"/>
        </w:rPr>
      </w:pPr>
      <w:r w:rsidRPr="00BD5B79">
        <w:rPr>
          <w:rFonts w:ascii="Palatino Linotype" w:hAnsi="Palatino Linotype" w:eastAsia="Times New Roman" w:cs="Times New Roman"/>
          <w:kern w:val="0"/>
          <w14:ligatures w14:val="none"/>
        </w:rPr>
        <w:t xml:space="preserve">This Resolution </w:t>
      </w:r>
      <w:r w:rsidR="00140E20">
        <w:rPr>
          <w:rFonts w:ascii="Palatino Linotype" w:hAnsi="Palatino Linotype" w:eastAsia="Times New Roman" w:cs="Times New Roman"/>
          <w:kern w:val="0"/>
          <w14:ligatures w14:val="none"/>
        </w:rPr>
        <w:t xml:space="preserve">facilitates the energization of a new customer </w:t>
      </w:r>
      <w:r w:rsidR="00F227A4">
        <w:rPr>
          <w:rFonts w:ascii="Palatino Linotype" w:hAnsi="Palatino Linotype" w:eastAsia="Times New Roman" w:cs="Times New Roman"/>
          <w:kern w:val="0"/>
          <w14:ligatures w14:val="none"/>
        </w:rPr>
        <w:t xml:space="preserve">including both the associated costs of energization and the expected </w:t>
      </w:r>
      <w:r w:rsidR="00E23084">
        <w:rPr>
          <w:rFonts w:ascii="Palatino Linotype" w:hAnsi="Palatino Linotype" w:eastAsia="Times New Roman" w:cs="Times New Roman"/>
          <w:kern w:val="0"/>
          <w14:ligatures w14:val="none"/>
        </w:rPr>
        <w:t xml:space="preserve">future </w:t>
      </w:r>
      <w:r w:rsidR="00F227A4">
        <w:rPr>
          <w:rFonts w:ascii="Palatino Linotype" w:hAnsi="Palatino Linotype" w:eastAsia="Times New Roman" w:cs="Times New Roman"/>
          <w:kern w:val="0"/>
          <w14:ligatures w14:val="none"/>
        </w:rPr>
        <w:t>revenues from the customer</w:t>
      </w:r>
      <w:r w:rsidR="002F37CB">
        <w:rPr>
          <w:rFonts w:ascii="Palatino Linotype" w:hAnsi="Palatino Linotype" w:eastAsia="Palatino Linotype" w:cs="Palatino Linotype"/>
        </w:rPr>
        <w:t>.</w:t>
      </w:r>
      <w:r w:rsidR="00BE203F">
        <w:rPr>
          <w:rFonts w:ascii="Palatino Linotype" w:hAnsi="Palatino Linotype" w:eastAsia="Palatino Linotype" w:cs="Palatino Linotype"/>
        </w:rPr>
        <w:t xml:space="preserve"> The customer pay</w:t>
      </w:r>
      <w:r w:rsidR="004D373F">
        <w:rPr>
          <w:rFonts w:ascii="Palatino Linotype" w:hAnsi="Palatino Linotype" w:eastAsia="Palatino Linotype" w:cs="Palatino Linotype"/>
        </w:rPr>
        <w:t>s</w:t>
      </w:r>
      <w:r w:rsidR="00BE203F">
        <w:rPr>
          <w:rFonts w:ascii="Palatino Linotype" w:hAnsi="Palatino Linotype" w:eastAsia="Palatino Linotype" w:cs="Palatino Linotype"/>
        </w:rPr>
        <w:t xml:space="preserve"> </w:t>
      </w:r>
      <w:r w:rsidR="00F17591">
        <w:rPr>
          <w:rFonts w:ascii="Palatino Linotype" w:hAnsi="Palatino Linotype" w:eastAsia="Palatino Linotype" w:cs="Palatino Linotype"/>
        </w:rPr>
        <w:t xml:space="preserve">the </w:t>
      </w:r>
      <w:r w:rsidR="00305FF7">
        <w:rPr>
          <w:rFonts w:ascii="Palatino Linotype" w:hAnsi="Palatino Linotype" w:eastAsia="Palatino Linotype" w:cs="Palatino Linotype"/>
        </w:rPr>
        <w:t>upfront</w:t>
      </w:r>
      <w:r w:rsidR="00F17591">
        <w:rPr>
          <w:rFonts w:ascii="Palatino Linotype" w:hAnsi="Palatino Linotype" w:eastAsia="Palatino Linotype" w:cs="Palatino Linotype"/>
        </w:rPr>
        <w:t xml:space="preserve"> costs to connect to the grid, and </w:t>
      </w:r>
      <w:r w:rsidR="00403664">
        <w:rPr>
          <w:rFonts w:ascii="Palatino Linotype" w:hAnsi="Palatino Linotype" w:eastAsia="Palatino Linotype" w:cs="Palatino Linotype"/>
        </w:rPr>
        <w:t>c</w:t>
      </w:r>
      <w:r w:rsidR="00BD3F0B">
        <w:rPr>
          <w:rFonts w:ascii="Palatino Linotype" w:hAnsi="Palatino Linotype" w:eastAsia="Palatino Linotype" w:cs="Palatino Linotype"/>
        </w:rPr>
        <w:t>ould</w:t>
      </w:r>
      <w:r w:rsidR="00403664">
        <w:rPr>
          <w:rFonts w:ascii="Palatino Linotype" w:hAnsi="Palatino Linotype" w:eastAsia="Palatino Linotype" w:cs="Palatino Linotype"/>
        </w:rPr>
        <w:t xml:space="preserve"> then</w:t>
      </w:r>
      <w:r w:rsidR="00BD3F0B">
        <w:rPr>
          <w:rFonts w:ascii="Palatino Linotype" w:hAnsi="Palatino Linotype" w:eastAsia="Palatino Linotype" w:cs="Palatino Linotype"/>
        </w:rPr>
        <w:t xml:space="preserve"> be refunded for these costs after </w:t>
      </w:r>
      <w:r w:rsidR="00305FF7">
        <w:rPr>
          <w:rFonts w:ascii="Palatino Linotype" w:hAnsi="Palatino Linotype" w:eastAsia="Palatino Linotype" w:cs="Palatino Linotype"/>
        </w:rPr>
        <w:t>sufficient revenue is generated</w:t>
      </w:r>
      <w:r w:rsidR="00BD3F0B">
        <w:rPr>
          <w:rFonts w:ascii="Palatino Linotype" w:hAnsi="Palatino Linotype" w:eastAsia="Palatino Linotype" w:cs="Palatino Linotype"/>
        </w:rPr>
        <w:t xml:space="preserve">. </w:t>
      </w:r>
      <w:r w:rsidR="004D373F">
        <w:rPr>
          <w:rFonts w:ascii="Palatino Linotype" w:hAnsi="Palatino Linotype" w:eastAsia="Palatino Linotype" w:cs="Palatino Linotype"/>
        </w:rPr>
        <w:t xml:space="preserve">This resolution limits refunds to </w:t>
      </w:r>
      <w:r w:rsidR="00403664">
        <w:rPr>
          <w:rFonts w:ascii="Palatino Linotype" w:hAnsi="Palatino Linotype" w:eastAsia="Palatino Linotype" w:cs="Palatino Linotype"/>
        </w:rPr>
        <w:t xml:space="preserve">75 percent of </w:t>
      </w:r>
      <w:r w:rsidR="00E23084">
        <w:rPr>
          <w:rFonts w:ascii="Palatino Linotype" w:hAnsi="Palatino Linotype" w:eastAsia="Palatino Linotype" w:cs="Palatino Linotype"/>
        </w:rPr>
        <w:t xml:space="preserve">the </w:t>
      </w:r>
      <w:r w:rsidR="00B458BB">
        <w:rPr>
          <w:rFonts w:ascii="Palatino Linotype" w:hAnsi="Palatino Linotype" w:eastAsia="Palatino Linotype" w:cs="Palatino Linotype"/>
        </w:rPr>
        <w:t xml:space="preserve">annual </w:t>
      </w:r>
      <w:r w:rsidR="00403664">
        <w:rPr>
          <w:rFonts w:ascii="Palatino Linotype" w:hAnsi="Palatino Linotype" w:eastAsia="Palatino Linotype" w:cs="Palatino Linotype"/>
        </w:rPr>
        <w:t>net revenue</w:t>
      </w:r>
      <w:r w:rsidR="00E23084">
        <w:rPr>
          <w:rFonts w:ascii="Palatino Linotype" w:hAnsi="Palatino Linotype" w:eastAsia="Palatino Linotype" w:cs="Palatino Linotype"/>
        </w:rPr>
        <w:t xml:space="preserve"> </w:t>
      </w:r>
      <w:r w:rsidR="00B729EB">
        <w:rPr>
          <w:rFonts w:ascii="Palatino Linotype" w:hAnsi="Palatino Linotype" w:eastAsia="Palatino Linotype" w:cs="Palatino Linotype"/>
        </w:rPr>
        <w:t xml:space="preserve">generated </w:t>
      </w:r>
      <w:r w:rsidR="00B651B6">
        <w:rPr>
          <w:rFonts w:ascii="Palatino Linotype" w:hAnsi="Palatino Linotype" w:eastAsia="Palatino Linotype" w:cs="Palatino Linotype"/>
        </w:rPr>
        <w:t>by the</w:t>
      </w:r>
      <w:r w:rsidR="00E23084">
        <w:rPr>
          <w:rFonts w:ascii="Palatino Linotype" w:hAnsi="Palatino Linotype" w:eastAsia="Palatino Linotype" w:cs="Palatino Linotype"/>
        </w:rPr>
        <w:t xml:space="preserve"> customer, reducing risks for ratepayers.</w:t>
      </w:r>
    </w:p>
    <w:p w:rsidRPr="001942D0" w:rsidR="00A76F4A" w:rsidP="001C7001" w:rsidRDefault="00A76F4A" w14:paraId="38D179E5" w14:textId="77777777">
      <w:pPr>
        <w:spacing w:after="0" w:line="240" w:lineRule="auto"/>
        <w:ind w:left="720" w:right="720"/>
        <w:rPr>
          <w:rFonts w:ascii="Palatino Linotype" w:hAnsi="Palatino Linotype" w:eastAsia="Palatino Linotype" w:cs="Times New Roman"/>
          <w:kern w:val="0"/>
          <w14:ligatures w14:val="none"/>
        </w:rPr>
      </w:pPr>
    </w:p>
    <w:p w:rsidRPr="001942D0" w:rsidR="00A76F4A" w:rsidP="001C7001" w:rsidRDefault="00A76F4A" w14:paraId="573E1F48" w14:textId="11F5AF78">
      <w:pPr>
        <w:spacing w:after="0" w:line="240" w:lineRule="auto"/>
        <w:ind w:left="720" w:right="720"/>
        <w:rPr>
          <w:rFonts w:ascii="Palatino Linotype" w:hAnsi="Palatino Linotype" w:eastAsia="Palatino Linotype" w:cs="Times New Roman"/>
          <w:kern w:val="0"/>
          <w14:ligatures w14:val="none"/>
        </w:rPr>
      </w:pPr>
      <w:r w:rsidRPr="001942D0">
        <w:rPr>
          <w:rFonts w:ascii="Palatino Linotype" w:hAnsi="Palatino Linotype" w:eastAsia="Palatino Linotype" w:cs="Times New Roman"/>
          <w:kern w:val="0"/>
          <w14:ligatures w14:val="none"/>
        </w:rPr>
        <w:t xml:space="preserve">By Advice Letter </w:t>
      </w:r>
      <w:r w:rsidR="0004656B">
        <w:rPr>
          <w:rFonts w:ascii="Palatino Linotype" w:hAnsi="Palatino Linotype" w:eastAsia="Palatino Linotype" w:cs="Times New Roman"/>
          <w:kern w:val="0"/>
          <w14:ligatures w14:val="none"/>
        </w:rPr>
        <w:t>75</w:t>
      </w:r>
      <w:r w:rsidR="001F6674">
        <w:rPr>
          <w:rFonts w:ascii="Palatino Linotype" w:hAnsi="Palatino Linotype" w:eastAsia="Palatino Linotype" w:cs="Times New Roman"/>
          <w:kern w:val="0"/>
          <w14:ligatures w14:val="none"/>
        </w:rPr>
        <w:t>69</w:t>
      </w:r>
      <w:r w:rsidR="0004656B">
        <w:rPr>
          <w:rFonts w:ascii="Palatino Linotype" w:hAnsi="Palatino Linotype" w:eastAsia="Palatino Linotype" w:cs="Times New Roman"/>
          <w:kern w:val="0"/>
          <w14:ligatures w14:val="none"/>
        </w:rPr>
        <w:t>-E</w:t>
      </w:r>
      <w:r w:rsidRPr="001942D0">
        <w:rPr>
          <w:rFonts w:ascii="Palatino Linotype" w:hAnsi="Palatino Linotype" w:eastAsia="Palatino Linotype" w:cs="Times New Roman"/>
          <w:kern w:val="0"/>
          <w14:ligatures w14:val="none"/>
        </w:rPr>
        <w:t xml:space="preserve">, Filed on </w:t>
      </w:r>
      <w:r w:rsidR="0004656B">
        <w:rPr>
          <w:rFonts w:ascii="Palatino Linotype" w:hAnsi="Palatino Linotype" w:eastAsia="Palatino Linotype" w:cs="Times New Roman"/>
          <w:kern w:val="0"/>
          <w14:ligatures w14:val="none"/>
        </w:rPr>
        <w:t>April 1</w:t>
      </w:r>
      <w:r w:rsidR="001F6674">
        <w:rPr>
          <w:rFonts w:ascii="Palatino Linotype" w:hAnsi="Palatino Linotype" w:eastAsia="Palatino Linotype" w:cs="Times New Roman"/>
          <w:kern w:val="0"/>
          <w14:ligatures w14:val="none"/>
        </w:rPr>
        <w:t>8</w:t>
      </w:r>
      <w:r w:rsidR="0004656B">
        <w:rPr>
          <w:rFonts w:ascii="Palatino Linotype" w:hAnsi="Palatino Linotype" w:eastAsia="Palatino Linotype" w:cs="Times New Roman"/>
          <w:kern w:val="0"/>
          <w14:ligatures w14:val="none"/>
        </w:rPr>
        <w:t>, 2025</w:t>
      </w:r>
      <w:r w:rsidRPr="001942D0">
        <w:rPr>
          <w:rFonts w:ascii="Palatino Linotype" w:hAnsi="Palatino Linotype" w:eastAsia="Palatino Linotype" w:cs="Times New Roman"/>
          <w:kern w:val="0"/>
          <w14:ligatures w14:val="none"/>
        </w:rPr>
        <w:t xml:space="preserve">. </w:t>
      </w:r>
    </w:p>
    <w:p w:rsidRPr="001942D0" w:rsidR="00A76F4A" w:rsidP="001C7001" w:rsidRDefault="00A76F4A" w14:paraId="0542E5E0" w14:textId="77777777">
      <w:pPr>
        <w:spacing w:after="0" w:line="240" w:lineRule="auto"/>
        <w:jc w:val="center"/>
        <w:rPr>
          <w:rFonts w:ascii="Palatino Linotype" w:hAnsi="Palatino Linotype" w:eastAsia="Palatino Linotype" w:cs="Times New Roman"/>
          <w:kern w:val="0"/>
          <w14:ligatures w14:val="none"/>
        </w:rPr>
      </w:pPr>
      <w:r w:rsidRPr="001942D0">
        <w:rPr>
          <w:rFonts w:ascii="Palatino Linotype" w:hAnsi="Palatino Linotype" w:eastAsia="Palatino Linotype" w:cs="Times New Roman"/>
          <w:kern w:val="0"/>
          <w14:ligatures w14:val="none"/>
        </w:rPr>
        <w:t>__________________________________________________________</w:t>
      </w:r>
    </w:p>
    <w:p w:rsidRPr="001942D0" w:rsidR="004C2AFE" w:rsidP="001C7001" w:rsidRDefault="004C2AFE" w14:paraId="57D43AA3" w14:textId="77777777">
      <w:pPr>
        <w:spacing w:after="0" w:line="240" w:lineRule="auto"/>
        <w:rPr>
          <w:rFonts w:ascii="Palatino Linotype" w:hAnsi="Palatino Linotype" w:eastAsia="Palatino Linotype" w:cs="Times New Roman"/>
          <w:b/>
          <w:kern w:val="0"/>
          <w14:ligatures w14:val="none"/>
        </w:rPr>
      </w:pPr>
    </w:p>
    <w:p w:rsidRPr="001942D0" w:rsidR="00A76F4A" w:rsidP="001C7001" w:rsidRDefault="00A76F4A" w14:paraId="3906F9BB"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r w:rsidRPr="001942D0">
        <w:rPr>
          <w:rFonts w:ascii="Palatino Linotype" w:hAnsi="Palatino Linotype" w:eastAsia="Palatino Linotype" w:cs="Times New Roman"/>
          <w:b/>
          <w:caps/>
          <w:kern w:val="28"/>
          <w:u w:val="single"/>
          <w14:ligatures w14:val="none"/>
        </w:rPr>
        <w:t>Summary</w:t>
      </w:r>
      <w:bookmarkEnd w:id="0"/>
    </w:p>
    <w:p w:rsidR="002C6FC6" w:rsidP="680EE1E8" w:rsidRDefault="006066DA" w14:paraId="3585A1F1" w14:textId="4F814D2C">
      <w:pPr>
        <w:spacing w:after="0" w:line="240" w:lineRule="auto"/>
        <w:rPr>
          <w:rFonts w:ascii="Palatino Linotype" w:hAnsi="Palatino Linotype" w:eastAsia="Times New Roman" w:cs="Times New Roman"/>
          <w:kern w:val="0"/>
          <w14:ligatures w14:val="none"/>
        </w:rPr>
      </w:pPr>
      <w:r w:rsidRPr="006066DA">
        <w:rPr>
          <w:rFonts w:ascii="Palatino Linotype" w:hAnsi="Palatino Linotype" w:eastAsia="Times New Roman" w:cs="Times New Roman"/>
          <w:kern w:val="0"/>
          <w14:ligatures w14:val="none"/>
        </w:rPr>
        <w:t xml:space="preserve">This Resolution approves </w:t>
      </w:r>
      <w:r w:rsidR="00EE70F6">
        <w:rPr>
          <w:rFonts w:ascii="Palatino Linotype" w:hAnsi="Palatino Linotype" w:eastAsia="Times New Roman" w:cs="Times New Roman"/>
          <w:kern w:val="0"/>
          <w14:ligatures w14:val="none"/>
        </w:rPr>
        <w:t xml:space="preserve">with modification </w:t>
      </w:r>
      <w:r w:rsidRPr="006066DA">
        <w:rPr>
          <w:rFonts w:ascii="Palatino Linotype" w:hAnsi="Palatino Linotype" w:eastAsia="Times New Roman" w:cs="Times New Roman"/>
          <w:kern w:val="0"/>
          <w14:ligatures w14:val="none"/>
        </w:rPr>
        <w:t>Pacific Gas and Electric’s (PG&amp;E) Advice Letter (AL) 75</w:t>
      </w:r>
      <w:r w:rsidR="002768F1">
        <w:rPr>
          <w:rFonts w:ascii="Palatino Linotype" w:hAnsi="Palatino Linotype" w:eastAsia="Times New Roman" w:cs="Times New Roman"/>
          <w:kern w:val="0"/>
          <w14:ligatures w14:val="none"/>
        </w:rPr>
        <w:t>69</w:t>
      </w:r>
      <w:r w:rsidRPr="006066DA">
        <w:rPr>
          <w:rFonts w:ascii="Palatino Linotype" w:hAnsi="Palatino Linotype" w:eastAsia="Times New Roman" w:cs="Times New Roman"/>
          <w:kern w:val="0"/>
          <w14:ligatures w14:val="none"/>
        </w:rPr>
        <w:t>-E</w:t>
      </w:r>
      <w:r w:rsidR="00EE70F6">
        <w:rPr>
          <w:rFonts w:ascii="Palatino Linotype" w:hAnsi="Palatino Linotype" w:eastAsia="Times New Roman" w:cs="Times New Roman"/>
          <w:kern w:val="0"/>
          <w14:ligatures w14:val="none"/>
        </w:rPr>
        <w:t xml:space="preserve">, </w:t>
      </w:r>
      <w:r w:rsidRPr="00EE70F6" w:rsidR="00EE70F6">
        <w:rPr>
          <w:rFonts w:ascii="Palatino Linotype" w:hAnsi="Palatino Linotype" w:eastAsia="Times New Roman" w:cs="Times New Roman"/>
          <w:kern w:val="0"/>
          <w14:ligatures w14:val="none"/>
        </w:rPr>
        <w:t xml:space="preserve">which requests Commission approval of two agreements to support the </w:t>
      </w:r>
      <w:r w:rsidR="006E69ED">
        <w:rPr>
          <w:rFonts w:ascii="Palatino Linotype" w:hAnsi="Palatino Linotype" w:eastAsia="Times New Roman" w:cs="Times New Roman"/>
          <w:kern w:val="0"/>
          <w14:ligatures w14:val="none"/>
        </w:rPr>
        <w:t>energization</w:t>
      </w:r>
      <w:r w:rsidRPr="00EE70F6" w:rsidR="00EE70F6">
        <w:rPr>
          <w:rFonts w:ascii="Palatino Linotype" w:hAnsi="Palatino Linotype" w:eastAsia="Times New Roman" w:cs="Times New Roman"/>
          <w:kern w:val="0"/>
          <w14:ligatures w14:val="none"/>
        </w:rPr>
        <w:t xml:space="preserve"> of a new 90</w:t>
      </w:r>
      <w:r w:rsidR="008B281D">
        <w:rPr>
          <w:rFonts w:ascii="Palatino Linotype" w:hAnsi="Palatino Linotype" w:eastAsia="Times New Roman" w:cs="Times New Roman"/>
          <w:kern w:val="0"/>
          <w14:ligatures w14:val="none"/>
        </w:rPr>
        <w:t xml:space="preserve"> </w:t>
      </w:r>
      <w:r w:rsidRPr="00EE70F6" w:rsidR="00EE70F6">
        <w:rPr>
          <w:rFonts w:ascii="Palatino Linotype" w:hAnsi="Palatino Linotype" w:eastAsia="Times New Roman" w:cs="Times New Roman"/>
          <w:kern w:val="0"/>
          <w14:ligatures w14:val="none"/>
        </w:rPr>
        <w:t>megawatt data center load in San Jos</w:t>
      </w:r>
      <w:r w:rsidR="00EE70F6">
        <w:rPr>
          <w:rFonts w:ascii="Palatino Linotype" w:hAnsi="Palatino Linotype" w:eastAsia="Times New Roman" w:cs="Times New Roman"/>
          <w:kern w:val="0"/>
          <w14:ligatures w14:val="none"/>
        </w:rPr>
        <w:t>e</w:t>
      </w:r>
      <w:r w:rsidR="006E69ED">
        <w:rPr>
          <w:rFonts w:ascii="Palatino Linotype" w:hAnsi="Palatino Linotype" w:eastAsia="Times New Roman" w:cs="Times New Roman"/>
          <w:kern w:val="0"/>
          <w14:ligatures w14:val="none"/>
        </w:rPr>
        <w:t xml:space="preserve">, as requested by </w:t>
      </w:r>
      <w:r w:rsidRPr="00EE70F6" w:rsidR="006E69ED">
        <w:rPr>
          <w:rFonts w:ascii="Palatino Linotype" w:hAnsi="Palatino Linotype" w:eastAsia="Times New Roman" w:cs="Times New Roman"/>
          <w:kern w:val="0"/>
          <w14:ligatures w14:val="none"/>
        </w:rPr>
        <w:t>STACK Infrastructure</w:t>
      </w:r>
      <w:r w:rsidRPr="006066DA">
        <w:rPr>
          <w:rFonts w:ascii="Palatino Linotype" w:hAnsi="Palatino Linotype" w:eastAsia="Times New Roman" w:cs="Times New Roman"/>
          <w:kern w:val="0"/>
          <w14:ligatures w14:val="none"/>
        </w:rPr>
        <w:t xml:space="preserve">. </w:t>
      </w:r>
      <w:r w:rsidRPr="00DA476C" w:rsidR="00DA476C">
        <w:rPr>
          <w:rFonts w:ascii="Palatino Linotype" w:hAnsi="Palatino Linotype" w:eastAsia="Times New Roman" w:cs="Times New Roman"/>
          <w:kern w:val="0"/>
          <w14:ligatures w14:val="none"/>
        </w:rPr>
        <w:t xml:space="preserve">These agreements facilitate the construction of new transmission </w:t>
      </w:r>
      <w:r w:rsidRPr="00DA476C" w:rsidR="00DA476C">
        <w:rPr>
          <w:rFonts w:ascii="Palatino Linotype" w:hAnsi="Palatino Linotype" w:eastAsia="Times New Roman" w:cs="Times New Roman"/>
          <w:kern w:val="0"/>
          <w14:ligatures w14:val="none"/>
        </w:rPr>
        <w:lastRenderedPageBreak/>
        <w:t>facilities to serve STACK’s load.</w:t>
      </w:r>
      <w:r w:rsidR="007E4569">
        <w:rPr>
          <w:rFonts w:ascii="Palatino Linotype" w:hAnsi="Palatino Linotype" w:eastAsia="Times New Roman" w:cs="Times New Roman"/>
          <w:kern w:val="0"/>
          <w14:ligatures w14:val="none"/>
        </w:rPr>
        <w:t xml:space="preserve"> </w:t>
      </w:r>
      <w:r w:rsidRPr="00046294" w:rsidR="00046294">
        <w:rPr>
          <w:rFonts w:ascii="Palatino Linotype" w:hAnsi="Palatino Linotype" w:eastAsia="Times New Roman" w:cs="Times New Roman"/>
          <w:kern w:val="0"/>
          <w14:ligatures w14:val="none"/>
        </w:rPr>
        <w:t>The Commission approves the Advice Letter</w:t>
      </w:r>
      <w:r w:rsidR="00911657">
        <w:rPr>
          <w:rFonts w:ascii="Palatino Linotype" w:hAnsi="Palatino Linotype" w:eastAsia="Times New Roman" w:cs="Times New Roman"/>
          <w:kern w:val="0"/>
          <w14:ligatures w14:val="none"/>
        </w:rPr>
        <w:t xml:space="preserve"> with modifications</w:t>
      </w:r>
      <w:r w:rsidRPr="00046294" w:rsidR="00046294">
        <w:rPr>
          <w:rFonts w:ascii="Palatino Linotype" w:hAnsi="Palatino Linotype" w:eastAsia="Times New Roman" w:cs="Times New Roman"/>
          <w:kern w:val="0"/>
          <w14:ligatures w14:val="none"/>
        </w:rPr>
        <w:t xml:space="preserve">, finding the agreements necessary and </w:t>
      </w:r>
      <w:r w:rsidR="000E5425">
        <w:rPr>
          <w:rFonts w:ascii="Palatino Linotype" w:hAnsi="Palatino Linotype" w:eastAsia="Times New Roman" w:cs="Times New Roman"/>
          <w:kern w:val="0"/>
          <w14:ligatures w14:val="none"/>
        </w:rPr>
        <w:t xml:space="preserve">largely </w:t>
      </w:r>
      <w:r w:rsidRPr="00046294" w:rsidR="00046294">
        <w:rPr>
          <w:rFonts w:ascii="Palatino Linotype" w:hAnsi="Palatino Linotype" w:eastAsia="Times New Roman" w:cs="Times New Roman"/>
          <w:kern w:val="0"/>
          <w14:ligatures w14:val="none"/>
        </w:rPr>
        <w:t xml:space="preserve">appropriate </w:t>
      </w:r>
      <w:r w:rsidR="00123F1C">
        <w:rPr>
          <w:rFonts w:ascii="Palatino Linotype" w:hAnsi="Palatino Linotype" w:eastAsia="Times New Roman" w:cs="Times New Roman"/>
          <w:kern w:val="0"/>
          <w14:ligatures w14:val="none"/>
        </w:rPr>
        <w:t>to energize this new load</w:t>
      </w:r>
      <w:r w:rsidRPr="00046294" w:rsidR="00046294">
        <w:rPr>
          <w:rFonts w:ascii="Palatino Linotype" w:hAnsi="Palatino Linotype" w:eastAsia="Times New Roman" w:cs="Times New Roman"/>
          <w:kern w:val="0"/>
          <w14:ligatures w14:val="none"/>
        </w:rPr>
        <w:t xml:space="preserve">. </w:t>
      </w:r>
    </w:p>
    <w:p w:rsidR="002C6FC6" w:rsidP="680EE1E8" w:rsidRDefault="002C6FC6" w14:paraId="43B1F653" w14:textId="77777777">
      <w:pPr>
        <w:spacing w:after="0" w:line="240" w:lineRule="auto"/>
        <w:rPr>
          <w:rFonts w:ascii="Palatino Linotype" w:hAnsi="Palatino Linotype" w:eastAsia="Times New Roman" w:cs="Times New Roman"/>
          <w:kern w:val="0"/>
          <w14:ligatures w14:val="none"/>
        </w:rPr>
      </w:pPr>
    </w:p>
    <w:p w:rsidR="00050042" w:rsidP="680EE1E8" w:rsidRDefault="007D030B" w14:paraId="0A3117C7" w14:textId="79526B82">
      <w:pPr>
        <w:spacing w:after="0" w:line="240" w:lineRule="auto"/>
        <w:rPr>
          <w:rFonts w:ascii="Palatino Linotype" w:hAnsi="Palatino Linotype" w:eastAsia="Palatino Linotype" w:cs="Times New Roman"/>
          <w:b/>
          <w:bCs/>
          <w:caps/>
          <w:kern w:val="28"/>
          <w:u w:val="single"/>
          <w14:ligatures w14:val="none"/>
        </w:rPr>
      </w:pPr>
      <w:r>
        <w:rPr>
          <w:rFonts w:ascii="Palatino Linotype" w:hAnsi="Palatino Linotype" w:eastAsia="Times New Roman" w:cs="Times New Roman"/>
          <w:kern w:val="0"/>
          <w14:ligatures w14:val="none"/>
        </w:rPr>
        <w:t>Specifically</w:t>
      </w:r>
      <w:r w:rsidRPr="00046294" w:rsidR="00046294">
        <w:rPr>
          <w:rFonts w:ascii="Palatino Linotype" w:hAnsi="Palatino Linotype" w:eastAsia="Times New Roman" w:cs="Times New Roman"/>
          <w:kern w:val="0"/>
          <w14:ligatures w14:val="none"/>
        </w:rPr>
        <w:t xml:space="preserve">, the Commission </w:t>
      </w:r>
      <w:r w:rsidR="00123F1C">
        <w:rPr>
          <w:rFonts w:ascii="Palatino Linotype" w:hAnsi="Palatino Linotype" w:eastAsia="Times New Roman" w:cs="Times New Roman"/>
          <w:kern w:val="0"/>
          <w14:ligatures w14:val="none"/>
        </w:rPr>
        <w:t xml:space="preserve">requires </w:t>
      </w:r>
      <w:r w:rsidR="002C6FC6">
        <w:rPr>
          <w:rFonts w:ascii="Palatino Linotype" w:hAnsi="Palatino Linotype" w:eastAsia="Times New Roman" w:cs="Times New Roman"/>
          <w:kern w:val="0"/>
          <w14:ligatures w14:val="none"/>
        </w:rPr>
        <w:t xml:space="preserve">modifications to </w:t>
      </w:r>
      <w:r w:rsidR="000E5425">
        <w:rPr>
          <w:rFonts w:ascii="Palatino Linotype" w:hAnsi="Palatino Linotype" w:eastAsia="Times New Roman" w:cs="Times New Roman"/>
          <w:kern w:val="0"/>
          <w14:ligatures w14:val="none"/>
        </w:rPr>
        <w:t xml:space="preserve">the </w:t>
      </w:r>
      <w:r w:rsidR="00C121D9">
        <w:rPr>
          <w:rFonts w:ascii="Palatino Linotype" w:hAnsi="Palatino Linotype" w:eastAsia="Times New Roman" w:cs="Times New Roman"/>
          <w:kern w:val="0"/>
          <w14:ligatures w14:val="none"/>
        </w:rPr>
        <w:t xml:space="preserve">proposed </w:t>
      </w:r>
      <w:r w:rsidR="00210BAB">
        <w:rPr>
          <w:rFonts w:ascii="Palatino Linotype" w:hAnsi="Palatino Linotype" w:eastAsia="Times New Roman" w:cs="Times New Roman"/>
          <w:kern w:val="0"/>
          <w14:ligatures w14:val="none"/>
        </w:rPr>
        <w:t xml:space="preserve">process to refund </w:t>
      </w:r>
      <w:r w:rsidR="00123F1C">
        <w:rPr>
          <w:rFonts w:ascii="Palatino Linotype" w:hAnsi="Palatino Linotype" w:eastAsia="Times New Roman" w:cs="Times New Roman"/>
          <w:kern w:val="0"/>
          <w14:ligatures w14:val="none"/>
        </w:rPr>
        <w:t>energization costs</w:t>
      </w:r>
      <w:r w:rsidR="00882220">
        <w:rPr>
          <w:rFonts w:ascii="Palatino Linotype" w:hAnsi="Palatino Linotype" w:eastAsia="Times New Roman" w:cs="Times New Roman"/>
          <w:kern w:val="0"/>
          <w14:ligatures w14:val="none"/>
        </w:rPr>
        <w:t xml:space="preserve"> </w:t>
      </w:r>
      <w:r w:rsidR="00210BAB">
        <w:rPr>
          <w:rFonts w:ascii="Palatino Linotype" w:hAnsi="Palatino Linotype" w:eastAsia="Times New Roman" w:cs="Times New Roman"/>
          <w:kern w:val="0"/>
          <w14:ligatures w14:val="none"/>
        </w:rPr>
        <w:t>advanced by STACK</w:t>
      </w:r>
      <w:r w:rsidR="00096890">
        <w:rPr>
          <w:rFonts w:ascii="Palatino Linotype" w:hAnsi="Palatino Linotype" w:eastAsia="Times New Roman" w:cs="Times New Roman"/>
          <w:kern w:val="0"/>
          <w14:ligatures w14:val="none"/>
        </w:rPr>
        <w:t>,</w:t>
      </w:r>
      <w:r w:rsidR="000E5425">
        <w:rPr>
          <w:rFonts w:ascii="Palatino Linotype" w:hAnsi="Palatino Linotype" w:eastAsia="Times New Roman" w:cs="Times New Roman"/>
          <w:kern w:val="0"/>
          <w14:ligatures w14:val="none"/>
        </w:rPr>
        <w:t xml:space="preserve"> </w:t>
      </w:r>
      <w:r w:rsidR="00096890">
        <w:rPr>
          <w:rFonts w:ascii="Palatino Linotype" w:hAnsi="Palatino Linotype" w:eastAsia="Times New Roman" w:cs="Times New Roman"/>
          <w:kern w:val="0"/>
          <w14:ligatures w14:val="none"/>
        </w:rPr>
        <w:t>to</w:t>
      </w:r>
      <w:r w:rsidRPr="00046294" w:rsidR="000E5425">
        <w:rPr>
          <w:rFonts w:ascii="Palatino Linotype" w:hAnsi="Palatino Linotype" w:eastAsia="Times New Roman" w:cs="Times New Roman"/>
          <w:kern w:val="0"/>
          <w14:ligatures w14:val="none"/>
        </w:rPr>
        <w:t xml:space="preserve"> </w:t>
      </w:r>
      <w:r w:rsidR="00D94099">
        <w:rPr>
          <w:rFonts w:ascii="Palatino Linotype" w:hAnsi="Palatino Linotype" w:eastAsia="Times New Roman" w:cs="Times New Roman"/>
          <w:kern w:val="0"/>
          <w14:ligatures w14:val="none"/>
        </w:rPr>
        <w:t>add additional ratepayer protection</w:t>
      </w:r>
      <w:r w:rsidRPr="00046294" w:rsidR="00046294">
        <w:rPr>
          <w:rFonts w:ascii="Palatino Linotype" w:hAnsi="Palatino Linotype" w:eastAsia="Times New Roman" w:cs="Times New Roman"/>
          <w:kern w:val="0"/>
          <w14:ligatures w14:val="none"/>
        </w:rPr>
        <w:t xml:space="preserve">. </w:t>
      </w:r>
      <w:r w:rsidR="00E03465">
        <w:rPr>
          <w:rFonts w:ascii="Palatino Linotype" w:hAnsi="Palatino Linotype" w:eastAsia="Times New Roman" w:cs="Times New Roman"/>
          <w:kern w:val="0"/>
          <w14:ligatures w14:val="none"/>
        </w:rPr>
        <w:t>As a large-load customer, STACK requires energization upgrades on a much larger scale than the typical customer</w:t>
      </w:r>
      <w:r w:rsidR="00D044B5">
        <w:rPr>
          <w:rFonts w:ascii="Palatino Linotype" w:hAnsi="Palatino Linotype" w:eastAsia="Times New Roman" w:cs="Times New Roman"/>
          <w:kern w:val="0"/>
          <w14:ligatures w14:val="none"/>
        </w:rPr>
        <w:t xml:space="preserve">, </w:t>
      </w:r>
      <w:r w:rsidR="00B44EDD">
        <w:rPr>
          <w:rFonts w:ascii="Palatino Linotype" w:hAnsi="Palatino Linotype" w:eastAsia="Times New Roman" w:cs="Times New Roman"/>
          <w:kern w:val="0"/>
          <w14:ligatures w14:val="none"/>
        </w:rPr>
        <w:t>which are costly and should not fall on</w:t>
      </w:r>
      <w:r w:rsidR="00D044B5">
        <w:rPr>
          <w:rFonts w:ascii="Palatino Linotype" w:hAnsi="Palatino Linotype" w:eastAsia="Times New Roman" w:cs="Times New Roman"/>
          <w:kern w:val="0"/>
          <w14:ligatures w14:val="none"/>
        </w:rPr>
        <w:t xml:space="preserve"> ratepayers</w:t>
      </w:r>
      <w:r w:rsidR="00B44EDD">
        <w:rPr>
          <w:rFonts w:ascii="Palatino Linotype" w:hAnsi="Palatino Linotype" w:eastAsia="Times New Roman" w:cs="Times New Roman"/>
          <w:kern w:val="0"/>
          <w14:ligatures w14:val="none"/>
        </w:rPr>
        <w:t xml:space="preserve"> if </w:t>
      </w:r>
      <w:r w:rsidR="00EF2896">
        <w:rPr>
          <w:rFonts w:ascii="Palatino Linotype" w:hAnsi="Palatino Linotype" w:eastAsia="Times New Roman" w:cs="Times New Roman"/>
          <w:kern w:val="0"/>
          <w14:ligatures w14:val="none"/>
        </w:rPr>
        <w:t xml:space="preserve">sufficient </w:t>
      </w:r>
      <w:r w:rsidR="00B44EDD">
        <w:rPr>
          <w:rFonts w:ascii="Palatino Linotype" w:hAnsi="Palatino Linotype" w:eastAsia="Times New Roman" w:cs="Times New Roman"/>
          <w:kern w:val="0"/>
          <w14:ligatures w14:val="none"/>
        </w:rPr>
        <w:t>load does not materialize</w:t>
      </w:r>
      <w:r w:rsidR="00E4493D">
        <w:rPr>
          <w:rFonts w:ascii="Palatino Linotype" w:hAnsi="Palatino Linotype" w:eastAsia="Times New Roman" w:cs="Times New Roman"/>
          <w:kern w:val="0"/>
          <w14:ligatures w14:val="none"/>
        </w:rPr>
        <w:t xml:space="preserve"> to offset costs</w:t>
      </w:r>
      <w:r w:rsidR="00E03465">
        <w:rPr>
          <w:rFonts w:ascii="Palatino Linotype" w:hAnsi="Palatino Linotype" w:eastAsia="Times New Roman" w:cs="Times New Roman"/>
          <w:kern w:val="0"/>
          <w14:ligatures w14:val="none"/>
        </w:rPr>
        <w:t>.</w:t>
      </w:r>
      <w:r w:rsidRPr="00E03465" w:rsidR="00E03465">
        <w:rPr>
          <w:rFonts w:ascii="Palatino Linotype" w:hAnsi="Palatino Linotype" w:eastAsia="Times New Roman" w:cs="Times New Roman"/>
          <w:kern w:val="0"/>
          <w14:ligatures w14:val="none"/>
        </w:rPr>
        <w:t xml:space="preserve"> </w:t>
      </w:r>
      <w:r w:rsidR="00E03465">
        <w:rPr>
          <w:rFonts w:ascii="Palatino Linotype" w:hAnsi="Palatino Linotype" w:eastAsia="Times New Roman" w:cs="Times New Roman"/>
          <w:kern w:val="0"/>
          <w14:ligatures w14:val="none"/>
        </w:rPr>
        <w:t>As a transmission customer, STACK would pay lower rates than distribution customers</w:t>
      </w:r>
      <w:r w:rsidR="00D044B5">
        <w:rPr>
          <w:rFonts w:ascii="Palatino Linotype" w:hAnsi="Palatino Linotype" w:eastAsia="Times New Roman" w:cs="Times New Roman"/>
          <w:kern w:val="0"/>
          <w14:ligatures w14:val="none"/>
        </w:rPr>
        <w:t xml:space="preserve"> covered by the </w:t>
      </w:r>
      <w:r w:rsidR="00AA4887">
        <w:rPr>
          <w:rFonts w:ascii="Palatino Linotype" w:hAnsi="Palatino Linotype" w:eastAsia="Times New Roman" w:cs="Times New Roman"/>
          <w:kern w:val="0"/>
          <w14:ligatures w14:val="none"/>
        </w:rPr>
        <w:t>Base Annual Revenue Calculation (</w:t>
      </w:r>
      <w:r w:rsidR="002C6FC6">
        <w:rPr>
          <w:rFonts w:ascii="Palatino Linotype" w:hAnsi="Palatino Linotype" w:eastAsia="Times New Roman" w:cs="Times New Roman"/>
          <w:kern w:val="0"/>
          <w14:ligatures w14:val="none"/>
        </w:rPr>
        <w:t>BARC</w:t>
      </w:r>
      <w:r w:rsidR="00AA4887">
        <w:rPr>
          <w:rFonts w:ascii="Palatino Linotype" w:hAnsi="Palatino Linotype" w:eastAsia="Times New Roman" w:cs="Times New Roman"/>
          <w:kern w:val="0"/>
          <w14:ligatures w14:val="none"/>
        </w:rPr>
        <w:t>)</w:t>
      </w:r>
      <w:r w:rsidR="002C6FC6">
        <w:rPr>
          <w:rFonts w:ascii="Palatino Linotype" w:hAnsi="Palatino Linotype" w:eastAsia="Times New Roman" w:cs="Times New Roman"/>
          <w:kern w:val="0"/>
          <w14:ligatures w14:val="none"/>
        </w:rPr>
        <w:t xml:space="preserve"> </w:t>
      </w:r>
      <w:r w:rsidR="006348E3">
        <w:rPr>
          <w:rFonts w:ascii="Palatino Linotype" w:hAnsi="Palatino Linotype" w:eastAsia="Times New Roman" w:cs="Times New Roman"/>
          <w:kern w:val="0"/>
          <w14:ligatures w14:val="none"/>
        </w:rPr>
        <w:t>refund process</w:t>
      </w:r>
      <w:r w:rsidR="0083729E">
        <w:rPr>
          <w:rFonts w:ascii="Palatino Linotype" w:hAnsi="Palatino Linotype" w:eastAsia="Times New Roman" w:cs="Times New Roman"/>
          <w:kern w:val="0"/>
          <w14:ligatures w14:val="none"/>
        </w:rPr>
        <w:t xml:space="preserve"> on which </w:t>
      </w:r>
      <w:r w:rsidR="00812302">
        <w:rPr>
          <w:rFonts w:ascii="Palatino Linotype" w:hAnsi="Palatino Linotype" w:eastAsia="Times New Roman" w:cs="Times New Roman"/>
          <w:kern w:val="0"/>
          <w14:ligatures w14:val="none"/>
        </w:rPr>
        <w:t>AL</w:t>
      </w:r>
      <w:r w:rsidR="0083729E">
        <w:rPr>
          <w:rFonts w:ascii="Palatino Linotype" w:hAnsi="Palatino Linotype" w:eastAsia="Times New Roman" w:cs="Times New Roman"/>
          <w:kern w:val="0"/>
          <w14:ligatures w14:val="none"/>
        </w:rPr>
        <w:t xml:space="preserve"> proposal is based</w:t>
      </w:r>
      <w:r w:rsidR="00132B74">
        <w:rPr>
          <w:rFonts w:ascii="Palatino Linotype" w:hAnsi="Palatino Linotype" w:eastAsia="Times New Roman" w:cs="Times New Roman"/>
          <w:kern w:val="0"/>
          <w14:ligatures w14:val="none"/>
        </w:rPr>
        <w:t xml:space="preserve">, while </w:t>
      </w:r>
      <w:r w:rsidRPr="13F3B869" w:rsidR="00132B74">
        <w:rPr>
          <w:rFonts w:ascii="Palatino Linotype" w:hAnsi="Palatino Linotype" w:eastAsia="Aptos" w:cs="Times New Roman"/>
        </w:rPr>
        <w:t xml:space="preserve">at the same time contributing to </w:t>
      </w:r>
      <w:r w:rsidR="00132B74">
        <w:rPr>
          <w:rFonts w:ascii="Palatino Linotype" w:hAnsi="Palatino Linotype" w:eastAsia="Aptos" w:cs="Times New Roman"/>
        </w:rPr>
        <w:t xml:space="preserve">the need for </w:t>
      </w:r>
      <w:r w:rsidRPr="13F3B869" w:rsidR="00132B74">
        <w:rPr>
          <w:rFonts w:ascii="Palatino Linotype" w:hAnsi="Palatino Linotype" w:eastAsia="Aptos" w:cs="Times New Roman"/>
        </w:rPr>
        <w:t>broader transmission network upgrades in the region</w:t>
      </w:r>
      <w:r w:rsidR="00E03465">
        <w:rPr>
          <w:rFonts w:ascii="Palatino Linotype" w:hAnsi="Palatino Linotype" w:eastAsia="Times New Roman" w:cs="Times New Roman"/>
          <w:kern w:val="0"/>
          <w14:ligatures w14:val="none"/>
        </w:rPr>
        <w:t>.</w:t>
      </w:r>
      <w:r w:rsidR="00800008">
        <w:rPr>
          <w:rFonts w:ascii="Palatino Linotype" w:hAnsi="Palatino Linotype" w:eastAsia="Times New Roman" w:cs="Times New Roman"/>
          <w:kern w:val="0"/>
          <w14:ligatures w14:val="none"/>
        </w:rPr>
        <w:t xml:space="preserve"> </w:t>
      </w:r>
      <w:r w:rsidRPr="00046294" w:rsidR="00046294">
        <w:rPr>
          <w:rFonts w:ascii="Palatino Linotype" w:hAnsi="Palatino Linotype" w:eastAsia="Times New Roman" w:cs="Times New Roman"/>
          <w:kern w:val="0"/>
          <w14:ligatures w14:val="none"/>
        </w:rPr>
        <w:t>In this case,</w:t>
      </w:r>
      <w:r w:rsidR="00911657">
        <w:rPr>
          <w:rFonts w:ascii="Palatino Linotype" w:hAnsi="Palatino Linotype" w:eastAsia="Times New Roman" w:cs="Times New Roman"/>
          <w:kern w:val="0"/>
          <w14:ligatures w14:val="none"/>
        </w:rPr>
        <w:t xml:space="preserve"> </w:t>
      </w:r>
      <w:r w:rsidRPr="00046294" w:rsidR="00046294">
        <w:rPr>
          <w:rFonts w:ascii="Palatino Linotype" w:hAnsi="Palatino Linotype" w:eastAsia="Times New Roman" w:cs="Times New Roman"/>
          <w:kern w:val="0"/>
          <w14:ligatures w14:val="none"/>
        </w:rPr>
        <w:t xml:space="preserve">the </w:t>
      </w:r>
      <w:r w:rsidR="007F04A0">
        <w:rPr>
          <w:rFonts w:ascii="Palatino Linotype" w:hAnsi="Palatino Linotype" w:eastAsia="Times New Roman" w:cs="Times New Roman"/>
          <w:kern w:val="0"/>
          <w14:ligatures w14:val="none"/>
        </w:rPr>
        <w:t xml:space="preserve">proposed standard </w:t>
      </w:r>
      <w:r w:rsidR="00911657">
        <w:rPr>
          <w:rFonts w:ascii="Palatino Linotype" w:hAnsi="Palatino Linotype" w:eastAsia="Times New Roman" w:cs="Times New Roman"/>
          <w:kern w:val="0"/>
          <w14:ligatures w14:val="none"/>
        </w:rPr>
        <w:t>BARC</w:t>
      </w:r>
      <w:r w:rsidR="007F04A0">
        <w:rPr>
          <w:rFonts w:ascii="Palatino Linotype" w:hAnsi="Palatino Linotype" w:eastAsia="Times New Roman" w:cs="Times New Roman"/>
          <w:kern w:val="0"/>
          <w14:ligatures w14:val="none"/>
        </w:rPr>
        <w:t xml:space="preserve"> refund process </w:t>
      </w:r>
      <w:r w:rsidRPr="00046294" w:rsidR="00046294">
        <w:rPr>
          <w:rFonts w:ascii="Palatino Linotype" w:hAnsi="Palatino Linotype" w:eastAsia="Times New Roman" w:cs="Times New Roman"/>
          <w:kern w:val="0"/>
          <w14:ligatures w14:val="none"/>
        </w:rPr>
        <w:t xml:space="preserve">would result in STACK receiving refunds </w:t>
      </w:r>
      <w:r w:rsidR="007F04A0">
        <w:rPr>
          <w:rFonts w:ascii="Palatino Linotype" w:hAnsi="Palatino Linotype" w:eastAsia="Times New Roman" w:cs="Times New Roman"/>
          <w:kern w:val="0"/>
          <w14:ligatures w14:val="none"/>
        </w:rPr>
        <w:t>for about</w:t>
      </w:r>
      <w:r w:rsidRPr="00046294" w:rsidR="00046294">
        <w:rPr>
          <w:rFonts w:ascii="Palatino Linotype" w:hAnsi="Palatino Linotype" w:eastAsia="Times New Roman" w:cs="Times New Roman"/>
          <w:kern w:val="0"/>
          <w14:ligatures w14:val="none"/>
        </w:rPr>
        <w:t xml:space="preserve"> $50 million </w:t>
      </w:r>
      <w:r w:rsidR="00E12717">
        <w:rPr>
          <w:rFonts w:ascii="Palatino Linotype" w:hAnsi="Palatino Linotype" w:eastAsia="Times New Roman" w:cs="Times New Roman"/>
          <w:kern w:val="0"/>
          <w14:ligatures w14:val="none"/>
        </w:rPr>
        <w:t xml:space="preserve">in </w:t>
      </w:r>
      <w:r w:rsidR="007F04A0">
        <w:rPr>
          <w:rFonts w:ascii="Palatino Linotype" w:hAnsi="Palatino Linotype" w:eastAsia="Times New Roman" w:cs="Times New Roman"/>
          <w:kern w:val="0"/>
          <w14:ligatures w14:val="none"/>
        </w:rPr>
        <w:t xml:space="preserve">energization costs </w:t>
      </w:r>
      <w:r w:rsidR="00E03465">
        <w:rPr>
          <w:rFonts w:ascii="Palatino Linotype" w:hAnsi="Palatino Linotype" w:eastAsia="Times New Roman" w:cs="Times New Roman"/>
          <w:kern w:val="0"/>
          <w14:ligatures w14:val="none"/>
        </w:rPr>
        <w:t xml:space="preserve">after </w:t>
      </w:r>
      <w:r w:rsidR="00800008">
        <w:rPr>
          <w:rFonts w:ascii="Palatino Linotype" w:hAnsi="Palatino Linotype" w:eastAsia="Times New Roman" w:cs="Times New Roman"/>
          <w:kern w:val="0"/>
          <w14:ligatures w14:val="none"/>
        </w:rPr>
        <w:t xml:space="preserve">its </w:t>
      </w:r>
      <w:r w:rsidR="00E03465">
        <w:rPr>
          <w:rFonts w:ascii="Palatino Linotype" w:hAnsi="Palatino Linotype" w:eastAsia="Times New Roman" w:cs="Times New Roman"/>
          <w:kern w:val="0"/>
          <w14:ligatures w14:val="none"/>
        </w:rPr>
        <w:t>first year of operation</w:t>
      </w:r>
      <w:r w:rsidRPr="00046294" w:rsidR="00046294">
        <w:rPr>
          <w:rFonts w:ascii="Palatino Linotype" w:hAnsi="Palatino Linotype" w:eastAsia="Times New Roman" w:cs="Times New Roman"/>
          <w:kern w:val="0"/>
          <w14:ligatures w14:val="none"/>
        </w:rPr>
        <w:t>—</w:t>
      </w:r>
      <w:r w:rsidR="009E2AC1">
        <w:rPr>
          <w:rFonts w:ascii="Palatino Linotype" w:hAnsi="Palatino Linotype" w:eastAsia="Times New Roman" w:cs="Times New Roman"/>
          <w:kern w:val="0"/>
          <w14:ligatures w14:val="none"/>
        </w:rPr>
        <w:t xml:space="preserve">well </w:t>
      </w:r>
      <w:r w:rsidR="00E12717">
        <w:rPr>
          <w:rFonts w:ascii="Palatino Linotype" w:hAnsi="Palatino Linotype" w:eastAsia="Times New Roman" w:cs="Times New Roman"/>
          <w:kern w:val="0"/>
          <w14:ligatures w14:val="none"/>
        </w:rPr>
        <w:t>before</w:t>
      </w:r>
      <w:r w:rsidRPr="00046294" w:rsidR="00046294">
        <w:rPr>
          <w:rFonts w:ascii="Palatino Linotype" w:hAnsi="Palatino Linotype" w:eastAsia="Times New Roman" w:cs="Times New Roman"/>
          <w:kern w:val="0"/>
          <w14:ligatures w14:val="none"/>
        </w:rPr>
        <w:t xml:space="preserve"> PG&amp;E </w:t>
      </w:r>
      <w:r w:rsidR="00F926C2">
        <w:rPr>
          <w:rFonts w:ascii="Palatino Linotype" w:hAnsi="Palatino Linotype" w:eastAsia="Times New Roman" w:cs="Times New Roman"/>
          <w:kern w:val="0"/>
          <w14:ligatures w14:val="none"/>
        </w:rPr>
        <w:t xml:space="preserve">will </w:t>
      </w:r>
      <w:r w:rsidRPr="00046294" w:rsidR="00046294">
        <w:rPr>
          <w:rFonts w:ascii="Palatino Linotype" w:hAnsi="Palatino Linotype" w:eastAsia="Times New Roman" w:cs="Times New Roman"/>
          <w:kern w:val="0"/>
          <w14:ligatures w14:val="none"/>
        </w:rPr>
        <w:t xml:space="preserve">recover sufficient </w:t>
      </w:r>
      <w:r w:rsidR="00E03465">
        <w:rPr>
          <w:rFonts w:ascii="Palatino Linotype" w:hAnsi="Palatino Linotype" w:eastAsia="Times New Roman" w:cs="Times New Roman"/>
          <w:kern w:val="0"/>
          <w14:ligatures w14:val="none"/>
        </w:rPr>
        <w:t xml:space="preserve">net </w:t>
      </w:r>
      <w:r w:rsidRPr="00046294" w:rsidR="00046294">
        <w:rPr>
          <w:rFonts w:ascii="Palatino Linotype" w:hAnsi="Palatino Linotype" w:eastAsia="Times New Roman" w:cs="Times New Roman"/>
          <w:kern w:val="0"/>
          <w14:ligatures w14:val="none"/>
        </w:rPr>
        <w:t xml:space="preserve">revenues to offset those costs. </w:t>
      </w:r>
      <w:r w:rsidR="009E2AC1">
        <w:rPr>
          <w:rFonts w:ascii="Palatino Linotype" w:hAnsi="Palatino Linotype" w:eastAsia="Times New Roman" w:cs="Times New Roman"/>
          <w:kern w:val="0"/>
          <w14:ligatures w14:val="none"/>
        </w:rPr>
        <w:t xml:space="preserve">In order to </w:t>
      </w:r>
      <w:r w:rsidR="00E4493D">
        <w:rPr>
          <w:rFonts w:ascii="Palatino Linotype" w:hAnsi="Palatino Linotype" w:eastAsia="Times New Roman" w:cs="Times New Roman"/>
          <w:kern w:val="0"/>
          <w14:ligatures w14:val="none"/>
        </w:rPr>
        <w:t>increase ratepayer protections</w:t>
      </w:r>
      <w:r w:rsidR="00CE5332">
        <w:rPr>
          <w:rFonts w:ascii="Palatino Linotype" w:hAnsi="Palatino Linotype" w:eastAsia="Times New Roman" w:cs="Times New Roman"/>
          <w:kern w:val="0"/>
          <w14:ligatures w14:val="none"/>
        </w:rPr>
        <w:t xml:space="preserve"> </w:t>
      </w:r>
      <w:r w:rsidR="009E2AC1">
        <w:rPr>
          <w:rFonts w:ascii="Palatino Linotype" w:hAnsi="Palatino Linotype" w:eastAsia="Times New Roman" w:cs="Times New Roman"/>
          <w:kern w:val="0"/>
          <w14:ligatures w14:val="none"/>
        </w:rPr>
        <w:t xml:space="preserve">in this exceptional case, </w:t>
      </w:r>
      <w:r w:rsidR="0072427C">
        <w:rPr>
          <w:rFonts w:ascii="Palatino Linotype" w:hAnsi="Palatino Linotype" w:eastAsia="Times New Roman" w:cs="Times New Roman"/>
          <w:kern w:val="0"/>
          <w14:ligatures w14:val="none"/>
        </w:rPr>
        <w:t xml:space="preserve">the Commission </w:t>
      </w:r>
      <w:r w:rsidR="00925272">
        <w:rPr>
          <w:rFonts w:ascii="Palatino Linotype" w:hAnsi="Palatino Linotype" w:eastAsia="Times New Roman" w:cs="Times New Roman"/>
          <w:kern w:val="0"/>
          <w14:ligatures w14:val="none"/>
        </w:rPr>
        <w:t xml:space="preserve">requires </w:t>
      </w:r>
      <w:r w:rsidR="004345D8">
        <w:rPr>
          <w:rFonts w:ascii="Palatino Linotype" w:hAnsi="Palatino Linotype" w:eastAsia="Times New Roman" w:cs="Times New Roman"/>
          <w:kern w:val="0"/>
          <w14:ligatures w14:val="none"/>
        </w:rPr>
        <w:t>modifying</w:t>
      </w:r>
      <w:r w:rsidR="0072427C">
        <w:rPr>
          <w:rFonts w:ascii="Palatino Linotype" w:hAnsi="Palatino Linotype" w:eastAsia="Times New Roman" w:cs="Times New Roman"/>
          <w:kern w:val="0"/>
          <w14:ligatures w14:val="none"/>
        </w:rPr>
        <w:t xml:space="preserve"> the refund process</w:t>
      </w:r>
      <w:r w:rsidR="00925272">
        <w:rPr>
          <w:rFonts w:ascii="Palatino Linotype" w:hAnsi="Palatino Linotype" w:eastAsia="Times New Roman" w:cs="Times New Roman"/>
          <w:kern w:val="0"/>
          <w14:ligatures w14:val="none"/>
        </w:rPr>
        <w:t xml:space="preserve"> to limit refunds to 75 percent of </w:t>
      </w:r>
      <w:r w:rsidR="005B764E">
        <w:rPr>
          <w:rFonts w:ascii="Palatino Linotype" w:hAnsi="Palatino Linotype" w:eastAsia="Times New Roman" w:cs="Times New Roman"/>
          <w:kern w:val="0"/>
          <w14:ligatures w14:val="none"/>
        </w:rPr>
        <w:t xml:space="preserve">PG&amp;E’s annual </w:t>
      </w:r>
      <w:r w:rsidR="00925272">
        <w:rPr>
          <w:rFonts w:ascii="Palatino Linotype" w:hAnsi="Palatino Linotype" w:eastAsia="Times New Roman" w:cs="Times New Roman"/>
          <w:kern w:val="0"/>
          <w14:ligatures w14:val="none"/>
        </w:rPr>
        <w:t>net revenues</w:t>
      </w:r>
      <w:r w:rsidR="005B764E">
        <w:rPr>
          <w:rFonts w:ascii="Palatino Linotype" w:hAnsi="Palatino Linotype" w:eastAsia="Times New Roman" w:cs="Times New Roman"/>
          <w:kern w:val="0"/>
          <w14:ligatures w14:val="none"/>
        </w:rPr>
        <w:t xml:space="preserve"> from STACK</w:t>
      </w:r>
      <w:r w:rsidR="00253CE0">
        <w:rPr>
          <w:rFonts w:ascii="Palatino Linotype" w:hAnsi="Palatino Linotype" w:eastAsia="Times New Roman" w:cs="Times New Roman"/>
          <w:kern w:val="0"/>
          <w14:ligatures w14:val="none"/>
        </w:rPr>
        <w:t xml:space="preserve">, which are the </w:t>
      </w:r>
      <w:r w:rsidR="00925272">
        <w:rPr>
          <w:rFonts w:ascii="Palatino Linotype" w:hAnsi="Palatino Linotype" w:eastAsia="Times New Roman" w:cs="Times New Roman"/>
          <w:kern w:val="0"/>
          <w14:ligatures w14:val="none"/>
        </w:rPr>
        <w:t>transmission-related revenues</w:t>
      </w:r>
      <w:r w:rsidR="00F2681E">
        <w:rPr>
          <w:rFonts w:ascii="Palatino Linotype" w:hAnsi="Palatino Linotype" w:eastAsia="Times New Roman" w:cs="Times New Roman"/>
          <w:kern w:val="0"/>
          <w14:ligatures w14:val="none"/>
        </w:rPr>
        <w:t>.</w:t>
      </w:r>
      <w:r w:rsidR="008F6814">
        <w:rPr>
          <w:rFonts w:ascii="Palatino Linotype" w:hAnsi="Palatino Linotype" w:eastAsia="Times New Roman" w:cs="Times New Roman"/>
          <w:kern w:val="0"/>
          <w14:ligatures w14:val="none"/>
        </w:rPr>
        <w:t xml:space="preserve"> </w:t>
      </w:r>
      <w:r w:rsidRPr="00046294" w:rsidR="00046294">
        <w:rPr>
          <w:rFonts w:ascii="Palatino Linotype" w:hAnsi="Palatino Linotype" w:eastAsia="Times New Roman" w:cs="Times New Roman"/>
          <w:kern w:val="0"/>
          <w14:ligatures w14:val="none"/>
        </w:rPr>
        <w:t>This approach protect</w:t>
      </w:r>
      <w:r w:rsidR="00B43893">
        <w:rPr>
          <w:rFonts w:ascii="Palatino Linotype" w:hAnsi="Palatino Linotype" w:eastAsia="Times New Roman" w:cs="Times New Roman"/>
          <w:kern w:val="0"/>
          <w14:ligatures w14:val="none"/>
        </w:rPr>
        <w:t>s</w:t>
      </w:r>
      <w:r w:rsidRPr="00046294" w:rsidR="00046294">
        <w:rPr>
          <w:rFonts w:ascii="Palatino Linotype" w:hAnsi="Palatino Linotype" w:eastAsia="Times New Roman" w:cs="Times New Roman"/>
          <w:kern w:val="0"/>
          <w14:ligatures w14:val="none"/>
        </w:rPr>
        <w:t xml:space="preserve"> ratepayers</w:t>
      </w:r>
      <w:r w:rsidR="00667C69">
        <w:rPr>
          <w:rFonts w:ascii="Palatino Linotype" w:hAnsi="Palatino Linotype" w:eastAsia="Times New Roman" w:cs="Times New Roman"/>
          <w:kern w:val="0"/>
          <w14:ligatures w14:val="none"/>
        </w:rPr>
        <w:t xml:space="preserve"> </w:t>
      </w:r>
      <w:r w:rsidR="00191F5D">
        <w:rPr>
          <w:rFonts w:ascii="Palatino Linotype" w:hAnsi="Palatino Linotype" w:eastAsia="Times New Roman" w:cs="Times New Roman"/>
          <w:kern w:val="0"/>
          <w14:ligatures w14:val="none"/>
        </w:rPr>
        <w:t xml:space="preserve">while still </w:t>
      </w:r>
      <w:r w:rsidR="00654E4A">
        <w:rPr>
          <w:rFonts w:ascii="Palatino Linotype" w:hAnsi="Palatino Linotype" w:eastAsia="Times New Roman" w:cs="Times New Roman"/>
          <w:kern w:val="0"/>
          <w14:ligatures w14:val="none"/>
        </w:rPr>
        <w:t>allowing STACK</w:t>
      </w:r>
      <w:r w:rsidR="003370F5">
        <w:rPr>
          <w:rFonts w:ascii="Palatino Linotype" w:hAnsi="Palatino Linotype" w:eastAsia="Times New Roman" w:cs="Times New Roman"/>
          <w:kern w:val="0"/>
          <w14:ligatures w14:val="none"/>
        </w:rPr>
        <w:t xml:space="preserve"> to </w:t>
      </w:r>
      <w:r w:rsidR="0052711D">
        <w:rPr>
          <w:rFonts w:ascii="Palatino Linotype" w:hAnsi="Palatino Linotype" w:eastAsia="Times New Roman" w:cs="Times New Roman"/>
          <w:kern w:val="0"/>
          <w14:ligatures w14:val="none"/>
        </w:rPr>
        <w:t xml:space="preserve">energize and receive </w:t>
      </w:r>
      <w:r w:rsidR="00654E4A">
        <w:rPr>
          <w:rFonts w:ascii="Palatino Linotype" w:hAnsi="Palatino Linotype" w:eastAsia="Times New Roman" w:cs="Times New Roman"/>
          <w:kern w:val="0"/>
          <w14:ligatures w14:val="none"/>
        </w:rPr>
        <w:t>a full refund over time.</w:t>
      </w:r>
      <w:r w:rsidR="003717FC">
        <w:rPr>
          <w:rFonts w:ascii="Palatino Linotype" w:hAnsi="Palatino Linotype" w:eastAsia="Times New Roman" w:cs="Times New Roman"/>
          <w:kern w:val="0"/>
          <w14:ligatures w14:val="none"/>
        </w:rPr>
        <w:t xml:space="preserve"> </w:t>
      </w:r>
      <w:r w:rsidR="003717FC">
        <w:rPr>
          <w:rFonts w:ascii="Palatino Linotype" w:hAnsi="Palatino Linotype" w:eastAsia="Aptos" w:cs="Times New Roman"/>
        </w:rPr>
        <w:t>This would lead to a slower refund process, but would not affect the total refund amount.</w:t>
      </w:r>
    </w:p>
    <w:p w:rsidRPr="001942D0" w:rsidR="00A76F4A" w:rsidP="00DB0D2E" w:rsidRDefault="00A76F4A" w14:paraId="3CCFFB44" w14:textId="5BFC4154">
      <w:pPr>
        <w:keepNext/>
        <w:spacing w:before="360" w:after="240" w:line="240" w:lineRule="auto"/>
        <w:outlineLvl w:val="0"/>
        <w:rPr>
          <w:rFonts w:ascii="Palatino Linotype" w:hAnsi="Palatino Linotype" w:eastAsia="Palatino Linotype" w:cs="Times New Roman"/>
          <w:b/>
          <w:caps/>
          <w:kern w:val="28"/>
          <w:u w:val="single"/>
          <w14:ligatures w14:val="none"/>
        </w:rPr>
      </w:pPr>
      <w:r w:rsidRPr="001942D0">
        <w:rPr>
          <w:rFonts w:ascii="Palatino Linotype" w:hAnsi="Palatino Linotype" w:eastAsia="Palatino Linotype" w:cs="Times New Roman"/>
          <w:b/>
          <w:caps/>
          <w:kern w:val="28"/>
          <w:u w:val="single"/>
          <w14:ligatures w14:val="none"/>
        </w:rPr>
        <w:t>Background</w:t>
      </w:r>
    </w:p>
    <w:p w:rsidR="002C0ECD" w:rsidP="001C7001" w:rsidRDefault="002C0ECD" w14:paraId="569ED431" w14:textId="142E1262">
      <w:pPr>
        <w:spacing w:after="0" w:line="240" w:lineRule="auto"/>
        <w:rPr>
          <w:rFonts w:ascii="Palatino Linotype" w:hAnsi="Palatino Linotype" w:eastAsia="Times New Roman" w:cs="Times New Roman"/>
          <w:kern w:val="0"/>
          <w14:ligatures w14:val="none"/>
        </w:rPr>
      </w:pPr>
      <w:r w:rsidRPr="002C0ECD">
        <w:rPr>
          <w:rFonts w:ascii="Palatino Linotype" w:hAnsi="Palatino Linotype" w:eastAsia="Times New Roman" w:cs="Times New Roman"/>
          <w:kern w:val="0"/>
          <w14:ligatures w14:val="none"/>
        </w:rPr>
        <w:t>On April 18, 2025, Pacific Gas and Electric Company (PG&amp;E) submitted Advice Letter (AL) 7569-E requesting California Public Utilities Commission (Commission) approval of two agreements—an Agreement to Perform Tariff Schedule Related Work and an Agreement for Installation or Allocation of Special Facilities—executed with SI SVY01PG&amp;E, LLC (</w:t>
      </w:r>
      <w:r w:rsidR="002E6768">
        <w:rPr>
          <w:rFonts w:ascii="Palatino Linotype" w:hAnsi="Palatino Linotype" w:eastAsia="Times New Roman" w:cs="Times New Roman"/>
          <w:kern w:val="0"/>
          <w14:ligatures w14:val="none"/>
        </w:rPr>
        <w:t>STACK</w:t>
      </w:r>
      <w:r w:rsidR="00E23600">
        <w:rPr>
          <w:rFonts w:ascii="Palatino Linotype" w:hAnsi="Palatino Linotype" w:eastAsia="Times New Roman" w:cs="Times New Roman"/>
          <w:kern w:val="0"/>
          <w14:ligatures w14:val="none"/>
        </w:rPr>
        <w:t xml:space="preserve"> Infrastructure or STACK</w:t>
      </w:r>
      <w:r w:rsidRPr="002C0ECD">
        <w:rPr>
          <w:rFonts w:ascii="Palatino Linotype" w:hAnsi="Palatino Linotype" w:eastAsia="Times New Roman" w:cs="Times New Roman"/>
          <w:kern w:val="0"/>
          <w14:ligatures w14:val="none"/>
        </w:rPr>
        <w:t>). The agreements are intended to support the installation of new electric transmission facilities necessary to serve a proposed 90 megawatt (MW) data center project at 2400 Ringwood Avenue in San Jose, California. The estimated cost of the required facilities is $85.9 million, inclusive of Income Tax Component of Contribution (ITCC), with project completion anticipated by April 2026.</w:t>
      </w:r>
    </w:p>
    <w:p w:rsidRPr="002C0ECD" w:rsidR="002C0ECD" w:rsidP="001C7001" w:rsidRDefault="002C0ECD" w14:paraId="3E1E0AD1" w14:textId="77777777">
      <w:pPr>
        <w:spacing w:after="0" w:line="240" w:lineRule="auto"/>
        <w:rPr>
          <w:rFonts w:ascii="Palatino Linotype" w:hAnsi="Palatino Linotype" w:eastAsia="Times New Roman" w:cs="Times New Roman"/>
          <w:kern w:val="0"/>
          <w14:ligatures w14:val="none"/>
        </w:rPr>
      </w:pPr>
    </w:p>
    <w:p w:rsidR="002C0ECD" w:rsidP="00CE448A" w:rsidRDefault="002C0ECD" w14:paraId="263F448D" w14:textId="77777777">
      <w:pPr>
        <w:keepNext/>
        <w:spacing w:after="0" w:line="240" w:lineRule="auto"/>
        <w:rPr>
          <w:rFonts w:ascii="Palatino Linotype" w:hAnsi="Palatino Linotype" w:eastAsia="Times New Roman" w:cs="Times New Roman"/>
          <w:b/>
          <w:bCs/>
          <w:kern w:val="0"/>
          <w14:ligatures w14:val="none"/>
        </w:rPr>
      </w:pPr>
      <w:r w:rsidRPr="002C0ECD">
        <w:rPr>
          <w:rFonts w:ascii="Palatino Linotype" w:hAnsi="Palatino Linotype" w:eastAsia="Times New Roman" w:cs="Times New Roman"/>
          <w:b/>
          <w:bCs/>
          <w:kern w:val="0"/>
          <w14:ligatures w14:val="none"/>
        </w:rPr>
        <w:t>Project Overview and Justification for Exceptional Treatment</w:t>
      </w:r>
    </w:p>
    <w:p w:rsidRPr="002C0ECD" w:rsidR="002C0ECD" w:rsidP="00CE448A" w:rsidRDefault="002C0ECD" w14:paraId="6E8D4C88" w14:textId="77777777">
      <w:pPr>
        <w:keepNext/>
        <w:spacing w:after="0" w:line="240" w:lineRule="auto"/>
        <w:rPr>
          <w:rFonts w:ascii="Palatino Linotype" w:hAnsi="Palatino Linotype" w:eastAsia="Times New Roman" w:cs="Times New Roman"/>
          <w:kern w:val="0"/>
          <w14:ligatures w14:val="none"/>
        </w:rPr>
      </w:pPr>
    </w:p>
    <w:p w:rsidR="002C0ECD" w:rsidP="00CE448A" w:rsidRDefault="002C0ECD" w14:paraId="6435AC83" w14:textId="2F664F9F">
      <w:pPr>
        <w:keepNext/>
        <w:spacing w:after="0" w:line="240" w:lineRule="auto"/>
        <w:rPr>
          <w:rFonts w:ascii="Palatino Linotype" w:hAnsi="Palatino Linotype" w:eastAsia="Times New Roman" w:cs="Times New Roman"/>
          <w:kern w:val="0"/>
          <w14:ligatures w14:val="none"/>
        </w:rPr>
      </w:pPr>
      <w:r w:rsidRPr="002C0ECD">
        <w:rPr>
          <w:rFonts w:ascii="Palatino Linotype" w:hAnsi="Palatino Linotype" w:eastAsia="Times New Roman" w:cs="Times New Roman"/>
          <w:kern w:val="0"/>
          <w14:ligatures w14:val="none"/>
        </w:rPr>
        <w:t xml:space="preserve">STACK's proposed data center represents a significant new load with continuous 24/7 operations. PG&amp;E states that the project requires a new PG&amp;E-owned Ringwood </w:t>
      </w:r>
      <w:r w:rsidR="00F34442">
        <w:rPr>
          <w:rFonts w:ascii="Palatino Linotype" w:hAnsi="Palatino Linotype" w:eastAsia="Times New Roman" w:cs="Times New Roman"/>
          <w:kern w:val="0"/>
          <w14:ligatures w14:val="none"/>
        </w:rPr>
        <w:lastRenderedPageBreak/>
        <w:t>subs</w:t>
      </w:r>
      <w:r w:rsidRPr="002C0ECD">
        <w:rPr>
          <w:rFonts w:ascii="Palatino Linotype" w:hAnsi="Palatino Linotype" w:eastAsia="Times New Roman" w:cs="Times New Roman"/>
          <w:kern w:val="0"/>
          <w14:ligatures w14:val="none"/>
        </w:rPr>
        <w:t xml:space="preserve">tation, </w:t>
      </w:r>
      <w:r w:rsidR="008B0736">
        <w:rPr>
          <w:rFonts w:ascii="Palatino Linotype" w:hAnsi="Palatino Linotype" w:eastAsia="Times New Roman" w:cs="Times New Roman"/>
          <w:kern w:val="0"/>
          <w14:ligatures w14:val="none"/>
        </w:rPr>
        <w:t xml:space="preserve">connected at </w:t>
      </w:r>
      <w:r w:rsidRPr="002C0ECD">
        <w:rPr>
          <w:rFonts w:ascii="Palatino Linotype" w:hAnsi="Palatino Linotype" w:eastAsia="Times New Roman" w:cs="Times New Roman"/>
          <w:kern w:val="0"/>
          <w14:ligatures w14:val="none"/>
        </w:rPr>
        <w:t xml:space="preserve">115 kilovolt (kV) </w:t>
      </w:r>
      <w:r w:rsidR="008B0736">
        <w:rPr>
          <w:rFonts w:ascii="Palatino Linotype" w:hAnsi="Palatino Linotype" w:eastAsia="Times New Roman" w:cs="Times New Roman"/>
          <w:kern w:val="0"/>
          <w14:ligatures w14:val="none"/>
        </w:rPr>
        <w:t>to</w:t>
      </w:r>
      <w:r w:rsidRPr="002C0ECD">
        <w:rPr>
          <w:rFonts w:ascii="Palatino Linotype" w:hAnsi="Palatino Linotype" w:eastAsia="Times New Roman" w:cs="Times New Roman"/>
          <w:kern w:val="0"/>
          <w14:ligatures w14:val="none"/>
        </w:rPr>
        <w:t xml:space="preserve"> PG&amp;E’s Newark and Milpitas substations. The scope and nature of the infrastructure needs—especially the transmission-level interconnection and switching station—present unique considerations not fully addressed by standard Electric Rules 2, 15, and 16.</w:t>
      </w:r>
      <w:r w:rsidR="00015689">
        <w:rPr>
          <w:rFonts w:ascii="Palatino Linotype" w:hAnsi="Palatino Linotype" w:eastAsia="Times New Roman" w:cs="Times New Roman"/>
          <w:kern w:val="0"/>
          <w14:ligatures w14:val="none"/>
        </w:rPr>
        <w:t xml:space="preserve"> These rules normally apply to customers seeking energization at the distribution level.</w:t>
      </w:r>
    </w:p>
    <w:p w:rsidRPr="002C0ECD" w:rsidR="002C0ECD" w:rsidP="001C7001" w:rsidRDefault="002C0ECD" w14:paraId="4EE98D98" w14:textId="77777777">
      <w:pPr>
        <w:spacing w:after="0" w:line="240" w:lineRule="auto"/>
        <w:rPr>
          <w:rFonts w:ascii="Palatino Linotype" w:hAnsi="Palatino Linotype" w:eastAsia="Times New Roman" w:cs="Times New Roman"/>
          <w:kern w:val="0"/>
          <w14:ligatures w14:val="none"/>
        </w:rPr>
      </w:pPr>
    </w:p>
    <w:p w:rsidR="002C0ECD" w:rsidP="001C7001" w:rsidRDefault="002C0ECD" w14:paraId="7A280EE1" w14:textId="5A2F8C98">
      <w:pPr>
        <w:spacing w:after="0" w:line="240" w:lineRule="auto"/>
        <w:rPr>
          <w:rFonts w:ascii="Palatino Linotype" w:hAnsi="Palatino Linotype" w:eastAsia="Times New Roman" w:cs="Times New Roman"/>
          <w:kern w:val="0"/>
          <w14:ligatures w14:val="none"/>
        </w:rPr>
      </w:pPr>
      <w:r w:rsidRPr="002C0ECD">
        <w:rPr>
          <w:rFonts w:ascii="Palatino Linotype" w:hAnsi="Palatino Linotype" w:eastAsia="Times New Roman" w:cs="Times New Roman"/>
          <w:kern w:val="0"/>
          <w14:ligatures w14:val="none"/>
        </w:rPr>
        <w:t xml:space="preserve">PG&amp;E therefore seeks Commission approval of these agreements under </w:t>
      </w:r>
      <w:r w:rsidRPr="002C0ECD" w:rsidR="00585909">
        <w:rPr>
          <w:rFonts w:ascii="Palatino Linotype" w:hAnsi="Palatino Linotype" w:eastAsia="Times New Roman" w:cs="Times New Roman"/>
          <w:kern w:val="0"/>
          <w14:ligatures w14:val="none"/>
        </w:rPr>
        <w:t>Electric Rules 2, 15, and 16</w:t>
      </w:r>
      <w:r w:rsidR="00585909">
        <w:rPr>
          <w:rFonts w:ascii="Palatino Linotype" w:hAnsi="Palatino Linotype" w:eastAsia="Times New Roman" w:cs="Times New Roman"/>
          <w:kern w:val="0"/>
          <w14:ligatures w14:val="none"/>
        </w:rPr>
        <w:t xml:space="preserve"> with exceptional provisional terms and conditions</w:t>
      </w:r>
      <w:r w:rsidRPr="002C0ECD">
        <w:rPr>
          <w:rFonts w:ascii="Palatino Linotype" w:hAnsi="Palatino Linotype" w:eastAsia="Times New Roman" w:cs="Times New Roman"/>
          <w:kern w:val="0"/>
          <w14:ligatures w14:val="none"/>
        </w:rPr>
        <w:t xml:space="preserve">. The </w:t>
      </w:r>
      <w:r w:rsidR="0097189E">
        <w:rPr>
          <w:rFonts w:ascii="Palatino Linotype" w:hAnsi="Palatino Linotype" w:eastAsia="Times New Roman" w:cs="Times New Roman"/>
          <w:kern w:val="0"/>
          <w14:ligatures w14:val="none"/>
        </w:rPr>
        <w:t xml:space="preserve">proposed </w:t>
      </w:r>
      <w:r w:rsidR="00BF6C32">
        <w:rPr>
          <w:rFonts w:ascii="Palatino Linotype" w:hAnsi="Palatino Linotype" w:eastAsia="Times New Roman" w:cs="Times New Roman"/>
          <w:kern w:val="0"/>
          <w14:ligatures w14:val="none"/>
        </w:rPr>
        <w:t>exceptional provisional terms and conditions allow PG&amp;E to</w:t>
      </w:r>
      <w:r w:rsidRPr="002C0ECD">
        <w:rPr>
          <w:rFonts w:ascii="Palatino Linotype" w:hAnsi="Palatino Linotype" w:eastAsia="Times New Roman" w:cs="Times New Roman"/>
          <w:kern w:val="0"/>
          <w14:ligatures w14:val="none"/>
        </w:rPr>
        <w:t xml:space="preserve"> (1) perform work on an actual cost basis rather than an estimated cost basis, (2) </w:t>
      </w:r>
      <w:r w:rsidR="00EA61EA">
        <w:rPr>
          <w:rFonts w:ascii="Palatino Linotype" w:hAnsi="Palatino Linotype" w:eastAsia="Times New Roman" w:cs="Times New Roman"/>
          <w:kern w:val="0"/>
          <w14:ligatures w14:val="none"/>
        </w:rPr>
        <w:t>remove the</w:t>
      </w:r>
      <w:r w:rsidR="000E02EC">
        <w:rPr>
          <w:rFonts w:ascii="Palatino Linotype" w:hAnsi="Palatino Linotype" w:eastAsia="Times New Roman" w:cs="Times New Roman"/>
          <w:kern w:val="0"/>
          <w14:ligatures w14:val="none"/>
        </w:rPr>
        <w:t xml:space="preserve"> option for a customer to choose a</w:t>
      </w:r>
      <w:r w:rsidR="00EA61EA">
        <w:rPr>
          <w:rFonts w:ascii="Palatino Linotype" w:hAnsi="Palatino Linotype" w:eastAsia="Times New Roman" w:cs="Times New Roman"/>
          <w:kern w:val="0"/>
          <w14:ligatures w14:val="none"/>
        </w:rPr>
        <w:t xml:space="preserve"> fifty percent discount </w:t>
      </w:r>
      <w:r w:rsidR="000E02EC">
        <w:rPr>
          <w:rFonts w:ascii="Palatino Linotype" w:hAnsi="Palatino Linotype" w:eastAsia="Times New Roman" w:cs="Times New Roman"/>
          <w:kern w:val="0"/>
          <w14:ligatures w14:val="none"/>
        </w:rPr>
        <w:t>in lieu of all refunds</w:t>
      </w:r>
      <w:r w:rsidRPr="002C0ECD">
        <w:rPr>
          <w:rFonts w:ascii="Palatino Linotype" w:hAnsi="Palatino Linotype" w:eastAsia="Times New Roman" w:cs="Times New Roman"/>
          <w:kern w:val="0"/>
          <w14:ligatures w14:val="none"/>
        </w:rPr>
        <w:t>, and (3) establish special payment schedules and refund eligibility terms. PG&amp;E asserts that these deviations are justified to reduce financial risk to existing ratepayers and to fairly allocate the costs of large-scale, customer-driven infrastructure upgrades.</w:t>
      </w:r>
    </w:p>
    <w:p w:rsidRPr="002C0ECD" w:rsidR="002C0ECD" w:rsidP="001C7001" w:rsidRDefault="002C0ECD" w14:paraId="59EB9A41" w14:textId="77777777">
      <w:pPr>
        <w:spacing w:after="0" w:line="240" w:lineRule="auto"/>
        <w:rPr>
          <w:rFonts w:ascii="Palatino Linotype" w:hAnsi="Palatino Linotype" w:eastAsia="Times New Roman" w:cs="Times New Roman"/>
          <w:kern w:val="0"/>
          <w14:ligatures w14:val="none"/>
        </w:rPr>
      </w:pPr>
    </w:p>
    <w:p w:rsidR="002C0ECD" w:rsidP="001C7001" w:rsidRDefault="002C0ECD" w14:paraId="6DCFC027" w14:textId="77777777">
      <w:pPr>
        <w:spacing w:after="0" w:line="240" w:lineRule="auto"/>
        <w:rPr>
          <w:rFonts w:ascii="Palatino Linotype" w:hAnsi="Palatino Linotype" w:eastAsia="Times New Roman" w:cs="Times New Roman"/>
          <w:b/>
          <w:bCs/>
          <w:kern w:val="0"/>
          <w14:ligatures w14:val="none"/>
        </w:rPr>
      </w:pPr>
      <w:r w:rsidRPr="002C0ECD">
        <w:rPr>
          <w:rFonts w:ascii="Palatino Linotype" w:hAnsi="Palatino Linotype" w:eastAsia="Times New Roman" w:cs="Times New Roman"/>
          <w:b/>
          <w:bCs/>
          <w:kern w:val="0"/>
          <w14:ligatures w14:val="none"/>
        </w:rPr>
        <w:t>Summary of Agreements and Proposed Deviations</w:t>
      </w:r>
    </w:p>
    <w:p w:rsidRPr="002C0ECD" w:rsidR="002C0ECD" w:rsidP="001C7001" w:rsidRDefault="002C0ECD" w14:paraId="3DAFF5B6" w14:textId="77777777">
      <w:pPr>
        <w:spacing w:after="0" w:line="240" w:lineRule="auto"/>
        <w:rPr>
          <w:rFonts w:ascii="Palatino Linotype" w:hAnsi="Palatino Linotype" w:eastAsia="Times New Roman" w:cs="Times New Roman"/>
          <w:kern w:val="0"/>
          <w14:ligatures w14:val="none"/>
        </w:rPr>
      </w:pPr>
    </w:p>
    <w:p w:rsidRPr="002C0ECD" w:rsidR="002C0ECD" w:rsidP="001C7001" w:rsidRDefault="002C0ECD" w14:paraId="560B8018" w14:textId="6FB7CDAE">
      <w:pPr>
        <w:spacing w:after="0" w:line="240" w:lineRule="auto"/>
        <w:rPr>
          <w:rFonts w:ascii="Palatino Linotype" w:hAnsi="Palatino Linotype" w:eastAsia="Times New Roman" w:cs="Times New Roman"/>
          <w:kern w:val="0"/>
          <w14:ligatures w14:val="none"/>
        </w:rPr>
      </w:pPr>
      <w:r w:rsidRPr="002C0ECD">
        <w:rPr>
          <w:rFonts w:ascii="Palatino Linotype" w:hAnsi="Palatino Linotype" w:eastAsia="Times New Roman" w:cs="Times New Roman"/>
          <w:kern w:val="0"/>
          <w14:ligatures w14:val="none"/>
        </w:rPr>
        <w:t xml:space="preserve">The </w:t>
      </w:r>
      <w:r w:rsidRPr="002C0ECD">
        <w:rPr>
          <w:rFonts w:ascii="Palatino Linotype" w:hAnsi="Palatino Linotype" w:eastAsia="Times New Roman" w:cs="Times New Roman"/>
          <w:b/>
          <w:bCs/>
          <w:kern w:val="0"/>
          <w14:ligatures w14:val="none"/>
        </w:rPr>
        <w:t xml:space="preserve">Agreement to Perform </w:t>
      </w:r>
      <w:r w:rsidR="000E02EC">
        <w:rPr>
          <w:rFonts w:ascii="Palatino Linotype" w:hAnsi="Palatino Linotype" w:eastAsia="Times New Roman" w:cs="Times New Roman"/>
          <w:b/>
          <w:bCs/>
          <w:kern w:val="0"/>
          <w14:ligatures w14:val="none"/>
        </w:rPr>
        <w:t xml:space="preserve">Tariff Schedule Related </w:t>
      </w:r>
      <w:r w:rsidRPr="002C0ECD">
        <w:rPr>
          <w:rFonts w:ascii="Palatino Linotype" w:hAnsi="Palatino Linotype" w:eastAsia="Times New Roman" w:cs="Times New Roman"/>
          <w:b/>
          <w:bCs/>
          <w:kern w:val="0"/>
          <w14:ligatures w14:val="none"/>
        </w:rPr>
        <w:t>Work</w:t>
      </w:r>
      <w:r w:rsidRPr="002C0ECD">
        <w:rPr>
          <w:rFonts w:ascii="Palatino Linotype" w:hAnsi="Palatino Linotype" w:eastAsia="Times New Roman" w:cs="Times New Roman"/>
          <w:kern w:val="0"/>
          <w14:ligatures w14:val="none"/>
        </w:rPr>
        <w:t xml:space="preserve"> (Form 62-4527) outlines the scope</w:t>
      </w:r>
      <w:r w:rsidR="00F42EDF">
        <w:rPr>
          <w:rFonts w:ascii="Palatino Linotype" w:hAnsi="Palatino Linotype" w:eastAsia="Times New Roman" w:cs="Times New Roman"/>
          <w:kern w:val="0"/>
          <w14:ligatures w14:val="none"/>
        </w:rPr>
        <w:t xml:space="preserve"> and</w:t>
      </w:r>
      <w:r w:rsidRPr="002C0ECD">
        <w:rPr>
          <w:rFonts w:ascii="Palatino Linotype" w:hAnsi="Palatino Linotype" w:eastAsia="Times New Roman" w:cs="Times New Roman"/>
          <w:kern w:val="0"/>
          <w14:ligatures w14:val="none"/>
        </w:rPr>
        <w:t xml:space="preserve"> cost for the transmission construction activities, including exhibits detailing a preliminary cost estimate, work description, and special terms. </w:t>
      </w:r>
      <w:r w:rsidR="00821376">
        <w:rPr>
          <w:rFonts w:ascii="Palatino Linotype" w:hAnsi="Palatino Linotype" w:eastAsia="Times New Roman" w:cs="Times New Roman"/>
          <w:kern w:val="0"/>
          <w14:ligatures w14:val="none"/>
        </w:rPr>
        <w:t xml:space="preserve">This agreement covers potentially refundable costs of </w:t>
      </w:r>
      <w:r w:rsidR="00F42EDF">
        <w:rPr>
          <w:rFonts w:ascii="Palatino Linotype" w:hAnsi="Palatino Linotype" w:eastAsia="Times New Roman" w:cs="Times New Roman"/>
          <w:kern w:val="0"/>
          <w14:ligatures w14:val="none"/>
        </w:rPr>
        <w:t>about</w:t>
      </w:r>
      <w:r w:rsidR="00821376">
        <w:rPr>
          <w:rFonts w:ascii="Palatino Linotype" w:hAnsi="Palatino Linotype" w:eastAsia="Times New Roman" w:cs="Times New Roman"/>
          <w:kern w:val="0"/>
          <w14:ligatures w14:val="none"/>
        </w:rPr>
        <w:t xml:space="preserve"> $50 million. </w:t>
      </w:r>
      <w:r w:rsidR="00251307">
        <w:rPr>
          <w:rFonts w:ascii="Palatino Linotype" w:hAnsi="Palatino Linotype" w:eastAsia="Times New Roman" w:cs="Times New Roman"/>
          <w:kern w:val="0"/>
          <w14:ligatures w14:val="none"/>
        </w:rPr>
        <w:t>The agreement notes that</w:t>
      </w:r>
      <w:r w:rsidRPr="002C0ECD">
        <w:rPr>
          <w:rFonts w:ascii="Palatino Linotype" w:hAnsi="Palatino Linotype" w:eastAsia="Times New Roman" w:cs="Times New Roman"/>
          <w:kern w:val="0"/>
          <w14:ligatures w14:val="none"/>
        </w:rPr>
        <w:t>:</w:t>
      </w:r>
    </w:p>
    <w:p w:rsidRPr="002C0ECD" w:rsidR="002C0ECD" w:rsidP="001C7001" w:rsidRDefault="002C0ECD" w14:paraId="123DF02A" w14:textId="77959A74">
      <w:pPr>
        <w:numPr>
          <w:ilvl w:val="0"/>
          <w:numId w:val="9"/>
        </w:numPr>
        <w:spacing w:after="0" w:line="240" w:lineRule="auto"/>
        <w:rPr>
          <w:rFonts w:ascii="Palatino Linotype" w:hAnsi="Palatino Linotype" w:eastAsia="Times New Roman" w:cs="Times New Roman"/>
          <w:kern w:val="0"/>
          <w14:ligatures w14:val="none"/>
        </w:rPr>
      </w:pPr>
      <w:r w:rsidRPr="002C0ECD">
        <w:rPr>
          <w:rFonts w:ascii="Palatino Linotype" w:hAnsi="Palatino Linotype" w:eastAsia="Times New Roman" w:cs="Times New Roman"/>
          <w:kern w:val="0"/>
          <w14:ligatures w14:val="none"/>
        </w:rPr>
        <w:t xml:space="preserve">STACK will not be eligible for the </w:t>
      </w:r>
      <w:r w:rsidR="00821376">
        <w:rPr>
          <w:rFonts w:ascii="Palatino Linotype" w:hAnsi="Palatino Linotype" w:eastAsia="Times New Roman" w:cs="Times New Roman"/>
          <w:kern w:val="0"/>
          <w14:ligatures w14:val="none"/>
        </w:rPr>
        <w:t>fifty percent discount option</w:t>
      </w:r>
      <w:r w:rsidRPr="002C0ECD">
        <w:rPr>
          <w:rFonts w:ascii="Palatino Linotype" w:hAnsi="Palatino Linotype" w:eastAsia="Times New Roman" w:cs="Times New Roman"/>
          <w:kern w:val="0"/>
          <w14:ligatures w14:val="none"/>
        </w:rPr>
        <w:t xml:space="preserve"> typically provided under Electric Rule 15.</w:t>
      </w:r>
    </w:p>
    <w:p w:rsidRPr="002C0ECD" w:rsidR="002C0ECD" w:rsidP="001C7001" w:rsidRDefault="002C0ECD" w14:paraId="6D332DC2" w14:textId="77777777">
      <w:pPr>
        <w:numPr>
          <w:ilvl w:val="0"/>
          <w:numId w:val="9"/>
        </w:numPr>
        <w:spacing w:after="0" w:line="240" w:lineRule="auto"/>
        <w:rPr>
          <w:rFonts w:ascii="Palatino Linotype" w:hAnsi="Palatino Linotype" w:eastAsia="Times New Roman" w:cs="Times New Roman"/>
          <w:kern w:val="0"/>
          <w14:ligatures w14:val="none"/>
        </w:rPr>
      </w:pPr>
      <w:r w:rsidRPr="002C0ECD">
        <w:rPr>
          <w:rFonts w:ascii="Palatino Linotype" w:hAnsi="Palatino Linotype" w:eastAsia="Times New Roman" w:cs="Times New Roman"/>
          <w:kern w:val="0"/>
          <w14:ligatures w14:val="none"/>
        </w:rPr>
        <w:t>STACK must pay the actual, not estimated, cost of the work.</w:t>
      </w:r>
    </w:p>
    <w:p w:rsidRPr="002C0ECD" w:rsidR="002C0ECD" w:rsidP="001C7001" w:rsidRDefault="002C0ECD" w14:paraId="5F6F55A6" w14:textId="77777777">
      <w:pPr>
        <w:numPr>
          <w:ilvl w:val="0"/>
          <w:numId w:val="9"/>
        </w:numPr>
        <w:spacing w:after="0" w:line="240" w:lineRule="auto"/>
        <w:rPr>
          <w:rFonts w:ascii="Palatino Linotype" w:hAnsi="Palatino Linotype" w:eastAsia="Times New Roman" w:cs="Times New Roman"/>
          <w:kern w:val="0"/>
          <w14:ligatures w14:val="none"/>
        </w:rPr>
      </w:pPr>
      <w:r w:rsidRPr="002C0ECD">
        <w:rPr>
          <w:rFonts w:ascii="Palatino Linotype" w:hAnsi="Palatino Linotype" w:eastAsia="Times New Roman" w:cs="Times New Roman"/>
          <w:kern w:val="0"/>
          <w14:ligatures w14:val="none"/>
        </w:rPr>
        <w:t>Progress billing will be used in lieu of a one-time advance payment.</w:t>
      </w:r>
    </w:p>
    <w:p w:rsidR="002C0ECD" w:rsidP="001C7001" w:rsidRDefault="002C0ECD" w14:paraId="4D35A9FB" w14:textId="70B15A4C">
      <w:pPr>
        <w:numPr>
          <w:ilvl w:val="0"/>
          <w:numId w:val="9"/>
        </w:numPr>
        <w:spacing w:after="0" w:line="240" w:lineRule="auto"/>
        <w:rPr>
          <w:rFonts w:ascii="Palatino Linotype" w:hAnsi="Palatino Linotype" w:eastAsia="Times New Roman" w:cs="Times New Roman"/>
          <w:kern w:val="0"/>
          <w14:ligatures w14:val="none"/>
        </w:rPr>
      </w:pPr>
      <w:r w:rsidRPr="002C0ECD">
        <w:rPr>
          <w:rFonts w:ascii="Palatino Linotype" w:hAnsi="Palatino Linotype" w:eastAsia="Times New Roman" w:cs="Times New Roman"/>
          <w:kern w:val="0"/>
          <w14:ligatures w14:val="none"/>
        </w:rPr>
        <w:t>Refunds, if any, will be based on electric revenues attributable to STACK and capped at the “refundable amount” defined in the agreement.</w:t>
      </w:r>
      <w:r w:rsidR="00821376">
        <w:rPr>
          <w:rFonts w:ascii="Palatino Linotype" w:hAnsi="Palatino Linotype" w:eastAsia="Times New Roman" w:cs="Times New Roman"/>
          <w:kern w:val="0"/>
          <w14:ligatures w14:val="none"/>
        </w:rPr>
        <w:t xml:space="preserve"> This follows the standard B</w:t>
      </w:r>
      <w:r w:rsidR="00687938">
        <w:rPr>
          <w:rFonts w:ascii="Palatino Linotype" w:hAnsi="Palatino Linotype" w:eastAsia="Times New Roman" w:cs="Times New Roman"/>
          <w:kern w:val="0"/>
          <w14:ligatures w14:val="none"/>
        </w:rPr>
        <w:t>ase Annual Revenue Calculation (BARC) process</w:t>
      </w:r>
      <w:r w:rsidR="00821D8C">
        <w:rPr>
          <w:rFonts w:ascii="Palatino Linotype" w:hAnsi="Palatino Linotype" w:eastAsia="Times New Roman" w:cs="Times New Roman"/>
          <w:kern w:val="0"/>
          <w14:ligatures w14:val="none"/>
        </w:rPr>
        <w:t xml:space="preserve"> defined in Electric Rule 15</w:t>
      </w:r>
      <w:r w:rsidR="00687938">
        <w:rPr>
          <w:rFonts w:ascii="Palatino Linotype" w:hAnsi="Palatino Linotype" w:eastAsia="Times New Roman" w:cs="Times New Roman"/>
          <w:kern w:val="0"/>
          <w14:ligatures w14:val="none"/>
        </w:rPr>
        <w:t>.</w:t>
      </w:r>
      <w:r w:rsidR="00044898">
        <w:rPr>
          <w:rFonts w:ascii="Palatino Linotype" w:hAnsi="Palatino Linotype" w:eastAsia="Times New Roman" w:cs="Times New Roman"/>
          <w:kern w:val="0"/>
          <w14:ligatures w14:val="none"/>
        </w:rPr>
        <w:t xml:space="preserve"> After a 10-year period, any outstanding refundable amount would be forfeit.</w:t>
      </w:r>
    </w:p>
    <w:p w:rsidRPr="002C0ECD" w:rsidR="002C0ECD" w:rsidP="001C7001" w:rsidRDefault="002C0ECD" w14:paraId="0C030FBC" w14:textId="77777777">
      <w:pPr>
        <w:spacing w:after="0" w:line="240" w:lineRule="auto"/>
        <w:ind w:left="720"/>
        <w:rPr>
          <w:rFonts w:ascii="Palatino Linotype" w:hAnsi="Palatino Linotype" w:eastAsia="Times New Roman" w:cs="Times New Roman"/>
          <w:kern w:val="0"/>
          <w14:ligatures w14:val="none"/>
        </w:rPr>
      </w:pPr>
    </w:p>
    <w:p w:rsidR="002C0ECD" w:rsidP="001C7001" w:rsidRDefault="002C0ECD" w14:paraId="1EC6D282" w14:textId="5076200E">
      <w:pPr>
        <w:spacing w:after="0" w:line="240" w:lineRule="auto"/>
        <w:rPr>
          <w:rFonts w:ascii="Palatino Linotype" w:hAnsi="Palatino Linotype" w:eastAsia="Times New Roman" w:cs="Times New Roman"/>
          <w:kern w:val="0"/>
          <w14:ligatures w14:val="none"/>
        </w:rPr>
      </w:pPr>
      <w:r w:rsidRPr="002C0ECD">
        <w:rPr>
          <w:rFonts w:ascii="Palatino Linotype" w:hAnsi="Palatino Linotype" w:eastAsia="Times New Roman" w:cs="Times New Roman"/>
          <w:kern w:val="0"/>
          <w14:ligatures w14:val="none"/>
        </w:rPr>
        <w:t xml:space="preserve">The </w:t>
      </w:r>
      <w:r w:rsidR="00687938">
        <w:rPr>
          <w:rFonts w:ascii="Palatino Linotype" w:hAnsi="Palatino Linotype" w:eastAsia="Times New Roman" w:cs="Times New Roman"/>
          <w:b/>
          <w:bCs/>
          <w:kern w:val="0"/>
          <w14:ligatures w14:val="none"/>
        </w:rPr>
        <w:t>Agreement for Installation or Allocation of S</w:t>
      </w:r>
      <w:r w:rsidRPr="002C0ECD">
        <w:rPr>
          <w:rFonts w:ascii="Palatino Linotype" w:hAnsi="Palatino Linotype" w:eastAsia="Times New Roman" w:cs="Times New Roman"/>
          <w:b/>
          <w:bCs/>
          <w:kern w:val="0"/>
          <w14:ligatures w14:val="none"/>
        </w:rPr>
        <w:t>pecial Facilities</w:t>
      </w:r>
      <w:r w:rsidRPr="002C0ECD">
        <w:rPr>
          <w:rFonts w:ascii="Palatino Linotype" w:hAnsi="Palatino Linotype" w:eastAsia="Times New Roman" w:cs="Times New Roman"/>
          <w:kern w:val="0"/>
          <w14:ligatures w14:val="none"/>
        </w:rPr>
        <w:t xml:space="preserve"> (Form 79-255) covers facilities specifically requested by STACK that exceed PG&amp;E’s standard design. These costs will not be refunded and will be subject to ongoing cost-of-ownership charges. As with the primary agreement, work will be performed on an actual cost basis, and STACK will pay according to a project-specific schedule.</w:t>
      </w:r>
    </w:p>
    <w:p w:rsidRPr="002C0ECD" w:rsidR="002C0ECD" w:rsidP="001C7001" w:rsidRDefault="002C0ECD" w14:paraId="6E0FAB26" w14:textId="77777777">
      <w:pPr>
        <w:spacing w:after="0" w:line="240" w:lineRule="auto"/>
        <w:rPr>
          <w:rFonts w:ascii="Palatino Linotype" w:hAnsi="Palatino Linotype" w:eastAsia="Times New Roman" w:cs="Times New Roman"/>
          <w:kern w:val="0"/>
          <w14:ligatures w14:val="none"/>
        </w:rPr>
      </w:pPr>
    </w:p>
    <w:p w:rsidR="002C0ECD" w:rsidP="001C7001" w:rsidRDefault="002C0ECD" w14:paraId="4C869447" w14:textId="77777777">
      <w:pPr>
        <w:spacing w:after="0" w:line="240" w:lineRule="auto"/>
        <w:rPr>
          <w:rFonts w:ascii="Palatino Linotype" w:hAnsi="Palatino Linotype" w:eastAsia="Times New Roman" w:cs="Times New Roman"/>
          <w:b/>
          <w:bCs/>
          <w:kern w:val="0"/>
          <w14:ligatures w14:val="none"/>
        </w:rPr>
      </w:pPr>
      <w:r w:rsidRPr="002C0ECD">
        <w:rPr>
          <w:rFonts w:ascii="Palatino Linotype" w:hAnsi="Palatino Linotype" w:eastAsia="Times New Roman" w:cs="Times New Roman"/>
          <w:b/>
          <w:bCs/>
          <w:kern w:val="0"/>
          <w14:ligatures w14:val="none"/>
        </w:rPr>
        <w:t>Ratepayer Protections and Cost Recovery</w:t>
      </w:r>
    </w:p>
    <w:p w:rsidRPr="002C0ECD" w:rsidR="002C0ECD" w:rsidP="001C7001" w:rsidRDefault="002C0ECD" w14:paraId="442135E4" w14:textId="77777777">
      <w:pPr>
        <w:spacing w:after="0" w:line="240" w:lineRule="auto"/>
        <w:rPr>
          <w:rFonts w:ascii="Palatino Linotype" w:hAnsi="Palatino Linotype" w:eastAsia="Times New Roman" w:cs="Times New Roman"/>
          <w:kern w:val="0"/>
          <w14:ligatures w14:val="none"/>
        </w:rPr>
      </w:pPr>
    </w:p>
    <w:p w:rsidR="002C0ECD" w:rsidP="001C7001" w:rsidRDefault="002C0ECD" w14:paraId="61F33378" w14:textId="561A5772">
      <w:pPr>
        <w:spacing w:after="0" w:line="240" w:lineRule="auto"/>
        <w:rPr>
          <w:rFonts w:ascii="Palatino Linotype" w:hAnsi="Palatino Linotype" w:eastAsia="Times New Roman" w:cs="Times New Roman"/>
          <w:kern w:val="0"/>
          <w14:ligatures w14:val="none"/>
        </w:rPr>
      </w:pPr>
      <w:r w:rsidRPr="002C0ECD">
        <w:rPr>
          <w:rFonts w:ascii="Palatino Linotype" w:hAnsi="Palatino Linotype" w:eastAsia="Times New Roman" w:cs="Times New Roman"/>
          <w:kern w:val="0"/>
          <w14:ligatures w14:val="none"/>
        </w:rPr>
        <w:lastRenderedPageBreak/>
        <w:t xml:space="preserve">PG&amp;E emphasizes that requiring STACK to pay actual project costs mitigates the risk of </w:t>
      </w:r>
      <w:r w:rsidR="00AF5E30">
        <w:rPr>
          <w:rFonts w:ascii="Palatino Linotype" w:hAnsi="Palatino Linotype" w:eastAsia="Times New Roman" w:cs="Times New Roman"/>
          <w:kern w:val="0"/>
          <w14:ligatures w14:val="none"/>
        </w:rPr>
        <w:t xml:space="preserve">over- or under-payment </w:t>
      </w:r>
      <w:r w:rsidR="00C25E6E">
        <w:rPr>
          <w:rFonts w:ascii="Palatino Linotype" w:hAnsi="Palatino Linotype" w:eastAsia="Times New Roman" w:cs="Times New Roman"/>
          <w:kern w:val="0"/>
          <w14:ligatures w14:val="none"/>
        </w:rPr>
        <w:t>for</w:t>
      </w:r>
      <w:r w:rsidR="00F25692">
        <w:rPr>
          <w:rFonts w:ascii="Palatino Linotype" w:hAnsi="Palatino Linotype" w:eastAsia="Times New Roman" w:cs="Times New Roman"/>
          <w:kern w:val="0"/>
          <w14:ligatures w14:val="none"/>
        </w:rPr>
        <w:t xml:space="preserve"> both STACK and</w:t>
      </w:r>
      <w:r w:rsidRPr="002C0ECD">
        <w:rPr>
          <w:rFonts w:ascii="Palatino Linotype" w:hAnsi="Palatino Linotype" w:eastAsia="Times New Roman" w:cs="Times New Roman"/>
          <w:kern w:val="0"/>
          <w14:ligatures w14:val="none"/>
        </w:rPr>
        <w:t xml:space="preserve"> existing customers. PG&amp;E also </w:t>
      </w:r>
      <w:r w:rsidR="005F556B">
        <w:rPr>
          <w:rFonts w:ascii="Palatino Linotype" w:hAnsi="Palatino Linotype" w:eastAsia="Times New Roman" w:cs="Times New Roman"/>
          <w:kern w:val="0"/>
          <w14:ligatures w14:val="none"/>
        </w:rPr>
        <w:t>proposes</w:t>
      </w:r>
      <w:r w:rsidRPr="002C0ECD">
        <w:rPr>
          <w:rFonts w:ascii="Palatino Linotype" w:hAnsi="Palatino Linotype" w:eastAsia="Times New Roman" w:cs="Times New Roman"/>
          <w:kern w:val="0"/>
          <w14:ligatures w14:val="none"/>
        </w:rPr>
        <w:t xml:space="preserve"> that refunds to STACK</w:t>
      </w:r>
      <w:r w:rsidR="00856A1B">
        <w:rPr>
          <w:rFonts w:ascii="Palatino Linotype" w:hAnsi="Palatino Linotype" w:eastAsia="Times New Roman" w:cs="Times New Roman"/>
          <w:kern w:val="0"/>
          <w14:ligatures w14:val="none"/>
        </w:rPr>
        <w:t xml:space="preserve"> </w:t>
      </w:r>
      <w:r w:rsidRPr="002C0ECD">
        <w:rPr>
          <w:rFonts w:ascii="Palatino Linotype" w:hAnsi="Palatino Linotype" w:eastAsia="Times New Roman" w:cs="Times New Roman"/>
          <w:kern w:val="0"/>
          <w14:ligatures w14:val="none"/>
        </w:rPr>
        <w:t xml:space="preserve">will be issued </w:t>
      </w:r>
      <w:r w:rsidR="00044898">
        <w:rPr>
          <w:rFonts w:ascii="Palatino Linotype" w:hAnsi="Palatino Linotype" w:eastAsia="Times New Roman" w:cs="Times New Roman"/>
          <w:kern w:val="0"/>
          <w14:ligatures w14:val="none"/>
        </w:rPr>
        <w:t>following</w:t>
      </w:r>
      <w:r w:rsidRPr="002C0ECD">
        <w:rPr>
          <w:rFonts w:ascii="Palatino Linotype" w:hAnsi="Palatino Linotype" w:eastAsia="Times New Roman" w:cs="Times New Roman"/>
          <w:kern w:val="0"/>
          <w14:ligatures w14:val="none"/>
        </w:rPr>
        <w:t xml:space="preserve"> the </w:t>
      </w:r>
      <w:r w:rsidR="00CC568E">
        <w:rPr>
          <w:rFonts w:ascii="Palatino Linotype" w:hAnsi="Palatino Linotype" w:eastAsia="Times New Roman" w:cs="Times New Roman"/>
          <w:kern w:val="0"/>
          <w14:ligatures w14:val="none"/>
        </w:rPr>
        <w:t>BARC</w:t>
      </w:r>
      <w:r w:rsidRPr="002C0ECD">
        <w:rPr>
          <w:rFonts w:ascii="Palatino Linotype" w:hAnsi="Palatino Linotype" w:eastAsia="Times New Roman" w:cs="Times New Roman"/>
          <w:kern w:val="0"/>
          <w14:ligatures w14:val="none"/>
        </w:rPr>
        <w:t xml:space="preserve"> methodology under Electric Rule 15</w:t>
      </w:r>
      <w:r w:rsidR="00856A1B">
        <w:rPr>
          <w:rFonts w:ascii="Palatino Linotype" w:hAnsi="Palatino Linotype" w:eastAsia="Times New Roman" w:cs="Times New Roman"/>
          <w:kern w:val="0"/>
          <w14:ligatures w14:val="none"/>
        </w:rPr>
        <w:t xml:space="preserve">, which is based on </w:t>
      </w:r>
      <w:r w:rsidR="009D1139">
        <w:rPr>
          <w:rFonts w:ascii="Palatino Linotype" w:hAnsi="Palatino Linotype" w:eastAsia="Times New Roman" w:cs="Times New Roman"/>
          <w:kern w:val="0"/>
          <w14:ligatures w14:val="none"/>
        </w:rPr>
        <w:t>the revenues a facility generates and an estimate of future expected revenues</w:t>
      </w:r>
      <w:r w:rsidRPr="002C0ECD">
        <w:rPr>
          <w:rFonts w:ascii="Palatino Linotype" w:hAnsi="Palatino Linotype" w:eastAsia="Times New Roman" w:cs="Times New Roman"/>
          <w:kern w:val="0"/>
          <w14:ligatures w14:val="none"/>
        </w:rPr>
        <w:t>. Special Facilities costs will not be recovered from other ratepayers.</w:t>
      </w:r>
    </w:p>
    <w:p w:rsidR="00CC568E" w:rsidP="001C7001" w:rsidRDefault="00CC568E" w14:paraId="7BC05ACB" w14:textId="77777777">
      <w:pPr>
        <w:spacing w:after="0" w:line="240" w:lineRule="auto"/>
        <w:rPr>
          <w:rFonts w:ascii="Palatino Linotype" w:hAnsi="Palatino Linotype" w:eastAsia="Times New Roman" w:cs="Times New Roman"/>
          <w:kern w:val="0"/>
          <w14:ligatures w14:val="none"/>
        </w:rPr>
      </w:pPr>
    </w:p>
    <w:p w:rsidR="0043425F" w:rsidP="001C7001" w:rsidRDefault="00982FDE" w14:paraId="02872F10" w14:textId="19963389">
      <w:pPr>
        <w:spacing w:after="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 xml:space="preserve">Under </w:t>
      </w:r>
      <w:r w:rsidR="005F556B">
        <w:rPr>
          <w:rFonts w:ascii="Palatino Linotype" w:hAnsi="Palatino Linotype" w:eastAsia="Times New Roman" w:cs="Times New Roman"/>
          <w:kern w:val="0"/>
          <w14:ligatures w14:val="none"/>
        </w:rPr>
        <w:t>the</w:t>
      </w:r>
      <w:r>
        <w:rPr>
          <w:rFonts w:ascii="Palatino Linotype" w:hAnsi="Palatino Linotype" w:eastAsia="Times New Roman" w:cs="Times New Roman"/>
          <w:kern w:val="0"/>
          <w14:ligatures w14:val="none"/>
        </w:rPr>
        <w:t xml:space="preserve"> st</w:t>
      </w:r>
      <w:r w:rsidR="004113DA">
        <w:rPr>
          <w:rFonts w:ascii="Palatino Linotype" w:hAnsi="Palatino Linotype" w:eastAsia="Times New Roman" w:cs="Times New Roman"/>
          <w:kern w:val="0"/>
          <w14:ligatures w14:val="none"/>
        </w:rPr>
        <w:t xml:space="preserve">andard refund process, </w:t>
      </w:r>
      <w:r w:rsidR="009D1139">
        <w:rPr>
          <w:rFonts w:ascii="Palatino Linotype" w:hAnsi="Palatino Linotype" w:eastAsia="Times New Roman" w:cs="Times New Roman"/>
          <w:kern w:val="0"/>
          <w14:ligatures w14:val="none"/>
        </w:rPr>
        <w:t>using</w:t>
      </w:r>
      <w:r w:rsidR="004113DA">
        <w:rPr>
          <w:rFonts w:ascii="Palatino Linotype" w:hAnsi="Palatino Linotype" w:eastAsia="Times New Roman" w:cs="Times New Roman"/>
          <w:kern w:val="0"/>
          <w14:ligatures w14:val="none"/>
        </w:rPr>
        <w:t xml:space="preserve"> the BARC methodology, </w:t>
      </w:r>
      <w:r w:rsidR="00272FEF">
        <w:rPr>
          <w:rFonts w:ascii="Palatino Linotype" w:hAnsi="Palatino Linotype" w:eastAsia="Times New Roman" w:cs="Times New Roman"/>
          <w:kern w:val="0"/>
          <w14:ligatures w14:val="none"/>
        </w:rPr>
        <w:t xml:space="preserve">a customer would provide up-front payments to cover their </w:t>
      </w:r>
      <w:r w:rsidDel="006545CF" w:rsidR="009D1139">
        <w:rPr>
          <w:rFonts w:ascii="Palatino Linotype" w:hAnsi="Palatino Linotype" w:eastAsia="Times New Roman" w:cs="Times New Roman"/>
          <w:kern w:val="0"/>
          <w14:ligatures w14:val="none"/>
        </w:rPr>
        <w:t>direct</w:t>
      </w:r>
      <w:r w:rsidR="00291743">
        <w:rPr>
          <w:rFonts w:ascii="Palatino Linotype" w:hAnsi="Palatino Linotype" w:eastAsia="Times New Roman" w:cs="Times New Roman"/>
          <w:kern w:val="0"/>
          <w14:ligatures w14:val="none"/>
        </w:rPr>
        <w:t xml:space="preserve"> </w:t>
      </w:r>
      <w:r w:rsidR="00272FEF">
        <w:rPr>
          <w:rFonts w:ascii="Palatino Linotype" w:hAnsi="Palatino Linotype" w:eastAsia="Times New Roman" w:cs="Times New Roman"/>
          <w:kern w:val="0"/>
          <w14:ligatures w14:val="none"/>
        </w:rPr>
        <w:t>cost of energization.</w:t>
      </w:r>
      <w:r w:rsidR="007A7AE9">
        <w:rPr>
          <w:rFonts w:ascii="Palatino Linotype" w:hAnsi="Palatino Linotype" w:eastAsia="Times New Roman" w:cs="Times New Roman"/>
          <w:kern w:val="0"/>
          <w14:ligatures w14:val="none"/>
        </w:rPr>
        <w:t xml:space="preserve"> </w:t>
      </w:r>
      <w:r w:rsidR="00221EA1">
        <w:rPr>
          <w:rFonts w:ascii="Palatino Linotype" w:hAnsi="Palatino Linotype" w:eastAsia="Times New Roman" w:cs="Times New Roman"/>
          <w:kern w:val="0"/>
          <w14:ligatures w14:val="none"/>
        </w:rPr>
        <w:t xml:space="preserve">This up-front payment would not cover </w:t>
      </w:r>
      <w:r w:rsidR="00291743">
        <w:rPr>
          <w:rFonts w:ascii="Palatino Linotype" w:hAnsi="Palatino Linotype" w:eastAsia="Times New Roman" w:cs="Times New Roman"/>
          <w:kern w:val="0"/>
          <w14:ligatures w14:val="none"/>
        </w:rPr>
        <w:t>broader</w:t>
      </w:r>
      <w:r w:rsidR="00221EA1">
        <w:rPr>
          <w:rFonts w:ascii="Palatino Linotype" w:hAnsi="Palatino Linotype" w:eastAsia="Times New Roman" w:cs="Times New Roman"/>
          <w:kern w:val="0"/>
          <w14:ligatures w14:val="none"/>
        </w:rPr>
        <w:t xml:space="preserve"> costs of energization, such as upgrades to the broader transmission network </w:t>
      </w:r>
      <w:r w:rsidR="00F21092">
        <w:rPr>
          <w:rFonts w:ascii="Palatino Linotype" w:hAnsi="Palatino Linotype" w:eastAsia="Times New Roman" w:cs="Times New Roman"/>
          <w:kern w:val="0"/>
          <w14:ligatures w14:val="none"/>
        </w:rPr>
        <w:t xml:space="preserve">also </w:t>
      </w:r>
      <w:r w:rsidR="00BE284C">
        <w:rPr>
          <w:rFonts w:ascii="Palatino Linotype" w:hAnsi="Palatino Linotype" w:eastAsia="Times New Roman" w:cs="Times New Roman"/>
          <w:kern w:val="0"/>
          <w14:ligatures w14:val="none"/>
        </w:rPr>
        <w:t>related</w:t>
      </w:r>
      <w:r w:rsidR="00221EA1">
        <w:rPr>
          <w:rFonts w:ascii="Palatino Linotype" w:hAnsi="Palatino Linotype" w:eastAsia="Times New Roman" w:cs="Times New Roman"/>
          <w:kern w:val="0"/>
          <w14:ligatures w14:val="none"/>
        </w:rPr>
        <w:t xml:space="preserve"> to </w:t>
      </w:r>
      <w:r w:rsidR="00ED4E50">
        <w:rPr>
          <w:rFonts w:ascii="Palatino Linotype" w:hAnsi="Palatino Linotype" w:eastAsia="Times New Roman" w:cs="Times New Roman"/>
          <w:kern w:val="0"/>
          <w14:ligatures w14:val="none"/>
        </w:rPr>
        <w:t>other system or customer needs</w:t>
      </w:r>
      <w:r w:rsidR="00221EA1">
        <w:rPr>
          <w:rFonts w:ascii="Palatino Linotype" w:hAnsi="Palatino Linotype" w:eastAsia="Times New Roman" w:cs="Times New Roman"/>
          <w:kern w:val="0"/>
          <w14:ligatures w14:val="none"/>
        </w:rPr>
        <w:t>.</w:t>
      </w:r>
      <w:r w:rsidR="00272FEF">
        <w:rPr>
          <w:rFonts w:ascii="Palatino Linotype" w:hAnsi="Palatino Linotype" w:eastAsia="Times New Roman" w:cs="Times New Roman"/>
          <w:kern w:val="0"/>
          <w14:ligatures w14:val="none"/>
        </w:rPr>
        <w:t xml:space="preserve"> Once the customer is energized, they would be eligible for a refund </w:t>
      </w:r>
      <w:r w:rsidR="00A328E7">
        <w:rPr>
          <w:rFonts w:ascii="Palatino Linotype" w:hAnsi="Palatino Linotype" w:eastAsia="Times New Roman" w:cs="Times New Roman"/>
          <w:kern w:val="0"/>
          <w14:ligatures w14:val="none"/>
        </w:rPr>
        <w:t xml:space="preserve">of these up-front payments, </w:t>
      </w:r>
      <w:r w:rsidR="00272FEF">
        <w:rPr>
          <w:rFonts w:ascii="Palatino Linotype" w:hAnsi="Palatino Linotype" w:eastAsia="Times New Roman" w:cs="Times New Roman"/>
          <w:kern w:val="0"/>
          <w14:ligatures w14:val="none"/>
        </w:rPr>
        <w:t xml:space="preserve">based on their current </w:t>
      </w:r>
      <w:r w:rsidR="00244120">
        <w:rPr>
          <w:rFonts w:ascii="Palatino Linotype" w:hAnsi="Palatino Linotype" w:eastAsia="Times New Roman" w:cs="Times New Roman"/>
          <w:kern w:val="0"/>
          <w14:ligatures w14:val="none"/>
        </w:rPr>
        <w:t xml:space="preserve">load and expected </w:t>
      </w:r>
      <w:r w:rsidR="00F353B9">
        <w:rPr>
          <w:rFonts w:ascii="Palatino Linotype" w:hAnsi="Palatino Linotype" w:eastAsia="Times New Roman" w:cs="Times New Roman"/>
          <w:kern w:val="0"/>
          <w14:ligatures w14:val="none"/>
        </w:rPr>
        <w:t xml:space="preserve">future </w:t>
      </w:r>
      <w:r w:rsidR="00244120">
        <w:rPr>
          <w:rFonts w:ascii="Palatino Linotype" w:hAnsi="Palatino Linotype" w:eastAsia="Times New Roman" w:cs="Times New Roman"/>
          <w:kern w:val="0"/>
          <w14:ligatures w14:val="none"/>
        </w:rPr>
        <w:t>revenue</w:t>
      </w:r>
      <w:r w:rsidR="00F353B9">
        <w:rPr>
          <w:rFonts w:ascii="Palatino Linotype" w:hAnsi="Palatino Linotype" w:eastAsia="Times New Roman" w:cs="Times New Roman"/>
          <w:kern w:val="0"/>
          <w14:ligatures w14:val="none"/>
        </w:rPr>
        <w:t>s</w:t>
      </w:r>
      <w:r w:rsidR="00244120">
        <w:rPr>
          <w:rFonts w:ascii="Palatino Linotype" w:hAnsi="Palatino Linotype" w:eastAsia="Times New Roman" w:cs="Times New Roman"/>
          <w:kern w:val="0"/>
          <w14:ligatures w14:val="none"/>
        </w:rPr>
        <w:t>.</w:t>
      </w:r>
      <w:r w:rsidR="00AF062C">
        <w:rPr>
          <w:rFonts w:ascii="Palatino Linotype" w:hAnsi="Palatino Linotype" w:eastAsia="Times New Roman" w:cs="Times New Roman"/>
          <w:kern w:val="0"/>
          <w14:ligatures w14:val="none"/>
        </w:rPr>
        <w:t xml:space="preserve"> </w:t>
      </w:r>
      <w:r w:rsidR="00A51215">
        <w:rPr>
          <w:rFonts w:ascii="Palatino Linotype" w:hAnsi="Palatino Linotype" w:eastAsia="Times New Roman" w:cs="Times New Roman"/>
          <w:kern w:val="0"/>
          <w14:ligatures w14:val="none"/>
        </w:rPr>
        <w:t>In brief, t</w:t>
      </w:r>
      <w:r w:rsidR="0037147E">
        <w:rPr>
          <w:rFonts w:ascii="Palatino Linotype" w:hAnsi="Palatino Linotype" w:eastAsia="Times New Roman" w:cs="Times New Roman"/>
          <w:kern w:val="0"/>
          <w14:ligatures w14:val="none"/>
        </w:rPr>
        <w:t>he BARC methodology</w:t>
      </w:r>
      <w:r w:rsidR="00E725AF">
        <w:rPr>
          <w:rFonts w:ascii="Palatino Linotype" w:hAnsi="Palatino Linotype" w:eastAsia="Times New Roman" w:cs="Times New Roman"/>
          <w:kern w:val="0"/>
          <w14:ligatures w14:val="none"/>
        </w:rPr>
        <w:t xml:space="preserve"> takes current </w:t>
      </w:r>
      <w:r w:rsidR="00C37440">
        <w:rPr>
          <w:rFonts w:ascii="Palatino Linotype" w:hAnsi="Palatino Linotype" w:eastAsia="Times New Roman" w:cs="Times New Roman"/>
          <w:kern w:val="0"/>
          <w14:ligatures w14:val="none"/>
        </w:rPr>
        <w:t xml:space="preserve">annual </w:t>
      </w:r>
      <w:r w:rsidR="00E725AF">
        <w:rPr>
          <w:rFonts w:ascii="Palatino Linotype" w:hAnsi="Palatino Linotype" w:eastAsia="Times New Roman" w:cs="Times New Roman"/>
          <w:kern w:val="0"/>
          <w14:ligatures w14:val="none"/>
        </w:rPr>
        <w:t xml:space="preserve">revenues from the customer and </w:t>
      </w:r>
      <w:r w:rsidR="007E5D0C">
        <w:rPr>
          <w:rFonts w:ascii="Palatino Linotype" w:hAnsi="Palatino Linotype" w:eastAsia="Times New Roman" w:cs="Times New Roman"/>
          <w:kern w:val="0"/>
          <w14:ligatures w14:val="none"/>
        </w:rPr>
        <w:t>assumes</w:t>
      </w:r>
      <w:r w:rsidR="00C37440">
        <w:rPr>
          <w:rFonts w:ascii="Palatino Linotype" w:hAnsi="Palatino Linotype" w:eastAsia="Times New Roman" w:cs="Times New Roman"/>
          <w:kern w:val="0"/>
          <w14:ligatures w14:val="none"/>
        </w:rPr>
        <w:t xml:space="preserve"> those revenues will continue into the</w:t>
      </w:r>
      <w:r w:rsidR="0037147E">
        <w:rPr>
          <w:rFonts w:ascii="Palatino Linotype" w:hAnsi="Palatino Linotype" w:eastAsia="Times New Roman" w:cs="Times New Roman"/>
          <w:kern w:val="0"/>
          <w14:ligatures w14:val="none"/>
        </w:rPr>
        <w:t xml:space="preserve"> future</w:t>
      </w:r>
      <w:r w:rsidR="00C37440">
        <w:rPr>
          <w:rFonts w:ascii="Palatino Linotype" w:hAnsi="Palatino Linotype" w:eastAsia="Times New Roman" w:cs="Times New Roman"/>
          <w:kern w:val="0"/>
          <w14:ligatures w14:val="none"/>
        </w:rPr>
        <w:t>.</w:t>
      </w:r>
      <w:r w:rsidR="00E725AF">
        <w:rPr>
          <w:rFonts w:ascii="Palatino Linotype" w:hAnsi="Palatino Linotype" w:eastAsia="Times New Roman" w:cs="Times New Roman"/>
          <w:kern w:val="0"/>
          <w14:ligatures w14:val="none"/>
        </w:rPr>
        <w:t xml:space="preserve"> </w:t>
      </w:r>
      <w:r w:rsidR="00C37440">
        <w:rPr>
          <w:rFonts w:ascii="Palatino Linotype" w:hAnsi="Palatino Linotype" w:eastAsia="Times New Roman" w:cs="Times New Roman"/>
          <w:kern w:val="0"/>
          <w14:ligatures w14:val="none"/>
        </w:rPr>
        <w:t>T</w:t>
      </w:r>
      <w:r w:rsidR="00E725AF">
        <w:rPr>
          <w:rFonts w:ascii="Palatino Linotype" w:hAnsi="Palatino Linotype" w:eastAsia="Times New Roman" w:cs="Times New Roman"/>
          <w:kern w:val="0"/>
          <w14:ligatures w14:val="none"/>
        </w:rPr>
        <w:t>hen</w:t>
      </w:r>
      <w:r w:rsidR="00C37440">
        <w:rPr>
          <w:rFonts w:ascii="Palatino Linotype" w:hAnsi="Palatino Linotype" w:eastAsia="Times New Roman" w:cs="Times New Roman"/>
          <w:kern w:val="0"/>
          <w14:ligatures w14:val="none"/>
        </w:rPr>
        <w:t xml:space="preserve">, the BARC </w:t>
      </w:r>
      <w:r w:rsidR="003C777F">
        <w:rPr>
          <w:rFonts w:ascii="Palatino Linotype" w:hAnsi="Palatino Linotype" w:eastAsia="Times New Roman" w:cs="Times New Roman"/>
          <w:kern w:val="0"/>
          <w14:ligatures w14:val="none"/>
        </w:rPr>
        <w:t xml:space="preserve">methodology </w:t>
      </w:r>
      <w:r w:rsidR="00286F08">
        <w:rPr>
          <w:rFonts w:ascii="Palatino Linotype" w:hAnsi="Palatino Linotype" w:eastAsia="Times New Roman" w:cs="Times New Roman"/>
          <w:kern w:val="0"/>
          <w14:ligatures w14:val="none"/>
        </w:rPr>
        <w:t xml:space="preserve">calculates </w:t>
      </w:r>
      <w:r w:rsidR="007A4F8E">
        <w:rPr>
          <w:rFonts w:ascii="Palatino Linotype" w:hAnsi="Palatino Linotype" w:eastAsia="Times New Roman" w:cs="Times New Roman"/>
          <w:kern w:val="0"/>
          <w14:ligatures w14:val="none"/>
        </w:rPr>
        <w:t>an</w:t>
      </w:r>
      <w:r w:rsidR="006436BB">
        <w:rPr>
          <w:rFonts w:ascii="Palatino Linotype" w:hAnsi="Palatino Linotype" w:eastAsia="Times New Roman" w:cs="Times New Roman"/>
          <w:kern w:val="0"/>
          <w14:ligatures w14:val="none"/>
        </w:rPr>
        <w:t xml:space="preserve"> amount of</w:t>
      </w:r>
      <w:r w:rsidR="00286F08">
        <w:rPr>
          <w:rFonts w:ascii="Palatino Linotype" w:hAnsi="Palatino Linotype" w:eastAsia="Times New Roman" w:cs="Times New Roman"/>
          <w:kern w:val="0"/>
          <w14:ligatures w14:val="none"/>
        </w:rPr>
        <w:t xml:space="preserve"> upfront </w:t>
      </w:r>
      <w:r w:rsidR="006436BB">
        <w:rPr>
          <w:rFonts w:ascii="Palatino Linotype" w:hAnsi="Palatino Linotype" w:eastAsia="Times New Roman" w:cs="Times New Roman"/>
          <w:kern w:val="0"/>
          <w14:ligatures w14:val="none"/>
        </w:rPr>
        <w:t xml:space="preserve">capital costs </w:t>
      </w:r>
      <w:r w:rsidR="007A4F8E">
        <w:rPr>
          <w:rFonts w:ascii="Palatino Linotype" w:hAnsi="Palatino Linotype" w:eastAsia="Times New Roman" w:cs="Times New Roman"/>
          <w:kern w:val="0"/>
          <w14:ligatures w14:val="none"/>
        </w:rPr>
        <w:t>deemed to be</w:t>
      </w:r>
      <w:r w:rsidR="00286F08">
        <w:rPr>
          <w:rFonts w:ascii="Palatino Linotype" w:hAnsi="Palatino Linotype" w:eastAsia="Times New Roman" w:cs="Times New Roman"/>
          <w:kern w:val="0"/>
          <w14:ligatures w14:val="none"/>
        </w:rPr>
        <w:t xml:space="preserve"> justified</w:t>
      </w:r>
      <w:r w:rsidR="00835590">
        <w:rPr>
          <w:rFonts w:ascii="Palatino Linotype" w:hAnsi="Palatino Linotype" w:eastAsia="Times New Roman" w:cs="Times New Roman"/>
          <w:kern w:val="0"/>
          <w14:ligatures w14:val="none"/>
        </w:rPr>
        <w:t>,</w:t>
      </w:r>
      <w:r w:rsidR="00600A6B">
        <w:rPr>
          <w:rFonts w:ascii="Palatino Linotype" w:hAnsi="Palatino Linotype" w:eastAsia="Times New Roman" w:cs="Times New Roman"/>
          <w:kern w:val="0"/>
          <w14:ligatures w14:val="none"/>
        </w:rPr>
        <w:t xml:space="preserve"> based upon</w:t>
      </w:r>
      <w:r w:rsidRPr="00936D96" w:rsidR="007A4F8E">
        <w:rPr>
          <w:rFonts w:ascii="Palatino Linotype" w:hAnsi="Palatino Linotype" w:eastAsia="Times New Roman" w:cs="Times New Roman"/>
          <w:kern w:val="0"/>
          <w14:ligatures w14:val="none"/>
        </w:rPr>
        <w:t xml:space="preserve"> </w:t>
      </w:r>
      <w:r w:rsidR="00286F08">
        <w:rPr>
          <w:rFonts w:ascii="Palatino Linotype" w:hAnsi="Palatino Linotype" w:eastAsia="Times New Roman" w:cs="Times New Roman"/>
          <w:kern w:val="0"/>
          <w14:ligatures w14:val="none"/>
        </w:rPr>
        <w:t xml:space="preserve">this continuous stream of </w:t>
      </w:r>
      <w:r w:rsidR="006436BB">
        <w:rPr>
          <w:rFonts w:ascii="Palatino Linotype" w:hAnsi="Palatino Linotype" w:eastAsia="Times New Roman" w:cs="Times New Roman"/>
          <w:kern w:val="0"/>
          <w14:ligatures w14:val="none"/>
        </w:rPr>
        <w:t xml:space="preserve">future </w:t>
      </w:r>
      <w:r w:rsidR="00286F08">
        <w:rPr>
          <w:rFonts w:ascii="Palatino Linotype" w:hAnsi="Palatino Linotype" w:eastAsia="Times New Roman" w:cs="Times New Roman"/>
          <w:kern w:val="0"/>
          <w14:ligatures w14:val="none"/>
        </w:rPr>
        <w:t>revenues</w:t>
      </w:r>
      <w:r w:rsidR="00A57D99">
        <w:rPr>
          <w:rFonts w:ascii="Palatino Linotype" w:hAnsi="Palatino Linotype" w:eastAsia="Times New Roman" w:cs="Times New Roman"/>
          <w:kern w:val="0"/>
          <w14:ligatures w14:val="none"/>
        </w:rPr>
        <w:t>. Th</w:t>
      </w:r>
      <w:r w:rsidR="00835590">
        <w:rPr>
          <w:rFonts w:ascii="Palatino Linotype" w:hAnsi="Palatino Linotype" w:eastAsia="Times New Roman" w:cs="Times New Roman"/>
          <w:kern w:val="0"/>
          <w14:ligatures w14:val="none"/>
        </w:rPr>
        <w:t>is</w:t>
      </w:r>
      <w:r w:rsidR="00A57D99">
        <w:rPr>
          <w:rFonts w:ascii="Palatino Linotype" w:hAnsi="Palatino Linotype" w:eastAsia="Times New Roman" w:cs="Times New Roman"/>
          <w:kern w:val="0"/>
          <w14:ligatures w14:val="none"/>
        </w:rPr>
        <w:t xml:space="preserve"> total amount of capital costs </w:t>
      </w:r>
      <w:r w:rsidR="00DD76FE">
        <w:rPr>
          <w:rFonts w:ascii="Palatino Linotype" w:hAnsi="Palatino Linotype" w:eastAsia="Times New Roman" w:cs="Times New Roman"/>
          <w:kern w:val="0"/>
          <w14:ligatures w14:val="none"/>
        </w:rPr>
        <w:t>determined</w:t>
      </w:r>
      <w:r w:rsidR="00A57D99">
        <w:rPr>
          <w:rFonts w:ascii="Palatino Linotype" w:hAnsi="Palatino Linotype" w:eastAsia="Times New Roman" w:cs="Times New Roman"/>
          <w:kern w:val="0"/>
          <w14:ligatures w14:val="none"/>
        </w:rPr>
        <w:t xml:space="preserve"> through the BARC methodology is </w:t>
      </w:r>
      <w:r w:rsidR="006436BB">
        <w:rPr>
          <w:rFonts w:ascii="Palatino Linotype" w:hAnsi="Palatino Linotype" w:eastAsia="Times New Roman" w:cs="Times New Roman"/>
          <w:kern w:val="0"/>
          <w14:ligatures w14:val="none"/>
        </w:rPr>
        <w:t xml:space="preserve">called the BARC </w:t>
      </w:r>
      <w:r w:rsidR="005D0F15">
        <w:rPr>
          <w:rFonts w:ascii="Palatino Linotype" w:hAnsi="Palatino Linotype" w:eastAsia="Times New Roman" w:cs="Times New Roman"/>
          <w:kern w:val="0"/>
          <w14:ligatures w14:val="none"/>
        </w:rPr>
        <w:t>Formula amount</w:t>
      </w:r>
      <w:r w:rsidR="00286F08">
        <w:rPr>
          <w:rFonts w:ascii="Palatino Linotype" w:hAnsi="Palatino Linotype" w:eastAsia="Times New Roman" w:cs="Times New Roman"/>
          <w:kern w:val="0"/>
          <w14:ligatures w14:val="none"/>
        </w:rPr>
        <w:t>.</w:t>
      </w:r>
      <w:r w:rsidR="00A57D99">
        <w:rPr>
          <w:rStyle w:val="FootnoteReference"/>
          <w:rFonts w:ascii="Palatino Linotype" w:hAnsi="Palatino Linotype" w:eastAsia="Times New Roman" w:cs="Times New Roman"/>
          <w:kern w:val="0"/>
          <w14:ligatures w14:val="none"/>
        </w:rPr>
        <w:footnoteReference w:id="2"/>
      </w:r>
      <w:r w:rsidR="00286F08">
        <w:rPr>
          <w:rFonts w:ascii="Palatino Linotype" w:hAnsi="Palatino Linotype" w:eastAsia="Times New Roman" w:cs="Times New Roman"/>
          <w:kern w:val="0"/>
          <w14:ligatures w14:val="none"/>
        </w:rPr>
        <w:t xml:space="preserve"> </w:t>
      </w:r>
      <w:r w:rsidR="006436BB">
        <w:rPr>
          <w:rFonts w:ascii="Palatino Linotype" w:hAnsi="Palatino Linotype" w:eastAsia="Times New Roman" w:cs="Times New Roman"/>
          <w:kern w:val="0"/>
          <w14:ligatures w14:val="none"/>
        </w:rPr>
        <w:t>That full amount of costs can be immediately refunded to the customer.</w:t>
      </w:r>
      <w:r w:rsidR="00DF66B3">
        <w:rPr>
          <w:rFonts w:ascii="Palatino Linotype" w:hAnsi="Palatino Linotype" w:eastAsia="Times New Roman" w:cs="Times New Roman"/>
          <w:kern w:val="0"/>
          <w14:ligatures w14:val="none"/>
        </w:rPr>
        <w:t xml:space="preserve"> Because many of the specific details of the STACK case are confidential, we </w:t>
      </w:r>
      <w:r w:rsidR="00A0151F">
        <w:rPr>
          <w:rFonts w:ascii="Palatino Linotype" w:hAnsi="Palatino Linotype" w:eastAsia="Times New Roman" w:cs="Times New Roman"/>
          <w:kern w:val="0"/>
          <w14:ligatures w14:val="none"/>
        </w:rPr>
        <w:t xml:space="preserve">use </w:t>
      </w:r>
      <w:r w:rsidR="00DF66B3">
        <w:rPr>
          <w:rFonts w:ascii="Palatino Linotype" w:hAnsi="Palatino Linotype" w:eastAsia="Times New Roman" w:cs="Times New Roman"/>
          <w:kern w:val="0"/>
          <w14:ligatures w14:val="none"/>
        </w:rPr>
        <w:t>general examples throughout this Resolution to provide clarity without revealing confidential information.</w:t>
      </w:r>
    </w:p>
    <w:p w:rsidR="0043425F" w:rsidP="001C7001" w:rsidRDefault="0043425F" w14:paraId="3E67EFF1" w14:textId="77777777">
      <w:pPr>
        <w:spacing w:after="0" w:line="240" w:lineRule="auto"/>
        <w:rPr>
          <w:rFonts w:ascii="Palatino Linotype" w:hAnsi="Palatino Linotype" w:eastAsia="Times New Roman" w:cs="Times New Roman"/>
          <w:kern w:val="0"/>
          <w14:ligatures w14:val="none"/>
        </w:rPr>
      </w:pPr>
    </w:p>
    <w:p w:rsidR="00ED3176" w:rsidP="001C7001" w:rsidRDefault="00AF062C" w14:paraId="22BEA0E3" w14:textId="4FDB74EA">
      <w:pPr>
        <w:spacing w:after="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 xml:space="preserve">To take a hypothetical example: </w:t>
      </w:r>
      <w:r w:rsidR="001B546F">
        <w:rPr>
          <w:rFonts w:ascii="Palatino Linotype" w:hAnsi="Palatino Linotype" w:eastAsia="Times New Roman" w:cs="Times New Roman"/>
          <w:kern w:val="0"/>
          <w14:ligatures w14:val="none"/>
        </w:rPr>
        <w:t>a</w:t>
      </w:r>
      <w:r>
        <w:rPr>
          <w:rFonts w:ascii="Palatino Linotype" w:hAnsi="Palatino Linotype" w:eastAsia="Times New Roman" w:cs="Times New Roman"/>
          <w:kern w:val="0"/>
          <w14:ligatures w14:val="none"/>
        </w:rPr>
        <w:t xml:space="preserve"> </w:t>
      </w:r>
      <w:r w:rsidR="009F7250">
        <w:rPr>
          <w:rFonts w:ascii="Palatino Linotype" w:hAnsi="Palatino Linotype" w:eastAsia="Times New Roman" w:cs="Times New Roman"/>
          <w:kern w:val="0"/>
          <w14:ligatures w14:val="none"/>
        </w:rPr>
        <w:t xml:space="preserve">transmission </w:t>
      </w:r>
      <w:r>
        <w:rPr>
          <w:rFonts w:ascii="Palatino Linotype" w:hAnsi="Palatino Linotype" w:eastAsia="Times New Roman" w:cs="Times New Roman"/>
          <w:kern w:val="0"/>
          <w14:ligatures w14:val="none"/>
        </w:rPr>
        <w:t>customer might provide $50 million up front to</w:t>
      </w:r>
      <w:r w:rsidR="00DC18FD">
        <w:rPr>
          <w:rFonts w:ascii="Palatino Linotype" w:hAnsi="Palatino Linotype" w:eastAsia="Times New Roman" w:cs="Times New Roman"/>
          <w:kern w:val="0"/>
          <w14:ligatures w14:val="none"/>
        </w:rPr>
        <w:t xml:space="preserve"> PG&amp;E to</w:t>
      </w:r>
      <w:r>
        <w:rPr>
          <w:rFonts w:ascii="Palatino Linotype" w:hAnsi="Palatino Linotype" w:eastAsia="Times New Roman" w:cs="Times New Roman"/>
          <w:kern w:val="0"/>
          <w14:ligatures w14:val="none"/>
        </w:rPr>
        <w:t xml:space="preserve"> cover the</w:t>
      </w:r>
      <w:r w:rsidR="00C062E0">
        <w:rPr>
          <w:rFonts w:ascii="Palatino Linotype" w:hAnsi="Palatino Linotype" w:eastAsia="Times New Roman" w:cs="Times New Roman"/>
          <w:kern w:val="0"/>
          <w14:ligatures w14:val="none"/>
        </w:rPr>
        <w:t xml:space="preserve"> </w:t>
      </w:r>
      <w:r w:rsidDel="00E73F2C">
        <w:rPr>
          <w:rFonts w:ascii="Palatino Linotype" w:hAnsi="Palatino Linotype" w:eastAsia="Times New Roman" w:cs="Times New Roman"/>
          <w:kern w:val="0"/>
          <w14:ligatures w14:val="none"/>
        </w:rPr>
        <w:t>direct</w:t>
      </w:r>
      <w:r>
        <w:rPr>
          <w:rFonts w:ascii="Palatino Linotype" w:hAnsi="Palatino Linotype" w:eastAsia="Times New Roman" w:cs="Times New Roman"/>
          <w:kern w:val="0"/>
          <w14:ligatures w14:val="none"/>
        </w:rPr>
        <w:t xml:space="preserve"> costs of energi</w:t>
      </w:r>
      <w:r w:rsidR="0043425F">
        <w:rPr>
          <w:rFonts w:ascii="Palatino Linotype" w:hAnsi="Palatino Linotype" w:eastAsia="Times New Roman" w:cs="Times New Roman"/>
          <w:kern w:val="0"/>
          <w14:ligatures w14:val="none"/>
        </w:rPr>
        <w:t>zation. Once that customer is energized, over its first year</w:t>
      </w:r>
      <w:r w:rsidR="00DC18FD">
        <w:rPr>
          <w:rFonts w:ascii="Palatino Linotype" w:hAnsi="Palatino Linotype" w:eastAsia="Times New Roman" w:cs="Times New Roman"/>
          <w:kern w:val="0"/>
          <w14:ligatures w14:val="none"/>
        </w:rPr>
        <w:t xml:space="preserve"> it might pay about $</w:t>
      </w:r>
      <w:r w:rsidR="00113A3D">
        <w:rPr>
          <w:rFonts w:ascii="Palatino Linotype" w:hAnsi="Palatino Linotype" w:eastAsia="Times New Roman" w:cs="Times New Roman"/>
          <w:kern w:val="0"/>
          <w14:ligatures w14:val="none"/>
        </w:rPr>
        <w:t>1</w:t>
      </w:r>
      <w:r w:rsidR="002038C5">
        <w:rPr>
          <w:rFonts w:ascii="Palatino Linotype" w:hAnsi="Palatino Linotype" w:eastAsia="Times New Roman" w:cs="Times New Roman"/>
          <w:kern w:val="0"/>
          <w14:ligatures w14:val="none"/>
        </w:rPr>
        <w:t>2</w:t>
      </w:r>
      <w:r w:rsidR="00113A3D">
        <w:rPr>
          <w:rFonts w:ascii="Palatino Linotype" w:hAnsi="Palatino Linotype" w:eastAsia="Times New Roman" w:cs="Times New Roman"/>
          <w:kern w:val="0"/>
          <w14:ligatures w14:val="none"/>
        </w:rPr>
        <w:t xml:space="preserve"> million in electri</w:t>
      </w:r>
      <w:r w:rsidR="002038C5">
        <w:rPr>
          <w:rFonts w:ascii="Palatino Linotype" w:hAnsi="Palatino Linotype" w:eastAsia="Times New Roman" w:cs="Times New Roman"/>
          <w:kern w:val="0"/>
          <w14:ligatures w14:val="none"/>
        </w:rPr>
        <w:t>c bills</w:t>
      </w:r>
      <w:r w:rsidR="008261BF">
        <w:rPr>
          <w:rFonts w:ascii="Palatino Linotype" w:hAnsi="Palatino Linotype" w:eastAsia="Times New Roman" w:cs="Times New Roman"/>
          <w:kern w:val="0"/>
          <w14:ligatures w14:val="none"/>
        </w:rPr>
        <w:t xml:space="preserve"> to PG&amp;E for energy delivery</w:t>
      </w:r>
      <w:r w:rsidR="00F57A5A">
        <w:rPr>
          <w:rFonts w:ascii="Palatino Linotype" w:hAnsi="Palatino Linotype" w:eastAsia="Times New Roman" w:cs="Times New Roman"/>
          <w:kern w:val="0"/>
          <w14:ligatures w14:val="none"/>
        </w:rPr>
        <w:t xml:space="preserve">. Of that $12 million, </w:t>
      </w:r>
      <w:r w:rsidR="002038C5">
        <w:rPr>
          <w:rFonts w:ascii="Palatino Linotype" w:hAnsi="Palatino Linotype" w:eastAsia="Times New Roman" w:cs="Times New Roman"/>
          <w:kern w:val="0"/>
          <w14:ligatures w14:val="none"/>
        </w:rPr>
        <w:t>about $</w:t>
      </w:r>
      <w:r w:rsidR="009F7250">
        <w:rPr>
          <w:rFonts w:ascii="Palatino Linotype" w:hAnsi="Palatino Linotype" w:eastAsia="Times New Roman" w:cs="Times New Roman"/>
          <w:kern w:val="0"/>
          <w14:ligatures w14:val="none"/>
        </w:rPr>
        <w:t>5</w:t>
      </w:r>
      <w:r w:rsidR="002038C5">
        <w:rPr>
          <w:rFonts w:ascii="Palatino Linotype" w:hAnsi="Palatino Linotype" w:eastAsia="Times New Roman" w:cs="Times New Roman"/>
          <w:kern w:val="0"/>
          <w14:ligatures w14:val="none"/>
        </w:rPr>
        <w:t xml:space="preserve"> </w:t>
      </w:r>
      <w:r w:rsidR="009F7250">
        <w:rPr>
          <w:rFonts w:ascii="Palatino Linotype" w:hAnsi="Palatino Linotype" w:eastAsia="Times New Roman" w:cs="Times New Roman"/>
          <w:kern w:val="0"/>
          <w14:ligatures w14:val="none"/>
        </w:rPr>
        <w:t xml:space="preserve">million </w:t>
      </w:r>
      <w:r w:rsidR="009D05CC">
        <w:rPr>
          <w:rFonts w:ascii="Palatino Linotype" w:hAnsi="Palatino Linotype" w:eastAsia="Times New Roman" w:cs="Times New Roman"/>
          <w:kern w:val="0"/>
          <w14:ligatures w14:val="none"/>
        </w:rPr>
        <w:t>would</w:t>
      </w:r>
      <w:r w:rsidR="00DE7F32">
        <w:rPr>
          <w:rFonts w:ascii="Palatino Linotype" w:hAnsi="Palatino Linotype" w:eastAsia="Times New Roman" w:cs="Times New Roman"/>
          <w:kern w:val="0"/>
          <w14:ligatures w14:val="none"/>
        </w:rPr>
        <w:t xml:space="preserve"> be</w:t>
      </w:r>
      <w:r w:rsidR="009F7250">
        <w:rPr>
          <w:rFonts w:ascii="Palatino Linotype" w:hAnsi="Palatino Linotype" w:eastAsia="Times New Roman" w:cs="Times New Roman"/>
          <w:kern w:val="0"/>
          <w14:ligatures w14:val="none"/>
        </w:rPr>
        <w:t xml:space="preserve"> t</w:t>
      </w:r>
      <w:r w:rsidR="00F57A5A">
        <w:rPr>
          <w:rFonts w:ascii="Palatino Linotype" w:hAnsi="Palatino Linotype" w:eastAsia="Times New Roman" w:cs="Times New Roman"/>
          <w:kern w:val="0"/>
          <w14:ligatures w14:val="none"/>
        </w:rPr>
        <w:t xml:space="preserve">he net revenue, </w:t>
      </w:r>
      <w:r w:rsidR="00DE7F32">
        <w:rPr>
          <w:rFonts w:ascii="Palatino Linotype" w:hAnsi="Palatino Linotype" w:eastAsia="Times New Roman" w:cs="Times New Roman"/>
          <w:kern w:val="0"/>
          <w14:ligatures w14:val="none"/>
        </w:rPr>
        <w:t xml:space="preserve">or the </w:t>
      </w:r>
      <w:r w:rsidR="00D46764">
        <w:rPr>
          <w:rFonts w:ascii="Palatino Linotype" w:hAnsi="Palatino Linotype" w:eastAsia="Times New Roman" w:cs="Times New Roman"/>
          <w:kern w:val="0"/>
          <w14:ligatures w14:val="none"/>
        </w:rPr>
        <w:t xml:space="preserve">part of the electric bill specifically related to </w:t>
      </w:r>
      <w:r w:rsidR="00DE7F32">
        <w:rPr>
          <w:rFonts w:ascii="Palatino Linotype" w:hAnsi="Palatino Linotype" w:eastAsia="Times New Roman" w:cs="Times New Roman"/>
          <w:kern w:val="0"/>
          <w14:ligatures w14:val="none"/>
        </w:rPr>
        <w:t xml:space="preserve">transmission </w:t>
      </w:r>
      <w:r w:rsidR="00D46764">
        <w:rPr>
          <w:rFonts w:ascii="Palatino Linotype" w:hAnsi="Palatino Linotype" w:eastAsia="Times New Roman" w:cs="Times New Roman"/>
          <w:kern w:val="0"/>
          <w14:ligatures w14:val="none"/>
        </w:rPr>
        <w:t xml:space="preserve">costs and infrastructure. </w:t>
      </w:r>
      <w:r w:rsidR="000A74A0">
        <w:rPr>
          <w:rFonts w:ascii="Palatino Linotype" w:hAnsi="Palatino Linotype" w:eastAsia="Times New Roman" w:cs="Times New Roman"/>
          <w:kern w:val="0"/>
          <w14:ligatures w14:val="none"/>
        </w:rPr>
        <w:t>Based on</w:t>
      </w:r>
      <w:r w:rsidR="00162827">
        <w:rPr>
          <w:rFonts w:ascii="Palatino Linotype" w:hAnsi="Palatino Linotype" w:eastAsia="Times New Roman" w:cs="Times New Roman"/>
          <w:kern w:val="0"/>
          <w14:ligatures w14:val="none"/>
        </w:rPr>
        <w:t xml:space="preserve"> this $5 million in </w:t>
      </w:r>
      <w:r w:rsidR="00A80EDC">
        <w:rPr>
          <w:rFonts w:ascii="Palatino Linotype" w:hAnsi="Palatino Linotype" w:eastAsia="Times New Roman" w:cs="Times New Roman"/>
          <w:kern w:val="0"/>
          <w14:ligatures w14:val="none"/>
        </w:rPr>
        <w:t>actual</w:t>
      </w:r>
      <w:r w:rsidR="00162827">
        <w:rPr>
          <w:rFonts w:ascii="Palatino Linotype" w:hAnsi="Palatino Linotype" w:eastAsia="Times New Roman" w:cs="Times New Roman"/>
          <w:kern w:val="0"/>
          <w14:ligatures w14:val="none"/>
        </w:rPr>
        <w:t xml:space="preserve"> net revenue, the BARC process would </w:t>
      </w:r>
      <w:r w:rsidR="001E2FAF">
        <w:rPr>
          <w:rFonts w:ascii="Palatino Linotype" w:hAnsi="Palatino Linotype" w:eastAsia="Times New Roman" w:cs="Times New Roman"/>
          <w:kern w:val="0"/>
          <w14:ligatures w14:val="none"/>
        </w:rPr>
        <w:t xml:space="preserve">allow for an </w:t>
      </w:r>
      <w:r w:rsidR="0062105B">
        <w:rPr>
          <w:rFonts w:ascii="Palatino Linotype" w:hAnsi="Palatino Linotype" w:eastAsia="Times New Roman" w:cs="Times New Roman"/>
          <w:kern w:val="0"/>
          <w14:ligatures w14:val="none"/>
        </w:rPr>
        <w:t>end-of-year refund</w:t>
      </w:r>
      <w:r w:rsidR="001E2FAF">
        <w:rPr>
          <w:rFonts w:ascii="Palatino Linotype" w:hAnsi="Palatino Linotype" w:eastAsia="Times New Roman" w:cs="Times New Roman"/>
          <w:kern w:val="0"/>
          <w14:ligatures w14:val="none"/>
        </w:rPr>
        <w:t xml:space="preserve"> of about $46 million (the </w:t>
      </w:r>
      <w:r w:rsidR="00F570BC">
        <w:rPr>
          <w:rFonts w:ascii="Palatino Linotype" w:hAnsi="Palatino Linotype" w:eastAsia="Times New Roman" w:cs="Times New Roman"/>
          <w:kern w:val="0"/>
          <w14:ligatures w14:val="none"/>
        </w:rPr>
        <w:t xml:space="preserve">amount </w:t>
      </w:r>
      <w:r w:rsidR="00B145AA">
        <w:rPr>
          <w:rFonts w:ascii="Palatino Linotype" w:hAnsi="Palatino Linotype" w:eastAsia="Times New Roman" w:cs="Times New Roman"/>
          <w:kern w:val="0"/>
          <w14:ligatures w14:val="none"/>
        </w:rPr>
        <w:t xml:space="preserve">of capital investment </w:t>
      </w:r>
      <w:r w:rsidR="006B4EFB">
        <w:rPr>
          <w:rFonts w:ascii="Palatino Linotype" w:hAnsi="Palatino Linotype" w:eastAsia="Times New Roman" w:cs="Times New Roman"/>
          <w:kern w:val="0"/>
          <w14:ligatures w14:val="none"/>
        </w:rPr>
        <w:t>deemed</w:t>
      </w:r>
      <w:r w:rsidR="00354830">
        <w:rPr>
          <w:rFonts w:ascii="Palatino Linotype" w:hAnsi="Palatino Linotype" w:eastAsia="Times New Roman" w:cs="Times New Roman"/>
          <w:kern w:val="0"/>
          <w14:ligatures w14:val="none"/>
        </w:rPr>
        <w:t xml:space="preserve"> justified</w:t>
      </w:r>
      <w:r w:rsidR="00B145AA">
        <w:rPr>
          <w:rFonts w:ascii="Palatino Linotype" w:hAnsi="Palatino Linotype" w:eastAsia="Times New Roman" w:cs="Times New Roman"/>
          <w:kern w:val="0"/>
          <w14:ligatures w14:val="none"/>
        </w:rPr>
        <w:t xml:space="preserve">, </w:t>
      </w:r>
      <w:r w:rsidR="003F29AD">
        <w:rPr>
          <w:rFonts w:ascii="Palatino Linotype" w:hAnsi="Palatino Linotype" w:eastAsia="Times New Roman" w:cs="Times New Roman"/>
          <w:kern w:val="0"/>
          <w14:ligatures w14:val="none"/>
        </w:rPr>
        <w:t>assuming</w:t>
      </w:r>
      <w:r w:rsidR="00B145AA">
        <w:rPr>
          <w:rFonts w:ascii="Palatino Linotype" w:hAnsi="Palatino Linotype" w:eastAsia="Times New Roman" w:cs="Times New Roman"/>
          <w:kern w:val="0"/>
          <w14:ligatures w14:val="none"/>
        </w:rPr>
        <w:t xml:space="preserve"> the</w:t>
      </w:r>
      <w:r w:rsidR="006B4EFB">
        <w:rPr>
          <w:rFonts w:ascii="Palatino Linotype" w:hAnsi="Palatino Linotype" w:eastAsia="Times New Roman" w:cs="Times New Roman"/>
          <w:kern w:val="0"/>
          <w14:ligatures w14:val="none"/>
        </w:rPr>
        <w:t xml:space="preserve"> customer</w:t>
      </w:r>
      <w:r w:rsidR="00D43EDB">
        <w:rPr>
          <w:rFonts w:ascii="Palatino Linotype" w:hAnsi="Palatino Linotype" w:eastAsia="Times New Roman" w:cs="Times New Roman"/>
          <w:kern w:val="0"/>
          <w14:ligatures w14:val="none"/>
        </w:rPr>
        <w:t>’</w:t>
      </w:r>
      <w:r w:rsidR="006B4EFB">
        <w:rPr>
          <w:rFonts w:ascii="Palatino Linotype" w:hAnsi="Palatino Linotype" w:eastAsia="Times New Roman" w:cs="Times New Roman"/>
          <w:kern w:val="0"/>
          <w14:ligatures w14:val="none"/>
        </w:rPr>
        <w:t>s</w:t>
      </w:r>
      <w:r w:rsidR="00354830">
        <w:rPr>
          <w:rFonts w:ascii="Palatino Linotype" w:hAnsi="Palatino Linotype" w:eastAsia="Times New Roman" w:cs="Times New Roman"/>
          <w:kern w:val="0"/>
          <w14:ligatures w14:val="none"/>
        </w:rPr>
        <w:t xml:space="preserve"> net revenue continu</w:t>
      </w:r>
      <w:r w:rsidR="00F83188">
        <w:rPr>
          <w:rFonts w:ascii="Palatino Linotype" w:hAnsi="Palatino Linotype" w:eastAsia="Times New Roman" w:cs="Times New Roman"/>
          <w:kern w:val="0"/>
          <w14:ligatures w14:val="none"/>
        </w:rPr>
        <w:t>es</w:t>
      </w:r>
      <w:r w:rsidR="00354830">
        <w:rPr>
          <w:rFonts w:ascii="Palatino Linotype" w:hAnsi="Palatino Linotype" w:eastAsia="Times New Roman" w:cs="Times New Roman"/>
          <w:kern w:val="0"/>
          <w14:ligatures w14:val="none"/>
        </w:rPr>
        <w:t xml:space="preserve"> indefinitely into the future</w:t>
      </w:r>
      <w:r w:rsidR="006B4EFB">
        <w:rPr>
          <w:rFonts w:ascii="Palatino Linotype" w:hAnsi="Palatino Linotype" w:eastAsia="Times New Roman" w:cs="Times New Roman"/>
          <w:kern w:val="0"/>
          <w14:ligatures w14:val="none"/>
        </w:rPr>
        <w:t xml:space="preserve"> at </w:t>
      </w:r>
      <w:r w:rsidR="003F29AD">
        <w:rPr>
          <w:rFonts w:ascii="Palatino Linotype" w:hAnsi="Palatino Linotype" w:eastAsia="Times New Roman" w:cs="Times New Roman"/>
          <w:kern w:val="0"/>
          <w14:ligatures w14:val="none"/>
        </w:rPr>
        <w:t xml:space="preserve">about </w:t>
      </w:r>
      <w:r w:rsidR="006B4EFB">
        <w:rPr>
          <w:rFonts w:ascii="Palatino Linotype" w:hAnsi="Palatino Linotype" w:eastAsia="Times New Roman" w:cs="Times New Roman"/>
          <w:kern w:val="0"/>
          <w14:ligatures w14:val="none"/>
        </w:rPr>
        <w:t>the same level</w:t>
      </w:r>
      <w:r w:rsidR="001E2FAF">
        <w:rPr>
          <w:rFonts w:ascii="Palatino Linotype" w:hAnsi="Palatino Linotype" w:eastAsia="Times New Roman" w:cs="Times New Roman"/>
          <w:kern w:val="0"/>
          <w14:ligatures w14:val="none"/>
        </w:rPr>
        <w:t>)</w:t>
      </w:r>
      <w:r w:rsidR="00DE7F32">
        <w:rPr>
          <w:rFonts w:ascii="Palatino Linotype" w:hAnsi="Palatino Linotype" w:eastAsia="Times New Roman" w:cs="Times New Roman"/>
          <w:kern w:val="0"/>
          <w14:ligatures w14:val="none"/>
        </w:rPr>
        <w:t>.</w:t>
      </w:r>
      <w:r w:rsidR="00E41685">
        <w:rPr>
          <w:rFonts w:ascii="Palatino Linotype" w:hAnsi="Palatino Linotype" w:eastAsia="Times New Roman" w:cs="Times New Roman"/>
          <w:kern w:val="0"/>
          <w14:ligatures w14:val="none"/>
        </w:rPr>
        <w:t xml:space="preserve"> The immediate refun</w:t>
      </w:r>
      <w:r w:rsidR="00C94169">
        <w:rPr>
          <w:rFonts w:ascii="Palatino Linotype" w:hAnsi="Palatino Linotype" w:eastAsia="Times New Roman" w:cs="Times New Roman"/>
          <w:kern w:val="0"/>
          <w14:ligatures w14:val="none"/>
        </w:rPr>
        <w:t xml:space="preserve">d </w:t>
      </w:r>
      <w:r w:rsidR="00E41685">
        <w:rPr>
          <w:rFonts w:ascii="Palatino Linotype" w:hAnsi="Palatino Linotype" w:eastAsia="Times New Roman" w:cs="Times New Roman"/>
          <w:kern w:val="0"/>
          <w14:ligatures w14:val="none"/>
        </w:rPr>
        <w:t xml:space="preserve">could be about nine times </w:t>
      </w:r>
      <w:r w:rsidR="00C94169">
        <w:rPr>
          <w:rFonts w:ascii="Palatino Linotype" w:hAnsi="Palatino Linotype" w:eastAsia="Times New Roman" w:cs="Times New Roman"/>
          <w:kern w:val="0"/>
          <w14:ligatures w14:val="none"/>
        </w:rPr>
        <w:t>larger</w:t>
      </w:r>
      <w:r w:rsidR="00E41685">
        <w:rPr>
          <w:rFonts w:ascii="Palatino Linotype" w:hAnsi="Palatino Linotype" w:eastAsia="Times New Roman" w:cs="Times New Roman"/>
          <w:kern w:val="0"/>
          <w14:ligatures w14:val="none"/>
        </w:rPr>
        <w:t xml:space="preserve"> than the actual net revenues collected from the custome</w:t>
      </w:r>
      <w:r w:rsidR="001D7557">
        <w:rPr>
          <w:rFonts w:ascii="Palatino Linotype" w:hAnsi="Palatino Linotype" w:eastAsia="Times New Roman" w:cs="Times New Roman"/>
          <w:kern w:val="0"/>
          <w14:ligatures w14:val="none"/>
        </w:rPr>
        <w:t>r</w:t>
      </w:r>
      <w:r w:rsidR="00033A12">
        <w:rPr>
          <w:rFonts w:ascii="Palatino Linotype" w:hAnsi="Palatino Linotype" w:eastAsia="Times New Roman" w:cs="Times New Roman"/>
          <w:kern w:val="0"/>
          <w14:ligatures w14:val="none"/>
        </w:rPr>
        <w:t xml:space="preserve"> in the first year</w:t>
      </w:r>
      <w:r w:rsidR="00E41685">
        <w:rPr>
          <w:rFonts w:ascii="Palatino Linotype" w:hAnsi="Palatino Linotype" w:eastAsia="Times New Roman" w:cs="Times New Roman"/>
          <w:kern w:val="0"/>
          <w14:ligatures w14:val="none"/>
        </w:rPr>
        <w:t>.</w:t>
      </w:r>
      <w:r w:rsidR="001E2FAF">
        <w:rPr>
          <w:rFonts w:ascii="Palatino Linotype" w:hAnsi="Palatino Linotype" w:eastAsia="Times New Roman" w:cs="Times New Roman"/>
          <w:kern w:val="0"/>
          <w14:ligatures w14:val="none"/>
        </w:rPr>
        <w:t xml:space="preserve"> </w:t>
      </w:r>
      <w:r w:rsidR="00FF33C3">
        <w:rPr>
          <w:rFonts w:ascii="Palatino Linotype" w:hAnsi="Palatino Linotype" w:eastAsia="Times New Roman" w:cs="Times New Roman"/>
          <w:kern w:val="0"/>
          <w14:ligatures w14:val="none"/>
        </w:rPr>
        <w:t>The total refund</w:t>
      </w:r>
      <w:r w:rsidR="006A7BD1">
        <w:rPr>
          <w:rFonts w:ascii="Palatino Linotype" w:hAnsi="Palatino Linotype" w:eastAsia="Times New Roman" w:cs="Times New Roman"/>
          <w:kern w:val="0"/>
          <w14:ligatures w14:val="none"/>
        </w:rPr>
        <w:t xml:space="preserve"> cannot be larger than </w:t>
      </w:r>
      <w:r w:rsidR="00ED3176">
        <w:rPr>
          <w:rFonts w:ascii="Palatino Linotype" w:hAnsi="Palatino Linotype" w:eastAsia="Times New Roman" w:cs="Times New Roman"/>
          <w:kern w:val="0"/>
          <w14:ligatures w14:val="none"/>
        </w:rPr>
        <w:t xml:space="preserve">the $50 million </w:t>
      </w:r>
      <w:r w:rsidR="001D7557">
        <w:rPr>
          <w:rFonts w:ascii="Palatino Linotype" w:hAnsi="Palatino Linotype" w:eastAsia="Times New Roman" w:cs="Times New Roman"/>
          <w:kern w:val="0"/>
          <w14:ligatures w14:val="none"/>
        </w:rPr>
        <w:t>originally advanced</w:t>
      </w:r>
      <w:r w:rsidR="006A7BD1">
        <w:rPr>
          <w:rFonts w:ascii="Palatino Linotype" w:hAnsi="Palatino Linotype" w:eastAsia="Times New Roman" w:cs="Times New Roman"/>
          <w:kern w:val="0"/>
          <w14:ligatures w14:val="none"/>
        </w:rPr>
        <w:t xml:space="preserve"> by the customer</w:t>
      </w:r>
      <w:r w:rsidR="00FF33C3">
        <w:rPr>
          <w:rFonts w:ascii="Palatino Linotype" w:hAnsi="Palatino Linotype" w:eastAsia="Times New Roman" w:cs="Times New Roman"/>
          <w:kern w:val="0"/>
          <w14:ligatures w14:val="none"/>
        </w:rPr>
        <w:t>.</w:t>
      </w:r>
      <w:r w:rsidRPr="00C94169" w:rsidR="00C94169">
        <w:rPr>
          <w:rFonts w:ascii="Palatino Linotype" w:hAnsi="Palatino Linotype" w:eastAsia="Times New Roman" w:cs="Times New Roman"/>
          <w:kern w:val="0"/>
          <w14:ligatures w14:val="none"/>
        </w:rPr>
        <w:t xml:space="preserve"> </w:t>
      </w:r>
      <w:r w:rsidR="00C94169">
        <w:rPr>
          <w:rFonts w:ascii="Palatino Linotype" w:hAnsi="Palatino Linotype" w:eastAsia="Times New Roman" w:cs="Times New Roman"/>
          <w:kern w:val="0"/>
          <w14:ligatures w14:val="none"/>
        </w:rPr>
        <w:t xml:space="preserve">In following years, the customer could receive </w:t>
      </w:r>
      <w:r w:rsidR="00B7228C">
        <w:rPr>
          <w:rFonts w:ascii="Palatino Linotype" w:hAnsi="Palatino Linotype" w:eastAsia="Times New Roman" w:cs="Times New Roman"/>
          <w:kern w:val="0"/>
          <w14:ligatures w14:val="none"/>
        </w:rPr>
        <w:t>the remaining</w:t>
      </w:r>
      <w:r w:rsidR="00C94169">
        <w:rPr>
          <w:rFonts w:ascii="Palatino Linotype" w:hAnsi="Palatino Linotype" w:eastAsia="Times New Roman" w:cs="Times New Roman"/>
          <w:kern w:val="0"/>
          <w14:ligatures w14:val="none"/>
        </w:rPr>
        <w:t xml:space="preserve"> $4 million in refunds</w:t>
      </w:r>
      <w:r w:rsidR="007A3F31">
        <w:rPr>
          <w:rFonts w:ascii="Palatino Linotype" w:hAnsi="Palatino Linotype" w:eastAsia="Times New Roman" w:cs="Times New Roman"/>
          <w:kern w:val="0"/>
          <w14:ligatures w14:val="none"/>
        </w:rPr>
        <w:t xml:space="preserve"> if its electric bills increase</w:t>
      </w:r>
      <w:r w:rsidR="002E0976">
        <w:rPr>
          <w:rFonts w:ascii="Palatino Linotype" w:hAnsi="Palatino Linotype" w:eastAsia="Times New Roman" w:cs="Times New Roman"/>
          <w:kern w:val="0"/>
          <w14:ligatures w14:val="none"/>
        </w:rPr>
        <w:t>, but no more than this</w:t>
      </w:r>
      <w:r w:rsidR="00C94169">
        <w:rPr>
          <w:rFonts w:ascii="Palatino Linotype" w:hAnsi="Palatino Linotype" w:eastAsia="Times New Roman" w:cs="Times New Roman"/>
          <w:kern w:val="0"/>
          <w14:ligatures w14:val="none"/>
        </w:rPr>
        <w:t>.</w:t>
      </w:r>
    </w:p>
    <w:p w:rsidRPr="002C0ECD" w:rsidR="002C0ECD" w:rsidP="001C7001" w:rsidRDefault="002C0ECD" w14:paraId="05598807" w14:textId="77777777">
      <w:pPr>
        <w:spacing w:after="0" w:line="240" w:lineRule="auto"/>
        <w:rPr>
          <w:rFonts w:ascii="Palatino Linotype" w:hAnsi="Palatino Linotype" w:eastAsia="Times New Roman" w:cs="Times New Roman"/>
          <w:kern w:val="0"/>
          <w14:ligatures w14:val="none"/>
        </w:rPr>
      </w:pPr>
    </w:p>
    <w:p w:rsidR="002C0ECD" w:rsidP="001C7001" w:rsidRDefault="00B67A4F" w14:paraId="4A0A6DF7" w14:textId="634E7A45">
      <w:pPr>
        <w:spacing w:after="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lastRenderedPageBreak/>
        <w:t>As</w:t>
      </w:r>
      <w:r w:rsidR="0072673C">
        <w:rPr>
          <w:rFonts w:ascii="Palatino Linotype" w:hAnsi="Palatino Linotype" w:eastAsia="Times New Roman" w:cs="Times New Roman"/>
          <w:kern w:val="0"/>
          <w14:ligatures w14:val="none"/>
        </w:rPr>
        <w:t xml:space="preserve"> a customer is refunded, the related capital costs </w:t>
      </w:r>
      <w:r w:rsidR="006C6722">
        <w:rPr>
          <w:rFonts w:ascii="Palatino Linotype" w:hAnsi="Palatino Linotype" w:eastAsia="Times New Roman" w:cs="Times New Roman"/>
          <w:kern w:val="0"/>
          <w14:ligatures w14:val="none"/>
        </w:rPr>
        <w:t xml:space="preserve">are </w:t>
      </w:r>
      <w:r w:rsidR="0072673C">
        <w:rPr>
          <w:rFonts w:ascii="Palatino Linotype" w:hAnsi="Palatino Linotype" w:eastAsia="Times New Roman" w:cs="Times New Roman"/>
          <w:kern w:val="0"/>
          <w14:ligatures w14:val="none"/>
        </w:rPr>
        <w:t xml:space="preserve">added to PG&amp;E’s accounts and ultimately </w:t>
      </w:r>
      <w:r w:rsidR="00597A44">
        <w:rPr>
          <w:rFonts w:ascii="Palatino Linotype" w:hAnsi="Palatino Linotype" w:eastAsia="Times New Roman" w:cs="Times New Roman"/>
          <w:kern w:val="0"/>
          <w14:ligatures w14:val="none"/>
        </w:rPr>
        <w:t>re</w:t>
      </w:r>
      <w:r w:rsidR="0072673C">
        <w:rPr>
          <w:rFonts w:ascii="Palatino Linotype" w:hAnsi="Palatino Linotype" w:eastAsia="Times New Roman" w:cs="Times New Roman"/>
          <w:kern w:val="0"/>
          <w14:ligatures w14:val="none"/>
        </w:rPr>
        <w:t xml:space="preserve">covered </w:t>
      </w:r>
      <w:r w:rsidR="00597A44">
        <w:rPr>
          <w:rFonts w:ascii="Palatino Linotype" w:hAnsi="Palatino Linotype" w:eastAsia="Times New Roman" w:cs="Times New Roman"/>
          <w:kern w:val="0"/>
          <w14:ligatures w14:val="none"/>
        </w:rPr>
        <w:t xml:space="preserve">from </w:t>
      </w:r>
      <w:r w:rsidR="0072673C">
        <w:rPr>
          <w:rFonts w:ascii="Palatino Linotype" w:hAnsi="Palatino Linotype" w:eastAsia="Times New Roman" w:cs="Times New Roman"/>
          <w:kern w:val="0"/>
          <w14:ligatures w14:val="none"/>
        </w:rPr>
        <w:t xml:space="preserve">ratepayers. </w:t>
      </w:r>
      <w:r w:rsidRPr="002C0ECD" w:rsidR="002C0ECD">
        <w:rPr>
          <w:rFonts w:ascii="Palatino Linotype" w:hAnsi="Palatino Linotype" w:eastAsia="Times New Roman" w:cs="Times New Roman"/>
          <w:kern w:val="0"/>
          <w14:ligatures w14:val="none"/>
        </w:rPr>
        <w:t>While this Advice Letter does not request cost recovery authorization, PG&amp;E provides preliminary information regarding jurisdictional cost allocation. PG&amp;E anticipates that most of the new transmission infrastructure will fall under Federal Energy Regulatory Commission (FERC) jurisdiction and be recoverable through PG&amp;E’s Transmission Owner (TO) Formula Rate. A small portion of the facilities, including certain interconnection elements, may be subject to CPUC jurisdiction and addressed in future general rate cases or applications.</w:t>
      </w:r>
    </w:p>
    <w:p w:rsidR="0050722A" w:rsidP="001C7001" w:rsidRDefault="0050722A" w14:paraId="76E685F8" w14:textId="77777777">
      <w:pPr>
        <w:spacing w:after="0" w:line="240" w:lineRule="auto"/>
        <w:rPr>
          <w:rFonts w:ascii="Palatino Linotype" w:hAnsi="Palatino Linotype" w:eastAsia="Times New Roman" w:cs="Times New Roman"/>
          <w:kern w:val="0"/>
          <w14:ligatures w14:val="none"/>
        </w:rPr>
      </w:pPr>
    </w:p>
    <w:p w:rsidR="0050722A" w:rsidP="001C7001" w:rsidRDefault="0050722A" w14:paraId="35F63630" w14:textId="4B875D12">
      <w:pPr>
        <w:spacing w:after="0" w:line="240" w:lineRule="auto"/>
        <w:rPr>
          <w:rFonts w:ascii="Palatino Linotype" w:hAnsi="Palatino Linotype" w:eastAsia="Times New Roman" w:cs="Times New Roman"/>
          <w:b/>
          <w:bCs/>
          <w:kern w:val="0"/>
          <w14:ligatures w14:val="none"/>
        </w:rPr>
      </w:pPr>
      <w:r>
        <w:rPr>
          <w:rFonts w:ascii="Palatino Linotype" w:hAnsi="Palatino Linotype" w:eastAsia="Times New Roman" w:cs="Times New Roman"/>
          <w:b/>
          <w:bCs/>
          <w:kern w:val="0"/>
          <w14:ligatures w14:val="none"/>
        </w:rPr>
        <w:t>Rule 30 Application</w:t>
      </w:r>
      <w:r w:rsidR="00C20344">
        <w:rPr>
          <w:rFonts w:ascii="Palatino Linotype" w:hAnsi="Palatino Linotype" w:eastAsia="Times New Roman" w:cs="Times New Roman"/>
          <w:b/>
          <w:bCs/>
          <w:kern w:val="0"/>
          <w14:ligatures w14:val="none"/>
        </w:rPr>
        <w:t xml:space="preserve"> – A. 24-11-007</w:t>
      </w:r>
    </w:p>
    <w:p w:rsidR="00C20344" w:rsidP="001C7001" w:rsidRDefault="00C20344" w14:paraId="5EFB9617" w14:textId="77777777">
      <w:pPr>
        <w:spacing w:after="0" w:line="240" w:lineRule="auto"/>
        <w:rPr>
          <w:rFonts w:ascii="Palatino Linotype" w:hAnsi="Palatino Linotype" w:eastAsia="Times New Roman" w:cs="Times New Roman"/>
          <w:b/>
          <w:bCs/>
          <w:kern w:val="0"/>
          <w14:ligatures w14:val="none"/>
        </w:rPr>
      </w:pPr>
    </w:p>
    <w:p w:rsidRPr="00C20344" w:rsidR="00C20344" w:rsidP="001C7001" w:rsidRDefault="00D1743E" w14:paraId="1771C79F" w14:textId="26200968">
      <w:pPr>
        <w:spacing w:after="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In A. 24-11-007, t</w:t>
      </w:r>
      <w:r w:rsidR="00C20344">
        <w:rPr>
          <w:rFonts w:ascii="Palatino Linotype" w:hAnsi="Palatino Linotype" w:eastAsia="Times New Roman" w:cs="Times New Roman"/>
          <w:kern w:val="0"/>
          <w14:ligatures w14:val="none"/>
        </w:rPr>
        <w:t>he Commission is c</w:t>
      </w:r>
      <w:r w:rsidR="009F7DF6">
        <w:rPr>
          <w:rFonts w:ascii="Palatino Linotype" w:hAnsi="Palatino Linotype" w:eastAsia="Times New Roman" w:cs="Times New Roman"/>
          <w:kern w:val="0"/>
          <w14:ligatures w14:val="none"/>
        </w:rPr>
        <w:t>urrently considering a standard rule to address this kind of large-load energization at the transmission level for the PG&amp;E territory</w:t>
      </w:r>
      <w:r>
        <w:rPr>
          <w:rFonts w:ascii="Palatino Linotype" w:hAnsi="Palatino Linotype" w:eastAsia="Times New Roman" w:cs="Times New Roman"/>
          <w:kern w:val="0"/>
          <w14:ligatures w14:val="none"/>
        </w:rPr>
        <w:t xml:space="preserve">. </w:t>
      </w:r>
      <w:r w:rsidR="000A0D2A">
        <w:rPr>
          <w:rFonts w:ascii="Palatino Linotype" w:hAnsi="Palatino Linotype" w:eastAsia="Times New Roman" w:cs="Times New Roman"/>
          <w:kern w:val="0"/>
          <w14:ligatures w14:val="none"/>
        </w:rPr>
        <w:t xml:space="preserve">On July 28, 2025, Decision 25-07-039 was issued in that proceeding, </w:t>
      </w:r>
      <w:r w:rsidR="00F90194">
        <w:rPr>
          <w:rFonts w:ascii="Palatino Linotype" w:hAnsi="Palatino Linotype" w:eastAsia="Times New Roman" w:cs="Times New Roman"/>
          <w:kern w:val="0"/>
          <w14:ligatures w14:val="none"/>
        </w:rPr>
        <w:t xml:space="preserve">partly granting and partly denying PG&amp;E’s request for interim implementation of </w:t>
      </w:r>
      <w:r w:rsidR="00886F67">
        <w:rPr>
          <w:rFonts w:ascii="Palatino Linotype" w:hAnsi="Palatino Linotype" w:eastAsia="Times New Roman" w:cs="Times New Roman"/>
          <w:kern w:val="0"/>
          <w14:ligatures w14:val="none"/>
        </w:rPr>
        <w:t xml:space="preserve">the </w:t>
      </w:r>
      <w:r w:rsidR="00B07EFF">
        <w:rPr>
          <w:rFonts w:ascii="Palatino Linotype" w:hAnsi="Palatino Linotype" w:eastAsia="Times New Roman" w:cs="Times New Roman"/>
          <w:kern w:val="0"/>
          <w14:ligatures w14:val="none"/>
        </w:rPr>
        <w:t xml:space="preserve">proposed </w:t>
      </w:r>
      <w:r w:rsidR="00F90194">
        <w:rPr>
          <w:rFonts w:ascii="Palatino Linotype" w:hAnsi="Palatino Linotype" w:eastAsia="Times New Roman" w:cs="Times New Roman"/>
          <w:kern w:val="0"/>
          <w14:ligatures w14:val="none"/>
        </w:rPr>
        <w:t xml:space="preserve">Rule 30. </w:t>
      </w:r>
    </w:p>
    <w:p w:rsidRPr="00FA389E" w:rsidR="00A76F4A" w:rsidP="00DB0D2E" w:rsidRDefault="00A76F4A" w14:paraId="40E2F8ED" w14:textId="4C7B30CF">
      <w:pPr>
        <w:keepNext/>
        <w:spacing w:before="360" w:after="240" w:line="240" w:lineRule="auto"/>
        <w:outlineLvl w:val="0"/>
        <w:rPr>
          <w:rFonts w:ascii="Palatino Linotype" w:hAnsi="Palatino Linotype" w:eastAsia="Palatino Linotype" w:cs="Times New Roman"/>
          <w:b/>
          <w:caps/>
          <w:kern w:val="28"/>
          <w:u w:val="single"/>
          <w14:ligatures w14:val="none"/>
        </w:rPr>
      </w:pPr>
      <w:r w:rsidRPr="001942D0">
        <w:rPr>
          <w:rFonts w:ascii="Palatino Linotype" w:hAnsi="Palatino Linotype" w:eastAsia="Palatino Linotype" w:cs="Times New Roman"/>
          <w:b/>
          <w:caps/>
          <w:kern w:val="28"/>
          <w:u w:val="single"/>
          <w14:ligatures w14:val="none"/>
        </w:rPr>
        <w:t>Notice</w:t>
      </w:r>
    </w:p>
    <w:p w:rsidR="00A76F4A" w:rsidP="001C7001" w:rsidRDefault="00A76F4A" w14:paraId="5E7465D3" w14:textId="74983843">
      <w:pPr>
        <w:spacing w:after="0" w:line="240" w:lineRule="auto"/>
        <w:rPr>
          <w:rFonts w:ascii="Palatino Linotype" w:hAnsi="Palatino Linotype" w:eastAsia="Palatino Linotype" w:cs="Times New Roman"/>
          <w:kern w:val="0"/>
          <w14:ligatures w14:val="none"/>
        </w:rPr>
      </w:pPr>
      <w:r w:rsidRPr="001942D0">
        <w:rPr>
          <w:rFonts w:ascii="Palatino Linotype" w:hAnsi="Palatino Linotype" w:eastAsia="Palatino Linotype" w:cs="Times New Roman"/>
          <w:kern w:val="0"/>
          <w14:ligatures w14:val="none"/>
        </w:rPr>
        <w:t xml:space="preserve">Notice of AL </w:t>
      </w:r>
      <w:r w:rsidR="002045FB">
        <w:rPr>
          <w:rFonts w:ascii="Palatino Linotype" w:hAnsi="Palatino Linotype" w:eastAsia="Palatino Linotype" w:cs="Times New Roman"/>
          <w:kern w:val="0"/>
          <w14:ligatures w14:val="none"/>
        </w:rPr>
        <w:t>75</w:t>
      </w:r>
      <w:r w:rsidR="000261B2">
        <w:rPr>
          <w:rFonts w:ascii="Palatino Linotype" w:hAnsi="Palatino Linotype" w:eastAsia="Palatino Linotype" w:cs="Times New Roman"/>
          <w:kern w:val="0"/>
          <w14:ligatures w14:val="none"/>
        </w:rPr>
        <w:t>69</w:t>
      </w:r>
      <w:r w:rsidR="002045FB">
        <w:rPr>
          <w:rFonts w:ascii="Palatino Linotype" w:hAnsi="Palatino Linotype" w:eastAsia="Palatino Linotype" w:cs="Times New Roman"/>
          <w:kern w:val="0"/>
          <w14:ligatures w14:val="none"/>
        </w:rPr>
        <w:t>-E</w:t>
      </w:r>
      <w:r w:rsidRPr="001942D0">
        <w:rPr>
          <w:rFonts w:ascii="Palatino Linotype" w:hAnsi="Palatino Linotype" w:eastAsia="Palatino Linotype" w:cs="Times New Roman"/>
          <w:kern w:val="0"/>
          <w14:ligatures w14:val="none"/>
        </w:rPr>
        <w:t xml:space="preserve"> was made by publication in the Commission’s Daily Calendar.  </w:t>
      </w:r>
      <w:r w:rsidR="002045FB">
        <w:rPr>
          <w:rFonts w:ascii="Palatino Linotype" w:hAnsi="Palatino Linotype" w:eastAsia="Palatino Linotype" w:cs="Times New Roman"/>
          <w:kern w:val="0"/>
          <w14:ligatures w14:val="none"/>
        </w:rPr>
        <w:t>Pacific Gas and Electric</w:t>
      </w:r>
      <w:r w:rsidRPr="001942D0">
        <w:rPr>
          <w:rFonts w:ascii="Palatino Linotype" w:hAnsi="Palatino Linotype" w:eastAsia="Palatino Linotype" w:cs="Times New Roman"/>
          <w:kern w:val="0"/>
          <w14:ligatures w14:val="none"/>
        </w:rPr>
        <w:t xml:space="preserve"> states that a copy of the Advice Letter was mailed and distributed in accordance with Section 4 of General Order 96-B. </w:t>
      </w:r>
    </w:p>
    <w:p w:rsidR="00A76F4A" w:rsidP="00DB0D2E" w:rsidRDefault="00A76F4A" w14:paraId="3DC7474D" w14:textId="77777777">
      <w:pPr>
        <w:keepNext/>
        <w:spacing w:before="360" w:after="240" w:line="240" w:lineRule="auto"/>
        <w:outlineLvl w:val="0"/>
        <w:rPr>
          <w:rFonts w:ascii="Palatino Linotype" w:hAnsi="Palatino Linotype" w:eastAsia="Palatino Linotype" w:cs="Times New Roman"/>
          <w:b/>
          <w:caps/>
          <w:kern w:val="28"/>
          <w:u w:val="single"/>
          <w14:ligatures w14:val="none"/>
        </w:rPr>
      </w:pPr>
      <w:r w:rsidRPr="001942D0">
        <w:rPr>
          <w:rFonts w:ascii="Palatino Linotype" w:hAnsi="Palatino Linotype" w:eastAsia="Palatino Linotype" w:cs="Times New Roman"/>
          <w:b/>
          <w:caps/>
          <w:kern w:val="28"/>
          <w:u w:val="single"/>
          <w14:ligatures w14:val="none"/>
        </w:rPr>
        <w:t>Protests</w:t>
      </w:r>
    </w:p>
    <w:p w:rsidR="005D78C3" w:rsidP="001C7001" w:rsidRDefault="005D78C3" w14:paraId="2BC15B49" w14:textId="77777777">
      <w:pPr>
        <w:spacing w:after="0" w:line="240" w:lineRule="auto"/>
        <w:rPr>
          <w:rFonts w:ascii="Palatino Linotype" w:hAnsi="Palatino Linotype" w:eastAsia="Palatino Linotype" w:cs="Times New Roman"/>
          <w:kern w:val="0"/>
          <w14:ligatures w14:val="none"/>
        </w:rPr>
      </w:pPr>
      <w:r w:rsidRPr="005D78C3">
        <w:rPr>
          <w:rFonts w:ascii="Palatino Linotype" w:hAnsi="Palatino Linotype" w:eastAsia="Palatino Linotype" w:cs="Times New Roman"/>
          <w:kern w:val="0"/>
          <w14:ligatures w14:val="none"/>
        </w:rPr>
        <w:t>No protests were filed in response to PG&amp;E’s Advice Letter 7569-E. However, a response was submitted on May 8, 2025, by a coalition of seven Community Choice Aggregators (the “Joint CCAs”), consisting of Ava Community Energy, Central Coast Community Energy, Marin Clean Energy, Peninsula Clean Energy, Redwood Coast Energy Authority, San José Clean Energy, and Silicon Valley Clean Energy.</w:t>
      </w:r>
    </w:p>
    <w:p w:rsidRPr="005D78C3" w:rsidR="005D78C3" w:rsidP="001C7001" w:rsidRDefault="005D78C3" w14:paraId="1B4D2B98" w14:textId="77777777">
      <w:pPr>
        <w:spacing w:after="0" w:line="240" w:lineRule="auto"/>
        <w:rPr>
          <w:rFonts w:ascii="Palatino Linotype" w:hAnsi="Palatino Linotype" w:eastAsia="Palatino Linotype" w:cs="Times New Roman"/>
          <w:kern w:val="0"/>
          <w14:ligatures w14:val="none"/>
        </w:rPr>
      </w:pPr>
    </w:p>
    <w:p w:rsidR="00A76F4A" w:rsidP="001C7001" w:rsidRDefault="005D78C3" w14:paraId="66F8FFD2" w14:textId="33D7C368">
      <w:pPr>
        <w:spacing w:after="0" w:line="240" w:lineRule="auto"/>
        <w:rPr>
          <w:rFonts w:ascii="Palatino Linotype" w:hAnsi="Palatino Linotype" w:eastAsia="Palatino Linotype" w:cs="Times New Roman"/>
          <w:kern w:val="0"/>
          <w14:ligatures w14:val="none"/>
        </w:rPr>
      </w:pPr>
      <w:r w:rsidRPr="005D78C3">
        <w:rPr>
          <w:rFonts w:ascii="Palatino Linotype" w:hAnsi="Palatino Linotype" w:eastAsia="Palatino Linotype" w:cs="Times New Roman"/>
          <w:kern w:val="0"/>
          <w14:ligatures w14:val="none"/>
        </w:rPr>
        <w:t>PG&amp;E replied to the Joint CCAs’ response on May 15, 2025.</w:t>
      </w:r>
    </w:p>
    <w:p w:rsidRPr="001942D0" w:rsidR="005D78C3" w:rsidP="001C7001" w:rsidRDefault="005D78C3" w14:paraId="37C77B7C" w14:textId="77777777">
      <w:pPr>
        <w:spacing w:after="0" w:line="240" w:lineRule="auto"/>
        <w:rPr>
          <w:rFonts w:ascii="Palatino Linotype" w:hAnsi="Palatino Linotype" w:eastAsia="Palatino Linotype" w:cs="Times New Roman"/>
          <w:kern w:val="0"/>
          <w14:ligatures w14:val="none"/>
        </w:rPr>
      </w:pPr>
    </w:p>
    <w:p w:rsidRPr="00104414" w:rsidR="00104414" w:rsidP="00EB51BC" w:rsidRDefault="009A1AE5" w14:paraId="227D1FDD" w14:textId="38811E53">
      <w:pPr>
        <w:keepNext/>
        <w:spacing w:line="240" w:lineRule="auto"/>
        <w:rPr>
          <w:rFonts w:ascii="Palatino Linotype" w:hAnsi="Palatino Linotype" w:eastAsia="Aptos" w:cs="Times New Roman"/>
        </w:rPr>
      </w:pPr>
      <w:r>
        <w:rPr>
          <w:rFonts w:ascii="Palatino Linotype" w:hAnsi="Palatino Linotype" w:eastAsia="Aptos" w:cs="Times New Roman"/>
          <w:b/>
          <w:bCs/>
        </w:rPr>
        <w:t>Joint CCAs Response</w:t>
      </w:r>
      <w:r w:rsidRPr="00104414" w:rsidR="00104414">
        <w:rPr>
          <w:rFonts w:ascii="Palatino Linotype" w:hAnsi="Palatino Linotype" w:eastAsia="Aptos" w:cs="Times New Roman"/>
          <w:b/>
          <w:bCs/>
        </w:rPr>
        <w:t xml:space="preserve"> – </w:t>
      </w:r>
      <w:r>
        <w:rPr>
          <w:rFonts w:ascii="Palatino Linotype" w:hAnsi="Palatino Linotype" w:eastAsia="Aptos" w:cs="Times New Roman"/>
          <w:b/>
          <w:bCs/>
        </w:rPr>
        <w:t>May 8</w:t>
      </w:r>
      <w:r w:rsidRPr="00104414" w:rsidR="00104414">
        <w:rPr>
          <w:rFonts w:ascii="Palatino Linotype" w:hAnsi="Palatino Linotype" w:eastAsia="Aptos" w:cs="Times New Roman"/>
          <w:b/>
          <w:bCs/>
        </w:rPr>
        <w:t>, 2025</w:t>
      </w:r>
    </w:p>
    <w:p w:rsidRPr="005E4CD7" w:rsidR="005E4CD7" w:rsidP="00EB51BC" w:rsidRDefault="005E4CD7" w14:paraId="6E657F1E" w14:textId="6436404D">
      <w:pPr>
        <w:keepNext/>
        <w:spacing w:line="240" w:lineRule="auto"/>
        <w:rPr>
          <w:rFonts w:ascii="Palatino Linotype" w:hAnsi="Palatino Linotype" w:eastAsia="Aptos" w:cs="Times New Roman"/>
        </w:rPr>
      </w:pPr>
      <w:r w:rsidRPr="005E4CD7">
        <w:rPr>
          <w:rFonts w:ascii="Palatino Linotype" w:hAnsi="Palatino Linotype" w:eastAsia="Aptos" w:cs="Times New Roman"/>
        </w:rPr>
        <w:t>While the Joint CCAs d</w:t>
      </w:r>
      <w:r w:rsidR="007C72E5">
        <w:rPr>
          <w:rFonts w:ascii="Palatino Linotype" w:hAnsi="Palatino Linotype" w:eastAsia="Aptos" w:cs="Times New Roman"/>
        </w:rPr>
        <w:t>o</w:t>
      </w:r>
      <w:r w:rsidRPr="005E4CD7">
        <w:rPr>
          <w:rFonts w:ascii="Palatino Linotype" w:hAnsi="Palatino Linotype" w:eastAsia="Aptos" w:cs="Times New Roman"/>
        </w:rPr>
        <w:t xml:space="preserve"> not oppose the substance of the agreements or request that the Commission modify or reject the Advice Letter, they raised broader concerns about the lack of information-sharing between PG&amp;E and CCAs in cases involving large new transmission-level customer </w:t>
      </w:r>
      <w:r w:rsidR="00AB2035">
        <w:rPr>
          <w:rFonts w:ascii="Palatino Linotype" w:hAnsi="Palatino Linotype" w:eastAsia="Aptos" w:cs="Times New Roman"/>
        </w:rPr>
        <w:t>energization</w:t>
      </w:r>
      <w:r w:rsidRPr="005E4CD7">
        <w:rPr>
          <w:rFonts w:ascii="Palatino Linotype" w:hAnsi="Palatino Linotype" w:eastAsia="Aptos" w:cs="Times New Roman"/>
        </w:rPr>
        <w:t xml:space="preserve">s. The Joint CCAs emphasized the need for timely and transparent sharing of system planning data to support their statutory role </w:t>
      </w:r>
      <w:r w:rsidRPr="005E4CD7">
        <w:rPr>
          <w:rFonts w:ascii="Palatino Linotype" w:hAnsi="Palatino Linotype" w:eastAsia="Aptos" w:cs="Times New Roman"/>
        </w:rPr>
        <w:lastRenderedPageBreak/>
        <w:t>as default generation providers, particularly in light of their responsibilities for resource adequacy, procurement planning, and decarbonization efforts.</w:t>
      </w:r>
    </w:p>
    <w:p w:rsidRPr="005E4CD7" w:rsidR="005E4CD7" w:rsidP="001C7001" w:rsidRDefault="005E4CD7" w14:paraId="46CA8F38" w14:textId="7219FC34">
      <w:pPr>
        <w:spacing w:line="240" w:lineRule="auto"/>
        <w:rPr>
          <w:rFonts w:ascii="Palatino Linotype" w:hAnsi="Palatino Linotype" w:eastAsia="Aptos" w:cs="Times New Roman"/>
        </w:rPr>
      </w:pPr>
      <w:r w:rsidRPr="005E4CD7">
        <w:rPr>
          <w:rFonts w:ascii="Palatino Linotype" w:hAnsi="Palatino Linotype" w:eastAsia="Aptos" w:cs="Times New Roman"/>
        </w:rPr>
        <w:t>The Joint CCAs raised five key points in their response:</w:t>
      </w:r>
      <w:r w:rsidR="003C111C">
        <w:rPr>
          <w:rFonts w:ascii="Palatino Linotype" w:hAnsi="Palatino Linotype" w:eastAsia="Aptos" w:cs="Times New Roman"/>
        </w:rPr>
        <w:t xml:space="preserve"> (1) PG&amp;E has key system planning information </w:t>
      </w:r>
      <w:r w:rsidRPr="409E471F" w:rsidR="4A615A50">
        <w:rPr>
          <w:rFonts w:ascii="Palatino Linotype" w:hAnsi="Palatino Linotype" w:eastAsia="Aptos" w:cs="Times New Roman"/>
        </w:rPr>
        <w:t>that</w:t>
      </w:r>
      <w:r w:rsidR="003C111C">
        <w:rPr>
          <w:rFonts w:ascii="Palatino Linotype" w:hAnsi="Palatino Linotype" w:eastAsia="Aptos" w:cs="Times New Roman"/>
        </w:rPr>
        <w:t xml:space="preserve"> it is not currently sharing with the relevant CCAs</w:t>
      </w:r>
      <w:r w:rsidR="00291225">
        <w:rPr>
          <w:rFonts w:ascii="Palatino Linotype" w:hAnsi="Palatino Linotype" w:eastAsia="Aptos" w:cs="Times New Roman"/>
        </w:rPr>
        <w:t>;</w:t>
      </w:r>
      <w:r w:rsidR="003C111C">
        <w:rPr>
          <w:rFonts w:ascii="Palatino Linotype" w:hAnsi="Palatino Linotype" w:eastAsia="Aptos" w:cs="Times New Roman"/>
        </w:rPr>
        <w:t xml:space="preserve"> (2) CCAs serve as default generation providers, and as such require system planning information</w:t>
      </w:r>
      <w:r w:rsidR="00291225">
        <w:rPr>
          <w:rFonts w:ascii="Palatino Linotype" w:hAnsi="Palatino Linotype" w:eastAsia="Aptos" w:cs="Times New Roman"/>
        </w:rPr>
        <w:t xml:space="preserve">; (3) </w:t>
      </w:r>
      <w:r w:rsidR="00682EBE">
        <w:rPr>
          <w:rFonts w:ascii="Palatino Linotype" w:hAnsi="Palatino Linotype" w:eastAsia="Aptos" w:cs="Times New Roman"/>
        </w:rPr>
        <w:t>confidentiality</w:t>
      </w:r>
      <w:r w:rsidR="00291225">
        <w:rPr>
          <w:rFonts w:ascii="Palatino Linotype" w:hAnsi="Palatino Linotype" w:eastAsia="Aptos" w:cs="Times New Roman"/>
        </w:rPr>
        <w:t xml:space="preserve"> protections already exist for customer information received by CCAs; (4) </w:t>
      </w:r>
      <w:r w:rsidR="00682EBE">
        <w:rPr>
          <w:rFonts w:ascii="Palatino Linotype" w:hAnsi="Palatino Linotype" w:eastAsia="Aptos" w:cs="Times New Roman"/>
        </w:rPr>
        <w:t>failure to share key system data may threaten reliability, unnecessarily increase costs, and raise competitiveness concerns</w:t>
      </w:r>
      <w:r w:rsidR="00857772">
        <w:rPr>
          <w:rFonts w:ascii="Palatino Linotype" w:hAnsi="Palatino Linotype" w:eastAsia="Aptos" w:cs="Times New Roman"/>
        </w:rPr>
        <w:t>; and finally (5) the Commission should require an integrated approach to this information sharing.</w:t>
      </w:r>
    </w:p>
    <w:p w:rsidRPr="00104414" w:rsidR="00104414" w:rsidP="001C7001" w:rsidRDefault="00104414" w14:paraId="325E35CC" w14:textId="48910A32">
      <w:pPr>
        <w:spacing w:line="240" w:lineRule="auto"/>
        <w:rPr>
          <w:rFonts w:ascii="Palatino Linotype" w:hAnsi="Palatino Linotype" w:eastAsia="Aptos" w:cs="Times New Roman"/>
        </w:rPr>
      </w:pPr>
      <w:r w:rsidRPr="00104414">
        <w:rPr>
          <w:rFonts w:ascii="Palatino Linotype" w:hAnsi="Palatino Linotype" w:eastAsia="Aptos" w:cs="Times New Roman"/>
          <w:b/>
          <w:bCs/>
        </w:rPr>
        <w:t xml:space="preserve">PG&amp;E Reply – </w:t>
      </w:r>
      <w:r w:rsidR="005E4CD7">
        <w:rPr>
          <w:rFonts w:ascii="Palatino Linotype" w:hAnsi="Palatino Linotype" w:eastAsia="Aptos" w:cs="Times New Roman"/>
          <w:b/>
          <w:bCs/>
        </w:rPr>
        <w:t>May 15</w:t>
      </w:r>
      <w:r w:rsidRPr="00104414">
        <w:rPr>
          <w:rFonts w:ascii="Palatino Linotype" w:hAnsi="Palatino Linotype" w:eastAsia="Aptos" w:cs="Times New Roman"/>
          <w:b/>
          <w:bCs/>
        </w:rPr>
        <w:t>, 2025</w:t>
      </w:r>
    </w:p>
    <w:p w:rsidR="005907AF" w:rsidP="001C7001" w:rsidRDefault="005907AF" w14:paraId="06E42D8C" w14:textId="6FC9E3F1">
      <w:pPr>
        <w:spacing w:after="0" w:line="240" w:lineRule="auto"/>
        <w:rPr>
          <w:rFonts w:ascii="Palatino Linotype" w:hAnsi="Palatino Linotype" w:eastAsia="Aptos" w:cs="Times New Roman"/>
        </w:rPr>
      </w:pPr>
      <w:r w:rsidRPr="005907AF">
        <w:rPr>
          <w:rFonts w:ascii="Palatino Linotype" w:hAnsi="Palatino Linotype" w:eastAsia="Aptos" w:cs="Times New Roman"/>
        </w:rPr>
        <w:t xml:space="preserve">PG&amp;E </w:t>
      </w:r>
      <w:r w:rsidR="005A5E9D">
        <w:rPr>
          <w:rFonts w:ascii="Palatino Linotype" w:hAnsi="Palatino Linotype" w:eastAsia="Aptos" w:cs="Times New Roman"/>
        </w:rPr>
        <w:t>replied to the Joint CCA response</w:t>
      </w:r>
      <w:r w:rsidR="009567AE">
        <w:rPr>
          <w:rFonts w:ascii="Palatino Linotype" w:hAnsi="Palatino Linotype" w:eastAsia="Aptos" w:cs="Times New Roman"/>
        </w:rPr>
        <w:t>,</w:t>
      </w:r>
      <w:r w:rsidR="005A5E9D">
        <w:rPr>
          <w:rFonts w:ascii="Palatino Linotype" w:hAnsi="Palatino Linotype" w:eastAsia="Aptos" w:cs="Times New Roman"/>
        </w:rPr>
        <w:t xml:space="preserve"> noting that </w:t>
      </w:r>
      <w:r w:rsidR="009567AE">
        <w:rPr>
          <w:rFonts w:ascii="Palatino Linotype" w:hAnsi="Palatino Linotype" w:eastAsia="Aptos" w:cs="Times New Roman"/>
        </w:rPr>
        <w:t>the Joint CCAs</w:t>
      </w:r>
      <w:r w:rsidR="005A5E9D">
        <w:rPr>
          <w:rFonts w:ascii="Palatino Linotype" w:hAnsi="Palatino Linotype" w:eastAsia="Aptos" w:cs="Times New Roman"/>
        </w:rPr>
        <w:t xml:space="preserve"> did not protest th</w:t>
      </w:r>
      <w:r w:rsidR="009567AE">
        <w:rPr>
          <w:rFonts w:ascii="Palatino Linotype" w:hAnsi="Palatino Linotype" w:eastAsia="Aptos" w:cs="Times New Roman"/>
        </w:rPr>
        <w:t>e substance of the Advice Letter’s request nor suggest any modifications to the proposed Agreements between PG&amp;E and STACK. Further, PG&amp;E argues</w:t>
      </w:r>
      <w:r w:rsidRPr="005907AF">
        <w:rPr>
          <w:rFonts w:ascii="Palatino Linotype" w:hAnsi="Palatino Linotype" w:eastAsia="Aptos" w:cs="Times New Roman"/>
        </w:rPr>
        <w:t xml:space="preserve"> that the Joint CCAs’ concerns </w:t>
      </w:r>
      <w:r w:rsidR="009567AE">
        <w:rPr>
          <w:rFonts w:ascii="Palatino Linotype" w:hAnsi="Palatino Linotype" w:eastAsia="Aptos" w:cs="Times New Roman"/>
        </w:rPr>
        <w:t>are</w:t>
      </w:r>
      <w:r w:rsidRPr="005907AF">
        <w:rPr>
          <w:rFonts w:ascii="Palatino Linotype" w:hAnsi="Palatino Linotype" w:eastAsia="Aptos" w:cs="Times New Roman"/>
        </w:rPr>
        <w:t xml:space="preserve"> outside the scope of Advice Letter 7569-E, which seeks only approval of two negotiated agreements </w:t>
      </w:r>
      <w:r w:rsidR="007C72E5">
        <w:rPr>
          <w:rFonts w:ascii="Palatino Linotype" w:hAnsi="Palatino Linotype" w:eastAsia="Aptos" w:cs="Times New Roman"/>
        </w:rPr>
        <w:t>to facilitate the energization of a new large-load customer</w:t>
      </w:r>
      <w:r w:rsidRPr="005907AF">
        <w:rPr>
          <w:rFonts w:ascii="Palatino Linotype" w:hAnsi="Palatino Linotype" w:eastAsia="Aptos" w:cs="Times New Roman"/>
        </w:rPr>
        <w:t>. PG&amp;E argued that issues raised by the Joint CCAs are appropriately addressed within the Rule 30 proceeding (</w:t>
      </w:r>
      <w:r w:rsidR="007C72E5">
        <w:rPr>
          <w:rFonts w:ascii="Palatino Linotype" w:hAnsi="Palatino Linotype" w:eastAsia="Aptos" w:cs="Times New Roman"/>
        </w:rPr>
        <w:t xml:space="preserve">A. </w:t>
      </w:r>
      <w:r w:rsidRPr="005907AF">
        <w:rPr>
          <w:rFonts w:ascii="Palatino Linotype" w:hAnsi="Palatino Linotype" w:eastAsia="Aptos" w:cs="Times New Roman"/>
        </w:rPr>
        <w:t>24-11-007), where the Commission is already considering CCA access to system planning data.</w:t>
      </w:r>
    </w:p>
    <w:p w:rsidRPr="005907AF" w:rsidR="005907AF" w:rsidP="001C7001" w:rsidRDefault="005907AF" w14:paraId="4D6EC497" w14:textId="77777777">
      <w:pPr>
        <w:spacing w:after="0" w:line="240" w:lineRule="auto"/>
        <w:rPr>
          <w:rFonts w:ascii="Palatino Linotype" w:hAnsi="Palatino Linotype" w:eastAsia="Aptos" w:cs="Times New Roman"/>
        </w:rPr>
      </w:pPr>
    </w:p>
    <w:p w:rsidR="005907AF" w:rsidP="001C7001" w:rsidRDefault="005907AF" w14:paraId="7AB3F98C" w14:textId="079A67E1">
      <w:pPr>
        <w:spacing w:after="0" w:line="240" w:lineRule="auto"/>
        <w:rPr>
          <w:rFonts w:ascii="Palatino Linotype" w:hAnsi="Palatino Linotype" w:eastAsia="Aptos" w:cs="Times New Roman"/>
        </w:rPr>
      </w:pPr>
      <w:r w:rsidRPr="005907AF">
        <w:rPr>
          <w:rFonts w:ascii="Palatino Linotype" w:hAnsi="Palatino Linotype" w:eastAsia="Aptos" w:cs="Times New Roman"/>
        </w:rPr>
        <w:t>PG&amp;E nonetheless addressed each of the Joint CCAs’ five points</w:t>
      </w:r>
      <w:r w:rsidR="00081F07">
        <w:rPr>
          <w:rFonts w:ascii="Palatino Linotype" w:hAnsi="Palatino Linotype" w:eastAsia="Aptos" w:cs="Times New Roman"/>
        </w:rPr>
        <w:t>, noting</w:t>
      </w:r>
      <w:r w:rsidR="009F03E5">
        <w:rPr>
          <w:rFonts w:ascii="Palatino Linotype" w:hAnsi="Palatino Linotype" w:eastAsia="Aptos" w:cs="Times New Roman"/>
        </w:rPr>
        <w:t xml:space="preserve"> that</w:t>
      </w:r>
      <w:r w:rsidR="00081F07">
        <w:rPr>
          <w:rFonts w:ascii="Palatino Linotype" w:hAnsi="Palatino Linotype" w:eastAsia="Aptos" w:cs="Times New Roman"/>
        </w:rPr>
        <w:t xml:space="preserve"> (1) PG&amp;E has shared </w:t>
      </w:r>
      <w:r w:rsidR="0041066B">
        <w:rPr>
          <w:rFonts w:ascii="Palatino Linotype" w:hAnsi="Palatino Linotype" w:eastAsia="Aptos" w:cs="Times New Roman"/>
        </w:rPr>
        <w:t xml:space="preserve">adequate system planning information data with CCAs; (2) there is no clear </w:t>
      </w:r>
      <w:r w:rsidR="00AA0359">
        <w:rPr>
          <w:rFonts w:ascii="Palatino Linotype" w:hAnsi="Palatino Linotype" w:eastAsia="Aptos" w:cs="Times New Roman"/>
        </w:rPr>
        <w:t xml:space="preserve">precedent or statute </w:t>
      </w:r>
      <w:r w:rsidRPr="409E471F" w:rsidR="4275687D">
        <w:rPr>
          <w:rFonts w:ascii="Palatino Linotype" w:hAnsi="Palatino Linotype" w:eastAsia="Aptos" w:cs="Times New Roman"/>
        </w:rPr>
        <w:t>that</w:t>
      </w:r>
      <w:r w:rsidR="00AA0359">
        <w:rPr>
          <w:rFonts w:ascii="Palatino Linotype" w:hAnsi="Palatino Linotype" w:eastAsia="Aptos" w:cs="Times New Roman"/>
        </w:rPr>
        <w:t xml:space="preserve"> entitles CCAs to data on potential future customers; (3) </w:t>
      </w:r>
      <w:r w:rsidR="00F96B9B">
        <w:rPr>
          <w:rFonts w:ascii="Palatino Linotype" w:hAnsi="Palatino Linotype" w:eastAsia="Aptos" w:cs="Times New Roman"/>
        </w:rPr>
        <w:t>the data the Joint CCAs are currently seeking is outside the scope of previous decisions on confidentiality</w:t>
      </w:r>
      <w:r w:rsidR="00E5525F">
        <w:rPr>
          <w:rFonts w:ascii="Palatino Linotype" w:hAnsi="Palatino Linotype" w:eastAsia="Aptos" w:cs="Times New Roman"/>
        </w:rPr>
        <w:t xml:space="preserve">; (4) the Joint CCAs do not justify their concerns about </w:t>
      </w:r>
      <w:r w:rsidR="00D46BC5">
        <w:rPr>
          <w:rFonts w:ascii="Palatino Linotype" w:hAnsi="Palatino Linotype" w:eastAsia="Aptos" w:cs="Times New Roman"/>
        </w:rPr>
        <w:t>reliability and increased costs, and th</w:t>
      </w:r>
      <w:r w:rsidR="0056409C">
        <w:rPr>
          <w:rFonts w:ascii="Palatino Linotype" w:hAnsi="Palatino Linotype" w:eastAsia="Aptos" w:cs="Times New Roman"/>
        </w:rPr>
        <w:t>at</w:t>
      </w:r>
      <w:r w:rsidR="001F0949">
        <w:rPr>
          <w:rFonts w:ascii="Palatino Linotype" w:hAnsi="Palatino Linotype" w:eastAsia="Aptos" w:cs="Times New Roman"/>
        </w:rPr>
        <w:t xml:space="preserve"> </w:t>
      </w:r>
      <w:r w:rsidR="00D46BC5">
        <w:rPr>
          <w:rFonts w:ascii="Palatino Linotype" w:hAnsi="Palatino Linotype" w:eastAsia="Aptos" w:cs="Times New Roman"/>
        </w:rPr>
        <w:t>PG&amp;E’s own commercial energy procurement group</w:t>
      </w:r>
      <w:r w:rsidR="008E23ED">
        <w:rPr>
          <w:rFonts w:ascii="Palatino Linotype" w:hAnsi="Palatino Linotype" w:eastAsia="Aptos" w:cs="Times New Roman"/>
        </w:rPr>
        <w:t xml:space="preserve"> did not have access to the </w:t>
      </w:r>
      <w:r w:rsidR="00875A5E">
        <w:rPr>
          <w:rFonts w:ascii="Palatino Linotype" w:hAnsi="Palatino Linotype" w:eastAsia="Aptos" w:cs="Times New Roman"/>
        </w:rPr>
        <w:t>potential load associated with STACK</w:t>
      </w:r>
      <w:r w:rsidR="00033544">
        <w:rPr>
          <w:rFonts w:ascii="Palatino Linotype" w:hAnsi="Palatino Linotype" w:eastAsia="Aptos" w:cs="Times New Roman"/>
        </w:rPr>
        <w:t xml:space="preserve"> in advance of the CCAs; </w:t>
      </w:r>
      <w:r w:rsidR="00875A5E">
        <w:rPr>
          <w:rFonts w:ascii="Palatino Linotype" w:hAnsi="Palatino Linotype" w:eastAsia="Aptos" w:cs="Times New Roman"/>
        </w:rPr>
        <w:t>and (5) PG&amp;E agrees with the Joint CCAs</w:t>
      </w:r>
      <w:r w:rsidR="00DF1B39">
        <w:rPr>
          <w:rFonts w:ascii="Palatino Linotype" w:hAnsi="Palatino Linotype" w:eastAsia="Aptos" w:cs="Times New Roman"/>
        </w:rPr>
        <w:t xml:space="preserve"> on an integrated approach to data sharing, but that this Advice Letter is not the correct venue to consider these issues.</w:t>
      </w:r>
    </w:p>
    <w:p w:rsidRPr="005907AF" w:rsidR="005907AF" w:rsidP="001C7001" w:rsidRDefault="005907AF" w14:paraId="37B6761E" w14:textId="77777777">
      <w:pPr>
        <w:spacing w:after="0" w:line="240" w:lineRule="auto"/>
        <w:rPr>
          <w:rFonts w:ascii="Palatino Linotype" w:hAnsi="Palatino Linotype" w:eastAsia="Aptos" w:cs="Times New Roman"/>
        </w:rPr>
      </w:pPr>
    </w:p>
    <w:p w:rsidRPr="00104414" w:rsidR="00A76F4A" w:rsidP="001C7001" w:rsidRDefault="00A76F4A" w14:paraId="7EEC86B5" w14:textId="77777777">
      <w:pPr>
        <w:spacing w:after="0" w:line="240" w:lineRule="auto"/>
        <w:rPr>
          <w:rFonts w:ascii="Palatino Linotype" w:hAnsi="Palatino Linotype" w:eastAsia="Palatino Linotype" w:cs="Times New Roman"/>
          <w:kern w:val="0"/>
          <w14:ligatures w14:val="none"/>
        </w:rPr>
      </w:pPr>
    </w:p>
    <w:p w:rsidRPr="001942D0" w:rsidR="00A76F4A" w:rsidP="00DB0D2E" w:rsidRDefault="00A76F4A" w14:paraId="52F8DB71" w14:textId="77777777">
      <w:pPr>
        <w:keepNext/>
        <w:spacing w:before="360" w:after="240" w:line="240" w:lineRule="auto"/>
        <w:outlineLvl w:val="0"/>
        <w:rPr>
          <w:rFonts w:ascii="Palatino Linotype" w:hAnsi="Palatino Linotype" w:eastAsia="Palatino Linotype" w:cs="Times New Roman"/>
          <w:b/>
          <w:caps/>
          <w:kern w:val="28"/>
          <w:u w:val="single"/>
          <w14:ligatures w14:val="none"/>
        </w:rPr>
      </w:pPr>
      <w:r w:rsidRPr="001942D0">
        <w:rPr>
          <w:rFonts w:ascii="Palatino Linotype" w:hAnsi="Palatino Linotype" w:eastAsia="Palatino Linotype" w:cs="Times New Roman"/>
          <w:b/>
          <w:caps/>
          <w:kern w:val="28"/>
          <w:u w:val="single"/>
          <w14:ligatures w14:val="none"/>
        </w:rPr>
        <w:t>Discussion</w:t>
      </w:r>
    </w:p>
    <w:p w:rsidRPr="00340EA2" w:rsidR="00340EA2" w:rsidP="001C7001" w:rsidRDefault="00340EA2" w14:paraId="7957FC19" w14:textId="3D202F86">
      <w:pPr>
        <w:spacing w:line="240" w:lineRule="auto"/>
        <w:rPr>
          <w:rFonts w:ascii="Palatino Linotype" w:hAnsi="Palatino Linotype" w:eastAsia="Aptos" w:cs="Times New Roman"/>
        </w:rPr>
      </w:pPr>
      <w:r w:rsidRPr="00340EA2">
        <w:rPr>
          <w:rFonts w:ascii="Palatino Linotype" w:hAnsi="Palatino Linotype" w:eastAsia="Aptos" w:cs="Times New Roman"/>
        </w:rPr>
        <w:t xml:space="preserve">The Commission has reviewed the Advice Letter, the </w:t>
      </w:r>
      <w:r w:rsidR="00A46728">
        <w:rPr>
          <w:rFonts w:ascii="Palatino Linotype" w:hAnsi="Palatino Linotype" w:eastAsia="Aptos" w:cs="Times New Roman"/>
        </w:rPr>
        <w:t>response</w:t>
      </w:r>
      <w:r w:rsidRPr="00340EA2">
        <w:rPr>
          <w:rFonts w:ascii="Palatino Linotype" w:hAnsi="Palatino Linotype" w:eastAsia="Aptos" w:cs="Times New Roman"/>
        </w:rPr>
        <w:t xml:space="preserve"> submitted by </w:t>
      </w:r>
      <w:r w:rsidR="00A46728">
        <w:rPr>
          <w:rFonts w:ascii="Palatino Linotype" w:hAnsi="Palatino Linotype" w:eastAsia="Aptos" w:cs="Times New Roman"/>
        </w:rPr>
        <w:t>the Joint CCAs</w:t>
      </w:r>
      <w:r w:rsidRPr="00340EA2">
        <w:rPr>
          <w:rFonts w:ascii="Palatino Linotype" w:hAnsi="Palatino Linotype" w:eastAsia="Aptos" w:cs="Times New Roman"/>
        </w:rPr>
        <w:t>, and PG&amp;E’s reply. We find that</w:t>
      </w:r>
      <w:r w:rsidR="00EC6016">
        <w:rPr>
          <w:rFonts w:ascii="Palatino Linotype" w:hAnsi="Palatino Linotype" w:eastAsia="Aptos" w:cs="Times New Roman"/>
        </w:rPr>
        <w:t>, with modification</w:t>
      </w:r>
      <w:r w:rsidR="006A64A4">
        <w:rPr>
          <w:rFonts w:ascii="Palatino Linotype" w:hAnsi="Palatino Linotype" w:eastAsia="Aptos" w:cs="Times New Roman"/>
        </w:rPr>
        <w:t>s</w:t>
      </w:r>
      <w:r w:rsidR="00EC6016">
        <w:rPr>
          <w:rFonts w:ascii="Palatino Linotype" w:hAnsi="Palatino Linotype" w:eastAsia="Aptos" w:cs="Times New Roman"/>
        </w:rPr>
        <w:t>, the</w:t>
      </w:r>
      <w:r w:rsidRPr="00340EA2">
        <w:rPr>
          <w:rFonts w:ascii="Palatino Linotype" w:hAnsi="Palatino Linotype" w:eastAsia="Aptos" w:cs="Times New Roman"/>
        </w:rPr>
        <w:t xml:space="preserve"> </w:t>
      </w:r>
      <w:r w:rsidR="00A0252B">
        <w:rPr>
          <w:rFonts w:ascii="Palatino Linotype" w:hAnsi="Palatino Linotype" w:eastAsia="Aptos" w:cs="Times New Roman"/>
        </w:rPr>
        <w:t>two agreements proposed b</w:t>
      </w:r>
      <w:r w:rsidR="00EC6016">
        <w:rPr>
          <w:rFonts w:ascii="Palatino Linotype" w:hAnsi="Palatino Linotype" w:eastAsia="Aptos" w:cs="Times New Roman"/>
        </w:rPr>
        <w:t xml:space="preserve">y PG&amp;E </w:t>
      </w:r>
      <w:r w:rsidR="00E808D5">
        <w:rPr>
          <w:rFonts w:ascii="Palatino Linotype" w:hAnsi="Palatino Linotype" w:eastAsia="Aptos" w:cs="Times New Roman"/>
        </w:rPr>
        <w:t>present reasonable exceptional provis</w:t>
      </w:r>
      <w:r w:rsidR="00D21931">
        <w:rPr>
          <w:rFonts w:ascii="Palatino Linotype" w:hAnsi="Palatino Linotype" w:eastAsia="Aptos" w:cs="Times New Roman"/>
        </w:rPr>
        <w:t xml:space="preserve">ional terms and conditions to facilitate the energization </w:t>
      </w:r>
      <w:r w:rsidR="00FF1338">
        <w:rPr>
          <w:rFonts w:ascii="Palatino Linotype" w:hAnsi="Palatino Linotype" w:eastAsia="Aptos" w:cs="Times New Roman"/>
        </w:rPr>
        <w:t>of STACK.</w:t>
      </w:r>
    </w:p>
    <w:p w:rsidR="00340EA2" w:rsidP="001C7001" w:rsidRDefault="00E13B39" w14:paraId="3F6F40B8" w14:textId="75FF02F3">
      <w:pPr>
        <w:spacing w:line="240" w:lineRule="auto"/>
        <w:rPr>
          <w:rFonts w:ascii="Palatino Linotype" w:hAnsi="Palatino Linotype" w:eastAsia="Aptos" w:cs="Times New Roman"/>
        </w:rPr>
      </w:pPr>
      <w:r>
        <w:rPr>
          <w:rFonts w:ascii="Palatino Linotype" w:hAnsi="Palatino Linotype" w:eastAsia="Aptos" w:cs="Times New Roman"/>
        </w:rPr>
        <w:lastRenderedPageBreak/>
        <w:t>Below, we discuss the following</w:t>
      </w:r>
      <w:r w:rsidRPr="00340EA2" w:rsidR="00340EA2">
        <w:rPr>
          <w:rFonts w:ascii="Palatino Linotype" w:hAnsi="Palatino Linotype" w:eastAsia="Aptos" w:cs="Times New Roman"/>
        </w:rPr>
        <w:t>: (1)</w:t>
      </w:r>
      <w:r w:rsidR="0066151F">
        <w:rPr>
          <w:rFonts w:ascii="Palatino Linotype" w:hAnsi="Palatino Linotype" w:eastAsia="Aptos" w:cs="Times New Roman"/>
        </w:rPr>
        <w:t xml:space="preserve"> that it is reasonable to limit </w:t>
      </w:r>
      <w:r w:rsidR="00744AA6">
        <w:rPr>
          <w:rFonts w:ascii="Palatino Linotype" w:hAnsi="Palatino Linotype" w:eastAsia="Aptos" w:cs="Times New Roman"/>
        </w:rPr>
        <w:t xml:space="preserve">annual </w:t>
      </w:r>
      <w:r w:rsidR="0066151F">
        <w:rPr>
          <w:rFonts w:ascii="Palatino Linotype" w:hAnsi="Palatino Linotype" w:eastAsia="Aptos" w:cs="Times New Roman"/>
        </w:rPr>
        <w:t xml:space="preserve">customer refunds </w:t>
      </w:r>
      <w:r w:rsidR="0021178A">
        <w:rPr>
          <w:rFonts w:ascii="Palatino Linotype" w:hAnsi="Palatino Linotype" w:eastAsia="Aptos" w:cs="Times New Roman"/>
        </w:rPr>
        <w:t>to</w:t>
      </w:r>
      <w:r w:rsidR="00D52E57">
        <w:rPr>
          <w:rFonts w:ascii="Palatino Linotype" w:hAnsi="Palatino Linotype" w:eastAsia="Aptos" w:cs="Times New Roman"/>
        </w:rPr>
        <w:t xml:space="preserve"> 75 percent of</w:t>
      </w:r>
      <w:r w:rsidR="0021178A">
        <w:rPr>
          <w:rFonts w:ascii="Palatino Linotype" w:hAnsi="Palatino Linotype" w:eastAsia="Aptos" w:cs="Times New Roman"/>
        </w:rPr>
        <w:t xml:space="preserve"> the</w:t>
      </w:r>
      <w:r w:rsidR="006A53CF">
        <w:rPr>
          <w:rFonts w:ascii="Palatino Linotype" w:hAnsi="Palatino Linotype" w:eastAsia="Aptos" w:cs="Times New Roman"/>
        </w:rPr>
        <w:t xml:space="preserve"> annual</w:t>
      </w:r>
      <w:r w:rsidR="0021178A">
        <w:rPr>
          <w:rFonts w:ascii="Palatino Linotype" w:hAnsi="Palatino Linotype" w:eastAsia="Aptos" w:cs="Times New Roman"/>
        </w:rPr>
        <w:t xml:space="preserve"> net revenues received from the customer</w:t>
      </w:r>
      <w:r w:rsidR="00E0267E">
        <w:rPr>
          <w:rFonts w:ascii="Palatino Linotype" w:hAnsi="Palatino Linotype" w:eastAsia="Aptos" w:cs="Times New Roman"/>
        </w:rPr>
        <w:t>;</w:t>
      </w:r>
      <w:r w:rsidRPr="00340EA2" w:rsidR="00340EA2">
        <w:rPr>
          <w:rFonts w:ascii="Palatino Linotype" w:hAnsi="Palatino Linotype" w:eastAsia="Aptos" w:cs="Times New Roman"/>
        </w:rPr>
        <w:t xml:space="preserve"> (2) </w:t>
      </w:r>
      <w:r w:rsidR="0066151F">
        <w:rPr>
          <w:rFonts w:ascii="Palatino Linotype" w:hAnsi="Palatino Linotype" w:eastAsia="Aptos" w:cs="Times New Roman"/>
        </w:rPr>
        <w:t>that the various terms and conditions in the Agreement to Perform Tariff Schedule Related Work (PG&amp;E From 62-4527) and the Agreement for the Installation or Allocation of Special Facilities (PG</w:t>
      </w:r>
      <w:r w:rsidR="00B57A85">
        <w:rPr>
          <w:rFonts w:ascii="Palatino Linotype" w:hAnsi="Palatino Linotype" w:eastAsia="Aptos" w:cs="Times New Roman"/>
        </w:rPr>
        <w:t>&amp;</w:t>
      </w:r>
      <w:r w:rsidR="0066151F">
        <w:rPr>
          <w:rFonts w:ascii="Palatino Linotype" w:hAnsi="Palatino Linotype" w:eastAsia="Aptos" w:cs="Times New Roman"/>
        </w:rPr>
        <w:t>E Form 79-255)</w:t>
      </w:r>
      <w:r w:rsidR="0021178A">
        <w:rPr>
          <w:rFonts w:ascii="Palatino Linotype" w:hAnsi="Palatino Linotype" w:eastAsia="Aptos" w:cs="Times New Roman"/>
        </w:rPr>
        <w:t xml:space="preserve"> are otherwise reasonable</w:t>
      </w:r>
      <w:r w:rsidR="00E0267E">
        <w:rPr>
          <w:rFonts w:ascii="Palatino Linotype" w:hAnsi="Palatino Linotype" w:eastAsia="Aptos" w:cs="Times New Roman"/>
        </w:rPr>
        <w:t xml:space="preserve">; and (3) that the </w:t>
      </w:r>
      <w:r w:rsidR="001A1BDC">
        <w:rPr>
          <w:rFonts w:ascii="Palatino Linotype" w:hAnsi="Palatino Linotype" w:eastAsia="Aptos" w:cs="Times New Roman"/>
        </w:rPr>
        <w:t>issues raised by the Joint CCA</w:t>
      </w:r>
      <w:r w:rsidR="00B56FD3">
        <w:rPr>
          <w:rFonts w:ascii="Palatino Linotype" w:hAnsi="Palatino Linotype" w:eastAsia="Aptos" w:cs="Times New Roman"/>
        </w:rPr>
        <w:t>s</w:t>
      </w:r>
      <w:r w:rsidR="00A15BBD">
        <w:rPr>
          <w:rFonts w:ascii="Palatino Linotype" w:hAnsi="Palatino Linotype" w:eastAsia="Aptos" w:cs="Times New Roman"/>
        </w:rPr>
        <w:t xml:space="preserve"> </w:t>
      </w:r>
      <w:r w:rsidR="006A64A4">
        <w:rPr>
          <w:rFonts w:ascii="Palatino Linotype" w:hAnsi="Palatino Linotype" w:eastAsia="Aptos" w:cs="Times New Roman"/>
        </w:rPr>
        <w:t>will not be addressed in this venue.</w:t>
      </w:r>
    </w:p>
    <w:p w:rsidR="007B3D79" w:rsidP="00041145" w:rsidRDefault="007B3D79" w14:paraId="4F85AFAE" w14:textId="77777777">
      <w:pPr>
        <w:spacing w:after="0" w:line="240" w:lineRule="auto"/>
        <w:rPr>
          <w:rFonts w:ascii="Palatino Linotype" w:hAnsi="Palatino Linotype" w:eastAsia="Aptos" w:cs="Times New Roman"/>
          <w:b/>
          <w:bCs/>
        </w:rPr>
      </w:pPr>
    </w:p>
    <w:p w:rsidR="007C0C31" w:rsidP="00A44A31" w:rsidRDefault="00BE60DC" w14:paraId="69A82EFE" w14:textId="7643732D">
      <w:pPr>
        <w:spacing w:line="240" w:lineRule="auto"/>
        <w:rPr>
          <w:rFonts w:ascii="Palatino Linotype" w:hAnsi="Palatino Linotype" w:eastAsia="Aptos" w:cs="Times New Roman"/>
          <w:b/>
          <w:bCs/>
        </w:rPr>
      </w:pPr>
      <w:r>
        <w:rPr>
          <w:rFonts w:ascii="Palatino Linotype" w:hAnsi="Palatino Linotype" w:eastAsia="Aptos" w:cs="Times New Roman"/>
          <w:b/>
          <w:bCs/>
        </w:rPr>
        <w:t>The BARC process focus</w:t>
      </w:r>
      <w:r w:rsidR="009023E7">
        <w:rPr>
          <w:rFonts w:ascii="Palatino Linotype" w:hAnsi="Palatino Linotype" w:eastAsia="Aptos" w:cs="Times New Roman"/>
          <w:b/>
          <w:bCs/>
        </w:rPr>
        <w:t>es</w:t>
      </w:r>
      <w:r>
        <w:rPr>
          <w:rFonts w:ascii="Palatino Linotype" w:hAnsi="Palatino Linotype" w:eastAsia="Aptos" w:cs="Times New Roman"/>
          <w:b/>
          <w:bCs/>
        </w:rPr>
        <w:t xml:space="preserve"> on the net revenues from a customer. </w:t>
      </w:r>
    </w:p>
    <w:p w:rsidR="00245560" w:rsidP="00A44A31" w:rsidRDefault="005F43D3" w14:paraId="2017A4FA" w14:textId="77777777">
      <w:pPr>
        <w:spacing w:line="240" w:lineRule="auto"/>
        <w:rPr>
          <w:rFonts w:ascii="Palatino Linotype" w:hAnsi="Palatino Linotype" w:eastAsia="Aptos" w:cs="Times New Roman"/>
        </w:rPr>
      </w:pPr>
      <w:r>
        <w:rPr>
          <w:rFonts w:ascii="Palatino Linotype" w:hAnsi="Palatino Linotype" w:eastAsia="Aptos" w:cs="Times New Roman"/>
        </w:rPr>
        <w:t>T</w:t>
      </w:r>
      <w:r w:rsidR="00AB55BA">
        <w:rPr>
          <w:rFonts w:ascii="Palatino Linotype" w:hAnsi="Palatino Linotype" w:eastAsia="Aptos" w:cs="Times New Roman"/>
        </w:rPr>
        <w:t xml:space="preserve">he standard BARC process, described in the background section above, bases customer refunds on </w:t>
      </w:r>
      <w:r w:rsidR="007F4254">
        <w:rPr>
          <w:rFonts w:ascii="Palatino Linotype" w:hAnsi="Palatino Linotype" w:eastAsia="Aptos" w:cs="Times New Roman"/>
        </w:rPr>
        <w:t xml:space="preserve">the </w:t>
      </w:r>
      <w:r w:rsidR="00AB55BA">
        <w:rPr>
          <w:rFonts w:ascii="Palatino Linotype" w:hAnsi="Palatino Linotype" w:eastAsia="Aptos" w:cs="Times New Roman"/>
        </w:rPr>
        <w:t xml:space="preserve">net </w:t>
      </w:r>
      <w:r w:rsidR="007F4254">
        <w:rPr>
          <w:rFonts w:ascii="Palatino Linotype" w:hAnsi="Palatino Linotype" w:eastAsia="Aptos" w:cs="Times New Roman"/>
        </w:rPr>
        <w:t>revenue</w:t>
      </w:r>
      <w:r w:rsidR="00AB55BA">
        <w:rPr>
          <w:rFonts w:ascii="Palatino Linotype" w:hAnsi="Palatino Linotype" w:eastAsia="Aptos" w:cs="Times New Roman"/>
        </w:rPr>
        <w:t xml:space="preserve"> rather than </w:t>
      </w:r>
      <w:r w:rsidR="007F4254">
        <w:rPr>
          <w:rFonts w:ascii="Palatino Linotype" w:hAnsi="Palatino Linotype" w:eastAsia="Aptos" w:cs="Times New Roman"/>
        </w:rPr>
        <w:t xml:space="preserve">the </w:t>
      </w:r>
      <w:r w:rsidR="00AB55BA">
        <w:rPr>
          <w:rFonts w:ascii="Palatino Linotype" w:hAnsi="Palatino Linotype" w:eastAsia="Aptos" w:cs="Times New Roman"/>
        </w:rPr>
        <w:t>total revenues</w:t>
      </w:r>
      <w:r w:rsidR="001F6490">
        <w:rPr>
          <w:rFonts w:ascii="Palatino Linotype" w:hAnsi="Palatino Linotype" w:eastAsia="Aptos" w:cs="Times New Roman"/>
        </w:rPr>
        <w:t xml:space="preserve"> </w:t>
      </w:r>
      <w:r w:rsidR="007F4254">
        <w:rPr>
          <w:rFonts w:ascii="Palatino Linotype" w:hAnsi="Palatino Linotype" w:eastAsia="Aptos" w:cs="Times New Roman"/>
        </w:rPr>
        <w:t>received f</w:t>
      </w:r>
      <w:r w:rsidR="001F6490">
        <w:rPr>
          <w:rFonts w:ascii="Palatino Linotype" w:hAnsi="Palatino Linotype" w:eastAsia="Aptos" w:cs="Times New Roman"/>
        </w:rPr>
        <w:t>rom a customer</w:t>
      </w:r>
      <w:r w:rsidR="00AB55BA">
        <w:rPr>
          <w:rFonts w:ascii="Palatino Linotype" w:hAnsi="Palatino Linotype" w:eastAsia="Aptos" w:cs="Times New Roman"/>
        </w:rPr>
        <w:t xml:space="preserve">. </w:t>
      </w:r>
    </w:p>
    <w:p w:rsidR="00245560" w:rsidP="00A44A31" w:rsidRDefault="00245560" w14:paraId="5DEECBE5" w14:textId="769A70AF">
      <w:pPr>
        <w:spacing w:line="240" w:lineRule="auto"/>
        <w:rPr>
          <w:rFonts w:ascii="Palatino Linotype" w:hAnsi="Palatino Linotype" w:eastAsia="Aptos" w:cs="Times New Roman"/>
        </w:rPr>
      </w:pPr>
      <w:r>
        <w:rPr>
          <w:rFonts w:ascii="Palatino Linotype" w:hAnsi="Palatino Linotype" w:eastAsia="Aptos" w:cs="Times New Roman"/>
        </w:rPr>
        <w:t>The term “net revenues” captures that part of a customer’s revenue that corresponds to the infrastructure costs in question. For a customer like STACK, seeking energization at the transmission level, the net revenue refers to the transmission component of a customer’s electric bill and the daily charge assigned to each electric meter.</w:t>
      </w:r>
    </w:p>
    <w:p w:rsidR="00412652" w:rsidP="00A44A31" w:rsidRDefault="00F93486" w14:paraId="50D50498" w14:textId="012E07D3">
      <w:pPr>
        <w:spacing w:line="240" w:lineRule="auto"/>
        <w:rPr>
          <w:rFonts w:ascii="Palatino Linotype" w:hAnsi="Palatino Linotype" w:eastAsia="Aptos" w:cs="Times New Roman"/>
        </w:rPr>
      </w:pPr>
      <w:r>
        <w:rPr>
          <w:rFonts w:ascii="Palatino Linotype" w:hAnsi="Palatino Linotype" w:eastAsia="Aptos" w:cs="Times New Roman"/>
        </w:rPr>
        <w:t xml:space="preserve">This </w:t>
      </w:r>
      <w:r w:rsidR="00961D7E">
        <w:rPr>
          <w:rFonts w:ascii="Palatino Linotype" w:hAnsi="Palatino Linotype" w:eastAsia="Aptos" w:cs="Times New Roman"/>
        </w:rPr>
        <w:t xml:space="preserve">structure is in place </w:t>
      </w:r>
      <w:r>
        <w:rPr>
          <w:rFonts w:ascii="Palatino Linotype" w:hAnsi="Palatino Linotype" w:eastAsia="Aptos" w:cs="Times New Roman"/>
        </w:rPr>
        <w:t xml:space="preserve">because </w:t>
      </w:r>
      <w:r w:rsidR="00412652">
        <w:rPr>
          <w:rFonts w:ascii="Palatino Linotype" w:hAnsi="Palatino Linotype" w:eastAsia="Aptos" w:cs="Times New Roman"/>
        </w:rPr>
        <w:t>it recognizes that t</w:t>
      </w:r>
      <w:r>
        <w:rPr>
          <w:rFonts w:ascii="Palatino Linotype" w:hAnsi="Palatino Linotype" w:eastAsia="Aptos" w:cs="Times New Roman"/>
        </w:rPr>
        <w:t xml:space="preserve">he various components of a customer’s bill correspond to </w:t>
      </w:r>
      <w:r w:rsidR="00C934F5">
        <w:rPr>
          <w:rFonts w:ascii="Palatino Linotype" w:hAnsi="Palatino Linotype" w:eastAsia="Aptos" w:cs="Times New Roman"/>
        </w:rPr>
        <w:t>different costs and responsibilities</w:t>
      </w:r>
      <w:r w:rsidR="005C5CF0">
        <w:rPr>
          <w:rFonts w:ascii="Palatino Linotype" w:hAnsi="Palatino Linotype" w:eastAsia="Aptos" w:cs="Times New Roman"/>
        </w:rPr>
        <w:t xml:space="preserve"> within the larger electric grid system</w:t>
      </w:r>
      <w:r w:rsidR="00C934F5">
        <w:rPr>
          <w:rFonts w:ascii="Palatino Linotype" w:hAnsi="Palatino Linotype" w:eastAsia="Aptos" w:cs="Times New Roman"/>
        </w:rPr>
        <w:t xml:space="preserve">. </w:t>
      </w:r>
    </w:p>
    <w:p w:rsidR="00BE60DC" w:rsidP="00A44A31" w:rsidRDefault="00C934F5" w14:paraId="0220D797" w14:textId="5F00E377">
      <w:pPr>
        <w:spacing w:line="240" w:lineRule="auto"/>
        <w:rPr>
          <w:rFonts w:ascii="Palatino Linotype" w:hAnsi="Palatino Linotype" w:eastAsia="Aptos" w:cs="Times New Roman"/>
        </w:rPr>
      </w:pPr>
      <w:r>
        <w:rPr>
          <w:rFonts w:ascii="Palatino Linotype" w:hAnsi="Palatino Linotype" w:eastAsia="Aptos" w:cs="Times New Roman"/>
        </w:rPr>
        <w:t>For a large</w:t>
      </w:r>
      <w:r w:rsidR="00E8580B">
        <w:rPr>
          <w:rFonts w:ascii="Palatino Linotype" w:hAnsi="Palatino Linotype" w:eastAsia="Aptos" w:cs="Times New Roman"/>
        </w:rPr>
        <w:t>-</w:t>
      </w:r>
      <w:r>
        <w:rPr>
          <w:rFonts w:ascii="Palatino Linotype" w:hAnsi="Palatino Linotype" w:eastAsia="Aptos" w:cs="Times New Roman"/>
        </w:rPr>
        <w:t>load</w:t>
      </w:r>
      <w:r w:rsidR="00E8580B">
        <w:rPr>
          <w:rFonts w:ascii="Palatino Linotype" w:hAnsi="Palatino Linotype" w:eastAsia="Aptos" w:cs="Times New Roman"/>
        </w:rPr>
        <w:t>,</w:t>
      </w:r>
      <w:r>
        <w:rPr>
          <w:rFonts w:ascii="Palatino Linotype" w:hAnsi="Palatino Linotype" w:eastAsia="Aptos" w:cs="Times New Roman"/>
        </w:rPr>
        <w:t xml:space="preserve"> transmission</w:t>
      </w:r>
      <w:r w:rsidR="00E8580B">
        <w:rPr>
          <w:rFonts w:ascii="Palatino Linotype" w:hAnsi="Palatino Linotype" w:eastAsia="Aptos" w:cs="Times New Roman"/>
        </w:rPr>
        <w:t>-level</w:t>
      </w:r>
      <w:r>
        <w:rPr>
          <w:rFonts w:ascii="Palatino Linotype" w:hAnsi="Palatino Linotype" w:eastAsia="Aptos" w:cs="Times New Roman"/>
        </w:rPr>
        <w:t xml:space="preserve"> customer like STACK, </w:t>
      </w:r>
      <w:r w:rsidR="001F6490">
        <w:rPr>
          <w:rFonts w:ascii="Palatino Linotype" w:hAnsi="Palatino Linotype" w:eastAsia="Aptos" w:cs="Times New Roman"/>
        </w:rPr>
        <w:t xml:space="preserve">for example, </w:t>
      </w:r>
      <w:r w:rsidR="005C6512">
        <w:rPr>
          <w:rFonts w:ascii="Palatino Linotype" w:hAnsi="Palatino Linotype" w:eastAsia="Aptos" w:cs="Times New Roman"/>
        </w:rPr>
        <w:t xml:space="preserve">a significant majority of revenues from the customer </w:t>
      </w:r>
      <w:r w:rsidR="00412652">
        <w:rPr>
          <w:rFonts w:ascii="Palatino Linotype" w:hAnsi="Palatino Linotype" w:eastAsia="Aptos" w:cs="Times New Roman"/>
        </w:rPr>
        <w:t xml:space="preserve">are likely </w:t>
      </w:r>
      <w:r w:rsidR="00547F48">
        <w:rPr>
          <w:rFonts w:ascii="Palatino Linotype" w:hAnsi="Palatino Linotype" w:eastAsia="Aptos" w:cs="Times New Roman"/>
        </w:rPr>
        <w:t xml:space="preserve">paying </w:t>
      </w:r>
      <w:r w:rsidR="00C3045F">
        <w:rPr>
          <w:rFonts w:ascii="Palatino Linotype" w:hAnsi="Palatino Linotype" w:eastAsia="Aptos" w:cs="Times New Roman"/>
        </w:rPr>
        <w:t xml:space="preserve">the </w:t>
      </w:r>
      <w:r w:rsidR="00547F48">
        <w:rPr>
          <w:rFonts w:ascii="Palatino Linotype" w:hAnsi="Palatino Linotype" w:eastAsia="Aptos" w:cs="Times New Roman"/>
        </w:rPr>
        <w:t xml:space="preserve">cost of </w:t>
      </w:r>
      <w:r w:rsidR="00412652">
        <w:rPr>
          <w:rFonts w:ascii="Palatino Linotype" w:hAnsi="Palatino Linotype" w:eastAsia="Aptos" w:cs="Times New Roman"/>
        </w:rPr>
        <w:t xml:space="preserve">energy </w:t>
      </w:r>
      <w:r w:rsidR="005C6512">
        <w:rPr>
          <w:rFonts w:ascii="Palatino Linotype" w:hAnsi="Palatino Linotype" w:eastAsia="Aptos" w:cs="Times New Roman"/>
        </w:rPr>
        <w:t xml:space="preserve">generation. </w:t>
      </w:r>
      <w:r w:rsidR="005C6658">
        <w:rPr>
          <w:rFonts w:ascii="Palatino Linotype" w:hAnsi="Palatino Linotype" w:eastAsia="Aptos" w:cs="Times New Roman"/>
        </w:rPr>
        <w:t>Th</w:t>
      </w:r>
      <w:r w:rsidR="008A230C">
        <w:rPr>
          <w:rFonts w:ascii="Palatino Linotype" w:hAnsi="Palatino Linotype" w:eastAsia="Aptos" w:cs="Times New Roman"/>
        </w:rPr>
        <w:t>ese</w:t>
      </w:r>
      <w:r w:rsidR="005C6658">
        <w:rPr>
          <w:rFonts w:ascii="Palatino Linotype" w:hAnsi="Palatino Linotype" w:eastAsia="Aptos" w:cs="Times New Roman"/>
        </w:rPr>
        <w:t xml:space="preserve"> revenue</w:t>
      </w:r>
      <w:r w:rsidR="008A230C">
        <w:rPr>
          <w:rFonts w:ascii="Palatino Linotype" w:hAnsi="Palatino Linotype" w:eastAsia="Aptos" w:cs="Times New Roman"/>
        </w:rPr>
        <w:t>s</w:t>
      </w:r>
      <w:r w:rsidR="005C6658">
        <w:rPr>
          <w:rFonts w:ascii="Palatino Linotype" w:hAnsi="Palatino Linotype" w:eastAsia="Aptos" w:cs="Times New Roman"/>
        </w:rPr>
        <w:t xml:space="preserve"> reflect the cost</w:t>
      </w:r>
      <w:r w:rsidR="00BA7D5C">
        <w:rPr>
          <w:rFonts w:ascii="Palatino Linotype" w:hAnsi="Palatino Linotype" w:eastAsia="Aptos" w:cs="Times New Roman"/>
        </w:rPr>
        <w:t>s</w:t>
      </w:r>
      <w:r w:rsidR="005C6658">
        <w:rPr>
          <w:rFonts w:ascii="Palatino Linotype" w:hAnsi="Palatino Linotype" w:eastAsia="Aptos" w:cs="Times New Roman"/>
        </w:rPr>
        <w:t xml:space="preserve"> of procuring reliable energy for the customer</w:t>
      </w:r>
      <w:r w:rsidR="008A230C">
        <w:rPr>
          <w:rFonts w:ascii="Palatino Linotype" w:hAnsi="Palatino Linotype" w:eastAsia="Aptos" w:cs="Times New Roman"/>
        </w:rPr>
        <w:t>, and the</w:t>
      </w:r>
      <w:r w:rsidR="00FA2508">
        <w:rPr>
          <w:rFonts w:ascii="Palatino Linotype" w:hAnsi="Palatino Linotype" w:eastAsia="Aptos" w:cs="Times New Roman"/>
        </w:rPr>
        <w:t xml:space="preserve"> revenues</w:t>
      </w:r>
      <w:r w:rsidR="008A230C">
        <w:rPr>
          <w:rFonts w:ascii="Palatino Linotype" w:hAnsi="Palatino Linotype" w:eastAsia="Aptos" w:cs="Times New Roman"/>
        </w:rPr>
        <w:t xml:space="preserve"> </w:t>
      </w:r>
      <w:r w:rsidR="00844AA4">
        <w:rPr>
          <w:rFonts w:ascii="Palatino Linotype" w:hAnsi="Palatino Linotype" w:eastAsia="Aptos" w:cs="Times New Roman"/>
        </w:rPr>
        <w:t>would go to the Load Serving Entity, which may be a CCA rather than</w:t>
      </w:r>
      <w:r w:rsidR="00412652">
        <w:rPr>
          <w:rFonts w:ascii="Palatino Linotype" w:hAnsi="Palatino Linotype" w:eastAsia="Aptos" w:cs="Times New Roman"/>
        </w:rPr>
        <w:t xml:space="preserve"> PG&amp;E</w:t>
      </w:r>
      <w:r w:rsidR="00844AA4">
        <w:rPr>
          <w:rFonts w:ascii="Palatino Linotype" w:hAnsi="Palatino Linotype" w:eastAsia="Aptos" w:cs="Times New Roman"/>
        </w:rPr>
        <w:t>.</w:t>
      </w:r>
      <w:r w:rsidR="00412652">
        <w:rPr>
          <w:rFonts w:ascii="Palatino Linotype" w:hAnsi="Palatino Linotype" w:eastAsia="Aptos" w:cs="Times New Roman"/>
        </w:rPr>
        <w:t xml:space="preserve"> </w:t>
      </w:r>
      <w:r w:rsidR="00AF2554">
        <w:rPr>
          <w:rFonts w:ascii="Palatino Linotype" w:hAnsi="Palatino Linotype" w:eastAsia="Aptos" w:cs="Times New Roman"/>
        </w:rPr>
        <w:t xml:space="preserve">These energy generation revenues are differentiated from the revenues </w:t>
      </w:r>
      <w:r w:rsidR="00F57D9F">
        <w:rPr>
          <w:rFonts w:ascii="Palatino Linotype" w:hAnsi="Palatino Linotype" w:eastAsia="Aptos" w:cs="Times New Roman"/>
        </w:rPr>
        <w:t xml:space="preserve">that pay </w:t>
      </w:r>
      <w:r w:rsidR="00453748">
        <w:rPr>
          <w:rFonts w:ascii="Palatino Linotype" w:hAnsi="Palatino Linotype" w:eastAsia="Aptos" w:cs="Times New Roman"/>
        </w:rPr>
        <w:t xml:space="preserve">costs </w:t>
      </w:r>
      <w:r w:rsidR="00F57D9F">
        <w:rPr>
          <w:rFonts w:ascii="Palatino Linotype" w:hAnsi="Palatino Linotype" w:eastAsia="Aptos" w:cs="Times New Roman"/>
        </w:rPr>
        <w:t xml:space="preserve">for </w:t>
      </w:r>
      <w:r w:rsidR="00AF2554">
        <w:rPr>
          <w:rFonts w:ascii="Palatino Linotype" w:hAnsi="Palatino Linotype" w:eastAsia="Aptos" w:cs="Times New Roman"/>
        </w:rPr>
        <w:t xml:space="preserve">energy delivery, which cover transmission and distribution infrastructure. </w:t>
      </w:r>
      <w:r w:rsidR="00D44D33">
        <w:rPr>
          <w:rFonts w:ascii="Palatino Linotype" w:hAnsi="Palatino Linotype" w:eastAsia="Aptos" w:cs="Times New Roman"/>
        </w:rPr>
        <w:t>T</w:t>
      </w:r>
      <w:r w:rsidR="00DC5E81">
        <w:rPr>
          <w:rFonts w:ascii="Palatino Linotype" w:hAnsi="Palatino Linotype" w:eastAsia="Aptos" w:cs="Times New Roman"/>
        </w:rPr>
        <w:t>h</w:t>
      </w:r>
      <w:r w:rsidR="00E66A5B">
        <w:rPr>
          <w:rFonts w:ascii="Palatino Linotype" w:hAnsi="Palatino Linotype" w:eastAsia="Aptos" w:cs="Times New Roman"/>
        </w:rPr>
        <w:t>e generation</w:t>
      </w:r>
      <w:r w:rsidR="00DC5E81">
        <w:rPr>
          <w:rFonts w:ascii="Palatino Linotype" w:hAnsi="Palatino Linotype" w:eastAsia="Aptos" w:cs="Times New Roman"/>
        </w:rPr>
        <w:t xml:space="preserve"> component of a </w:t>
      </w:r>
      <w:r w:rsidR="008164F0">
        <w:rPr>
          <w:rFonts w:ascii="Palatino Linotype" w:hAnsi="Palatino Linotype" w:eastAsia="Aptos" w:cs="Times New Roman"/>
        </w:rPr>
        <w:t>customer’s</w:t>
      </w:r>
      <w:r w:rsidR="00DC5E81">
        <w:rPr>
          <w:rFonts w:ascii="Palatino Linotype" w:hAnsi="Palatino Linotype" w:eastAsia="Aptos" w:cs="Times New Roman"/>
        </w:rPr>
        <w:t xml:space="preserve"> bill should not be considered when evaluating refunds for</w:t>
      </w:r>
      <w:r w:rsidR="008164F0">
        <w:rPr>
          <w:rFonts w:ascii="Palatino Linotype" w:hAnsi="Palatino Linotype" w:eastAsia="Aptos" w:cs="Times New Roman"/>
        </w:rPr>
        <w:t xml:space="preserve"> the</w:t>
      </w:r>
      <w:r w:rsidR="00DC5E81">
        <w:rPr>
          <w:rFonts w:ascii="Palatino Linotype" w:hAnsi="Palatino Linotype" w:eastAsia="Aptos" w:cs="Times New Roman"/>
        </w:rPr>
        <w:t xml:space="preserve"> transmission infrastructure</w:t>
      </w:r>
      <w:r w:rsidR="009A494B">
        <w:rPr>
          <w:rFonts w:ascii="Palatino Linotype" w:hAnsi="Palatino Linotype" w:eastAsia="Aptos" w:cs="Times New Roman"/>
        </w:rPr>
        <w:t xml:space="preserve"> </w:t>
      </w:r>
      <w:r w:rsidR="008164F0">
        <w:rPr>
          <w:rFonts w:ascii="Palatino Linotype" w:hAnsi="Palatino Linotype" w:eastAsia="Aptos" w:cs="Times New Roman"/>
        </w:rPr>
        <w:t>need</w:t>
      </w:r>
      <w:r w:rsidR="009A494B">
        <w:rPr>
          <w:rFonts w:ascii="Palatino Linotype" w:hAnsi="Palatino Linotype" w:eastAsia="Aptos" w:cs="Times New Roman"/>
        </w:rPr>
        <w:t>ed to energize a customer</w:t>
      </w:r>
      <w:r w:rsidR="007210DC">
        <w:rPr>
          <w:rFonts w:ascii="Palatino Linotype" w:hAnsi="Palatino Linotype" w:eastAsia="Aptos" w:cs="Times New Roman"/>
        </w:rPr>
        <w:t xml:space="preserve">, and </w:t>
      </w:r>
      <w:r w:rsidR="00C06BE4">
        <w:rPr>
          <w:rFonts w:ascii="Palatino Linotype" w:hAnsi="Palatino Linotype" w:eastAsia="Aptos" w:cs="Times New Roman"/>
        </w:rPr>
        <w:t xml:space="preserve">as such </w:t>
      </w:r>
      <w:r w:rsidR="007210DC">
        <w:rPr>
          <w:rFonts w:ascii="Palatino Linotype" w:hAnsi="Palatino Linotype" w:eastAsia="Aptos" w:cs="Times New Roman"/>
        </w:rPr>
        <w:t>the BARC process excludes it from consideration</w:t>
      </w:r>
      <w:r w:rsidR="009A494B">
        <w:rPr>
          <w:rFonts w:ascii="Palatino Linotype" w:hAnsi="Palatino Linotype" w:eastAsia="Aptos" w:cs="Times New Roman"/>
        </w:rPr>
        <w:t>.</w:t>
      </w:r>
      <w:r w:rsidR="00B333DE">
        <w:rPr>
          <w:rFonts w:ascii="Palatino Linotype" w:hAnsi="Palatino Linotype" w:eastAsia="Aptos" w:cs="Times New Roman"/>
        </w:rPr>
        <w:t xml:space="preserve"> </w:t>
      </w:r>
    </w:p>
    <w:p w:rsidR="00A5574C" w:rsidP="00A44A31" w:rsidRDefault="00D44D33" w14:paraId="69892D26" w14:textId="23E7B196">
      <w:pPr>
        <w:spacing w:line="240" w:lineRule="auto"/>
        <w:rPr>
          <w:rFonts w:ascii="Palatino Linotype" w:hAnsi="Palatino Linotype" w:eastAsia="Aptos" w:cs="Times New Roman"/>
        </w:rPr>
      </w:pPr>
      <w:r>
        <w:rPr>
          <w:rFonts w:ascii="Palatino Linotype" w:hAnsi="Palatino Linotype" w:eastAsia="Aptos" w:cs="Times New Roman"/>
        </w:rPr>
        <w:t>Revenues from a</w:t>
      </w:r>
      <w:r w:rsidR="00F906D6">
        <w:rPr>
          <w:rFonts w:ascii="Palatino Linotype" w:hAnsi="Palatino Linotype" w:eastAsia="Aptos" w:cs="Times New Roman"/>
        </w:rPr>
        <w:t xml:space="preserve"> customer like STACK would </w:t>
      </w:r>
      <w:r>
        <w:rPr>
          <w:rFonts w:ascii="Palatino Linotype" w:hAnsi="Palatino Linotype" w:eastAsia="Aptos" w:cs="Times New Roman"/>
        </w:rPr>
        <w:t>also include significant</w:t>
      </w:r>
      <w:r w:rsidR="001E0D53">
        <w:rPr>
          <w:rFonts w:ascii="Palatino Linotype" w:hAnsi="Palatino Linotype" w:eastAsia="Aptos" w:cs="Times New Roman"/>
        </w:rPr>
        <w:t xml:space="preserve"> charges for ‘Public Purpose Programs’</w:t>
      </w:r>
      <w:r w:rsidR="001809AA">
        <w:rPr>
          <w:rFonts w:ascii="Palatino Linotype" w:hAnsi="Palatino Linotype" w:eastAsia="Aptos" w:cs="Times New Roman"/>
        </w:rPr>
        <w:t xml:space="preserve"> such as the California Alternate Rates for Energy (CARE) Program</w:t>
      </w:r>
      <w:r w:rsidR="0010052A">
        <w:rPr>
          <w:rFonts w:ascii="Palatino Linotype" w:hAnsi="Palatino Linotype" w:eastAsia="Aptos" w:cs="Times New Roman"/>
        </w:rPr>
        <w:t>.</w:t>
      </w:r>
      <w:r w:rsidR="009A0E2C">
        <w:rPr>
          <w:rFonts w:ascii="Palatino Linotype" w:hAnsi="Palatino Linotype" w:eastAsia="Aptos" w:cs="Times New Roman"/>
        </w:rPr>
        <w:t xml:space="preserve"> </w:t>
      </w:r>
      <w:r w:rsidR="00DF4E54">
        <w:rPr>
          <w:rFonts w:ascii="Palatino Linotype" w:hAnsi="Palatino Linotype" w:eastAsia="Aptos" w:cs="Times New Roman"/>
        </w:rPr>
        <w:t>Similar to the above, r</w:t>
      </w:r>
      <w:r w:rsidR="007E673C">
        <w:rPr>
          <w:rFonts w:ascii="Palatino Linotype" w:hAnsi="Palatino Linotype" w:eastAsia="Aptos" w:cs="Times New Roman"/>
        </w:rPr>
        <w:t xml:space="preserve">efunds </w:t>
      </w:r>
      <w:r w:rsidR="00A5574C">
        <w:rPr>
          <w:rFonts w:ascii="Palatino Linotype" w:hAnsi="Palatino Linotype" w:eastAsia="Aptos" w:cs="Times New Roman"/>
        </w:rPr>
        <w:t>related to</w:t>
      </w:r>
      <w:r w:rsidR="007E673C">
        <w:rPr>
          <w:rFonts w:ascii="Palatino Linotype" w:hAnsi="Palatino Linotype" w:eastAsia="Aptos" w:cs="Times New Roman"/>
        </w:rPr>
        <w:t xml:space="preserve"> transmission infrastructure should not be based on revenues </w:t>
      </w:r>
      <w:r w:rsidR="00A5574C">
        <w:rPr>
          <w:rFonts w:ascii="Palatino Linotype" w:hAnsi="Palatino Linotype" w:eastAsia="Aptos" w:cs="Times New Roman"/>
        </w:rPr>
        <w:t xml:space="preserve">the customer </w:t>
      </w:r>
      <w:r w:rsidR="007210DC">
        <w:rPr>
          <w:rFonts w:ascii="Palatino Linotype" w:hAnsi="Palatino Linotype" w:eastAsia="Aptos" w:cs="Times New Roman"/>
        </w:rPr>
        <w:t>pays</w:t>
      </w:r>
      <w:r w:rsidR="00DF4E54">
        <w:rPr>
          <w:rFonts w:ascii="Palatino Linotype" w:hAnsi="Palatino Linotype" w:eastAsia="Aptos" w:cs="Times New Roman"/>
        </w:rPr>
        <w:t xml:space="preserve"> </w:t>
      </w:r>
      <w:r>
        <w:rPr>
          <w:rFonts w:ascii="Palatino Linotype" w:hAnsi="Palatino Linotype" w:eastAsia="Aptos" w:cs="Times New Roman"/>
        </w:rPr>
        <w:t xml:space="preserve">in order </w:t>
      </w:r>
      <w:r w:rsidR="00DF4E54">
        <w:rPr>
          <w:rFonts w:ascii="Palatino Linotype" w:hAnsi="Palatino Linotype" w:eastAsia="Aptos" w:cs="Times New Roman"/>
        </w:rPr>
        <w:t>to fund</w:t>
      </w:r>
      <w:r w:rsidR="00A5574C">
        <w:rPr>
          <w:rFonts w:ascii="Palatino Linotype" w:hAnsi="Palatino Linotype" w:eastAsia="Aptos" w:cs="Times New Roman"/>
        </w:rPr>
        <w:t xml:space="preserve"> </w:t>
      </w:r>
      <w:r w:rsidR="007E673C">
        <w:rPr>
          <w:rFonts w:ascii="Palatino Linotype" w:hAnsi="Palatino Linotype" w:eastAsia="Aptos" w:cs="Times New Roman"/>
        </w:rPr>
        <w:t xml:space="preserve">the CARE program. </w:t>
      </w:r>
    </w:p>
    <w:p w:rsidRPr="005F43D3" w:rsidR="009A494B" w:rsidP="00A44A31" w:rsidRDefault="00546CEB" w14:paraId="3368E389" w14:textId="5941AE55">
      <w:pPr>
        <w:spacing w:line="240" w:lineRule="auto"/>
        <w:rPr>
          <w:rFonts w:ascii="Palatino Linotype" w:hAnsi="Palatino Linotype" w:eastAsia="Aptos" w:cs="Times New Roman"/>
        </w:rPr>
      </w:pPr>
      <w:r>
        <w:rPr>
          <w:rFonts w:ascii="Palatino Linotype" w:hAnsi="Palatino Linotype" w:eastAsia="Aptos" w:cs="Times New Roman"/>
        </w:rPr>
        <w:t>T</w:t>
      </w:r>
      <w:r w:rsidR="00BB49C8">
        <w:rPr>
          <w:rFonts w:ascii="Palatino Linotype" w:hAnsi="Palatino Linotype" w:eastAsia="Aptos" w:cs="Times New Roman"/>
        </w:rPr>
        <w:t xml:space="preserve">he </w:t>
      </w:r>
      <w:r>
        <w:rPr>
          <w:rFonts w:ascii="Palatino Linotype" w:hAnsi="Palatino Linotype" w:eastAsia="Aptos" w:cs="Times New Roman"/>
        </w:rPr>
        <w:t>following discussion of</w:t>
      </w:r>
      <w:r w:rsidR="00BB49C8">
        <w:rPr>
          <w:rFonts w:ascii="Palatino Linotype" w:hAnsi="Palatino Linotype" w:eastAsia="Aptos" w:cs="Times New Roman"/>
        </w:rPr>
        <w:t xml:space="preserve"> </w:t>
      </w:r>
      <w:r w:rsidR="00910877">
        <w:rPr>
          <w:rFonts w:ascii="Palatino Linotype" w:hAnsi="Palatino Linotype" w:eastAsia="Aptos" w:cs="Times New Roman"/>
        </w:rPr>
        <w:t>refunds relating to the cost of transmission infrastructure needed to energize a customer</w:t>
      </w:r>
      <w:r w:rsidDel="00910877" w:rsidR="00910877">
        <w:rPr>
          <w:rFonts w:ascii="Palatino Linotype" w:hAnsi="Palatino Linotype" w:eastAsia="Aptos" w:cs="Times New Roman"/>
        </w:rPr>
        <w:t xml:space="preserve"> </w:t>
      </w:r>
      <w:r>
        <w:rPr>
          <w:rFonts w:ascii="Palatino Linotype" w:hAnsi="Palatino Linotype" w:eastAsia="Aptos" w:cs="Times New Roman"/>
        </w:rPr>
        <w:t xml:space="preserve">therefore focuses </w:t>
      </w:r>
      <w:r w:rsidR="006545D7">
        <w:rPr>
          <w:rFonts w:ascii="Palatino Linotype" w:hAnsi="Palatino Linotype" w:eastAsia="Aptos" w:cs="Times New Roman"/>
        </w:rPr>
        <w:t>on</w:t>
      </w:r>
      <w:r w:rsidR="00BB49C8">
        <w:rPr>
          <w:rFonts w:ascii="Palatino Linotype" w:hAnsi="Palatino Linotype" w:eastAsia="Aptos" w:cs="Times New Roman"/>
        </w:rPr>
        <w:t xml:space="preserve"> </w:t>
      </w:r>
      <w:r w:rsidR="00910877">
        <w:rPr>
          <w:rFonts w:ascii="Palatino Linotype" w:hAnsi="Palatino Linotype" w:eastAsia="Aptos" w:cs="Times New Roman"/>
        </w:rPr>
        <w:t>net revenue</w:t>
      </w:r>
      <w:r w:rsidR="00F919A0">
        <w:rPr>
          <w:rFonts w:ascii="Palatino Linotype" w:hAnsi="Palatino Linotype" w:eastAsia="Aptos" w:cs="Times New Roman"/>
        </w:rPr>
        <w:t xml:space="preserve">. </w:t>
      </w:r>
    </w:p>
    <w:p w:rsidR="001027E6" w:rsidP="00041145" w:rsidRDefault="001027E6" w14:paraId="081E0A19" w14:textId="77777777">
      <w:pPr>
        <w:spacing w:after="0" w:line="240" w:lineRule="auto"/>
        <w:rPr>
          <w:rFonts w:ascii="Palatino Linotype" w:hAnsi="Palatino Linotype" w:eastAsia="Aptos" w:cs="Times New Roman"/>
          <w:b/>
          <w:bCs/>
        </w:rPr>
      </w:pPr>
    </w:p>
    <w:p w:rsidR="007C0C31" w:rsidP="00A44A31" w:rsidRDefault="00BE3B5C" w14:paraId="7CB8A56B" w14:textId="426CB2FA">
      <w:pPr>
        <w:spacing w:line="240" w:lineRule="auto"/>
        <w:rPr>
          <w:rFonts w:ascii="Palatino Linotype" w:hAnsi="Palatino Linotype" w:eastAsia="Aptos" w:cs="Times New Roman"/>
          <w:b/>
          <w:bCs/>
        </w:rPr>
      </w:pPr>
      <w:r>
        <w:rPr>
          <w:rFonts w:ascii="Palatino Linotype" w:hAnsi="Palatino Linotype" w:eastAsia="Aptos" w:cs="Times New Roman"/>
          <w:b/>
          <w:bCs/>
        </w:rPr>
        <w:lastRenderedPageBreak/>
        <w:t xml:space="preserve">As a large load customer seeking energization </w:t>
      </w:r>
      <w:r w:rsidR="00C04AEA">
        <w:rPr>
          <w:rFonts w:ascii="Palatino Linotype" w:hAnsi="Palatino Linotype" w:eastAsia="Aptos" w:cs="Times New Roman"/>
          <w:b/>
          <w:bCs/>
        </w:rPr>
        <w:t>at</w:t>
      </w:r>
      <w:r>
        <w:rPr>
          <w:rFonts w:ascii="Palatino Linotype" w:hAnsi="Palatino Linotype" w:eastAsia="Aptos" w:cs="Times New Roman"/>
          <w:b/>
          <w:bCs/>
        </w:rPr>
        <w:t xml:space="preserve"> the transmission level, </w:t>
      </w:r>
      <w:r w:rsidR="00D27F50">
        <w:rPr>
          <w:rFonts w:ascii="Palatino Linotype" w:hAnsi="Palatino Linotype" w:eastAsia="Aptos" w:cs="Times New Roman"/>
          <w:b/>
          <w:bCs/>
        </w:rPr>
        <w:t>there is a high</w:t>
      </w:r>
      <w:r w:rsidR="007D3534">
        <w:rPr>
          <w:rFonts w:ascii="Palatino Linotype" w:hAnsi="Palatino Linotype" w:eastAsia="Aptos" w:cs="Times New Roman"/>
          <w:b/>
          <w:bCs/>
        </w:rPr>
        <w:t>er</w:t>
      </w:r>
      <w:r w:rsidR="00D27F50">
        <w:rPr>
          <w:rFonts w:ascii="Palatino Linotype" w:hAnsi="Palatino Linotype" w:eastAsia="Aptos" w:cs="Times New Roman"/>
          <w:b/>
          <w:bCs/>
        </w:rPr>
        <w:t xml:space="preserve"> cost to energizing STACK</w:t>
      </w:r>
      <w:r w:rsidR="00C04AEA">
        <w:rPr>
          <w:rFonts w:ascii="Palatino Linotype" w:hAnsi="Palatino Linotype" w:eastAsia="Aptos" w:cs="Times New Roman"/>
          <w:b/>
          <w:bCs/>
        </w:rPr>
        <w:t xml:space="preserve">, </w:t>
      </w:r>
      <w:r w:rsidR="00D27F50">
        <w:rPr>
          <w:rFonts w:ascii="Palatino Linotype" w:hAnsi="Palatino Linotype" w:eastAsia="Aptos" w:cs="Times New Roman"/>
          <w:b/>
          <w:bCs/>
        </w:rPr>
        <w:t>as compared to an average distribution customer.</w:t>
      </w:r>
      <w:r w:rsidR="002F6F04">
        <w:rPr>
          <w:rFonts w:ascii="Palatino Linotype" w:hAnsi="Palatino Linotype" w:eastAsia="Aptos" w:cs="Times New Roman"/>
          <w:b/>
          <w:bCs/>
        </w:rPr>
        <w:t xml:space="preserve"> </w:t>
      </w:r>
      <w:r w:rsidR="002D6073">
        <w:rPr>
          <w:rFonts w:ascii="Palatino Linotype" w:hAnsi="Palatino Linotype" w:eastAsia="Aptos" w:cs="Times New Roman"/>
          <w:b/>
          <w:bCs/>
        </w:rPr>
        <w:t>At the same time, u</w:t>
      </w:r>
      <w:r w:rsidR="002F6F04">
        <w:rPr>
          <w:rFonts w:ascii="Palatino Linotype" w:hAnsi="Palatino Linotype" w:eastAsia="Aptos" w:cs="Times New Roman"/>
          <w:b/>
          <w:bCs/>
        </w:rPr>
        <w:t xml:space="preserve">nlike an average distribution customer, </w:t>
      </w:r>
      <w:r w:rsidR="00F37CD1">
        <w:rPr>
          <w:rFonts w:ascii="Palatino Linotype" w:hAnsi="Palatino Linotype" w:eastAsia="Aptos" w:cs="Times New Roman"/>
          <w:b/>
          <w:bCs/>
        </w:rPr>
        <w:t xml:space="preserve">Data Centers are expected </w:t>
      </w:r>
      <w:r w:rsidR="00301A5B">
        <w:rPr>
          <w:rFonts w:ascii="Palatino Linotype" w:hAnsi="Palatino Linotype" w:eastAsia="Aptos" w:cs="Times New Roman"/>
          <w:b/>
          <w:bCs/>
        </w:rPr>
        <w:t>to generate higher revenue on a per customer basis</w:t>
      </w:r>
      <w:r w:rsidR="0087761D">
        <w:rPr>
          <w:rFonts w:ascii="Palatino Linotype" w:hAnsi="Palatino Linotype" w:eastAsia="Aptos" w:cs="Times New Roman"/>
          <w:b/>
          <w:bCs/>
        </w:rPr>
        <w:t xml:space="preserve"> because of </w:t>
      </w:r>
      <w:r w:rsidR="00CF60A6">
        <w:rPr>
          <w:rFonts w:ascii="Palatino Linotype" w:hAnsi="Palatino Linotype" w:eastAsia="Aptos" w:cs="Times New Roman"/>
          <w:b/>
          <w:bCs/>
        </w:rPr>
        <w:t>significantly larger loads</w:t>
      </w:r>
      <w:r w:rsidR="008029C7">
        <w:rPr>
          <w:rFonts w:ascii="Palatino Linotype" w:hAnsi="Palatino Linotype" w:eastAsia="Aptos" w:cs="Times New Roman"/>
          <w:b/>
          <w:bCs/>
        </w:rPr>
        <w:t xml:space="preserve"> and high load factors</w:t>
      </w:r>
      <w:r w:rsidR="0087761D">
        <w:rPr>
          <w:rFonts w:ascii="Palatino Linotype" w:hAnsi="Palatino Linotype" w:eastAsia="Aptos" w:cs="Times New Roman"/>
          <w:b/>
          <w:bCs/>
        </w:rPr>
        <w:t xml:space="preserve">. </w:t>
      </w:r>
    </w:p>
    <w:p w:rsidR="00095502" w:rsidP="00BD16DA" w:rsidRDefault="00095502" w14:paraId="2F8F2085" w14:textId="05409659">
      <w:pPr>
        <w:spacing w:line="240" w:lineRule="auto"/>
        <w:rPr>
          <w:rFonts w:ascii="Palatino Linotype" w:hAnsi="Palatino Linotype" w:eastAsia="Aptos" w:cs="Times New Roman"/>
        </w:rPr>
      </w:pPr>
      <w:r>
        <w:rPr>
          <w:rFonts w:ascii="Palatino Linotype" w:hAnsi="Palatino Linotype" w:eastAsia="Aptos" w:cs="Times New Roman"/>
        </w:rPr>
        <w:t>STACK aims to energize a new 90</w:t>
      </w:r>
      <w:r w:rsidR="00337B92">
        <w:rPr>
          <w:rFonts w:ascii="Palatino Linotype" w:hAnsi="Palatino Linotype" w:eastAsia="Aptos" w:cs="Times New Roman"/>
        </w:rPr>
        <w:t xml:space="preserve"> megawatt (MW)</w:t>
      </w:r>
      <w:r>
        <w:rPr>
          <w:rFonts w:ascii="Palatino Linotype" w:hAnsi="Palatino Linotype" w:eastAsia="Aptos" w:cs="Times New Roman"/>
        </w:rPr>
        <w:t xml:space="preserve"> load, requiring modifications to the transmission network and the construction of a new transmission substation</w:t>
      </w:r>
      <w:r w:rsidR="004F1393">
        <w:rPr>
          <w:rFonts w:ascii="Palatino Linotype" w:hAnsi="Palatino Linotype" w:eastAsia="Aptos" w:cs="Times New Roman"/>
        </w:rPr>
        <w:t>, the Ringwood substation</w:t>
      </w:r>
      <w:r>
        <w:rPr>
          <w:rFonts w:ascii="Palatino Linotype" w:hAnsi="Palatino Linotype" w:eastAsia="Aptos" w:cs="Times New Roman"/>
        </w:rPr>
        <w:t xml:space="preserve">. This includes refundable costs </w:t>
      </w:r>
      <w:r w:rsidR="00430917">
        <w:rPr>
          <w:rFonts w:ascii="Palatino Linotype" w:hAnsi="Palatino Linotype" w:eastAsia="Aptos" w:cs="Times New Roman"/>
        </w:rPr>
        <w:t>estimated to be about</w:t>
      </w:r>
      <w:r>
        <w:rPr>
          <w:rFonts w:ascii="Palatino Linotype" w:hAnsi="Palatino Linotype" w:eastAsia="Aptos" w:cs="Times New Roman"/>
        </w:rPr>
        <w:t xml:space="preserve"> $50 million.</w:t>
      </w:r>
      <w:r w:rsidR="00430917">
        <w:rPr>
          <w:rStyle w:val="FootnoteReference"/>
          <w:rFonts w:ascii="Palatino Linotype" w:hAnsi="Palatino Linotype" w:eastAsia="Aptos" w:cs="Times New Roman"/>
        </w:rPr>
        <w:footnoteReference w:id="3"/>
      </w:r>
      <w:r>
        <w:rPr>
          <w:rFonts w:ascii="Palatino Linotype" w:hAnsi="Palatino Linotype" w:eastAsia="Aptos" w:cs="Times New Roman"/>
        </w:rPr>
        <w:t xml:space="preserve"> These costs, once refunded by PG&amp;E, would </w:t>
      </w:r>
      <w:r w:rsidR="0069555C">
        <w:rPr>
          <w:rFonts w:ascii="Palatino Linotype" w:hAnsi="Palatino Linotype" w:eastAsia="Aptos" w:cs="Times New Roman"/>
        </w:rPr>
        <w:t xml:space="preserve">then </w:t>
      </w:r>
      <w:r>
        <w:rPr>
          <w:rFonts w:ascii="Palatino Linotype" w:hAnsi="Palatino Linotype" w:eastAsia="Aptos" w:cs="Times New Roman"/>
        </w:rPr>
        <w:t xml:space="preserve">be </w:t>
      </w:r>
      <w:r w:rsidR="0069555C">
        <w:rPr>
          <w:rFonts w:ascii="Palatino Linotype" w:hAnsi="Palatino Linotype" w:eastAsia="Aptos" w:cs="Times New Roman"/>
        </w:rPr>
        <w:t xml:space="preserve">considered capital expenses and </w:t>
      </w:r>
      <w:r w:rsidR="0001126D">
        <w:rPr>
          <w:rFonts w:ascii="Palatino Linotype" w:hAnsi="Palatino Linotype" w:eastAsia="Aptos" w:cs="Times New Roman"/>
        </w:rPr>
        <w:t>re</w:t>
      </w:r>
      <w:r>
        <w:rPr>
          <w:rFonts w:ascii="Palatino Linotype" w:hAnsi="Palatino Linotype" w:eastAsia="Aptos" w:cs="Times New Roman"/>
        </w:rPr>
        <w:t xml:space="preserve">covered </w:t>
      </w:r>
      <w:r w:rsidR="0001126D">
        <w:rPr>
          <w:rFonts w:ascii="Palatino Linotype" w:hAnsi="Palatino Linotype" w:eastAsia="Aptos" w:cs="Times New Roman"/>
        </w:rPr>
        <w:t xml:space="preserve">from </w:t>
      </w:r>
      <w:r>
        <w:rPr>
          <w:rFonts w:ascii="Palatino Linotype" w:hAnsi="Palatino Linotype" w:eastAsia="Aptos" w:cs="Times New Roman"/>
        </w:rPr>
        <w:t>PG&amp;E ratepayers</w:t>
      </w:r>
      <w:r w:rsidR="00B43E87">
        <w:rPr>
          <w:rFonts w:ascii="Palatino Linotype" w:hAnsi="Palatino Linotype" w:eastAsia="Aptos" w:cs="Times New Roman"/>
        </w:rPr>
        <w:t xml:space="preserve"> on an amortized basis</w:t>
      </w:r>
      <w:r w:rsidR="0043342C">
        <w:rPr>
          <w:rFonts w:ascii="Palatino Linotype" w:hAnsi="Palatino Linotype" w:eastAsia="Aptos" w:cs="Times New Roman"/>
        </w:rPr>
        <w:t xml:space="preserve">. </w:t>
      </w:r>
      <w:r>
        <w:rPr>
          <w:rFonts w:ascii="Palatino Linotype" w:hAnsi="Palatino Linotype" w:eastAsia="Aptos" w:cs="Times New Roman"/>
        </w:rPr>
        <w:t>The scale of these required upgrades is much larger than is typical for energizing a</w:t>
      </w:r>
      <w:r w:rsidR="0096642D">
        <w:rPr>
          <w:rFonts w:ascii="Palatino Linotype" w:hAnsi="Palatino Linotype" w:eastAsia="Aptos" w:cs="Times New Roman"/>
        </w:rPr>
        <w:t>n average</w:t>
      </w:r>
      <w:r>
        <w:rPr>
          <w:rFonts w:ascii="Palatino Linotype" w:hAnsi="Palatino Linotype" w:eastAsia="Aptos" w:cs="Times New Roman"/>
        </w:rPr>
        <w:t xml:space="preserve"> distribution-level customer</w:t>
      </w:r>
      <w:r w:rsidR="004E7406">
        <w:rPr>
          <w:rFonts w:ascii="Palatino Linotype" w:hAnsi="Palatino Linotype" w:eastAsia="Aptos" w:cs="Times New Roman"/>
        </w:rPr>
        <w:t>, which typically costs closer to $120,000</w:t>
      </w:r>
      <w:r>
        <w:rPr>
          <w:rFonts w:ascii="Palatino Linotype" w:hAnsi="Palatino Linotype" w:eastAsia="Aptos" w:cs="Times New Roman"/>
        </w:rPr>
        <w:t>.</w:t>
      </w:r>
      <w:r w:rsidR="00956F4B">
        <w:rPr>
          <w:rStyle w:val="FootnoteReference"/>
          <w:rFonts w:ascii="Palatino Linotype" w:hAnsi="Palatino Linotype" w:eastAsia="Aptos" w:cs="Times New Roman"/>
        </w:rPr>
        <w:footnoteReference w:id="4"/>
      </w:r>
      <w:r w:rsidR="00E65E1E">
        <w:rPr>
          <w:rFonts w:ascii="Palatino Linotype" w:hAnsi="Palatino Linotype" w:eastAsia="Aptos" w:cs="Times New Roman"/>
        </w:rPr>
        <w:t xml:space="preserve"> </w:t>
      </w:r>
      <w:r w:rsidR="00AB63F5">
        <w:rPr>
          <w:rFonts w:ascii="Palatino Linotype" w:hAnsi="Palatino Linotype" w:eastAsia="Aptos" w:cs="Times New Roman"/>
        </w:rPr>
        <w:t xml:space="preserve">However, </w:t>
      </w:r>
      <w:r w:rsidR="00C05550">
        <w:rPr>
          <w:rFonts w:ascii="Palatino Linotype" w:hAnsi="Palatino Linotype" w:eastAsia="Aptos" w:cs="Times New Roman"/>
        </w:rPr>
        <w:t xml:space="preserve">STACK </w:t>
      </w:r>
      <w:r w:rsidR="00954B84">
        <w:rPr>
          <w:rFonts w:ascii="Palatino Linotype" w:hAnsi="Palatino Linotype" w:eastAsia="Aptos" w:cs="Times New Roman"/>
        </w:rPr>
        <w:t xml:space="preserve">aims to </w:t>
      </w:r>
      <w:r w:rsidR="008232F6">
        <w:rPr>
          <w:rFonts w:ascii="Palatino Linotype" w:hAnsi="Palatino Linotype" w:eastAsia="Aptos" w:cs="Times New Roman"/>
        </w:rPr>
        <w:t>energize</w:t>
      </w:r>
      <w:r w:rsidR="00954B84">
        <w:rPr>
          <w:rFonts w:ascii="Palatino Linotype" w:hAnsi="Palatino Linotype" w:eastAsia="Aptos" w:cs="Times New Roman"/>
        </w:rPr>
        <w:t xml:space="preserve"> a much larger load than a typical customer. B</w:t>
      </w:r>
      <w:r w:rsidR="004D20A3">
        <w:rPr>
          <w:rFonts w:ascii="Palatino Linotype" w:hAnsi="Palatino Linotype" w:eastAsia="Aptos" w:cs="Times New Roman"/>
        </w:rPr>
        <w:t>ased on PG&amp;E’s workpapers</w:t>
      </w:r>
      <w:r w:rsidR="00E33998">
        <w:rPr>
          <w:rStyle w:val="FootnoteReference"/>
          <w:rFonts w:ascii="Palatino Linotype" w:hAnsi="Palatino Linotype" w:eastAsia="Aptos" w:cs="Times New Roman"/>
        </w:rPr>
        <w:footnoteReference w:id="5"/>
      </w:r>
      <w:r w:rsidR="004D20A3">
        <w:rPr>
          <w:rFonts w:ascii="Palatino Linotype" w:hAnsi="Palatino Linotype" w:eastAsia="Aptos" w:cs="Times New Roman"/>
        </w:rPr>
        <w:t xml:space="preserve">, STACK </w:t>
      </w:r>
      <w:r w:rsidR="002B4AE8">
        <w:rPr>
          <w:rFonts w:ascii="Palatino Linotype" w:hAnsi="Palatino Linotype" w:eastAsia="Aptos" w:cs="Times New Roman"/>
        </w:rPr>
        <w:t>may</w:t>
      </w:r>
      <w:r w:rsidR="004D20A3">
        <w:rPr>
          <w:rFonts w:ascii="Palatino Linotype" w:hAnsi="Palatino Linotype" w:eastAsia="Aptos" w:cs="Times New Roman"/>
        </w:rPr>
        <w:t xml:space="preserve"> operate at an 85</w:t>
      </w:r>
      <w:r w:rsidR="000D2FF1">
        <w:rPr>
          <w:rFonts w:ascii="Palatino Linotype" w:hAnsi="Palatino Linotype" w:eastAsia="Aptos" w:cs="Times New Roman"/>
        </w:rPr>
        <w:t xml:space="preserve"> percent</w:t>
      </w:r>
      <w:r w:rsidR="004D20A3">
        <w:rPr>
          <w:rFonts w:ascii="Palatino Linotype" w:hAnsi="Palatino Linotype" w:eastAsia="Aptos" w:cs="Times New Roman"/>
        </w:rPr>
        <w:t xml:space="preserve"> load factor</w:t>
      </w:r>
      <w:r w:rsidR="00E33998">
        <w:rPr>
          <w:rFonts w:ascii="Palatino Linotype" w:hAnsi="Palatino Linotype" w:eastAsia="Aptos" w:cs="Times New Roman"/>
        </w:rPr>
        <w:t xml:space="preserve">. This </w:t>
      </w:r>
      <w:r w:rsidR="00457F62">
        <w:rPr>
          <w:rFonts w:ascii="Palatino Linotype" w:hAnsi="Palatino Linotype" w:eastAsia="Aptos" w:cs="Times New Roman"/>
        </w:rPr>
        <w:t xml:space="preserve">is significantly higher than a new residential </w:t>
      </w:r>
      <w:r w:rsidR="00AE15F7">
        <w:rPr>
          <w:rFonts w:ascii="Palatino Linotype" w:hAnsi="Palatino Linotype" w:eastAsia="Aptos" w:cs="Times New Roman"/>
        </w:rPr>
        <w:t xml:space="preserve">subdivision on the distribution system that </w:t>
      </w:r>
      <w:r w:rsidR="001B3986">
        <w:rPr>
          <w:rFonts w:ascii="Palatino Linotype" w:hAnsi="Palatino Linotype" w:eastAsia="Aptos" w:cs="Times New Roman"/>
        </w:rPr>
        <w:t xml:space="preserve">is estimated to </w:t>
      </w:r>
      <w:r w:rsidR="000D2FF1">
        <w:rPr>
          <w:rFonts w:ascii="Palatino Linotype" w:hAnsi="Palatino Linotype" w:eastAsia="Aptos" w:cs="Times New Roman"/>
        </w:rPr>
        <w:t>operate with an</w:t>
      </w:r>
      <w:r w:rsidR="001B3986">
        <w:rPr>
          <w:rFonts w:ascii="Palatino Linotype" w:hAnsi="Palatino Linotype" w:eastAsia="Aptos" w:cs="Times New Roman"/>
        </w:rPr>
        <w:t xml:space="preserve"> approximately </w:t>
      </w:r>
      <w:r w:rsidR="00416266">
        <w:rPr>
          <w:rFonts w:ascii="Palatino Linotype" w:hAnsi="Palatino Linotype" w:eastAsia="Aptos" w:cs="Times New Roman"/>
        </w:rPr>
        <w:t>30</w:t>
      </w:r>
      <w:r w:rsidR="000D2FF1">
        <w:rPr>
          <w:rFonts w:ascii="Palatino Linotype" w:hAnsi="Palatino Linotype" w:eastAsia="Aptos" w:cs="Times New Roman"/>
        </w:rPr>
        <w:t xml:space="preserve"> percent </w:t>
      </w:r>
      <w:r w:rsidR="00342DAE">
        <w:rPr>
          <w:rFonts w:ascii="Palatino Linotype" w:hAnsi="Palatino Linotype" w:eastAsia="Aptos" w:cs="Times New Roman"/>
        </w:rPr>
        <w:t>load factor</w:t>
      </w:r>
      <w:r w:rsidR="001B3986">
        <w:rPr>
          <w:rFonts w:ascii="Palatino Linotype" w:hAnsi="Palatino Linotype" w:eastAsia="Aptos" w:cs="Times New Roman"/>
        </w:rPr>
        <w:t xml:space="preserve">. </w:t>
      </w:r>
      <w:r w:rsidR="002D15A9">
        <w:rPr>
          <w:rFonts w:ascii="Palatino Linotype" w:hAnsi="Palatino Linotype" w:eastAsia="Aptos" w:cs="Times New Roman"/>
        </w:rPr>
        <w:t xml:space="preserve">A </w:t>
      </w:r>
      <w:r w:rsidR="005550CE">
        <w:rPr>
          <w:rFonts w:ascii="Palatino Linotype" w:hAnsi="Palatino Linotype" w:eastAsia="Aptos" w:cs="Times New Roman"/>
        </w:rPr>
        <w:t xml:space="preserve">customer with a </w:t>
      </w:r>
      <w:r w:rsidR="002D15A9">
        <w:rPr>
          <w:rFonts w:ascii="Palatino Linotype" w:hAnsi="Palatino Linotype" w:eastAsia="Aptos" w:cs="Times New Roman"/>
        </w:rPr>
        <w:t xml:space="preserve">high load factor </w:t>
      </w:r>
      <w:r w:rsidR="005550CE">
        <w:rPr>
          <w:rFonts w:ascii="Palatino Linotype" w:hAnsi="Palatino Linotype" w:eastAsia="Aptos" w:cs="Times New Roman"/>
        </w:rPr>
        <w:t xml:space="preserve">and </w:t>
      </w:r>
      <w:r w:rsidR="002D15A9">
        <w:rPr>
          <w:rFonts w:ascii="Palatino Linotype" w:hAnsi="Palatino Linotype" w:eastAsia="Aptos" w:cs="Times New Roman"/>
        </w:rPr>
        <w:t xml:space="preserve">large load could </w:t>
      </w:r>
      <w:r w:rsidR="005550CE">
        <w:rPr>
          <w:rFonts w:ascii="Palatino Linotype" w:hAnsi="Palatino Linotype" w:eastAsia="Aptos" w:cs="Times New Roman"/>
        </w:rPr>
        <w:t>generate significant revenue</w:t>
      </w:r>
      <w:r w:rsidR="002A21AA">
        <w:rPr>
          <w:rFonts w:ascii="Palatino Linotype" w:hAnsi="Palatino Linotype" w:eastAsia="Aptos" w:cs="Times New Roman"/>
        </w:rPr>
        <w:t xml:space="preserve"> on an annual basis</w:t>
      </w:r>
      <w:r w:rsidR="0089075E">
        <w:rPr>
          <w:rFonts w:ascii="Palatino Linotype" w:hAnsi="Palatino Linotype" w:eastAsia="Aptos" w:cs="Times New Roman"/>
        </w:rPr>
        <w:t xml:space="preserve">, though </w:t>
      </w:r>
      <w:r w:rsidR="00DB2F29">
        <w:rPr>
          <w:rFonts w:ascii="Palatino Linotype" w:hAnsi="Palatino Linotype" w:eastAsia="Aptos" w:cs="Times New Roman"/>
        </w:rPr>
        <w:t xml:space="preserve">this impact would be reduced if </w:t>
      </w:r>
      <w:r w:rsidR="002A6224">
        <w:rPr>
          <w:rFonts w:ascii="Palatino Linotype" w:hAnsi="Palatino Linotype" w:eastAsia="Aptos" w:cs="Times New Roman"/>
        </w:rPr>
        <w:t xml:space="preserve">a significant portion of revenue comes from demand </w:t>
      </w:r>
      <w:r w:rsidR="003C74F1">
        <w:rPr>
          <w:rFonts w:ascii="Palatino Linotype" w:hAnsi="Palatino Linotype" w:eastAsia="Aptos" w:cs="Times New Roman"/>
        </w:rPr>
        <w:t>rates</w:t>
      </w:r>
      <w:r w:rsidR="002A6224">
        <w:rPr>
          <w:rFonts w:ascii="Palatino Linotype" w:hAnsi="Palatino Linotype" w:eastAsia="Aptos" w:cs="Times New Roman"/>
        </w:rPr>
        <w:t xml:space="preserve"> rather than energy </w:t>
      </w:r>
      <w:r w:rsidR="003C74F1">
        <w:rPr>
          <w:rFonts w:ascii="Palatino Linotype" w:hAnsi="Palatino Linotype" w:eastAsia="Aptos" w:cs="Times New Roman"/>
        </w:rPr>
        <w:t>rates</w:t>
      </w:r>
      <w:r w:rsidR="002A21AA">
        <w:rPr>
          <w:rFonts w:ascii="Palatino Linotype" w:hAnsi="Palatino Linotype" w:eastAsia="Aptos" w:cs="Times New Roman"/>
        </w:rPr>
        <w:t>.</w:t>
      </w:r>
      <w:r w:rsidR="00C33FF5">
        <w:rPr>
          <w:rStyle w:val="FootnoteReference"/>
          <w:rFonts w:ascii="Palatino Linotype" w:hAnsi="Palatino Linotype" w:eastAsia="Aptos" w:cs="Times New Roman"/>
        </w:rPr>
        <w:footnoteReference w:id="6"/>
      </w:r>
      <w:r w:rsidR="00082903">
        <w:rPr>
          <w:rFonts w:ascii="Palatino Linotype" w:hAnsi="Palatino Linotype" w:eastAsia="Aptos" w:cs="Times New Roman"/>
        </w:rPr>
        <w:t xml:space="preserve"> </w:t>
      </w:r>
      <w:r w:rsidR="00954B84">
        <w:rPr>
          <w:rFonts w:ascii="Palatino Linotype" w:hAnsi="Palatino Linotype" w:eastAsia="Aptos" w:cs="Times New Roman"/>
        </w:rPr>
        <w:t xml:space="preserve">Overall, energizing STACK </w:t>
      </w:r>
      <w:r w:rsidR="006129D0">
        <w:rPr>
          <w:rFonts w:ascii="Palatino Linotype" w:hAnsi="Palatino Linotype" w:eastAsia="Aptos" w:cs="Times New Roman"/>
        </w:rPr>
        <w:t>both requires significant costs and comes with opportunity for significant revenues</w:t>
      </w:r>
      <w:r w:rsidR="001F696D">
        <w:rPr>
          <w:rFonts w:ascii="Palatino Linotype" w:hAnsi="Palatino Linotype" w:eastAsia="Aptos" w:cs="Times New Roman"/>
        </w:rPr>
        <w:t>. I</w:t>
      </w:r>
      <w:r w:rsidR="0029387E">
        <w:rPr>
          <w:rFonts w:ascii="Palatino Linotype" w:hAnsi="Palatino Linotype" w:eastAsia="Aptos" w:cs="Times New Roman"/>
        </w:rPr>
        <w:t>f these revenues are large and consistent enough, they</w:t>
      </w:r>
      <w:r w:rsidR="00310098">
        <w:rPr>
          <w:rFonts w:ascii="Palatino Linotype" w:hAnsi="Palatino Linotype" w:eastAsia="Aptos" w:cs="Times New Roman"/>
        </w:rPr>
        <w:t xml:space="preserve"> </w:t>
      </w:r>
      <w:r w:rsidR="00B626DD">
        <w:rPr>
          <w:rFonts w:ascii="Palatino Linotype" w:hAnsi="Palatino Linotype" w:eastAsia="Aptos" w:cs="Times New Roman"/>
        </w:rPr>
        <w:t xml:space="preserve">could </w:t>
      </w:r>
      <w:r w:rsidR="00502D5E">
        <w:rPr>
          <w:rFonts w:ascii="Palatino Linotype" w:hAnsi="Palatino Linotype" w:eastAsia="Aptos" w:cs="Times New Roman"/>
        </w:rPr>
        <w:t xml:space="preserve">allow other customers to pay less of </w:t>
      </w:r>
      <w:r w:rsidR="00170BBB">
        <w:rPr>
          <w:rFonts w:ascii="Palatino Linotype" w:hAnsi="Palatino Linotype" w:eastAsia="Aptos" w:cs="Times New Roman"/>
        </w:rPr>
        <w:t>PG&amp;E’s overall revenue requirement</w:t>
      </w:r>
      <w:r w:rsidR="00E61E60">
        <w:rPr>
          <w:rFonts w:ascii="Palatino Linotype" w:hAnsi="Palatino Linotype" w:eastAsia="Aptos" w:cs="Times New Roman"/>
        </w:rPr>
        <w:t>, lowering rates</w:t>
      </w:r>
      <w:r w:rsidR="006129D0">
        <w:rPr>
          <w:rFonts w:ascii="Palatino Linotype" w:hAnsi="Palatino Linotype" w:eastAsia="Aptos" w:cs="Times New Roman"/>
        </w:rPr>
        <w:t>.</w:t>
      </w:r>
      <w:r w:rsidDel="00342DAE" w:rsidR="002D15A9">
        <w:rPr>
          <w:rFonts w:ascii="Palatino Linotype" w:hAnsi="Palatino Linotype" w:eastAsia="Aptos" w:cs="Times New Roman"/>
        </w:rPr>
        <w:t xml:space="preserve"> </w:t>
      </w:r>
      <w:r w:rsidR="00554E1D">
        <w:rPr>
          <w:rFonts w:ascii="Palatino Linotype" w:hAnsi="Palatino Linotype" w:eastAsia="Aptos" w:cs="Times New Roman"/>
        </w:rPr>
        <w:t>If the</w:t>
      </w:r>
      <w:r w:rsidR="003963EA">
        <w:rPr>
          <w:rFonts w:ascii="Palatino Linotype" w:hAnsi="Palatino Linotype" w:eastAsia="Aptos" w:cs="Times New Roman"/>
        </w:rPr>
        <w:t>se</w:t>
      </w:r>
      <w:r w:rsidR="00554E1D">
        <w:rPr>
          <w:rFonts w:ascii="Palatino Linotype" w:hAnsi="Palatino Linotype" w:eastAsia="Aptos" w:cs="Times New Roman"/>
        </w:rPr>
        <w:t xml:space="preserve"> revenues are small or </w:t>
      </w:r>
      <w:r w:rsidR="003963EA">
        <w:rPr>
          <w:rFonts w:ascii="Palatino Linotype" w:hAnsi="Palatino Linotype" w:eastAsia="Aptos" w:cs="Times New Roman"/>
        </w:rPr>
        <w:t xml:space="preserve">fail to appear consistently, </w:t>
      </w:r>
      <w:r w:rsidR="00BE528D">
        <w:rPr>
          <w:rFonts w:ascii="Palatino Linotype" w:hAnsi="Palatino Linotype" w:eastAsia="Aptos" w:cs="Times New Roman"/>
        </w:rPr>
        <w:t>the costs</w:t>
      </w:r>
      <w:r w:rsidR="00104C4E">
        <w:rPr>
          <w:rFonts w:ascii="Palatino Linotype" w:hAnsi="Palatino Linotype" w:eastAsia="Aptos" w:cs="Times New Roman"/>
        </w:rPr>
        <w:t xml:space="preserve"> could fall on</w:t>
      </w:r>
      <w:r w:rsidR="00BE528D">
        <w:rPr>
          <w:rFonts w:ascii="Palatino Linotype" w:hAnsi="Palatino Linotype" w:eastAsia="Aptos" w:cs="Times New Roman"/>
        </w:rPr>
        <w:t xml:space="preserve"> ratepayers </w:t>
      </w:r>
      <w:r w:rsidR="00104C4E">
        <w:rPr>
          <w:rFonts w:ascii="Palatino Linotype" w:hAnsi="Palatino Linotype" w:eastAsia="Aptos" w:cs="Times New Roman"/>
        </w:rPr>
        <w:t>generally</w:t>
      </w:r>
      <w:r w:rsidR="00BE528D">
        <w:rPr>
          <w:rFonts w:ascii="Palatino Linotype" w:hAnsi="Palatino Linotype" w:eastAsia="Aptos" w:cs="Times New Roman"/>
        </w:rPr>
        <w:t>, raising rates.</w:t>
      </w:r>
    </w:p>
    <w:p w:rsidR="00BD16DA" w:rsidP="00BD16DA" w:rsidRDefault="00BD16DA" w14:paraId="1196C0A5" w14:textId="13C78F03">
      <w:pPr>
        <w:spacing w:line="240" w:lineRule="auto"/>
        <w:rPr>
          <w:rFonts w:ascii="Palatino Linotype" w:hAnsi="Palatino Linotype" w:eastAsia="Aptos" w:cs="Times New Roman"/>
        </w:rPr>
      </w:pPr>
      <w:r w:rsidRPr="008D1A97">
        <w:rPr>
          <w:rFonts w:ascii="Palatino Linotype" w:hAnsi="Palatino Linotype" w:eastAsia="Aptos" w:cs="Times New Roman"/>
        </w:rPr>
        <w:t xml:space="preserve">PG&amp;E proposes </w:t>
      </w:r>
      <w:r w:rsidRPr="008D1A97" w:rsidR="00BD6619">
        <w:rPr>
          <w:rFonts w:ascii="Palatino Linotype" w:hAnsi="Palatino Linotype" w:eastAsia="Aptos" w:cs="Times New Roman"/>
        </w:rPr>
        <w:t>refunding</w:t>
      </w:r>
      <w:r w:rsidRPr="008D1A97">
        <w:rPr>
          <w:rFonts w:ascii="Palatino Linotype" w:hAnsi="Palatino Linotype" w:eastAsia="Aptos" w:cs="Times New Roman"/>
        </w:rPr>
        <w:t xml:space="preserve"> the costs of new transmission facilities through</w:t>
      </w:r>
      <w:r w:rsidR="00F677EB">
        <w:rPr>
          <w:rFonts w:ascii="Palatino Linotype" w:hAnsi="Palatino Linotype" w:eastAsia="Aptos" w:cs="Times New Roman"/>
        </w:rPr>
        <w:t xml:space="preserve"> the BARC, which is the</w:t>
      </w:r>
      <w:r w:rsidRPr="008D1A97">
        <w:rPr>
          <w:rFonts w:ascii="Palatino Linotype" w:hAnsi="Palatino Linotype" w:eastAsia="Aptos" w:cs="Times New Roman"/>
        </w:rPr>
        <w:t xml:space="preserve"> standard tariff mechanism under Electric Rules 15 and 16. These rules are intended to guide cost responsibility and refunds for distribution-level </w:t>
      </w:r>
      <w:r>
        <w:rPr>
          <w:rFonts w:ascii="Palatino Linotype" w:hAnsi="Palatino Linotype" w:eastAsia="Aptos" w:cs="Times New Roman"/>
        </w:rPr>
        <w:t>energization</w:t>
      </w:r>
      <w:r w:rsidRPr="409E471F">
        <w:rPr>
          <w:rFonts w:ascii="Palatino Linotype" w:hAnsi="Palatino Linotype" w:eastAsia="Aptos" w:cs="Times New Roman"/>
        </w:rPr>
        <w:t xml:space="preserve">, </w:t>
      </w:r>
      <w:r w:rsidRPr="409E471F">
        <w:rPr>
          <w:rFonts w:ascii="Palatino Linotype" w:hAnsi="Palatino Linotype" w:eastAsia="Aptos" w:cs="Times New Roman"/>
        </w:rPr>
        <w:lastRenderedPageBreak/>
        <w:t>and</w:t>
      </w:r>
      <w:r>
        <w:rPr>
          <w:rFonts w:ascii="Palatino Linotype" w:hAnsi="Palatino Linotype" w:eastAsia="Aptos" w:cs="Times New Roman"/>
        </w:rPr>
        <w:t xml:space="preserve"> </w:t>
      </w:r>
      <w:r w:rsidRPr="008D1A97">
        <w:rPr>
          <w:rFonts w:ascii="Palatino Linotype" w:hAnsi="Palatino Linotype" w:eastAsia="Aptos" w:cs="Times New Roman"/>
        </w:rPr>
        <w:t xml:space="preserve">they </w:t>
      </w:r>
      <w:r w:rsidRPr="409E471F">
        <w:rPr>
          <w:rFonts w:ascii="Palatino Linotype" w:hAnsi="Palatino Linotype" w:eastAsia="Aptos" w:cs="Times New Roman"/>
        </w:rPr>
        <w:t xml:space="preserve">do </w:t>
      </w:r>
      <w:r w:rsidRPr="008D1A97">
        <w:rPr>
          <w:rFonts w:ascii="Palatino Linotype" w:hAnsi="Palatino Linotype" w:eastAsia="Aptos" w:cs="Times New Roman"/>
        </w:rPr>
        <w:t>provide a workable framework for typical customer loads</w:t>
      </w:r>
      <w:r w:rsidRPr="409E471F">
        <w:rPr>
          <w:rFonts w:ascii="Palatino Linotype" w:hAnsi="Palatino Linotype" w:eastAsia="Aptos" w:cs="Times New Roman"/>
        </w:rPr>
        <w:t>. However</w:t>
      </w:r>
      <w:r w:rsidRPr="008D1A97">
        <w:rPr>
          <w:rFonts w:ascii="Palatino Linotype" w:hAnsi="Palatino Linotype" w:eastAsia="Aptos" w:cs="Times New Roman"/>
        </w:rPr>
        <w:t xml:space="preserve">, </w:t>
      </w:r>
      <w:r w:rsidR="00D92442">
        <w:rPr>
          <w:rFonts w:ascii="Palatino Linotype" w:hAnsi="Palatino Linotype" w:eastAsia="Aptos" w:cs="Times New Roman"/>
        </w:rPr>
        <w:t xml:space="preserve">considering the size of the </w:t>
      </w:r>
      <w:r w:rsidR="0065571F">
        <w:rPr>
          <w:rFonts w:ascii="Palatino Linotype" w:hAnsi="Palatino Linotype" w:eastAsia="Aptos" w:cs="Times New Roman"/>
        </w:rPr>
        <w:t>customer project and scope of</w:t>
      </w:r>
      <w:r w:rsidRPr="008D1A97">
        <w:rPr>
          <w:rFonts w:ascii="Palatino Linotype" w:hAnsi="Palatino Linotype" w:eastAsia="Aptos" w:cs="Times New Roman"/>
        </w:rPr>
        <w:t xml:space="preserve"> transmission-level </w:t>
      </w:r>
      <w:r w:rsidR="007C360B">
        <w:rPr>
          <w:rFonts w:ascii="Palatino Linotype" w:hAnsi="Palatino Linotype" w:eastAsia="Aptos" w:cs="Times New Roman"/>
        </w:rPr>
        <w:t xml:space="preserve">work required to energize the </w:t>
      </w:r>
      <w:r w:rsidRPr="008D1A97">
        <w:rPr>
          <w:rFonts w:ascii="Palatino Linotype" w:hAnsi="Palatino Linotype" w:eastAsia="Aptos" w:cs="Times New Roman"/>
        </w:rPr>
        <w:t>project</w:t>
      </w:r>
      <w:r w:rsidR="007C360B">
        <w:rPr>
          <w:rFonts w:ascii="Palatino Linotype" w:hAnsi="Palatino Linotype" w:eastAsia="Aptos" w:cs="Times New Roman"/>
        </w:rPr>
        <w:t xml:space="preserve"> additional customer protection is </w:t>
      </w:r>
      <w:r w:rsidR="00DB6AF5">
        <w:rPr>
          <w:rFonts w:ascii="Palatino Linotype" w:hAnsi="Palatino Linotype" w:eastAsia="Aptos" w:cs="Times New Roman"/>
        </w:rPr>
        <w:t>necessary</w:t>
      </w:r>
      <w:r w:rsidR="00B57B77">
        <w:rPr>
          <w:rFonts w:ascii="Palatino Linotype" w:hAnsi="Palatino Linotype" w:eastAsia="Aptos" w:cs="Times New Roman"/>
        </w:rPr>
        <w:t xml:space="preserve"> to </w:t>
      </w:r>
      <w:r w:rsidR="00EB2218">
        <w:rPr>
          <w:rFonts w:ascii="Palatino Linotype" w:hAnsi="Palatino Linotype" w:eastAsia="Aptos" w:cs="Times New Roman"/>
        </w:rPr>
        <w:t>avoid</w:t>
      </w:r>
      <w:r w:rsidR="005B23F9">
        <w:rPr>
          <w:rFonts w:ascii="Palatino Linotype" w:hAnsi="Palatino Linotype" w:eastAsia="Aptos" w:cs="Times New Roman"/>
        </w:rPr>
        <w:t xml:space="preserve"> any potential</w:t>
      </w:r>
      <w:r w:rsidR="003B5E9D">
        <w:rPr>
          <w:rFonts w:ascii="Palatino Linotype" w:hAnsi="Palatino Linotype" w:eastAsia="Aptos" w:cs="Times New Roman"/>
        </w:rPr>
        <w:t xml:space="preserve"> shift </w:t>
      </w:r>
      <w:r w:rsidR="00BE65F4">
        <w:rPr>
          <w:rFonts w:ascii="Palatino Linotype" w:hAnsi="Palatino Linotype" w:eastAsia="Aptos" w:cs="Times New Roman"/>
        </w:rPr>
        <w:t xml:space="preserve">in cost responsibility </w:t>
      </w:r>
      <w:r w:rsidR="003B5E9D">
        <w:rPr>
          <w:rFonts w:ascii="Palatino Linotype" w:hAnsi="Palatino Linotype" w:eastAsia="Aptos" w:cs="Times New Roman"/>
        </w:rPr>
        <w:t>to</w:t>
      </w:r>
      <w:r w:rsidR="005B23F9">
        <w:rPr>
          <w:rFonts w:ascii="Palatino Linotype" w:hAnsi="Palatino Linotype" w:eastAsia="Aptos" w:cs="Times New Roman"/>
        </w:rPr>
        <w:t xml:space="preserve"> ratepayer</w:t>
      </w:r>
      <w:r w:rsidR="008A21DC">
        <w:rPr>
          <w:rFonts w:ascii="Palatino Linotype" w:hAnsi="Palatino Linotype" w:eastAsia="Aptos" w:cs="Times New Roman"/>
        </w:rPr>
        <w:t>s</w:t>
      </w:r>
      <w:r w:rsidR="005B23F9">
        <w:rPr>
          <w:rFonts w:ascii="Palatino Linotype" w:hAnsi="Palatino Linotype" w:eastAsia="Aptos" w:cs="Times New Roman"/>
        </w:rPr>
        <w:t xml:space="preserve"> </w:t>
      </w:r>
      <w:r w:rsidR="00BB6D84">
        <w:rPr>
          <w:rFonts w:ascii="Palatino Linotype" w:hAnsi="Palatino Linotype" w:eastAsia="Aptos" w:cs="Times New Roman"/>
        </w:rPr>
        <w:t>if the anticipated revenue for the project does not materialize</w:t>
      </w:r>
      <w:r w:rsidRPr="008D1A97">
        <w:rPr>
          <w:rFonts w:ascii="Palatino Linotype" w:hAnsi="Palatino Linotype" w:eastAsia="Aptos" w:cs="Times New Roman"/>
        </w:rPr>
        <w:t>.</w:t>
      </w:r>
      <w:r>
        <w:rPr>
          <w:rFonts w:ascii="Palatino Linotype" w:hAnsi="Palatino Linotype" w:eastAsia="Aptos" w:cs="Times New Roman"/>
        </w:rPr>
        <w:t xml:space="preserve"> </w:t>
      </w:r>
    </w:p>
    <w:p w:rsidRPr="006F0A48" w:rsidR="006F0A48" w:rsidP="00A44A31" w:rsidRDefault="5509892F" w14:paraId="4181C5A3" w14:textId="320C4AEC">
      <w:pPr>
        <w:spacing w:line="240" w:lineRule="auto"/>
        <w:rPr>
          <w:rFonts w:ascii="Palatino Linotype" w:hAnsi="Palatino Linotype" w:eastAsia="Aptos" w:cs="Times New Roman"/>
        </w:rPr>
      </w:pPr>
      <w:r w:rsidRPr="13F3B869">
        <w:rPr>
          <w:rFonts w:ascii="Palatino Linotype" w:hAnsi="Palatino Linotype" w:eastAsia="Aptos" w:cs="Times New Roman"/>
        </w:rPr>
        <w:t>As noted above, the BARC process provides the refunds based on expected future revenues from the customer, meaning PG&amp;E could refund STACK for the costs of energization well before net revenues from STACK actually cover th</w:t>
      </w:r>
      <w:r w:rsidR="00DB1A94">
        <w:rPr>
          <w:rFonts w:ascii="Palatino Linotype" w:hAnsi="Palatino Linotype" w:eastAsia="Aptos" w:cs="Times New Roman"/>
        </w:rPr>
        <w:t>e</w:t>
      </w:r>
      <w:r w:rsidRPr="13F3B869">
        <w:rPr>
          <w:rFonts w:ascii="Palatino Linotype" w:hAnsi="Palatino Linotype" w:eastAsia="Aptos" w:cs="Times New Roman"/>
        </w:rPr>
        <w:t xml:space="preserve"> </w:t>
      </w:r>
      <w:r w:rsidR="00DB1A94">
        <w:rPr>
          <w:rFonts w:ascii="Palatino Linotype" w:hAnsi="Palatino Linotype" w:eastAsia="Aptos" w:cs="Times New Roman"/>
        </w:rPr>
        <w:t xml:space="preserve">upfront </w:t>
      </w:r>
      <w:r w:rsidRPr="13F3B869">
        <w:rPr>
          <w:rFonts w:ascii="Palatino Linotype" w:hAnsi="Palatino Linotype" w:eastAsia="Aptos" w:cs="Times New Roman"/>
        </w:rPr>
        <w:t>costs</w:t>
      </w:r>
      <w:r w:rsidR="00DB1A94">
        <w:rPr>
          <w:rFonts w:ascii="Palatino Linotype" w:hAnsi="Palatino Linotype" w:eastAsia="Aptos" w:cs="Times New Roman"/>
        </w:rPr>
        <w:t xml:space="preserve"> of energizing them</w:t>
      </w:r>
      <w:r w:rsidRPr="13F3B869">
        <w:rPr>
          <w:rFonts w:ascii="Palatino Linotype" w:hAnsi="Palatino Linotype" w:eastAsia="Aptos" w:cs="Times New Roman"/>
        </w:rPr>
        <w:t xml:space="preserve">. In a typical distribution setting, this assumption of recovery is </w:t>
      </w:r>
      <w:r w:rsidR="00C065E1">
        <w:rPr>
          <w:rFonts w:ascii="Palatino Linotype" w:hAnsi="Palatino Linotype" w:eastAsia="Aptos" w:cs="Times New Roman"/>
        </w:rPr>
        <w:t xml:space="preserve"> sufficient</w:t>
      </w:r>
      <w:r w:rsidRPr="13F3B869">
        <w:rPr>
          <w:rFonts w:ascii="Palatino Linotype" w:hAnsi="Palatino Linotype" w:eastAsia="Aptos" w:cs="Times New Roman"/>
        </w:rPr>
        <w:t xml:space="preserve">, as </w:t>
      </w:r>
      <w:r w:rsidR="00936425">
        <w:rPr>
          <w:rFonts w:ascii="Palatino Linotype" w:hAnsi="Palatino Linotype" w:eastAsia="Aptos" w:cs="Times New Roman"/>
        </w:rPr>
        <w:t xml:space="preserve">(1) </w:t>
      </w:r>
      <w:r w:rsidRPr="13F3B869">
        <w:rPr>
          <w:rFonts w:ascii="Palatino Linotype" w:hAnsi="Palatino Linotype" w:eastAsia="Aptos" w:cs="Times New Roman"/>
        </w:rPr>
        <w:t>projects are much smaller in scale</w:t>
      </w:r>
      <w:r w:rsidR="00936425">
        <w:rPr>
          <w:rFonts w:ascii="Palatino Linotype" w:hAnsi="Palatino Linotype" w:eastAsia="Aptos" w:cs="Times New Roman"/>
        </w:rPr>
        <w:t>, (2)</w:t>
      </w:r>
      <w:r w:rsidR="00362FA6">
        <w:rPr>
          <w:rFonts w:ascii="Palatino Linotype" w:hAnsi="Palatino Linotype" w:eastAsia="Aptos" w:cs="Times New Roman"/>
        </w:rPr>
        <w:t xml:space="preserve"> </w:t>
      </w:r>
      <w:r w:rsidRPr="00104E59" w:rsidR="00104E59">
        <w:rPr>
          <w:rFonts w:ascii="Palatino Linotype" w:hAnsi="Palatino Linotype" w:eastAsia="Aptos" w:cs="Times New Roman"/>
        </w:rPr>
        <w:t>statistically, with thousands of similar energizations per year, any single customer disconnecting from the grid does not present large risks to ratepayers, and</w:t>
      </w:r>
      <w:r w:rsidR="006E0DF9">
        <w:rPr>
          <w:rFonts w:ascii="Palatino Linotype" w:hAnsi="Palatino Linotype" w:eastAsia="Aptos" w:cs="Times New Roman"/>
        </w:rPr>
        <w:t xml:space="preserve"> </w:t>
      </w:r>
      <w:r w:rsidR="00911328">
        <w:rPr>
          <w:rFonts w:ascii="Palatino Linotype" w:hAnsi="Palatino Linotype" w:eastAsia="Aptos" w:cs="Times New Roman"/>
        </w:rPr>
        <w:t>(3) the</w:t>
      </w:r>
      <w:r w:rsidR="00DE653D">
        <w:rPr>
          <w:rFonts w:ascii="Palatino Linotype" w:hAnsi="Palatino Linotype" w:eastAsia="Aptos" w:cs="Times New Roman"/>
        </w:rPr>
        <w:t xml:space="preserve"> </w:t>
      </w:r>
      <w:r w:rsidR="00911328">
        <w:rPr>
          <w:rFonts w:ascii="Palatino Linotype" w:hAnsi="Palatino Linotype" w:eastAsia="Aptos" w:cs="Times New Roman"/>
        </w:rPr>
        <w:t>expectations of future revenue are</w:t>
      </w:r>
      <w:r w:rsidR="00DE653D">
        <w:rPr>
          <w:rFonts w:ascii="Palatino Linotype" w:hAnsi="Palatino Linotype" w:eastAsia="Aptos" w:cs="Times New Roman"/>
        </w:rPr>
        <w:t xml:space="preserve"> </w:t>
      </w:r>
      <w:r w:rsidR="00391E6C">
        <w:rPr>
          <w:rFonts w:ascii="Palatino Linotype" w:hAnsi="Palatino Linotype" w:eastAsia="Aptos" w:cs="Times New Roman"/>
        </w:rPr>
        <w:t>based on many years of experience</w:t>
      </w:r>
      <w:r w:rsidR="00DE653D">
        <w:rPr>
          <w:rFonts w:ascii="Palatino Linotype" w:hAnsi="Palatino Linotype" w:eastAsia="Aptos" w:cs="Times New Roman"/>
        </w:rPr>
        <w:t xml:space="preserve"> with similar customers</w:t>
      </w:r>
      <w:r w:rsidR="00391E6C">
        <w:rPr>
          <w:rFonts w:ascii="Palatino Linotype" w:hAnsi="Palatino Linotype" w:eastAsia="Aptos" w:cs="Times New Roman"/>
        </w:rPr>
        <w:t>.</w:t>
      </w:r>
      <w:r w:rsidRPr="13F3B869">
        <w:rPr>
          <w:rFonts w:ascii="Palatino Linotype" w:hAnsi="Palatino Linotype" w:eastAsia="Aptos" w:cs="Times New Roman"/>
        </w:rPr>
        <w:t xml:space="preserve"> </w:t>
      </w:r>
      <w:r w:rsidR="00BA45D2">
        <w:rPr>
          <w:rFonts w:ascii="Palatino Linotype" w:hAnsi="Palatino Linotype" w:eastAsia="Aptos" w:cs="Times New Roman"/>
        </w:rPr>
        <w:t>By contrast</w:t>
      </w:r>
      <w:r w:rsidR="00C82844">
        <w:rPr>
          <w:rFonts w:ascii="Palatino Linotype" w:hAnsi="Palatino Linotype" w:eastAsia="Aptos" w:cs="Times New Roman"/>
        </w:rPr>
        <w:t xml:space="preserve">, in the case of STACK, (1) </w:t>
      </w:r>
      <w:r w:rsidR="006667B4">
        <w:rPr>
          <w:rFonts w:ascii="Palatino Linotype" w:hAnsi="Palatino Linotype" w:eastAsia="Aptos" w:cs="Times New Roman"/>
        </w:rPr>
        <w:t>the refundable amount of about $50 million is much larger, (2)</w:t>
      </w:r>
      <w:r w:rsidR="00463112">
        <w:rPr>
          <w:rFonts w:ascii="Palatino Linotype" w:hAnsi="Palatino Linotype" w:eastAsia="Aptos" w:cs="Times New Roman"/>
        </w:rPr>
        <w:t xml:space="preserve"> STACK as a customer is both large and unique enough that i</w:t>
      </w:r>
      <w:r w:rsidR="000C7B75">
        <w:rPr>
          <w:rFonts w:ascii="Palatino Linotype" w:hAnsi="Palatino Linotype" w:eastAsia="Aptos" w:cs="Times New Roman"/>
        </w:rPr>
        <w:t>f</w:t>
      </w:r>
      <w:r w:rsidR="00463112">
        <w:rPr>
          <w:rFonts w:ascii="Palatino Linotype" w:hAnsi="Palatino Linotype" w:eastAsia="Aptos" w:cs="Times New Roman"/>
        </w:rPr>
        <w:t xml:space="preserve"> </w:t>
      </w:r>
      <w:r w:rsidR="000C7B75">
        <w:rPr>
          <w:rFonts w:ascii="Palatino Linotype" w:hAnsi="Palatino Linotype" w:eastAsia="Aptos" w:cs="Times New Roman"/>
        </w:rPr>
        <w:t xml:space="preserve">sufficient revenue is not generated then it </w:t>
      </w:r>
      <w:r w:rsidR="00463112">
        <w:rPr>
          <w:rFonts w:ascii="Palatino Linotype" w:hAnsi="Palatino Linotype" w:eastAsia="Aptos" w:cs="Times New Roman"/>
        </w:rPr>
        <w:t xml:space="preserve">would </w:t>
      </w:r>
      <w:r w:rsidR="00760A86">
        <w:rPr>
          <w:rFonts w:ascii="Palatino Linotype" w:hAnsi="Palatino Linotype" w:eastAsia="Aptos" w:cs="Times New Roman"/>
        </w:rPr>
        <w:t xml:space="preserve">present risk to ratepayers (in other words, there are not thousands of other similar customers </w:t>
      </w:r>
      <w:r w:rsidR="000C7B75">
        <w:rPr>
          <w:rFonts w:ascii="Palatino Linotype" w:hAnsi="Palatino Linotype" w:eastAsia="Aptos" w:cs="Times New Roman"/>
        </w:rPr>
        <w:t>utilizing the same infras</w:t>
      </w:r>
      <w:r w:rsidR="00563D5B">
        <w:rPr>
          <w:rFonts w:ascii="Palatino Linotype" w:hAnsi="Palatino Linotype" w:eastAsia="Aptos" w:cs="Times New Roman"/>
        </w:rPr>
        <w:t xml:space="preserve">tructure enough </w:t>
      </w:r>
      <w:r w:rsidR="00760A86">
        <w:rPr>
          <w:rFonts w:ascii="Palatino Linotype" w:hAnsi="Palatino Linotype" w:eastAsia="Aptos" w:cs="Times New Roman"/>
        </w:rPr>
        <w:t xml:space="preserve">to balance out </w:t>
      </w:r>
      <w:r w:rsidR="001F2E69">
        <w:rPr>
          <w:rFonts w:ascii="Palatino Linotype" w:hAnsi="Palatino Linotype" w:eastAsia="Aptos" w:cs="Times New Roman"/>
        </w:rPr>
        <w:t>STACK</w:t>
      </w:r>
      <w:r w:rsidR="008A78EE">
        <w:rPr>
          <w:rFonts w:ascii="Palatino Linotype" w:hAnsi="Palatino Linotype" w:eastAsia="Aptos" w:cs="Times New Roman"/>
        </w:rPr>
        <w:t xml:space="preserve">’s </w:t>
      </w:r>
      <w:r w:rsidR="00C877DF">
        <w:rPr>
          <w:rFonts w:ascii="Palatino Linotype" w:hAnsi="Palatino Linotype" w:eastAsia="Aptos" w:cs="Times New Roman"/>
        </w:rPr>
        <w:t>revenue deficit</w:t>
      </w:r>
      <w:r w:rsidR="001F2E69">
        <w:rPr>
          <w:rFonts w:ascii="Palatino Linotype" w:hAnsi="Palatino Linotype" w:eastAsia="Aptos" w:cs="Times New Roman"/>
        </w:rPr>
        <w:t xml:space="preserve">), and (3) </w:t>
      </w:r>
      <w:r w:rsidR="00B8483A">
        <w:rPr>
          <w:rFonts w:ascii="Palatino Linotype" w:hAnsi="Palatino Linotype" w:eastAsia="Aptos" w:cs="Times New Roman"/>
        </w:rPr>
        <w:t xml:space="preserve">expectations of future revenue are uncertain </w:t>
      </w:r>
      <w:r w:rsidR="00530185">
        <w:rPr>
          <w:rFonts w:ascii="Palatino Linotype" w:hAnsi="Palatino Linotype" w:eastAsia="Aptos" w:cs="Times New Roman"/>
        </w:rPr>
        <w:t>and based on</w:t>
      </w:r>
      <w:r w:rsidR="00B8483A">
        <w:rPr>
          <w:rFonts w:ascii="Palatino Linotype" w:hAnsi="Palatino Linotype" w:eastAsia="Aptos" w:cs="Times New Roman"/>
        </w:rPr>
        <w:t xml:space="preserve"> little </w:t>
      </w:r>
      <w:r w:rsidR="008E1694">
        <w:rPr>
          <w:rFonts w:ascii="Palatino Linotype" w:hAnsi="Palatino Linotype" w:eastAsia="Aptos" w:cs="Times New Roman"/>
        </w:rPr>
        <w:t>historical experience</w:t>
      </w:r>
      <w:r w:rsidR="002C3543">
        <w:rPr>
          <w:rFonts w:ascii="Palatino Linotype" w:hAnsi="Palatino Linotype" w:eastAsia="Aptos" w:cs="Times New Roman"/>
        </w:rPr>
        <w:t>.</w:t>
      </w:r>
      <w:r w:rsidR="0001646C">
        <w:rPr>
          <w:rStyle w:val="FootnoteReference"/>
          <w:rFonts w:ascii="Palatino Linotype" w:hAnsi="Palatino Linotype" w:eastAsia="Aptos" w:cs="Times New Roman"/>
        </w:rPr>
        <w:footnoteReference w:id="7"/>
      </w:r>
      <w:r w:rsidR="002C3543">
        <w:rPr>
          <w:rFonts w:ascii="Palatino Linotype" w:hAnsi="Palatino Linotype" w:eastAsia="Aptos" w:cs="Times New Roman"/>
        </w:rPr>
        <w:t xml:space="preserve"> </w:t>
      </w:r>
      <w:r w:rsidR="002E7AC3">
        <w:rPr>
          <w:rFonts w:ascii="Palatino Linotype" w:hAnsi="Palatino Linotype" w:eastAsia="Aptos" w:cs="Times New Roman"/>
        </w:rPr>
        <w:t xml:space="preserve">Together, these differences indicate that the energization of STACK presents a higher risk of stranded costs </w:t>
      </w:r>
      <w:r w:rsidR="003A5B41">
        <w:rPr>
          <w:rFonts w:ascii="Palatino Linotype" w:hAnsi="Palatino Linotype" w:eastAsia="Aptos" w:cs="Times New Roman"/>
        </w:rPr>
        <w:t>should revenue not materialize</w:t>
      </w:r>
      <w:r w:rsidR="008E1694">
        <w:rPr>
          <w:rFonts w:ascii="Palatino Linotype" w:hAnsi="Palatino Linotype" w:eastAsia="Aptos" w:cs="Times New Roman"/>
        </w:rPr>
        <w:t>.</w:t>
      </w:r>
      <w:r w:rsidR="00B13FAA">
        <w:rPr>
          <w:rFonts w:ascii="Palatino Linotype" w:hAnsi="Palatino Linotype" w:eastAsia="Aptos" w:cs="Times New Roman"/>
        </w:rPr>
        <w:t xml:space="preserve"> </w:t>
      </w:r>
      <w:r w:rsidR="006667B4">
        <w:rPr>
          <w:rFonts w:ascii="Palatino Linotype" w:hAnsi="Palatino Linotype" w:eastAsia="Aptos" w:cs="Times New Roman"/>
        </w:rPr>
        <w:t xml:space="preserve"> </w:t>
      </w:r>
      <w:r w:rsidRPr="13F3B869">
        <w:rPr>
          <w:rFonts w:ascii="Palatino Linotype" w:hAnsi="Palatino Linotype" w:eastAsia="Aptos" w:cs="Times New Roman"/>
        </w:rPr>
        <w:t xml:space="preserve"> </w:t>
      </w:r>
    </w:p>
    <w:p w:rsidR="001027E6" w:rsidP="00CF2C9C" w:rsidRDefault="001027E6" w14:paraId="6441A0A5" w14:textId="77777777">
      <w:pPr>
        <w:spacing w:after="0" w:line="240" w:lineRule="auto"/>
        <w:rPr>
          <w:rFonts w:ascii="Palatino Linotype" w:hAnsi="Palatino Linotype" w:eastAsia="Aptos" w:cs="Times New Roman"/>
          <w:b/>
          <w:bCs/>
        </w:rPr>
      </w:pPr>
    </w:p>
    <w:p w:rsidR="006E0DF9" w:rsidP="00CB1A7A" w:rsidRDefault="00A72D63" w14:paraId="367DE092" w14:textId="582FD412">
      <w:pPr>
        <w:spacing w:line="240" w:lineRule="auto"/>
        <w:rPr>
          <w:rFonts w:ascii="Palatino Linotype" w:hAnsi="Palatino Linotype" w:eastAsia="Aptos" w:cs="Times New Roman"/>
        </w:rPr>
      </w:pPr>
      <w:r w:rsidRPr="005259FB">
        <w:rPr>
          <w:rFonts w:ascii="Palatino Linotype" w:hAnsi="Palatino Linotype" w:eastAsia="Aptos" w:cs="Times New Roman"/>
          <w:b/>
        </w:rPr>
        <w:t xml:space="preserve">Transmission-level customers pay lower electric rates than </w:t>
      </w:r>
      <w:r w:rsidR="009D1C75">
        <w:rPr>
          <w:rFonts w:ascii="Palatino Linotype" w:hAnsi="Palatino Linotype" w:eastAsia="Aptos" w:cs="Times New Roman"/>
          <w:b/>
        </w:rPr>
        <w:t xml:space="preserve">similar </w:t>
      </w:r>
      <w:r w:rsidRPr="005259FB">
        <w:rPr>
          <w:rFonts w:ascii="Palatino Linotype" w:hAnsi="Palatino Linotype" w:eastAsia="Aptos" w:cs="Times New Roman"/>
          <w:b/>
        </w:rPr>
        <w:t>distribution-level customers, since their rates largely exclude distribution grid costs.</w:t>
      </w:r>
      <w:r w:rsidR="00E41B8F">
        <w:rPr>
          <w:rFonts w:ascii="Palatino Linotype" w:hAnsi="Palatino Linotype" w:eastAsia="Aptos" w:cs="Times New Roman"/>
        </w:rPr>
        <w:t xml:space="preserve"> </w:t>
      </w:r>
    </w:p>
    <w:p w:rsidR="00CB1A7A" w:rsidP="00CB1A7A" w:rsidRDefault="00A72D63" w14:paraId="5B22BBE7" w14:textId="3DE78D4E">
      <w:pPr>
        <w:spacing w:line="240" w:lineRule="auto"/>
        <w:rPr>
          <w:rFonts w:ascii="Palatino Linotype" w:hAnsi="Palatino Linotype" w:eastAsia="Aptos" w:cs="Times New Roman"/>
        </w:rPr>
      </w:pPr>
      <w:r>
        <w:rPr>
          <w:rFonts w:ascii="Palatino Linotype" w:hAnsi="Palatino Linotype" w:eastAsia="Aptos" w:cs="Times New Roman"/>
        </w:rPr>
        <w:t>PG&amp;E</w:t>
      </w:r>
      <w:r w:rsidR="009C71DD">
        <w:rPr>
          <w:rFonts w:ascii="Palatino Linotype" w:hAnsi="Palatino Linotype" w:eastAsia="Aptos" w:cs="Times New Roman"/>
        </w:rPr>
        <w:t xml:space="preserve"> </w:t>
      </w:r>
      <w:r w:rsidR="00237F9C">
        <w:rPr>
          <w:rFonts w:ascii="Palatino Linotype" w:hAnsi="Palatino Linotype" w:eastAsia="Aptos" w:cs="Times New Roman"/>
        </w:rPr>
        <w:t>submits an annual</w:t>
      </w:r>
      <w:r w:rsidR="00C96DF7">
        <w:rPr>
          <w:rFonts w:ascii="Palatino Linotype" w:hAnsi="Palatino Linotype" w:eastAsia="Aptos" w:cs="Times New Roman"/>
        </w:rPr>
        <w:t xml:space="preserve"> </w:t>
      </w:r>
      <w:r w:rsidR="009C71DD">
        <w:rPr>
          <w:rFonts w:ascii="Palatino Linotype" w:hAnsi="Palatino Linotype" w:eastAsia="Aptos" w:cs="Times New Roman"/>
        </w:rPr>
        <w:t xml:space="preserve">summary table of revenues and average rates </w:t>
      </w:r>
      <w:r w:rsidR="00C96DF7">
        <w:rPr>
          <w:rFonts w:ascii="Palatino Linotype" w:hAnsi="Palatino Linotype" w:eastAsia="Aptos" w:cs="Times New Roman"/>
        </w:rPr>
        <w:t>that provides</w:t>
      </w:r>
      <w:r w:rsidR="00DC5414">
        <w:rPr>
          <w:rFonts w:ascii="Palatino Linotype" w:hAnsi="Palatino Linotype" w:eastAsia="Aptos" w:cs="Times New Roman"/>
        </w:rPr>
        <w:t xml:space="preserve"> the average rates paid by</w:t>
      </w:r>
      <w:r w:rsidR="00C96DF7">
        <w:rPr>
          <w:rFonts w:ascii="Palatino Linotype" w:hAnsi="Palatino Linotype" w:eastAsia="Aptos" w:cs="Times New Roman"/>
        </w:rPr>
        <w:t xml:space="preserve"> </w:t>
      </w:r>
      <w:r w:rsidR="003939D3">
        <w:rPr>
          <w:rFonts w:ascii="Palatino Linotype" w:hAnsi="Palatino Linotype" w:eastAsia="Aptos" w:cs="Times New Roman"/>
        </w:rPr>
        <w:t>large load customers connected both at the</w:t>
      </w:r>
      <w:r w:rsidR="00C96DF7">
        <w:rPr>
          <w:rFonts w:ascii="Palatino Linotype" w:hAnsi="Palatino Linotype" w:eastAsia="Aptos" w:cs="Times New Roman"/>
        </w:rPr>
        <w:t xml:space="preserve"> distribution and </w:t>
      </w:r>
      <w:r w:rsidR="003939D3">
        <w:rPr>
          <w:rFonts w:ascii="Palatino Linotype" w:hAnsi="Palatino Linotype" w:eastAsia="Aptos" w:cs="Times New Roman"/>
        </w:rPr>
        <w:t xml:space="preserve">the </w:t>
      </w:r>
      <w:r w:rsidR="00C96DF7">
        <w:rPr>
          <w:rFonts w:ascii="Palatino Linotype" w:hAnsi="Palatino Linotype" w:eastAsia="Aptos" w:cs="Times New Roman"/>
        </w:rPr>
        <w:t xml:space="preserve">transmission </w:t>
      </w:r>
      <w:r w:rsidR="003939D3">
        <w:rPr>
          <w:rFonts w:ascii="Palatino Linotype" w:hAnsi="Palatino Linotype" w:eastAsia="Aptos" w:cs="Times New Roman"/>
        </w:rPr>
        <w:t>level</w:t>
      </w:r>
      <w:r w:rsidR="00AD11A5">
        <w:rPr>
          <w:rFonts w:ascii="Palatino Linotype" w:hAnsi="Palatino Linotype" w:eastAsia="Aptos" w:cs="Times New Roman"/>
        </w:rPr>
        <w:t>.</w:t>
      </w:r>
      <w:r w:rsidR="001568A3">
        <w:rPr>
          <w:rStyle w:val="FootnoteReference"/>
          <w:rFonts w:ascii="Palatino Linotype" w:hAnsi="Palatino Linotype" w:eastAsia="Aptos" w:cs="Times New Roman"/>
        </w:rPr>
        <w:footnoteReference w:id="8"/>
      </w:r>
      <w:r w:rsidR="00AD11A5">
        <w:rPr>
          <w:rFonts w:ascii="Palatino Linotype" w:hAnsi="Palatino Linotype" w:eastAsia="Aptos" w:cs="Times New Roman"/>
        </w:rPr>
        <w:t xml:space="preserve"> </w:t>
      </w:r>
      <w:r w:rsidR="00174883">
        <w:rPr>
          <w:rFonts w:ascii="Palatino Linotype" w:hAnsi="Palatino Linotype" w:eastAsia="Aptos" w:cs="Times New Roman"/>
        </w:rPr>
        <w:t>Excluding the generation component of rates, large load customer</w:t>
      </w:r>
      <w:r w:rsidR="00F72756">
        <w:rPr>
          <w:rFonts w:ascii="Palatino Linotype" w:hAnsi="Palatino Linotype" w:eastAsia="Aptos" w:cs="Times New Roman"/>
        </w:rPr>
        <w:t>s in PG&amp;E’s territory paid on average</w:t>
      </w:r>
      <w:r w:rsidR="00BD417E">
        <w:rPr>
          <w:rFonts w:ascii="Palatino Linotype" w:hAnsi="Palatino Linotype" w:eastAsia="Aptos" w:cs="Times New Roman"/>
        </w:rPr>
        <w:t xml:space="preserve"> </w:t>
      </w:r>
      <w:r w:rsidR="00975731">
        <w:rPr>
          <w:rFonts w:ascii="Palatino Linotype" w:hAnsi="Palatino Linotype" w:eastAsia="Aptos" w:cs="Times New Roman"/>
        </w:rPr>
        <w:t>13</w:t>
      </w:r>
      <w:r w:rsidR="00D40C6B">
        <w:rPr>
          <w:rFonts w:ascii="Palatino Linotype" w:hAnsi="Palatino Linotype" w:eastAsia="Aptos" w:cs="Times New Roman"/>
        </w:rPr>
        <w:t>.4</w:t>
      </w:r>
      <w:r w:rsidR="00BD417E">
        <w:rPr>
          <w:rFonts w:ascii="Palatino Linotype" w:hAnsi="Palatino Linotype" w:eastAsia="Aptos" w:cs="Times New Roman"/>
        </w:rPr>
        <w:t xml:space="preserve"> </w:t>
      </w:r>
      <w:r w:rsidR="003F003A">
        <w:rPr>
          <w:rFonts w:ascii="Palatino Linotype" w:hAnsi="Palatino Linotype" w:eastAsia="Aptos" w:cs="Times New Roman"/>
        </w:rPr>
        <w:t>cents per kilowatt-hour (</w:t>
      </w:r>
      <w:r w:rsidR="00BD417E">
        <w:rPr>
          <w:rFonts w:ascii="Palatino Linotype" w:hAnsi="Palatino Linotype" w:eastAsia="Aptos" w:cs="Times New Roman"/>
        </w:rPr>
        <w:t>c/kWh</w:t>
      </w:r>
      <w:r w:rsidR="003F003A">
        <w:rPr>
          <w:rFonts w:ascii="Palatino Linotype" w:hAnsi="Palatino Linotype" w:eastAsia="Aptos" w:cs="Times New Roman"/>
        </w:rPr>
        <w:t>)</w:t>
      </w:r>
      <w:r w:rsidR="00F72756">
        <w:rPr>
          <w:rFonts w:ascii="Palatino Linotype" w:hAnsi="Palatino Linotype" w:eastAsia="Aptos" w:cs="Times New Roman"/>
        </w:rPr>
        <w:t xml:space="preserve"> if connected at the primary distribution level, </w:t>
      </w:r>
      <w:r w:rsidR="005B4B50">
        <w:rPr>
          <w:rFonts w:ascii="Palatino Linotype" w:hAnsi="Palatino Linotype" w:eastAsia="Aptos" w:cs="Times New Roman"/>
        </w:rPr>
        <w:t xml:space="preserve">and </w:t>
      </w:r>
      <w:r w:rsidR="00D40C6B">
        <w:rPr>
          <w:rFonts w:ascii="Palatino Linotype" w:hAnsi="Palatino Linotype" w:eastAsia="Aptos" w:cs="Times New Roman"/>
        </w:rPr>
        <w:t xml:space="preserve">6.0 c/kWh if connected at the </w:t>
      </w:r>
      <w:r w:rsidR="00D40C6B">
        <w:rPr>
          <w:rFonts w:ascii="Palatino Linotype" w:hAnsi="Palatino Linotype" w:eastAsia="Aptos" w:cs="Times New Roman"/>
        </w:rPr>
        <w:lastRenderedPageBreak/>
        <w:t>transmission level.</w:t>
      </w:r>
      <w:r w:rsidR="00A35556">
        <w:rPr>
          <w:rStyle w:val="FootnoteReference"/>
          <w:rFonts w:ascii="Palatino Linotype" w:hAnsi="Palatino Linotype" w:eastAsia="Aptos" w:cs="Times New Roman"/>
        </w:rPr>
        <w:footnoteReference w:id="9"/>
      </w:r>
      <w:r w:rsidR="003F003A">
        <w:rPr>
          <w:rFonts w:ascii="Palatino Linotype" w:hAnsi="Palatino Linotype" w:eastAsia="Aptos" w:cs="Times New Roman"/>
        </w:rPr>
        <w:t xml:space="preserve"> </w:t>
      </w:r>
      <w:r w:rsidR="00A35556">
        <w:rPr>
          <w:rFonts w:ascii="Palatino Linotype" w:hAnsi="Palatino Linotype" w:eastAsia="Aptos" w:cs="Times New Roman"/>
        </w:rPr>
        <w:t>A</w:t>
      </w:r>
      <w:r w:rsidR="00BD16DA">
        <w:rPr>
          <w:rFonts w:ascii="Palatino Linotype" w:hAnsi="Palatino Linotype" w:eastAsia="Aptos" w:cs="Times New Roman"/>
        </w:rPr>
        <w:t xml:space="preserve">n estimated </w:t>
      </w:r>
      <w:r w:rsidR="003F003A">
        <w:rPr>
          <w:rFonts w:ascii="Palatino Linotype" w:hAnsi="Palatino Linotype" w:eastAsia="Aptos" w:cs="Times New Roman"/>
        </w:rPr>
        <w:t>2.1</w:t>
      </w:r>
      <w:r w:rsidR="00BD16DA">
        <w:rPr>
          <w:rFonts w:ascii="Palatino Linotype" w:hAnsi="Palatino Linotype" w:eastAsia="Aptos" w:cs="Times New Roman"/>
        </w:rPr>
        <w:t xml:space="preserve"> c</w:t>
      </w:r>
      <w:r w:rsidR="003F003A">
        <w:rPr>
          <w:rFonts w:ascii="Palatino Linotype" w:hAnsi="Palatino Linotype" w:eastAsia="Aptos" w:cs="Times New Roman"/>
        </w:rPr>
        <w:t>/kWh</w:t>
      </w:r>
      <w:r w:rsidR="00BD16DA">
        <w:rPr>
          <w:rFonts w:ascii="Palatino Linotype" w:hAnsi="Palatino Linotype" w:eastAsia="Aptos" w:cs="Times New Roman"/>
        </w:rPr>
        <w:t xml:space="preserve"> specifically cover</w:t>
      </w:r>
      <w:r w:rsidR="00BC40F0">
        <w:rPr>
          <w:rFonts w:ascii="Palatino Linotype" w:hAnsi="Palatino Linotype" w:eastAsia="Aptos" w:cs="Times New Roman"/>
        </w:rPr>
        <w:t>s</w:t>
      </w:r>
      <w:r w:rsidR="00BD16DA">
        <w:rPr>
          <w:rFonts w:ascii="Palatino Linotype" w:hAnsi="Palatino Linotype" w:eastAsia="Aptos" w:cs="Times New Roman"/>
        </w:rPr>
        <w:t xml:space="preserve"> transmission facilities</w:t>
      </w:r>
      <w:r w:rsidR="00DD15E6">
        <w:rPr>
          <w:rFonts w:ascii="Palatino Linotype" w:hAnsi="Palatino Linotype" w:eastAsia="Aptos" w:cs="Times New Roman"/>
        </w:rPr>
        <w:t xml:space="preserve"> </w:t>
      </w:r>
      <w:r w:rsidR="004C5F9C">
        <w:rPr>
          <w:rFonts w:ascii="Palatino Linotype" w:hAnsi="Palatino Linotype" w:eastAsia="Aptos" w:cs="Times New Roman"/>
        </w:rPr>
        <w:t xml:space="preserve">– this effectively </w:t>
      </w:r>
      <w:r w:rsidR="00DD15E6">
        <w:rPr>
          <w:rFonts w:ascii="Palatino Linotype" w:hAnsi="Palatino Linotype" w:eastAsia="Aptos" w:cs="Times New Roman"/>
        </w:rPr>
        <w:t>make</w:t>
      </w:r>
      <w:r w:rsidR="004C5F9C">
        <w:rPr>
          <w:rFonts w:ascii="Palatino Linotype" w:hAnsi="Palatino Linotype" w:eastAsia="Aptos" w:cs="Times New Roman"/>
        </w:rPr>
        <w:t>s</w:t>
      </w:r>
      <w:r w:rsidR="00DD15E6">
        <w:rPr>
          <w:rFonts w:ascii="Palatino Linotype" w:hAnsi="Palatino Linotype" w:eastAsia="Aptos" w:cs="Times New Roman"/>
        </w:rPr>
        <w:t xml:space="preserve"> up the “net revenue</w:t>
      </w:r>
      <w:r w:rsidR="00BD16DA">
        <w:rPr>
          <w:rFonts w:ascii="Palatino Linotype" w:hAnsi="Palatino Linotype" w:eastAsia="Aptos" w:cs="Times New Roman"/>
        </w:rPr>
        <w:t>.</w:t>
      </w:r>
      <w:r w:rsidR="00DD15E6">
        <w:rPr>
          <w:rFonts w:ascii="Palatino Linotype" w:hAnsi="Palatino Linotype" w:eastAsia="Aptos" w:cs="Times New Roman"/>
        </w:rPr>
        <w:t>”</w:t>
      </w:r>
      <w:r w:rsidR="001C073A">
        <w:rPr>
          <w:rFonts w:ascii="Palatino Linotype" w:hAnsi="Palatino Linotype" w:eastAsia="Aptos" w:cs="Times New Roman"/>
        </w:rPr>
        <w:t xml:space="preserve"> </w:t>
      </w:r>
      <w:r w:rsidR="00604E5C">
        <w:rPr>
          <w:rFonts w:ascii="Palatino Linotype" w:hAnsi="Palatino Linotype" w:eastAsia="Aptos" w:cs="Times New Roman"/>
        </w:rPr>
        <w:t xml:space="preserve">As noted above, large loads and </w:t>
      </w:r>
      <w:r w:rsidR="00583AB9">
        <w:rPr>
          <w:rFonts w:ascii="Palatino Linotype" w:hAnsi="Palatino Linotype" w:eastAsia="Aptos" w:cs="Times New Roman"/>
        </w:rPr>
        <w:t xml:space="preserve">high </w:t>
      </w:r>
      <w:r w:rsidR="00604E5C">
        <w:rPr>
          <w:rFonts w:ascii="Palatino Linotype" w:hAnsi="Palatino Linotype" w:eastAsia="Aptos" w:cs="Times New Roman"/>
        </w:rPr>
        <w:t>load factors mean that</w:t>
      </w:r>
      <w:r w:rsidR="00E22AE6">
        <w:rPr>
          <w:rFonts w:ascii="Palatino Linotype" w:hAnsi="Palatino Linotype" w:eastAsia="Aptos" w:cs="Times New Roman"/>
        </w:rPr>
        <w:t xml:space="preserve"> </w:t>
      </w:r>
      <w:r w:rsidR="00243264">
        <w:rPr>
          <w:rFonts w:ascii="Palatino Linotype" w:hAnsi="Palatino Linotype" w:eastAsia="Aptos" w:cs="Times New Roman"/>
        </w:rPr>
        <w:t xml:space="preserve">electricity </w:t>
      </w:r>
      <w:r w:rsidR="00E22AE6">
        <w:rPr>
          <w:rFonts w:ascii="Palatino Linotype" w:hAnsi="Palatino Linotype" w:eastAsia="Aptos" w:cs="Times New Roman"/>
        </w:rPr>
        <w:t>bills paid</w:t>
      </w:r>
      <w:r w:rsidR="00B65993">
        <w:rPr>
          <w:rFonts w:ascii="Palatino Linotype" w:hAnsi="Palatino Linotype" w:eastAsia="Aptos" w:cs="Times New Roman"/>
        </w:rPr>
        <w:t xml:space="preserve"> by</w:t>
      </w:r>
      <w:r w:rsidR="00604E5C">
        <w:rPr>
          <w:rFonts w:ascii="Palatino Linotype" w:hAnsi="Palatino Linotype" w:eastAsia="Aptos" w:cs="Times New Roman"/>
        </w:rPr>
        <w:t xml:space="preserve"> these </w:t>
      </w:r>
      <w:r w:rsidR="00012CB5">
        <w:rPr>
          <w:rFonts w:ascii="Palatino Linotype" w:hAnsi="Palatino Linotype" w:eastAsia="Aptos" w:cs="Times New Roman"/>
        </w:rPr>
        <w:t xml:space="preserve">customers can </w:t>
      </w:r>
      <w:r w:rsidR="001803F7">
        <w:rPr>
          <w:rFonts w:ascii="Palatino Linotype" w:hAnsi="Palatino Linotype" w:eastAsia="Aptos" w:cs="Times New Roman"/>
        </w:rPr>
        <w:t>still be very large</w:t>
      </w:r>
      <w:r w:rsidR="00BD598C">
        <w:rPr>
          <w:rFonts w:ascii="Palatino Linotype" w:hAnsi="Palatino Linotype" w:eastAsia="Aptos" w:cs="Times New Roman"/>
        </w:rPr>
        <w:t>, but this re</w:t>
      </w:r>
      <w:r w:rsidR="009B2AB6">
        <w:rPr>
          <w:rFonts w:ascii="Palatino Linotype" w:hAnsi="Palatino Linotype" w:eastAsia="Aptos" w:cs="Times New Roman"/>
        </w:rPr>
        <w:t xml:space="preserve">venue </w:t>
      </w:r>
      <w:r w:rsidR="006A207C">
        <w:rPr>
          <w:rFonts w:ascii="Palatino Linotype" w:hAnsi="Palatino Linotype" w:eastAsia="Aptos" w:cs="Times New Roman"/>
        </w:rPr>
        <w:t>does not materialize if the</w:t>
      </w:r>
      <w:r w:rsidR="00414DA3">
        <w:rPr>
          <w:rFonts w:ascii="Palatino Linotype" w:hAnsi="Palatino Linotype" w:eastAsia="Aptos" w:cs="Times New Roman"/>
        </w:rPr>
        <w:t xml:space="preserve"> </w:t>
      </w:r>
      <w:r w:rsidR="001E0F25">
        <w:rPr>
          <w:rFonts w:ascii="Palatino Linotype" w:hAnsi="Palatino Linotype" w:eastAsia="Aptos" w:cs="Times New Roman"/>
        </w:rPr>
        <w:t>transmission</w:t>
      </w:r>
      <w:r w:rsidR="00C51C10">
        <w:rPr>
          <w:rFonts w:ascii="Palatino Linotype" w:hAnsi="Palatino Linotype" w:eastAsia="Aptos" w:cs="Times New Roman"/>
        </w:rPr>
        <w:t xml:space="preserve">-level customer’s </w:t>
      </w:r>
      <w:r w:rsidR="00414DA3">
        <w:rPr>
          <w:rFonts w:ascii="Palatino Linotype" w:hAnsi="Palatino Linotype" w:eastAsia="Aptos" w:cs="Times New Roman"/>
        </w:rPr>
        <w:t>load</w:t>
      </w:r>
      <w:r w:rsidR="00F7072E">
        <w:rPr>
          <w:rFonts w:ascii="Palatino Linotype" w:hAnsi="Palatino Linotype" w:eastAsia="Aptos" w:cs="Times New Roman"/>
        </w:rPr>
        <w:t xml:space="preserve"> does not show up on th</w:t>
      </w:r>
      <w:r w:rsidR="00E3392F">
        <w:rPr>
          <w:rFonts w:ascii="Palatino Linotype" w:hAnsi="Palatino Linotype" w:eastAsia="Aptos" w:cs="Times New Roman"/>
        </w:rPr>
        <w:t>e grid</w:t>
      </w:r>
      <w:r w:rsidR="00DD0F5E">
        <w:rPr>
          <w:rFonts w:ascii="Palatino Linotype" w:hAnsi="Palatino Linotype" w:eastAsia="Aptos" w:cs="Times New Roman"/>
        </w:rPr>
        <w:t xml:space="preserve"> over the long term</w:t>
      </w:r>
      <w:r w:rsidR="001803F7">
        <w:rPr>
          <w:rFonts w:ascii="Palatino Linotype" w:hAnsi="Palatino Linotype" w:eastAsia="Aptos" w:cs="Times New Roman"/>
        </w:rPr>
        <w:t>.</w:t>
      </w:r>
      <w:r w:rsidDel="00BD598C" w:rsidR="00BD598C">
        <w:rPr>
          <w:rFonts w:ascii="Palatino Linotype" w:hAnsi="Palatino Linotype" w:eastAsia="Aptos" w:cs="Times New Roman"/>
        </w:rPr>
        <w:t xml:space="preserve"> </w:t>
      </w:r>
      <w:r w:rsidR="006638A9">
        <w:rPr>
          <w:rFonts w:ascii="Palatino Linotype" w:hAnsi="Palatino Linotype" w:eastAsia="Aptos" w:cs="Times New Roman"/>
        </w:rPr>
        <w:t>E</w:t>
      </w:r>
      <w:r w:rsidR="00BD16DA">
        <w:rPr>
          <w:rFonts w:ascii="Palatino Linotype" w:hAnsi="Palatino Linotype" w:eastAsia="Aptos" w:cs="Times New Roman"/>
        </w:rPr>
        <w:t xml:space="preserve">nergizing </w:t>
      </w:r>
      <w:r w:rsidR="00DD15E6">
        <w:rPr>
          <w:rFonts w:ascii="Palatino Linotype" w:hAnsi="Palatino Linotype" w:eastAsia="Aptos" w:cs="Times New Roman"/>
        </w:rPr>
        <w:t xml:space="preserve">transmission-level </w:t>
      </w:r>
      <w:r w:rsidR="00BD16DA">
        <w:rPr>
          <w:rFonts w:ascii="Palatino Linotype" w:hAnsi="Palatino Linotype" w:eastAsia="Aptos" w:cs="Times New Roman"/>
        </w:rPr>
        <w:t xml:space="preserve">customers can require significant </w:t>
      </w:r>
      <w:r w:rsidR="00C770D2">
        <w:rPr>
          <w:rFonts w:ascii="Palatino Linotype" w:hAnsi="Palatino Linotype" w:eastAsia="Aptos" w:cs="Times New Roman"/>
        </w:rPr>
        <w:t>new</w:t>
      </w:r>
      <w:r w:rsidR="00DD15E6">
        <w:rPr>
          <w:rFonts w:ascii="Palatino Linotype" w:hAnsi="Palatino Linotype" w:eastAsia="Aptos" w:cs="Times New Roman"/>
        </w:rPr>
        <w:t xml:space="preserve"> </w:t>
      </w:r>
      <w:r w:rsidR="00BD16DA">
        <w:rPr>
          <w:rFonts w:ascii="Palatino Linotype" w:hAnsi="Palatino Linotype" w:eastAsia="Aptos" w:cs="Times New Roman"/>
        </w:rPr>
        <w:t>transmission infrastructure</w:t>
      </w:r>
      <w:r w:rsidR="00C770D2">
        <w:rPr>
          <w:rFonts w:ascii="Palatino Linotype" w:hAnsi="Palatino Linotype" w:eastAsia="Aptos" w:cs="Times New Roman"/>
        </w:rPr>
        <w:t xml:space="preserve">, and </w:t>
      </w:r>
      <w:r w:rsidR="00D55333">
        <w:rPr>
          <w:rFonts w:ascii="Palatino Linotype" w:hAnsi="Palatino Linotype" w:eastAsia="Aptos" w:cs="Times New Roman"/>
        </w:rPr>
        <w:t xml:space="preserve">can </w:t>
      </w:r>
      <w:r w:rsidR="0060458D">
        <w:rPr>
          <w:rFonts w:ascii="Palatino Linotype" w:hAnsi="Palatino Linotype" w:eastAsia="Aptos" w:cs="Times New Roman"/>
        </w:rPr>
        <w:t xml:space="preserve">depend on </w:t>
      </w:r>
      <w:r w:rsidR="009755B6">
        <w:rPr>
          <w:rFonts w:ascii="Palatino Linotype" w:hAnsi="Palatino Linotype" w:eastAsia="Aptos" w:cs="Times New Roman"/>
        </w:rPr>
        <w:t xml:space="preserve">larger </w:t>
      </w:r>
      <w:r w:rsidR="00C770D2">
        <w:rPr>
          <w:rFonts w:ascii="Palatino Linotype" w:hAnsi="Palatino Linotype" w:eastAsia="Aptos" w:cs="Times New Roman"/>
        </w:rPr>
        <w:t xml:space="preserve">upgrades to the </w:t>
      </w:r>
      <w:r w:rsidR="00244CE6">
        <w:rPr>
          <w:rFonts w:ascii="Palatino Linotype" w:hAnsi="Palatino Linotype" w:eastAsia="Aptos" w:cs="Times New Roman"/>
        </w:rPr>
        <w:t>broader tr</w:t>
      </w:r>
      <w:r w:rsidR="00C770D2">
        <w:rPr>
          <w:rFonts w:ascii="Palatino Linotype" w:hAnsi="Palatino Linotype" w:eastAsia="Aptos" w:cs="Times New Roman"/>
        </w:rPr>
        <w:t xml:space="preserve">ansmission </w:t>
      </w:r>
      <w:r w:rsidR="00244CE6">
        <w:rPr>
          <w:rFonts w:ascii="Palatino Linotype" w:hAnsi="Palatino Linotype" w:eastAsia="Aptos" w:cs="Times New Roman"/>
        </w:rPr>
        <w:t>network</w:t>
      </w:r>
      <w:r w:rsidR="00BD16DA">
        <w:rPr>
          <w:rFonts w:ascii="Palatino Linotype" w:hAnsi="Palatino Linotype" w:eastAsia="Aptos" w:cs="Times New Roman"/>
        </w:rPr>
        <w:t>.</w:t>
      </w:r>
      <w:r w:rsidR="00595272">
        <w:rPr>
          <w:rFonts w:ascii="Palatino Linotype" w:hAnsi="Palatino Linotype" w:eastAsia="Aptos" w:cs="Times New Roman"/>
        </w:rPr>
        <w:t xml:space="preserve"> </w:t>
      </w:r>
      <w:r w:rsidR="00CB1A7A">
        <w:rPr>
          <w:rFonts w:ascii="Palatino Linotype" w:hAnsi="Palatino Linotype" w:eastAsia="Aptos" w:cs="Times New Roman"/>
        </w:rPr>
        <w:t>Like any customer, STACK will rely on the larger transmission grid, outside of the direct infrastructure needed for its energization. In addition, large loads like STACK often depend on, and sometimes directly trigger, new upgrades to the broader transmission network beyond the direct costs to connect the customer to that network.</w:t>
      </w:r>
      <w:r w:rsidR="00CB1A7A">
        <w:rPr>
          <w:rStyle w:val="FootnoteReference"/>
          <w:rFonts w:ascii="Palatino Linotype" w:hAnsi="Palatino Linotype" w:eastAsia="Aptos" w:cs="Times New Roman"/>
        </w:rPr>
        <w:footnoteReference w:id="10"/>
      </w:r>
    </w:p>
    <w:p w:rsidR="001027E6" w:rsidP="00CF2C9C" w:rsidRDefault="001027E6" w14:paraId="7FE0875D" w14:textId="77777777">
      <w:pPr>
        <w:spacing w:after="0" w:line="240" w:lineRule="auto"/>
        <w:rPr>
          <w:rFonts w:ascii="Palatino Linotype" w:hAnsi="Palatino Linotype" w:eastAsia="Aptos" w:cs="Times New Roman"/>
          <w:b/>
          <w:bCs/>
        </w:rPr>
      </w:pPr>
    </w:p>
    <w:p w:rsidR="000C47AD" w:rsidP="00A44A31" w:rsidRDefault="000C47AD" w14:paraId="26FA601D" w14:textId="24377DC4">
      <w:pPr>
        <w:spacing w:line="240" w:lineRule="auto"/>
        <w:rPr>
          <w:rFonts w:ascii="Palatino Linotype" w:hAnsi="Palatino Linotype" w:eastAsia="Aptos" w:cs="Times New Roman"/>
          <w:b/>
          <w:bCs/>
        </w:rPr>
      </w:pPr>
      <w:r>
        <w:rPr>
          <w:rFonts w:ascii="Palatino Linotype" w:hAnsi="Palatino Linotype" w:eastAsia="Aptos" w:cs="Times New Roman"/>
          <w:b/>
          <w:bCs/>
        </w:rPr>
        <w:t xml:space="preserve">As new infrastructure, </w:t>
      </w:r>
      <w:r w:rsidR="000C2030">
        <w:rPr>
          <w:rFonts w:ascii="Palatino Linotype" w:hAnsi="Palatino Linotype" w:eastAsia="Aptos" w:cs="Times New Roman"/>
          <w:b/>
          <w:bCs/>
        </w:rPr>
        <w:t>these investments will also require ongoing operational, maintenance and administrative costs over their lifetimes.</w:t>
      </w:r>
    </w:p>
    <w:p w:rsidR="00A244C3" w:rsidP="00A44A31" w:rsidRDefault="004E19B9" w14:paraId="730E936F" w14:textId="66E46AE9">
      <w:pPr>
        <w:spacing w:line="240" w:lineRule="auto"/>
        <w:rPr>
          <w:rFonts w:ascii="Palatino Linotype" w:hAnsi="Palatino Linotype" w:eastAsia="Aptos" w:cs="Times New Roman"/>
        </w:rPr>
      </w:pPr>
      <w:r>
        <w:rPr>
          <w:rFonts w:ascii="Palatino Linotype" w:hAnsi="Palatino Linotype" w:eastAsia="Aptos" w:cs="Times New Roman"/>
        </w:rPr>
        <w:t>New infrastructure</w:t>
      </w:r>
      <w:r w:rsidR="00402ACA">
        <w:rPr>
          <w:rFonts w:ascii="Palatino Linotype" w:hAnsi="Palatino Linotype" w:eastAsia="Aptos" w:cs="Times New Roman"/>
        </w:rPr>
        <w:t xml:space="preserve"> requires additional </w:t>
      </w:r>
      <w:r w:rsidR="003768FE">
        <w:rPr>
          <w:rFonts w:ascii="Palatino Linotype" w:hAnsi="Palatino Linotype" w:eastAsia="Aptos" w:cs="Times New Roman"/>
        </w:rPr>
        <w:t xml:space="preserve">yearly </w:t>
      </w:r>
      <w:r w:rsidR="00402ACA">
        <w:rPr>
          <w:rFonts w:ascii="Palatino Linotype" w:hAnsi="Palatino Linotype" w:eastAsia="Aptos" w:cs="Times New Roman"/>
        </w:rPr>
        <w:t xml:space="preserve">expenses for operations, maintenance, administration, and other general costs. </w:t>
      </w:r>
      <w:r w:rsidR="0011760B">
        <w:rPr>
          <w:rFonts w:ascii="Palatino Linotype" w:hAnsi="Palatino Linotype" w:eastAsia="Aptos" w:cs="Times New Roman"/>
        </w:rPr>
        <w:t xml:space="preserve">For the </w:t>
      </w:r>
      <w:r w:rsidR="00DA47E5">
        <w:rPr>
          <w:rFonts w:ascii="Palatino Linotype" w:hAnsi="Palatino Linotype" w:eastAsia="Aptos" w:cs="Times New Roman"/>
        </w:rPr>
        <w:t>approximate</w:t>
      </w:r>
      <w:r w:rsidR="000F2AFF">
        <w:rPr>
          <w:rFonts w:ascii="Palatino Linotype" w:hAnsi="Palatino Linotype" w:eastAsia="Aptos" w:cs="Times New Roman"/>
        </w:rPr>
        <w:t>ly</w:t>
      </w:r>
      <w:r w:rsidR="00DA47E5">
        <w:rPr>
          <w:rFonts w:ascii="Palatino Linotype" w:hAnsi="Palatino Linotype" w:eastAsia="Aptos" w:cs="Times New Roman"/>
        </w:rPr>
        <w:t xml:space="preserve"> </w:t>
      </w:r>
      <w:r w:rsidR="0011760B">
        <w:rPr>
          <w:rFonts w:ascii="Palatino Linotype" w:hAnsi="Palatino Linotype" w:eastAsia="Aptos" w:cs="Times New Roman"/>
        </w:rPr>
        <w:t>$50 million in</w:t>
      </w:r>
      <w:r w:rsidDel="00DA47E5" w:rsidR="0011760B">
        <w:rPr>
          <w:rFonts w:ascii="Palatino Linotype" w:hAnsi="Palatino Linotype" w:eastAsia="Aptos" w:cs="Times New Roman"/>
        </w:rPr>
        <w:t>direct,</w:t>
      </w:r>
      <w:r w:rsidR="0011760B">
        <w:rPr>
          <w:rFonts w:ascii="Palatino Linotype" w:hAnsi="Palatino Linotype" w:eastAsia="Aptos" w:cs="Times New Roman"/>
        </w:rPr>
        <w:t xml:space="preserve"> refundable energization costs under discussion here, </w:t>
      </w:r>
      <w:r w:rsidR="00C50B4A">
        <w:rPr>
          <w:rFonts w:ascii="Palatino Linotype" w:hAnsi="Palatino Linotype" w:eastAsia="Aptos" w:cs="Times New Roman"/>
        </w:rPr>
        <w:t>there may be</w:t>
      </w:r>
      <w:r w:rsidR="0011760B">
        <w:rPr>
          <w:rFonts w:ascii="Palatino Linotype" w:hAnsi="Palatino Linotype" w:eastAsia="Aptos" w:cs="Times New Roman"/>
        </w:rPr>
        <w:t xml:space="preserve"> about $1.3 million </w:t>
      </w:r>
      <w:r w:rsidR="00C50B4A">
        <w:rPr>
          <w:rFonts w:ascii="Palatino Linotype" w:hAnsi="Palatino Linotype" w:eastAsia="Aptos" w:cs="Times New Roman"/>
        </w:rPr>
        <w:t xml:space="preserve">in expenses </w:t>
      </w:r>
      <w:r w:rsidR="0011760B">
        <w:rPr>
          <w:rFonts w:ascii="Palatino Linotype" w:hAnsi="Palatino Linotype" w:eastAsia="Aptos" w:cs="Times New Roman"/>
        </w:rPr>
        <w:t>per year</w:t>
      </w:r>
      <w:r w:rsidR="00AD7447">
        <w:rPr>
          <w:rFonts w:ascii="Palatino Linotype" w:hAnsi="Palatino Linotype" w:eastAsia="Aptos" w:cs="Times New Roman"/>
        </w:rPr>
        <w:t>.</w:t>
      </w:r>
      <w:r w:rsidR="00AD7447">
        <w:rPr>
          <w:rStyle w:val="FootnoteReference"/>
          <w:rFonts w:ascii="Palatino Linotype" w:hAnsi="Palatino Linotype" w:eastAsia="Aptos" w:cs="Times New Roman"/>
        </w:rPr>
        <w:footnoteReference w:id="11"/>
      </w:r>
      <w:r w:rsidR="00045B24">
        <w:rPr>
          <w:rFonts w:ascii="Palatino Linotype" w:hAnsi="Palatino Linotype" w:eastAsia="Aptos" w:cs="Times New Roman"/>
        </w:rPr>
        <w:t xml:space="preserve"> Upgrades to the </w:t>
      </w:r>
      <w:r w:rsidR="001242C5">
        <w:rPr>
          <w:rFonts w:ascii="Palatino Linotype" w:hAnsi="Palatino Linotype" w:eastAsia="Aptos" w:cs="Times New Roman"/>
        </w:rPr>
        <w:t xml:space="preserve">broader </w:t>
      </w:r>
      <w:r w:rsidR="00045B24">
        <w:rPr>
          <w:rFonts w:ascii="Palatino Linotype" w:hAnsi="Palatino Linotype" w:eastAsia="Aptos" w:cs="Times New Roman"/>
        </w:rPr>
        <w:t xml:space="preserve">transmission network, though </w:t>
      </w:r>
      <w:r w:rsidR="009E4959">
        <w:rPr>
          <w:rFonts w:ascii="Palatino Linotype" w:hAnsi="Palatino Linotype" w:eastAsia="Aptos" w:cs="Times New Roman"/>
        </w:rPr>
        <w:t>only</w:t>
      </w:r>
      <w:r w:rsidR="00A13275">
        <w:rPr>
          <w:rFonts w:ascii="Palatino Linotype" w:hAnsi="Palatino Linotype" w:eastAsia="Aptos" w:cs="Times New Roman"/>
        </w:rPr>
        <w:t xml:space="preserve"> related to</w:t>
      </w:r>
      <w:r w:rsidR="00045B24">
        <w:rPr>
          <w:rFonts w:ascii="Palatino Linotype" w:hAnsi="Palatino Linotype" w:eastAsia="Aptos" w:cs="Times New Roman"/>
        </w:rPr>
        <w:t xml:space="preserve"> STACK</w:t>
      </w:r>
      <w:r w:rsidR="00A13275">
        <w:rPr>
          <w:rFonts w:ascii="Palatino Linotype" w:hAnsi="Palatino Linotype" w:eastAsia="Aptos" w:cs="Times New Roman"/>
        </w:rPr>
        <w:t>’s energization</w:t>
      </w:r>
      <w:r w:rsidR="009E4959">
        <w:rPr>
          <w:rFonts w:ascii="Palatino Linotype" w:hAnsi="Palatino Linotype" w:eastAsia="Aptos" w:cs="Times New Roman"/>
        </w:rPr>
        <w:t xml:space="preserve"> indirectly</w:t>
      </w:r>
      <w:r w:rsidR="00045B24">
        <w:rPr>
          <w:rFonts w:ascii="Palatino Linotype" w:hAnsi="Palatino Linotype" w:eastAsia="Aptos" w:cs="Times New Roman"/>
        </w:rPr>
        <w:t>, wou</w:t>
      </w:r>
      <w:r w:rsidR="00491C42">
        <w:rPr>
          <w:rFonts w:ascii="Palatino Linotype" w:hAnsi="Palatino Linotype" w:eastAsia="Aptos" w:cs="Times New Roman"/>
        </w:rPr>
        <w:t>ld also create additional yearly expenses.</w:t>
      </w:r>
      <w:r w:rsidR="007B326D">
        <w:rPr>
          <w:rFonts w:ascii="Palatino Linotype" w:hAnsi="Palatino Linotype" w:eastAsia="Aptos" w:cs="Times New Roman"/>
        </w:rPr>
        <w:t xml:space="preserve"> </w:t>
      </w:r>
    </w:p>
    <w:p w:rsidR="007A2952" w:rsidP="00CF2C9C" w:rsidRDefault="007A2952" w14:paraId="6A6B3C40" w14:textId="77777777">
      <w:pPr>
        <w:spacing w:after="0" w:line="240" w:lineRule="auto"/>
        <w:rPr>
          <w:rFonts w:ascii="Palatino Linotype" w:hAnsi="Palatino Linotype" w:eastAsia="Aptos" w:cs="Times New Roman"/>
          <w:b/>
          <w:bCs/>
        </w:rPr>
      </w:pPr>
    </w:p>
    <w:p w:rsidR="007F3C5F" w:rsidP="00A44A31" w:rsidRDefault="009B7240" w14:paraId="6A354E58" w14:textId="0DA33254">
      <w:pPr>
        <w:spacing w:line="240" w:lineRule="auto"/>
        <w:rPr>
          <w:rFonts w:ascii="Palatino Linotype" w:hAnsi="Palatino Linotype" w:eastAsia="Aptos" w:cs="Times New Roman"/>
          <w:b/>
          <w:bCs/>
        </w:rPr>
      </w:pPr>
      <w:r>
        <w:rPr>
          <w:rFonts w:ascii="Palatino Linotype" w:hAnsi="Palatino Linotype" w:eastAsia="Aptos" w:cs="Times New Roman"/>
          <w:b/>
          <w:bCs/>
        </w:rPr>
        <w:t>Based on considerations</w:t>
      </w:r>
      <w:r w:rsidR="00B4770F">
        <w:rPr>
          <w:rFonts w:ascii="Palatino Linotype" w:hAnsi="Palatino Linotype" w:eastAsia="Aptos" w:cs="Times New Roman"/>
          <w:b/>
          <w:bCs/>
        </w:rPr>
        <w:t xml:space="preserve"> </w:t>
      </w:r>
      <w:r>
        <w:rPr>
          <w:rFonts w:ascii="Palatino Linotype" w:hAnsi="Palatino Linotype" w:eastAsia="Aptos" w:cs="Times New Roman"/>
          <w:b/>
          <w:bCs/>
        </w:rPr>
        <w:t xml:space="preserve">unique </w:t>
      </w:r>
      <w:r w:rsidR="00B4770F">
        <w:rPr>
          <w:rFonts w:ascii="Palatino Linotype" w:hAnsi="Palatino Linotype" w:eastAsia="Aptos" w:cs="Times New Roman"/>
          <w:b/>
          <w:bCs/>
        </w:rPr>
        <w:t xml:space="preserve">for </w:t>
      </w:r>
      <w:r w:rsidR="004B4F9F">
        <w:rPr>
          <w:rFonts w:ascii="Palatino Linotype" w:hAnsi="Palatino Linotype" w:eastAsia="Aptos" w:cs="Times New Roman"/>
          <w:b/>
          <w:bCs/>
        </w:rPr>
        <w:t xml:space="preserve">large load, </w:t>
      </w:r>
      <w:r>
        <w:rPr>
          <w:rFonts w:ascii="Palatino Linotype" w:hAnsi="Palatino Linotype" w:eastAsia="Aptos" w:cs="Times New Roman"/>
          <w:b/>
          <w:bCs/>
        </w:rPr>
        <w:t xml:space="preserve">transmission </w:t>
      </w:r>
      <w:r w:rsidR="00B4770F">
        <w:rPr>
          <w:rFonts w:ascii="Palatino Linotype" w:hAnsi="Palatino Linotype" w:eastAsia="Aptos" w:cs="Times New Roman"/>
          <w:b/>
          <w:bCs/>
        </w:rPr>
        <w:t>interconnecting customers</w:t>
      </w:r>
      <w:r>
        <w:rPr>
          <w:rFonts w:ascii="Palatino Linotype" w:hAnsi="Palatino Linotype" w:eastAsia="Aptos" w:cs="Times New Roman"/>
          <w:b/>
          <w:bCs/>
        </w:rPr>
        <w:t xml:space="preserve">, </w:t>
      </w:r>
      <w:r w:rsidR="00C10925">
        <w:rPr>
          <w:rFonts w:ascii="Palatino Linotype" w:hAnsi="Palatino Linotype" w:eastAsia="Aptos" w:cs="Times New Roman"/>
          <w:b/>
          <w:bCs/>
        </w:rPr>
        <w:t xml:space="preserve">it is reasonable to limit </w:t>
      </w:r>
      <w:r w:rsidR="00B60C3A">
        <w:rPr>
          <w:rFonts w:ascii="Palatino Linotype" w:hAnsi="Palatino Linotype" w:eastAsia="Aptos" w:cs="Times New Roman"/>
          <w:b/>
          <w:bCs/>
        </w:rPr>
        <w:t>customer refunds to a portion of actual net revenues</w:t>
      </w:r>
      <w:r>
        <w:rPr>
          <w:rFonts w:ascii="Palatino Linotype" w:hAnsi="Palatino Linotype" w:eastAsia="Aptos" w:cs="Times New Roman"/>
          <w:b/>
          <w:bCs/>
        </w:rPr>
        <w:t xml:space="preserve"> to </w:t>
      </w:r>
      <w:r w:rsidR="00B633C9">
        <w:rPr>
          <w:rFonts w:ascii="Palatino Linotype" w:hAnsi="Palatino Linotype" w:eastAsia="Aptos" w:cs="Times New Roman"/>
          <w:b/>
          <w:bCs/>
        </w:rPr>
        <w:t>reduce risk</w:t>
      </w:r>
      <w:r w:rsidR="0058341C">
        <w:rPr>
          <w:rFonts w:ascii="Palatino Linotype" w:hAnsi="Palatino Linotype" w:eastAsia="Aptos" w:cs="Times New Roman"/>
          <w:b/>
          <w:bCs/>
        </w:rPr>
        <w:t>s</w:t>
      </w:r>
      <w:r w:rsidR="00B633C9">
        <w:rPr>
          <w:rFonts w:ascii="Palatino Linotype" w:hAnsi="Palatino Linotype" w:eastAsia="Aptos" w:cs="Times New Roman"/>
          <w:b/>
          <w:bCs/>
        </w:rPr>
        <w:t xml:space="preserve"> to ratepayers</w:t>
      </w:r>
      <w:r w:rsidR="005A3F85">
        <w:rPr>
          <w:rFonts w:ascii="Palatino Linotype" w:hAnsi="Palatino Linotype" w:eastAsia="Aptos" w:cs="Times New Roman"/>
          <w:b/>
          <w:bCs/>
        </w:rPr>
        <w:t>.</w:t>
      </w:r>
      <w:r w:rsidR="00B633C9">
        <w:rPr>
          <w:rFonts w:ascii="Palatino Linotype" w:hAnsi="Palatino Linotype" w:eastAsia="Aptos" w:cs="Times New Roman"/>
          <w:b/>
          <w:bCs/>
        </w:rPr>
        <w:t xml:space="preserve"> </w:t>
      </w:r>
    </w:p>
    <w:p w:rsidR="00927C78" w:rsidP="00643ECA" w:rsidRDefault="7B8503D9" w14:paraId="06C243B0" w14:textId="37668680">
      <w:pPr>
        <w:spacing w:line="240" w:lineRule="auto"/>
        <w:rPr>
          <w:rFonts w:ascii="Palatino Linotype" w:hAnsi="Palatino Linotype" w:eastAsia="Aptos" w:cs="Times New Roman"/>
        </w:rPr>
      </w:pPr>
      <w:r w:rsidRPr="4CB9577B">
        <w:rPr>
          <w:rFonts w:ascii="Palatino Linotype" w:hAnsi="Palatino Linotype" w:eastAsia="Aptos" w:cs="Times New Roman"/>
        </w:rPr>
        <w:t>It is not reasonable to apply the standard Rule 15 refund process</w:t>
      </w:r>
      <w:r w:rsidRPr="4CB9577B" w:rsidR="00577A68">
        <w:rPr>
          <w:rFonts w:ascii="Palatino Linotype" w:hAnsi="Palatino Linotype" w:eastAsia="Aptos" w:cs="Times New Roman"/>
        </w:rPr>
        <w:t xml:space="preserve"> and </w:t>
      </w:r>
      <w:r w:rsidRPr="4CB9577B">
        <w:rPr>
          <w:rFonts w:ascii="Palatino Linotype" w:hAnsi="Palatino Linotype" w:eastAsia="Aptos" w:cs="Times New Roman"/>
        </w:rPr>
        <w:t xml:space="preserve">the BARC methodology to this project without modification. </w:t>
      </w:r>
      <w:r w:rsidRPr="4CB9577B" w:rsidR="14E9A93D">
        <w:rPr>
          <w:rFonts w:ascii="Palatino Linotype" w:hAnsi="Palatino Linotype" w:eastAsia="Aptos" w:cs="Times New Roman"/>
        </w:rPr>
        <w:t xml:space="preserve">First, </w:t>
      </w:r>
      <w:r w:rsidRPr="4CB9577B" w:rsidR="3872C723">
        <w:rPr>
          <w:rFonts w:ascii="Palatino Linotype" w:hAnsi="Palatino Linotype" w:eastAsia="Aptos" w:cs="Times New Roman"/>
        </w:rPr>
        <w:t xml:space="preserve">as a large load customer </w:t>
      </w:r>
      <w:r w:rsidRPr="4CB9577B" w:rsidR="0053534F">
        <w:rPr>
          <w:rFonts w:ascii="Palatino Linotype" w:hAnsi="Palatino Linotype" w:eastAsia="Aptos" w:cs="Times New Roman"/>
        </w:rPr>
        <w:t xml:space="preserve">connecting </w:t>
      </w:r>
      <w:r w:rsidRPr="4CB9577B" w:rsidR="3872C723">
        <w:rPr>
          <w:rFonts w:ascii="Palatino Linotype" w:hAnsi="Palatino Linotype" w:eastAsia="Aptos" w:cs="Times New Roman"/>
        </w:rPr>
        <w:t>at the transmission level, STACK</w:t>
      </w:r>
      <w:r w:rsidRPr="4CB9577B" w:rsidR="00C99A97">
        <w:rPr>
          <w:rFonts w:ascii="Palatino Linotype" w:hAnsi="Palatino Linotype" w:eastAsia="Aptos" w:cs="Times New Roman"/>
        </w:rPr>
        <w:t xml:space="preserve">’s energization requires </w:t>
      </w:r>
      <w:r w:rsidRPr="4CB9577B" w:rsidR="00B51F90">
        <w:rPr>
          <w:rFonts w:ascii="Palatino Linotype" w:hAnsi="Palatino Linotype" w:eastAsia="Aptos" w:cs="Times New Roman"/>
        </w:rPr>
        <w:t xml:space="preserve">higher </w:t>
      </w:r>
      <w:r w:rsidRPr="4CB9577B" w:rsidR="00C99A97">
        <w:rPr>
          <w:rFonts w:ascii="Palatino Linotype" w:hAnsi="Palatino Linotype" w:eastAsia="Aptos" w:cs="Times New Roman"/>
        </w:rPr>
        <w:t>costs</w:t>
      </w:r>
      <w:r w:rsidRPr="4CB9577B" w:rsidR="00B51F90">
        <w:rPr>
          <w:rFonts w:ascii="Palatino Linotype" w:hAnsi="Palatino Linotype" w:eastAsia="Aptos" w:cs="Times New Roman"/>
        </w:rPr>
        <w:t xml:space="preserve"> for a new type of customer </w:t>
      </w:r>
      <w:r w:rsidRPr="4CB9577B" w:rsidR="00C99A97">
        <w:rPr>
          <w:rFonts w:ascii="Palatino Linotype" w:hAnsi="Palatino Linotype" w:eastAsia="Aptos" w:cs="Times New Roman"/>
        </w:rPr>
        <w:t xml:space="preserve">and comes with </w:t>
      </w:r>
      <w:r w:rsidRPr="4CB9577B" w:rsidR="5EADD9D2">
        <w:rPr>
          <w:rFonts w:ascii="Palatino Linotype" w:hAnsi="Palatino Linotype" w:eastAsia="Aptos" w:cs="Times New Roman"/>
        </w:rPr>
        <w:t>more unknowns</w:t>
      </w:r>
      <w:r w:rsidRPr="4CB9577B" w:rsidR="3C7E6EC3">
        <w:rPr>
          <w:rFonts w:ascii="Palatino Linotype" w:hAnsi="Palatino Linotype" w:eastAsia="Aptos" w:cs="Times New Roman"/>
        </w:rPr>
        <w:t xml:space="preserve"> than for a smaller distribution-level customer</w:t>
      </w:r>
      <w:r w:rsidRPr="4CB9577B" w:rsidR="5EADD9D2">
        <w:rPr>
          <w:rFonts w:ascii="Palatino Linotype" w:hAnsi="Palatino Linotype" w:eastAsia="Aptos" w:cs="Times New Roman"/>
        </w:rPr>
        <w:t xml:space="preserve">. Second, as a transmission-level customer, STACK </w:t>
      </w:r>
      <w:r w:rsidRPr="4CB9577B" w:rsidR="00515A37">
        <w:rPr>
          <w:rFonts w:ascii="Palatino Linotype" w:hAnsi="Palatino Linotype" w:eastAsia="Aptos" w:cs="Times New Roman"/>
        </w:rPr>
        <w:t xml:space="preserve">would </w:t>
      </w:r>
      <w:r w:rsidRPr="4CB9577B" w:rsidR="00A14622">
        <w:rPr>
          <w:rFonts w:ascii="Palatino Linotype" w:hAnsi="Palatino Linotype" w:eastAsia="Aptos" w:cs="Times New Roman"/>
        </w:rPr>
        <w:t xml:space="preserve">pay a lower </w:t>
      </w:r>
      <w:r w:rsidRPr="4CB9577B" w:rsidR="00A14622">
        <w:rPr>
          <w:rFonts w:ascii="Palatino Linotype" w:hAnsi="Palatino Linotype" w:eastAsia="Aptos" w:cs="Times New Roman"/>
        </w:rPr>
        <w:lastRenderedPageBreak/>
        <w:t xml:space="preserve">rate per kWh than </w:t>
      </w:r>
      <w:r w:rsidRPr="4CB9577B" w:rsidR="00515A37">
        <w:rPr>
          <w:rFonts w:ascii="Palatino Linotype" w:hAnsi="Palatino Linotype" w:eastAsia="Aptos" w:cs="Times New Roman"/>
        </w:rPr>
        <w:t>a similar</w:t>
      </w:r>
      <w:r w:rsidRPr="4CB9577B" w:rsidR="00A14622">
        <w:rPr>
          <w:rFonts w:ascii="Palatino Linotype" w:hAnsi="Palatino Linotype" w:eastAsia="Aptos" w:cs="Times New Roman"/>
        </w:rPr>
        <w:t xml:space="preserve"> distribution</w:t>
      </w:r>
      <w:r w:rsidRPr="4CB9577B" w:rsidR="00515A37">
        <w:rPr>
          <w:rFonts w:ascii="Palatino Linotype" w:hAnsi="Palatino Linotype" w:eastAsia="Aptos" w:cs="Times New Roman"/>
        </w:rPr>
        <w:t>-level</w:t>
      </w:r>
      <w:r w:rsidRPr="4CB9577B" w:rsidR="00A14622">
        <w:rPr>
          <w:rFonts w:ascii="Palatino Linotype" w:hAnsi="Palatino Linotype" w:eastAsia="Aptos" w:cs="Times New Roman"/>
        </w:rPr>
        <w:t xml:space="preserve"> customer normally covered by the Rule 15 process and may generate lower infrastructure-related revenue, depending on </w:t>
      </w:r>
      <w:r w:rsidRPr="4CB9577B" w:rsidR="001763A5">
        <w:rPr>
          <w:rFonts w:ascii="Palatino Linotype" w:hAnsi="Palatino Linotype" w:eastAsia="Aptos" w:cs="Times New Roman"/>
        </w:rPr>
        <w:t>actual customer loading</w:t>
      </w:r>
      <w:r w:rsidRPr="4CB9577B" w:rsidR="00A14622">
        <w:rPr>
          <w:rFonts w:ascii="Palatino Linotype" w:hAnsi="Palatino Linotype" w:eastAsia="Aptos" w:cs="Times New Roman"/>
        </w:rPr>
        <w:t xml:space="preserve"> over time</w:t>
      </w:r>
      <w:r w:rsidRPr="4CB9577B" w:rsidR="002833F0">
        <w:rPr>
          <w:rFonts w:ascii="Palatino Linotype" w:hAnsi="Palatino Linotype" w:eastAsia="Aptos" w:cs="Times New Roman"/>
        </w:rPr>
        <w:t xml:space="preserve">, while at the same time </w:t>
      </w:r>
      <w:r w:rsidRPr="4CB9577B" w:rsidR="19404C62">
        <w:rPr>
          <w:rFonts w:ascii="Palatino Linotype" w:hAnsi="Palatino Linotype" w:eastAsia="Aptos" w:cs="Times New Roman"/>
        </w:rPr>
        <w:t xml:space="preserve">contributing to </w:t>
      </w:r>
      <w:r w:rsidRPr="4CB9577B" w:rsidR="00DB7ADF">
        <w:rPr>
          <w:rFonts w:ascii="Palatino Linotype" w:hAnsi="Palatino Linotype" w:eastAsia="Aptos" w:cs="Times New Roman"/>
        </w:rPr>
        <w:t xml:space="preserve">the need for </w:t>
      </w:r>
      <w:r w:rsidRPr="4CB9577B" w:rsidR="19404C62">
        <w:rPr>
          <w:rFonts w:ascii="Palatino Linotype" w:hAnsi="Palatino Linotype" w:eastAsia="Aptos" w:cs="Times New Roman"/>
        </w:rPr>
        <w:t>broader transmission network upgrades in the region</w:t>
      </w:r>
      <w:r w:rsidRPr="4CB9577B" w:rsidR="156F4655">
        <w:rPr>
          <w:rFonts w:ascii="Palatino Linotype" w:hAnsi="Palatino Linotype" w:eastAsia="Aptos" w:cs="Times New Roman"/>
        </w:rPr>
        <w:t>.</w:t>
      </w:r>
      <w:r w:rsidRPr="4CB9577B" w:rsidR="281147E0">
        <w:rPr>
          <w:rFonts w:ascii="Palatino Linotype" w:hAnsi="Palatino Linotype" w:eastAsia="Aptos" w:cs="Times New Roman"/>
        </w:rPr>
        <w:t xml:space="preserve"> </w:t>
      </w:r>
      <w:r w:rsidRPr="4CB9577B" w:rsidR="008B6C47">
        <w:rPr>
          <w:rFonts w:ascii="Palatino Linotype" w:hAnsi="Palatino Linotype" w:eastAsia="Aptos" w:cs="Times New Roman"/>
        </w:rPr>
        <w:t>Third</w:t>
      </w:r>
      <w:r w:rsidRPr="4CB9577B" w:rsidR="00F14DCF">
        <w:rPr>
          <w:rFonts w:ascii="Palatino Linotype" w:hAnsi="Palatino Linotype" w:eastAsia="Aptos" w:cs="Times New Roman"/>
        </w:rPr>
        <w:t>,</w:t>
      </w:r>
      <w:r w:rsidRPr="4CB9577B" w:rsidR="000D3D94">
        <w:rPr>
          <w:rFonts w:ascii="Palatino Linotype" w:hAnsi="Palatino Linotype" w:eastAsia="Aptos" w:cs="Times New Roman"/>
        </w:rPr>
        <w:t xml:space="preserve"> while</w:t>
      </w:r>
      <w:r w:rsidRPr="4CB9577B" w:rsidR="3E2BF050">
        <w:rPr>
          <w:rFonts w:ascii="Palatino Linotype" w:hAnsi="Palatino Linotype" w:eastAsia="Aptos" w:cs="Times New Roman"/>
        </w:rPr>
        <w:t xml:space="preserve"> </w:t>
      </w:r>
      <w:r w:rsidRPr="4CB9577B" w:rsidR="00F14DCF">
        <w:rPr>
          <w:rFonts w:ascii="Palatino Linotype" w:hAnsi="Palatino Linotype" w:eastAsia="Aptos" w:cs="Times New Roman"/>
        </w:rPr>
        <w:t>all</w:t>
      </w:r>
      <w:r w:rsidRPr="4CB9577B" w:rsidR="3E2BF050">
        <w:rPr>
          <w:rFonts w:ascii="Palatino Linotype" w:hAnsi="Palatino Linotype" w:eastAsia="Aptos" w:cs="Times New Roman"/>
        </w:rPr>
        <w:t xml:space="preserve"> the infrastructure costs </w:t>
      </w:r>
      <w:r w:rsidRPr="4CB9577B" w:rsidR="6E10D9B1">
        <w:rPr>
          <w:rFonts w:ascii="Palatino Linotype" w:hAnsi="Palatino Linotype" w:eastAsia="Aptos" w:cs="Times New Roman"/>
        </w:rPr>
        <w:t xml:space="preserve">related </w:t>
      </w:r>
      <w:r w:rsidRPr="4CB9577B" w:rsidR="3E2BF050">
        <w:rPr>
          <w:rFonts w:ascii="Palatino Linotype" w:hAnsi="Palatino Linotype" w:eastAsia="Aptos" w:cs="Times New Roman"/>
        </w:rPr>
        <w:t xml:space="preserve">to energizing STACK are capital </w:t>
      </w:r>
      <w:r w:rsidRPr="4CB9577B" w:rsidR="028DD401">
        <w:rPr>
          <w:rFonts w:ascii="Palatino Linotype" w:hAnsi="Palatino Linotype" w:eastAsia="Aptos" w:cs="Times New Roman"/>
        </w:rPr>
        <w:t>expenses</w:t>
      </w:r>
      <w:r w:rsidRPr="4CB9577B" w:rsidR="008A4C2B">
        <w:rPr>
          <w:rFonts w:ascii="Palatino Linotype" w:hAnsi="Palatino Linotype" w:eastAsia="Aptos" w:cs="Times New Roman"/>
        </w:rPr>
        <w:t xml:space="preserve">, energizing STACK </w:t>
      </w:r>
      <w:r w:rsidRPr="4CB9577B" w:rsidR="3532F05B">
        <w:rPr>
          <w:rFonts w:ascii="Palatino Linotype" w:hAnsi="Palatino Linotype" w:eastAsia="Aptos" w:cs="Times New Roman"/>
        </w:rPr>
        <w:t xml:space="preserve">will </w:t>
      </w:r>
      <w:r w:rsidRPr="4CB9577B" w:rsidR="00F14DCF">
        <w:rPr>
          <w:rFonts w:ascii="Palatino Linotype" w:hAnsi="Palatino Linotype" w:eastAsia="Aptos" w:cs="Times New Roman"/>
        </w:rPr>
        <w:t xml:space="preserve">also </w:t>
      </w:r>
      <w:r w:rsidRPr="4CB9577B" w:rsidR="3532F05B">
        <w:rPr>
          <w:rFonts w:ascii="Palatino Linotype" w:hAnsi="Palatino Linotype" w:eastAsia="Aptos" w:cs="Times New Roman"/>
        </w:rPr>
        <w:t xml:space="preserve">lead to additional </w:t>
      </w:r>
      <w:r w:rsidRPr="4CB9577B" w:rsidR="008A4C2B">
        <w:rPr>
          <w:rFonts w:ascii="Palatino Linotype" w:hAnsi="Palatino Linotype" w:eastAsia="Aptos" w:cs="Times New Roman"/>
        </w:rPr>
        <w:t xml:space="preserve">annual </w:t>
      </w:r>
      <w:r w:rsidRPr="4CB9577B" w:rsidR="3532F05B">
        <w:rPr>
          <w:rFonts w:ascii="Palatino Linotype" w:hAnsi="Palatino Linotype" w:eastAsia="Aptos" w:cs="Times New Roman"/>
        </w:rPr>
        <w:t>expenses for</w:t>
      </w:r>
      <w:r w:rsidRPr="4CB9577B" w:rsidR="638417E6">
        <w:rPr>
          <w:rFonts w:ascii="Palatino Linotype" w:hAnsi="Palatino Linotype" w:eastAsia="Aptos" w:cs="Times New Roman"/>
        </w:rPr>
        <w:t xml:space="preserve"> </w:t>
      </w:r>
      <w:r w:rsidRPr="4CB9577B" w:rsidR="008A4C2B">
        <w:rPr>
          <w:rFonts w:ascii="Palatino Linotype" w:hAnsi="Palatino Linotype" w:eastAsia="Aptos" w:cs="Times New Roman"/>
        </w:rPr>
        <w:t xml:space="preserve">transmission system </w:t>
      </w:r>
      <w:r w:rsidRPr="4CB9577B" w:rsidR="638417E6">
        <w:rPr>
          <w:rFonts w:ascii="Palatino Linotype" w:hAnsi="Palatino Linotype" w:eastAsia="Aptos" w:cs="Times New Roman"/>
        </w:rPr>
        <w:t>operations</w:t>
      </w:r>
      <w:r w:rsidRPr="4CB9577B" w:rsidR="008A4C2B">
        <w:rPr>
          <w:rFonts w:ascii="Palatino Linotype" w:hAnsi="Palatino Linotype" w:eastAsia="Aptos" w:cs="Times New Roman"/>
        </w:rPr>
        <w:t xml:space="preserve"> and</w:t>
      </w:r>
      <w:r w:rsidRPr="4CB9577B" w:rsidR="638417E6">
        <w:rPr>
          <w:rFonts w:ascii="Palatino Linotype" w:hAnsi="Palatino Linotype" w:eastAsia="Aptos" w:cs="Times New Roman"/>
        </w:rPr>
        <w:t xml:space="preserve"> maintenance</w:t>
      </w:r>
      <w:r w:rsidRPr="4CB9577B" w:rsidR="001523F3">
        <w:rPr>
          <w:rFonts w:ascii="Palatino Linotype" w:hAnsi="Palatino Linotype" w:eastAsia="Aptos" w:cs="Times New Roman"/>
        </w:rPr>
        <w:t>, and STACK as a customer will rely on the broader operations and maintenance of the transmission grid</w:t>
      </w:r>
      <w:r w:rsidRPr="4CB9577B" w:rsidR="638417E6">
        <w:rPr>
          <w:rFonts w:ascii="Palatino Linotype" w:hAnsi="Palatino Linotype" w:eastAsia="Aptos" w:cs="Times New Roman"/>
        </w:rPr>
        <w:t>.</w:t>
      </w:r>
    </w:p>
    <w:p w:rsidR="00A84B80" w:rsidP="005F3B91" w:rsidRDefault="7F2C233A" w14:paraId="7553B5BB" w14:textId="7724D036">
      <w:pPr>
        <w:spacing w:line="240" w:lineRule="auto"/>
        <w:rPr>
          <w:rFonts w:ascii="Palatino Linotype" w:hAnsi="Palatino Linotype" w:eastAsia="Aptos" w:cs="Times New Roman"/>
        </w:rPr>
      </w:pPr>
      <w:r w:rsidRPr="13F3B869">
        <w:rPr>
          <w:rFonts w:ascii="Palatino Linotype" w:hAnsi="Palatino Linotype" w:eastAsia="Aptos" w:cs="Times New Roman"/>
        </w:rPr>
        <w:t>Given all of these factors, t</w:t>
      </w:r>
      <w:r w:rsidRPr="13F3B869" w:rsidR="7B8503D9">
        <w:rPr>
          <w:rFonts w:ascii="Palatino Linotype" w:hAnsi="Palatino Linotype" w:eastAsia="Aptos" w:cs="Times New Roman"/>
        </w:rPr>
        <w:t xml:space="preserve">here should be additional </w:t>
      </w:r>
      <w:r w:rsidRPr="13F3B869" w:rsidR="497DF15D">
        <w:rPr>
          <w:rFonts w:ascii="Palatino Linotype" w:hAnsi="Palatino Linotype" w:eastAsia="Aptos" w:cs="Times New Roman"/>
        </w:rPr>
        <w:t>protections to safeguard</w:t>
      </w:r>
      <w:r w:rsidRPr="13F3B869" w:rsidR="7B8503D9">
        <w:rPr>
          <w:rFonts w:ascii="Palatino Linotype" w:hAnsi="Palatino Linotype" w:eastAsia="Aptos" w:cs="Times New Roman"/>
        </w:rPr>
        <w:t xml:space="preserve"> general ratepayers </w:t>
      </w:r>
      <w:r w:rsidRPr="13F3B869" w:rsidR="497DF15D">
        <w:rPr>
          <w:rFonts w:ascii="Palatino Linotype" w:hAnsi="Palatino Linotype" w:eastAsia="Aptos" w:cs="Times New Roman"/>
        </w:rPr>
        <w:t>from</w:t>
      </w:r>
      <w:r w:rsidRPr="13F3B869" w:rsidR="7B8503D9">
        <w:rPr>
          <w:rFonts w:ascii="Palatino Linotype" w:hAnsi="Palatino Linotype" w:eastAsia="Aptos" w:cs="Times New Roman"/>
        </w:rPr>
        <w:t xml:space="preserve"> assuming the risk of energizing </w:t>
      </w:r>
      <w:r w:rsidRPr="13F3B869">
        <w:rPr>
          <w:rFonts w:ascii="Palatino Linotype" w:hAnsi="Palatino Linotype" w:eastAsia="Aptos" w:cs="Times New Roman"/>
        </w:rPr>
        <w:t>STACK</w:t>
      </w:r>
      <w:r w:rsidRPr="13F3B869" w:rsidR="7B8503D9">
        <w:rPr>
          <w:rFonts w:ascii="Palatino Linotype" w:hAnsi="Palatino Linotype" w:eastAsia="Aptos" w:cs="Times New Roman"/>
        </w:rPr>
        <w:t xml:space="preserve"> and potentially being left with the costs if </w:t>
      </w:r>
      <w:r w:rsidRPr="13F3B869" w:rsidR="37FE7653">
        <w:rPr>
          <w:rFonts w:ascii="Palatino Linotype" w:hAnsi="Palatino Linotype" w:eastAsia="Aptos" w:cs="Times New Roman"/>
        </w:rPr>
        <w:t>STACK</w:t>
      </w:r>
      <w:r w:rsidR="000030A1">
        <w:rPr>
          <w:rFonts w:ascii="Palatino Linotype" w:hAnsi="Palatino Linotype" w:eastAsia="Aptos" w:cs="Times New Roman"/>
        </w:rPr>
        <w:t>’s anticipated load and</w:t>
      </w:r>
      <w:r w:rsidR="000848AD">
        <w:rPr>
          <w:rFonts w:ascii="Palatino Linotype" w:hAnsi="Palatino Linotype" w:eastAsia="Aptos" w:cs="Times New Roman"/>
        </w:rPr>
        <w:t xml:space="preserve"> resulting</w:t>
      </w:r>
      <w:r w:rsidR="000030A1">
        <w:rPr>
          <w:rFonts w:ascii="Palatino Linotype" w:hAnsi="Palatino Linotype" w:eastAsia="Aptos" w:cs="Times New Roman"/>
        </w:rPr>
        <w:t xml:space="preserve"> revenue do</w:t>
      </w:r>
      <w:r w:rsidR="00046853">
        <w:rPr>
          <w:rFonts w:ascii="Palatino Linotype" w:hAnsi="Palatino Linotype" w:eastAsia="Aptos" w:cs="Times New Roman"/>
        </w:rPr>
        <w:t>es</w:t>
      </w:r>
      <w:r w:rsidR="000030A1">
        <w:rPr>
          <w:rFonts w:ascii="Palatino Linotype" w:hAnsi="Palatino Linotype" w:eastAsia="Aptos" w:cs="Times New Roman"/>
        </w:rPr>
        <w:t xml:space="preserve"> not materialize</w:t>
      </w:r>
      <w:r w:rsidRPr="13F3B869" w:rsidR="7B8503D9">
        <w:rPr>
          <w:rFonts w:ascii="Palatino Linotype" w:hAnsi="Palatino Linotype" w:eastAsia="Aptos" w:cs="Times New Roman"/>
        </w:rPr>
        <w:t>.</w:t>
      </w:r>
      <w:r w:rsidRPr="13F3B869" w:rsidR="5EB92EB9">
        <w:rPr>
          <w:rFonts w:ascii="Palatino Linotype" w:hAnsi="Palatino Linotype" w:eastAsia="Aptos" w:cs="Times New Roman"/>
        </w:rPr>
        <w:t xml:space="preserve"> </w:t>
      </w:r>
      <w:r w:rsidR="008E15C4">
        <w:rPr>
          <w:rFonts w:ascii="Palatino Linotype" w:hAnsi="Palatino Linotype" w:eastAsia="Aptos" w:cs="Times New Roman"/>
        </w:rPr>
        <w:t xml:space="preserve">Refunds should be provided only to the extent that actual </w:t>
      </w:r>
      <w:r w:rsidR="00072668">
        <w:rPr>
          <w:rFonts w:ascii="Palatino Linotype" w:hAnsi="Palatino Linotype" w:eastAsia="Aptos" w:cs="Times New Roman"/>
        </w:rPr>
        <w:t>net</w:t>
      </w:r>
      <w:r w:rsidR="008E15C4">
        <w:rPr>
          <w:rFonts w:ascii="Palatino Linotype" w:hAnsi="Palatino Linotype" w:eastAsia="Aptos" w:cs="Times New Roman"/>
        </w:rPr>
        <w:t xml:space="preserve"> revenues </w:t>
      </w:r>
      <w:r w:rsidR="00CF4044">
        <w:rPr>
          <w:rFonts w:ascii="Palatino Linotype" w:hAnsi="Palatino Linotype" w:eastAsia="Aptos" w:cs="Times New Roman"/>
        </w:rPr>
        <w:t xml:space="preserve">cover </w:t>
      </w:r>
      <w:r w:rsidR="002014FD">
        <w:rPr>
          <w:rFonts w:ascii="Palatino Linotype" w:hAnsi="Palatino Linotype" w:eastAsia="Aptos" w:cs="Times New Roman"/>
        </w:rPr>
        <w:t xml:space="preserve">both </w:t>
      </w:r>
      <w:r w:rsidR="00CF4044">
        <w:rPr>
          <w:rFonts w:ascii="Palatino Linotype" w:hAnsi="Palatino Linotype" w:eastAsia="Aptos" w:cs="Times New Roman"/>
        </w:rPr>
        <w:t>the costs of energization</w:t>
      </w:r>
      <w:r w:rsidR="00072668">
        <w:rPr>
          <w:rFonts w:ascii="Palatino Linotype" w:hAnsi="Palatino Linotype" w:eastAsia="Aptos" w:cs="Times New Roman"/>
        </w:rPr>
        <w:t xml:space="preserve"> and other costs of providing electric service</w:t>
      </w:r>
      <w:r w:rsidR="008828F7">
        <w:rPr>
          <w:rFonts w:ascii="Palatino Linotype" w:hAnsi="Palatino Linotype" w:eastAsia="Aptos" w:cs="Times New Roman"/>
        </w:rPr>
        <w:t xml:space="preserve"> normally covered in those net revenues</w:t>
      </w:r>
      <w:r w:rsidR="0045277D">
        <w:rPr>
          <w:rFonts w:ascii="Palatino Linotype" w:hAnsi="Palatino Linotype" w:eastAsia="Aptos" w:cs="Times New Roman"/>
        </w:rPr>
        <w:t xml:space="preserve"> (</w:t>
      </w:r>
      <w:r w:rsidR="001E7B0A">
        <w:rPr>
          <w:rFonts w:ascii="Palatino Linotype" w:hAnsi="Palatino Linotype" w:eastAsia="Aptos" w:cs="Times New Roman"/>
        </w:rPr>
        <w:t xml:space="preserve">i.e., </w:t>
      </w:r>
      <w:r w:rsidR="0045277D">
        <w:rPr>
          <w:rFonts w:ascii="Palatino Linotype" w:hAnsi="Palatino Linotype" w:eastAsia="Aptos" w:cs="Times New Roman"/>
        </w:rPr>
        <w:t>broader grid upgrades and operations and maintenance)</w:t>
      </w:r>
      <w:r w:rsidR="00CF4044">
        <w:rPr>
          <w:rFonts w:ascii="Palatino Linotype" w:hAnsi="Palatino Linotype" w:eastAsia="Aptos" w:cs="Times New Roman"/>
        </w:rPr>
        <w:t xml:space="preserve">. </w:t>
      </w:r>
      <w:r w:rsidR="00072668">
        <w:rPr>
          <w:rFonts w:ascii="Palatino Linotype" w:hAnsi="Palatino Linotype" w:eastAsia="Aptos" w:cs="Times New Roman"/>
        </w:rPr>
        <w:t xml:space="preserve">In other words, </w:t>
      </w:r>
      <w:r w:rsidR="005C2720">
        <w:rPr>
          <w:rFonts w:ascii="Palatino Linotype" w:hAnsi="Palatino Linotype" w:eastAsia="Aptos" w:cs="Times New Roman"/>
        </w:rPr>
        <w:t xml:space="preserve">rather than being fully refunded after one year as a customer, based on </w:t>
      </w:r>
      <w:r w:rsidRPr="005259FB" w:rsidR="005C2720">
        <w:rPr>
          <w:rFonts w:ascii="Palatino Linotype" w:hAnsi="Palatino Linotype" w:eastAsia="Aptos" w:cs="Times New Roman"/>
          <w:i/>
          <w:iCs/>
        </w:rPr>
        <w:t>expected future</w:t>
      </w:r>
      <w:r w:rsidR="005C2720">
        <w:rPr>
          <w:rFonts w:ascii="Palatino Linotype" w:hAnsi="Palatino Linotype" w:eastAsia="Aptos" w:cs="Times New Roman"/>
        </w:rPr>
        <w:t xml:space="preserve"> revenues, </w:t>
      </w:r>
      <w:r w:rsidR="0070176A">
        <w:rPr>
          <w:rFonts w:ascii="Palatino Linotype" w:hAnsi="Palatino Linotype" w:eastAsia="Aptos" w:cs="Times New Roman"/>
        </w:rPr>
        <w:t>STACK</w:t>
      </w:r>
      <w:r w:rsidR="00066CAB">
        <w:rPr>
          <w:rFonts w:ascii="Palatino Linotype" w:hAnsi="Palatino Linotype" w:eastAsia="Aptos" w:cs="Times New Roman"/>
        </w:rPr>
        <w:t xml:space="preserve">’s refund should be provided in parts, annually, based on </w:t>
      </w:r>
      <w:r w:rsidR="00CC5850">
        <w:rPr>
          <w:rFonts w:ascii="Palatino Linotype" w:hAnsi="Palatino Linotype" w:eastAsia="Aptos" w:cs="Times New Roman"/>
        </w:rPr>
        <w:t xml:space="preserve">a percentage of </w:t>
      </w:r>
      <w:r w:rsidR="00066CAB">
        <w:rPr>
          <w:rFonts w:ascii="Palatino Linotype" w:hAnsi="Palatino Linotype" w:eastAsia="Aptos" w:cs="Times New Roman"/>
        </w:rPr>
        <w:t xml:space="preserve">the actual net revenues </w:t>
      </w:r>
      <w:r w:rsidR="007D6160">
        <w:rPr>
          <w:rFonts w:ascii="Palatino Linotype" w:hAnsi="Palatino Linotype" w:eastAsia="Aptos" w:cs="Times New Roman"/>
        </w:rPr>
        <w:t xml:space="preserve">and </w:t>
      </w:r>
      <w:r w:rsidR="004E2E3C">
        <w:rPr>
          <w:rFonts w:ascii="Palatino Linotype" w:hAnsi="Palatino Linotype" w:eastAsia="Aptos" w:cs="Times New Roman"/>
        </w:rPr>
        <w:t>consider</w:t>
      </w:r>
      <w:r w:rsidR="00820D28">
        <w:rPr>
          <w:rFonts w:ascii="Palatino Linotype" w:hAnsi="Palatino Linotype" w:eastAsia="Aptos" w:cs="Times New Roman"/>
        </w:rPr>
        <w:t>ing</w:t>
      </w:r>
      <w:r w:rsidR="007D6160">
        <w:rPr>
          <w:rFonts w:ascii="Palatino Linotype" w:hAnsi="Palatino Linotype" w:eastAsia="Aptos" w:cs="Times New Roman"/>
        </w:rPr>
        <w:t xml:space="preserve"> othe</w:t>
      </w:r>
      <w:r w:rsidR="005E2E3D">
        <w:rPr>
          <w:rFonts w:ascii="Palatino Linotype" w:hAnsi="Palatino Linotype" w:eastAsia="Aptos" w:cs="Times New Roman"/>
        </w:rPr>
        <w:t>r costs normally covered through th</w:t>
      </w:r>
      <w:r w:rsidR="0027127D">
        <w:rPr>
          <w:rFonts w:ascii="Palatino Linotype" w:hAnsi="Palatino Linotype" w:eastAsia="Aptos" w:cs="Times New Roman"/>
        </w:rPr>
        <w:t>ose</w:t>
      </w:r>
      <w:r w:rsidR="004E2E3C">
        <w:rPr>
          <w:rFonts w:ascii="Palatino Linotype" w:hAnsi="Palatino Linotype" w:eastAsia="Aptos" w:cs="Times New Roman"/>
        </w:rPr>
        <w:t xml:space="preserve"> transmission rates</w:t>
      </w:r>
      <w:r w:rsidR="002F4A56">
        <w:rPr>
          <w:rFonts w:ascii="Palatino Linotype" w:hAnsi="Palatino Linotype" w:eastAsia="Aptos" w:cs="Times New Roman"/>
        </w:rPr>
        <w:t>.</w:t>
      </w:r>
      <w:r w:rsidR="002322FF">
        <w:rPr>
          <w:rFonts w:ascii="Palatino Linotype" w:hAnsi="Palatino Linotype" w:eastAsia="Aptos" w:cs="Times New Roman"/>
        </w:rPr>
        <w:t xml:space="preserve"> </w:t>
      </w:r>
      <w:r w:rsidRPr="13F3B869" w:rsidR="7B8503D9">
        <w:rPr>
          <w:rFonts w:ascii="Palatino Linotype" w:hAnsi="Palatino Linotype" w:eastAsia="Aptos" w:cs="Times New Roman"/>
        </w:rPr>
        <w:t xml:space="preserve">Specifically, we find it reasonable to limit </w:t>
      </w:r>
      <w:r w:rsidRPr="13F3B869" w:rsidR="4A8E269F">
        <w:rPr>
          <w:rFonts w:ascii="Palatino Linotype" w:hAnsi="Palatino Linotype" w:eastAsia="Aptos" w:cs="Times New Roman"/>
        </w:rPr>
        <w:t>annual</w:t>
      </w:r>
      <w:r w:rsidRPr="13F3B869" w:rsidR="7B8503D9">
        <w:rPr>
          <w:rFonts w:ascii="Palatino Linotype" w:hAnsi="Palatino Linotype" w:eastAsia="Aptos" w:cs="Times New Roman"/>
        </w:rPr>
        <w:t xml:space="preserve"> refunds </w:t>
      </w:r>
      <w:r w:rsidRPr="13F3B869" w:rsidR="5EB92EB9">
        <w:rPr>
          <w:rFonts w:ascii="Palatino Linotype" w:hAnsi="Palatino Linotype" w:eastAsia="Aptos" w:cs="Times New Roman"/>
        </w:rPr>
        <w:t xml:space="preserve">of the customer </w:t>
      </w:r>
      <w:r w:rsidRPr="13F3B869" w:rsidR="48468E10">
        <w:rPr>
          <w:rFonts w:ascii="Palatino Linotype" w:hAnsi="Palatino Linotype" w:eastAsia="Aptos" w:cs="Times New Roman"/>
        </w:rPr>
        <w:t>advance,</w:t>
      </w:r>
      <w:r w:rsidRPr="13F3B869" w:rsidR="5EB92EB9">
        <w:rPr>
          <w:rFonts w:ascii="Palatino Linotype" w:hAnsi="Palatino Linotype" w:eastAsia="Aptos" w:cs="Times New Roman"/>
        </w:rPr>
        <w:t xml:space="preserve"> </w:t>
      </w:r>
      <w:r w:rsidRPr="13F3B869" w:rsidR="48468E10">
        <w:rPr>
          <w:rFonts w:ascii="Palatino Linotype" w:hAnsi="Palatino Linotype" w:eastAsia="Aptos" w:cs="Times New Roman"/>
        </w:rPr>
        <w:t xml:space="preserve">which </w:t>
      </w:r>
      <w:r w:rsidRPr="13F3B869" w:rsidR="5EB92EB9">
        <w:rPr>
          <w:rFonts w:ascii="Palatino Linotype" w:hAnsi="Palatino Linotype" w:eastAsia="Aptos" w:cs="Times New Roman"/>
        </w:rPr>
        <w:t>cover</w:t>
      </w:r>
      <w:r w:rsidRPr="13F3B869" w:rsidR="48468E10">
        <w:rPr>
          <w:rFonts w:ascii="Palatino Linotype" w:hAnsi="Palatino Linotype" w:eastAsia="Aptos" w:cs="Times New Roman"/>
        </w:rPr>
        <w:t>s</w:t>
      </w:r>
      <w:r w:rsidRPr="13F3B869" w:rsidR="5EB92EB9">
        <w:rPr>
          <w:rFonts w:ascii="Palatino Linotype" w:hAnsi="Palatino Linotype" w:eastAsia="Aptos" w:cs="Times New Roman"/>
        </w:rPr>
        <w:t xml:space="preserve"> the direct costs of</w:t>
      </w:r>
      <w:r w:rsidRPr="13F3B869" w:rsidR="7B8503D9">
        <w:rPr>
          <w:rFonts w:ascii="Palatino Linotype" w:hAnsi="Palatino Linotype" w:eastAsia="Aptos" w:cs="Times New Roman"/>
        </w:rPr>
        <w:t xml:space="preserve"> STACK</w:t>
      </w:r>
      <w:r w:rsidRPr="13F3B869" w:rsidR="5EB92EB9">
        <w:rPr>
          <w:rFonts w:ascii="Palatino Linotype" w:hAnsi="Palatino Linotype" w:eastAsia="Aptos" w:cs="Times New Roman"/>
        </w:rPr>
        <w:t>’s energization</w:t>
      </w:r>
      <w:r w:rsidRPr="13F3B869" w:rsidR="48468E10">
        <w:rPr>
          <w:rFonts w:ascii="Palatino Linotype" w:hAnsi="Palatino Linotype" w:eastAsia="Aptos" w:cs="Times New Roman"/>
        </w:rPr>
        <w:t>,</w:t>
      </w:r>
      <w:r w:rsidRPr="13F3B869" w:rsidR="7B8503D9">
        <w:rPr>
          <w:rFonts w:ascii="Palatino Linotype" w:hAnsi="Palatino Linotype" w:eastAsia="Aptos" w:cs="Times New Roman"/>
        </w:rPr>
        <w:t xml:space="preserve"> to 75 percent of the net revenues PG&amp;E </w:t>
      </w:r>
      <w:r w:rsidR="00B03A8B">
        <w:rPr>
          <w:rFonts w:ascii="Palatino Linotype" w:hAnsi="Palatino Linotype" w:eastAsia="Aptos" w:cs="Times New Roman"/>
        </w:rPr>
        <w:t xml:space="preserve">collects </w:t>
      </w:r>
      <w:r w:rsidRPr="13F3B869" w:rsidR="7B8503D9">
        <w:rPr>
          <w:rFonts w:ascii="Palatino Linotype" w:hAnsi="Palatino Linotype" w:eastAsia="Aptos" w:cs="Times New Roman"/>
        </w:rPr>
        <w:t xml:space="preserve">from </w:t>
      </w:r>
      <w:r w:rsidRPr="13F3B869" w:rsidR="5EB92EB9">
        <w:rPr>
          <w:rFonts w:ascii="Palatino Linotype" w:hAnsi="Palatino Linotype" w:eastAsia="Aptos" w:cs="Times New Roman"/>
        </w:rPr>
        <w:t>the customer</w:t>
      </w:r>
      <w:r w:rsidR="00EB35C1">
        <w:rPr>
          <w:rFonts w:ascii="Palatino Linotype" w:hAnsi="Palatino Linotype" w:eastAsia="Aptos" w:cs="Times New Roman"/>
        </w:rPr>
        <w:t xml:space="preserve"> annually</w:t>
      </w:r>
      <w:r w:rsidR="00643ECA">
        <w:rPr>
          <w:rFonts w:ascii="Palatino Linotype" w:hAnsi="Palatino Linotype" w:eastAsia="Aptos" w:cs="Times New Roman"/>
        </w:rPr>
        <w:t>.</w:t>
      </w:r>
      <w:r w:rsidRPr="13F3B869" w:rsidR="648C207F">
        <w:rPr>
          <w:rFonts w:ascii="Palatino Linotype" w:hAnsi="Palatino Linotype" w:eastAsia="Aptos" w:cs="Times New Roman"/>
        </w:rPr>
        <w:t xml:space="preserve"> </w:t>
      </w:r>
      <w:r w:rsidR="000412F3">
        <w:rPr>
          <w:rFonts w:ascii="Palatino Linotype" w:hAnsi="Palatino Linotype" w:eastAsia="Aptos" w:cs="Times New Roman"/>
        </w:rPr>
        <w:t xml:space="preserve">Not including </w:t>
      </w:r>
      <w:r w:rsidR="00935848">
        <w:rPr>
          <w:rFonts w:ascii="Palatino Linotype" w:hAnsi="Palatino Linotype" w:eastAsia="Aptos" w:cs="Times New Roman"/>
        </w:rPr>
        <w:t xml:space="preserve">a </w:t>
      </w:r>
      <w:r w:rsidR="005429B0">
        <w:rPr>
          <w:rFonts w:ascii="Palatino Linotype" w:hAnsi="Palatino Linotype" w:eastAsia="Aptos" w:cs="Times New Roman"/>
        </w:rPr>
        <w:t xml:space="preserve">portion </w:t>
      </w:r>
      <w:r w:rsidR="00DE4EEB">
        <w:rPr>
          <w:rFonts w:ascii="Palatino Linotype" w:hAnsi="Palatino Linotype" w:eastAsia="Aptos" w:cs="Times New Roman"/>
        </w:rPr>
        <w:t>(</w:t>
      </w:r>
      <w:r w:rsidR="00935848">
        <w:rPr>
          <w:rFonts w:ascii="Palatino Linotype" w:hAnsi="Palatino Linotype" w:eastAsia="Aptos" w:cs="Times New Roman"/>
        </w:rPr>
        <w:t>25</w:t>
      </w:r>
      <w:r w:rsidR="00DE4EEB">
        <w:rPr>
          <w:rFonts w:ascii="Palatino Linotype" w:hAnsi="Palatino Linotype" w:eastAsia="Aptos" w:cs="Times New Roman"/>
        </w:rPr>
        <w:t xml:space="preserve"> percent)</w:t>
      </w:r>
      <w:r w:rsidR="005429B0">
        <w:rPr>
          <w:rFonts w:ascii="Palatino Linotype" w:hAnsi="Palatino Linotype" w:eastAsia="Aptos" w:cs="Times New Roman"/>
        </w:rPr>
        <w:t xml:space="preserve"> of the annual </w:t>
      </w:r>
      <w:r w:rsidR="000412F3">
        <w:rPr>
          <w:rFonts w:ascii="Palatino Linotype" w:hAnsi="Palatino Linotype" w:eastAsia="Aptos" w:cs="Times New Roman"/>
        </w:rPr>
        <w:t xml:space="preserve">net revenues in the </w:t>
      </w:r>
      <w:r w:rsidR="00F12BA9">
        <w:rPr>
          <w:rFonts w:ascii="Palatino Linotype" w:hAnsi="Palatino Linotype" w:eastAsia="Aptos" w:cs="Times New Roman"/>
        </w:rPr>
        <w:t>annual refund</w:t>
      </w:r>
      <w:r w:rsidR="00544572">
        <w:rPr>
          <w:rFonts w:ascii="Palatino Linotype" w:hAnsi="Palatino Linotype" w:eastAsia="Aptos" w:cs="Times New Roman"/>
        </w:rPr>
        <w:t xml:space="preserve"> </w:t>
      </w:r>
      <w:r w:rsidR="005429B0">
        <w:rPr>
          <w:rFonts w:ascii="Palatino Linotype" w:hAnsi="Palatino Linotype" w:eastAsia="Aptos" w:cs="Times New Roman"/>
        </w:rPr>
        <w:t xml:space="preserve">will mean that </w:t>
      </w:r>
      <w:r w:rsidRPr="13F3B869" w:rsidR="648C207F">
        <w:rPr>
          <w:rFonts w:ascii="Palatino Linotype" w:hAnsi="Palatino Linotype" w:eastAsia="Aptos" w:cs="Times New Roman"/>
        </w:rPr>
        <w:t>ST</w:t>
      </w:r>
      <w:r w:rsidRPr="13F3B869" w:rsidR="5833F587">
        <w:rPr>
          <w:rFonts w:ascii="Palatino Linotype" w:hAnsi="Palatino Linotype" w:eastAsia="Aptos" w:cs="Times New Roman"/>
        </w:rPr>
        <w:t xml:space="preserve">ACK </w:t>
      </w:r>
      <w:r w:rsidR="00935848">
        <w:rPr>
          <w:rFonts w:ascii="Palatino Linotype" w:hAnsi="Palatino Linotype" w:eastAsia="Aptos" w:cs="Times New Roman"/>
        </w:rPr>
        <w:t>is</w:t>
      </w:r>
      <w:r w:rsidR="00D007B8">
        <w:rPr>
          <w:rFonts w:ascii="Palatino Linotype" w:hAnsi="Palatino Linotype" w:eastAsia="Aptos" w:cs="Times New Roman"/>
        </w:rPr>
        <w:t xml:space="preserve"> </w:t>
      </w:r>
      <w:r w:rsidRPr="13F3B869" w:rsidR="5833F587">
        <w:rPr>
          <w:rFonts w:ascii="Palatino Linotype" w:hAnsi="Palatino Linotype" w:eastAsia="Aptos" w:cs="Times New Roman"/>
        </w:rPr>
        <w:t xml:space="preserve">refunded </w:t>
      </w:r>
      <w:r w:rsidR="00C04ACD">
        <w:rPr>
          <w:rFonts w:ascii="Palatino Linotype" w:hAnsi="Palatino Linotype" w:eastAsia="Aptos" w:cs="Times New Roman"/>
        </w:rPr>
        <w:t xml:space="preserve">only </w:t>
      </w:r>
      <w:r w:rsidRPr="13F3B869" w:rsidR="5833F587">
        <w:rPr>
          <w:rFonts w:ascii="Palatino Linotype" w:hAnsi="Palatino Linotype" w:eastAsia="Aptos" w:cs="Times New Roman"/>
        </w:rPr>
        <w:t>to the extent that actual net revenues cover the direct costs of STACK’s energization</w:t>
      </w:r>
      <w:r w:rsidR="0094078E">
        <w:rPr>
          <w:rFonts w:ascii="Palatino Linotype" w:hAnsi="Palatino Linotype" w:eastAsia="Aptos" w:cs="Times New Roman"/>
        </w:rPr>
        <w:t xml:space="preserve"> </w:t>
      </w:r>
      <w:r w:rsidRPr="13F3B869" w:rsidR="5833F587">
        <w:rPr>
          <w:rFonts w:ascii="Palatino Linotype" w:hAnsi="Palatino Linotype" w:eastAsia="Aptos" w:cs="Times New Roman"/>
        </w:rPr>
        <w:t xml:space="preserve">and </w:t>
      </w:r>
      <w:r w:rsidR="00777EA5">
        <w:rPr>
          <w:rFonts w:ascii="Palatino Linotype" w:hAnsi="Palatino Linotype" w:eastAsia="Aptos" w:cs="Times New Roman"/>
        </w:rPr>
        <w:t>partly cover</w:t>
      </w:r>
      <w:r w:rsidR="00622656">
        <w:rPr>
          <w:rFonts w:ascii="Palatino Linotype" w:hAnsi="Palatino Linotype" w:eastAsia="Aptos" w:cs="Times New Roman"/>
        </w:rPr>
        <w:t xml:space="preserve"> </w:t>
      </w:r>
      <w:r w:rsidR="0094078E">
        <w:rPr>
          <w:rFonts w:ascii="Palatino Linotype" w:hAnsi="Palatino Linotype" w:eastAsia="Aptos" w:cs="Times New Roman"/>
        </w:rPr>
        <w:t>the</w:t>
      </w:r>
      <w:r w:rsidRPr="13F3B869" w:rsidR="5A86DD54">
        <w:rPr>
          <w:rFonts w:ascii="Palatino Linotype" w:hAnsi="Palatino Linotype" w:eastAsia="Aptos" w:cs="Times New Roman"/>
        </w:rPr>
        <w:t xml:space="preserve"> </w:t>
      </w:r>
      <w:r w:rsidR="003717FC">
        <w:rPr>
          <w:rFonts w:ascii="Palatino Linotype" w:hAnsi="Palatino Linotype" w:eastAsia="Aptos" w:cs="Times New Roman"/>
        </w:rPr>
        <w:t xml:space="preserve">costs of </w:t>
      </w:r>
      <w:r w:rsidR="00B87D02">
        <w:rPr>
          <w:rFonts w:ascii="Palatino Linotype" w:hAnsi="Palatino Linotype" w:eastAsia="Aptos" w:cs="Times New Roman"/>
        </w:rPr>
        <w:t>operation</w:t>
      </w:r>
      <w:r w:rsidR="00604935">
        <w:rPr>
          <w:rFonts w:ascii="Palatino Linotype" w:hAnsi="Palatino Linotype" w:eastAsia="Aptos" w:cs="Times New Roman"/>
        </w:rPr>
        <w:t>,</w:t>
      </w:r>
      <w:r w:rsidR="00B87D02">
        <w:rPr>
          <w:rFonts w:ascii="Palatino Linotype" w:hAnsi="Palatino Linotype" w:eastAsia="Aptos" w:cs="Times New Roman"/>
        </w:rPr>
        <w:t xml:space="preserve"> maintenance</w:t>
      </w:r>
      <w:r w:rsidR="00604935">
        <w:rPr>
          <w:rFonts w:ascii="Palatino Linotype" w:hAnsi="Palatino Linotype" w:eastAsia="Aptos" w:cs="Times New Roman"/>
        </w:rPr>
        <w:t xml:space="preserve">, and </w:t>
      </w:r>
      <w:r w:rsidR="003717FC">
        <w:rPr>
          <w:rFonts w:ascii="Palatino Linotype" w:hAnsi="Palatino Linotype" w:eastAsia="Aptos" w:cs="Times New Roman"/>
        </w:rPr>
        <w:t xml:space="preserve">upgrades </w:t>
      </w:r>
      <w:r w:rsidRPr="13F3B869" w:rsidR="5A86DD54">
        <w:rPr>
          <w:rFonts w:ascii="Palatino Linotype" w:hAnsi="Palatino Linotype" w:eastAsia="Aptos" w:cs="Times New Roman"/>
        </w:rPr>
        <w:t>of the broader transmission grid</w:t>
      </w:r>
      <w:r w:rsidRPr="13F3B869" w:rsidR="5AFBFD7D">
        <w:rPr>
          <w:rFonts w:ascii="Palatino Linotype" w:hAnsi="Palatino Linotype" w:eastAsia="Aptos" w:cs="Times New Roman"/>
        </w:rPr>
        <w:t xml:space="preserve"> that would normally be covered by th</w:t>
      </w:r>
      <w:r w:rsidR="001A0BB2">
        <w:rPr>
          <w:rFonts w:ascii="Palatino Linotype" w:hAnsi="Palatino Linotype" w:eastAsia="Aptos" w:cs="Times New Roman"/>
        </w:rPr>
        <w:t>e transmission component</w:t>
      </w:r>
      <w:r w:rsidR="008D4B83">
        <w:rPr>
          <w:rFonts w:ascii="Palatino Linotype" w:hAnsi="Palatino Linotype" w:eastAsia="Aptos" w:cs="Times New Roman"/>
        </w:rPr>
        <w:t xml:space="preserve"> of customer rates</w:t>
      </w:r>
      <w:r w:rsidRPr="13F3B869" w:rsidR="1F4A9541">
        <w:rPr>
          <w:rFonts w:ascii="Palatino Linotype" w:hAnsi="Palatino Linotype" w:eastAsia="Aptos" w:cs="Times New Roman"/>
        </w:rPr>
        <w:t>.</w:t>
      </w:r>
      <w:r w:rsidRPr="13F3B869" w:rsidR="7B8503D9">
        <w:rPr>
          <w:rFonts w:ascii="Palatino Linotype" w:hAnsi="Palatino Linotype" w:eastAsia="Aptos" w:cs="Times New Roman"/>
        </w:rPr>
        <w:t xml:space="preserve"> </w:t>
      </w:r>
    </w:p>
    <w:p w:rsidR="00EF4D41" w:rsidP="00643ECA" w:rsidRDefault="00F76167" w14:paraId="6DD30E48" w14:textId="7EBAFE2D">
      <w:pPr>
        <w:spacing w:line="240" w:lineRule="auto"/>
        <w:rPr>
          <w:rFonts w:ascii="Palatino Linotype" w:hAnsi="Palatino Linotype" w:eastAsia="Aptos" w:cs="Times New Roman"/>
        </w:rPr>
      </w:pPr>
      <w:r>
        <w:rPr>
          <w:rFonts w:ascii="Palatino Linotype" w:hAnsi="Palatino Linotype" w:eastAsia="Aptos" w:cs="Times New Roman"/>
        </w:rPr>
        <w:t xml:space="preserve">In short, we find it is reasonable for </w:t>
      </w:r>
      <w:r w:rsidR="005F3B91">
        <w:rPr>
          <w:rFonts w:ascii="Palatino Linotype" w:hAnsi="Palatino Linotype" w:eastAsia="Aptos" w:cs="Times New Roman"/>
        </w:rPr>
        <w:t>25</w:t>
      </w:r>
      <w:r w:rsidR="00643ECA">
        <w:rPr>
          <w:rFonts w:ascii="Palatino Linotype" w:hAnsi="Palatino Linotype" w:eastAsia="Aptos" w:cs="Times New Roman"/>
        </w:rPr>
        <w:t xml:space="preserve"> percent of </w:t>
      </w:r>
      <w:r w:rsidR="005F3B91">
        <w:rPr>
          <w:rFonts w:ascii="Palatino Linotype" w:hAnsi="Palatino Linotype" w:eastAsia="Aptos" w:cs="Times New Roman"/>
        </w:rPr>
        <w:t>STACK’s net</w:t>
      </w:r>
      <w:r w:rsidR="00643ECA">
        <w:rPr>
          <w:rFonts w:ascii="Palatino Linotype" w:hAnsi="Palatino Linotype" w:eastAsia="Aptos" w:cs="Times New Roman"/>
        </w:rPr>
        <w:t xml:space="preserve"> revenue </w:t>
      </w:r>
      <w:r>
        <w:rPr>
          <w:rFonts w:ascii="Palatino Linotype" w:hAnsi="Palatino Linotype" w:eastAsia="Aptos" w:cs="Times New Roman"/>
        </w:rPr>
        <w:t xml:space="preserve">to </w:t>
      </w:r>
      <w:r w:rsidR="005F3B91">
        <w:rPr>
          <w:rFonts w:ascii="Palatino Linotype" w:hAnsi="Palatino Linotype" w:eastAsia="Aptos" w:cs="Times New Roman"/>
        </w:rPr>
        <w:t xml:space="preserve">be held </w:t>
      </w:r>
      <w:r>
        <w:rPr>
          <w:rFonts w:ascii="Palatino Linotype" w:hAnsi="Palatino Linotype" w:eastAsia="Aptos" w:cs="Times New Roman"/>
        </w:rPr>
        <w:t xml:space="preserve">back </w:t>
      </w:r>
      <w:r w:rsidR="005F3B91">
        <w:rPr>
          <w:rFonts w:ascii="Palatino Linotype" w:hAnsi="Palatino Linotype" w:eastAsia="Aptos" w:cs="Times New Roman"/>
        </w:rPr>
        <w:t xml:space="preserve">to account for </w:t>
      </w:r>
      <w:r w:rsidR="00643ECA">
        <w:rPr>
          <w:rFonts w:ascii="Palatino Linotype" w:hAnsi="Palatino Linotype" w:eastAsia="Aptos" w:cs="Times New Roman"/>
        </w:rPr>
        <w:t xml:space="preserve">the costs of the transmission network that are not part of the direct energization of the customer, </w:t>
      </w:r>
      <w:r w:rsidRPr="409E471F" w:rsidR="00643ECA">
        <w:rPr>
          <w:rFonts w:ascii="Palatino Linotype" w:hAnsi="Palatino Linotype" w:eastAsia="Aptos" w:cs="Times New Roman"/>
        </w:rPr>
        <w:t>such as</w:t>
      </w:r>
      <w:r w:rsidR="00643ECA">
        <w:rPr>
          <w:rFonts w:ascii="Palatino Linotype" w:hAnsi="Palatino Linotype" w:eastAsia="Aptos" w:cs="Times New Roman"/>
        </w:rPr>
        <w:t xml:space="preserve"> ongoing maintenance and broader grid upgrades.</w:t>
      </w:r>
      <w:r w:rsidR="00F12BA9">
        <w:rPr>
          <w:rFonts w:ascii="Palatino Linotype" w:hAnsi="Palatino Linotype" w:eastAsia="Aptos" w:cs="Times New Roman"/>
        </w:rPr>
        <w:t xml:space="preserve"> This would lead to a slower refund process, but would not </w:t>
      </w:r>
      <w:r w:rsidR="00DC739E">
        <w:rPr>
          <w:rFonts w:ascii="Palatino Linotype" w:hAnsi="Palatino Linotype" w:eastAsia="Aptos" w:cs="Times New Roman"/>
        </w:rPr>
        <w:t>affect</w:t>
      </w:r>
      <w:r w:rsidR="00F12BA9">
        <w:rPr>
          <w:rFonts w:ascii="Palatino Linotype" w:hAnsi="Palatino Linotype" w:eastAsia="Aptos" w:cs="Times New Roman"/>
        </w:rPr>
        <w:t xml:space="preserve"> the total refund amount.</w:t>
      </w:r>
      <w:r w:rsidR="00643ECA">
        <w:rPr>
          <w:rFonts w:ascii="Palatino Linotype" w:hAnsi="Palatino Linotype" w:eastAsia="Aptos" w:cs="Times New Roman"/>
        </w:rPr>
        <w:t xml:space="preserve"> </w:t>
      </w:r>
    </w:p>
    <w:p w:rsidR="008B46B6" w:rsidP="00643ECA" w:rsidRDefault="00EF4D41" w14:paraId="41E34CBF" w14:textId="54B617F6">
      <w:pPr>
        <w:spacing w:line="240" w:lineRule="auto"/>
        <w:rPr>
          <w:rFonts w:ascii="Palatino Linotype" w:hAnsi="Palatino Linotype" w:eastAsia="Aptos" w:cs="Times New Roman"/>
        </w:rPr>
      </w:pPr>
      <w:r>
        <w:rPr>
          <w:rFonts w:ascii="Palatino Linotype" w:hAnsi="Palatino Linotype" w:eastAsia="Aptos" w:cs="Times New Roman"/>
        </w:rPr>
        <w:t>Based on the modified methodology authorized</w:t>
      </w:r>
      <w:r w:rsidR="00F10AB2">
        <w:rPr>
          <w:rFonts w:ascii="Palatino Linotype" w:hAnsi="Palatino Linotype" w:eastAsia="Aptos" w:cs="Times New Roman"/>
        </w:rPr>
        <w:t xml:space="preserve"> here, </w:t>
      </w:r>
      <w:r w:rsidR="00CF66D8">
        <w:rPr>
          <w:rFonts w:ascii="Palatino Linotype" w:hAnsi="Palatino Linotype" w:eastAsia="Aptos" w:cs="Times New Roman"/>
        </w:rPr>
        <w:t xml:space="preserve">STACK </w:t>
      </w:r>
      <w:r w:rsidR="002534EA">
        <w:rPr>
          <w:rFonts w:ascii="Palatino Linotype" w:hAnsi="Palatino Linotype" w:eastAsia="Aptos" w:cs="Times New Roman"/>
        </w:rPr>
        <w:t xml:space="preserve">will </w:t>
      </w:r>
      <w:r w:rsidR="00CF66D8">
        <w:rPr>
          <w:rFonts w:ascii="Palatino Linotype" w:hAnsi="Palatino Linotype" w:eastAsia="Aptos" w:cs="Times New Roman"/>
        </w:rPr>
        <w:t>still have an opportunity to receive a full refund.</w:t>
      </w:r>
      <w:r w:rsidR="00596DE8">
        <w:rPr>
          <w:rFonts w:ascii="Palatino Linotype" w:hAnsi="Palatino Linotype" w:eastAsia="Aptos" w:cs="Times New Roman"/>
        </w:rPr>
        <w:t xml:space="preserve"> </w:t>
      </w:r>
      <w:r w:rsidR="00C37134">
        <w:rPr>
          <w:rFonts w:ascii="Palatino Linotype" w:hAnsi="Palatino Linotype" w:eastAsia="Aptos" w:cs="Times New Roman"/>
        </w:rPr>
        <w:t xml:space="preserve">PG&amp;E </w:t>
      </w:r>
      <w:r w:rsidR="001E2464">
        <w:rPr>
          <w:rFonts w:ascii="Palatino Linotype" w:hAnsi="Palatino Linotype" w:eastAsia="Aptos" w:cs="Times New Roman"/>
        </w:rPr>
        <w:t xml:space="preserve">should </w:t>
      </w:r>
      <w:r w:rsidR="0086505E">
        <w:rPr>
          <w:rFonts w:ascii="Palatino Linotype" w:hAnsi="Palatino Linotype" w:eastAsia="Aptos" w:cs="Times New Roman"/>
        </w:rPr>
        <w:t xml:space="preserve">refund </w:t>
      </w:r>
      <w:r w:rsidR="001E2464">
        <w:rPr>
          <w:rFonts w:ascii="Palatino Linotype" w:hAnsi="Palatino Linotype" w:eastAsia="Aptos" w:cs="Times New Roman"/>
        </w:rPr>
        <w:t xml:space="preserve">STACK </w:t>
      </w:r>
      <w:r w:rsidR="0086505E">
        <w:rPr>
          <w:rFonts w:ascii="Palatino Linotype" w:hAnsi="Palatino Linotype" w:eastAsia="Aptos" w:cs="Times New Roman"/>
        </w:rPr>
        <w:t xml:space="preserve">75 percent of </w:t>
      </w:r>
      <w:r w:rsidR="001E2464">
        <w:rPr>
          <w:rFonts w:ascii="Palatino Linotype" w:hAnsi="Palatino Linotype" w:eastAsia="Aptos" w:cs="Times New Roman"/>
        </w:rPr>
        <w:t xml:space="preserve">its </w:t>
      </w:r>
      <w:r w:rsidR="0086505E">
        <w:rPr>
          <w:rFonts w:ascii="Palatino Linotype" w:hAnsi="Palatino Linotype" w:eastAsia="Aptos" w:cs="Times New Roman"/>
        </w:rPr>
        <w:t xml:space="preserve">net </w:t>
      </w:r>
      <w:r w:rsidR="003C182D">
        <w:rPr>
          <w:rFonts w:ascii="Palatino Linotype" w:hAnsi="Palatino Linotype" w:eastAsia="Aptos" w:cs="Times New Roman"/>
        </w:rPr>
        <w:t xml:space="preserve">annual </w:t>
      </w:r>
      <w:r w:rsidR="0086505E">
        <w:rPr>
          <w:rFonts w:ascii="Palatino Linotype" w:hAnsi="Palatino Linotype" w:eastAsia="Aptos" w:cs="Times New Roman"/>
        </w:rPr>
        <w:t xml:space="preserve">revenues each year until the full </w:t>
      </w:r>
      <w:r w:rsidR="002C4E55">
        <w:rPr>
          <w:rFonts w:ascii="Palatino Linotype" w:hAnsi="Palatino Linotype" w:eastAsia="Aptos" w:cs="Times New Roman"/>
        </w:rPr>
        <w:t>refund amount is reached or until 10 years have passed</w:t>
      </w:r>
      <w:r w:rsidR="009E3399">
        <w:rPr>
          <w:rFonts w:ascii="Palatino Linotype" w:hAnsi="Palatino Linotype" w:eastAsia="Aptos" w:cs="Times New Roman"/>
        </w:rPr>
        <w:t xml:space="preserve">, at which point the remaining refund </w:t>
      </w:r>
      <w:r w:rsidR="00164F16">
        <w:rPr>
          <w:rFonts w:ascii="Palatino Linotype" w:hAnsi="Palatino Linotype" w:eastAsia="Aptos" w:cs="Times New Roman"/>
        </w:rPr>
        <w:t>shall</w:t>
      </w:r>
      <w:r w:rsidR="001E2464">
        <w:rPr>
          <w:rFonts w:ascii="Palatino Linotype" w:hAnsi="Palatino Linotype" w:eastAsia="Aptos" w:cs="Times New Roman"/>
        </w:rPr>
        <w:t xml:space="preserve"> </w:t>
      </w:r>
      <w:r w:rsidR="009E3399">
        <w:rPr>
          <w:rFonts w:ascii="Palatino Linotype" w:hAnsi="Palatino Linotype" w:eastAsia="Aptos" w:cs="Times New Roman"/>
        </w:rPr>
        <w:t xml:space="preserve">be </w:t>
      </w:r>
      <w:r w:rsidR="001E2464">
        <w:rPr>
          <w:rFonts w:ascii="Palatino Linotype" w:hAnsi="Palatino Linotype" w:eastAsia="Aptos" w:cs="Times New Roman"/>
        </w:rPr>
        <w:t>forfeited</w:t>
      </w:r>
      <w:r w:rsidR="002C4E55">
        <w:rPr>
          <w:rFonts w:ascii="Palatino Linotype" w:hAnsi="Palatino Linotype" w:eastAsia="Aptos" w:cs="Times New Roman"/>
        </w:rPr>
        <w:t xml:space="preserve">. </w:t>
      </w:r>
      <w:r w:rsidR="00FD0087">
        <w:rPr>
          <w:rFonts w:ascii="Palatino Linotype" w:hAnsi="Palatino Linotype" w:eastAsia="Aptos" w:cs="Times New Roman"/>
        </w:rPr>
        <w:t>PG&amp;E should still use other components from the standard Rule 15 process and BARC methodology to calculate the refund due to STACK. For example, i</w:t>
      </w:r>
      <w:r w:rsidR="002C4E55">
        <w:rPr>
          <w:rFonts w:ascii="Palatino Linotype" w:hAnsi="Palatino Linotype" w:eastAsia="Aptos" w:cs="Times New Roman"/>
        </w:rPr>
        <w:t xml:space="preserve">f </w:t>
      </w:r>
      <w:r w:rsidR="001E2464">
        <w:rPr>
          <w:rFonts w:ascii="Palatino Linotype" w:hAnsi="Palatino Linotype" w:eastAsia="Aptos" w:cs="Times New Roman"/>
        </w:rPr>
        <w:t>STACK’s</w:t>
      </w:r>
      <w:r w:rsidR="002C4E55">
        <w:rPr>
          <w:rFonts w:ascii="Palatino Linotype" w:hAnsi="Palatino Linotype" w:eastAsia="Aptos" w:cs="Times New Roman"/>
        </w:rPr>
        <w:t xml:space="preserve"> load decreases such that the </w:t>
      </w:r>
      <w:r w:rsidR="006E46E2">
        <w:rPr>
          <w:rFonts w:ascii="Palatino Linotype" w:hAnsi="Palatino Linotype" w:eastAsia="Aptos" w:cs="Times New Roman"/>
        </w:rPr>
        <w:t xml:space="preserve">standard </w:t>
      </w:r>
      <w:r w:rsidR="002C4E55">
        <w:rPr>
          <w:rFonts w:ascii="Palatino Linotype" w:hAnsi="Palatino Linotype" w:eastAsia="Aptos" w:cs="Times New Roman"/>
        </w:rPr>
        <w:t xml:space="preserve">BARC </w:t>
      </w:r>
      <w:r w:rsidR="00DA2DEE">
        <w:rPr>
          <w:rFonts w:ascii="Palatino Linotype" w:hAnsi="Palatino Linotype" w:eastAsia="Aptos" w:cs="Times New Roman"/>
        </w:rPr>
        <w:t xml:space="preserve">Formula amount </w:t>
      </w:r>
      <w:r w:rsidR="0037424C">
        <w:rPr>
          <w:rFonts w:ascii="Palatino Linotype" w:hAnsi="Palatino Linotype" w:eastAsia="Aptos" w:cs="Times New Roman"/>
        </w:rPr>
        <w:t>falls below the amount already refunded</w:t>
      </w:r>
      <w:r w:rsidR="006E46E2">
        <w:rPr>
          <w:rFonts w:ascii="Palatino Linotype" w:hAnsi="Palatino Linotype" w:eastAsia="Aptos" w:cs="Times New Roman"/>
        </w:rPr>
        <w:t xml:space="preserve">, no </w:t>
      </w:r>
      <w:r w:rsidR="006E46E2">
        <w:rPr>
          <w:rFonts w:ascii="Palatino Linotype" w:hAnsi="Palatino Linotype" w:eastAsia="Aptos" w:cs="Times New Roman"/>
        </w:rPr>
        <w:lastRenderedPageBreak/>
        <w:t>further refund should be provided</w:t>
      </w:r>
      <w:r w:rsidR="001373FD">
        <w:rPr>
          <w:rFonts w:ascii="Palatino Linotype" w:hAnsi="Palatino Linotype" w:eastAsia="Aptos" w:cs="Times New Roman"/>
        </w:rPr>
        <w:t xml:space="preserve"> that year</w:t>
      </w:r>
      <w:r w:rsidR="006E46E2">
        <w:rPr>
          <w:rFonts w:ascii="Palatino Linotype" w:hAnsi="Palatino Linotype" w:eastAsia="Aptos" w:cs="Times New Roman"/>
        </w:rPr>
        <w:t xml:space="preserve">. </w:t>
      </w:r>
      <w:r w:rsidR="00217A26">
        <w:rPr>
          <w:rFonts w:ascii="Palatino Linotype" w:hAnsi="Palatino Linotype" w:eastAsia="Aptos" w:cs="Times New Roman"/>
        </w:rPr>
        <w:t>Based on expected operations</w:t>
      </w:r>
      <w:r w:rsidR="00041E7E">
        <w:rPr>
          <w:rFonts w:ascii="Palatino Linotype" w:hAnsi="Palatino Linotype" w:eastAsia="Aptos" w:cs="Times New Roman"/>
        </w:rPr>
        <w:t>,</w:t>
      </w:r>
      <w:r w:rsidR="00217A26">
        <w:rPr>
          <w:rFonts w:ascii="Palatino Linotype" w:hAnsi="Palatino Linotype" w:eastAsia="Aptos" w:cs="Times New Roman"/>
        </w:rPr>
        <w:t xml:space="preserve"> STACK</w:t>
      </w:r>
      <w:r w:rsidR="001E2464">
        <w:rPr>
          <w:rFonts w:ascii="Palatino Linotype" w:hAnsi="Palatino Linotype" w:eastAsia="Aptos" w:cs="Times New Roman"/>
        </w:rPr>
        <w:t xml:space="preserve"> should </w:t>
      </w:r>
      <w:r w:rsidR="00217A26">
        <w:rPr>
          <w:rFonts w:ascii="Palatino Linotype" w:hAnsi="Palatino Linotype" w:eastAsia="Aptos" w:cs="Times New Roman"/>
        </w:rPr>
        <w:t>receive a full</w:t>
      </w:r>
      <w:r w:rsidR="001E2464">
        <w:rPr>
          <w:rFonts w:ascii="Palatino Linotype" w:hAnsi="Palatino Linotype" w:eastAsia="Aptos" w:cs="Times New Roman"/>
        </w:rPr>
        <w:t xml:space="preserve"> refund </w:t>
      </w:r>
      <w:r w:rsidR="00217A26">
        <w:rPr>
          <w:rFonts w:ascii="Palatino Linotype" w:hAnsi="Palatino Linotype" w:eastAsia="Aptos" w:cs="Times New Roman"/>
        </w:rPr>
        <w:t xml:space="preserve">in about 6 years.  </w:t>
      </w:r>
    </w:p>
    <w:p w:rsidR="00533C29" w:rsidP="00643ECA" w:rsidRDefault="00AB70BC" w14:paraId="1883424F" w14:textId="615FFA85">
      <w:pPr>
        <w:spacing w:line="240" w:lineRule="auto"/>
        <w:rPr>
          <w:rFonts w:ascii="Palatino Linotype" w:hAnsi="Palatino Linotype" w:eastAsia="Aptos" w:cs="Times New Roman"/>
        </w:rPr>
      </w:pPr>
      <w:r>
        <w:rPr>
          <w:rFonts w:ascii="Palatino Linotype" w:hAnsi="Palatino Linotype" w:eastAsia="Aptos" w:cs="Times New Roman"/>
        </w:rPr>
        <w:t>We make one additional modification to the standard BARC process</w:t>
      </w:r>
      <w:r w:rsidR="001543B9">
        <w:rPr>
          <w:rFonts w:ascii="Palatino Linotype" w:hAnsi="Palatino Linotype" w:eastAsia="Aptos" w:cs="Times New Roman"/>
        </w:rPr>
        <w:t xml:space="preserve"> here</w:t>
      </w:r>
      <w:r w:rsidR="00025AC6">
        <w:rPr>
          <w:rFonts w:ascii="Palatino Linotype" w:hAnsi="Palatino Linotype" w:eastAsia="Aptos" w:cs="Times New Roman"/>
        </w:rPr>
        <w:t>. Under the standard process, if</w:t>
      </w:r>
      <w:r w:rsidR="001627A4">
        <w:rPr>
          <w:rFonts w:ascii="Palatino Linotype" w:hAnsi="Palatino Linotype" w:eastAsia="Aptos" w:cs="Times New Roman"/>
        </w:rPr>
        <w:t xml:space="preserve"> a customer</w:t>
      </w:r>
      <w:r w:rsidR="00533C29">
        <w:rPr>
          <w:rFonts w:ascii="Palatino Linotype" w:hAnsi="Palatino Linotype" w:eastAsia="Aptos" w:cs="Times New Roman"/>
        </w:rPr>
        <w:t>’</w:t>
      </w:r>
      <w:r w:rsidR="001627A4">
        <w:rPr>
          <w:rFonts w:ascii="Palatino Linotype" w:hAnsi="Palatino Linotype" w:eastAsia="Aptos" w:cs="Times New Roman"/>
        </w:rPr>
        <w:t xml:space="preserve">s expected future net revenues are not enough to justify </w:t>
      </w:r>
      <w:r w:rsidR="009418F3">
        <w:rPr>
          <w:rFonts w:ascii="Palatino Linotype" w:hAnsi="Palatino Linotype" w:eastAsia="Aptos" w:cs="Times New Roman"/>
        </w:rPr>
        <w:t xml:space="preserve">the costs of </w:t>
      </w:r>
      <w:r w:rsidR="001627A4">
        <w:rPr>
          <w:rFonts w:ascii="Palatino Linotype" w:hAnsi="Palatino Linotype" w:eastAsia="Aptos" w:cs="Times New Roman"/>
        </w:rPr>
        <w:t>their energization</w:t>
      </w:r>
      <w:r w:rsidR="00C37134">
        <w:rPr>
          <w:rFonts w:ascii="Palatino Linotype" w:hAnsi="Palatino Linotype" w:eastAsia="Aptos" w:cs="Times New Roman"/>
        </w:rPr>
        <w:t>,</w:t>
      </w:r>
      <w:r w:rsidR="001627A4">
        <w:rPr>
          <w:rFonts w:ascii="Palatino Linotype" w:hAnsi="Palatino Linotype" w:eastAsia="Aptos" w:cs="Times New Roman"/>
        </w:rPr>
        <w:t xml:space="preserve"> they are charged an additional fee </w:t>
      </w:r>
      <w:r w:rsidR="00533C29">
        <w:rPr>
          <w:rFonts w:ascii="Palatino Linotype" w:hAnsi="Palatino Linotype" w:eastAsia="Aptos" w:cs="Times New Roman"/>
        </w:rPr>
        <w:t>to cover PG&amp;E’s cost of ownership</w:t>
      </w:r>
      <w:r w:rsidR="00374D6F">
        <w:rPr>
          <w:rFonts w:ascii="Palatino Linotype" w:hAnsi="Palatino Linotype" w:eastAsia="Aptos" w:cs="Times New Roman"/>
        </w:rPr>
        <w:t>. In</w:t>
      </w:r>
      <w:r w:rsidR="00181641">
        <w:rPr>
          <w:rFonts w:ascii="Palatino Linotype" w:hAnsi="Palatino Linotype" w:eastAsia="Aptos" w:cs="Times New Roman"/>
        </w:rPr>
        <w:t xml:space="preserve"> light of the modifications we adopt here </w:t>
      </w:r>
      <w:r w:rsidR="00336E0A">
        <w:rPr>
          <w:rFonts w:ascii="Palatino Linotype" w:hAnsi="Palatino Linotype" w:eastAsia="Aptos" w:cs="Times New Roman"/>
        </w:rPr>
        <w:t xml:space="preserve">intentionally </w:t>
      </w:r>
      <w:r w:rsidR="009A1F9D">
        <w:rPr>
          <w:rFonts w:ascii="Palatino Linotype" w:hAnsi="Palatino Linotype" w:eastAsia="Aptos" w:cs="Times New Roman"/>
        </w:rPr>
        <w:t xml:space="preserve">limiting the </w:t>
      </w:r>
      <w:r w:rsidR="00181641">
        <w:rPr>
          <w:rFonts w:ascii="Palatino Linotype" w:hAnsi="Palatino Linotype" w:eastAsia="Aptos" w:cs="Times New Roman"/>
        </w:rPr>
        <w:t xml:space="preserve">annual </w:t>
      </w:r>
      <w:r w:rsidR="009A1F9D">
        <w:rPr>
          <w:rFonts w:ascii="Palatino Linotype" w:hAnsi="Palatino Linotype" w:eastAsia="Aptos" w:cs="Times New Roman"/>
        </w:rPr>
        <w:t>refund amounts</w:t>
      </w:r>
      <w:r w:rsidR="00181641">
        <w:rPr>
          <w:rFonts w:ascii="Palatino Linotype" w:hAnsi="Palatino Linotype" w:eastAsia="Aptos" w:cs="Times New Roman"/>
        </w:rPr>
        <w:t>,</w:t>
      </w:r>
      <w:r w:rsidR="00DE44F8">
        <w:rPr>
          <w:rFonts w:ascii="Palatino Linotype" w:hAnsi="Palatino Linotype" w:eastAsia="Aptos" w:cs="Times New Roman"/>
        </w:rPr>
        <w:t xml:space="preserve"> it is </w:t>
      </w:r>
      <w:r w:rsidR="00181641">
        <w:rPr>
          <w:rFonts w:ascii="Palatino Linotype" w:hAnsi="Palatino Linotype" w:eastAsia="Aptos" w:cs="Times New Roman"/>
        </w:rPr>
        <w:t xml:space="preserve">not necessary to </w:t>
      </w:r>
      <w:r w:rsidR="00E83E5A">
        <w:rPr>
          <w:rFonts w:ascii="Palatino Linotype" w:hAnsi="Palatino Linotype" w:eastAsia="Aptos" w:cs="Times New Roman"/>
        </w:rPr>
        <w:t xml:space="preserve">impose an additional </w:t>
      </w:r>
      <w:r w:rsidR="00DE44F8">
        <w:rPr>
          <w:rFonts w:ascii="Palatino Linotype" w:hAnsi="Palatino Linotype" w:eastAsia="Aptos" w:cs="Times New Roman"/>
        </w:rPr>
        <w:t>customer financed cost of ownership</w:t>
      </w:r>
      <w:r w:rsidR="00266489">
        <w:rPr>
          <w:rFonts w:ascii="Palatino Linotype" w:hAnsi="Palatino Linotype" w:eastAsia="Aptos" w:cs="Times New Roman"/>
        </w:rPr>
        <w:t xml:space="preserve"> on the unrefunded amount</w:t>
      </w:r>
      <w:r w:rsidR="00DE44F8">
        <w:rPr>
          <w:rFonts w:ascii="Palatino Linotype" w:hAnsi="Palatino Linotype" w:eastAsia="Aptos" w:cs="Times New Roman"/>
        </w:rPr>
        <w:t>.</w:t>
      </w:r>
      <w:r w:rsidR="00CF66D8">
        <w:rPr>
          <w:rFonts w:ascii="Palatino Linotype" w:hAnsi="Palatino Linotype" w:eastAsia="Aptos" w:cs="Times New Roman"/>
        </w:rPr>
        <w:t xml:space="preserve"> </w:t>
      </w:r>
      <w:r w:rsidR="009A1F9D">
        <w:rPr>
          <w:rFonts w:ascii="Palatino Linotype" w:hAnsi="Palatino Linotype" w:eastAsia="Aptos" w:cs="Times New Roman"/>
        </w:rPr>
        <w:t xml:space="preserve"> </w:t>
      </w:r>
    </w:p>
    <w:p w:rsidR="00643ECA" w:rsidP="00643ECA" w:rsidRDefault="009F285C" w14:paraId="69C0E5E6" w14:textId="01107263">
      <w:pPr>
        <w:spacing w:line="240" w:lineRule="auto"/>
        <w:rPr>
          <w:rFonts w:ascii="Palatino Linotype" w:hAnsi="Palatino Linotype" w:eastAsia="Aptos" w:cs="Times New Roman"/>
        </w:rPr>
      </w:pPr>
      <w:r>
        <w:rPr>
          <w:rFonts w:ascii="Palatino Linotype" w:hAnsi="Palatino Linotype" w:eastAsia="Aptos" w:cs="Times New Roman"/>
        </w:rPr>
        <w:t xml:space="preserve">Finally, </w:t>
      </w:r>
      <w:r w:rsidR="00B62C17">
        <w:rPr>
          <w:rFonts w:ascii="Palatino Linotype" w:hAnsi="Palatino Linotype" w:eastAsia="Aptos" w:cs="Times New Roman"/>
        </w:rPr>
        <w:t>we order</w:t>
      </w:r>
      <w:r w:rsidR="00643ECA">
        <w:rPr>
          <w:rFonts w:ascii="Palatino Linotype" w:hAnsi="Palatino Linotype" w:eastAsia="Aptos" w:cs="Times New Roman"/>
        </w:rPr>
        <w:t xml:space="preserve"> PG&amp;E to submit a modified agreement with the changes specified herein for approval through a Tier 1 Advice Letter.</w:t>
      </w:r>
    </w:p>
    <w:p w:rsidR="00643ECA" w:rsidP="00643ECA" w:rsidRDefault="00643ECA" w14:paraId="2840A6E3" w14:textId="77777777">
      <w:pPr>
        <w:spacing w:line="240" w:lineRule="auto"/>
        <w:rPr>
          <w:rFonts w:ascii="Palatino Linotype" w:hAnsi="Palatino Linotype" w:eastAsia="Aptos" w:cs="Times New Roman"/>
        </w:rPr>
      </w:pPr>
      <w:r>
        <w:rPr>
          <w:rFonts w:ascii="Palatino Linotype" w:hAnsi="Palatino Linotype" w:eastAsia="Aptos" w:cs="Times New Roman"/>
        </w:rPr>
        <w:t xml:space="preserve">The findings and conclusions in this Resolution should in no way prejudice the ongoing deliberation in the Rule 30 proceeding, A. 24-11-007. This Resolution is a response to </w:t>
      </w:r>
      <w:r w:rsidRPr="409E471F">
        <w:rPr>
          <w:rFonts w:ascii="Palatino Linotype" w:hAnsi="Palatino Linotype" w:eastAsia="Aptos" w:cs="Times New Roman"/>
        </w:rPr>
        <w:t>an</w:t>
      </w:r>
      <w:r>
        <w:rPr>
          <w:rFonts w:ascii="Palatino Linotype" w:hAnsi="Palatino Linotype" w:eastAsia="Aptos" w:cs="Times New Roman"/>
        </w:rPr>
        <w:t xml:space="preserve"> exceptional case filing and should not be considered a binding precedent moving forward.</w:t>
      </w:r>
    </w:p>
    <w:p w:rsidR="001027E6" w:rsidP="00397CD7" w:rsidRDefault="001027E6" w14:paraId="72C049CF" w14:textId="77777777">
      <w:pPr>
        <w:spacing w:after="0" w:line="240" w:lineRule="auto"/>
        <w:rPr>
          <w:rFonts w:ascii="Palatino Linotype" w:hAnsi="Palatino Linotype" w:eastAsia="Aptos" w:cs="Times New Roman"/>
          <w:b/>
          <w:bCs/>
        </w:rPr>
      </w:pPr>
    </w:p>
    <w:p w:rsidR="00D842FD" w:rsidP="00A44A31" w:rsidRDefault="00AF715E" w14:paraId="73BE083F" w14:textId="2C69D294">
      <w:pPr>
        <w:spacing w:line="240" w:lineRule="auto"/>
        <w:rPr>
          <w:rFonts w:ascii="Palatino Linotype" w:hAnsi="Palatino Linotype" w:eastAsia="Aptos" w:cs="Times New Roman"/>
          <w:b/>
          <w:bCs/>
        </w:rPr>
      </w:pPr>
      <w:r>
        <w:rPr>
          <w:rFonts w:ascii="Palatino Linotype" w:hAnsi="Palatino Linotype" w:eastAsia="Aptos" w:cs="Times New Roman"/>
          <w:b/>
          <w:bCs/>
        </w:rPr>
        <w:t>Various other terms and conditions in the agreements were not protested by any party, and are reasonable.</w:t>
      </w:r>
    </w:p>
    <w:p w:rsidR="0085016B" w:rsidP="00A44A31" w:rsidRDefault="00914DCE" w14:paraId="0AC12541" w14:textId="571F9D72">
      <w:pPr>
        <w:spacing w:line="240" w:lineRule="auto"/>
        <w:rPr>
          <w:rFonts w:ascii="Palatino Linotype" w:hAnsi="Palatino Linotype" w:eastAsia="Aptos" w:cs="Times New Roman"/>
        </w:rPr>
      </w:pPr>
      <w:r>
        <w:rPr>
          <w:rFonts w:ascii="Palatino Linotype" w:hAnsi="Palatino Linotype" w:eastAsia="Aptos" w:cs="Times New Roman"/>
        </w:rPr>
        <w:t>No party protes</w:t>
      </w:r>
      <w:r w:rsidR="0089505B">
        <w:rPr>
          <w:rFonts w:ascii="Palatino Linotype" w:hAnsi="Palatino Linotype" w:eastAsia="Aptos" w:cs="Times New Roman"/>
        </w:rPr>
        <w:t>ted</w:t>
      </w:r>
      <w:r w:rsidR="005A0A03">
        <w:rPr>
          <w:rFonts w:ascii="Palatino Linotype" w:hAnsi="Palatino Linotype" w:eastAsia="Aptos" w:cs="Times New Roman"/>
        </w:rPr>
        <w:t xml:space="preserve"> this Advice Letter, or</w:t>
      </w:r>
      <w:r w:rsidR="0089505B">
        <w:rPr>
          <w:rFonts w:ascii="Palatino Linotype" w:hAnsi="Palatino Linotype" w:eastAsia="Aptos" w:cs="Times New Roman"/>
        </w:rPr>
        <w:t xml:space="preserve"> </w:t>
      </w:r>
      <w:r w:rsidR="005D72F3">
        <w:rPr>
          <w:rFonts w:ascii="Palatino Linotype" w:hAnsi="Palatino Linotype" w:eastAsia="Aptos" w:cs="Times New Roman"/>
        </w:rPr>
        <w:t xml:space="preserve">the two agreements </w:t>
      </w:r>
      <w:r w:rsidR="005A0A03">
        <w:rPr>
          <w:rFonts w:ascii="Palatino Linotype" w:hAnsi="Palatino Linotype" w:eastAsia="Aptos" w:cs="Times New Roman"/>
        </w:rPr>
        <w:t xml:space="preserve">included with it. </w:t>
      </w:r>
      <w:r w:rsidR="00D859A9">
        <w:rPr>
          <w:rFonts w:ascii="Palatino Linotype" w:hAnsi="Palatino Linotype" w:eastAsia="Aptos" w:cs="Times New Roman"/>
        </w:rPr>
        <w:t xml:space="preserve">Although we find that the refund process required modification, as discussed above, we otherwise have no issues with the </w:t>
      </w:r>
      <w:r w:rsidR="00EC09B4">
        <w:rPr>
          <w:rFonts w:ascii="Palatino Linotype" w:hAnsi="Palatino Linotype" w:eastAsia="Aptos" w:cs="Times New Roman"/>
        </w:rPr>
        <w:t>various terms and conditions set out in the two agreements.</w:t>
      </w:r>
      <w:r w:rsidR="00F41D37">
        <w:rPr>
          <w:rFonts w:ascii="Palatino Linotype" w:hAnsi="Palatino Linotype" w:eastAsia="Aptos" w:cs="Times New Roman"/>
        </w:rPr>
        <w:t xml:space="preserve"> </w:t>
      </w:r>
      <w:r w:rsidR="00BA4B7D">
        <w:rPr>
          <w:rFonts w:ascii="Palatino Linotype" w:hAnsi="Palatino Linotype" w:eastAsia="Aptos" w:cs="Times New Roman"/>
        </w:rPr>
        <w:t xml:space="preserve">This includes: (1) the use of actual cost payments instead of </w:t>
      </w:r>
      <w:r w:rsidR="00911506">
        <w:rPr>
          <w:rFonts w:ascii="Palatino Linotype" w:hAnsi="Palatino Linotype" w:eastAsia="Aptos" w:cs="Times New Roman"/>
        </w:rPr>
        <w:t>estimated costs, (2) the removal</w:t>
      </w:r>
      <w:r w:rsidR="0085016B">
        <w:rPr>
          <w:rFonts w:ascii="Palatino Linotype" w:hAnsi="Palatino Linotype" w:eastAsia="Aptos" w:cs="Times New Roman"/>
        </w:rPr>
        <w:t xml:space="preserve"> of the fifty percent discount option, and (3) the terms and conditions in the Agreement for Installation or Allocation of Special Facilities.</w:t>
      </w:r>
    </w:p>
    <w:p w:rsidR="000F0CCF" w:rsidP="00397CD7" w:rsidRDefault="000F0CCF" w14:paraId="2583F9ED" w14:textId="77777777">
      <w:pPr>
        <w:spacing w:after="0" w:line="240" w:lineRule="auto"/>
        <w:rPr>
          <w:rFonts w:ascii="Palatino Linotype" w:hAnsi="Palatino Linotype" w:eastAsia="Aptos" w:cs="Times New Roman"/>
        </w:rPr>
      </w:pPr>
    </w:p>
    <w:p w:rsidR="000F0CCF" w:rsidP="00A44A31" w:rsidRDefault="000F0CCF" w14:paraId="51F04AC9" w14:textId="2859A439">
      <w:pPr>
        <w:spacing w:line="240" w:lineRule="auto"/>
        <w:rPr>
          <w:rFonts w:ascii="Palatino Linotype" w:hAnsi="Palatino Linotype" w:eastAsia="Aptos" w:cs="Times New Roman"/>
          <w:b/>
          <w:bCs/>
        </w:rPr>
      </w:pPr>
      <w:r>
        <w:rPr>
          <w:rFonts w:ascii="Palatino Linotype" w:hAnsi="Palatino Linotype" w:eastAsia="Aptos" w:cs="Times New Roman"/>
          <w:b/>
          <w:bCs/>
        </w:rPr>
        <w:t xml:space="preserve">Issues raised by the Joint CCAs are more appropriately addressed in </w:t>
      </w:r>
      <w:r w:rsidR="004C2AFE">
        <w:rPr>
          <w:rFonts w:ascii="Palatino Linotype" w:hAnsi="Palatino Linotype" w:eastAsia="Aptos" w:cs="Times New Roman"/>
          <w:b/>
          <w:bCs/>
        </w:rPr>
        <w:t>other venues</w:t>
      </w:r>
      <w:r w:rsidR="007826D6">
        <w:rPr>
          <w:rFonts w:ascii="Palatino Linotype" w:hAnsi="Palatino Linotype" w:eastAsia="Aptos" w:cs="Times New Roman"/>
          <w:b/>
          <w:bCs/>
        </w:rPr>
        <w:t>.</w:t>
      </w:r>
    </w:p>
    <w:p w:rsidR="007826D6" w:rsidP="00A44A31" w:rsidRDefault="00A35E90" w14:paraId="1A47FF56" w14:textId="09EB2E70">
      <w:pPr>
        <w:spacing w:line="240" w:lineRule="auto"/>
        <w:rPr>
          <w:rFonts w:ascii="Palatino Linotype" w:hAnsi="Palatino Linotype" w:eastAsia="Aptos" w:cs="Times New Roman"/>
        </w:rPr>
      </w:pPr>
      <w:r w:rsidRPr="00A35E90">
        <w:rPr>
          <w:rFonts w:ascii="Palatino Linotype" w:hAnsi="Palatino Linotype" w:eastAsia="Aptos" w:cs="Times New Roman"/>
        </w:rPr>
        <w:t xml:space="preserve">The Commission acknowledges the importance of enhanced coordination and information-sharing between investor-owned utilities (IOUs) and CCAs. However, the Joint CCAs </w:t>
      </w:r>
      <w:r w:rsidRPr="409E471F" w:rsidR="23E00E17">
        <w:rPr>
          <w:rFonts w:ascii="Palatino Linotype" w:hAnsi="Palatino Linotype" w:eastAsia="Aptos" w:cs="Times New Roman"/>
        </w:rPr>
        <w:t>neither</w:t>
      </w:r>
      <w:r w:rsidRPr="00A35E90">
        <w:rPr>
          <w:rFonts w:ascii="Palatino Linotype" w:hAnsi="Palatino Linotype" w:eastAsia="Aptos" w:cs="Times New Roman"/>
        </w:rPr>
        <w:t xml:space="preserve"> oppose the substance of AL 7569-E</w:t>
      </w:r>
      <w:r w:rsidRPr="409E471F" w:rsidR="5E5A2CA4">
        <w:rPr>
          <w:rFonts w:ascii="Palatino Linotype" w:hAnsi="Palatino Linotype" w:eastAsia="Aptos" w:cs="Times New Roman"/>
        </w:rPr>
        <w:t>,</w:t>
      </w:r>
      <w:r w:rsidRPr="00A35E90">
        <w:rPr>
          <w:rFonts w:ascii="Palatino Linotype" w:hAnsi="Palatino Linotype" w:eastAsia="Aptos" w:cs="Times New Roman"/>
        </w:rPr>
        <w:t xml:space="preserve"> </w:t>
      </w:r>
      <w:r w:rsidR="00544AC5">
        <w:rPr>
          <w:rFonts w:ascii="Palatino Linotype" w:hAnsi="Palatino Linotype" w:eastAsia="Aptos" w:cs="Times New Roman"/>
        </w:rPr>
        <w:t>n</w:t>
      </w:r>
      <w:r w:rsidRPr="00A35E90">
        <w:rPr>
          <w:rFonts w:ascii="Palatino Linotype" w:hAnsi="Palatino Linotype" w:eastAsia="Aptos" w:cs="Times New Roman"/>
        </w:rPr>
        <w:t>or request that the Commission modify or reject it. Their concerns relate primarily to broader policy questions regarding access to customer-specific data and system planning forecasts—issues currently being examined in PG&amp;E’s pending Electric Rule 30 application, A.24-11-007.</w:t>
      </w:r>
      <w:r w:rsidR="00544AC5">
        <w:rPr>
          <w:rFonts w:ascii="Palatino Linotype" w:hAnsi="Palatino Linotype" w:eastAsia="Aptos" w:cs="Times New Roman"/>
        </w:rPr>
        <w:t xml:space="preserve"> </w:t>
      </w:r>
      <w:r w:rsidR="004B74E1">
        <w:rPr>
          <w:rFonts w:ascii="Palatino Linotype" w:hAnsi="Palatino Linotype" w:eastAsia="Aptos" w:cs="Times New Roman"/>
        </w:rPr>
        <w:t>This Resolution is not the appropriate venue for addressing these broader issues.</w:t>
      </w:r>
    </w:p>
    <w:p w:rsidRPr="001942D0" w:rsidR="00A76F4A" w:rsidP="00532844" w:rsidRDefault="00A76F4A" w14:paraId="5B774C19" w14:textId="77777777">
      <w:pPr>
        <w:keepNext/>
        <w:spacing w:before="360" w:after="240" w:line="240" w:lineRule="auto"/>
        <w:outlineLvl w:val="0"/>
        <w:rPr>
          <w:rFonts w:ascii="Palatino Linotype" w:hAnsi="Palatino Linotype" w:eastAsia="Palatino Linotype" w:cs="Times New Roman"/>
          <w:b/>
          <w:caps/>
          <w:kern w:val="28"/>
          <w:u w:val="single"/>
          <w14:ligatures w14:val="none"/>
        </w:rPr>
      </w:pPr>
      <w:r w:rsidRPr="001942D0">
        <w:rPr>
          <w:rFonts w:ascii="Palatino Linotype" w:hAnsi="Palatino Linotype" w:eastAsia="Palatino Linotype" w:cs="Times New Roman"/>
          <w:b/>
          <w:caps/>
          <w:kern w:val="28"/>
          <w:u w:val="single"/>
          <w14:ligatures w14:val="none"/>
        </w:rPr>
        <w:lastRenderedPageBreak/>
        <w:t>Comments</w:t>
      </w:r>
    </w:p>
    <w:p w:rsidR="00A76F4A" w:rsidP="001C7001" w:rsidRDefault="00836134" w14:paraId="2ADB9E57" w14:textId="580D7B50">
      <w:pPr>
        <w:keepNext/>
        <w:spacing w:before="120" w:after="240" w:line="240" w:lineRule="auto"/>
        <w:outlineLvl w:val="0"/>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This Resolution was mailed</w:t>
      </w:r>
      <w:r w:rsidR="004422AC">
        <w:rPr>
          <w:rFonts w:ascii="Palatino Linotype" w:hAnsi="Palatino Linotype" w:eastAsia="Palatino Linotype" w:cs="Times New Roman"/>
          <w:kern w:val="0"/>
          <w14:ligatures w14:val="none"/>
        </w:rPr>
        <w:t xml:space="preserve"> on September 25, 2025. Comments were timely filed on or before October 15, 2025 by Cal Advocates, Pacific Gas and Electric (PG&amp;E), and STACK Infrastructure</w:t>
      </w:r>
      <w:r w:rsidR="00391EBC">
        <w:rPr>
          <w:rFonts w:ascii="Palatino Linotype" w:hAnsi="Palatino Linotype" w:eastAsia="Palatino Linotype" w:cs="Times New Roman"/>
          <w:kern w:val="0"/>
          <w14:ligatures w14:val="none"/>
        </w:rPr>
        <w:t xml:space="preserve">, LLC, the </w:t>
      </w:r>
      <w:r w:rsidR="002829B6">
        <w:rPr>
          <w:rFonts w:ascii="Palatino Linotype" w:hAnsi="Palatino Linotype" w:eastAsia="Palatino Linotype" w:cs="Times New Roman"/>
          <w:kern w:val="0"/>
          <w14:ligatures w14:val="none"/>
        </w:rPr>
        <w:t>owner of SVY01PG&amp;E, LLC</w:t>
      </w:r>
      <w:r w:rsidR="006F6E28">
        <w:rPr>
          <w:rFonts w:ascii="Palatino Linotype" w:hAnsi="Palatino Linotype" w:eastAsia="Palatino Linotype" w:cs="Times New Roman"/>
          <w:kern w:val="0"/>
          <w14:ligatures w14:val="none"/>
        </w:rPr>
        <w:t xml:space="preserve">, the entity that </w:t>
      </w:r>
      <w:r w:rsidR="00C01304">
        <w:rPr>
          <w:rFonts w:ascii="Palatino Linotype" w:hAnsi="Palatino Linotype" w:eastAsia="Palatino Linotype" w:cs="Times New Roman"/>
          <w:kern w:val="0"/>
          <w14:ligatures w14:val="none"/>
        </w:rPr>
        <w:t>executed the two agreements under consideration here</w:t>
      </w:r>
      <w:r w:rsidR="004E4851">
        <w:rPr>
          <w:rFonts w:ascii="Palatino Linotype" w:hAnsi="Palatino Linotype" w:eastAsia="Palatino Linotype" w:cs="Times New Roman"/>
          <w:kern w:val="0"/>
          <w14:ligatures w14:val="none"/>
        </w:rPr>
        <w:t xml:space="preserve"> (STACK or STACK Infrastructure)</w:t>
      </w:r>
      <w:r w:rsidR="004422AC">
        <w:rPr>
          <w:rFonts w:ascii="Palatino Linotype" w:hAnsi="Palatino Linotype" w:eastAsia="Palatino Linotype" w:cs="Times New Roman"/>
          <w:kern w:val="0"/>
          <w14:ligatures w14:val="none"/>
        </w:rPr>
        <w:t>.</w:t>
      </w:r>
      <w:r w:rsidR="00357405">
        <w:rPr>
          <w:rFonts w:ascii="Palatino Linotype" w:hAnsi="Palatino Linotype" w:eastAsia="Palatino Linotype" w:cs="Times New Roman"/>
          <w:kern w:val="0"/>
          <w14:ligatures w14:val="none"/>
        </w:rPr>
        <w:t xml:space="preserve"> We discuss </w:t>
      </w:r>
      <w:r w:rsidR="00BD761A">
        <w:rPr>
          <w:rFonts w:ascii="Palatino Linotype" w:hAnsi="Palatino Linotype" w:eastAsia="Palatino Linotype" w:cs="Times New Roman"/>
          <w:kern w:val="0"/>
          <w14:ligatures w14:val="none"/>
        </w:rPr>
        <w:t xml:space="preserve">each of </w:t>
      </w:r>
      <w:r w:rsidR="00357405">
        <w:rPr>
          <w:rFonts w:ascii="Palatino Linotype" w:hAnsi="Palatino Linotype" w:eastAsia="Palatino Linotype" w:cs="Times New Roman"/>
          <w:kern w:val="0"/>
          <w14:ligatures w14:val="none"/>
        </w:rPr>
        <w:t xml:space="preserve">these comments </w:t>
      </w:r>
      <w:r w:rsidR="00324AB6">
        <w:rPr>
          <w:rFonts w:ascii="Palatino Linotype" w:hAnsi="Palatino Linotype" w:eastAsia="Palatino Linotype" w:cs="Times New Roman"/>
          <w:kern w:val="0"/>
          <w14:ligatures w14:val="none"/>
        </w:rPr>
        <w:t xml:space="preserve">in turn </w:t>
      </w:r>
      <w:r w:rsidR="00357405">
        <w:rPr>
          <w:rFonts w:ascii="Palatino Linotype" w:hAnsi="Palatino Linotype" w:eastAsia="Palatino Linotype" w:cs="Times New Roman"/>
          <w:kern w:val="0"/>
          <w14:ligatures w14:val="none"/>
        </w:rPr>
        <w:t>below.</w:t>
      </w:r>
    </w:p>
    <w:p w:rsidRPr="003A5D13" w:rsidR="00CD6D31" w:rsidP="001C7001" w:rsidRDefault="00CD6D31" w14:paraId="17735F25" w14:textId="1A37ECEA">
      <w:pPr>
        <w:keepNext/>
        <w:spacing w:before="120" w:after="240" w:line="240" w:lineRule="auto"/>
        <w:outlineLvl w:val="0"/>
        <w:rPr>
          <w:rFonts w:ascii="Palatino Linotype" w:hAnsi="Palatino Linotype" w:eastAsia="Palatino Linotype" w:cs="Times New Roman"/>
          <w:b/>
          <w:bCs/>
          <w:kern w:val="0"/>
          <w14:ligatures w14:val="none"/>
        </w:rPr>
      </w:pPr>
      <w:r>
        <w:rPr>
          <w:rFonts w:ascii="Palatino Linotype" w:hAnsi="Palatino Linotype" w:eastAsia="Palatino Linotype" w:cs="Times New Roman"/>
          <w:b/>
          <w:bCs/>
          <w:kern w:val="0"/>
          <w14:ligatures w14:val="none"/>
        </w:rPr>
        <w:t>Cal Advocates</w:t>
      </w:r>
    </w:p>
    <w:p w:rsidR="004422AC" w:rsidP="001C7001" w:rsidRDefault="004422AC" w14:paraId="41CBE849" w14:textId="28F19F9D">
      <w:pPr>
        <w:keepNext/>
        <w:spacing w:before="120" w:after="240" w:line="240" w:lineRule="auto"/>
        <w:outlineLvl w:val="0"/>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Cal Advocates supports the modifications proposed in this Resolution</w:t>
      </w:r>
      <w:r w:rsidR="00357405">
        <w:rPr>
          <w:rFonts w:ascii="Palatino Linotype" w:hAnsi="Palatino Linotype" w:eastAsia="Palatino Linotype" w:cs="Times New Roman"/>
          <w:kern w:val="0"/>
          <w14:ligatures w14:val="none"/>
        </w:rPr>
        <w:t xml:space="preserve"> that</w:t>
      </w:r>
      <w:r>
        <w:rPr>
          <w:rFonts w:ascii="Palatino Linotype" w:hAnsi="Palatino Linotype" w:eastAsia="Palatino Linotype" w:cs="Times New Roman"/>
          <w:kern w:val="0"/>
          <w14:ligatures w14:val="none"/>
        </w:rPr>
        <w:t xml:space="preserve"> limit</w:t>
      </w:r>
      <w:r w:rsidR="00357405">
        <w:rPr>
          <w:rFonts w:ascii="Palatino Linotype" w:hAnsi="Palatino Linotype" w:eastAsia="Palatino Linotype" w:cs="Times New Roman"/>
          <w:kern w:val="0"/>
          <w14:ligatures w14:val="none"/>
        </w:rPr>
        <w:t xml:space="preserve"> </w:t>
      </w:r>
      <w:r>
        <w:rPr>
          <w:rFonts w:ascii="Palatino Linotype" w:hAnsi="Palatino Linotype" w:eastAsia="Palatino Linotype" w:cs="Times New Roman"/>
          <w:kern w:val="0"/>
          <w14:ligatures w14:val="none"/>
        </w:rPr>
        <w:t xml:space="preserve">refunds to 75 percent of net revenue from </w:t>
      </w:r>
      <w:r w:rsidR="00EB34D9">
        <w:rPr>
          <w:rFonts w:ascii="Palatino Linotype" w:hAnsi="Palatino Linotype" w:eastAsia="Palatino Linotype" w:cs="Times New Roman"/>
          <w:kern w:val="0"/>
          <w14:ligatures w14:val="none"/>
        </w:rPr>
        <w:t>STACK Infrastructure</w:t>
      </w:r>
      <w:r>
        <w:rPr>
          <w:rFonts w:ascii="Palatino Linotype" w:hAnsi="Palatino Linotype" w:eastAsia="Palatino Linotype" w:cs="Times New Roman"/>
          <w:kern w:val="0"/>
          <w14:ligatures w14:val="none"/>
        </w:rPr>
        <w:t xml:space="preserve">. </w:t>
      </w:r>
      <w:r w:rsidR="00357405">
        <w:rPr>
          <w:rFonts w:ascii="Palatino Linotype" w:hAnsi="Palatino Linotype" w:eastAsia="Palatino Linotype" w:cs="Times New Roman"/>
          <w:kern w:val="0"/>
          <w14:ligatures w14:val="none"/>
        </w:rPr>
        <w:t>Cal Advocates argues that the limitation is reasonable and necessary, and without the modification ratepayers would be subject to unreasonable risks.</w:t>
      </w:r>
      <w:r w:rsidR="00357405">
        <w:rPr>
          <w:rStyle w:val="FootnoteReference"/>
          <w:rFonts w:ascii="Palatino Linotype" w:hAnsi="Palatino Linotype" w:eastAsia="Palatino Linotype" w:cs="Times New Roman"/>
          <w:kern w:val="0"/>
          <w14:ligatures w14:val="none"/>
        </w:rPr>
        <w:footnoteReference w:id="12"/>
      </w:r>
      <w:r w:rsidR="00357405">
        <w:rPr>
          <w:rFonts w:ascii="Palatino Linotype" w:hAnsi="Palatino Linotype" w:eastAsia="Palatino Linotype" w:cs="Times New Roman"/>
          <w:kern w:val="0"/>
          <w14:ligatures w14:val="none"/>
        </w:rPr>
        <w:t xml:space="preserve"> Cal Advocates also notes that the Resolution “rightly concludes that STACK’s large load, high interconnection costs, and uncertain future revenues present unique risks to ratepayers, compared to a typical distribution-level customer, and that these risks justify an alternative to PG&amp;E’s distribution-level refund process.”</w:t>
      </w:r>
      <w:r w:rsidR="00357405">
        <w:rPr>
          <w:rStyle w:val="FootnoteReference"/>
          <w:rFonts w:ascii="Palatino Linotype" w:hAnsi="Palatino Linotype" w:eastAsia="Palatino Linotype" w:cs="Times New Roman"/>
          <w:kern w:val="0"/>
          <w14:ligatures w14:val="none"/>
        </w:rPr>
        <w:footnoteReference w:id="13"/>
      </w:r>
      <w:r w:rsidR="00357405">
        <w:rPr>
          <w:rFonts w:ascii="Palatino Linotype" w:hAnsi="Palatino Linotype" w:eastAsia="Palatino Linotype" w:cs="Times New Roman"/>
          <w:kern w:val="0"/>
          <w14:ligatures w14:val="none"/>
        </w:rPr>
        <w:t xml:space="preserve"> Limiting annual refunds to 75 percent of annual net revenues does not eliminate all potential ratepayer risk, Cal Advocates notes, but it is an effective safeguard against unreasonable cost shifts. </w:t>
      </w:r>
    </w:p>
    <w:p w:rsidR="00357405" w:rsidP="001C7001" w:rsidRDefault="00357405" w14:paraId="1434E604" w14:textId="59380C92">
      <w:pPr>
        <w:keepNext/>
        <w:spacing w:before="120" w:after="240" w:line="240" w:lineRule="auto"/>
        <w:outlineLvl w:val="0"/>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Cal Advocates </w:t>
      </w:r>
      <w:r w:rsidR="00CD6D31">
        <w:rPr>
          <w:rFonts w:ascii="Palatino Linotype" w:hAnsi="Palatino Linotype" w:eastAsia="Palatino Linotype" w:cs="Times New Roman"/>
          <w:kern w:val="0"/>
          <w14:ligatures w14:val="none"/>
        </w:rPr>
        <w:t xml:space="preserve">also </w:t>
      </w:r>
      <w:r>
        <w:rPr>
          <w:rFonts w:ascii="Palatino Linotype" w:hAnsi="Palatino Linotype" w:eastAsia="Palatino Linotype" w:cs="Times New Roman"/>
          <w:kern w:val="0"/>
          <w14:ligatures w14:val="none"/>
        </w:rPr>
        <w:t xml:space="preserve">recommended </w:t>
      </w:r>
      <w:r w:rsidR="00CD6D31">
        <w:rPr>
          <w:rFonts w:ascii="Palatino Linotype" w:hAnsi="Palatino Linotype" w:eastAsia="Palatino Linotype" w:cs="Times New Roman"/>
          <w:kern w:val="0"/>
          <w14:ligatures w14:val="none"/>
        </w:rPr>
        <w:t xml:space="preserve">two clarifications to the Resolution. First, </w:t>
      </w:r>
      <w:r w:rsidR="00255155">
        <w:rPr>
          <w:rFonts w:ascii="Palatino Linotype" w:hAnsi="Palatino Linotype" w:eastAsia="Palatino Linotype" w:cs="Times New Roman"/>
          <w:kern w:val="0"/>
          <w14:ligatures w14:val="none"/>
        </w:rPr>
        <w:t xml:space="preserve">Cal Advocates recommends modifying Ordering Paragraph 3 to explicitly state that the annual refunds be limited to 75 percent of the </w:t>
      </w:r>
      <w:r w:rsidRPr="003A5D13" w:rsidR="00255155">
        <w:rPr>
          <w:rFonts w:ascii="Palatino Linotype" w:hAnsi="Palatino Linotype" w:eastAsia="Palatino Linotype" w:cs="Times New Roman"/>
          <w:i/>
          <w:iCs/>
          <w:kern w:val="0"/>
          <w14:ligatures w14:val="none"/>
        </w:rPr>
        <w:t>annual</w:t>
      </w:r>
      <w:r w:rsidR="00255155">
        <w:rPr>
          <w:rFonts w:ascii="Palatino Linotype" w:hAnsi="Palatino Linotype" w:eastAsia="Palatino Linotype" w:cs="Times New Roman"/>
          <w:kern w:val="0"/>
          <w14:ligatures w14:val="none"/>
        </w:rPr>
        <w:t xml:space="preserve"> net revenue. We accept this clarification as it follows the intent of the Resolution and better corresponds to language already included in the Discussion section above. S</w:t>
      </w:r>
      <w:r w:rsidR="00CD6D31">
        <w:rPr>
          <w:rFonts w:ascii="Palatino Linotype" w:hAnsi="Palatino Linotype" w:eastAsia="Palatino Linotype" w:cs="Times New Roman"/>
          <w:kern w:val="0"/>
          <w14:ligatures w14:val="none"/>
        </w:rPr>
        <w:t>econd</w:t>
      </w:r>
      <w:r w:rsidR="00255155">
        <w:rPr>
          <w:rFonts w:ascii="Palatino Linotype" w:hAnsi="Palatino Linotype" w:eastAsia="Palatino Linotype" w:cs="Times New Roman"/>
          <w:kern w:val="0"/>
          <w14:ligatures w14:val="none"/>
        </w:rPr>
        <w:t>, Cal Advocates asks for clarifications</w:t>
      </w:r>
      <w:r w:rsidR="00CD6D31">
        <w:rPr>
          <w:rFonts w:ascii="Palatino Linotype" w:hAnsi="Palatino Linotype" w:eastAsia="Palatino Linotype" w:cs="Times New Roman"/>
          <w:kern w:val="0"/>
          <w14:ligatures w14:val="none"/>
        </w:rPr>
        <w:t xml:space="preserve"> </w:t>
      </w:r>
      <w:r w:rsidR="00255155">
        <w:rPr>
          <w:rFonts w:ascii="Palatino Linotype" w:hAnsi="Palatino Linotype" w:eastAsia="Palatino Linotype" w:cs="Times New Roman"/>
          <w:kern w:val="0"/>
          <w14:ligatures w14:val="none"/>
        </w:rPr>
        <w:t>of</w:t>
      </w:r>
      <w:r w:rsidR="00CD6D31">
        <w:rPr>
          <w:rFonts w:ascii="Palatino Linotype" w:hAnsi="Palatino Linotype" w:eastAsia="Palatino Linotype" w:cs="Times New Roman"/>
          <w:kern w:val="0"/>
          <w14:ligatures w14:val="none"/>
        </w:rPr>
        <w:t xml:space="preserve"> how the BARC process should be </w:t>
      </w:r>
      <w:r w:rsidR="00255155">
        <w:rPr>
          <w:rFonts w:ascii="Palatino Linotype" w:hAnsi="Palatino Linotype" w:eastAsia="Palatino Linotype" w:cs="Times New Roman"/>
          <w:kern w:val="0"/>
          <w14:ligatures w14:val="none"/>
        </w:rPr>
        <w:t>applied in this case, regarding (1) year-to-year changes in the BARC Formula amount,</w:t>
      </w:r>
      <w:r w:rsidR="00255155">
        <w:rPr>
          <w:rStyle w:val="FootnoteReference"/>
          <w:rFonts w:ascii="Palatino Linotype" w:hAnsi="Palatino Linotype" w:eastAsia="Palatino Linotype" w:cs="Times New Roman"/>
          <w:kern w:val="0"/>
          <w14:ligatures w14:val="none"/>
        </w:rPr>
        <w:footnoteReference w:id="14"/>
      </w:r>
      <w:r w:rsidR="00255155">
        <w:rPr>
          <w:rFonts w:ascii="Palatino Linotype" w:hAnsi="Palatino Linotype" w:eastAsia="Palatino Linotype" w:cs="Times New Roman"/>
          <w:kern w:val="0"/>
          <w14:ligatures w14:val="none"/>
        </w:rPr>
        <w:t xml:space="preserve"> and (2) changes in transmission rates paid by the customer. </w:t>
      </w:r>
      <w:r w:rsidR="00545FCD">
        <w:rPr>
          <w:rFonts w:ascii="Palatino Linotype" w:hAnsi="Palatino Linotype" w:eastAsia="Palatino Linotype" w:cs="Times New Roman"/>
          <w:kern w:val="0"/>
          <w14:ligatures w14:val="none"/>
        </w:rPr>
        <w:t xml:space="preserve">As noted above, the BARC Formula amount corresponds to the total amount of capital costs determined to be justified through the BARC methodology, based on the assumption that the current net revenues from a customer will continue indefinitely into the future. </w:t>
      </w:r>
      <w:r w:rsidR="0060425F">
        <w:rPr>
          <w:rFonts w:ascii="Palatino Linotype" w:hAnsi="Palatino Linotype" w:eastAsia="Palatino Linotype" w:cs="Times New Roman"/>
          <w:kern w:val="0"/>
          <w14:ligatures w14:val="none"/>
        </w:rPr>
        <w:t>As any customer ramps up to their full load, the BARC Formula amount will increase, corresponding to increases in yearly net revenues. After the full load is reached, the BARC Formula amount should remain relatively consistent. While the total BARC Formula amount corresponds to total justified capital expenditures, y</w:t>
      </w:r>
      <w:r w:rsidR="00545FCD">
        <w:rPr>
          <w:rFonts w:ascii="Palatino Linotype" w:hAnsi="Palatino Linotype" w:eastAsia="Palatino Linotype" w:cs="Times New Roman"/>
          <w:kern w:val="0"/>
          <w14:ligatures w14:val="none"/>
        </w:rPr>
        <w:t>ear-to-year c</w:t>
      </w:r>
      <w:r w:rsidR="0060425F">
        <w:rPr>
          <w:rFonts w:ascii="Palatino Linotype" w:hAnsi="Palatino Linotype" w:eastAsia="Palatino Linotype" w:cs="Times New Roman"/>
          <w:kern w:val="0"/>
          <w14:ligatures w14:val="none"/>
        </w:rPr>
        <w:t xml:space="preserve">hanges in the BARC Formula amount do </w:t>
      </w:r>
      <w:r w:rsidR="0060425F">
        <w:rPr>
          <w:rFonts w:ascii="Palatino Linotype" w:hAnsi="Palatino Linotype" w:eastAsia="Palatino Linotype" w:cs="Times New Roman"/>
          <w:kern w:val="0"/>
          <w14:ligatures w14:val="none"/>
        </w:rPr>
        <w:lastRenderedPageBreak/>
        <w:t xml:space="preserve">not. As such, year-to-year changes in the BARC Formula amount should not be used to further limit or effect annual refunds. Changes in the transmission rates paid by STACK </w:t>
      </w:r>
      <w:r w:rsidR="00EB34D9">
        <w:rPr>
          <w:rFonts w:ascii="Palatino Linotype" w:hAnsi="Palatino Linotype" w:eastAsia="Palatino Linotype" w:cs="Times New Roman"/>
          <w:kern w:val="0"/>
          <w14:ligatures w14:val="none"/>
        </w:rPr>
        <w:t>I</w:t>
      </w:r>
      <w:r w:rsidR="0060425F">
        <w:rPr>
          <w:rFonts w:ascii="Palatino Linotype" w:hAnsi="Palatino Linotype" w:eastAsia="Palatino Linotype" w:cs="Times New Roman"/>
          <w:kern w:val="0"/>
          <w14:ligatures w14:val="none"/>
        </w:rPr>
        <w:t>nfrastructure</w:t>
      </w:r>
      <w:r w:rsidR="00EB34D9">
        <w:rPr>
          <w:rFonts w:ascii="Palatino Linotype" w:hAnsi="Palatino Linotype" w:eastAsia="Palatino Linotype" w:cs="Times New Roman"/>
          <w:kern w:val="0"/>
          <w14:ligatures w14:val="none"/>
        </w:rPr>
        <w:t xml:space="preserve">, on the other hand, </w:t>
      </w:r>
      <w:r w:rsidR="0060425F">
        <w:rPr>
          <w:rFonts w:ascii="Palatino Linotype" w:hAnsi="Palatino Linotype" w:eastAsia="Palatino Linotype" w:cs="Times New Roman"/>
          <w:kern w:val="0"/>
          <w14:ligatures w14:val="none"/>
        </w:rPr>
        <w:t xml:space="preserve">would </w:t>
      </w:r>
      <w:r w:rsidR="00EB34D9">
        <w:rPr>
          <w:rFonts w:ascii="Palatino Linotype" w:hAnsi="Palatino Linotype" w:eastAsia="Palatino Linotype" w:cs="Times New Roman"/>
          <w:kern w:val="0"/>
          <w14:ligatures w14:val="none"/>
        </w:rPr>
        <w:t>affect net revenues, and would thus be accounted for in the modified BARC process proposed in this Resolution. If a customer pays more in net revenues, it is reasonable that they would see a faster refund. We see no reason to further limit refunds to be based on the transmission rate effective at the time of approval</w:t>
      </w:r>
      <w:r w:rsidR="00BD761A">
        <w:rPr>
          <w:rFonts w:ascii="Palatino Linotype" w:hAnsi="Palatino Linotype" w:eastAsia="Palatino Linotype" w:cs="Times New Roman"/>
          <w:kern w:val="0"/>
          <w14:ligatures w14:val="none"/>
        </w:rPr>
        <w:t>, as suggested by Cal Advocates</w:t>
      </w:r>
      <w:r w:rsidR="00EB34D9">
        <w:rPr>
          <w:rFonts w:ascii="Palatino Linotype" w:hAnsi="Palatino Linotype" w:eastAsia="Palatino Linotype" w:cs="Times New Roman"/>
          <w:kern w:val="0"/>
          <w14:ligatures w14:val="none"/>
        </w:rPr>
        <w:t>.</w:t>
      </w:r>
      <w:r w:rsidR="00AA6632">
        <w:rPr>
          <w:rFonts w:ascii="Palatino Linotype" w:hAnsi="Palatino Linotype" w:eastAsia="Palatino Linotype" w:cs="Times New Roman"/>
          <w:kern w:val="0"/>
          <w14:ligatures w14:val="none"/>
        </w:rPr>
        <w:t xml:space="preserve"> </w:t>
      </w:r>
      <w:r w:rsidR="00324AB6">
        <w:rPr>
          <w:rFonts w:ascii="Palatino Linotype" w:hAnsi="Palatino Linotype" w:eastAsia="Palatino Linotype" w:cs="Times New Roman"/>
          <w:kern w:val="0"/>
          <w14:ligatures w14:val="none"/>
        </w:rPr>
        <w:t>Neither of these clarifications require any changes to the Resolution, as originally drafted.</w:t>
      </w:r>
    </w:p>
    <w:p w:rsidR="00357405" w:rsidP="00B41E79" w:rsidRDefault="00EB34D9" w14:paraId="65BAF8E1" w14:textId="755C323F">
      <w:pPr>
        <w:keepNext/>
        <w:spacing w:before="120" w:after="240" w:line="240" w:lineRule="auto"/>
        <w:outlineLvl w:val="0"/>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Cal Advocates </w:t>
      </w:r>
      <w:r w:rsidR="00BD761A">
        <w:rPr>
          <w:rFonts w:ascii="Palatino Linotype" w:hAnsi="Palatino Linotype" w:eastAsia="Palatino Linotype" w:cs="Times New Roman"/>
          <w:kern w:val="0"/>
          <w14:ligatures w14:val="none"/>
        </w:rPr>
        <w:t xml:space="preserve">also raises the issue of the broader transmission system costs related to connecting STACK Infrastructure to the transmission grid. Specifically, Cal Advocates </w:t>
      </w:r>
      <w:r>
        <w:rPr>
          <w:rFonts w:ascii="Palatino Linotype" w:hAnsi="Palatino Linotype" w:eastAsia="Palatino Linotype" w:cs="Times New Roman"/>
          <w:kern w:val="0"/>
          <w14:ligatures w14:val="none"/>
        </w:rPr>
        <w:t>asks that the Resolution more explicitly specify the cost of upgrades to the broader transmission network</w:t>
      </w:r>
      <w:r w:rsidR="00B41E79">
        <w:rPr>
          <w:rFonts w:ascii="Palatino Linotype" w:hAnsi="Palatino Linotype" w:eastAsia="Palatino Linotype" w:cs="Times New Roman"/>
          <w:kern w:val="0"/>
          <w14:ligatures w14:val="none"/>
        </w:rPr>
        <w:t>, noting</w:t>
      </w:r>
      <w:r>
        <w:rPr>
          <w:rFonts w:ascii="Palatino Linotype" w:hAnsi="Palatino Linotype" w:eastAsia="Palatino Linotype" w:cs="Times New Roman"/>
          <w:kern w:val="0"/>
          <w14:ligatures w14:val="none"/>
        </w:rPr>
        <w:t xml:space="preserve"> that </w:t>
      </w:r>
      <w:r w:rsidR="00324AB6">
        <w:rPr>
          <w:rFonts w:ascii="Palatino Linotype" w:hAnsi="Palatino Linotype" w:eastAsia="Palatino Linotype" w:cs="Times New Roman"/>
          <w:kern w:val="0"/>
          <w14:ligatures w14:val="none"/>
        </w:rPr>
        <w:t xml:space="preserve">these </w:t>
      </w:r>
      <w:r>
        <w:rPr>
          <w:rFonts w:ascii="Palatino Linotype" w:hAnsi="Palatino Linotype" w:eastAsia="Palatino Linotype" w:cs="Times New Roman"/>
          <w:kern w:val="0"/>
          <w14:ligatures w14:val="none"/>
        </w:rPr>
        <w:t>upgrades often total tens or hundreds of millions of dollars</w:t>
      </w:r>
      <w:r w:rsidR="00B41E79">
        <w:rPr>
          <w:rFonts w:ascii="Palatino Linotype" w:hAnsi="Palatino Linotype" w:eastAsia="Palatino Linotype" w:cs="Times New Roman"/>
          <w:kern w:val="0"/>
          <w14:ligatures w14:val="none"/>
        </w:rPr>
        <w:t xml:space="preserve"> and </w:t>
      </w:r>
      <w:r>
        <w:rPr>
          <w:rFonts w:ascii="Palatino Linotype" w:hAnsi="Palatino Linotype" w:eastAsia="Palatino Linotype" w:cs="Times New Roman"/>
          <w:kern w:val="0"/>
          <w14:ligatures w14:val="none"/>
        </w:rPr>
        <w:t xml:space="preserve">citing to the </w:t>
      </w:r>
      <w:r w:rsidR="00B41E79">
        <w:rPr>
          <w:rFonts w:ascii="Palatino Linotype" w:hAnsi="Palatino Linotype" w:eastAsia="Palatino Linotype" w:cs="Times New Roman"/>
          <w:kern w:val="0"/>
          <w14:ligatures w14:val="none"/>
        </w:rPr>
        <w:t xml:space="preserve">2024-2025 </w:t>
      </w:r>
      <w:r w:rsidRPr="00B41E79" w:rsidR="00B41E79">
        <w:rPr>
          <w:rFonts w:ascii="Palatino Linotype" w:hAnsi="Palatino Linotype" w:eastAsia="Palatino Linotype" w:cs="Times New Roman"/>
          <w:kern w:val="0"/>
          <w14:ligatures w14:val="none"/>
        </w:rPr>
        <w:t>California Independent System Operator (CAISO)</w:t>
      </w:r>
      <w:r w:rsidR="00B41E79">
        <w:rPr>
          <w:rFonts w:ascii="Palatino Linotype" w:hAnsi="Palatino Linotype" w:eastAsia="Palatino Linotype" w:cs="Times New Roman"/>
          <w:kern w:val="0"/>
          <w14:ligatures w14:val="none"/>
        </w:rPr>
        <w:t xml:space="preserve"> Transmission Plan.</w:t>
      </w:r>
      <w:r w:rsidR="00B41E79">
        <w:rPr>
          <w:rStyle w:val="FootnoteReference"/>
          <w:rFonts w:ascii="Palatino Linotype" w:hAnsi="Palatino Linotype" w:eastAsia="Palatino Linotype" w:cs="Times New Roman"/>
          <w:kern w:val="0"/>
          <w14:ligatures w14:val="none"/>
        </w:rPr>
        <w:footnoteReference w:id="15"/>
      </w:r>
      <w:r w:rsidR="00B41E79">
        <w:rPr>
          <w:rFonts w:ascii="Palatino Linotype" w:hAnsi="Palatino Linotype" w:eastAsia="Palatino Linotype" w:cs="Times New Roman"/>
          <w:kern w:val="0"/>
          <w14:ligatures w14:val="none"/>
        </w:rPr>
        <w:t xml:space="preserve"> I</w:t>
      </w:r>
      <w:r w:rsidRPr="00B41E79" w:rsidR="00B41E79">
        <w:rPr>
          <w:rFonts w:ascii="Palatino Linotype" w:hAnsi="Palatino Linotype" w:eastAsia="Palatino Linotype" w:cs="Times New Roman"/>
          <w:kern w:val="0"/>
          <w14:ligatures w14:val="none"/>
        </w:rPr>
        <w:t xml:space="preserve">n the 2024-25 CAISO Transmission Plan, the CAISO determines that the transmission system </w:t>
      </w:r>
      <w:r w:rsidR="00B41E79">
        <w:rPr>
          <w:rFonts w:ascii="Palatino Linotype" w:hAnsi="Palatino Linotype" w:eastAsia="Palatino Linotype" w:cs="Times New Roman"/>
          <w:kern w:val="0"/>
          <w14:ligatures w14:val="none"/>
        </w:rPr>
        <w:t xml:space="preserve">in the South Bay, where customer STACK Infrastructure is seeking energization, </w:t>
      </w:r>
      <w:r w:rsidRPr="00B41E79" w:rsidR="00B41E79">
        <w:rPr>
          <w:rFonts w:ascii="Palatino Linotype" w:hAnsi="Palatino Linotype" w:eastAsia="Palatino Linotype" w:cs="Times New Roman"/>
          <w:kern w:val="0"/>
          <w14:ligatures w14:val="none"/>
        </w:rPr>
        <w:t>requires upgrades due to significant load growth in the region, including data centers.</w:t>
      </w:r>
      <w:r w:rsidR="00B41E79">
        <w:rPr>
          <w:rStyle w:val="FootnoteReference"/>
          <w:rFonts w:ascii="Palatino Linotype" w:hAnsi="Palatino Linotype" w:eastAsia="Palatino Linotype" w:cs="Times New Roman"/>
          <w:kern w:val="0"/>
          <w14:ligatures w14:val="none"/>
        </w:rPr>
        <w:footnoteReference w:id="16"/>
      </w:r>
      <w:r w:rsidRPr="00B41E79" w:rsidR="00B41E79">
        <w:rPr>
          <w:rFonts w:ascii="Palatino Linotype" w:hAnsi="Palatino Linotype" w:eastAsia="Palatino Linotype" w:cs="Times New Roman"/>
          <w:kern w:val="0"/>
          <w14:ligatures w14:val="none"/>
        </w:rPr>
        <w:t xml:space="preserve"> The </w:t>
      </w:r>
      <w:r w:rsidR="00CB3EC0">
        <w:rPr>
          <w:rFonts w:ascii="Palatino Linotype" w:hAnsi="Palatino Linotype" w:eastAsia="Palatino Linotype" w:cs="Times New Roman"/>
          <w:kern w:val="0"/>
          <w14:ligatures w14:val="none"/>
        </w:rPr>
        <w:t xml:space="preserve">plan proposes a </w:t>
      </w:r>
      <w:r w:rsidRPr="00B41E79" w:rsidR="00B41E79">
        <w:rPr>
          <w:rFonts w:ascii="Palatino Linotype" w:hAnsi="Palatino Linotype" w:eastAsia="Palatino Linotype" w:cs="Times New Roman"/>
          <w:kern w:val="0"/>
          <w14:ligatures w14:val="none"/>
        </w:rPr>
        <w:t xml:space="preserve">South Bay Reinforcement Project </w:t>
      </w:r>
      <w:r w:rsidR="00CB3EC0">
        <w:rPr>
          <w:rFonts w:ascii="Palatino Linotype" w:hAnsi="Palatino Linotype" w:eastAsia="Palatino Linotype" w:cs="Times New Roman"/>
          <w:kern w:val="0"/>
          <w14:ligatures w14:val="none"/>
        </w:rPr>
        <w:t>in response to</w:t>
      </w:r>
      <w:r w:rsidR="00B41E79">
        <w:rPr>
          <w:rFonts w:ascii="Palatino Linotype" w:hAnsi="Palatino Linotype" w:eastAsia="Palatino Linotype" w:cs="Times New Roman"/>
          <w:kern w:val="0"/>
          <w14:ligatures w14:val="none"/>
        </w:rPr>
        <w:t xml:space="preserve"> these needs</w:t>
      </w:r>
      <w:r w:rsidR="00CB3EC0">
        <w:rPr>
          <w:rFonts w:ascii="Palatino Linotype" w:hAnsi="Palatino Linotype" w:eastAsia="Palatino Linotype" w:cs="Times New Roman"/>
          <w:kern w:val="0"/>
          <w14:ligatures w14:val="none"/>
        </w:rPr>
        <w:t>, which</w:t>
      </w:r>
      <w:r w:rsidR="00B41E79">
        <w:rPr>
          <w:rFonts w:ascii="Palatino Linotype" w:hAnsi="Palatino Linotype" w:eastAsia="Palatino Linotype" w:cs="Times New Roman"/>
          <w:kern w:val="0"/>
          <w14:ligatures w14:val="none"/>
        </w:rPr>
        <w:t xml:space="preserve"> </w:t>
      </w:r>
      <w:r w:rsidRPr="00B41E79" w:rsidR="00B41E79">
        <w:rPr>
          <w:rFonts w:ascii="Palatino Linotype" w:hAnsi="Palatino Linotype" w:eastAsia="Palatino Linotype" w:cs="Times New Roman"/>
          <w:kern w:val="0"/>
          <w14:ligatures w14:val="none"/>
        </w:rPr>
        <w:t xml:space="preserve">includes multiple upgrades directly linked to the Ringwood substation </w:t>
      </w:r>
      <w:r w:rsidR="00CB3EC0">
        <w:rPr>
          <w:rFonts w:ascii="Palatino Linotype" w:hAnsi="Palatino Linotype" w:eastAsia="Palatino Linotype" w:cs="Times New Roman"/>
          <w:kern w:val="0"/>
          <w14:ligatures w14:val="none"/>
        </w:rPr>
        <w:t>constructed to serve STACK Infrastructure</w:t>
      </w:r>
      <w:r w:rsidRPr="00B41E79" w:rsidR="00B41E79">
        <w:rPr>
          <w:rFonts w:ascii="Palatino Linotype" w:hAnsi="Palatino Linotype" w:eastAsia="Palatino Linotype" w:cs="Times New Roman"/>
          <w:kern w:val="0"/>
          <w14:ligatures w14:val="none"/>
        </w:rPr>
        <w:t xml:space="preserve">, as well as </w:t>
      </w:r>
      <w:r w:rsidR="00CB3EC0">
        <w:rPr>
          <w:rFonts w:ascii="Palatino Linotype" w:hAnsi="Palatino Linotype" w:eastAsia="Palatino Linotype" w:cs="Times New Roman"/>
          <w:kern w:val="0"/>
          <w14:ligatures w14:val="none"/>
        </w:rPr>
        <w:t>broader</w:t>
      </w:r>
      <w:r w:rsidRPr="00B41E79" w:rsidR="00B41E79">
        <w:rPr>
          <w:rFonts w:ascii="Palatino Linotype" w:hAnsi="Palatino Linotype" w:eastAsia="Palatino Linotype" w:cs="Times New Roman"/>
          <w:kern w:val="0"/>
          <w14:ligatures w14:val="none"/>
        </w:rPr>
        <w:t xml:space="preserve"> upgrades in the South Bay region. The entire South Bay Reinforcement Project is estimated to cost $217-434 million.</w:t>
      </w:r>
      <w:r w:rsidR="00CB3EC0">
        <w:rPr>
          <w:rStyle w:val="FootnoteReference"/>
          <w:rFonts w:ascii="Palatino Linotype" w:hAnsi="Palatino Linotype" w:eastAsia="Palatino Linotype" w:cs="Times New Roman"/>
          <w:kern w:val="0"/>
          <w14:ligatures w14:val="none"/>
        </w:rPr>
        <w:footnoteReference w:id="17"/>
      </w:r>
      <w:r w:rsidRPr="00B41E79" w:rsidR="00B41E79">
        <w:rPr>
          <w:rFonts w:ascii="Palatino Linotype" w:hAnsi="Palatino Linotype" w:eastAsia="Palatino Linotype" w:cs="Times New Roman"/>
          <w:kern w:val="0"/>
          <w14:ligatures w14:val="none"/>
        </w:rPr>
        <w:t xml:space="preserve"> In addition, the 2024-25 CAISO Transmission Plan notes that the Greater Bay Area will require transmission system upgrades to meet anticipated load growth, again including data centers. This includes a new 500 kilovolt transmission line into the region, estimated to cost $500-700 million, and a new high-voltage transformer bank at the Metcalf substation, estimated to cost $91-182 million.</w:t>
      </w:r>
      <w:r w:rsidR="00CB3EC0">
        <w:rPr>
          <w:rStyle w:val="FootnoteReference"/>
          <w:rFonts w:ascii="Palatino Linotype" w:hAnsi="Palatino Linotype" w:eastAsia="Palatino Linotype" w:cs="Times New Roman"/>
          <w:kern w:val="0"/>
          <w14:ligatures w14:val="none"/>
        </w:rPr>
        <w:footnoteReference w:id="18"/>
      </w:r>
      <w:r w:rsidRPr="00B41E79" w:rsidR="00B41E79">
        <w:rPr>
          <w:rFonts w:ascii="Palatino Linotype" w:hAnsi="Palatino Linotype" w:eastAsia="Palatino Linotype" w:cs="Times New Roman"/>
          <w:kern w:val="0"/>
          <w14:ligatures w14:val="none"/>
        </w:rPr>
        <w:t xml:space="preserve"> These upgrades will serve many new loads seeking energization in the South Bay and in the Greater Bay area</w:t>
      </w:r>
      <w:r w:rsidR="00E129F5">
        <w:rPr>
          <w:rFonts w:ascii="Palatino Linotype" w:hAnsi="Palatino Linotype" w:eastAsia="Palatino Linotype" w:cs="Times New Roman"/>
          <w:kern w:val="0"/>
          <w14:ligatures w14:val="none"/>
        </w:rPr>
        <w:t>, including STACK</w:t>
      </w:r>
      <w:r w:rsidR="00D45D42">
        <w:rPr>
          <w:rFonts w:ascii="Palatino Linotype" w:hAnsi="Palatino Linotype" w:eastAsia="Palatino Linotype" w:cs="Times New Roman"/>
          <w:kern w:val="0"/>
          <w14:ligatures w14:val="none"/>
        </w:rPr>
        <w:t xml:space="preserve"> Infrastructure</w:t>
      </w:r>
      <w:r w:rsidRPr="00B41E79" w:rsidR="00B41E79">
        <w:rPr>
          <w:rFonts w:ascii="Palatino Linotype" w:hAnsi="Palatino Linotype" w:eastAsia="Palatino Linotype" w:cs="Times New Roman"/>
          <w:kern w:val="0"/>
          <w14:ligatures w14:val="none"/>
        </w:rPr>
        <w:t>.</w:t>
      </w:r>
    </w:p>
    <w:p w:rsidR="00A77919" w:rsidP="00B41E79" w:rsidRDefault="00CB3EC0" w14:paraId="7E0778B3" w14:textId="0862E84C">
      <w:pPr>
        <w:keepNext/>
        <w:spacing w:before="120" w:after="240" w:line="240" w:lineRule="auto"/>
        <w:outlineLvl w:val="0"/>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Finally, Cal Advocates references the related PG&amp;E Tier 3 Advice Letter 7653-E, which seeks approval for an Engineering, Procurement, and Construction</w:t>
      </w:r>
      <w:r w:rsidR="00A77919">
        <w:rPr>
          <w:rFonts w:ascii="Palatino Linotype" w:hAnsi="Palatino Linotype" w:eastAsia="Palatino Linotype" w:cs="Times New Roman"/>
          <w:kern w:val="0"/>
          <w14:ligatures w14:val="none"/>
        </w:rPr>
        <w:t xml:space="preserve"> (EPC)</w:t>
      </w:r>
      <w:r>
        <w:rPr>
          <w:rFonts w:ascii="Palatino Linotype" w:hAnsi="Palatino Linotype" w:eastAsia="Palatino Linotype" w:cs="Times New Roman"/>
          <w:kern w:val="0"/>
          <w14:ligatures w14:val="none"/>
        </w:rPr>
        <w:t xml:space="preserve"> agreement between PG&amp;E and STACK Infrastructure</w:t>
      </w:r>
      <w:r w:rsidR="00A77919">
        <w:rPr>
          <w:rFonts w:ascii="Palatino Linotype" w:hAnsi="Palatino Linotype" w:eastAsia="Palatino Linotype" w:cs="Times New Roman"/>
          <w:kern w:val="0"/>
          <w14:ligatures w14:val="none"/>
        </w:rPr>
        <w:t xml:space="preserve"> to complete some of the work described in this Resolution</w:t>
      </w:r>
      <w:r>
        <w:rPr>
          <w:rFonts w:ascii="Palatino Linotype" w:hAnsi="Palatino Linotype" w:eastAsia="Palatino Linotype" w:cs="Times New Roman"/>
          <w:kern w:val="0"/>
          <w14:ligatures w14:val="none"/>
        </w:rPr>
        <w:t xml:space="preserve">. Cal Advocates </w:t>
      </w:r>
      <w:r w:rsidR="00A77919">
        <w:rPr>
          <w:rFonts w:ascii="Palatino Linotype" w:hAnsi="Palatino Linotype" w:eastAsia="Palatino Linotype" w:cs="Times New Roman"/>
          <w:kern w:val="0"/>
          <w14:ligatures w14:val="none"/>
        </w:rPr>
        <w:t xml:space="preserve">requests clarification that issues related to AL 7653-E can be addressed in a subsequent resolution. We note that the Advice Letter is Tier 3 and </w:t>
      </w:r>
      <w:r w:rsidR="00A77919">
        <w:rPr>
          <w:rFonts w:ascii="Palatino Linotype" w:hAnsi="Palatino Linotype" w:eastAsia="Palatino Linotype" w:cs="Times New Roman"/>
          <w:kern w:val="0"/>
          <w14:ligatures w14:val="none"/>
        </w:rPr>
        <w:lastRenderedPageBreak/>
        <w:t>thus will require a subsequent Resolution, where issues with the EPC agreement can be addressed.</w:t>
      </w:r>
    </w:p>
    <w:p w:rsidR="00A77919" w:rsidP="008C0F43" w:rsidRDefault="00A77919" w14:paraId="05ADF9FF" w14:textId="77777777">
      <w:pPr>
        <w:keepNext/>
        <w:spacing w:before="240" w:after="240" w:line="240" w:lineRule="auto"/>
        <w:outlineLvl w:val="0"/>
        <w:rPr>
          <w:rFonts w:ascii="Palatino Linotype" w:hAnsi="Palatino Linotype" w:eastAsia="Palatino Linotype" w:cs="Times New Roman"/>
          <w:b/>
          <w:bCs/>
          <w:kern w:val="0"/>
          <w14:ligatures w14:val="none"/>
        </w:rPr>
      </w:pPr>
      <w:r>
        <w:rPr>
          <w:rFonts w:ascii="Palatino Linotype" w:hAnsi="Palatino Linotype" w:eastAsia="Palatino Linotype" w:cs="Times New Roman"/>
          <w:b/>
          <w:bCs/>
          <w:kern w:val="0"/>
          <w14:ligatures w14:val="none"/>
        </w:rPr>
        <w:t>Pacific Gas and Electric</w:t>
      </w:r>
    </w:p>
    <w:p w:rsidR="00CB3EC0" w:rsidP="00B41E79" w:rsidRDefault="00A77919" w14:paraId="21A66975" w14:textId="08CE357E">
      <w:pPr>
        <w:keepNext/>
        <w:spacing w:before="120" w:after="240" w:line="240" w:lineRule="auto"/>
        <w:outlineLvl w:val="0"/>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In its comments, PG&amp;E argues against limiting annual refunds to 75 percent of the annual net revenues from STACK Infrastructure, as proposed in this Resolution. PG&amp;E argues (1) that this represents a</w:t>
      </w:r>
      <w:r w:rsidR="004B6142">
        <w:rPr>
          <w:rFonts w:ascii="Palatino Linotype" w:hAnsi="Palatino Linotype" w:eastAsia="Palatino Linotype" w:cs="Times New Roman"/>
          <w:kern w:val="0"/>
          <w14:ligatures w14:val="none"/>
        </w:rPr>
        <w:t xml:space="preserve">n </w:t>
      </w:r>
      <w:r>
        <w:rPr>
          <w:rFonts w:ascii="Palatino Linotype" w:hAnsi="Palatino Linotype" w:eastAsia="Palatino Linotype" w:cs="Times New Roman"/>
          <w:kern w:val="0"/>
          <w14:ligatures w14:val="none"/>
        </w:rPr>
        <w:t xml:space="preserve">unnecessary departure from precedent, (2) that the standard BARC process already includes ample </w:t>
      </w:r>
      <w:r w:rsidR="00DB1A9E">
        <w:rPr>
          <w:rFonts w:ascii="Palatino Linotype" w:hAnsi="Palatino Linotype" w:eastAsia="Palatino Linotype" w:cs="Times New Roman"/>
          <w:kern w:val="0"/>
          <w14:ligatures w14:val="none"/>
        </w:rPr>
        <w:t>protection</w:t>
      </w:r>
      <w:r>
        <w:rPr>
          <w:rFonts w:ascii="Palatino Linotype" w:hAnsi="Palatino Linotype" w:eastAsia="Palatino Linotype" w:cs="Times New Roman"/>
          <w:kern w:val="0"/>
          <w14:ligatures w14:val="none"/>
        </w:rPr>
        <w:t xml:space="preserve"> for ratepayers, and (3) that </w:t>
      </w:r>
      <w:r w:rsidR="00DB1A9E">
        <w:rPr>
          <w:rFonts w:ascii="Palatino Linotype" w:hAnsi="Palatino Linotype" w:eastAsia="Palatino Linotype" w:cs="Times New Roman"/>
          <w:kern w:val="0"/>
          <w14:ligatures w14:val="none"/>
        </w:rPr>
        <w:t xml:space="preserve">the proposed 75 percent refund limit may defer data center development and chill future investment. In the case that the Commission decides to move forward with limiting annual refunds to a portion of annual net revenues, PG&amp;E argues for three modifications: (1) limiting refunds to 100 percent of annual net revenues, rather than </w:t>
      </w:r>
      <w:r w:rsidR="008C0F43">
        <w:rPr>
          <w:rFonts w:ascii="Palatino Linotype" w:hAnsi="Palatino Linotype" w:eastAsia="Palatino Linotype" w:cs="Times New Roman"/>
          <w:kern w:val="0"/>
          <w14:ligatures w14:val="none"/>
        </w:rPr>
        <w:br/>
      </w:r>
      <w:r w:rsidR="00DB1A9E">
        <w:rPr>
          <w:rFonts w:ascii="Palatino Linotype" w:hAnsi="Palatino Linotype" w:eastAsia="Palatino Linotype" w:cs="Times New Roman"/>
          <w:kern w:val="0"/>
          <w14:ligatures w14:val="none"/>
        </w:rPr>
        <w:t xml:space="preserve">75 percent, (2) </w:t>
      </w:r>
      <w:r w:rsidR="0039369E">
        <w:rPr>
          <w:rFonts w:ascii="Palatino Linotype" w:hAnsi="Palatino Linotype" w:eastAsia="Palatino Linotype" w:cs="Times New Roman"/>
          <w:kern w:val="0"/>
          <w14:ligatures w14:val="none"/>
        </w:rPr>
        <w:t>increasing the annual refund limit corresponding to</w:t>
      </w:r>
      <w:r w:rsidR="00DB1A9E">
        <w:rPr>
          <w:rFonts w:ascii="Palatino Linotype" w:hAnsi="Palatino Linotype" w:eastAsia="Palatino Linotype" w:cs="Times New Roman"/>
          <w:kern w:val="0"/>
          <w14:ligatures w14:val="none"/>
        </w:rPr>
        <w:t xml:space="preserve"> the Income Tax Component of Contribution (ITCC), and (3) extending the refund period to 15 years.</w:t>
      </w:r>
      <w:r w:rsidR="0055148C">
        <w:rPr>
          <w:rFonts w:ascii="Palatino Linotype" w:hAnsi="Palatino Linotype" w:eastAsia="Palatino Linotype" w:cs="Times New Roman"/>
          <w:kern w:val="0"/>
          <w14:ligatures w14:val="none"/>
        </w:rPr>
        <w:t xml:space="preserve"> First, we will address PG&amp;E’s arguments against the modified BARC process proposed here, and then we will address its suggested modifications.</w:t>
      </w:r>
    </w:p>
    <w:p w:rsidR="00166F81" w:rsidP="00B41E79" w:rsidRDefault="0055148C" w14:paraId="4F68FE56" w14:textId="24759AD3">
      <w:pPr>
        <w:keepNext/>
        <w:spacing w:before="120" w:after="240" w:line="240" w:lineRule="auto"/>
        <w:outlineLvl w:val="0"/>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In Advice Letter 7569-E, approved with modification here, PG&amp;E proposes exceptional provisional terms and conditions based </w:t>
      </w:r>
      <w:r w:rsidR="00166F81">
        <w:rPr>
          <w:rFonts w:ascii="Palatino Linotype" w:hAnsi="Palatino Linotype" w:eastAsia="Palatino Linotype" w:cs="Times New Roman"/>
          <w:kern w:val="0"/>
          <w14:ligatures w14:val="none"/>
        </w:rPr>
        <w:t>on</w:t>
      </w:r>
      <w:r>
        <w:rPr>
          <w:rFonts w:ascii="Palatino Linotype" w:hAnsi="Palatino Linotype" w:eastAsia="Palatino Linotype" w:cs="Times New Roman"/>
          <w:kern w:val="0"/>
          <w14:ligatures w14:val="none"/>
        </w:rPr>
        <w:t xml:space="preserve"> Electric Rules 2, 15 and 16. The nature of an </w:t>
      </w:r>
      <w:r w:rsidR="00166F81">
        <w:rPr>
          <w:rFonts w:ascii="Palatino Linotype" w:hAnsi="Palatino Linotype" w:eastAsia="Palatino Linotype" w:cs="Times New Roman"/>
          <w:kern w:val="0"/>
          <w14:ligatures w14:val="none"/>
        </w:rPr>
        <w:t>e</w:t>
      </w:r>
      <w:r>
        <w:rPr>
          <w:rFonts w:ascii="Palatino Linotype" w:hAnsi="Palatino Linotype" w:eastAsia="Palatino Linotype" w:cs="Times New Roman"/>
          <w:kern w:val="0"/>
          <w14:ligatures w14:val="none"/>
        </w:rPr>
        <w:t xml:space="preserve">xceptional </w:t>
      </w:r>
      <w:r w:rsidR="00166F81">
        <w:rPr>
          <w:rFonts w:ascii="Palatino Linotype" w:hAnsi="Palatino Linotype" w:eastAsia="Palatino Linotype" w:cs="Times New Roman"/>
          <w:kern w:val="0"/>
          <w14:ligatures w14:val="none"/>
        </w:rPr>
        <w:t>c</w:t>
      </w:r>
      <w:r>
        <w:rPr>
          <w:rFonts w:ascii="Palatino Linotype" w:hAnsi="Palatino Linotype" w:eastAsia="Palatino Linotype" w:cs="Times New Roman"/>
          <w:kern w:val="0"/>
          <w14:ligatures w14:val="none"/>
        </w:rPr>
        <w:t xml:space="preserve">ase </w:t>
      </w:r>
      <w:r w:rsidR="00166F81">
        <w:rPr>
          <w:rFonts w:ascii="Palatino Linotype" w:hAnsi="Palatino Linotype" w:eastAsia="Palatino Linotype" w:cs="Times New Roman"/>
          <w:kern w:val="0"/>
          <w14:ligatures w14:val="none"/>
        </w:rPr>
        <w:t>s</w:t>
      </w:r>
      <w:r>
        <w:rPr>
          <w:rFonts w:ascii="Palatino Linotype" w:hAnsi="Palatino Linotype" w:eastAsia="Palatino Linotype" w:cs="Times New Roman"/>
          <w:kern w:val="0"/>
          <w14:ligatures w14:val="none"/>
        </w:rPr>
        <w:t xml:space="preserve">ubmittal acknowledges that </w:t>
      </w:r>
      <w:r w:rsidR="00166F81">
        <w:rPr>
          <w:rFonts w:ascii="Palatino Linotype" w:hAnsi="Palatino Linotype" w:eastAsia="Palatino Linotype" w:cs="Times New Roman"/>
          <w:kern w:val="0"/>
          <w14:ligatures w14:val="none"/>
        </w:rPr>
        <w:t>there is no standard tariff or rule determining how to proceed in this case. As PG&amp;E notes, the exceptional case filing is necessary “to address the unique circumstances presented by this request.”</w:t>
      </w:r>
      <w:r w:rsidR="00166F81">
        <w:rPr>
          <w:rStyle w:val="FootnoteReference"/>
          <w:rFonts w:ascii="Palatino Linotype" w:hAnsi="Palatino Linotype" w:eastAsia="Palatino Linotype" w:cs="Times New Roman"/>
          <w:kern w:val="0"/>
          <w14:ligatures w14:val="none"/>
        </w:rPr>
        <w:footnoteReference w:id="19"/>
      </w:r>
      <w:r>
        <w:rPr>
          <w:rFonts w:ascii="Palatino Linotype" w:hAnsi="Palatino Linotype" w:eastAsia="Palatino Linotype" w:cs="Times New Roman"/>
          <w:kern w:val="0"/>
          <w14:ligatures w14:val="none"/>
        </w:rPr>
        <w:t xml:space="preserve"> </w:t>
      </w:r>
      <w:r w:rsidR="00166F81">
        <w:rPr>
          <w:rFonts w:ascii="Palatino Linotype" w:hAnsi="Palatino Linotype" w:eastAsia="Palatino Linotype" w:cs="Times New Roman"/>
          <w:kern w:val="0"/>
          <w14:ligatures w14:val="none"/>
        </w:rPr>
        <w:t xml:space="preserve">In the Discussion section above, we found that the energization of STACK Infrastructure presents unique risks to ratepayers due to STACK’s large load, high energization costs, and uncertain future revenues. The Resolution proposes a simple modification to the proposed BARC process in response to these unique risks posed to ratepayers: limiting annual refunds to 75 percent of the annual net revenues received from the customer. We </w:t>
      </w:r>
      <w:r w:rsidR="00AA6632">
        <w:rPr>
          <w:rFonts w:ascii="Palatino Linotype" w:hAnsi="Palatino Linotype" w:eastAsia="Palatino Linotype" w:cs="Times New Roman"/>
          <w:kern w:val="0"/>
          <w14:ligatures w14:val="none"/>
        </w:rPr>
        <w:t>do not agree</w:t>
      </w:r>
      <w:r w:rsidR="00166F81">
        <w:rPr>
          <w:rFonts w:ascii="Palatino Linotype" w:hAnsi="Palatino Linotype" w:eastAsia="Palatino Linotype" w:cs="Times New Roman"/>
          <w:kern w:val="0"/>
          <w14:ligatures w14:val="none"/>
        </w:rPr>
        <w:t xml:space="preserve"> that this represents a departure from precedent, as </w:t>
      </w:r>
      <w:r w:rsidR="00AA6632">
        <w:rPr>
          <w:rFonts w:ascii="Palatino Linotype" w:hAnsi="Palatino Linotype" w:eastAsia="Palatino Linotype" w:cs="Times New Roman"/>
          <w:kern w:val="0"/>
          <w14:ligatures w14:val="none"/>
        </w:rPr>
        <w:t xml:space="preserve">(1) </w:t>
      </w:r>
      <w:r w:rsidR="00166F81">
        <w:rPr>
          <w:rFonts w:ascii="Palatino Linotype" w:hAnsi="Palatino Linotype" w:eastAsia="Palatino Linotype" w:cs="Times New Roman"/>
          <w:kern w:val="0"/>
          <w14:ligatures w14:val="none"/>
        </w:rPr>
        <w:t xml:space="preserve">this is an exceptional case filing </w:t>
      </w:r>
      <w:r w:rsidR="00F70C9C">
        <w:rPr>
          <w:rFonts w:ascii="Palatino Linotype" w:hAnsi="Palatino Linotype" w:eastAsia="Palatino Linotype" w:cs="Times New Roman"/>
          <w:kern w:val="0"/>
          <w14:ligatures w14:val="none"/>
        </w:rPr>
        <w:t xml:space="preserve">and the Commission’s decisions on </w:t>
      </w:r>
      <w:r w:rsidR="00BB7A4C">
        <w:rPr>
          <w:rFonts w:ascii="Palatino Linotype" w:hAnsi="Palatino Linotype" w:eastAsia="Palatino Linotype" w:cs="Times New Roman"/>
          <w:kern w:val="0"/>
          <w14:ligatures w14:val="none"/>
        </w:rPr>
        <w:t>such</w:t>
      </w:r>
      <w:r w:rsidR="00F70C9C">
        <w:rPr>
          <w:rFonts w:ascii="Palatino Linotype" w:hAnsi="Palatino Linotype" w:eastAsia="Palatino Linotype" w:cs="Times New Roman"/>
          <w:kern w:val="0"/>
          <w14:ligatures w14:val="none"/>
        </w:rPr>
        <w:t xml:space="preserve"> filings</w:t>
      </w:r>
      <w:r w:rsidR="0060581C">
        <w:rPr>
          <w:rFonts w:ascii="Palatino Linotype" w:hAnsi="Palatino Linotype" w:eastAsia="Palatino Linotype" w:cs="Times New Roman"/>
          <w:kern w:val="0"/>
          <w14:ligatures w14:val="none"/>
        </w:rPr>
        <w:t xml:space="preserve"> </w:t>
      </w:r>
      <w:r w:rsidR="009608EC">
        <w:rPr>
          <w:rFonts w:ascii="Palatino Linotype" w:hAnsi="Palatino Linotype" w:eastAsia="Palatino Linotype" w:cs="Times New Roman"/>
          <w:kern w:val="0"/>
          <w14:ligatures w14:val="none"/>
        </w:rPr>
        <w:t>by definition do not have binding precedents</w:t>
      </w:r>
      <w:r w:rsidR="00166F81">
        <w:rPr>
          <w:rFonts w:ascii="Palatino Linotype" w:hAnsi="Palatino Linotype" w:eastAsia="Palatino Linotype" w:cs="Times New Roman"/>
          <w:kern w:val="0"/>
          <w14:ligatures w14:val="none"/>
        </w:rPr>
        <w:t xml:space="preserve"> and </w:t>
      </w:r>
      <w:r w:rsidR="00AA6632">
        <w:rPr>
          <w:rFonts w:ascii="Palatino Linotype" w:hAnsi="Palatino Linotype" w:eastAsia="Palatino Linotype" w:cs="Times New Roman"/>
          <w:kern w:val="0"/>
          <w14:ligatures w14:val="none"/>
        </w:rPr>
        <w:t xml:space="preserve">(2) </w:t>
      </w:r>
      <w:r w:rsidR="00166F81">
        <w:rPr>
          <w:rFonts w:ascii="Palatino Linotype" w:hAnsi="Palatino Linotype" w:eastAsia="Palatino Linotype" w:cs="Times New Roman"/>
          <w:kern w:val="0"/>
          <w14:ligatures w14:val="none"/>
        </w:rPr>
        <w:t xml:space="preserve">the </w:t>
      </w:r>
      <w:r w:rsidR="00051F75">
        <w:rPr>
          <w:rFonts w:ascii="Palatino Linotype" w:hAnsi="Palatino Linotype" w:eastAsia="Palatino Linotype" w:cs="Times New Roman"/>
          <w:kern w:val="0"/>
          <w14:ligatures w14:val="none"/>
        </w:rPr>
        <w:t>proposed modification is relatively simple and corresponds to the preexisting logic of basing refunds on net revenues. We also disagree with PG&amp;E’s claim that this is an unnecessary modification. Given the unique risks posed to ratepayers in this case, we consider it necessary to provide additional ratepayer protections.</w:t>
      </w:r>
    </w:p>
    <w:p w:rsidR="00051F75" w:rsidP="00B41E79" w:rsidRDefault="00051F75" w14:paraId="7671D432" w14:textId="7988181F">
      <w:pPr>
        <w:keepNext/>
        <w:spacing w:before="120" w:after="240" w:line="240" w:lineRule="auto"/>
        <w:outlineLvl w:val="0"/>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PG&amp;E argues that the standard BARC process already includes ample protection for ratepayers. They cite two protections specifically: </w:t>
      </w:r>
      <w:r w:rsidR="007C3B39">
        <w:rPr>
          <w:rFonts w:ascii="Palatino Linotype" w:hAnsi="Palatino Linotype" w:eastAsia="Palatino Linotype" w:cs="Times New Roman"/>
          <w:kern w:val="0"/>
          <w14:ligatures w14:val="none"/>
        </w:rPr>
        <w:t xml:space="preserve">(1) </w:t>
      </w:r>
      <w:r>
        <w:rPr>
          <w:rFonts w:ascii="Palatino Linotype" w:hAnsi="Palatino Linotype" w:eastAsia="Palatino Linotype" w:cs="Times New Roman"/>
          <w:kern w:val="0"/>
          <w14:ligatures w14:val="none"/>
        </w:rPr>
        <w:t xml:space="preserve">That the BARC process already </w:t>
      </w:r>
      <w:r>
        <w:rPr>
          <w:rFonts w:ascii="Palatino Linotype" w:hAnsi="Palatino Linotype" w:eastAsia="Palatino Linotype" w:cs="Times New Roman"/>
          <w:kern w:val="0"/>
          <w14:ligatures w14:val="none"/>
        </w:rPr>
        <w:lastRenderedPageBreak/>
        <w:t xml:space="preserve">bases refunds on the net revenues received through the actual kilowatt (kW) demand from STACK, and </w:t>
      </w:r>
      <w:r w:rsidR="007C3B39">
        <w:rPr>
          <w:rFonts w:ascii="Palatino Linotype" w:hAnsi="Palatino Linotype" w:eastAsia="Palatino Linotype" w:cs="Times New Roman"/>
          <w:kern w:val="0"/>
          <w14:ligatures w14:val="none"/>
        </w:rPr>
        <w:t xml:space="preserve">(2) </w:t>
      </w:r>
      <w:r>
        <w:rPr>
          <w:rFonts w:ascii="Palatino Linotype" w:hAnsi="Palatino Linotype" w:eastAsia="Palatino Linotype" w:cs="Times New Roman"/>
          <w:kern w:val="0"/>
          <w14:ligatures w14:val="none"/>
        </w:rPr>
        <w:t>that the BARC process includes additional cost of ownership fee</w:t>
      </w:r>
      <w:r w:rsidR="007C3B39">
        <w:rPr>
          <w:rFonts w:ascii="Palatino Linotype" w:hAnsi="Palatino Linotype" w:eastAsia="Palatino Linotype" w:cs="Times New Roman"/>
          <w:kern w:val="0"/>
          <w14:ligatures w14:val="none"/>
        </w:rPr>
        <w:t>s</w:t>
      </w:r>
      <w:r>
        <w:rPr>
          <w:rFonts w:ascii="Palatino Linotype" w:hAnsi="Palatino Linotype" w:eastAsia="Palatino Linotype" w:cs="Times New Roman"/>
          <w:kern w:val="0"/>
          <w14:ligatures w14:val="none"/>
        </w:rPr>
        <w:t xml:space="preserve"> to the extent STACK does not receive the</w:t>
      </w:r>
      <w:r w:rsidR="007C3B39">
        <w:rPr>
          <w:rFonts w:ascii="Palatino Linotype" w:hAnsi="Palatino Linotype" w:eastAsia="Palatino Linotype" w:cs="Times New Roman"/>
          <w:kern w:val="0"/>
          <w14:ligatures w14:val="none"/>
        </w:rPr>
        <w:t>ir</w:t>
      </w:r>
      <w:r>
        <w:rPr>
          <w:rFonts w:ascii="Palatino Linotype" w:hAnsi="Palatino Linotype" w:eastAsia="Palatino Linotype" w:cs="Times New Roman"/>
          <w:kern w:val="0"/>
          <w14:ligatures w14:val="none"/>
        </w:rPr>
        <w:t xml:space="preserve"> full refund</w:t>
      </w:r>
      <w:r w:rsidR="007C3B39">
        <w:rPr>
          <w:rFonts w:ascii="Palatino Linotype" w:hAnsi="Palatino Linotype" w:eastAsia="Palatino Linotype" w:cs="Times New Roman"/>
          <w:kern w:val="0"/>
          <w14:ligatures w14:val="none"/>
        </w:rPr>
        <w:t xml:space="preserve"> in its first year of operation</w:t>
      </w:r>
      <w:r>
        <w:rPr>
          <w:rFonts w:ascii="Palatino Linotype" w:hAnsi="Palatino Linotype" w:eastAsia="Palatino Linotype" w:cs="Times New Roman"/>
          <w:kern w:val="0"/>
          <w14:ligatures w14:val="none"/>
        </w:rPr>
        <w:t xml:space="preserve">. </w:t>
      </w:r>
      <w:r w:rsidR="007C3B39">
        <w:rPr>
          <w:rFonts w:ascii="Palatino Linotype" w:hAnsi="Palatino Linotype" w:eastAsia="Palatino Linotype" w:cs="Times New Roman"/>
          <w:kern w:val="0"/>
          <w14:ligatures w14:val="none"/>
        </w:rPr>
        <w:t xml:space="preserve">The first protection has already been addressed throughout this Resolution: the BARC process does base refunds on net revenues, but it assumes that those revenues will continue indefinitely into the future and thus provides a refund amount much larger than the actual net revenues collected. PG&amp;E understands this, and writes in their </w:t>
      </w:r>
      <w:r w:rsidR="00B33FAD">
        <w:rPr>
          <w:rFonts w:ascii="Palatino Linotype" w:hAnsi="Palatino Linotype" w:eastAsia="Palatino Linotype" w:cs="Times New Roman"/>
          <w:kern w:val="0"/>
          <w14:ligatures w14:val="none"/>
        </w:rPr>
        <w:t>C</w:t>
      </w:r>
      <w:r w:rsidR="007C3B39">
        <w:rPr>
          <w:rFonts w:ascii="Palatino Linotype" w:hAnsi="Palatino Linotype" w:eastAsia="Palatino Linotype" w:cs="Times New Roman"/>
          <w:kern w:val="0"/>
          <w14:ligatures w14:val="none"/>
        </w:rPr>
        <w:t>omments that “the risk here, per the Draft Resolution, is that if STACK’s load tails off in later years, STACK’s refund might be disproportionate with the revenue PG&amp;E derives from their load.”</w:t>
      </w:r>
      <w:r w:rsidR="007C3B39">
        <w:rPr>
          <w:rStyle w:val="FootnoteReference"/>
          <w:rFonts w:ascii="Palatino Linotype" w:hAnsi="Palatino Linotype" w:eastAsia="Palatino Linotype" w:cs="Times New Roman"/>
          <w:kern w:val="0"/>
          <w14:ligatures w14:val="none"/>
        </w:rPr>
        <w:footnoteReference w:id="20"/>
      </w:r>
      <w:r w:rsidR="007C3B39">
        <w:rPr>
          <w:rFonts w:ascii="Palatino Linotype" w:hAnsi="Palatino Linotype" w:eastAsia="Palatino Linotype" w:cs="Times New Roman"/>
          <w:kern w:val="0"/>
          <w14:ligatures w14:val="none"/>
        </w:rPr>
        <w:t xml:space="preserve"> Despite noting this risk, PG&amp;E makes no argument that </w:t>
      </w:r>
      <w:r w:rsidR="00B33FAD">
        <w:rPr>
          <w:rFonts w:ascii="Palatino Linotype" w:hAnsi="Palatino Linotype" w:eastAsia="Palatino Linotype" w:cs="Times New Roman"/>
          <w:kern w:val="0"/>
          <w14:ligatures w14:val="none"/>
        </w:rPr>
        <w:t>any ratepayer protections in the existing BARC process specifically address or mitigate this risk</w:t>
      </w:r>
      <w:r w:rsidR="007C3B39">
        <w:rPr>
          <w:rFonts w:ascii="Palatino Linotype" w:hAnsi="Palatino Linotype" w:eastAsia="Palatino Linotype" w:cs="Times New Roman"/>
          <w:kern w:val="0"/>
          <w14:ligatures w14:val="none"/>
        </w:rPr>
        <w:t xml:space="preserve">. The second protection </w:t>
      </w:r>
      <w:r w:rsidR="00B33FAD">
        <w:rPr>
          <w:rFonts w:ascii="Palatino Linotype" w:hAnsi="Palatino Linotype" w:eastAsia="Palatino Linotype" w:cs="Times New Roman"/>
          <w:kern w:val="0"/>
          <w14:ligatures w14:val="none"/>
        </w:rPr>
        <w:t xml:space="preserve">cited by </w:t>
      </w:r>
      <w:r w:rsidR="007C3B39">
        <w:rPr>
          <w:rFonts w:ascii="Palatino Linotype" w:hAnsi="Palatino Linotype" w:eastAsia="Palatino Linotype" w:cs="Times New Roman"/>
          <w:kern w:val="0"/>
          <w14:ligatures w14:val="none"/>
        </w:rPr>
        <w:t xml:space="preserve">PG&amp;E, the levying of cost of ownership fees, </w:t>
      </w:r>
      <w:r w:rsidR="00B33FAD">
        <w:rPr>
          <w:rFonts w:ascii="Palatino Linotype" w:hAnsi="Palatino Linotype" w:eastAsia="Palatino Linotype" w:cs="Times New Roman"/>
          <w:kern w:val="0"/>
          <w14:ligatures w14:val="none"/>
        </w:rPr>
        <w:t>specifically applies to the case where the customer does not receive a full refund at the end of the first year after PG&amp;E is ready to serve.</w:t>
      </w:r>
      <w:r w:rsidR="00B33FAD">
        <w:rPr>
          <w:rStyle w:val="FootnoteReference"/>
          <w:rFonts w:ascii="Palatino Linotype" w:hAnsi="Palatino Linotype" w:eastAsia="Palatino Linotype" w:cs="Times New Roman"/>
          <w:kern w:val="0"/>
          <w14:ligatures w14:val="none"/>
        </w:rPr>
        <w:footnoteReference w:id="21"/>
      </w:r>
      <w:r w:rsidR="00B33FAD">
        <w:rPr>
          <w:rFonts w:ascii="Palatino Linotype" w:hAnsi="Palatino Linotype" w:eastAsia="Palatino Linotype" w:cs="Times New Roman"/>
          <w:kern w:val="0"/>
          <w14:ligatures w14:val="none"/>
        </w:rPr>
        <w:t xml:space="preserve"> It in no way addresses the risk of a customer receiving a full refund, and then having their load tail off in later years. Again, given the unique risks presented to ratepayers in this case, and that no existing protections in the BARC process respond to these risks, we consider it necessary to provide additional ratepayer protections.</w:t>
      </w:r>
    </w:p>
    <w:p w:rsidR="0055148C" w:rsidP="00B41E79" w:rsidRDefault="00AA6632" w14:paraId="61635375" w14:textId="78BB45A6">
      <w:pPr>
        <w:keepNext/>
        <w:spacing w:before="120" w:after="240" w:line="240" w:lineRule="auto"/>
        <w:outlineLvl w:val="0"/>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Finally, </w:t>
      </w:r>
      <w:r w:rsidR="00724C10">
        <w:rPr>
          <w:rFonts w:ascii="Palatino Linotype" w:hAnsi="Palatino Linotype" w:eastAsia="Palatino Linotype" w:cs="Times New Roman"/>
          <w:kern w:val="0"/>
          <w14:ligatures w14:val="none"/>
        </w:rPr>
        <w:t xml:space="preserve">PG&amp;E </w:t>
      </w:r>
      <w:r w:rsidR="00434767">
        <w:rPr>
          <w:rFonts w:ascii="Palatino Linotype" w:hAnsi="Palatino Linotype" w:eastAsia="Palatino Linotype" w:cs="Times New Roman"/>
          <w:kern w:val="0"/>
          <w14:ligatures w14:val="none"/>
        </w:rPr>
        <w:t>argues</w:t>
      </w:r>
      <w:r w:rsidR="00724C10">
        <w:rPr>
          <w:rFonts w:ascii="Palatino Linotype" w:hAnsi="Palatino Linotype" w:eastAsia="Palatino Linotype" w:cs="Times New Roman"/>
          <w:kern w:val="0"/>
          <w14:ligatures w14:val="none"/>
        </w:rPr>
        <w:t xml:space="preserve"> that extend</w:t>
      </w:r>
      <w:r w:rsidR="00324AB6">
        <w:rPr>
          <w:rFonts w:ascii="Palatino Linotype" w:hAnsi="Palatino Linotype" w:eastAsia="Palatino Linotype" w:cs="Times New Roman"/>
          <w:kern w:val="0"/>
          <w14:ligatures w14:val="none"/>
        </w:rPr>
        <w:t>ing the</w:t>
      </w:r>
      <w:r w:rsidR="00724C10">
        <w:rPr>
          <w:rFonts w:ascii="Palatino Linotype" w:hAnsi="Palatino Linotype" w:eastAsia="Palatino Linotype" w:cs="Times New Roman"/>
          <w:kern w:val="0"/>
          <w14:ligatures w14:val="none"/>
        </w:rPr>
        <w:t xml:space="preserve"> period </w:t>
      </w:r>
      <w:r w:rsidR="00324AB6">
        <w:rPr>
          <w:rFonts w:ascii="Palatino Linotype" w:hAnsi="Palatino Linotype" w:eastAsia="Palatino Linotype" w:cs="Times New Roman"/>
          <w:kern w:val="0"/>
          <w14:ligatures w14:val="none"/>
        </w:rPr>
        <w:t>during which the</w:t>
      </w:r>
      <w:r w:rsidR="00724C10">
        <w:rPr>
          <w:rFonts w:ascii="Palatino Linotype" w:hAnsi="Palatino Linotype" w:eastAsia="Palatino Linotype" w:cs="Times New Roman"/>
          <w:kern w:val="0"/>
          <w14:ligatures w14:val="none"/>
        </w:rPr>
        <w:t xml:space="preserve"> refund amount </w:t>
      </w:r>
      <w:r w:rsidR="00324AB6">
        <w:rPr>
          <w:rFonts w:ascii="Palatino Linotype" w:hAnsi="Palatino Linotype" w:eastAsia="Palatino Linotype" w:cs="Times New Roman"/>
          <w:kern w:val="0"/>
          <w14:ligatures w14:val="none"/>
        </w:rPr>
        <w:t xml:space="preserve">is repaid </w:t>
      </w:r>
      <w:r w:rsidR="00724C10">
        <w:rPr>
          <w:rFonts w:ascii="Palatino Linotype" w:hAnsi="Palatino Linotype" w:eastAsia="Palatino Linotype" w:cs="Times New Roman"/>
          <w:kern w:val="0"/>
          <w14:ligatures w14:val="none"/>
        </w:rPr>
        <w:t>impairs STACK’s ability to invest in future projects and essentially requires STACK to provide an interest-free loa</w:t>
      </w:r>
      <w:r w:rsidR="00324AB6">
        <w:rPr>
          <w:rFonts w:ascii="Palatino Linotype" w:hAnsi="Palatino Linotype" w:eastAsia="Palatino Linotype" w:cs="Times New Roman"/>
          <w:kern w:val="0"/>
          <w14:ligatures w14:val="none"/>
        </w:rPr>
        <w:t>n</w:t>
      </w:r>
      <w:r w:rsidR="00724C10">
        <w:rPr>
          <w:rFonts w:ascii="Palatino Linotype" w:hAnsi="Palatino Linotype" w:eastAsia="Palatino Linotype" w:cs="Times New Roman"/>
          <w:kern w:val="0"/>
          <w14:ligatures w14:val="none"/>
        </w:rPr>
        <w:t xml:space="preserve"> to cover infrastructure costs needed for </w:t>
      </w:r>
      <w:r w:rsidR="00324AB6">
        <w:rPr>
          <w:rFonts w:ascii="Palatino Linotype" w:hAnsi="Palatino Linotype" w:eastAsia="Palatino Linotype" w:cs="Times New Roman"/>
          <w:kern w:val="0"/>
          <w14:ligatures w14:val="none"/>
        </w:rPr>
        <w:t>its</w:t>
      </w:r>
      <w:r w:rsidR="00724C10">
        <w:rPr>
          <w:rFonts w:ascii="Palatino Linotype" w:hAnsi="Palatino Linotype" w:eastAsia="Palatino Linotype" w:cs="Times New Roman"/>
          <w:kern w:val="0"/>
          <w14:ligatures w14:val="none"/>
        </w:rPr>
        <w:t xml:space="preserve"> direct energization. </w:t>
      </w:r>
      <w:r w:rsidR="00324AB6">
        <w:rPr>
          <w:rFonts w:ascii="Palatino Linotype" w:hAnsi="Palatino Linotype" w:eastAsia="Palatino Linotype" w:cs="Times New Roman"/>
          <w:kern w:val="0"/>
          <w14:ligatures w14:val="none"/>
        </w:rPr>
        <w:t xml:space="preserve">PG&amp;E adds that </w:t>
      </w:r>
      <w:r w:rsidR="00690546">
        <w:rPr>
          <w:rFonts w:ascii="Palatino Linotype" w:hAnsi="Palatino Linotype" w:eastAsia="Palatino Linotype" w:cs="Times New Roman"/>
          <w:kern w:val="0"/>
          <w14:ligatures w14:val="none"/>
        </w:rPr>
        <w:t>this</w:t>
      </w:r>
      <w:r w:rsidR="00724C10">
        <w:rPr>
          <w:rFonts w:ascii="Palatino Linotype" w:hAnsi="Palatino Linotype" w:eastAsia="Palatino Linotype" w:cs="Times New Roman"/>
          <w:kern w:val="0"/>
          <w14:ligatures w14:val="none"/>
        </w:rPr>
        <w:t xml:space="preserve"> change of terms </w:t>
      </w:r>
      <w:r w:rsidR="00324AB6">
        <w:rPr>
          <w:rFonts w:ascii="Palatino Linotype" w:hAnsi="Palatino Linotype" w:eastAsia="Palatino Linotype" w:cs="Times New Roman"/>
          <w:kern w:val="0"/>
          <w14:ligatures w14:val="none"/>
        </w:rPr>
        <w:t>occurring</w:t>
      </w:r>
      <w:r w:rsidR="00724C10">
        <w:rPr>
          <w:rFonts w:ascii="Palatino Linotype" w:hAnsi="Palatino Linotype" w:eastAsia="Palatino Linotype" w:cs="Times New Roman"/>
          <w:kern w:val="0"/>
          <w14:ligatures w14:val="none"/>
        </w:rPr>
        <w:t xml:space="preserve"> less than a year before the project is scheduled to be operational</w:t>
      </w:r>
      <w:r w:rsidR="00324AB6">
        <w:rPr>
          <w:rFonts w:ascii="Palatino Linotype" w:hAnsi="Palatino Linotype" w:eastAsia="Palatino Linotype" w:cs="Times New Roman"/>
          <w:kern w:val="0"/>
          <w14:ligatures w14:val="none"/>
        </w:rPr>
        <w:t>,</w:t>
      </w:r>
      <w:r w:rsidR="00724C10">
        <w:rPr>
          <w:rFonts w:ascii="Palatino Linotype" w:hAnsi="Palatino Linotype" w:eastAsia="Palatino Linotype" w:cs="Times New Roman"/>
          <w:kern w:val="0"/>
          <w14:ligatures w14:val="none"/>
        </w:rPr>
        <w:t xml:space="preserve"> in April 2026</w:t>
      </w:r>
      <w:r w:rsidR="00324AB6">
        <w:rPr>
          <w:rFonts w:ascii="Palatino Linotype" w:hAnsi="Palatino Linotype" w:eastAsia="Palatino Linotype" w:cs="Times New Roman"/>
          <w:kern w:val="0"/>
          <w14:ligatures w14:val="none"/>
        </w:rPr>
        <w:t>,</w:t>
      </w:r>
      <w:r w:rsidR="00724C10">
        <w:rPr>
          <w:rFonts w:ascii="Palatino Linotype" w:hAnsi="Palatino Linotype" w:eastAsia="Palatino Linotype" w:cs="Times New Roman"/>
          <w:kern w:val="0"/>
          <w14:ligatures w14:val="none"/>
        </w:rPr>
        <w:t xml:space="preserve"> harms STACK’s business and may more broadly discourage investment in data centers in the state. First, we note here that the Advice Letter addressed in this Resolution, AL 7569-E, was filed by PG&amp;E on April 18, 2025. Given the timeline of the project and the date of the filing</w:t>
      </w:r>
      <w:r w:rsidR="00434767">
        <w:rPr>
          <w:rFonts w:ascii="Palatino Linotype" w:hAnsi="Palatino Linotype" w:eastAsia="Palatino Linotype" w:cs="Times New Roman"/>
          <w:kern w:val="0"/>
          <w14:ligatures w14:val="none"/>
        </w:rPr>
        <w:t>,</w:t>
      </w:r>
      <w:r w:rsidR="00724C10">
        <w:rPr>
          <w:rFonts w:ascii="Palatino Linotype" w:hAnsi="Palatino Linotype" w:eastAsia="Palatino Linotype" w:cs="Times New Roman"/>
          <w:kern w:val="0"/>
          <w14:ligatures w14:val="none"/>
        </w:rPr>
        <w:t xml:space="preserve"> any change made by the Commission would necessarily occur within a year of April 2026</w:t>
      </w:r>
      <w:r w:rsidR="00434767">
        <w:rPr>
          <w:rFonts w:ascii="Palatino Linotype" w:hAnsi="Palatino Linotype" w:eastAsia="Palatino Linotype" w:cs="Times New Roman"/>
          <w:kern w:val="0"/>
          <w14:ligatures w14:val="none"/>
        </w:rPr>
        <w:t xml:space="preserve">. In this case, the Commission determined that the proposed terms between PG&amp;E and STACK Infrastructure present unreasonable risks to ratepayers, and </w:t>
      </w:r>
      <w:r w:rsidR="00690546">
        <w:rPr>
          <w:rFonts w:ascii="Palatino Linotype" w:hAnsi="Palatino Linotype" w:eastAsia="Palatino Linotype" w:cs="Times New Roman"/>
          <w:kern w:val="0"/>
          <w14:ligatures w14:val="none"/>
        </w:rPr>
        <w:t xml:space="preserve">these terms </w:t>
      </w:r>
      <w:r w:rsidR="00434767">
        <w:rPr>
          <w:rFonts w:ascii="Palatino Linotype" w:hAnsi="Palatino Linotype" w:eastAsia="Palatino Linotype" w:cs="Times New Roman"/>
          <w:kern w:val="0"/>
          <w14:ligatures w14:val="none"/>
        </w:rPr>
        <w:t xml:space="preserve">needed modification to add ratepayer protections. This decision was not made with the intention of encouraging or discouraging data center investment in the state, but in the interest of protecting ratepayers broadly from the risks of stranded costs and higher </w:t>
      </w:r>
      <w:r w:rsidR="00434767">
        <w:rPr>
          <w:rFonts w:ascii="Palatino Linotype" w:hAnsi="Palatino Linotype" w:eastAsia="Palatino Linotype" w:cs="Times New Roman"/>
          <w:kern w:val="0"/>
          <w14:ligatures w14:val="none"/>
        </w:rPr>
        <w:lastRenderedPageBreak/>
        <w:t>bills. We note that there are many ways to encourage data center development without requiring electric ratepayers to bear the risks associated with that development.</w:t>
      </w:r>
    </w:p>
    <w:p w:rsidR="00434767" w:rsidP="00B41E79" w:rsidRDefault="00690546" w14:paraId="2DD33610" w14:textId="319E6A20">
      <w:pPr>
        <w:keepNext/>
        <w:spacing w:before="120" w:after="240" w:line="240" w:lineRule="auto"/>
        <w:outlineLvl w:val="0"/>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In its comments</w:t>
      </w:r>
      <w:r w:rsidR="00A74F05">
        <w:rPr>
          <w:rFonts w:ascii="Palatino Linotype" w:hAnsi="Palatino Linotype" w:eastAsia="Palatino Linotype" w:cs="Times New Roman"/>
          <w:kern w:val="0"/>
          <w14:ligatures w14:val="none"/>
        </w:rPr>
        <w:t>,</w:t>
      </w:r>
      <w:r>
        <w:rPr>
          <w:rFonts w:ascii="Palatino Linotype" w:hAnsi="Palatino Linotype" w:eastAsia="Palatino Linotype" w:cs="Times New Roman"/>
          <w:kern w:val="0"/>
          <w14:ligatures w14:val="none"/>
        </w:rPr>
        <w:t xml:space="preserve"> PG&amp;E proposes three modifications to the Resolution in the case that the Commission chooses not to return to the terms originally proposed by PG&amp;E and STACK Infrastructure: (1) limiting refunds to 100 percent of annual net revenues, rather than 75 percent, (2) </w:t>
      </w:r>
      <w:r w:rsidR="003E053B">
        <w:rPr>
          <w:rFonts w:ascii="Palatino Linotype" w:hAnsi="Palatino Linotype" w:eastAsia="Palatino Linotype" w:cs="Times New Roman"/>
          <w:kern w:val="0"/>
          <w14:ligatures w14:val="none"/>
        </w:rPr>
        <w:t>increasing the annual refund limit corresponding to</w:t>
      </w:r>
      <w:r w:rsidR="00167C82">
        <w:rPr>
          <w:rFonts w:ascii="Palatino Linotype" w:hAnsi="Palatino Linotype" w:eastAsia="Palatino Linotype" w:cs="Times New Roman"/>
          <w:kern w:val="0"/>
          <w14:ligatures w14:val="none"/>
        </w:rPr>
        <w:t xml:space="preserve"> </w:t>
      </w:r>
      <w:r>
        <w:rPr>
          <w:rFonts w:ascii="Palatino Linotype" w:hAnsi="Palatino Linotype" w:eastAsia="Palatino Linotype" w:cs="Times New Roman"/>
          <w:kern w:val="0"/>
          <w14:ligatures w14:val="none"/>
        </w:rPr>
        <w:t>the ITCC, and (3) extending the refund period to 15 years.</w:t>
      </w:r>
    </w:p>
    <w:p w:rsidR="001802A8" w:rsidP="00D03BE1" w:rsidRDefault="00D03BE1" w14:paraId="74F0755D" w14:textId="67C41322">
      <w:pPr>
        <w:keepNext/>
        <w:spacing w:before="120" w:after="240" w:line="240" w:lineRule="auto"/>
        <w:outlineLvl w:val="0"/>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We choose not to adopt PG&amp;E’s first recommendation to raise the</w:t>
      </w:r>
      <w:r w:rsidR="0074601B">
        <w:rPr>
          <w:rFonts w:ascii="Palatino Linotype" w:hAnsi="Palatino Linotype" w:eastAsia="Palatino Linotype" w:cs="Times New Roman"/>
          <w:kern w:val="0"/>
          <w14:ligatures w14:val="none"/>
        </w:rPr>
        <w:t xml:space="preserve"> 75 percent</w:t>
      </w:r>
      <w:r>
        <w:rPr>
          <w:rFonts w:ascii="Palatino Linotype" w:hAnsi="Palatino Linotype" w:eastAsia="Palatino Linotype" w:cs="Times New Roman"/>
          <w:kern w:val="0"/>
          <w14:ligatures w14:val="none"/>
        </w:rPr>
        <w:t xml:space="preserve"> limit on annual refunds. PG&amp;E does not address the fact that a portion of the net revenue from STACK Infrastructure should correspond to upgrades to the broader transmission grid </w:t>
      </w:r>
      <w:r w:rsidR="00A66544">
        <w:rPr>
          <w:rFonts w:ascii="Palatino Linotype" w:hAnsi="Palatino Linotype" w:eastAsia="Palatino Linotype" w:cs="Times New Roman"/>
          <w:kern w:val="0"/>
          <w14:ligatures w14:val="none"/>
        </w:rPr>
        <w:t xml:space="preserve">(i.e., </w:t>
      </w:r>
      <w:r w:rsidR="00497362">
        <w:rPr>
          <w:rFonts w:ascii="Palatino Linotype" w:hAnsi="Palatino Linotype" w:eastAsia="Palatino Linotype" w:cs="Times New Roman"/>
          <w:kern w:val="0"/>
          <w14:ligatures w14:val="none"/>
        </w:rPr>
        <w:t xml:space="preserve">Facility </w:t>
      </w:r>
      <w:r w:rsidR="00A66544">
        <w:rPr>
          <w:rFonts w:ascii="Palatino Linotype" w:hAnsi="Palatino Linotype" w:eastAsia="Palatino Linotype" w:cs="Times New Roman"/>
          <w:kern w:val="0"/>
          <w14:ligatures w14:val="none"/>
        </w:rPr>
        <w:t>Type 4)</w:t>
      </w:r>
      <w:r>
        <w:rPr>
          <w:rFonts w:ascii="Palatino Linotype" w:hAnsi="Palatino Linotype" w:eastAsia="Palatino Linotype" w:cs="Times New Roman"/>
          <w:kern w:val="0"/>
          <w14:ligatures w14:val="none"/>
        </w:rPr>
        <w:t xml:space="preserve"> and the operations and maintenance of that grid.</w:t>
      </w:r>
      <w:r w:rsidR="000F43DA">
        <w:rPr>
          <w:rFonts w:ascii="Palatino Linotype" w:hAnsi="Palatino Linotype" w:eastAsia="Palatino Linotype" w:cs="Times New Roman"/>
          <w:kern w:val="0"/>
          <w14:ligatures w14:val="none"/>
        </w:rPr>
        <w:t xml:space="preserve"> </w:t>
      </w:r>
      <w:r w:rsidR="00BD4A7D">
        <w:rPr>
          <w:rFonts w:ascii="Palatino Linotype" w:hAnsi="Palatino Linotype" w:eastAsia="Palatino Linotype" w:cs="Times New Roman"/>
          <w:kern w:val="0"/>
          <w14:ligatures w14:val="none"/>
        </w:rPr>
        <w:t>Normally, a</w:t>
      </w:r>
      <w:r w:rsidR="008D4C51">
        <w:rPr>
          <w:rFonts w:ascii="Palatino Linotype" w:hAnsi="Palatino Linotype" w:eastAsia="Palatino Linotype" w:cs="Times New Roman"/>
          <w:kern w:val="0"/>
          <w14:ligatures w14:val="none"/>
        </w:rPr>
        <w:t>ny c</w:t>
      </w:r>
      <w:r w:rsidR="000F43DA">
        <w:rPr>
          <w:rFonts w:ascii="Palatino Linotype" w:hAnsi="Palatino Linotype" w:eastAsia="Palatino Linotype" w:cs="Times New Roman"/>
          <w:kern w:val="0"/>
          <w14:ligatures w14:val="none"/>
        </w:rPr>
        <w:t xml:space="preserve">ustomer’s transmission </w:t>
      </w:r>
      <w:r w:rsidR="00BD4A7D">
        <w:rPr>
          <w:rFonts w:ascii="Palatino Linotype" w:hAnsi="Palatino Linotype" w:eastAsia="Palatino Linotype" w:cs="Times New Roman"/>
          <w:kern w:val="0"/>
          <w14:ligatures w14:val="none"/>
        </w:rPr>
        <w:t>revenue</w:t>
      </w:r>
      <w:r w:rsidR="000F43DA">
        <w:rPr>
          <w:rFonts w:ascii="Palatino Linotype" w:hAnsi="Palatino Linotype" w:eastAsia="Palatino Linotype" w:cs="Times New Roman"/>
          <w:kern w:val="0"/>
          <w14:ligatures w14:val="none"/>
        </w:rPr>
        <w:t xml:space="preserve"> </w:t>
      </w:r>
      <w:r w:rsidR="00BD4A7D">
        <w:rPr>
          <w:rFonts w:ascii="Palatino Linotype" w:hAnsi="Palatino Linotype" w:eastAsia="Palatino Linotype" w:cs="Times New Roman"/>
          <w:kern w:val="0"/>
          <w14:ligatures w14:val="none"/>
        </w:rPr>
        <w:t>would</w:t>
      </w:r>
      <w:r w:rsidR="00FD6168">
        <w:rPr>
          <w:rFonts w:ascii="Palatino Linotype" w:hAnsi="Palatino Linotype" w:eastAsia="Palatino Linotype" w:cs="Times New Roman"/>
          <w:kern w:val="0"/>
          <w14:ligatures w14:val="none"/>
        </w:rPr>
        <w:t xml:space="preserve"> </w:t>
      </w:r>
      <w:r w:rsidR="00BD4A7D">
        <w:rPr>
          <w:rFonts w:ascii="Palatino Linotype" w:hAnsi="Palatino Linotype" w:eastAsia="Palatino Linotype" w:cs="Times New Roman"/>
          <w:kern w:val="0"/>
          <w14:ligatures w14:val="none"/>
        </w:rPr>
        <w:t>correspond</w:t>
      </w:r>
      <w:r w:rsidR="00DE5BFB">
        <w:rPr>
          <w:rFonts w:ascii="Palatino Linotype" w:hAnsi="Palatino Linotype" w:eastAsia="Palatino Linotype" w:cs="Times New Roman"/>
          <w:kern w:val="0"/>
          <w14:ligatures w14:val="none"/>
        </w:rPr>
        <w:t>,</w:t>
      </w:r>
      <w:r w:rsidR="00BD4A7D">
        <w:rPr>
          <w:rFonts w:ascii="Palatino Linotype" w:hAnsi="Palatino Linotype" w:eastAsia="Palatino Linotype" w:cs="Times New Roman"/>
          <w:kern w:val="0"/>
          <w14:ligatures w14:val="none"/>
        </w:rPr>
        <w:t xml:space="preserve"> in part</w:t>
      </w:r>
      <w:r w:rsidR="00DE5BFB">
        <w:rPr>
          <w:rFonts w:ascii="Palatino Linotype" w:hAnsi="Palatino Linotype" w:eastAsia="Palatino Linotype" w:cs="Times New Roman"/>
          <w:kern w:val="0"/>
          <w14:ligatures w14:val="none"/>
        </w:rPr>
        <w:t>,</w:t>
      </w:r>
      <w:r w:rsidR="00BD4A7D">
        <w:rPr>
          <w:rFonts w:ascii="Palatino Linotype" w:hAnsi="Palatino Linotype" w:eastAsia="Palatino Linotype" w:cs="Times New Roman"/>
          <w:kern w:val="0"/>
          <w14:ligatures w14:val="none"/>
        </w:rPr>
        <w:t xml:space="preserve"> to these costs.</w:t>
      </w:r>
      <w:r>
        <w:rPr>
          <w:rFonts w:ascii="Palatino Linotype" w:hAnsi="Palatino Linotype" w:eastAsia="Palatino Linotype" w:cs="Times New Roman"/>
          <w:kern w:val="0"/>
          <w14:ligatures w14:val="none"/>
        </w:rPr>
        <w:t xml:space="preserve"> Like any customer, STACK </w:t>
      </w:r>
      <w:r w:rsidR="003D1A26">
        <w:rPr>
          <w:rFonts w:ascii="Palatino Linotype" w:hAnsi="Palatino Linotype" w:eastAsia="Palatino Linotype" w:cs="Times New Roman"/>
          <w:kern w:val="0"/>
          <w14:ligatures w14:val="none"/>
        </w:rPr>
        <w:t>I</w:t>
      </w:r>
      <w:r>
        <w:rPr>
          <w:rFonts w:ascii="Palatino Linotype" w:hAnsi="Palatino Linotype" w:eastAsia="Palatino Linotype" w:cs="Times New Roman"/>
          <w:kern w:val="0"/>
          <w14:ligatures w14:val="none"/>
        </w:rPr>
        <w:t>nfrastructure relies on the broader grid. As a new, large-load customer it contributes to the need for upgrades to the broader grid. The 75 percent limit reflects this reality, and thus appropriately limits risks for ratepayers.</w:t>
      </w:r>
      <w:r w:rsidR="00BB01B9">
        <w:rPr>
          <w:rFonts w:ascii="Palatino Linotype" w:hAnsi="Palatino Linotype" w:eastAsia="Palatino Linotype" w:cs="Times New Roman"/>
          <w:kern w:val="0"/>
          <w14:ligatures w14:val="none"/>
        </w:rPr>
        <w:t xml:space="preserve"> </w:t>
      </w:r>
      <w:r w:rsidR="00A8545E">
        <w:rPr>
          <w:rFonts w:ascii="Palatino Linotype" w:hAnsi="Palatino Linotype" w:eastAsia="Palatino Linotype" w:cs="Times New Roman"/>
          <w:kern w:val="0"/>
          <w14:ligatures w14:val="none"/>
        </w:rPr>
        <w:t>Additionally,</w:t>
      </w:r>
      <w:r w:rsidR="006363A3">
        <w:rPr>
          <w:rFonts w:ascii="Palatino Linotype" w:hAnsi="Palatino Linotype" w:eastAsia="Palatino Linotype" w:cs="Times New Roman"/>
          <w:kern w:val="0"/>
          <w14:ligatures w14:val="none"/>
        </w:rPr>
        <w:t xml:space="preserve"> once </w:t>
      </w:r>
      <w:r w:rsidR="00BB5E5A">
        <w:rPr>
          <w:rFonts w:ascii="Palatino Linotype" w:hAnsi="Palatino Linotype" w:eastAsia="Palatino Linotype" w:cs="Times New Roman"/>
          <w:kern w:val="0"/>
          <w14:ligatures w14:val="none"/>
        </w:rPr>
        <w:t>STACK’s refund is complete</w:t>
      </w:r>
      <w:r w:rsidR="00FD7A6D">
        <w:rPr>
          <w:rFonts w:ascii="Palatino Linotype" w:hAnsi="Palatino Linotype" w:eastAsia="Palatino Linotype" w:cs="Times New Roman"/>
          <w:kern w:val="0"/>
          <w14:ligatures w14:val="none"/>
        </w:rPr>
        <w:t>, 100 percent of</w:t>
      </w:r>
      <w:r w:rsidR="00BB5E5A">
        <w:rPr>
          <w:rFonts w:ascii="Palatino Linotype" w:hAnsi="Palatino Linotype" w:eastAsia="Palatino Linotype" w:cs="Times New Roman"/>
          <w:kern w:val="0"/>
          <w14:ligatures w14:val="none"/>
        </w:rPr>
        <w:t xml:space="preserve"> </w:t>
      </w:r>
      <w:r w:rsidR="00D51519">
        <w:rPr>
          <w:rFonts w:ascii="Palatino Linotype" w:hAnsi="Palatino Linotype" w:eastAsia="Palatino Linotype" w:cs="Times New Roman"/>
          <w:kern w:val="0"/>
          <w14:ligatures w14:val="none"/>
        </w:rPr>
        <w:t xml:space="preserve">STACK’s revenue </w:t>
      </w:r>
      <w:r w:rsidR="00FD7A6D">
        <w:rPr>
          <w:rFonts w:ascii="Palatino Linotype" w:hAnsi="Palatino Linotype" w:eastAsia="Palatino Linotype" w:cs="Times New Roman"/>
          <w:kern w:val="0"/>
          <w14:ligatures w14:val="none"/>
        </w:rPr>
        <w:t xml:space="preserve">will contribute to shared costs, including </w:t>
      </w:r>
      <w:r w:rsidR="004538DE">
        <w:rPr>
          <w:rFonts w:ascii="Palatino Linotype" w:hAnsi="Palatino Linotype" w:eastAsia="Palatino Linotype" w:cs="Times New Roman"/>
          <w:kern w:val="0"/>
          <w14:ligatures w14:val="none"/>
        </w:rPr>
        <w:t>Facility Type 4 costs.</w:t>
      </w:r>
      <w:r w:rsidR="00D51519">
        <w:rPr>
          <w:rFonts w:ascii="Palatino Linotype" w:hAnsi="Palatino Linotype" w:eastAsia="Palatino Linotype" w:cs="Times New Roman"/>
          <w:kern w:val="0"/>
          <w14:ligatures w14:val="none"/>
        </w:rPr>
        <w:t xml:space="preserve"> </w:t>
      </w:r>
      <w:r w:rsidR="00BB01B9">
        <w:rPr>
          <w:rFonts w:ascii="Palatino Linotype" w:hAnsi="Palatino Linotype" w:eastAsia="Palatino Linotype" w:cs="Times New Roman"/>
          <w:kern w:val="0"/>
          <w14:ligatures w14:val="none"/>
        </w:rPr>
        <w:t xml:space="preserve"> </w:t>
      </w:r>
      <w:r w:rsidR="00385038">
        <w:rPr>
          <w:rFonts w:ascii="Palatino Linotype" w:hAnsi="Palatino Linotype" w:eastAsia="Palatino Linotype" w:cs="Times New Roman"/>
          <w:kern w:val="0"/>
          <w14:ligatures w14:val="none"/>
        </w:rPr>
        <w:t xml:space="preserve"> </w:t>
      </w:r>
      <w:r w:rsidR="003D1A26">
        <w:rPr>
          <w:rFonts w:ascii="Palatino Linotype" w:hAnsi="Palatino Linotype" w:eastAsia="Palatino Linotype" w:cs="Times New Roman"/>
          <w:kern w:val="0"/>
          <w14:ligatures w14:val="none"/>
        </w:rPr>
        <w:t xml:space="preserve"> </w:t>
      </w:r>
    </w:p>
    <w:p w:rsidR="0059289E" w:rsidP="00D03BE1" w:rsidRDefault="009A0DCB" w14:paraId="7A955BAC" w14:textId="27823F8B">
      <w:pPr>
        <w:keepNext/>
        <w:spacing w:before="120" w:after="240" w:line="240" w:lineRule="auto"/>
        <w:outlineLvl w:val="0"/>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We choose to adopt PG&amp;E’s second recommendation</w:t>
      </w:r>
      <w:r w:rsidR="00B548C3">
        <w:rPr>
          <w:rFonts w:ascii="Palatino Linotype" w:hAnsi="Palatino Linotype" w:eastAsia="Palatino Linotype" w:cs="Times New Roman"/>
          <w:kern w:val="0"/>
          <w14:ligatures w14:val="none"/>
        </w:rPr>
        <w:t xml:space="preserve"> to increase the annual refund limit corresponding to the ITCC.</w:t>
      </w:r>
      <w:r w:rsidR="00157339">
        <w:rPr>
          <w:rFonts w:ascii="Palatino Linotype" w:hAnsi="Palatino Linotype" w:eastAsia="Palatino Linotype" w:cs="Times New Roman"/>
          <w:kern w:val="0"/>
          <w14:ligatures w14:val="none"/>
        </w:rPr>
        <w:t xml:space="preserve"> </w:t>
      </w:r>
      <w:r w:rsidR="00BB01B9">
        <w:rPr>
          <w:rFonts w:ascii="Palatino Linotype" w:hAnsi="Palatino Linotype" w:eastAsia="Palatino Linotype" w:cs="Times New Roman"/>
          <w:kern w:val="0"/>
          <w14:ligatures w14:val="none"/>
        </w:rPr>
        <w:t>We note that</w:t>
      </w:r>
      <w:r w:rsidR="00A23064">
        <w:rPr>
          <w:rFonts w:ascii="Palatino Linotype" w:hAnsi="Palatino Linotype" w:eastAsia="Palatino Linotype" w:cs="Times New Roman"/>
          <w:kern w:val="0"/>
          <w14:ligatures w14:val="none"/>
        </w:rPr>
        <w:t>,</w:t>
      </w:r>
      <w:r w:rsidR="00BB01B9">
        <w:rPr>
          <w:rFonts w:ascii="Palatino Linotype" w:hAnsi="Palatino Linotype" w:eastAsia="Palatino Linotype" w:cs="Times New Roman"/>
          <w:kern w:val="0"/>
          <w14:ligatures w14:val="none"/>
        </w:rPr>
        <w:t xml:space="preserve"> </w:t>
      </w:r>
      <w:r w:rsidR="004E2DA6">
        <w:rPr>
          <w:rFonts w:ascii="Palatino Linotype" w:hAnsi="Palatino Linotype" w:eastAsia="Palatino Linotype" w:cs="Times New Roman"/>
          <w:kern w:val="0"/>
          <w14:ligatures w14:val="none"/>
        </w:rPr>
        <w:t>even without</w:t>
      </w:r>
      <w:r w:rsidR="00A23064">
        <w:rPr>
          <w:rFonts w:ascii="Palatino Linotype" w:hAnsi="Palatino Linotype" w:eastAsia="Palatino Linotype" w:cs="Times New Roman"/>
          <w:kern w:val="0"/>
          <w14:ligatures w14:val="none"/>
        </w:rPr>
        <w:t xml:space="preserve"> this modification, </w:t>
      </w:r>
      <w:r w:rsidR="00BB01B9">
        <w:rPr>
          <w:rFonts w:ascii="Palatino Linotype" w:hAnsi="Palatino Linotype" w:eastAsia="Palatino Linotype" w:cs="Times New Roman"/>
          <w:kern w:val="0"/>
          <w14:ligatures w14:val="none"/>
        </w:rPr>
        <w:t xml:space="preserve">the ITCC </w:t>
      </w:r>
      <w:r w:rsidR="006A605F">
        <w:rPr>
          <w:rFonts w:ascii="Palatino Linotype" w:hAnsi="Palatino Linotype" w:eastAsia="Palatino Linotype" w:cs="Times New Roman"/>
          <w:kern w:val="0"/>
          <w14:ligatures w14:val="none"/>
        </w:rPr>
        <w:t xml:space="preserve">is already included </w:t>
      </w:r>
      <w:r w:rsidR="00A23064">
        <w:rPr>
          <w:rFonts w:ascii="Palatino Linotype" w:hAnsi="Palatino Linotype" w:eastAsia="Palatino Linotype" w:cs="Times New Roman"/>
          <w:kern w:val="0"/>
          <w14:ligatures w14:val="none"/>
        </w:rPr>
        <w:t xml:space="preserve">in the refund calculation </w:t>
      </w:r>
      <w:r w:rsidR="00920362">
        <w:rPr>
          <w:rFonts w:ascii="Palatino Linotype" w:hAnsi="Palatino Linotype" w:eastAsia="Palatino Linotype" w:cs="Times New Roman"/>
          <w:kern w:val="0"/>
          <w14:ligatures w14:val="none"/>
        </w:rPr>
        <w:t>as part of the</w:t>
      </w:r>
      <w:r w:rsidR="006A605F">
        <w:rPr>
          <w:rFonts w:ascii="Palatino Linotype" w:hAnsi="Palatino Linotype" w:eastAsia="Palatino Linotype" w:cs="Times New Roman"/>
          <w:kern w:val="0"/>
          <w14:ligatures w14:val="none"/>
        </w:rPr>
        <w:t xml:space="preserve"> </w:t>
      </w:r>
      <w:r w:rsidR="00DC3994">
        <w:rPr>
          <w:rFonts w:ascii="Palatino Linotype" w:hAnsi="Palatino Linotype" w:eastAsia="Palatino Linotype" w:cs="Times New Roman"/>
          <w:kern w:val="0"/>
          <w14:ligatures w14:val="none"/>
        </w:rPr>
        <w:t>total</w:t>
      </w:r>
      <w:r w:rsidR="006A605F">
        <w:rPr>
          <w:rFonts w:ascii="Palatino Linotype" w:hAnsi="Palatino Linotype" w:eastAsia="Palatino Linotype" w:cs="Times New Roman"/>
          <w:kern w:val="0"/>
          <w14:ligatures w14:val="none"/>
        </w:rPr>
        <w:t xml:space="preserve"> refund amount that would be due to STACK Infrastructure.</w:t>
      </w:r>
      <w:r w:rsidR="004E2DA6">
        <w:rPr>
          <w:rFonts w:ascii="Palatino Linotype" w:hAnsi="Palatino Linotype" w:eastAsia="Palatino Linotype" w:cs="Times New Roman"/>
          <w:kern w:val="0"/>
          <w14:ligatures w14:val="none"/>
        </w:rPr>
        <w:t xml:space="preserve"> </w:t>
      </w:r>
      <w:r w:rsidR="0059289E">
        <w:rPr>
          <w:rFonts w:ascii="Palatino Linotype" w:hAnsi="Palatino Linotype" w:eastAsia="Palatino Linotype" w:cs="Times New Roman"/>
          <w:kern w:val="0"/>
          <w14:ligatures w14:val="none"/>
        </w:rPr>
        <w:t xml:space="preserve">We </w:t>
      </w:r>
      <w:r w:rsidR="00023AA2">
        <w:rPr>
          <w:rFonts w:ascii="Palatino Linotype" w:hAnsi="Palatino Linotype" w:eastAsia="Palatino Linotype" w:cs="Times New Roman"/>
          <w:kern w:val="0"/>
          <w14:ligatures w14:val="none"/>
        </w:rPr>
        <w:t xml:space="preserve">find it reasonable to also include </w:t>
      </w:r>
      <w:r w:rsidR="001E4FAA">
        <w:rPr>
          <w:rFonts w:ascii="Palatino Linotype" w:hAnsi="Palatino Linotype" w:eastAsia="Palatino Linotype" w:cs="Times New Roman"/>
          <w:kern w:val="0"/>
          <w14:ligatures w14:val="none"/>
        </w:rPr>
        <w:t>an</w:t>
      </w:r>
      <w:r w:rsidR="00023AA2">
        <w:rPr>
          <w:rFonts w:ascii="Palatino Linotype" w:hAnsi="Palatino Linotype" w:eastAsia="Palatino Linotype" w:cs="Times New Roman"/>
          <w:kern w:val="0"/>
          <w14:ligatures w14:val="none"/>
        </w:rPr>
        <w:t xml:space="preserve"> ITCC </w:t>
      </w:r>
      <w:r w:rsidR="001E4FAA">
        <w:rPr>
          <w:rFonts w:ascii="Palatino Linotype" w:hAnsi="Palatino Linotype" w:eastAsia="Palatino Linotype" w:cs="Times New Roman"/>
          <w:kern w:val="0"/>
          <w14:ligatures w14:val="none"/>
        </w:rPr>
        <w:t xml:space="preserve">adjustment when calculating the </w:t>
      </w:r>
      <w:r w:rsidR="00E63423">
        <w:rPr>
          <w:rFonts w:ascii="Palatino Linotype" w:hAnsi="Palatino Linotype" w:eastAsia="Palatino Linotype" w:cs="Times New Roman"/>
          <w:kern w:val="0"/>
          <w14:ligatures w14:val="none"/>
        </w:rPr>
        <w:t xml:space="preserve">annual refunds </w:t>
      </w:r>
      <w:r w:rsidR="00DB5444">
        <w:rPr>
          <w:rFonts w:ascii="Palatino Linotype" w:hAnsi="Palatino Linotype" w:eastAsia="Palatino Linotype" w:cs="Times New Roman"/>
          <w:kern w:val="0"/>
          <w14:ligatures w14:val="none"/>
        </w:rPr>
        <w:t>based on</w:t>
      </w:r>
      <w:r w:rsidR="00E63423">
        <w:rPr>
          <w:rFonts w:ascii="Palatino Linotype" w:hAnsi="Palatino Linotype" w:eastAsia="Palatino Linotype" w:cs="Times New Roman"/>
          <w:kern w:val="0"/>
          <w14:ligatures w14:val="none"/>
        </w:rPr>
        <w:t xml:space="preserve"> annual net revenues</w:t>
      </w:r>
      <w:r w:rsidR="00844DC2">
        <w:rPr>
          <w:rFonts w:ascii="Palatino Linotype" w:hAnsi="Palatino Linotype" w:eastAsia="Palatino Linotype" w:cs="Times New Roman"/>
          <w:kern w:val="0"/>
          <w14:ligatures w14:val="none"/>
        </w:rPr>
        <w:t xml:space="preserve">. Because the ITCC does not reflect direct infrastructure costs required to energize </w:t>
      </w:r>
      <w:r w:rsidR="00C80BD8">
        <w:rPr>
          <w:rFonts w:ascii="Palatino Linotype" w:hAnsi="Palatino Linotype" w:eastAsia="Palatino Linotype" w:cs="Times New Roman"/>
          <w:kern w:val="0"/>
          <w14:ligatures w14:val="none"/>
        </w:rPr>
        <w:t>STACK Infrastructure</w:t>
      </w:r>
      <w:r w:rsidR="00844DC2">
        <w:rPr>
          <w:rFonts w:ascii="Palatino Linotype" w:hAnsi="Palatino Linotype" w:eastAsia="Palatino Linotype" w:cs="Times New Roman"/>
          <w:kern w:val="0"/>
          <w14:ligatures w14:val="none"/>
        </w:rPr>
        <w:t xml:space="preserve">, it is reasonable to </w:t>
      </w:r>
      <w:r w:rsidR="000E34B0">
        <w:rPr>
          <w:rFonts w:ascii="Palatino Linotype" w:hAnsi="Palatino Linotype" w:eastAsia="Palatino Linotype" w:cs="Times New Roman"/>
          <w:kern w:val="0"/>
          <w14:ligatures w14:val="none"/>
        </w:rPr>
        <w:t xml:space="preserve">provide the </w:t>
      </w:r>
      <w:r w:rsidR="00A46E1E">
        <w:rPr>
          <w:rFonts w:ascii="Palatino Linotype" w:hAnsi="Palatino Linotype" w:eastAsia="Palatino Linotype" w:cs="Times New Roman"/>
          <w:kern w:val="0"/>
          <w14:ligatures w14:val="none"/>
        </w:rPr>
        <w:t>refund related to the ITCC</w:t>
      </w:r>
      <w:r w:rsidR="000E34B0">
        <w:rPr>
          <w:rFonts w:ascii="Palatino Linotype" w:hAnsi="Palatino Linotype" w:eastAsia="Palatino Linotype" w:cs="Times New Roman"/>
          <w:kern w:val="0"/>
          <w14:ligatures w14:val="none"/>
        </w:rPr>
        <w:t xml:space="preserve"> </w:t>
      </w:r>
      <w:r w:rsidR="0047221B">
        <w:rPr>
          <w:rFonts w:ascii="Palatino Linotype" w:hAnsi="Palatino Linotype" w:eastAsia="Palatino Linotype" w:cs="Times New Roman"/>
          <w:kern w:val="0"/>
          <w14:ligatures w14:val="none"/>
        </w:rPr>
        <w:t xml:space="preserve">as an </w:t>
      </w:r>
      <w:r w:rsidR="005C666B">
        <w:rPr>
          <w:rFonts w:ascii="Palatino Linotype" w:hAnsi="Palatino Linotype" w:eastAsia="Palatino Linotype" w:cs="Times New Roman"/>
          <w:kern w:val="0"/>
          <w14:ligatures w14:val="none"/>
        </w:rPr>
        <w:t xml:space="preserve">additional </w:t>
      </w:r>
      <w:r w:rsidR="0047221B">
        <w:rPr>
          <w:rFonts w:ascii="Palatino Linotype" w:hAnsi="Palatino Linotype" w:eastAsia="Palatino Linotype" w:cs="Times New Roman"/>
          <w:kern w:val="0"/>
          <w14:ligatures w14:val="none"/>
        </w:rPr>
        <w:t>adjustment</w:t>
      </w:r>
      <w:r w:rsidR="00A46E1E">
        <w:rPr>
          <w:rFonts w:ascii="Palatino Linotype" w:hAnsi="Palatino Linotype" w:eastAsia="Palatino Linotype" w:cs="Times New Roman"/>
          <w:kern w:val="0"/>
          <w14:ligatures w14:val="none"/>
        </w:rPr>
        <w:t xml:space="preserve"> to</w:t>
      </w:r>
      <w:r w:rsidR="000E34B0">
        <w:rPr>
          <w:rFonts w:ascii="Palatino Linotype" w:hAnsi="Palatino Linotype" w:eastAsia="Palatino Linotype" w:cs="Times New Roman"/>
          <w:kern w:val="0"/>
          <w14:ligatures w14:val="none"/>
        </w:rPr>
        <w:t xml:space="preserve"> the 75 percent limit</w:t>
      </w:r>
      <w:r w:rsidR="005C666B">
        <w:rPr>
          <w:rFonts w:ascii="Palatino Linotype" w:hAnsi="Palatino Linotype" w:eastAsia="Palatino Linotype" w:cs="Times New Roman"/>
          <w:kern w:val="0"/>
          <w14:ligatures w14:val="none"/>
        </w:rPr>
        <w:t>,</w:t>
      </w:r>
      <w:r w:rsidR="00C80BD8">
        <w:rPr>
          <w:rFonts w:ascii="Palatino Linotype" w:hAnsi="Palatino Linotype" w:eastAsia="Palatino Linotype" w:cs="Times New Roman"/>
          <w:kern w:val="0"/>
          <w14:ligatures w14:val="none"/>
        </w:rPr>
        <w:t xml:space="preserve"> as suggested by PG&amp;E</w:t>
      </w:r>
      <w:r w:rsidR="000E34B0">
        <w:rPr>
          <w:rFonts w:ascii="Palatino Linotype" w:hAnsi="Palatino Linotype" w:eastAsia="Palatino Linotype" w:cs="Times New Roman"/>
          <w:kern w:val="0"/>
          <w14:ligatures w14:val="none"/>
        </w:rPr>
        <w:t>.</w:t>
      </w:r>
      <w:r w:rsidR="00396EDA">
        <w:rPr>
          <w:rFonts w:ascii="Palatino Linotype" w:hAnsi="Palatino Linotype" w:eastAsia="Palatino Linotype" w:cs="Times New Roman"/>
          <w:kern w:val="0"/>
          <w14:ligatures w14:val="none"/>
        </w:rPr>
        <w:t xml:space="preserve"> </w:t>
      </w:r>
      <w:r w:rsidR="009C63A2">
        <w:rPr>
          <w:rFonts w:ascii="Palatino Linotype" w:hAnsi="Palatino Linotype" w:eastAsia="Palatino Linotype" w:cs="Times New Roman"/>
          <w:kern w:val="0"/>
          <w14:ligatures w14:val="none"/>
        </w:rPr>
        <w:t xml:space="preserve">This would multiply the annual refund limit by </w:t>
      </w:r>
      <w:r w:rsidR="001F28EB">
        <w:rPr>
          <w:rFonts w:ascii="Palatino Linotype" w:hAnsi="Palatino Linotype" w:eastAsia="Palatino Linotype" w:cs="Times New Roman"/>
          <w:kern w:val="0"/>
          <w14:ligatures w14:val="none"/>
        </w:rPr>
        <w:t xml:space="preserve">(1 + ITCC), </w:t>
      </w:r>
      <w:r w:rsidR="00B35A84">
        <w:rPr>
          <w:rFonts w:ascii="Palatino Linotype" w:hAnsi="Palatino Linotype" w:eastAsia="Palatino Linotype" w:cs="Times New Roman"/>
          <w:kern w:val="0"/>
          <w14:ligatures w14:val="none"/>
        </w:rPr>
        <w:t xml:space="preserve">effectively </w:t>
      </w:r>
      <w:r w:rsidR="001F28EB">
        <w:rPr>
          <w:rFonts w:ascii="Palatino Linotype" w:hAnsi="Palatino Linotype" w:eastAsia="Palatino Linotype" w:cs="Times New Roman"/>
          <w:kern w:val="0"/>
          <w14:ligatures w14:val="none"/>
        </w:rPr>
        <w:t>raising th</w:t>
      </w:r>
      <w:r w:rsidR="00A00E9A">
        <w:rPr>
          <w:rFonts w:ascii="Palatino Linotype" w:hAnsi="Palatino Linotype" w:eastAsia="Palatino Linotype" w:cs="Times New Roman"/>
          <w:kern w:val="0"/>
          <w14:ligatures w14:val="none"/>
        </w:rPr>
        <w:t>e annual refund</w:t>
      </w:r>
      <w:r w:rsidR="001F28EB">
        <w:rPr>
          <w:rFonts w:ascii="Palatino Linotype" w:hAnsi="Palatino Linotype" w:eastAsia="Palatino Linotype" w:cs="Times New Roman"/>
          <w:kern w:val="0"/>
          <w14:ligatures w14:val="none"/>
        </w:rPr>
        <w:t xml:space="preserve"> limit</w:t>
      </w:r>
      <w:r w:rsidR="00F144F2">
        <w:rPr>
          <w:rFonts w:ascii="Palatino Linotype" w:hAnsi="Palatino Linotype" w:eastAsia="Palatino Linotype" w:cs="Times New Roman"/>
          <w:kern w:val="0"/>
          <w14:ligatures w14:val="none"/>
        </w:rPr>
        <w:t xml:space="preserve"> and reducing the time until STACK Infrastructure receives a full refund.</w:t>
      </w:r>
    </w:p>
    <w:p w:rsidR="00690546" w:rsidP="00B41E79" w:rsidRDefault="00D03BE1" w14:paraId="43139696" w14:textId="69E6D74C">
      <w:pPr>
        <w:keepNext/>
        <w:spacing w:before="120" w:after="240" w:line="240" w:lineRule="auto"/>
        <w:outlineLvl w:val="0"/>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We also choose to adopt PG&amp;E’s recommended extension of the refund period to </w:t>
      </w:r>
      <w:r w:rsidR="008C0F43">
        <w:rPr>
          <w:rFonts w:ascii="Palatino Linotype" w:hAnsi="Palatino Linotype" w:eastAsia="Palatino Linotype" w:cs="Times New Roman"/>
          <w:kern w:val="0"/>
          <w14:ligatures w14:val="none"/>
        </w:rPr>
        <w:br/>
      </w:r>
      <w:r>
        <w:rPr>
          <w:rFonts w:ascii="Palatino Linotype" w:hAnsi="Palatino Linotype" w:eastAsia="Palatino Linotype" w:cs="Times New Roman"/>
          <w:kern w:val="0"/>
          <w14:ligatures w14:val="none"/>
        </w:rPr>
        <w:t>15 years.</w:t>
      </w:r>
      <w:r w:rsidR="00E64B33">
        <w:rPr>
          <w:rFonts w:ascii="Palatino Linotype" w:hAnsi="Palatino Linotype" w:eastAsia="Palatino Linotype" w:cs="Times New Roman"/>
          <w:kern w:val="0"/>
          <w14:ligatures w14:val="none"/>
        </w:rPr>
        <w:t xml:space="preserve"> We note that the standard BARC process, as well as the terms originally agreed to by PG&amp;E and STACK, already include a risk that STACK</w:t>
      </w:r>
      <w:r w:rsidR="00BA6720">
        <w:rPr>
          <w:rFonts w:ascii="Palatino Linotype" w:hAnsi="Palatino Linotype" w:eastAsia="Palatino Linotype" w:cs="Times New Roman"/>
          <w:kern w:val="0"/>
          <w14:ligatures w14:val="none"/>
        </w:rPr>
        <w:t xml:space="preserve"> or any customer</w:t>
      </w:r>
      <w:r w:rsidR="00E64B33">
        <w:rPr>
          <w:rFonts w:ascii="Palatino Linotype" w:hAnsi="Palatino Linotype" w:eastAsia="Palatino Linotype" w:cs="Times New Roman"/>
          <w:kern w:val="0"/>
          <w14:ligatures w14:val="none"/>
        </w:rPr>
        <w:t xml:space="preserve"> might not receive its full refund if </w:t>
      </w:r>
      <w:r w:rsidR="00BA6720">
        <w:rPr>
          <w:rFonts w:ascii="Palatino Linotype" w:hAnsi="Palatino Linotype" w:eastAsia="Palatino Linotype" w:cs="Times New Roman"/>
          <w:kern w:val="0"/>
          <w14:ligatures w14:val="none"/>
        </w:rPr>
        <w:t>it does not</w:t>
      </w:r>
      <w:r w:rsidR="00E64B33">
        <w:rPr>
          <w:rFonts w:ascii="Palatino Linotype" w:hAnsi="Palatino Linotype" w:eastAsia="Palatino Linotype" w:cs="Times New Roman"/>
          <w:kern w:val="0"/>
          <w14:ligatures w14:val="none"/>
        </w:rPr>
        <w:t xml:space="preserve"> ramp up to sufficiently high load during the 10</w:t>
      </w:r>
      <w:r w:rsidR="00BA6720">
        <w:rPr>
          <w:rFonts w:ascii="Palatino Linotype" w:hAnsi="Palatino Linotype" w:eastAsia="Palatino Linotype" w:cs="Times New Roman"/>
          <w:kern w:val="0"/>
          <w14:ligatures w14:val="none"/>
        </w:rPr>
        <w:t>-</w:t>
      </w:r>
      <w:r w:rsidR="00E64B33">
        <w:rPr>
          <w:rFonts w:ascii="Palatino Linotype" w:hAnsi="Palatino Linotype" w:eastAsia="Palatino Linotype" w:cs="Times New Roman"/>
          <w:kern w:val="0"/>
          <w14:ligatures w14:val="none"/>
        </w:rPr>
        <w:t xml:space="preserve">year </w:t>
      </w:r>
      <w:r w:rsidR="00BA6720">
        <w:rPr>
          <w:rFonts w:ascii="Palatino Linotype" w:hAnsi="Palatino Linotype" w:eastAsia="Palatino Linotype" w:cs="Times New Roman"/>
          <w:kern w:val="0"/>
          <w14:ligatures w14:val="none"/>
        </w:rPr>
        <w:t xml:space="preserve">refund </w:t>
      </w:r>
      <w:r w:rsidR="00E64B33">
        <w:rPr>
          <w:rFonts w:ascii="Palatino Linotype" w:hAnsi="Palatino Linotype" w:eastAsia="Palatino Linotype" w:cs="Times New Roman"/>
          <w:kern w:val="0"/>
          <w14:ligatures w14:val="none"/>
        </w:rPr>
        <w:t xml:space="preserve">period. As we note above, the modifications here are expected to lead to a full refund for STACK </w:t>
      </w:r>
      <w:r w:rsidR="005D7273">
        <w:rPr>
          <w:rFonts w:ascii="Palatino Linotype" w:hAnsi="Palatino Linotype" w:eastAsia="Palatino Linotype" w:cs="Times New Roman"/>
          <w:kern w:val="0"/>
          <w14:ligatures w14:val="none"/>
        </w:rPr>
        <w:t>I</w:t>
      </w:r>
      <w:r w:rsidR="00E64B33">
        <w:rPr>
          <w:rFonts w:ascii="Palatino Linotype" w:hAnsi="Palatino Linotype" w:eastAsia="Palatino Linotype" w:cs="Times New Roman"/>
          <w:kern w:val="0"/>
          <w14:ligatures w14:val="none"/>
        </w:rPr>
        <w:t>nfrastructure in 6 years</w:t>
      </w:r>
      <w:r w:rsidR="00F144F2">
        <w:rPr>
          <w:rFonts w:ascii="Palatino Linotype" w:hAnsi="Palatino Linotype" w:eastAsia="Palatino Linotype" w:cs="Times New Roman"/>
          <w:kern w:val="0"/>
          <w14:ligatures w14:val="none"/>
        </w:rPr>
        <w:t xml:space="preserve"> or </w:t>
      </w:r>
      <w:r w:rsidR="005E6804">
        <w:rPr>
          <w:rFonts w:ascii="Palatino Linotype" w:hAnsi="Palatino Linotype" w:eastAsia="Palatino Linotype" w:cs="Times New Roman"/>
          <w:kern w:val="0"/>
          <w14:ligatures w14:val="none"/>
        </w:rPr>
        <w:t>fewer</w:t>
      </w:r>
      <w:r w:rsidR="00F144F2">
        <w:rPr>
          <w:rFonts w:ascii="Palatino Linotype" w:hAnsi="Palatino Linotype" w:eastAsia="Palatino Linotype" w:cs="Times New Roman"/>
          <w:kern w:val="0"/>
          <w14:ligatures w14:val="none"/>
        </w:rPr>
        <w:t xml:space="preserve"> with the </w:t>
      </w:r>
      <w:r w:rsidR="005E6804">
        <w:rPr>
          <w:rFonts w:ascii="Palatino Linotype" w:hAnsi="Palatino Linotype" w:eastAsia="Palatino Linotype" w:cs="Times New Roman"/>
          <w:kern w:val="0"/>
          <w14:ligatures w14:val="none"/>
        </w:rPr>
        <w:t xml:space="preserve">addition </w:t>
      </w:r>
      <w:r w:rsidR="00F144F2">
        <w:rPr>
          <w:rFonts w:ascii="Palatino Linotype" w:hAnsi="Palatino Linotype" w:eastAsia="Palatino Linotype" w:cs="Times New Roman"/>
          <w:kern w:val="0"/>
          <w14:ligatures w14:val="none"/>
        </w:rPr>
        <w:t>of the ITCC</w:t>
      </w:r>
      <w:r w:rsidR="00E64B33">
        <w:rPr>
          <w:rFonts w:ascii="Palatino Linotype" w:hAnsi="Palatino Linotype" w:eastAsia="Palatino Linotype" w:cs="Times New Roman"/>
          <w:kern w:val="0"/>
          <w14:ligatures w14:val="none"/>
        </w:rPr>
        <w:t>, well within th</w:t>
      </w:r>
      <w:r w:rsidR="00BA6720">
        <w:rPr>
          <w:rFonts w:ascii="Palatino Linotype" w:hAnsi="Palatino Linotype" w:eastAsia="Palatino Linotype" w:cs="Times New Roman"/>
          <w:kern w:val="0"/>
          <w14:ligatures w14:val="none"/>
        </w:rPr>
        <w:t>is</w:t>
      </w:r>
      <w:r w:rsidR="00E64B33">
        <w:rPr>
          <w:rFonts w:ascii="Palatino Linotype" w:hAnsi="Palatino Linotype" w:eastAsia="Palatino Linotype" w:cs="Times New Roman"/>
          <w:kern w:val="0"/>
          <w14:ligatures w14:val="none"/>
        </w:rPr>
        <w:t xml:space="preserve"> 10-year </w:t>
      </w:r>
      <w:r w:rsidR="00BA6720">
        <w:rPr>
          <w:rFonts w:ascii="Palatino Linotype" w:hAnsi="Palatino Linotype" w:eastAsia="Palatino Linotype" w:cs="Times New Roman"/>
          <w:kern w:val="0"/>
          <w14:ligatures w14:val="none"/>
        </w:rPr>
        <w:t>refund period.</w:t>
      </w:r>
      <w:r w:rsidR="00E64B33">
        <w:rPr>
          <w:rFonts w:ascii="Palatino Linotype" w:hAnsi="Palatino Linotype" w:eastAsia="Palatino Linotype" w:cs="Times New Roman"/>
          <w:kern w:val="0"/>
          <w14:ligatures w14:val="none"/>
        </w:rPr>
        <w:t xml:space="preserve"> </w:t>
      </w:r>
      <w:r w:rsidR="00AC1753">
        <w:rPr>
          <w:rFonts w:ascii="Palatino Linotype" w:hAnsi="Palatino Linotype" w:eastAsia="Palatino Linotype" w:cs="Times New Roman"/>
          <w:kern w:val="0"/>
          <w14:ligatures w14:val="none"/>
        </w:rPr>
        <w:t xml:space="preserve">We disagree with PG&amp;E that “if STACK’s ramp up to full utilization is even slightly delayed, STACK is at risk of not </w:t>
      </w:r>
      <w:r w:rsidR="00AC1753">
        <w:rPr>
          <w:rFonts w:ascii="Palatino Linotype" w:hAnsi="Palatino Linotype" w:eastAsia="Palatino Linotype" w:cs="Times New Roman"/>
          <w:kern w:val="0"/>
          <w14:ligatures w14:val="none"/>
        </w:rPr>
        <w:lastRenderedPageBreak/>
        <w:t>receiving a full refund before the 10-year cap elapses.”</w:t>
      </w:r>
      <w:r w:rsidR="00AC1753">
        <w:rPr>
          <w:rStyle w:val="FootnoteReference"/>
          <w:rFonts w:ascii="Palatino Linotype" w:hAnsi="Palatino Linotype" w:eastAsia="Palatino Linotype" w:cs="Times New Roman"/>
          <w:kern w:val="0"/>
          <w14:ligatures w14:val="none"/>
        </w:rPr>
        <w:footnoteReference w:id="22"/>
      </w:r>
      <w:r w:rsidR="00AC1753">
        <w:rPr>
          <w:rFonts w:ascii="Palatino Linotype" w:hAnsi="Palatino Linotype" w:eastAsia="Palatino Linotype" w:cs="Times New Roman"/>
          <w:kern w:val="0"/>
          <w14:ligatures w14:val="none"/>
        </w:rPr>
        <w:t xml:space="preserve"> </w:t>
      </w:r>
      <w:r w:rsidR="005D7273">
        <w:rPr>
          <w:rFonts w:ascii="Palatino Linotype" w:hAnsi="Palatino Linotype" w:eastAsia="Palatino Linotype" w:cs="Times New Roman"/>
          <w:kern w:val="0"/>
          <w14:ligatures w14:val="none"/>
        </w:rPr>
        <w:t xml:space="preserve">However, </w:t>
      </w:r>
      <w:r w:rsidR="00DA3C0D">
        <w:rPr>
          <w:rFonts w:ascii="Palatino Linotype" w:hAnsi="Palatino Linotype" w:eastAsia="Palatino Linotype" w:cs="Times New Roman"/>
          <w:kern w:val="0"/>
          <w14:ligatures w14:val="none"/>
        </w:rPr>
        <w:t>limiting annual refunds to annual net revenues</w:t>
      </w:r>
      <w:r w:rsidR="005D7273">
        <w:rPr>
          <w:rFonts w:ascii="Palatino Linotype" w:hAnsi="Palatino Linotype" w:eastAsia="Palatino Linotype" w:cs="Times New Roman"/>
          <w:kern w:val="0"/>
          <w14:ligatures w14:val="none"/>
        </w:rPr>
        <w:t xml:space="preserve"> does increase the </w:t>
      </w:r>
      <w:r w:rsidR="00AC1753">
        <w:rPr>
          <w:rFonts w:ascii="Palatino Linotype" w:hAnsi="Palatino Linotype" w:eastAsia="Palatino Linotype" w:cs="Times New Roman"/>
          <w:kern w:val="0"/>
          <w14:ligatures w14:val="none"/>
        </w:rPr>
        <w:t>risk</w:t>
      </w:r>
      <w:r w:rsidR="005D7273">
        <w:rPr>
          <w:rFonts w:ascii="Palatino Linotype" w:hAnsi="Palatino Linotype" w:eastAsia="Palatino Linotype" w:cs="Times New Roman"/>
          <w:kern w:val="0"/>
          <w14:ligatures w14:val="none"/>
        </w:rPr>
        <w:t xml:space="preserve"> that STACK Infrastructure</w:t>
      </w:r>
      <w:r w:rsidR="00DA3C0D">
        <w:rPr>
          <w:rFonts w:ascii="Palatino Linotype" w:hAnsi="Palatino Linotype" w:eastAsia="Palatino Linotype" w:cs="Times New Roman"/>
          <w:kern w:val="0"/>
          <w14:ligatures w14:val="none"/>
        </w:rPr>
        <w:t xml:space="preserve"> does not receive a full refund within 10 years</w:t>
      </w:r>
      <w:r w:rsidR="00AC1753">
        <w:rPr>
          <w:rFonts w:ascii="Palatino Linotype" w:hAnsi="Palatino Linotype" w:eastAsia="Palatino Linotype" w:cs="Times New Roman"/>
          <w:kern w:val="0"/>
          <w14:ligatures w14:val="none"/>
        </w:rPr>
        <w:t xml:space="preserve">, and we find it reasonable to mitigate this risk by extending the refund period to 15 years. </w:t>
      </w:r>
      <w:r w:rsidR="0018053E">
        <w:rPr>
          <w:rFonts w:ascii="Palatino Linotype" w:hAnsi="Palatino Linotype" w:eastAsia="Palatino Linotype" w:cs="Times New Roman"/>
          <w:kern w:val="0"/>
          <w14:ligatures w14:val="none"/>
        </w:rPr>
        <w:t>Even with a 15-year refund period, the total refund cannot be more than STACK</w:t>
      </w:r>
      <w:r w:rsidR="000A5C3E">
        <w:rPr>
          <w:rFonts w:ascii="Palatino Linotype" w:hAnsi="Palatino Linotype" w:eastAsia="Palatino Linotype" w:cs="Times New Roman"/>
          <w:kern w:val="0"/>
          <w14:ligatures w14:val="none"/>
        </w:rPr>
        <w:t xml:space="preserve"> Infrastructure’s initial advance</w:t>
      </w:r>
      <w:r w:rsidR="005B2937">
        <w:rPr>
          <w:rFonts w:ascii="Palatino Linotype" w:hAnsi="Palatino Linotype" w:eastAsia="Palatino Linotype" w:cs="Times New Roman"/>
          <w:kern w:val="0"/>
          <w14:ligatures w14:val="none"/>
        </w:rPr>
        <w:t xml:space="preserve">. </w:t>
      </w:r>
    </w:p>
    <w:p w:rsidR="00BA6720" w:rsidP="008C0F43" w:rsidRDefault="00BA6720" w14:paraId="1D43A61E" w14:textId="42C13F85">
      <w:pPr>
        <w:keepNext/>
        <w:spacing w:before="240" w:after="240" w:line="240" w:lineRule="auto"/>
        <w:outlineLvl w:val="0"/>
        <w:rPr>
          <w:rFonts w:ascii="Palatino Linotype" w:hAnsi="Palatino Linotype" w:eastAsia="Palatino Linotype" w:cs="Times New Roman"/>
          <w:kern w:val="0"/>
          <w14:ligatures w14:val="none"/>
        </w:rPr>
      </w:pPr>
      <w:r>
        <w:rPr>
          <w:rFonts w:ascii="Palatino Linotype" w:hAnsi="Palatino Linotype" w:eastAsia="Palatino Linotype" w:cs="Times New Roman"/>
          <w:b/>
          <w:bCs/>
          <w:kern w:val="0"/>
          <w14:ligatures w14:val="none"/>
        </w:rPr>
        <w:t>STACK Infrastructure</w:t>
      </w:r>
    </w:p>
    <w:p w:rsidR="00BA6720" w:rsidP="00B41E79" w:rsidRDefault="00BA6720" w14:paraId="5CE45833" w14:textId="45EFB0FC">
      <w:pPr>
        <w:keepNext/>
        <w:spacing w:before="120" w:after="240" w:line="240" w:lineRule="auto"/>
        <w:outlineLvl w:val="0"/>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In its comments, STACK Infrastructure argues against limiting refunds to 75 percent of </w:t>
      </w:r>
      <w:r w:rsidR="00FE5330">
        <w:rPr>
          <w:rFonts w:ascii="Palatino Linotype" w:hAnsi="Palatino Linotype" w:eastAsia="Palatino Linotype" w:cs="Times New Roman"/>
          <w:kern w:val="0"/>
          <w14:ligatures w14:val="none"/>
        </w:rPr>
        <w:t xml:space="preserve">the </w:t>
      </w:r>
      <w:r>
        <w:rPr>
          <w:rFonts w:ascii="Palatino Linotype" w:hAnsi="Palatino Linotype" w:eastAsia="Palatino Linotype" w:cs="Times New Roman"/>
          <w:kern w:val="0"/>
          <w14:ligatures w14:val="none"/>
        </w:rPr>
        <w:t>net revenues</w:t>
      </w:r>
      <w:r w:rsidR="00FE5330">
        <w:rPr>
          <w:rFonts w:ascii="Palatino Linotype" w:hAnsi="Palatino Linotype" w:eastAsia="Palatino Linotype" w:cs="Times New Roman"/>
          <w:kern w:val="0"/>
          <w14:ligatures w14:val="none"/>
        </w:rPr>
        <w:t xml:space="preserve"> PG&amp;E </w:t>
      </w:r>
      <w:r w:rsidR="00324AB6">
        <w:rPr>
          <w:rFonts w:ascii="Palatino Linotype" w:hAnsi="Palatino Linotype" w:eastAsia="Palatino Linotype" w:cs="Times New Roman"/>
          <w:kern w:val="0"/>
          <w14:ligatures w14:val="none"/>
        </w:rPr>
        <w:t xml:space="preserve">would </w:t>
      </w:r>
      <w:r w:rsidR="00FE5330">
        <w:rPr>
          <w:rFonts w:ascii="Palatino Linotype" w:hAnsi="Palatino Linotype" w:eastAsia="Palatino Linotype" w:cs="Times New Roman"/>
          <w:kern w:val="0"/>
          <w14:ligatures w14:val="none"/>
        </w:rPr>
        <w:t>receive from them</w:t>
      </w:r>
      <w:r w:rsidR="00324AB6">
        <w:rPr>
          <w:rFonts w:ascii="Palatino Linotype" w:hAnsi="Palatino Linotype" w:eastAsia="Palatino Linotype" w:cs="Times New Roman"/>
          <w:kern w:val="0"/>
          <w14:ligatures w14:val="none"/>
        </w:rPr>
        <w:t xml:space="preserve"> as a customer</w:t>
      </w:r>
      <w:r>
        <w:rPr>
          <w:rFonts w:ascii="Palatino Linotype" w:hAnsi="Palatino Linotype" w:eastAsia="Palatino Linotype" w:cs="Times New Roman"/>
          <w:kern w:val="0"/>
          <w14:ligatures w14:val="none"/>
        </w:rPr>
        <w:t xml:space="preserve">. STACK argues (1) that this limitation of refunds amounts to a retroactive change to tariffs and rules, and as such should not occur, (2) that </w:t>
      </w:r>
      <w:r w:rsidR="00FE5330">
        <w:rPr>
          <w:rFonts w:ascii="Palatino Linotype" w:hAnsi="Palatino Linotype" w:eastAsia="Palatino Linotype" w:cs="Times New Roman"/>
          <w:kern w:val="0"/>
          <w14:ligatures w14:val="none"/>
        </w:rPr>
        <w:t xml:space="preserve">the refund limitation does not give STACK interest on its advance, and prevents STACK from re-deploying that capital into other projects, </w:t>
      </w:r>
      <w:r w:rsidR="00532844">
        <w:rPr>
          <w:rFonts w:ascii="Palatino Linotype" w:hAnsi="Palatino Linotype" w:eastAsia="Palatino Linotype" w:cs="Times New Roman"/>
          <w:kern w:val="0"/>
          <w14:ligatures w14:val="none"/>
        </w:rPr>
        <w:br/>
      </w:r>
      <w:r w:rsidR="00FE5330">
        <w:rPr>
          <w:rFonts w:ascii="Palatino Linotype" w:hAnsi="Palatino Linotype" w:eastAsia="Palatino Linotype" w:cs="Times New Roman"/>
          <w:kern w:val="0"/>
          <w14:ligatures w14:val="none"/>
        </w:rPr>
        <w:t>(3) that the modifications puts STACK at risk of never recovering its full refund, (4) that the Ringwood substation should count as a broader transmission network upgrade benefitting all customers, and as such STACK is already supporting customers by advancing the cost to construct it, (5) that the refund methodology cannot be justified in light of Fe</w:t>
      </w:r>
      <w:r w:rsidR="00FE4AB2">
        <w:rPr>
          <w:rFonts w:ascii="Palatino Linotype" w:hAnsi="Palatino Linotype" w:eastAsia="Palatino Linotype" w:cs="Times New Roman"/>
          <w:kern w:val="0"/>
          <w14:ligatures w14:val="none"/>
        </w:rPr>
        <w:t>deral Energy Regulatory Commission (FERC) rules. More broadly, STACK claims that the modified BARC methodology proposed here “fundamentally thwarts the settled commercial expectations of the parties and fundamentally alters the economics of the agreements”</w:t>
      </w:r>
      <w:r w:rsidR="00FE4AB2">
        <w:rPr>
          <w:rStyle w:val="FootnoteReference"/>
          <w:rFonts w:ascii="Palatino Linotype" w:hAnsi="Palatino Linotype" w:eastAsia="Palatino Linotype" w:cs="Times New Roman"/>
          <w:kern w:val="0"/>
          <w14:ligatures w14:val="none"/>
        </w:rPr>
        <w:footnoteReference w:id="23"/>
      </w:r>
      <w:r w:rsidR="00FE4AB2">
        <w:rPr>
          <w:rFonts w:ascii="Palatino Linotype" w:hAnsi="Palatino Linotype" w:eastAsia="Palatino Linotype" w:cs="Times New Roman"/>
          <w:kern w:val="0"/>
          <w14:ligatures w14:val="none"/>
        </w:rPr>
        <w:t xml:space="preserve"> due to the lack of interest payments, inability to redeploy capital, and the risk of not receiving a full refund.</w:t>
      </w:r>
    </w:p>
    <w:p w:rsidR="00764242" w:rsidP="00B41E79" w:rsidRDefault="00764242" w14:paraId="44088730" w14:textId="413E1529">
      <w:pPr>
        <w:keepNext/>
        <w:spacing w:before="120" w:after="240" w:line="240" w:lineRule="auto"/>
        <w:outlineLvl w:val="0"/>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As we </w:t>
      </w:r>
      <w:r w:rsidR="00741C60">
        <w:rPr>
          <w:rFonts w:ascii="Palatino Linotype" w:hAnsi="Palatino Linotype" w:eastAsia="Palatino Linotype" w:cs="Times New Roman"/>
          <w:kern w:val="0"/>
          <w14:ligatures w14:val="none"/>
        </w:rPr>
        <w:t xml:space="preserve">already </w:t>
      </w:r>
      <w:r>
        <w:rPr>
          <w:rFonts w:ascii="Palatino Linotype" w:hAnsi="Palatino Linotype" w:eastAsia="Palatino Linotype" w:cs="Times New Roman"/>
          <w:kern w:val="0"/>
          <w14:ligatures w14:val="none"/>
        </w:rPr>
        <w:t xml:space="preserve">noted </w:t>
      </w:r>
      <w:r w:rsidR="00741C60">
        <w:rPr>
          <w:rFonts w:ascii="Palatino Linotype" w:hAnsi="Palatino Linotype" w:eastAsia="Palatino Linotype" w:cs="Times New Roman"/>
          <w:kern w:val="0"/>
          <w14:ligatures w14:val="none"/>
        </w:rPr>
        <w:t xml:space="preserve">in the section on PG&amp;E’s comments </w:t>
      </w:r>
      <w:r>
        <w:rPr>
          <w:rFonts w:ascii="Palatino Linotype" w:hAnsi="Palatino Linotype" w:eastAsia="Palatino Linotype" w:cs="Times New Roman"/>
          <w:kern w:val="0"/>
          <w14:ligatures w14:val="none"/>
        </w:rPr>
        <w:t>above,</w:t>
      </w:r>
      <w:r w:rsidR="00741C60">
        <w:rPr>
          <w:rFonts w:ascii="Palatino Linotype" w:hAnsi="Palatino Linotype" w:eastAsia="Palatino Linotype" w:cs="Times New Roman"/>
          <w:kern w:val="0"/>
          <w14:ligatures w14:val="none"/>
        </w:rPr>
        <w:t xml:space="preserve"> </w:t>
      </w:r>
      <w:r>
        <w:rPr>
          <w:rFonts w:ascii="Palatino Linotype" w:hAnsi="Palatino Linotype" w:eastAsia="Palatino Linotype" w:cs="Times New Roman"/>
          <w:kern w:val="0"/>
          <w14:ligatures w14:val="none"/>
        </w:rPr>
        <w:t xml:space="preserve">there are not existing tariffs and rules that directly apply to the energization of STACK Infrastructure. Advice Letter 7569-E is an exceptional case filing for this reason. The modifications proposed here cannot be a retroactive change to tariffs and rules, as STACK claims, because established tariffs and rules </w:t>
      </w:r>
      <w:r w:rsidR="002905DC">
        <w:rPr>
          <w:rFonts w:ascii="Palatino Linotype" w:hAnsi="Palatino Linotype" w:eastAsia="Palatino Linotype" w:cs="Times New Roman"/>
          <w:kern w:val="0"/>
          <w14:ligatures w14:val="none"/>
        </w:rPr>
        <w:t xml:space="preserve">for this energization type </w:t>
      </w:r>
      <w:r>
        <w:rPr>
          <w:rFonts w:ascii="Palatino Linotype" w:hAnsi="Palatino Linotype" w:eastAsia="Palatino Linotype" w:cs="Times New Roman"/>
          <w:kern w:val="0"/>
          <w14:ligatures w14:val="none"/>
        </w:rPr>
        <w:t>do not yet exist. As STACK Infrastructure itself notes, a standard rule for large load, transmission level customers remains pending in the Rule 30 Proceeding.</w:t>
      </w:r>
      <w:r w:rsidR="00741C60">
        <w:rPr>
          <w:rFonts w:ascii="Palatino Linotype" w:hAnsi="Palatino Linotype" w:eastAsia="Palatino Linotype" w:cs="Times New Roman"/>
          <w:kern w:val="0"/>
          <w14:ligatures w14:val="none"/>
        </w:rPr>
        <w:t xml:space="preserve"> </w:t>
      </w:r>
    </w:p>
    <w:p w:rsidR="00741C60" w:rsidP="00B41E79" w:rsidRDefault="00714F74" w14:paraId="69498B6F" w14:textId="07A0D1EC">
      <w:pPr>
        <w:keepNext/>
        <w:spacing w:before="120" w:after="240" w:line="240" w:lineRule="auto"/>
        <w:outlineLvl w:val="0"/>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STACK’s claim that the proposed modifications do not provide it with interest payments on its advance, and may delay its ability to reinvest its capital, are correct </w:t>
      </w:r>
      <w:r w:rsidR="00BF32A6">
        <w:rPr>
          <w:rFonts w:ascii="Palatino Linotype" w:hAnsi="Palatino Linotype" w:eastAsia="Palatino Linotype" w:cs="Times New Roman"/>
          <w:kern w:val="0"/>
          <w14:ligatures w14:val="none"/>
        </w:rPr>
        <w:t xml:space="preserve">but not </w:t>
      </w:r>
      <w:r w:rsidR="004E74BA">
        <w:rPr>
          <w:rFonts w:ascii="Palatino Linotype" w:hAnsi="Palatino Linotype" w:eastAsia="Palatino Linotype" w:cs="Times New Roman"/>
          <w:kern w:val="0"/>
          <w14:ligatures w14:val="none"/>
        </w:rPr>
        <w:t>caused by</w:t>
      </w:r>
      <w:r w:rsidR="00BF32A6">
        <w:rPr>
          <w:rFonts w:ascii="Palatino Linotype" w:hAnsi="Palatino Linotype" w:eastAsia="Palatino Linotype" w:cs="Times New Roman"/>
          <w:kern w:val="0"/>
          <w14:ligatures w14:val="none"/>
        </w:rPr>
        <w:t xml:space="preserve"> the</w:t>
      </w:r>
      <w:r>
        <w:rPr>
          <w:rFonts w:ascii="Palatino Linotype" w:hAnsi="Palatino Linotype" w:eastAsia="Palatino Linotype" w:cs="Times New Roman"/>
          <w:kern w:val="0"/>
          <w14:ligatures w14:val="none"/>
        </w:rPr>
        <w:t xml:space="preserve"> modifications proposed </w:t>
      </w:r>
      <w:r w:rsidR="004E74BA">
        <w:rPr>
          <w:rFonts w:ascii="Palatino Linotype" w:hAnsi="Palatino Linotype" w:eastAsia="Palatino Linotype" w:cs="Times New Roman"/>
          <w:kern w:val="0"/>
          <w14:ligatures w14:val="none"/>
        </w:rPr>
        <w:t>in this Resolution</w:t>
      </w:r>
      <w:r>
        <w:rPr>
          <w:rFonts w:ascii="Palatino Linotype" w:hAnsi="Palatino Linotype" w:eastAsia="Palatino Linotype" w:cs="Times New Roman"/>
          <w:kern w:val="0"/>
          <w14:ligatures w14:val="none"/>
        </w:rPr>
        <w:t xml:space="preserve">. In </w:t>
      </w:r>
      <w:r w:rsidR="004E74BA">
        <w:rPr>
          <w:rFonts w:ascii="Palatino Linotype" w:hAnsi="Palatino Linotype" w:eastAsia="Palatino Linotype" w:cs="Times New Roman"/>
          <w:kern w:val="0"/>
          <w14:ligatures w14:val="none"/>
        </w:rPr>
        <w:t xml:space="preserve">both </w:t>
      </w:r>
      <w:r w:rsidR="00BF32A6">
        <w:rPr>
          <w:rFonts w:ascii="Palatino Linotype" w:hAnsi="Palatino Linotype" w:eastAsia="Palatino Linotype" w:cs="Times New Roman"/>
          <w:kern w:val="0"/>
          <w14:ligatures w14:val="none"/>
        </w:rPr>
        <w:t>the standard BARC process</w:t>
      </w:r>
      <w:r w:rsidR="004E74BA">
        <w:rPr>
          <w:rFonts w:ascii="Palatino Linotype" w:hAnsi="Palatino Linotype" w:eastAsia="Palatino Linotype" w:cs="Times New Roman"/>
          <w:kern w:val="0"/>
          <w14:ligatures w14:val="none"/>
        </w:rPr>
        <w:t xml:space="preserve"> and the modified process proposed here</w:t>
      </w:r>
      <w:r>
        <w:rPr>
          <w:rFonts w:ascii="Palatino Linotype" w:hAnsi="Palatino Linotype" w:eastAsia="Palatino Linotype" w:cs="Times New Roman"/>
          <w:kern w:val="0"/>
          <w14:ligatures w14:val="none"/>
        </w:rPr>
        <w:t>, the customer</w:t>
      </w:r>
      <w:r w:rsidR="00BF32A6">
        <w:rPr>
          <w:rFonts w:ascii="Palatino Linotype" w:hAnsi="Palatino Linotype" w:eastAsia="Palatino Linotype" w:cs="Times New Roman"/>
          <w:kern w:val="0"/>
          <w14:ligatures w14:val="none"/>
        </w:rPr>
        <w:t xml:space="preserve"> must </w:t>
      </w:r>
      <w:r>
        <w:rPr>
          <w:rFonts w:ascii="Palatino Linotype" w:hAnsi="Palatino Linotype" w:eastAsia="Palatino Linotype" w:cs="Times New Roman"/>
          <w:kern w:val="0"/>
          <w14:ligatures w14:val="none"/>
        </w:rPr>
        <w:t>provide a capital advance, which is later refunded without interest based on the actual net revenues received from th</w:t>
      </w:r>
      <w:r w:rsidR="00774726">
        <w:rPr>
          <w:rFonts w:ascii="Palatino Linotype" w:hAnsi="Palatino Linotype" w:eastAsia="Palatino Linotype" w:cs="Times New Roman"/>
          <w:kern w:val="0"/>
          <w14:ligatures w14:val="none"/>
        </w:rPr>
        <w:t>at</w:t>
      </w:r>
      <w:r>
        <w:rPr>
          <w:rFonts w:ascii="Palatino Linotype" w:hAnsi="Palatino Linotype" w:eastAsia="Palatino Linotype" w:cs="Times New Roman"/>
          <w:kern w:val="0"/>
          <w14:ligatures w14:val="none"/>
        </w:rPr>
        <w:t xml:space="preserve"> customer. In both </w:t>
      </w:r>
      <w:r w:rsidR="004E74BA">
        <w:rPr>
          <w:rFonts w:ascii="Palatino Linotype" w:hAnsi="Palatino Linotype" w:eastAsia="Palatino Linotype" w:cs="Times New Roman"/>
          <w:kern w:val="0"/>
          <w14:ligatures w14:val="none"/>
        </w:rPr>
        <w:t>cases</w:t>
      </w:r>
      <w:r>
        <w:rPr>
          <w:rFonts w:ascii="Palatino Linotype" w:hAnsi="Palatino Linotype" w:eastAsia="Palatino Linotype" w:cs="Times New Roman"/>
          <w:kern w:val="0"/>
          <w14:ligatures w14:val="none"/>
        </w:rPr>
        <w:t xml:space="preserve">, the customer cannot reinvest this </w:t>
      </w:r>
      <w:r>
        <w:rPr>
          <w:rFonts w:ascii="Palatino Linotype" w:hAnsi="Palatino Linotype" w:eastAsia="Palatino Linotype" w:cs="Times New Roman"/>
          <w:kern w:val="0"/>
          <w14:ligatures w14:val="none"/>
        </w:rPr>
        <w:lastRenderedPageBreak/>
        <w:t>advance</w:t>
      </w:r>
      <w:r w:rsidR="00774726">
        <w:rPr>
          <w:rFonts w:ascii="Palatino Linotype" w:hAnsi="Palatino Linotype" w:eastAsia="Palatino Linotype" w:cs="Times New Roman"/>
          <w:kern w:val="0"/>
          <w14:ligatures w14:val="none"/>
        </w:rPr>
        <w:t>,</w:t>
      </w:r>
      <w:r>
        <w:rPr>
          <w:rFonts w:ascii="Palatino Linotype" w:hAnsi="Palatino Linotype" w:eastAsia="Palatino Linotype" w:cs="Times New Roman"/>
          <w:kern w:val="0"/>
          <w14:ligatures w14:val="none"/>
        </w:rPr>
        <w:t xml:space="preserve"> as it is held by PG&amp;E. The basic dynamics of the BARC process are not changed here, but STACK’s large load, high interconnection costs, and uncertain future revenues present unique risks to ratepayers. To mitigate those risks, we </w:t>
      </w:r>
      <w:r w:rsidR="00BF32A6">
        <w:rPr>
          <w:rFonts w:ascii="Palatino Linotype" w:hAnsi="Palatino Linotype" w:eastAsia="Palatino Linotype" w:cs="Times New Roman"/>
          <w:kern w:val="0"/>
          <w14:ligatures w14:val="none"/>
        </w:rPr>
        <w:t>limited</w:t>
      </w:r>
      <w:r>
        <w:rPr>
          <w:rFonts w:ascii="Palatino Linotype" w:hAnsi="Palatino Linotype" w:eastAsia="Palatino Linotype" w:cs="Times New Roman"/>
          <w:kern w:val="0"/>
          <w14:ligatures w14:val="none"/>
        </w:rPr>
        <w:t xml:space="preserve"> annual refunds</w:t>
      </w:r>
      <w:r w:rsidR="00BF32A6">
        <w:rPr>
          <w:rFonts w:ascii="Palatino Linotype" w:hAnsi="Palatino Linotype" w:eastAsia="Palatino Linotype" w:cs="Times New Roman"/>
          <w:kern w:val="0"/>
          <w14:ligatures w14:val="none"/>
        </w:rPr>
        <w:t xml:space="preserve"> to 75 percent of the net revenues from STACK Infrastructure</w:t>
      </w:r>
      <w:r>
        <w:rPr>
          <w:rFonts w:ascii="Palatino Linotype" w:hAnsi="Palatino Linotype" w:eastAsia="Palatino Linotype" w:cs="Times New Roman"/>
          <w:kern w:val="0"/>
          <w14:ligatures w14:val="none"/>
        </w:rPr>
        <w:t xml:space="preserve">, effectively extending the refund </w:t>
      </w:r>
      <w:r w:rsidR="00324AB6">
        <w:rPr>
          <w:rFonts w:ascii="Palatino Linotype" w:hAnsi="Palatino Linotype" w:eastAsia="Palatino Linotype" w:cs="Times New Roman"/>
          <w:kern w:val="0"/>
          <w14:ligatures w14:val="none"/>
        </w:rPr>
        <w:t>period, or the period where STACK’s advance remains in part with PG&amp;E</w:t>
      </w:r>
      <w:r>
        <w:rPr>
          <w:rFonts w:ascii="Palatino Linotype" w:hAnsi="Palatino Linotype" w:eastAsia="Palatino Linotype" w:cs="Times New Roman"/>
          <w:kern w:val="0"/>
          <w14:ligatures w14:val="none"/>
        </w:rPr>
        <w:t xml:space="preserve">. </w:t>
      </w:r>
    </w:p>
    <w:p w:rsidR="00BF32A6" w:rsidP="00BF32A6" w:rsidRDefault="00324AB6" w14:paraId="285E3CE2" w14:textId="3A829180">
      <w:pPr>
        <w:keepNext/>
        <w:spacing w:before="120" w:after="240" w:line="240" w:lineRule="auto"/>
        <w:outlineLvl w:val="0"/>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E</w:t>
      </w:r>
      <w:r w:rsidR="00714F74">
        <w:rPr>
          <w:rFonts w:ascii="Palatino Linotype" w:hAnsi="Palatino Linotype" w:eastAsia="Palatino Linotype" w:cs="Times New Roman"/>
          <w:kern w:val="0"/>
          <w14:ligatures w14:val="none"/>
        </w:rPr>
        <w:t xml:space="preserve">nergizing </w:t>
      </w:r>
      <w:r>
        <w:rPr>
          <w:rFonts w:ascii="Palatino Linotype" w:hAnsi="Palatino Linotype" w:eastAsia="Palatino Linotype" w:cs="Times New Roman"/>
          <w:kern w:val="0"/>
          <w14:ligatures w14:val="none"/>
        </w:rPr>
        <w:t>a new 90 megawatt load</w:t>
      </w:r>
      <w:r w:rsidR="00714F74">
        <w:rPr>
          <w:rFonts w:ascii="Palatino Linotype" w:hAnsi="Palatino Linotype" w:eastAsia="Palatino Linotype" w:cs="Times New Roman"/>
          <w:kern w:val="0"/>
          <w14:ligatures w14:val="none"/>
        </w:rPr>
        <w:t xml:space="preserve"> requires significant investment</w:t>
      </w:r>
      <w:r>
        <w:rPr>
          <w:rFonts w:ascii="Palatino Linotype" w:hAnsi="Palatino Linotype" w:eastAsia="Palatino Linotype" w:cs="Times New Roman"/>
          <w:kern w:val="0"/>
          <w14:ligatures w14:val="none"/>
        </w:rPr>
        <w:t xml:space="preserve"> under most circumstances</w:t>
      </w:r>
      <w:r w:rsidR="00774726">
        <w:rPr>
          <w:rFonts w:ascii="Palatino Linotype" w:hAnsi="Palatino Linotype" w:eastAsia="Palatino Linotype" w:cs="Times New Roman"/>
          <w:kern w:val="0"/>
          <w14:ligatures w14:val="none"/>
        </w:rPr>
        <w:t xml:space="preserve">, and the standard BARC process already makes STACK </w:t>
      </w:r>
      <w:r>
        <w:rPr>
          <w:rFonts w:ascii="Palatino Linotype" w:hAnsi="Palatino Linotype" w:eastAsia="Palatino Linotype" w:cs="Times New Roman"/>
          <w:kern w:val="0"/>
          <w14:ligatures w14:val="none"/>
        </w:rPr>
        <w:t xml:space="preserve">Infrastructure </w:t>
      </w:r>
      <w:r w:rsidR="00774726">
        <w:rPr>
          <w:rFonts w:ascii="Palatino Linotype" w:hAnsi="Palatino Linotype" w:eastAsia="Palatino Linotype" w:cs="Times New Roman"/>
          <w:kern w:val="0"/>
          <w14:ligatures w14:val="none"/>
        </w:rPr>
        <w:t>initially responsible for the direct investments required for its own energization</w:t>
      </w:r>
      <w:r w:rsidR="004E74BA">
        <w:rPr>
          <w:rFonts w:ascii="Palatino Linotype" w:hAnsi="Palatino Linotype" w:eastAsia="Palatino Linotype" w:cs="Times New Roman"/>
          <w:kern w:val="0"/>
          <w14:ligatures w14:val="none"/>
        </w:rPr>
        <w:t>. T</w:t>
      </w:r>
      <w:r w:rsidR="00741C60">
        <w:rPr>
          <w:rFonts w:ascii="Palatino Linotype" w:hAnsi="Palatino Linotype" w:eastAsia="Palatino Linotype" w:cs="Times New Roman"/>
          <w:kern w:val="0"/>
          <w14:ligatures w14:val="none"/>
        </w:rPr>
        <w:t xml:space="preserve">he standard </w:t>
      </w:r>
      <w:r w:rsidR="00BF32A6">
        <w:rPr>
          <w:rFonts w:ascii="Palatino Linotype" w:hAnsi="Palatino Linotype" w:eastAsia="Palatino Linotype" w:cs="Times New Roman"/>
          <w:kern w:val="0"/>
          <w14:ligatures w14:val="none"/>
        </w:rPr>
        <w:t xml:space="preserve">BARC </w:t>
      </w:r>
      <w:r w:rsidR="00741C60">
        <w:rPr>
          <w:rFonts w:ascii="Palatino Linotype" w:hAnsi="Palatino Linotype" w:eastAsia="Palatino Linotype" w:cs="Times New Roman"/>
          <w:kern w:val="0"/>
          <w14:ligatures w14:val="none"/>
        </w:rPr>
        <w:t xml:space="preserve">process </w:t>
      </w:r>
      <w:r w:rsidR="00BF32A6">
        <w:rPr>
          <w:rFonts w:ascii="Palatino Linotype" w:hAnsi="Palatino Linotype" w:eastAsia="Palatino Linotype" w:cs="Times New Roman"/>
          <w:kern w:val="0"/>
          <w14:ligatures w14:val="none"/>
        </w:rPr>
        <w:t>takes the customer’s</w:t>
      </w:r>
      <w:r w:rsidR="00741C60">
        <w:rPr>
          <w:rFonts w:ascii="Palatino Linotype" w:hAnsi="Palatino Linotype" w:eastAsia="Palatino Linotype" w:cs="Times New Roman"/>
          <w:kern w:val="0"/>
          <w14:ligatures w14:val="none"/>
        </w:rPr>
        <w:t xml:space="preserve"> net revenue </w:t>
      </w:r>
      <w:r w:rsidR="00BF32A6">
        <w:rPr>
          <w:rFonts w:ascii="Palatino Linotype" w:hAnsi="Palatino Linotype" w:eastAsia="Palatino Linotype" w:cs="Times New Roman"/>
          <w:kern w:val="0"/>
          <w14:ligatures w14:val="none"/>
        </w:rPr>
        <w:t>and projects it</w:t>
      </w:r>
      <w:r w:rsidR="00741C60">
        <w:rPr>
          <w:rFonts w:ascii="Palatino Linotype" w:hAnsi="Palatino Linotype" w:eastAsia="Palatino Linotype" w:cs="Times New Roman"/>
          <w:kern w:val="0"/>
          <w14:ligatures w14:val="none"/>
        </w:rPr>
        <w:t xml:space="preserve"> indefinitely into the future</w:t>
      </w:r>
      <w:r w:rsidR="00BF32A6">
        <w:rPr>
          <w:rFonts w:ascii="Palatino Linotype" w:hAnsi="Palatino Linotype" w:eastAsia="Palatino Linotype" w:cs="Times New Roman"/>
          <w:kern w:val="0"/>
          <w14:ligatures w14:val="none"/>
        </w:rPr>
        <w:t xml:space="preserve">. </w:t>
      </w:r>
      <w:r>
        <w:rPr>
          <w:rFonts w:ascii="Palatino Linotype" w:hAnsi="Palatino Linotype" w:eastAsia="Palatino Linotype" w:cs="Times New Roman"/>
          <w:kern w:val="0"/>
          <w14:ligatures w14:val="none"/>
        </w:rPr>
        <w:t>To the extent</w:t>
      </w:r>
      <w:r w:rsidR="00BF32A6">
        <w:rPr>
          <w:rFonts w:ascii="Palatino Linotype" w:hAnsi="Palatino Linotype" w:eastAsia="Palatino Linotype" w:cs="Times New Roman"/>
          <w:kern w:val="0"/>
          <w14:ligatures w14:val="none"/>
        </w:rPr>
        <w:t xml:space="preserve"> </w:t>
      </w:r>
      <w:r w:rsidR="00741C60">
        <w:rPr>
          <w:rFonts w:ascii="Palatino Linotype" w:hAnsi="Palatino Linotype" w:eastAsia="Palatino Linotype" w:cs="Times New Roman"/>
          <w:kern w:val="0"/>
          <w14:ligatures w14:val="none"/>
        </w:rPr>
        <w:t xml:space="preserve">those projections justify the </w:t>
      </w:r>
      <w:r w:rsidR="00BF32A6">
        <w:rPr>
          <w:rFonts w:ascii="Palatino Linotype" w:hAnsi="Palatino Linotype" w:eastAsia="Palatino Linotype" w:cs="Times New Roman"/>
          <w:kern w:val="0"/>
          <w14:ligatures w14:val="none"/>
        </w:rPr>
        <w:t xml:space="preserve">direct </w:t>
      </w:r>
      <w:r w:rsidR="00741C60">
        <w:rPr>
          <w:rFonts w:ascii="Palatino Linotype" w:hAnsi="Palatino Linotype" w:eastAsia="Palatino Linotype" w:cs="Times New Roman"/>
          <w:kern w:val="0"/>
          <w14:ligatures w14:val="none"/>
        </w:rPr>
        <w:t xml:space="preserve">costs of the </w:t>
      </w:r>
      <w:r w:rsidR="00BF32A6">
        <w:rPr>
          <w:rFonts w:ascii="Palatino Linotype" w:hAnsi="Palatino Linotype" w:eastAsia="Palatino Linotype" w:cs="Times New Roman"/>
          <w:kern w:val="0"/>
          <w14:ligatures w14:val="none"/>
        </w:rPr>
        <w:t xml:space="preserve">customer’s energization, </w:t>
      </w:r>
      <w:r w:rsidR="00741C60">
        <w:rPr>
          <w:rFonts w:ascii="Palatino Linotype" w:hAnsi="Palatino Linotype" w:eastAsia="Palatino Linotype" w:cs="Times New Roman"/>
          <w:kern w:val="0"/>
          <w14:ligatures w14:val="none"/>
        </w:rPr>
        <w:t xml:space="preserve">PG&amp;E </w:t>
      </w:r>
      <w:r>
        <w:rPr>
          <w:rFonts w:ascii="Palatino Linotype" w:hAnsi="Palatino Linotype" w:eastAsia="Palatino Linotype" w:cs="Times New Roman"/>
          <w:kern w:val="0"/>
          <w14:ligatures w14:val="none"/>
        </w:rPr>
        <w:t>would take</w:t>
      </w:r>
      <w:r w:rsidR="00BF32A6">
        <w:rPr>
          <w:rFonts w:ascii="Palatino Linotype" w:hAnsi="Palatino Linotype" w:eastAsia="Palatino Linotype" w:cs="Times New Roman"/>
          <w:kern w:val="0"/>
          <w14:ligatures w14:val="none"/>
        </w:rPr>
        <w:t xml:space="preserve"> on th</w:t>
      </w:r>
      <w:r w:rsidR="004E74BA">
        <w:rPr>
          <w:rFonts w:ascii="Palatino Linotype" w:hAnsi="Palatino Linotype" w:eastAsia="Palatino Linotype" w:cs="Times New Roman"/>
          <w:kern w:val="0"/>
          <w14:ligatures w14:val="none"/>
        </w:rPr>
        <w:t>e</w:t>
      </w:r>
      <w:r w:rsidR="00BF32A6">
        <w:rPr>
          <w:rFonts w:ascii="Palatino Linotype" w:hAnsi="Palatino Linotype" w:eastAsia="Palatino Linotype" w:cs="Times New Roman"/>
          <w:kern w:val="0"/>
          <w14:ligatures w14:val="none"/>
        </w:rPr>
        <w:t xml:space="preserve">se costs, adding them </w:t>
      </w:r>
      <w:r w:rsidR="00774726">
        <w:rPr>
          <w:rFonts w:ascii="Palatino Linotype" w:hAnsi="Palatino Linotype" w:eastAsia="Palatino Linotype" w:cs="Times New Roman"/>
          <w:kern w:val="0"/>
          <w14:ligatures w14:val="none"/>
        </w:rPr>
        <w:t>to its rate base where t</w:t>
      </w:r>
      <w:r w:rsidR="00BF32A6">
        <w:rPr>
          <w:rFonts w:ascii="Palatino Linotype" w:hAnsi="Palatino Linotype" w:eastAsia="Palatino Linotype" w:cs="Times New Roman"/>
          <w:kern w:val="0"/>
          <w14:ligatures w14:val="none"/>
        </w:rPr>
        <w:t>he</w:t>
      </w:r>
      <w:r>
        <w:rPr>
          <w:rFonts w:ascii="Palatino Linotype" w:hAnsi="Palatino Linotype" w:eastAsia="Palatino Linotype" w:cs="Times New Roman"/>
          <w:kern w:val="0"/>
          <w14:ligatures w14:val="none"/>
        </w:rPr>
        <w:t xml:space="preserve"> costs would be</w:t>
      </w:r>
      <w:r w:rsidR="00774726">
        <w:rPr>
          <w:rFonts w:ascii="Palatino Linotype" w:hAnsi="Palatino Linotype" w:eastAsia="Palatino Linotype" w:cs="Times New Roman"/>
          <w:kern w:val="0"/>
          <w14:ligatures w14:val="none"/>
        </w:rPr>
        <w:t xml:space="preserve"> covered by ratepayers and generate returns for shareholders. In this Resolution, we are simply recognizing the unique risks for ratepayers in this </w:t>
      </w:r>
      <w:r w:rsidR="00741C60">
        <w:rPr>
          <w:rFonts w:ascii="Palatino Linotype" w:hAnsi="Palatino Linotype" w:eastAsia="Palatino Linotype" w:cs="Times New Roman"/>
          <w:kern w:val="0"/>
          <w14:ligatures w14:val="none"/>
        </w:rPr>
        <w:t>exceptional case</w:t>
      </w:r>
      <w:r w:rsidR="00774726">
        <w:rPr>
          <w:rFonts w:ascii="Palatino Linotype" w:hAnsi="Palatino Linotype" w:eastAsia="Palatino Linotype" w:cs="Times New Roman"/>
          <w:kern w:val="0"/>
          <w14:ligatures w14:val="none"/>
        </w:rPr>
        <w:t xml:space="preserve">, and thus requiring clearer proof that the investments </w:t>
      </w:r>
      <w:r>
        <w:rPr>
          <w:rFonts w:ascii="Palatino Linotype" w:hAnsi="Palatino Linotype" w:eastAsia="Palatino Linotype" w:cs="Times New Roman"/>
          <w:kern w:val="0"/>
          <w14:ligatures w14:val="none"/>
        </w:rPr>
        <w:t xml:space="preserve">needed to energize a customer </w:t>
      </w:r>
      <w:r w:rsidR="00774726">
        <w:rPr>
          <w:rFonts w:ascii="Palatino Linotype" w:hAnsi="Palatino Linotype" w:eastAsia="Palatino Linotype" w:cs="Times New Roman"/>
          <w:kern w:val="0"/>
          <w14:ligatures w14:val="none"/>
        </w:rPr>
        <w:t>are justified before th</w:t>
      </w:r>
      <w:r>
        <w:rPr>
          <w:rFonts w:ascii="Palatino Linotype" w:hAnsi="Palatino Linotype" w:eastAsia="Palatino Linotype" w:cs="Times New Roman"/>
          <w:kern w:val="0"/>
          <w14:ligatures w14:val="none"/>
        </w:rPr>
        <w:t>at</w:t>
      </w:r>
      <w:r w:rsidR="00774726">
        <w:rPr>
          <w:rFonts w:ascii="Palatino Linotype" w:hAnsi="Palatino Linotype" w:eastAsia="Palatino Linotype" w:cs="Times New Roman"/>
          <w:kern w:val="0"/>
          <w14:ligatures w14:val="none"/>
        </w:rPr>
        <w:t xml:space="preserve"> customer is refunded</w:t>
      </w:r>
      <w:r w:rsidR="00741C60">
        <w:rPr>
          <w:rFonts w:ascii="Palatino Linotype" w:hAnsi="Palatino Linotype" w:eastAsia="Palatino Linotype" w:cs="Times New Roman"/>
          <w:kern w:val="0"/>
          <w14:ligatures w14:val="none"/>
        </w:rPr>
        <w:t xml:space="preserve"> and the costs are added to </w:t>
      </w:r>
      <w:r w:rsidR="00BF32A6">
        <w:rPr>
          <w:rFonts w:ascii="Palatino Linotype" w:hAnsi="Palatino Linotype" w:eastAsia="Palatino Linotype" w:cs="Times New Roman"/>
          <w:kern w:val="0"/>
          <w14:ligatures w14:val="none"/>
        </w:rPr>
        <w:t xml:space="preserve">PG&amp;E’s </w:t>
      </w:r>
      <w:r w:rsidR="00741C60">
        <w:rPr>
          <w:rFonts w:ascii="Palatino Linotype" w:hAnsi="Palatino Linotype" w:eastAsia="Palatino Linotype" w:cs="Times New Roman"/>
          <w:kern w:val="0"/>
          <w14:ligatures w14:val="none"/>
        </w:rPr>
        <w:t>rate base</w:t>
      </w:r>
      <w:r w:rsidR="00774726">
        <w:rPr>
          <w:rFonts w:ascii="Palatino Linotype" w:hAnsi="Palatino Linotype" w:eastAsia="Palatino Linotype" w:cs="Times New Roman"/>
          <w:kern w:val="0"/>
          <w14:ligatures w14:val="none"/>
        </w:rPr>
        <w:t xml:space="preserve">. By necessity, this also means that STACK </w:t>
      </w:r>
      <w:r w:rsidR="00BF32A6">
        <w:rPr>
          <w:rFonts w:ascii="Palatino Linotype" w:hAnsi="Palatino Linotype" w:eastAsia="Palatino Linotype" w:cs="Times New Roman"/>
          <w:kern w:val="0"/>
          <w14:ligatures w14:val="none"/>
        </w:rPr>
        <w:t>remains</w:t>
      </w:r>
      <w:r w:rsidR="00774726">
        <w:rPr>
          <w:rFonts w:ascii="Palatino Linotype" w:hAnsi="Palatino Linotype" w:eastAsia="Palatino Linotype" w:cs="Times New Roman"/>
          <w:kern w:val="0"/>
          <w14:ligatures w14:val="none"/>
        </w:rPr>
        <w:t xml:space="preserve"> responsible for the investments needed for its direct energization </w:t>
      </w:r>
      <w:r w:rsidR="00BF32A6">
        <w:rPr>
          <w:rFonts w:ascii="Palatino Linotype" w:hAnsi="Palatino Linotype" w:eastAsia="Palatino Linotype" w:cs="Times New Roman"/>
          <w:kern w:val="0"/>
          <w14:ligatures w14:val="none"/>
        </w:rPr>
        <w:t>over</w:t>
      </w:r>
      <w:r w:rsidR="00741C60">
        <w:rPr>
          <w:rFonts w:ascii="Palatino Linotype" w:hAnsi="Palatino Linotype" w:eastAsia="Palatino Linotype" w:cs="Times New Roman"/>
          <w:kern w:val="0"/>
          <w14:ligatures w14:val="none"/>
        </w:rPr>
        <w:t xml:space="preserve"> a</w:t>
      </w:r>
      <w:r w:rsidR="00774726">
        <w:rPr>
          <w:rFonts w:ascii="Palatino Linotype" w:hAnsi="Palatino Linotype" w:eastAsia="Palatino Linotype" w:cs="Times New Roman"/>
          <w:kern w:val="0"/>
          <w14:ligatures w14:val="none"/>
        </w:rPr>
        <w:t xml:space="preserve"> longer </w:t>
      </w:r>
      <w:r w:rsidR="00741C60">
        <w:rPr>
          <w:rFonts w:ascii="Palatino Linotype" w:hAnsi="Palatino Linotype" w:eastAsia="Palatino Linotype" w:cs="Times New Roman"/>
          <w:kern w:val="0"/>
          <w14:ligatures w14:val="none"/>
        </w:rPr>
        <w:t>period</w:t>
      </w:r>
      <w:r w:rsidR="00E155C4">
        <w:rPr>
          <w:rFonts w:ascii="Palatino Linotype" w:hAnsi="Palatino Linotype" w:eastAsia="Palatino Linotype" w:cs="Times New Roman"/>
          <w:kern w:val="0"/>
          <w14:ligatures w14:val="none"/>
        </w:rPr>
        <w:t xml:space="preserve">, and thus may not be able to reinvest </w:t>
      </w:r>
      <w:r w:rsidR="006E0486">
        <w:rPr>
          <w:rFonts w:ascii="Palatino Linotype" w:hAnsi="Palatino Linotype" w:eastAsia="Palatino Linotype" w:cs="Times New Roman"/>
          <w:kern w:val="0"/>
          <w14:ligatures w14:val="none"/>
        </w:rPr>
        <w:t>its</w:t>
      </w:r>
      <w:r w:rsidR="00E155C4">
        <w:rPr>
          <w:rFonts w:ascii="Palatino Linotype" w:hAnsi="Palatino Linotype" w:eastAsia="Palatino Linotype" w:cs="Times New Roman"/>
          <w:kern w:val="0"/>
          <w14:ligatures w14:val="none"/>
        </w:rPr>
        <w:t xml:space="preserve"> capital as quickly</w:t>
      </w:r>
      <w:r w:rsidR="00774726">
        <w:rPr>
          <w:rFonts w:ascii="Palatino Linotype" w:hAnsi="Palatino Linotype" w:eastAsia="Palatino Linotype" w:cs="Times New Roman"/>
          <w:kern w:val="0"/>
          <w14:ligatures w14:val="none"/>
        </w:rPr>
        <w:t>.</w:t>
      </w:r>
      <w:r w:rsidR="00741C60">
        <w:rPr>
          <w:rFonts w:ascii="Palatino Linotype" w:hAnsi="Palatino Linotype" w:eastAsia="Palatino Linotype" w:cs="Times New Roman"/>
          <w:kern w:val="0"/>
          <w14:ligatures w14:val="none"/>
        </w:rPr>
        <w:t xml:space="preserve"> We note here that ratepayers still bear a share of the risk, because</w:t>
      </w:r>
      <w:r w:rsidR="00774726">
        <w:rPr>
          <w:rFonts w:ascii="Palatino Linotype" w:hAnsi="Palatino Linotype" w:eastAsia="Palatino Linotype" w:cs="Times New Roman"/>
          <w:kern w:val="0"/>
          <w14:ligatures w14:val="none"/>
        </w:rPr>
        <w:t xml:space="preserve"> </w:t>
      </w:r>
      <w:r w:rsidR="00741C60">
        <w:rPr>
          <w:rFonts w:ascii="Palatino Linotype" w:hAnsi="Palatino Linotype" w:eastAsia="Palatino Linotype" w:cs="Times New Roman"/>
          <w:kern w:val="0"/>
          <w14:ligatures w14:val="none"/>
        </w:rPr>
        <w:t>upgrades needed</w:t>
      </w:r>
      <w:r w:rsidR="00774726">
        <w:rPr>
          <w:rFonts w:ascii="Palatino Linotype" w:hAnsi="Palatino Linotype" w:eastAsia="Palatino Linotype" w:cs="Times New Roman"/>
          <w:kern w:val="0"/>
          <w14:ligatures w14:val="none"/>
        </w:rPr>
        <w:t xml:space="preserve"> to the broader transmission grid </w:t>
      </w:r>
      <w:r>
        <w:rPr>
          <w:rFonts w:ascii="Palatino Linotype" w:hAnsi="Palatino Linotype" w:eastAsia="Palatino Linotype" w:cs="Times New Roman"/>
          <w:kern w:val="0"/>
          <w14:ligatures w14:val="none"/>
        </w:rPr>
        <w:t xml:space="preserve">are not covered by any customer advance, and </w:t>
      </w:r>
      <w:r w:rsidR="00774726">
        <w:rPr>
          <w:rFonts w:ascii="Palatino Linotype" w:hAnsi="Palatino Linotype" w:eastAsia="Palatino Linotype" w:cs="Times New Roman"/>
          <w:kern w:val="0"/>
          <w14:ligatures w14:val="none"/>
        </w:rPr>
        <w:t>go</w:t>
      </w:r>
      <w:r w:rsidR="00BF32A6">
        <w:rPr>
          <w:rFonts w:ascii="Palatino Linotype" w:hAnsi="Palatino Linotype" w:eastAsia="Palatino Linotype" w:cs="Times New Roman"/>
          <w:kern w:val="0"/>
          <w14:ligatures w14:val="none"/>
        </w:rPr>
        <w:t xml:space="preserve"> directly</w:t>
      </w:r>
      <w:r w:rsidR="00774726">
        <w:rPr>
          <w:rFonts w:ascii="Palatino Linotype" w:hAnsi="Palatino Linotype" w:eastAsia="Palatino Linotype" w:cs="Times New Roman"/>
          <w:kern w:val="0"/>
          <w14:ligatures w14:val="none"/>
        </w:rPr>
        <w:t xml:space="preserve"> into PG&amp;E’s rate</w:t>
      </w:r>
      <w:r w:rsidR="00741C60">
        <w:rPr>
          <w:rFonts w:ascii="Palatino Linotype" w:hAnsi="Palatino Linotype" w:eastAsia="Palatino Linotype" w:cs="Times New Roman"/>
          <w:kern w:val="0"/>
          <w14:ligatures w14:val="none"/>
        </w:rPr>
        <w:t xml:space="preserve"> </w:t>
      </w:r>
      <w:r w:rsidR="00774726">
        <w:rPr>
          <w:rFonts w:ascii="Palatino Linotype" w:hAnsi="Palatino Linotype" w:eastAsia="Palatino Linotype" w:cs="Times New Roman"/>
          <w:kern w:val="0"/>
          <w14:ligatures w14:val="none"/>
        </w:rPr>
        <w:t>base.</w:t>
      </w:r>
      <w:r w:rsidR="00BF32A6">
        <w:rPr>
          <w:rFonts w:ascii="Palatino Linotype" w:hAnsi="Palatino Linotype" w:eastAsia="Palatino Linotype" w:cs="Times New Roman"/>
          <w:kern w:val="0"/>
          <w14:ligatures w14:val="none"/>
        </w:rPr>
        <w:t xml:space="preserve"> The standard BARC process also already includes a risk that the customer may not receive a full refund, as we noted above.</w:t>
      </w:r>
      <w:r w:rsidR="007277C2">
        <w:rPr>
          <w:rFonts w:ascii="Palatino Linotype" w:hAnsi="Palatino Linotype" w:eastAsia="Palatino Linotype" w:cs="Times New Roman"/>
          <w:kern w:val="0"/>
          <w14:ligatures w14:val="none"/>
        </w:rPr>
        <w:t xml:space="preserve"> In this case, STACK is expected to receive a full refund in 6 years</w:t>
      </w:r>
      <w:r w:rsidR="003D321E">
        <w:rPr>
          <w:rFonts w:ascii="Palatino Linotype" w:hAnsi="Palatino Linotype" w:eastAsia="Palatino Linotype" w:cs="Times New Roman"/>
          <w:kern w:val="0"/>
          <w14:ligatures w14:val="none"/>
        </w:rPr>
        <w:t xml:space="preserve"> or fewer with the </w:t>
      </w:r>
      <w:r w:rsidR="00737747">
        <w:rPr>
          <w:rFonts w:ascii="Palatino Linotype" w:hAnsi="Palatino Linotype" w:eastAsia="Palatino Linotype" w:cs="Times New Roman"/>
          <w:kern w:val="0"/>
          <w14:ligatures w14:val="none"/>
        </w:rPr>
        <w:t>addition of the ITCC</w:t>
      </w:r>
      <w:r>
        <w:rPr>
          <w:rFonts w:ascii="Palatino Linotype" w:hAnsi="Palatino Linotype" w:eastAsia="Palatino Linotype" w:cs="Times New Roman"/>
          <w:kern w:val="0"/>
          <w14:ligatures w14:val="none"/>
        </w:rPr>
        <w:t xml:space="preserve">, well within </w:t>
      </w:r>
      <w:r w:rsidR="00E06AB5">
        <w:rPr>
          <w:rFonts w:ascii="Palatino Linotype" w:hAnsi="Palatino Linotype" w:eastAsia="Palatino Linotype" w:cs="Times New Roman"/>
          <w:kern w:val="0"/>
          <w14:ligatures w14:val="none"/>
        </w:rPr>
        <w:t xml:space="preserve">both the standard 10-year and </w:t>
      </w:r>
      <w:r>
        <w:rPr>
          <w:rFonts w:ascii="Palatino Linotype" w:hAnsi="Palatino Linotype" w:eastAsia="Palatino Linotype" w:cs="Times New Roman"/>
          <w:kern w:val="0"/>
          <w14:ligatures w14:val="none"/>
        </w:rPr>
        <w:t>the</w:t>
      </w:r>
      <w:r w:rsidR="00AD7EC9">
        <w:rPr>
          <w:rFonts w:ascii="Palatino Linotype" w:hAnsi="Palatino Linotype" w:eastAsia="Palatino Linotype" w:cs="Times New Roman"/>
          <w:kern w:val="0"/>
          <w14:ligatures w14:val="none"/>
        </w:rPr>
        <w:t xml:space="preserve"> </w:t>
      </w:r>
      <w:r w:rsidR="006B5A47">
        <w:rPr>
          <w:rFonts w:ascii="Palatino Linotype" w:hAnsi="Palatino Linotype" w:eastAsia="Palatino Linotype" w:cs="Times New Roman"/>
          <w:kern w:val="0"/>
          <w14:ligatures w14:val="none"/>
        </w:rPr>
        <w:t>extended</w:t>
      </w:r>
      <w:r>
        <w:rPr>
          <w:rFonts w:ascii="Palatino Linotype" w:hAnsi="Palatino Linotype" w:eastAsia="Palatino Linotype" w:cs="Times New Roman"/>
          <w:kern w:val="0"/>
          <w14:ligatures w14:val="none"/>
        </w:rPr>
        <w:t xml:space="preserve"> 1</w:t>
      </w:r>
      <w:r w:rsidR="006B5A47">
        <w:rPr>
          <w:rFonts w:ascii="Palatino Linotype" w:hAnsi="Palatino Linotype" w:eastAsia="Palatino Linotype" w:cs="Times New Roman"/>
          <w:kern w:val="0"/>
          <w14:ligatures w14:val="none"/>
        </w:rPr>
        <w:t>5</w:t>
      </w:r>
      <w:r>
        <w:rPr>
          <w:rFonts w:ascii="Palatino Linotype" w:hAnsi="Palatino Linotype" w:eastAsia="Palatino Linotype" w:cs="Times New Roman"/>
          <w:kern w:val="0"/>
          <w14:ligatures w14:val="none"/>
        </w:rPr>
        <w:t>-year refund period</w:t>
      </w:r>
      <w:r w:rsidR="007277C2">
        <w:rPr>
          <w:rFonts w:ascii="Palatino Linotype" w:hAnsi="Palatino Linotype" w:eastAsia="Palatino Linotype" w:cs="Times New Roman"/>
          <w:kern w:val="0"/>
          <w14:ligatures w14:val="none"/>
        </w:rPr>
        <w:t>.</w:t>
      </w:r>
      <w:r w:rsidR="007277C2">
        <w:rPr>
          <w:rStyle w:val="FootnoteReference"/>
          <w:rFonts w:ascii="Palatino Linotype" w:hAnsi="Palatino Linotype" w:eastAsia="Palatino Linotype" w:cs="Times New Roman"/>
          <w:kern w:val="0"/>
          <w14:ligatures w14:val="none"/>
        </w:rPr>
        <w:footnoteReference w:id="24"/>
      </w:r>
    </w:p>
    <w:p w:rsidR="00BF32A6" w:rsidP="00BF32A6" w:rsidRDefault="004E74BA" w14:paraId="45990FA0" w14:textId="57EB54A6">
      <w:pPr>
        <w:keepNext/>
        <w:spacing w:before="120" w:after="240" w:line="240" w:lineRule="auto"/>
        <w:outlineLvl w:val="0"/>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In short, limiting annual refunds to 75 percent of </w:t>
      </w:r>
      <w:r w:rsidR="00324AB6">
        <w:rPr>
          <w:rFonts w:ascii="Palatino Linotype" w:hAnsi="Palatino Linotype" w:eastAsia="Palatino Linotype" w:cs="Times New Roman"/>
          <w:kern w:val="0"/>
          <w14:ligatures w14:val="none"/>
        </w:rPr>
        <w:t xml:space="preserve">the </w:t>
      </w:r>
      <w:r>
        <w:rPr>
          <w:rFonts w:ascii="Palatino Linotype" w:hAnsi="Palatino Linotype" w:eastAsia="Palatino Linotype" w:cs="Times New Roman"/>
          <w:kern w:val="0"/>
          <w14:ligatures w14:val="none"/>
        </w:rPr>
        <w:t xml:space="preserve">annual net revenues from </w:t>
      </w:r>
      <w:r w:rsidR="00324AB6">
        <w:rPr>
          <w:rFonts w:ascii="Palatino Linotype" w:hAnsi="Palatino Linotype" w:eastAsia="Palatino Linotype" w:cs="Times New Roman"/>
          <w:kern w:val="0"/>
          <w14:ligatures w14:val="none"/>
        </w:rPr>
        <w:t>STACK Infrastructure</w:t>
      </w:r>
      <w:r>
        <w:rPr>
          <w:rFonts w:ascii="Palatino Linotype" w:hAnsi="Palatino Linotype" w:eastAsia="Palatino Linotype" w:cs="Times New Roman"/>
          <w:kern w:val="0"/>
          <w14:ligatures w14:val="none"/>
        </w:rPr>
        <w:t xml:space="preserve"> does not represent a fundamental shift in the proposed BARC process. Th</w:t>
      </w:r>
      <w:r w:rsidR="00324AB6">
        <w:rPr>
          <w:rFonts w:ascii="Palatino Linotype" w:hAnsi="Palatino Linotype" w:eastAsia="Palatino Linotype" w:cs="Times New Roman"/>
          <w:kern w:val="0"/>
          <w14:ligatures w14:val="none"/>
        </w:rPr>
        <w:t xml:space="preserve">e </w:t>
      </w:r>
      <w:r>
        <w:rPr>
          <w:rFonts w:ascii="Palatino Linotype" w:hAnsi="Palatino Linotype" w:eastAsia="Palatino Linotype" w:cs="Times New Roman"/>
          <w:kern w:val="0"/>
          <w14:ligatures w14:val="none"/>
        </w:rPr>
        <w:t xml:space="preserve">exceptional case </w:t>
      </w:r>
      <w:r w:rsidR="00324AB6">
        <w:rPr>
          <w:rFonts w:ascii="Palatino Linotype" w:hAnsi="Palatino Linotype" w:eastAsia="Palatino Linotype" w:cs="Times New Roman"/>
          <w:kern w:val="0"/>
          <w14:ligatures w14:val="none"/>
        </w:rPr>
        <w:t xml:space="preserve">considered here </w:t>
      </w:r>
      <w:r>
        <w:rPr>
          <w:rFonts w:ascii="Palatino Linotype" w:hAnsi="Palatino Linotype" w:eastAsia="Palatino Linotype" w:cs="Times New Roman"/>
          <w:kern w:val="0"/>
          <w14:ligatures w14:val="none"/>
        </w:rPr>
        <w:t xml:space="preserve">poses unique risks to ratepayers, and in response to those risks we consider it necessary to provide additional ratepayer protection via </w:t>
      </w:r>
      <w:r w:rsidR="00324AB6">
        <w:rPr>
          <w:rFonts w:ascii="Palatino Linotype" w:hAnsi="Palatino Linotype" w:eastAsia="Palatino Linotype" w:cs="Times New Roman"/>
          <w:kern w:val="0"/>
          <w14:ligatures w14:val="none"/>
        </w:rPr>
        <w:t>limiting the amount of annual refunds</w:t>
      </w:r>
      <w:r>
        <w:rPr>
          <w:rFonts w:ascii="Palatino Linotype" w:hAnsi="Palatino Linotype" w:eastAsia="Palatino Linotype" w:cs="Times New Roman"/>
          <w:kern w:val="0"/>
          <w14:ligatures w14:val="none"/>
        </w:rPr>
        <w:t xml:space="preserve">. This means that STACK Infrastructure ends up bearing some of the risks for its own energization longer than it would under the </w:t>
      </w:r>
      <w:r>
        <w:rPr>
          <w:rFonts w:ascii="Palatino Linotype" w:hAnsi="Palatino Linotype" w:eastAsia="Palatino Linotype" w:cs="Times New Roman"/>
          <w:kern w:val="0"/>
          <w14:ligatures w14:val="none"/>
        </w:rPr>
        <w:lastRenderedPageBreak/>
        <w:t xml:space="preserve">standard BARC process, but it does not fundamentally break from the standard </w:t>
      </w:r>
      <w:r w:rsidR="00B508AC">
        <w:rPr>
          <w:rFonts w:ascii="Palatino Linotype" w:hAnsi="Palatino Linotype" w:eastAsia="Palatino Linotype" w:cs="Times New Roman"/>
          <w:kern w:val="0"/>
          <w14:ligatures w14:val="none"/>
        </w:rPr>
        <w:t xml:space="preserve">BARC </w:t>
      </w:r>
      <w:r>
        <w:rPr>
          <w:rFonts w:ascii="Palatino Linotype" w:hAnsi="Palatino Linotype" w:eastAsia="Palatino Linotype" w:cs="Times New Roman"/>
          <w:kern w:val="0"/>
          <w14:ligatures w14:val="none"/>
        </w:rPr>
        <w:t>process.</w:t>
      </w:r>
    </w:p>
    <w:p w:rsidR="00BF32A6" w:rsidP="00BF32A6" w:rsidRDefault="5DB8D407" w14:paraId="4828EF1F" w14:textId="0BBE816C">
      <w:pPr>
        <w:keepNext/>
        <w:spacing w:before="120" w:after="240" w:line="240" w:lineRule="auto"/>
        <w:outlineLvl w:val="0"/>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In its comments, STACK Infrastructure also claims </w:t>
      </w:r>
      <w:r w:rsidR="42173D6E">
        <w:rPr>
          <w:rFonts w:ascii="Palatino Linotype" w:hAnsi="Palatino Linotype" w:eastAsia="Palatino Linotype" w:cs="Times New Roman"/>
          <w:kern w:val="0"/>
          <w14:ligatures w14:val="none"/>
        </w:rPr>
        <w:t xml:space="preserve">that the </w:t>
      </w:r>
      <w:r w:rsidR="3490ECE0">
        <w:rPr>
          <w:rFonts w:ascii="Palatino Linotype" w:hAnsi="Palatino Linotype" w:eastAsia="Palatino Linotype" w:cs="Times New Roman"/>
          <w:kern w:val="0"/>
          <w14:ligatures w14:val="none"/>
        </w:rPr>
        <w:t xml:space="preserve">115kV </w:t>
      </w:r>
      <w:r w:rsidR="42173D6E">
        <w:rPr>
          <w:rFonts w:ascii="Palatino Linotype" w:hAnsi="Palatino Linotype" w:eastAsia="Palatino Linotype" w:cs="Times New Roman"/>
          <w:kern w:val="0"/>
          <w14:ligatures w14:val="none"/>
        </w:rPr>
        <w:t xml:space="preserve">Ringwood </w:t>
      </w:r>
      <w:r w:rsidR="3490ECE0">
        <w:rPr>
          <w:rFonts w:ascii="Palatino Linotype" w:hAnsi="Palatino Linotype" w:eastAsia="Palatino Linotype" w:cs="Times New Roman"/>
          <w:kern w:val="0"/>
          <w14:ligatures w14:val="none"/>
        </w:rPr>
        <w:t xml:space="preserve">switching </w:t>
      </w:r>
      <w:r w:rsidR="42173D6E">
        <w:rPr>
          <w:rFonts w:ascii="Palatino Linotype" w:hAnsi="Palatino Linotype" w:eastAsia="Palatino Linotype" w:cs="Times New Roman"/>
          <w:kern w:val="0"/>
          <w14:ligatures w14:val="none"/>
        </w:rPr>
        <w:t xml:space="preserve">substation </w:t>
      </w:r>
      <w:r w:rsidR="3490ECE0">
        <w:rPr>
          <w:rFonts w:ascii="Palatino Linotype" w:hAnsi="Palatino Linotype" w:eastAsia="Palatino Linotype" w:cs="Times New Roman"/>
          <w:kern w:val="0"/>
          <w14:ligatures w14:val="none"/>
        </w:rPr>
        <w:t>required to serve STACK Infrastructure “should properly be viewed as a transmission network upgrade” assumed to benefit all transmission customers.</w:t>
      </w:r>
      <w:r w:rsidR="00B508AC">
        <w:rPr>
          <w:rStyle w:val="FootnoteReference"/>
          <w:rFonts w:ascii="Palatino Linotype" w:hAnsi="Palatino Linotype" w:eastAsia="Palatino Linotype" w:cs="Times New Roman"/>
          <w:kern w:val="0"/>
          <w14:ligatures w14:val="none"/>
        </w:rPr>
        <w:footnoteReference w:id="25"/>
      </w:r>
      <w:r w:rsidR="3490ECE0">
        <w:rPr>
          <w:rFonts w:ascii="Palatino Linotype" w:hAnsi="Palatino Linotype" w:eastAsia="Palatino Linotype" w:cs="Times New Roman"/>
          <w:kern w:val="0"/>
          <w14:ligatures w14:val="none"/>
        </w:rPr>
        <w:t xml:space="preserve"> This would correspond to a ‘Facility Type 4’ in the ongoing Rule 30 Proceeding</w:t>
      </w:r>
      <w:r w:rsidR="04B23AD8">
        <w:rPr>
          <w:rFonts w:ascii="Palatino Linotype" w:hAnsi="Palatino Linotype" w:eastAsia="Palatino Linotype" w:cs="Times New Roman"/>
          <w:kern w:val="0"/>
          <w14:ligatures w14:val="none"/>
        </w:rPr>
        <w:t xml:space="preserve">, it </w:t>
      </w:r>
      <w:r w:rsidR="3D059155">
        <w:rPr>
          <w:rFonts w:ascii="Palatino Linotype" w:hAnsi="Palatino Linotype" w:eastAsia="Palatino Linotype" w:cs="Times New Roman"/>
          <w:kern w:val="0"/>
          <w14:ligatures w14:val="none"/>
        </w:rPr>
        <w:t>notes</w:t>
      </w:r>
      <w:r w:rsidR="3490ECE0">
        <w:rPr>
          <w:rFonts w:ascii="Palatino Linotype" w:hAnsi="Palatino Linotype" w:eastAsia="Palatino Linotype" w:cs="Times New Roman"/>
          <w:kern w:val="0"/>
          <w14:ligatures w14:val="none"/>
        </w:rPr>
        <w:t>. Based on this claim, STACK argues that its choice to fund and arrange for the construction of the Ringwood substation already benefits ratepayers and should be treated as such. We do not agree that Ringwood should be considered a broader transmission network upgrade to benefit all customers</w:t>
      </w:r>
      <w:r w:rsidR="03AB9D32">
        <w:rPr>
          <w:rFonts w:ascii="Palatino Linotype" w:hAnsi="Palatino Linotype" w:eastAsia="Palatino Linotype" w:cs="Times New Roman"/>
          <w:kern w:val="0"/>
          <w14:ligatures w14:val="none"/>
        </w:rPr>
        <w:t>, and neither does PG&amp;E in its comments.</w:t>
      </w:r>
      <w:r w:rsidR="00992D87">
        <w:rPr>
          <w:rStyle w:val="FootnoteReference"/>
          <w:rFonts w:ascii="Palatino Linotype" w:hAnsi="Palatino Linotype" w:eastAsia="Palatino Linotype" w:cs="Times New Roman"/>
          <w:kern w:val="0"/>
          <w14:ligatures w14:val="none"/>
        </w:rPr>
        <w:footnoteReference w:id="26"/>
      </w:r>
      <w:r w:rsidR="03AB9D32">
        <w:rPr>
          <w:rFonts w:ascii="Palatino Linotype" w:hAnsi="Palatino Linotype" w:eastAsia="Palatino Linotype" w:cs="Times New Roman"/>
          <w:kern w:val="0"/>
          <w14:ligatures w14:val="none"/>
        </w:rPr>
        <w:t xml:space="preserve"> STACK Infrastructure also selectively cites the CAISO 2024-25 Transmission Plan in its comments.</w:t>
      </w:r>
      <w:r w:rsidR="007C6986">
        <w:rPr>
          <w:rStyle w:val="FootnoteReference"/>
          <w:rFonts w:ascii="Palatino Linotype" w:hAnsi="Palatino Linotype" w:eastAsia="Palatino Linotype" w:cs="Times New Roman"/>
          <w:kern w:val="0"/>
          <w14:ligatures w14:val="none"/>
        </w:rPr>
        <w:footnoteReference w:id="27"/>
      </w:r>
      <w:r w:rsidR="03AB9D32">
        <w:rPr>
          <w:rFonts w:ascii="Palatino Linotype" w:hAnsi="Palatino Linotype" w:eastAsia="Palatino Linotype" w:cs="Times New Roman"/>
          <w:kern w:val="0"/>
          <w14:ligatures w14:val="none"/>
        </w:rPr>
        <w:t xml:space="preserve"> As we noted in the section </w:t>
      </w:r>
      <w:r w:rsidR="3D059155">
        <w:rPr>
          <w:rFonts w:ascii="Palatino Linotype" w:hAnsi="Palatino Linotype" w:eastAsia="Palatino Linotype" w:cs="Times New Roman"/>
          <w:kern w:val="0"/>
          <w14:ligatures w14:val="none"/>
        </w:rPr>
        <w:t>on</w:t>
      </w:r>
      <w:r w:rsidR="03AB9D32">
        <w:rPr>
          <w:rFonts w:ascii="Palatino Linotype" w:hAnsi="Palatino Linotype" w:eastAsia="Palatino Linotype" w:cs="Times New Roman"/>
          <w:kern w:val="0"/>
          <w14:ligatures w14:val="none"/>
        </w:rPr>
        <w:t xml:space="preserve"> Cal Advocates comments above, there are multiple upgrades to the broader transmission network specifically intended to provide additional transmission capacity in the South Bay and Greater Bay Area, thus benefiting STACK Infrastructure as well as transmission customers more broadly. Given the questionable claim that Ringwood substation is a broader transmission network upgrade, and the </w:t>
      </w:r>
      <w:r w:rsidR="6FCC142D">
        <w:rPr>
          <w:rFonts w:ascii="Palatino Linotype" w:hAnsi="Palatino Linotype" w:eastAsia="Palatino Linotype" w:cs="Times New Roman"/>
          <w:kern w:val="0"/>
          <w14:ligatures w14:val="none"/>
        </w:rPr>
        <w:t xml:space="preserve">selective citation to the CAISO Transmission Plan that ignores other relevant upgrades, STACK </w:t>
      </w:r>
      <w:r w:rsidR="6B155DD2">
        <w:rPr>
          <w:rFonts w:ascii="Palatino Linotype" w:hAnsi="Palatino Linotype" w:eastAsia="Palatino Linotype" w:cs="Times New Roman"/>
          <w:kern w:val="0"/>
          <w14:ligatures w14:val="none"/>
        </w:rPr>
        <w:t>Infrastructure's</w:t>
      </w:r>
      <w:r w:rsidR="6FCC142D">
        <w:rPr>
          <w:rFonts w:ascii="Palatino Linotype" w:hAnsi="Palatino Linotype" w:eastAsia="Palatino Linotype" w:cs="Times New Roman"/>
          <w:kern w:val="0"/>
          <w14:ligatures w14:val="none"/>
        </w:rPr>
        <w:t xml:space="preserve"> arguments here do not bear weight.</w:t>
      </w:r>
    </w:p>
    <w:p w:rsidR="007C6986" w:rsidP="00BF32A6" w:rsidRDefault="004C0BEB" w14:paraId="7E05425F" w14:textId="638ADE6A">
      <w:pPr>
        <w:keepNext/>
        <w:spacing w:before="120" w:after="240" w:line="240" w:lineRule="auto"/>
        <w:outlineLvl w:val="0"/>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In its comments, STACK also claims that limiting annual refunds to 75 percent of annual net revenues is at odds with the FERC interconnection rules. However, we are considering STACK Infrastructure in this context as a</w:t>
      </w:r>
      <w:r w:rsidR="007A7781">
        <w:rPr>
          <w:rFonts w:ascii="Palatino Linotype" w:hAnsi="Palatino Linotype" w:eastAsia="Palatino Linotype" w:cs="Times New Roman"/>
          <w:kern w:val="0"/>
          <w14:ligatures w14:val="none"/>
        </w:rPr>
        <w:t xml:space="preserve"> retail</w:t>
      </w:r>
      <w:r>
        <w:rPr>
          <w:rFonts w:ascii="Palatino Linotype" w:hAnsi="Palatino Linotype" w:eastAsia="Palatino Linotype" w:cs="Times New Roman"/>
          <w:kern w:val="0"/>
          <w14:ligatures w14:val="none"/>
        </w:rPr>
        <w:t xml:space="preserve"> customer of PG&amp;E. STACK Infrastructure, at least in this case, is not a transmission owner, operator, </w:t>
      </w:r>
      <w:r w:rsidR="00E90686">
        <w:rPr>
          <w:rFonts w:ascii="Palatino Linotype" w:hAnsi="Palatino Linotype" w:eastAsia="Palatino Linotype" w:cs="Times New Roman"/>
          <w:kern w:val="0"/>
          <w14:ligatures w14:val="none"/>
        </w:rPr>
        <w:t xml:space="preserve">generator, </w:t>
      </w:r>
      <w:r>
        <w:rPr>
          <w:rFonts w:ascii="Palatino Linotype" w:hAnsi="Palatino Linotype" w:eastAsia="Palatino Linotype" w:cs="Times New Roman"/>
          <w:kern w:val="0"/>
          <w14:ligatures w14:val="none"/>
        </w:rPr>
        <w:t xml:space="preserve">or utility </w:t>
      </w:r>
      <w:r w:rsidR="00A02A73">
        <w:rPr>
          <w:rFonts w:ascii="Palatino Linotype" w:hAnsi="Palatino Linotype" w:eastAsia="Palatino Linotype" w:cs="Times New Roman"/>
          <w:kern w:val="0"/>
          <w14:ligatures w14:val="none"/>
        </w:rPr>
        <w:t>that may be</w:t>
      </w:r>
      <w:r>
        <w:rPr>
          <w:rFonts w:ascii="Palatino Linotype" w:hAnsi="Palatino Linotype" w:eastAsia="Palatino Linotype" w:cs="Times New Roman"/>
          <w:kern w:val="0"/>
          <w14:ligatures w14:val="none"/>
        </w:rPr>
        <w:t xml:space="preserve"> subject to FERC </w:t>
      </w:r>
      <w:r w:rsidR="00A02A73">
        <w:rPr>
          <w:rFonts w:ascii="Palatino Linotype" w:hAnsi="Palatino Linotype" w:eastAsia="Palatino Linotype" w:cs="Times New Roman"/>
          <w:kern w:val="0"/>
          <w14:ligatures w14:val="none"/>
        </w:rPr>
        <w:t xml:space="preserve">infrastructure </w:t>
      </w:r>
      <w:r w:rsidR="007C6986">
        <w:rPr>
          <w:rFonts w:ascii="Palatino Linotype" w:hAnsi="Palatino Linotype" w:eastAsia="Palatino Linotype" w:cs="Times New Roman"/>
          <w:kern w:val="0"/>
          <w14:ligatures w14:val="none"/>
        </w:rPr>
        <w:t xml:space="preserve">cost </w:t>
      </w:r>
      <w:r w:rsidR="00A02A73">
        <w:rPr>
          <w:rFonts w:ascii="Palatino Linotype" w:hAnsi="Palatino Linotype" w:eastAsia="Palatino Linotype" w:cs="Times New Roman"/>
          <w:kern w:val="0"/>
          <w14:ligatures w14:val="none"/>
        </w:rPr>
        <w:t>recovery</w:t>
      </w:r>
      <w:r w:rsidR="00E90686">
        <w:rPr>
          <w:rFonts w:ascii="Palatino Linotype" w:hAnsi="Palatino Linotype" w:eastAsia="Palatino Linotype" w:cs="Times New Roman"/>
          <w:kern w:val="0"/>
          <w14:ligatures w14:val="none"/>
        </w:rPr>
        <w:t xml:space="preserve"> rules</w:t>
      </w:r>
      <w:r>
        <w:rPr>
          <w:rFonts w:ascii="Palatino Linotype" w:hAnsi="Palatino Linotype" w:eastAsia="Palatino Linotype" w:cs="Times New Roman"/>
          <w:kern w:val="0"/>
          <w14:ligatures w14:val="none"/>
        </w:rPr>
        <w:t>.</w:t>
      </w:r>
    </w:p>
    <w:p w:rsidR="007C6986" w:rsidP="00B41E79" w:rsidRDefault="71298350" w14:paraId="77CF6A34" w14:textId="3D68325C">
      <w:pPr>
        <w:keepNext/>
        <w:spacing w:before="120" w:after="240" w:line="240" w:lineRule="auto"/>
        <w:outlineLvl w:val="0"/>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Finally, STACK Infrastructure requests that </w:t>
      </w:r>
      <w:r w:rsidR="00A919F9">
        <w:rPr>
          <w:rFonts w:ascii="Palatino Linotype" w:hAnsi="Palatino Linotype" w:eastAsia="Palatino Linotype" w:cs="Times New Roman"/>
          <w:kern w:val="0"/>
          <w14:ligatures w14:val="none"/>
        </w:rPr>
        <w:t>–</w:t>
      </w:r>
      <w:r w:rsidR="00B0370C">
        <w:rPr>
          <w:rFonts w:ascii="Palatino Linotype" w:hAnsi="Palatino Linotype" w:eastAsia="Palatino Linotype" w:cs="Times New Roman"/>
          <w:kern w:val="0"/>
          <w14:ligatures w14:val="none"/>
        </w:rPr>
        <w:t xml:space="preserve"> if</w:t>
      </w:r>
      <w:r w:rsidR="00A919F9">
        <w:rPr>
          <w:rFonts w:ascii="Palatino Linotype" w:hAnsi="Palatino Linotype" w:eastAsia="Palatino Linotype" w:cs="Times New Roman"/>
          <w:kern w:val="0"/>
          <w14:ligatures w14:val="none"/>
        </w:rPr>
        <w:t xml:space="preserve"> </w:t>
      </w:r>
      <w:r w:rsidR="00B0370C">
        <w:rPr>
          <w:rFonts w:ascii="Palatino Linotype" w:hAnsi="Palatino Linotype" w:eastAsia="Palatino Linotype" w:cs="Times New Roman"/>
          <w:kern w:val="0"/>
          <w14:ligatures w14:val="none"/>
        </w:rPr>
        <w:t xml:space="preserve">the Commission does decide to move forward with limiting annual refunds to 75 percent of annual net revenues </w:t>
      </w:r>
      <w:r w:rsidR="00A919F9">
        <w:rPr>
          <w:rFonts w:ascii="Palatino Linotype" w:hAnsi="Palatino Linotype" w:eastAsia="Palatino Linotype" w:cs="Times New Roman"/>
          <w:kern w:val="0"/>
          <w14:ligatures w14:val="none"/>
        </w:rPr>
        <w:t xml:space="preserve">– </w:t>
      </w:r>
      <w:r>
        <w:rPr>
          <w:rFonts w:ascii="Palatino Linotype" w:hAnsi="Palatino Linotype" w:eastAsia="Palatino Linotype" w:cs="Times New Roman"/>
          <w:kern w:val="0"/>
          <w14:ligatures w14:val="none"/>
        </w:rPr>
        <w:t xml:space="preserve">the Commission </w:t>
      </w:r>
      <w:r w:rsidR="00033C75">
        <w:rPr>
          <w:rFonts w:ascii="Palatino Linotype" w:hAnsi="Palatino Linotype" w:eastAsia="Palatino Linotype" w:cs="Times New Roman"/>
          <w:kern w:val="0"/>
          <w14:ligatures w14:val="none"/>
        </w:rPr>
        <w:t xml:space="preserve">also </w:t>
      </w:r>
      <w:r>
        <w:rPr>
          <w:rFonts w:ascii="Palatino Linotype" w:hAnsi="Palatino Linotype" w:eastAsia="Palatino Linotype" w:cs="Times New Roman"/>
          <w:kern w:val="0"/>
          <w14:ligatures w14:val="none"/>
        </w:rPr>
        <w:t xml:space="preserve">include a potential reopener to the </w:t>
      </w:r>
      <w:r w:rsidR="092D700A">
        <w:rPr>
          <w:rFonts w:ascii="Palatino Linotype" w:hAnsi="Palatino Linotype" w:eastAsia="Palatino Linotype" w:cs="Times New Roman"/>
          <w:kern w:val="0"/>
          <w14:ligatures w14:val="none"/>
        </w:rPr>
        <w:t>A</w:t>
      </w:r>
      <w:r>
        <w:rPr>
          <w:rFonts w:ascii="Palatino Linotype" w:hAnsi="Palatino Linotype" w:eastAsia="Palatino Linotype" w:cs="Times New Roman"/>
          <w:kern w:val="0"/>
          <w14:ligatures w14:val="none"/>
        </w:rPr>
        <w:t xml:space="preserve">greements </w:t>
      </w:r>
      <w:r w:rsidR="092D700A">
        <w:rPr>
          <w:rFonts w:ascii="Palatino Linotype" w:hAnsi="Palatino Linotype" w:eastAsia="Palatino Linotype" w:cs="Times New Roman"/>
          <w:kern w:val="0"/>
          <w14:ligatures w14:val="none"/>
        </w:rPr>
        <w:t>approve</w:t>
      </w:r>
      <w:r w:rsidR="00033C75">
        <w:rPr>
          <w:rFonts w:ascii="Palatino Linotype" w:hAnsi="Palatino Linotype" w:eastAsia="Palatino Linotype" w:cs="Times New Roman"/>
          <w:kern w:val="0"/>
          <w14:ligatures w14:val="none"/>
        </w:rPr>
        <w:t>d</w:t>
      </w:r>
      <w:r w:rsidR="092D700A">
        <w:rPr>
          <w:rFonts w:ascii="Palatino Linotype" w:hAnsi="Palatino Linotype" w:eastAsia="Palatino Linotype" w:cs="Times New Roman"/>
          <w:kern w:val="0"/>
          <w14:ligatures w14:val="none"/>
        </w:rPr>
        <w:t xml:space="preserve"> here </w:t>
      </w:r>
      <w:r>
        <w:rPr>
          <w:rFonts w:ascii="Palatino Linotype" w:hAnsi="Palatino Linotype" w:eastAsia="Palatino Linotype" w:cs="Times New Roman"/>
          <w:kern w:val="0"/>
          <w14:ligatures w14:val="none"/>
        </w:rPr>
        <w:t xml:space="preserve">after the conclusion of the Rule 30 Proceeding. We note that </w:t>
      </w:r>
      <w:r w:rsidR="2AF5B102">
        <w:rPr>
          <w:rFonts w:ascii="Palatino Linotype" w:hAnsi="Palatino Linotype" w:eastAsia="Palatino Linotype" w:cs="Times New Roman"/>
          <w:kern w:val="0"/>
          <w14:ligatures w14:val="none"/>
        </w:rPr>
        <w:t>Decision</w:t>
      </w:r>
      <w:r w:rsidR="00B219E7">
        <w:rPr>
          <w:rFonts w:ascii="Palatino Linotype" w:hAnsi="Palatino Linotype" w:eastAsia="Palatino Linotype" w:cs="Times New Roman"/>
          <w:kern w:val="0"/>
          <w14:ligatures w14:val="none"/>
        </w:rPr>
        <w:t xml:space="preserve"> (D.)</w:t>
      </w:r>
      <w:r w:rsidR="2AF5B102">
        <w:rPr>
          <w:rFonts w:ascii="Palatino Linotype" w:hAnsi="Palatino Linotype" w:eastAsia="Palatino Linotype" w:cs="Times New Roman"/>
          <w:kern w:val="0"/>
          <w14:ligatures w14:val="none"/>
        </w:rPr>
        <w:t xml:space="preserve"> 25-07-039 in th</w:t>
      </w:r>
      <w:r w:rsidR="092D700A">
        <w:rPr>
          <w:rFonts w:ascii="Palatino Linotype" w:hAnsi="Palatino Linotype" w:eastAsia="Palatino Linotype" w:cs="Times New Roman"/>
          <w:kern w:val="0"/>
          <w14:ligatures w14:val="none"/>
        </w:rPr>
        <w:t xml:space="preserve">e Rule 30 </w:t>
      </w:r>
      <w:r w:rsidR="2AF5B102">
        <w:rPr>
          <w:rFonts w:ascii="Palatino Linotype" w:hAnsi="Palatino Linotype" w:eastAsia="Palatino Linotype" w:cs="Times New Roman"/>
          <w:kern w:val="0"/>
          <w14:ligatures w14:val="none"/>
        </w:rPr>
        <w:t xml:space="preserve">Proceeding already approved an interim implementation process that allows </w:t>
      </w:r>
      <w:r w:rsidR="008346A5">
        <w:rPr>
          <w:rFonts w:ascii="Palatino Linotype" w:hAnsi="Palatino Linotype" w:eastAsia="Palatino Linotype" w:cs="Times New Roman"/>
          <w:kern w:val="0"/>
          <w14:ligatures w14:val="none"/>
        </w:rPr>
        <w:t xml:space="preserve">large load </w:t>
      </w:r>
      <w:r w:rsidR="2AF5B102">
        <w:rPr>
          <w:rFonts w:ascii="Palatino Linotype" w:hAnsi="Palatino Linotype" w:eastAsia="Palatino Linotype" w:cs="Times New Roman"/>
          <w:kern w:val="0"/>
          <w14:ligatures w14:val="none"/>
        </w:rPr>
        <w:t>customers to seek immediate energization using an interim process while</w:t>
      </w:r>
      <w:r w:rsidRPr="69AA885D" w:rsidR="2AF5B102">
        <w:rPr>
          <w:rFonts w:ascii="Palatino Linotype" w:hAnsi="Palatino Linotype" w:eastAsia="Palatino Linotype" w:cs="Times New Roman"/>
        </w:rPr>
        <w:t xml:space="preserve"> </w:t>
      </w:r>
      <w:r w:rsidRPr="69AA885D" w:rsidR="00C4164D">
        <w:rPr>
          <w:rFonts w:ascii="Palatino Linotype" w:hAnsi="Palatino Linotype" w:eastAsia="Palatino Linotype" w:cs="Times New Roman"/>
        </w:rPr>
        <w:t xml:space="preserve">certain </w:t>
      </w:r>
      <w:r w:rsidRPr="69AA885D" w:rsidR="4D9AE2EA">
        <w:rPr>
          <w:rFonts w:ascii="Palatino Linotype" w:hAnsi="Palatino Linotype" w:eastAsia="Palatino Linotype" w:cs="Times New Roman"/>
        </w:rPr>
        <w:t>cost allocation issues are</w:t>
      </w:r>
      <w:r w:rsidR="2AF5B102">
        <w:rPr>
          <w:rFonts w:ascii="Palatino Linotype" w:hAnsi="Palatino Linotype" w:eastAsia="Palatino Linotype" w:cs="Times New Roman"/>
          <w:kern w:val="0"/>
          <w14:ligatures w14:val="none"/>
        </w:rPr>
        <w:t xml:space="preserve"> subject to the final outcome of the Rule 30 Proceeding, </w:t>
      </w:r>
      <w:r w:rsidR="3D059155">
        <w:rPr>
          <w:rFonts w:ascii="Palatino Linotype" w:hAnsi="Palatino Linotype" w:eastAsia="Palatino Linotype" w:cs="Times New Roman"/>
          <w:kern w:val="0"/>
          <w14:ligatures w14:val="none"/>
        </w:rPr>
        <w:t xml:space="preserve">and </w:t>
      </w:r>
      <w:r w:rsidR="0079018F">
        <w:rPr>
          <w:rFonts w:ascii="Palatino Linotype" w:hAnsi="Palatino Linotype" w:eastAsia="Palatino Linotype" w:cs="Times New Roman"/>
          <w:kern w:val="0"/>
          <w14:ligatures w14:val="none"/>
        </w:rPr>
        <w:t xml:space="preserve">final </w:t>
      </w:r>
      <w:r w:rsidR="3D059155">
        <w:rPr>
          <w:rFonts w:ascii="Palatino Linotype" w:hAnsi="Palatino Linotype" w:eastAsia="Palatino Linotype" w:cs="Times New Roman"/>
          <w:kern w:val="0"/>
          <w14:ligatures w14:val="none"/>
        </w:rPr>
        <w:t>approval</w:t>
      </w:r>
      <w:r w:rsidR="2AF5B102">
        <w:rPr>
          <w:rFonts w:ascii="Palatino Linotype" w:hAnsi="Palatino Linotype" w:eastAsia="Palatino Linotype" w:cs="Times New Roman"/>
          <w:kern w:val="0"/>
          <w14:ligatures w14:val="none"/>
        </w:rPr>
        <w:t xml:space="preserve"> of </w:t>
      </w:r>
      <w:r w:rsidR="3D059155">
        <w:rPr>
          <w:rFonts w:ascii="Palatino Linotype" w:hAnsi="Palatino Linotype" w:eastAsia="Palatino Linotype" w:cs="Times New Roman"/>
          <w:kern w:val="0"/>
          <w14:ligatures w14:val="none"/>
        </w:rPr>
        <w:t>this interim process</w:t>
      </w:r>
      <w:r w:rsidR="2AF5B102">
        <w:rPr>
          <w:rFonts w:ascii="Palatino Linotype" w:hAnsi="Palatino Linotype" w:eastAsia="Palatino Linotype" w:cs="Times New Roman"/>
          <w:kern w:val="0"/>
          <w14:ligatures w14:val="none"/>
        </w:rPr>
        <w:t xml:space="preserve"> is currently under consideration in Advice </w:t>
      </w:r>
      <w:r w:rsidR="2AF5B102">
        <w:rPr>
          <w:rFonts w:ascii="Palatino Linotype" w:hAnsi="Palatino Linotype" w:eastAsia="Palatino Linotype" w:cs="Times New Roman"/>
          <w:kern w:val="0"/>
          <w14:ligatures w14:val="none"/>
        </w:rPr>
        <w:lastRenderedPageBreak/>
        <w:t>Letter 7671-E.</w:t>
      </w:r>
      <w:r w:rsidRPr="56284205">
        <w:rPr>
          <w:rStyle w:val="FootnoteReference"/>
          <w:rFonts w:ascii="Palatino Linotype" w:hAnsi="Palatino Linotype" w:eastAsia="Palatino Linotype" w:cs="Times New Roman"/>
        </w:rPr>
        <w:footnoteReference w:id="28"/>
      </w:r>
      <w:r w:rsidR="2AF5B102">
        <w:rPr>
          <w:rFonts w:ascii="Palatino Linotype" w:hAnsi="Palatino Linotype" w:eastAsia="Palatino Linotype" w:cs="Times New Roman"/>
          <w:kern w:val="0"/>
          <w14:ligatures w14:val="none"/>
        </w:rPr>
        <w:t xml:space="preserve"> </w:t>
      </w:r>
      <w:r w:rsidR="0043529D">
        <w:rPr>
          <w:rFonts w:ascii="Palatino Linotype" w:hAnsi="Palatino Linotype" w:eastAsia="Palatino Linotype" w:cs="Times New Roman"/>
          <w:kern w:val="0"/>
          <w14:ligatures w14:val="none"/>
        </w:rPr>
        <w:t>In short, t</w:t>
      </w:r>
      <w:r w:rsidR="00130FE3">
        <w:rPr>
          <w:rFonts w:ascii="Palatino Linotype" w:hAnsi="Palatino Linotype" w:eastAsia="Palatino Linotype" w:cs="Times New Roman"/>
          <w:kern w:val="0"/>
          <w14:ligatures w14:val="none"/>
        </w:rPr>
        <w:t xml:space="preserve">he Commission has already made a decision on a pathway </w:t>
      </w:r>
      <w:r w:rsidR="007F4645">
        <w:rPr>
          <w:rFonts w:ascii="Palatino Linotype" w:hAnsi="Palatino Linotype" w:eastAsia="Palatino Linotype" w:cs="Times New Roman"/>
          <w:kern w:val="0"/>
          <w14:ligatures w14:val="none"/>
        </w:rPr>
        <w:t xml:space="preserve">for customers to align the terms of their energization with the </w:t>
      </w:r>
      <w:r w:rsidR="00BD058E">
        <w:rPr>
          <w:rFonts w:ascii="Palatino Linotype" w:hAnsi="Palatino Linotype" w:eastAsia="Palatino Linotype" w:cs="Times New Roman"/>
          <w:kern w:val="0"/>
          <w14:ligatures w14:val="none"/>
        </w:rPr>
        <w:t xml:space="preserve">eventual </w:t>
      </w:r>
      <w:r w:rsidR="007F4645">
        <w:rPr>
          <w:rFonts w:ascii="Palatino Linotype" w:hAnsi="Palatino Linotype" w:eastAsia="Palatino Linotype" w:cs="Times New Roman"/>
          <w:kern w:val="0"/>
          <w14:ligatures w14:val="none"/>
        </w:rPr>
        <w:t xml:space="preserve">results of the </w:t>
      </w:r>
      <w:r w:rsidR="00C409A2">
        <w:rPr>
          <w:rFonts w:ascii="Palatino Linotype" w:hAnsi="Palatino Linotype" w:eastAsia="Palatino Linotype" w:cs="Times New Roman"/>
          <w:kern w:val="0"/>
          <w14:ligatures w14:val="none"/>
        </w:rPr>
        <w:br/>
      </w:r>
      <w:r w:rsidR="00BD058E">
        <w:rPr>
          <w:rFonts w:ascii="Palatino Linotype" w:hAnsi="Palatino Linotype" w:eastAsia="Palatino Linotype" w:cs="Times New Roman"/>
          <w:kern w:val="0"/>
          <w14:ligatures w14:val="none"/>
        </w:rPr>
        <w:t xml:space="preserve">Rule 30 Proceeding. </w:t>
      </w:r>
      <w:r w:rsidR="00AB0AC9">
        <w:rPr>
          <w:rFonts w:ascii="Palatino Linotype" w:hAnsi="Palatino Linotype" w:eastAsia="Palatino Linotype" w:cs="Times New Roman"/>
          <w:kern w:val="0"/>
          <w14:ligatures w14:val="none"/>
        </w:rPr>
        <w:t xml:space="preserve">Allowing </w:t>
      </w:r>
      <w:r w:rsidR="0043529D">
        <w:rPr>
          <w:rFonts w:ascii="Palatino Linotype" w:hAnsi="Palatino Linotype" w:eastAsia="Palatino Linotype" w:cs="Times New Roman"/>
          <w:kern w:val="0"/>
          <w14:ligatures w14:val="none"/>
        </w:rPr>
        <w:t xml:space="preserve">customers to achieve </w:t>
      </w:r>
      <w:r w:rsidR="00F33391">
        <w:rPr>
          <w:rFonts w:ascii="Palatino Linotype" w:hAnsi="Palatino Linotype" w:eastAsia="Palatino Linotype" w:cs="Times New Roman"/>
          <w:kern w:val="0"/>
          <w14:ligatures w14:val="none"/>
        </w:rPr>
        <w:t>a similar</w:t>
      </w:r>
      <w:r w:rsidR="0043529D">
        <w:rPr>
          <w:rFonts w:ascii="Palatino Linotype" w:hAnsi="Palatino Linotype" w:eastAsia="Palatino Linotype" w:cs="Times New Roman"/>
          <w:kern w:val="0"/>
          <w14:ligatures w14:val="none"/>
        </w:rPr>
        <w:t xml:space="preserve"> </w:t>
      </w:r>
      <w:r w:rsidR="00B77B9B">
        <w:rPr>
          <w:rFonts w:ascii="Palatino Linotype" w:hAnsi="Palatino Linotype" w:eastAsia="Palatino Linotype" w:cs="Times New Roman"/>
          <w:kern w:val="0"/>
          <w14:ligatures w14:val="none"/>
        </w:rPr>
        <w:t>result through a separate process</w:t>
      </w:r>
      <w:r w:rsidR="00F33391">
        <w:rPr>
          <w:rFonts w:ascii="Palatino Linotype" w:hAnsi="Palatino Linotype" w:eastAsia="Palatino Linotype" w:cs="Times New Roman"/>
          <w:kern w:val="0"/>
          <w14:ligatures w14:val="none"/>
        </w:rPr>
        <w:t xml:space="preserve"> with different requirements and guarantees</w:t>
      </w:r>
      <w:r w:rsidR="00B77B9B">
        <w:rPr>
          <w:rFonts w:ascii="Palatino Linotype" w:hAnsi="Palatino Linotype" w:eastAsia="Palatino Linotype" w:cs="Times New Roman"/>
          <w:kern w:val="0"/>
          <w14:ligatures w14:val="none"/>
        </w:rPr>
        <w:t xml:space="preserve"> is not necessary, and may be inconsistent with Commission </w:t>
      </w:r>
      <w:r w:rsidR="005F2DC1">
        <w:rPr>
          <w:rFonts w:ascii="Palatino Linotype" w:hAnsi="Palatino Linotype" w:eastAsia="Palatino Linotype" w:cs="Times New Roman"/>
          <w:kern w:val="0"/>
          <w14:ligatures w14:val="none"/>
        </w:rPr>
        <w:t>D</w:t>
      </w:r>
      <w:r w:rsidR="00B219E7">
        <w:rPr>
          <w:rFonts w:ascii="Palatino Linotype" w:hAnsi="Palatino Linotype" w:eastAsia="Palatino Linotype" w:cs="Times New Roman"/>
          <w:kern w:val="0"/>
          <w14:ligatures w14:val="none"/>
        </w:rPr>
        <w:t>.</w:t>
      </w:r>
      <w:r w:rsidR="005F2DC1">
        <w:rPr>
          <w:rFonts w:ascii="Palatino Linotype" w:hAnsi="Palatino Linotype" w:eastAsia="Palatino Linotype" w:cs="Times New Roman"/>
          <w:kern w:val="0"/>
          <w14:ligatures w14:val="none"/>
        </w:rPr>
        <w:t>25-07-039</w:t>
      </w:r>
      <w:r w:rsidR="00B77B9B">
        <w:rPr>
          <w:rFonts w:ascii="Palatino Linotype" w:hAnsi="Palatino Linotype" w:eastAsia="Palatino Linotype" w:cs="Times New Roman"/>
          <w:kern w:val="0"/>
          <w14:ligatures w14:val="none"/>
        </w:rPr>
        <w:t>.</w:t>
      </w:r>
    </w:p>
    <w:p w:rsidR="0037364F" w:rsidP="00B41E79" w:rsidRDefault="000D3CBA" w14:paraId="211B166B" w14:textId="7688BF6F">
      <w:pPr>
        <w:keepNext/>
        <w:spacing w:before="120" w:after="240" w:line="240" w:lineRule="auto"/>
        <w:outlineLvl w:val="0"/>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However, we note that </w:t>
      </w:r>
      <w:r w:rsidR="009700C1">
        <w:rPr>
          <w:rFonts w:ascii="Palatino Linotype" w:hAnsi="Palatino Linotype" w:eastAsia="Palatino Linotype" w:cs="Times New Roman"/>
          <w:kern w:val="0"/>
          <w14:ligatures w14:val="none"/>
        </w:rPr>
        <w:t xml:space="preserve">there is no prohibition against </w:t>
      </w:r>
      <w:r w:rsidR="008B6A6C">
        <w:rPr>
          <w:rFonts w:ascii="Palatino Linotype" w:hAnsi="Palatino Linotype" w:eastAsia="Palatino Linotype" w:cs="Times New Roman"/>
          <w:kern w:val="0"/>
          <w14:ligatures w14:val="none"/>
        </w:rPr>
        <w:t xml:space="preserve">PG&amp;E and STACK Infrastructure </w:t>
      </w:r>
      <w:r w:rsidR="00DC68C6">
        <w:rPr>
          <w:rFonts w:ascii="Palatino Linotype" w:hAnsi="Palatino Linotype" w:eastAsia="Palatino Linotype" w:cs="Times New Roman"/>
          <w:kern w:val="0"/>
          <w14:ligatures w14:val="none"/>
        </w:rPr>
        <w:t>negotiat</w:t>
      </w:r>
      <w:r w:rsidR="009700C1">
        <w:rPr>
          <w:rFonts w:ascii="Palatino Linotype" w:hAnsi="Palatino Linotype" w:eastAsia="Palatino Linotype" w:cs="Times New Roman"/>
          <w:kern w:val="0"/>
          <w14:ligatures w14:val="none"/>
        </w:rPr>
        <w:t>ing</w:t>
      </w:r>
      <w:r w:rsidR="00DC68C6">
        <w:rPr>
          <w:rFonts w:ascii="Palatino Linotype" w:hAnsi="Palatino Linotype" w:eastAsia="Palatino Linotype" w:cs="Times New Roman"/>
          <w:kern w:val="0"/>
          <w14:ligatures w14:val="none"/>
        </w:rPr>
        <w:t xml:space="preserve"> a new </w:t>
      </w:r>
      <w:r w:rsidR="00825E5D">
        <w:rPr>
          <w:rFonts w:ascii="Palatino Linotype" w:hAnsi="Palatino Linotype" w:eastAsia="Palatino Linotype" w:cs="Times New Roman"/>
          <w:kern w:val="0"/>
          <w14:ligatures w14:val="none"/>
        </w:rPr>
        <w:t>tariff deviation agreement and submit</w:t>
      </w:r>
      <w:r w:rsidR="009700C1">
        <w:rPr>
          <w:rFonts w:ascii="Palatino Linotype" w:hAnsi="Palatino Linotype" w:eastAsia="Palatino Linotype" w:cs="Times New Roman"/>
          <w:kern w:val="0"/>
          <w14:ligatures w14:val="none"/>
        </w:rPr>
        <w:t>ting</w:t>
      </w:r>
      <w:r w:rsidR="00825E5D">
        <w:rPr>
          <w:rFonts w:ascii="Palatino Linotype" w:hAnsi="Palatino Linotype" w:eastAsia="Palatino Linotype" w:cs="Times New Roman"/>
          <w:kern w:val="0"/>
          <w14:ligatures w14:val="none"/>
        </w:rPr>
        <w:t xml:space="preserve"> it for approval via the same process pursued here, according to General Order 96</w:t>
      </w:r>
      <w:r w:rsidR="00846A83">
        <w:rPr>
          <w:rFonts w:ascii="Palatino Linotype" w:hAnsi="Palatino Linotype" w:eastAsia="Palatino Linotype" w:cs="Times New Roman"/>
          <w:kern w:val="0"/>
          <w14:ligatures w14:val="none"/>
        </w:rPr>
        <w:t>-</w:t>
      </w:r>
      <w:r w:rsidR="00825E5D">
        <w:rPr>
          <w:rFonts w:ascii="Palatino Linotype" w:hAnsi="Palatino Linotype" w:eastAsia="Palatino Linotype" w:cs="Times New Roman"/>
          <w:kern w:val="0"/>
          <w14:ligatures w14:val="none"/>
        </w:rPr>
        <w:t xml:space="preserve">B, </w:t>
      </w:r>
      <w:r w:rsidR="007E22AA">
        <w:rPr>
          <w:rFonts w:ascii="Palatino Linotype" w:hAnsi="Palatino Linotype" w:eastAsia="Palatino Linotype" w:cs="Times New Roman"/>
          <w:kern w:val="0"/>
          <w14:ligatures w14:val="none"/>
        </w:rPr>
        <w:t>after there has been a final decision in the Rule 30 Proceeding.</w:t>
      </w:r>
    </w:p>
    <w:p w:rsidRPr="001942D0" w:rsidR="00A76F4A" w:rsidP="00C409A2" w:rsidRDefault="00A76F4A" w14:paraId="46563B5C" w14:textId="77777777">
      <w:pPr>
        <w:keepNext/>
        <w:spacing w:before="360" w:after="240" w:line="240" w:lineRule="auto"/>
        <w:outlineLvl w:val="0"/>
        <w:rPr>
          <w:rFonts w:ascii="Palatino Linotype" w:hAnsi="Palatino Linotype" w:eastAsia="Palatino Linotype" w:cs="Times New Roman"/>
          <w:b/>
          <w:caps/>
          <w:kern w:val="28"/>
          <w:u w:val="single"/>
          <w14:ligatures w14:val="none"/>
        </w:rPr>
      </w:pPr>
      <w:r w:rsidRPr="001942D0">
        <w:rPr>
          <w:rFonts w:ascii="Palatino Linotype" w:hAnsi="Palatino Linotype" w:eastAsia="Palatino Linotype" w:cs="Times New Roman"/>
          <w:b/>
          <w:caps/>
          <w:kern w:val="28"/>
          <w:u w:val="single"/>
          <w14:ligatures w14:val="none"/>
        </w:rPr>
        <w:t>Findings</w:t>
      </w:r>
      <w:r>
        <w:rPr>
          <w:rFonts w:ascii="Palatino Linotype" w:hAnsi="Palatino Linotype" w:eastAsia="Palatino Linotype" w:cs="Times New Roman"/>
          <w:b/>
          <w:caps/>
          <w:kern w:val="28"/>
          <w:u w:val="single"/>
          <w14:ligatures w14:val="none"/>
        </w:rPr>
        <w:t xml:space="preserve"> AND CONCLUSIONS</w:t>
      </w:r>
    </w:p>
    <w:p w:rsidR="00B17E6E" w:rsidP="001C7001" w:rsidRDefault="00B17E6E" w14:paraId="48D4FDA7" w14:textId="60777339">
      <w:pPr>
        <w:numPr>
          <w:ilvl w:val="0"/>
          <w:numId w:val="1"/>
        </w:numPr>
        <w:spacing w:after="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No party protested this Advice Letter,</w:t>
      </w:r>
      <w:r w:rsidR="00831F57">
        <w:rPr>
          <w:rFonts w:ascii="Palatino Linotype" w:hAnsi="Palatino Linotype" w:eastAsia="Palatino Linotype" w:cs="Times New Roman"/>
          <w:kern w:val="0"/>
          <w14:ligatures w14:val="none"/>
        </w:rPr>
        <w:t xml:space="preserve"> </w:t>
      </w:r>
      <w:r w:rsidR="00FA7476">
        <w:rPr>
          <w:rFonts w:ascii="Palatino Linotype" w:hAnsi="Palatino Linotype" w:eastAsia="Palatino Linotype" w:cs="Times New Roman"/>
          <w:kern w:val="0"/>
          <w14:ligatures w14:val="none"/>
        </w:rPr>
        <w:t xml:space="preserve">or objected to the use of actual cost payments, the removal of the </w:t>
      </w:r>
      <w:r w:rsidR="00E97BDF">
        <w:rPr>
          <w:rFonts w:ascii="Palatino Linotype" w:hAnsi="Palatino Linotype" w:eastAsia="Palatino Linotype" w:cs="Times New Roman"/>
          <w:kern w:val="0"/>
          <w14:ligatures w14:val="none"/>
        </w:rPr>
        <w:t>fifty percent discount option, or the Agreement for the Installation of Allocation of Special Facilities.</w:t>
      </w:r>
    </w:p>
    <w:p w:rsidRPr="00831C64" w:rsidR="00831C64" w:rsidP="00B17E6E" w:rsidRDefault="00E839FA" w14:paraId="768CBBE7" w14:textId="4AF1D502">
      <w:pPr>
        <w:numPr>
          <w:ilvl w:val="0"/>
          <w:numId w:val="1"/>
        </w:numPr>
        <w:spacing w:after="0" w:line="240" w:lineRule="auto"/>
        <w:rPr>
          <w:rFonts w:ascii="Palatino Linotype" w:hAnsi="Palatino Linotype" w:eastAsia="Palatino Linotype" w:cs="Times New Roman"/>
          <w:kern w:val="0"/>
          <w14:ligatures w14:val="none"/>
        </w:rPr>
      </w:pPr>
      <w:r>
        <w:rPr>
          <w:rFonts w:ascii="Palatino Linotype" w:hAnsi="Palatino Linotype" w:eastAsia="Aptos" w:cs="Times New Roman"/>
        </w:rPr>
        <w:t xml:space="preserve">The scale of required upgrades for large load customers </w:t>
      </w:r>
      <w:r w:rsidR="00B17E6E">
        <w:rPr>
          <w:rFonts w:ascii="Palatino Linotype" w:hAnsi="Palatino Linotype" w:eastAsia="Aptos" w:cs="Times New Roman"/>
        </w:rPr>
        <w:t>seeking transmission-level energization</w:t>
      </w:r>
      <w:r>
        <w:rPr>
          <w:rFonts w:ascii="Palatino Linotype" w:hAnsi="Palatino Linotype" w:eastAsia="Aptos" w:cs="Times New Roman"/>
        </w:rPr>
        <w:t xml:space="preserve"> is much larger than </w:t>
      </w:r>
      <w:r w:rsidR="00B17E6E">
        <w:rPr>
          <w:rFonts w:ascii="Palatino Linotype" w:hAnsi="Palatino Linotype" w:eastAsia="Aptos" w:cs="Times New Roman"/>
        </w:rPr>
        <w:t>would be</w:t>
      </w:r>
      <w:r>
        <w:rPr>
          <w:rFonts w:ascii="Palatino Linotype" w:hAnsi="Palatino Linotype" w:eastAsia="Aptos" w:cs="Times New Roman"/>
        </w:rPr>
        <w:t xml:space="preserve"> typical for </w:t>
      </w:r>
      <w:r w:rsidR="00B17E6E">
        <w:rPr>
          <w:rFonts w:ascii="Palatino Linotype" w:hAnsi="Palatino Linotype" w:eastAsia="Aptos" w:cs="Times New Roman"/>
        </w:rPr>
        <w:t xml:space="preserve">a </w:t>
      </w:r>
      <w:r>
        <w:rPr>
          <w:rFonts w:ascii="Palatino Linotype" w:hAnsi="Palatino Linotype" w:eastAsia="Aptos" w:cs="Times New Roman"/>
        </w:rPr>
        <w:t>distribution-level customer</w:t>
      </w:r>
      <w:r w:rsidR="00C13A8C">
        <w:rPr>
          <w:rFonts w:ascii="Palatino Linotype" w:hAnsi="Palatino Linotype" w:eastAsia="Aptos" w:cs="Times New Roman"/>
        </w:rPr>
        <w:t>, and the</w:t>
      </w:r>
      <w:r w:rsidR="0063489A">
        <w:rPr>
          <w:rFonts w:ascii="Palatino Linotype" w:hAnsi="Palatino Linotype" w:eastAsia="Aptos" w:cs="Times New Roman"/>
        </w:rPr>
        <w:t>se customers present novel</w:t>
      </w:r>
      <w:r w:rsidR="00C13A8C">
        <w:rPr>
          <w:rFonts w:ascii="Palatino Linotype" w:hAnsi="Palatino Linotype" w:eastAsia="Aptos" w:cs="Times New Roman"/>
        </w:rPr>
        <w:t xml:space="preserve"> risk</w:t>
      </w:r>
      <w:r w:rsidR="0063489A">
        <w:rPr>
          <w:rFonts w:ascii="Palatino Linotype" w:hAnsi="Palatino Linotype" w:eastAsia="Aptos" w:cs="Times New Roman"/>
        </w:rPr>
        <w:t>s</w:t>
      </w:r>
      <w:r w:rsidR="006D044D">
        <w:rPr>
          <w:rFonts w:ascii="Palatino Linotype" w:hAnsi="Palatino Linotype" w:eastAsia="Aptos" w:cs="Times New Roman"/>
        </w:rPr>
        <w:t xml:space="preserve"> of </w:t>
      </w:r>
      <w:r w:rsidR="00416ACB">
        <w:rPr>
          <w:rFonts w:ascii="Palatino Linotype" w:hAnsi="Palatino Linotype" w:eastAsia="Aptos" w:cs="Times New Roman"/>
        </w:rPr>
        <w:t>substantial stranded costs</w:t>
      </w:r>
      <w:r>
        <w:rPr>
          <w:rFonts w:ascii="Palatino Linotype" w:hAnsi="Palatino Linotype" w:eastAsia="Aptos" w:cs="Times New Roman"/>
        </w:rPr>
        <w:t>.</w:t>
      </w:r>
    </w:p>
    <w:p w:rsidR="00831C64" w:rsidP="00831C64" w:rsidRDefault="00BD350C" w14:paraId="10117F09" w14:textId="733A9E3D">
      <w:pPr>
        <w:numPr>
          <w:ilvl w:val="0"/>
          <w:numId w:val="1"/>
        </w:numPr>
        <w:spacing w:after="0" w:line="240" w:lineRule="auto"/>
        <w:rPr>
          <w:rFonts w:ascii="Palatino Linotype" w:hAnsi="Palatino Linotype" w:eastAsia="Palatino Linotype" w:cs="Times New Roman"/>
          <w:kern w:val="0"/>
          <w14:ligatures w14:val="none"/>
        </w:rPr>
      </w:pPr>
      <w:r>
        <w:rPr>
          <w:rFonts w:ascii="Palatino Linotype" w:hAnsi="Palatino Linotype" w:eastAsia="Aptos" w:cs="Times New Roman"/>
        </w:rPr>
        <w:t>A</w:t>
      </w:r>
      <w:r w:rsidRPr="13F3B869" w:rsidR="00780C62">
        <w:rPr>
          <w:rFonts w:ascii="Palatino Linotype" w:hAnsi="Palatino Linotype" w:eastAsia="Aptos" w:cs="Times New Roman"/>
        </w:rPr>
        <w:t xml:space="preserve">s a transmission-level customer, STACK pays lower </w:t>
      </w:r>
      <w:r>
        <w:rPr>
          <w:rFonts w:ascii="Palatino Linotype" w:hAnsi="Palatino Linotype" w:eastAsia="Aptos" w:cs="Times New Roman"/>
        </w:rPr>
        <w:t xml:space="preserve">electric </w:t>
      </w:r>
      <w:r w:rsidRPr="13F3B869" w:rsidR="00780C62">
        <w:rPr>
          <w:rFonts w:ascii="Palatino Linotype" w:hAnsi="Palatino Linotype" w:eastAsia="Aptos" w:cs="Times New Roman"/>
        </w:rPr>
        <w:t xml:space="preserve">rates than </w:t>
      </w:r>
      <w:r w:rsidR="000A5C8C">
        <w:rPr>
          <w:rFonts w:ascii="Palatino Linotype" w:hAnsi="Palatino Linotype" w:eastAsia="Aptos" w:cs="Times New Roman"/>
        </w:rPr>
        <w:t>a large load customer connected at the distribution-level and</w:t>
      </w:r>
      <w:r w:rsidRPr="13F3B869" w:rsidR="00780C62">
        <w:rPr>
          <w:rFonts w:ascii="Palatino Linotype" w:hAnsi="Palatino Linotype" w:eastAsia="Aptos" w:cs="Times New Roman"/>
        </w:rPr>
        <w:t xml:space="preserve"> normally covered by the Rule 15 process, while at the same time contributing to </w:t>
      </w:r>
      <w:r w:rsidR="00780C62">
        <w:rPr>
          <w:rFonts w:ascii="Palatino Linotype" w:hAnsi="Palatino Linotype" w:eastAsia="Aptos" w:cs="Times New Roman"/>
        </w:rPr>
        <w:t xml:space="preserve">the need for </w:t>
      </w:r>
      <w:r w:rsidRPr="13F3B869" w:rsidR="00780C62">
        <w:rPr>
          <w:rFonts w:ascii="Palatino Linotype" w:hAnsi="Palatino Linotype" w:eastAsia="Aptos" w:cs="Times New Roman"/>
        </w:rPr>
        <w:t>broader transmission network upgrades in the region</w:t>
      </w:r>
      <w:r>
        <w:rPr>
          <w:rFonts w:ascii="Palatino Linotype" w:hAnsi="Palatino Linotype" w:eastAsia="Aptos" w:cs="Times New Roman"/>
        </w:rPr>
        <w:t>.</w:t>
      </w:r>
    </w:p>
    <w:p w:rsidRPr="00280E65" w:rsidR="00A50577" w:rsidP="00A50577" w:rsidRDefault="00A50577" w14:paraId="30192189" w14:textId="69BB152D">
      <w:pPr>
        <w:numPr>
          <w:ilvl w:val="0"/>
          <w:numId w:val="1"/>
        </w:numPr>
        <w:spacing w:after="0" w:line="240" w:lineRule="auto"/>
        <w:rPr>
          <w:rFonts w:ascii="Palatino Linotype" w:hAnsi="Palatino Linotype" w:eastAsia="Palatino Linotype" w:cs="Times New Roman"/>
          <w:kern w:val="0"/>
          <w14:ligatures w14:val="none"/>
        </w:rPr>
      </w:pPr>
      <w:r>
        <w:rPr>
          <w:rFonts w:ascii="Palatino Linotype" w:hAnsi="Palatino Linotype" w:eastAsia="Aptos" w:cs="Times New Roman"/>
        </w:rPr>
        <w:t xml:space="preserve">Like all customers, STACK relies on the continued operation and maintenance of existing transmission infrastructure. </w:t>
      </w:r>
    </w:p>
    <w:p w:rsidRPr="00A25A1D" w:rsidR="00280E65" w:rsidP="00A50577" w:rsidRDefault="00280E65" w14:paraId="27513CAE" w14:textId="6A96304B">
      <w:pPr>
        <w:numPr>
          <w:ilvl w:val="0"/>
          <w:numId w:val="1"/>
        </w:numPr>
        <w:spacing w:after="0" w:line="240" w:lineRule="auto"/>
        <w:rPr>
          <w:rFonts w:ascii="Palatino Linotype" w:hAnsi="Palatino Linotype" w:eastAsia="Palatino Linotype" w:cs="Times New Roman"/>
          <w:kern w:val="0"/>
          <w14:ligatures w14:val="none"/>
        </w:rPr>
      </w:pPr>
      <w:r>
        <w:rPr>
          <w:rFonts w:ascii="Palatino Linotype" w:hAnsi="Palatino Linotype" w:eastAsia="Aptos" w:cs="Times New Roman"/>
        </w:rPr>
        <w:t xml:space="preserve">It is reasonable to </w:t>
      </w:r>
      <w:r w:rsidR="001A3562">
        <w:rPr>
          <w:rFonts w:ascii="Palatino Linotype" w:hAnsi="Palatino Linotype" w:eastAsia="Aptos" w:cs="Times New Roman"/>
        </w:rPr>
        <w:t>focus on</w:t>
      </w:r>
      <w:r>
        <w:rPr>
          <w:rFonts w:ascii="Palatino Linotype" w:hAnsi="Palatino Linotype" w:eastAsia="Aptos" w:cs="Times New Roman"/>
        </w:rPr>
        <w:t xml:space="preserve"> a customer’s net revenue when considering the refunds relating to the cost of transmission infrastructure needed to energize that customer. </w:t>
      </w:r>
    </w:p>
    <w:p w:rsidRPr="008404DE" w:rsidR="00B17E6E" w:rsidP="00B17E6E" w:rsidRDefault="00B17E6E" w14:paraId="5801C487" w14:textId="37D4BE4E">
      <w:pPr>
        <w:numPr>
          <w:ilvl w:val="0"/>
          <w:numId w:val="1"/>
        </w:numPr>
        <w:spacing w:after="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Under the proposed process for customer refunds, </w:t>
      </w:r>
      <w:r>
        <w:rPr>
          <w:rFonts w:ascii="Palatino Linotype" w:hAnsi="Palatino Linotype" w:eastAsia="Aptos" w:cs="Times New Roman"/>
        </w:rPr>
        <w:t xml:space="preserve">PG&amp;E could refund STACK for the costs of energization well before net revenues from STACK </w:t>
      </w:r>
      <w:r w:rsidR="00A25A1D">
        <w:rPr>
          <w:rFonts w:ascii="Palatino Linotype" w:hAnsi="Palatino Linotype" w:eastAsia="Aptos" w:cs="Times New Roman"/>
        </w:rPr>
        <w:t xml:space="preserve">actually </w:t>
      </w:r>
      <w:r>
        <w:rPr>
          <w:rFonts w:ascii="Palatino Linotype" w:hAnsi="Palatino Linotype" w:eastAsia="Aptos" w:cs="Times New Roman"/>
        </w:rPr>
        <w:t>cover those costs</w:t>
      </w:r>
      <w:r>
        <w:rPr>
          <w:rFonts w:ascii="Palatino Linotype" w:hAnsi="Palatino Linotype" w:eastAsia="Palatino Linotype" w:cs="Times New Roman"/>
          <w:kern w:val="0"/>
          <w14:ligatures w14:val="none"/>
        </w:rPr>
        <w:t>.</w:t>
      </w:r>
    </w:p>
    <w:p w:rsidRPr="002509C8" w:rsidR="00D63C73" w:rsidP="001C7001" w:rsidRDefault="00890CBA" w14:paraId="6AC2BBCE" w14:textId="4E4BEBD2">
      <w:pPr>
        <w:numPr>
          <w:ilvl w:val="0"/>
          <w:numId w:val="1"/>
        </w:numPr>
        <w:spacing w:after="0" w:line="240" w:lineRule="auto"/>
        <w:rPr>
          <w:rFonts w:ascii="Palatino Linotype" w:hAnsi="Palatino Linotype" w:eastAsia="Palatino Linotype" w:cs="Times New Roman"/>
          <w:kern w:val="0"/>
          <w14:ligatures w14:val="none"/>
        </w:rPr>
      </w:pPr>
      <w:r>
        <w:rPr>
          <w:rFonts w:ascii="Palatino Linotype" w:hAnsi="Palatino Linotype" w:eastAsia="Aptos" w:cs="Times New Roman"/>
        </w:rPr>
        <w:t>D</w:t>
      </w:r>
      <w:r w:rsidR="004D2637">
        <w:rPr>
          <w:rFonts w:ascii="Palatino Linotype" w:hAnsi="Palatino Linotype" w:eastAsia="Aptos" w:cs="Times New Roman"/>
        </w:rPr>
        <w:t xml:space="preserve">ifferences in </w:t>
      </w:r>
      <w:r>
        <w:rPr>
          <w:rFonts w:ascii="Palatino Linotype" w:hAnsi="Palatino Linotype" w:eastAsia="Aptos" w:cs="Times New Roman"/>
        </w:rPr>
        <w:t>electric rates a</w:t>
      </w:r>
      <w:r w:rsidR="00CD6463">
        <w:rPr>
          <w:rFonts w:ascii="Palatino Linotype" w:hAnsi="Palatino Linotype" w:eastAsia="Aptos" w:cs="Times New Roman"/>
        </w:rPr>
        <w:t>nd</w:t>
      </w:r>
      <w:r>
        <w:rPr>
          <w:rFonts w:ascii="Palatino Linotype" w:hAnsi="Palatino Linotype" w:eastAsia="Aptos" w:cs="Times New Roman"/>
        </w:rPr>
        <w:t xml:space="preserve"> the scale and type of </w:t>
      </w:r>
      <w:r w:rsidR="002509C8">
        <w:rPr>
          <w:rFonts w:ascii="Palatino Linotype" w:hAnsi="Palatino Linotype" w:eastAsia="Aptos" w:cs="Times New Roman"/>
        </w:rPr>
        <w:t xml:space="preserve">energization </w:t>
      </w:r>
      <w:r>
        <w:rPr>
          <w:rFonts w:ascii="Palatino Linotype" w:hAnsi="Palatino Linotype" w:eastAsia="Aptos" w:cs="Times New Roman"/>
        </w:rPr>
        <w:t>costs</w:t>
      </w:r>
      <w:r w:rsidR="002509C8">
        <w:rPr>
          <w:rFonts w:ascii="Palatino Linotype" w:hAnsi="Palatino Linotype" w:eastAsia="Aptos" w:cs="Times New Roman"/>
        </w:rPr>
        <w:t xml:space="preserve"> for large load transmission-level customers justify</w:t>
      </w:r>
      <w:r w:rsidR="004D2637">
        <w:rPr>
          <w:rFonts w:ascii="Palatino Linotype" w:hAnsi="Palatino Linotype" w:eastAsia="Aptos" w:cs="Times New Roman"/>
        </w:rPr>
        <w:t xml:space="preserve"> additional </w:t>
      </w:r>
      <w:r w:rsidR="00D97BA6">
        <w:rPr>
          <w:rFonts w:ascii="Palatino Linotype" w:hAnsi="Palatino Linotype" w:eastAsia="Aptos" w:cs="Times New Roman"/>
        </w:rPr>
        <w:t>safeguard</w:t>
      </w:r>
      <w:r w:rsidR="009C632B">
        <w:rPr>
          <w:rFonts w:ascii="Palatino Linotype" w:hAnsi="Palatino Linotype" w:eastAsia="Aptos" w:cs="Times New Roman"/>
        </w:rPr>
        <w:t>s</w:t>
      </w:r>
      <w:r w:rsidR="00D97BA6">
        <w:rPr>
          <w:rFonts w:ascii="Palatino Linotype" w:hAnsi="Palatino Linotype" w:eastAsia="Aptos" w:cs="Times New Roman"/>
        </w:rPr>
        <w:t xml:space="preserve"> to protect</w:t>
      </w:r>
      <w:r w:rsidR="004D2637">
        <w:rPr>
          <w:rFonts w:ascii="Palatino Linotype" w:hAnsi="Palatino Linotype" w:eastAsia="Aptos" w:cs="Times New Roman"/>
        </w:rPr>
        <w:t xml:space="preserve"> general ratepayers </w:t>
      </w:r>
      <w:r w:rsidR="00D97BA6">
        <w:rPr>
          <w:rFonts w:ascii="Palatino Linotype" w:hAnsi="Palatino Linotype" w:eastAsia="Aptos" w:cs="Times New Roman"/>
        </w:rPr>
        <w:t>from</w:t>
      </w:r>
      <w:r w:rsidR="004D2637">
        <w:rPr>
          <w:rFonts w:ascii="Palatino Linotype" w:hAnsi="Palatino Linotype" w:eastAsia="Aptos" w:cs="Times New Roman"/>
        </w:rPr>
        <w:t xml:space="preserve"> assuming the risk of energizing these customers</w:t>
      </w:r>
      <w:r w:rsidR="002509C8">
        <w:rPr>
          <w:rFonts w:ascii="Palatino Linotype" w:hAnsi="Palatino Linotype" w:eastAsia="Aptos" w:cs="Times New Roman"/>
        </w:rPr>
        <w:t>.</w:t>
      </w:r>
    </w:p>
    <w:p w:rsidRPr="003A3474" w:rsidR="002509C8" w:rsidP="001C7001" w:rsidRDefault="00447F00" w14:paraId="55D32EA8" w14:textId="5230BEB7">
      <w:pPr>
        <w:numPr>
          <w:ilvl w:val="0"/>
          <w:numId w:val="1"/>
        </w:numPr>
        <w:spacing w:after="0" w:line="240" w:lineRule="auto"/>
        <w:rPr>
          <w:rFonts w:ascii="Palatino Linotype" w:hAnsi="Palatino Linotype" w:eastAsia="Palatino Linotype" w:cs="Times New Roman"/>
          <w:kern w:val="0"/>
          <w14:ligatures w14:val="none"/>
        </w:rPr>
      </w:pPr>
      <w:r>
        <w:rPr>
          <w:rFonts w:ascii="Palatino Linotype" w:hAnsi="Palatino Linotype" w:eastAsia="Aptos" w:cs="Times New Roman"/>
        </w:rPr>
        <w:t>Given d</w:t>
      </w:r>
      <w:r w:rsidR="002509C8">
        <w:rPr>
          <w:rFonts w:ascii="Palatino Linotype" w:hAnsi="Palatino Linotype" w:eastAsia="Aptos" w:cs="Times New Roman"/>
        </w:rPr>
        <w:t>ifferences in electric rates and the scale and type of energization costs for large load transmission-level customers</w:t>
      </w:r>
      <w:r>
        <w:rPr>
          <w:rFonts w:ascii="Palatino Linotype" w:hAnsi="Palatino Linotype" w:eastAsia="Aptos" w:cs="Times New Roman"/>
        </w:rPr>
        <w:t xml:space="preserve">, it is reasonable to limit </w:t>
      </w:r>
      <w:r w:rsidR="00F70535">
        <w:rPr>
          <w:rFonts w:ascii="Palatino Linotype" w:hAnsi="Palatino Linotype" w:eastAsia="Aptos" w:cs="Times New Roman"/>
        </w:rPr>
        <w:t xml:space="preserve">refunds </w:t>
      </w:r>
      <w:r>
        <w:rPr>
          <w:rFonts w:ascii="Palatino Linotype" w:hAnsi="Palatino Linotype" w:eastAsia="Aptos" w:cs="Times New Roman"/>
        </w:rPr>
        <w:t>for</w:t>
      </w:r>
      <w:r w:rsidR="00F70535">
        <w:rPr>
          <w:rFonts w:ascii="Palatino Linotype" w:hAnsi="Palatino Linotype" w:eastAsia="Aptos" w:cs="Times New Roman"/>
        </w:rPr>
        <w:t xml:space="preserve"> </w:t>
      </w:r>
      <w:r w:rsidR="00F70535">
        <w:rPr>
          <w:rFonts w:ascii="Palatino Linotype" w:hAnsi="Palatino Linotype" w:eastAsia="Aptos" w:cs="Times New Roman"/>
        </w:rPr>
        <w:lastRenderedPageBreak/>
        <w:t>energization costs to 75 percent of the actual net revenues received from these customers.</w:t>
      </w:r>
    </w:p>
    <w:p w:rsidRPr="00FF38CE" w:rsidR="003A3474" w:rsidP="001C7001" w:rsidRDefault="003A3474" w14:paraId="00738C3D" w14:textId="062439BD">
      <w:pPr>
        <w:numPr>
          <w:ilvl w:val="0"/>
          <w:numId w:val="1"/>
        </w:numPr>
        <w:spacing w:after="0" w:line="240" w:lineRule="auto"/>
        <w:rPr>
          <w:rFonts w:ascii="Palatino Linotype" w:hAnsi="Palatino Linotype" w:eastAsia="Palatino Linotype" w:cs="Times New Roman"/>
          <w:kern w:val="0"/>
          <w14:ligatures w14:val="none"/>
        </w:rPr>
      </w:pPr>
      <w:r>
        <w:rPr>
          <w:rFonts w:ascii="Palatino Linotype" w:hAnsi="Palatino Linotype" w:eastAsia="Aptos" w:cs="Times New Roman"/>
        </w:rPr>
        <w:t xml:space="preserve">Given these modifications to the </w:t>
      </w:r>
      <w:r w:rsidR="00722369">
        <w:rPr>
          <w:rFonts w:ascii="Palatino Linotype" w:hAnsi="Palatino Linotype" w:eastAsia="Aptos" w:cs="Times New Roman"/>
        </w:rPr>
        <w:t>standard BARC</w:t>
      </w:r>
      <w:r>
        <w:rPr>
          <w:rFonts w:ascii="Palatino Linotype" w:hAnsi="Palatino Linotype" w:eastAsia="Aptos" w:cs="Times New Roman"/>
        </w:rPr>
        <w:t xml:space="preserve"> process, it is also reasonable to disregard the customer financed cost of ownership in this case.</w:t>
      </w:r>
    </w:p>
    <w:p w:rsidRPr="007D0B4F" w:rsidR="00DC3AE5" w:rsidP="001C7001" w:rsidRDefault="00DC3AE5" w14:paraId="49121808" w14:textId="2DE1F4EF">
      <w:pPr>
        <w:numPr>
          <w:ilvl w:val="0"/>
          <w:numId w:val="1"/>
        </w:numPr>
        <w:spacing w:after="0" w:line="240" w:lineRule="auto"/>
        <w:rPr>
          <w:rFonts w:ascii="Palatino Linotype" w:hAnsi="Palatino Linotype" w:eastAsia="Palatino Linotype" w:cs="Times New Roman"/>
          <w:kern w:val="0"/>
          <w14:ligatures w14:val="none"/>
        </w:rPr>
      </w:pPr>
      <w:r>
        <w:rPr>
          <w:rFonts w:ascii="Palatino Linotype" w:hAnsi="Palatino Linotype" w:eastAsia="Aptos" w:cs="Times New Roman"/>
        </w:rPr>
        <w:t>Given these modifications to the standard BARC process, it is</w:t>
      </w:r>
      <w:r w:rsidR="004F5CBE">
        <w:rPr>
          <w:rFonts w:ascii="Palatino Linotype" w:hAnsi="Palatino Linotype" w:eastAsia="Aptos" w:cs="Times New Roman"/>
        </w:rPr>
        <w:t xml:space="preserve"> also</w:t>
      </w:r>
      <w:r>
        <w:rPr>
          <w:rFonts w:ascii="Palatino Linotype" w:hAnsi="Palatino Linotype" w:eastAsia="Aptos" w:cs="Times New Roman"/>
        </w:rPr>
        <w:t xml:space="preserve"> reasonable to extend the refund period from 10 to 15 total years.</w:t>
      </w:r>
    </w:p>
    <w:p w:rsidR="00147F3F" w:rsidP="00147F3F" w:rsidRDefault="00147F3F" w14:paraId="496F1653" w14:textId="77777777">
      <w:pPr>
        <w:pStyle w:val="ListParagraph"/>
        <w:numPr>
          <w:ilvl w:val="0"/>
          <w:numId w:val="1"/>
        </w:numPr>
        <w:spacing w:line="240" w:lineRule="auto"/>
        <w:rPr>
          <w:rFonts w:ascii="Palatino Linotype" w:hAnsi="Palatino Linotype" w:eastAsia="Aptos" w:cs="Times New Roman"/>
        </w:rPr>
      </w:pPr>
      <w:r w:rsidRPr="00147F3F">
        <w:rPr>
          <w:rFonts w:ascii="Palatino Linotype" w:hAnsi="Palatino Linotype" w:eastAsia="Aptos" w:cs="Times New Roman"/>
        </w:rPr>
        <w:t>It is reasonable for PG&amp;E to submit a modified agreement with the changes specified herein for approval through a Tier 1 Advice Letter.</w:t>
      </w:r>
    </w:p>
    <w:p w:rsidR="00147F3F" w:rsidP="00147F3F" w:rsidRDefault="00B95154" w14:paraId="42C62203" w14:textId="77777777">
      <w:pPr>
        <w:pStyle w:val="ListParagraph"/>
        <w:numPr>
          <w:ilvl w:val="0"/>
          <w:numId w:val="1"/>
        </w:numPr>
        <w:spacing w:line="240" w:lineRule="auto"/>
        <w:rPr>
          <w:rFonts w:ascii="Palatino Linotype" w:hAnsi="Palatino Linotype" w:eastAsia="Aptos" w:cs="Times New Roman"/>
        </w:rPr>
      </w:pPr>
      <w:r w:rsidRPr="00147F3F">
        <w:rPr>
          <w:rFonts w:ascii="Palatino Linotype" w:hAnsi="Palatino Linotype" w:eastAsia="Aptos" w:cs="Times New Roman"/>
        </w:rPr>
        <w:t>The findings and conclusions in this Resolution should in no way prejudice the ongoing deliberation in the Rule 30 proceeding, A. 24-11-007.</w:t>
      </w:r>
    </w:p>
    <w:p w:rsidR="00893821" w:rsidP="00893821" w:rsidRDefault="00A93180" w14:paraId="3301C7AC" w14:textId="06C665DF">
      <w:pPr>
        <w:pStyle w:val="ListParagraph"/>
        <w:numPr>
          <w:ilvl w:val="0"/>
          <w:numId w:val="1"/>
        </w:numPr>
        <w:spacing w:line="240" w:lineRule="auto"/>
        <w:rPr>
          <w:rFonts w:ascii="Palatino Linotype" w:hAnsi="Palatino Linotype" w:eastAsia="Aptos" w:cs="Times New Roman"/>
        </w:rPr>
      </w:pPr>
      <w:r w:rsidRPr="00147F3F">
        <w:rPr>
          <w:rFonts w:ascii="Palatino Linotype" w:hAnsi="Palatino Linotype" w:eastAsia="Aptos" w:cs="Times New Roman"/>
        </w:rPr>
        <w:t xml:space="preserve">This Resolution is not the appropriate venue for addressing </w:t>
      </w:r>
      <w:r w:rsidRPr="00147F3F" w:rsidR="00A3278B">
        <w:rPr>
          <w:rFonts w:ascii="Palatino Linotype" w:hAnsi="Palatino Linotype" w:eastAsia="Aptos" w:cs="Times New Roman"/>
        </w:rPr>
        <w:t xml:space="preserve">broader issues around Community Choice </w:t>
      </w:r>
      <w:r w:rsidRPr="00147F3F" w:rsidR="004C2AFE">
        <w:rPr>
          <w:rFonts w:ascii="Palatino Linotype" w:hAnsi="Palatino Linotype" w:eastAsia="Aptos" w:cs="Times New Roman"/>
        </w:rPr>
        <w:t>Aggregators’</w:t>
      </w:r>
      <w:r w:rsidRPr="00147F3F" w:rsidR="00A3278B">
        <w:rPr>
          <w:rFonts w:ascii="Palatino Linotype" w:hAnsi="Palatino Linotype" w:eastAsia="Aptos" w:cs="Times New Roman"/>
        </w:rPr>
        <w:t xml:space="preserve"> access to customer-specific data</w:t>
      </w:r>
      <w:r w:rsidRPr="00147F3F">
        <w:rPr>
          <w:rFonts w:ascii="Palatino Linotype" w:hAnsi="Palatino Linotype" w:eastAsia="Aptos" w:cs="Times New Roman"/>
        </w:rPr>
        <w:t>.</w:t>
      </w:r>
    </w:p>
    <w:p w:rsidRPr="001942D0" w:rsidR="00A76F4A" w:rsidP="00C9513D" w:rsidRDefault="00A76F4A" w14:paraId="215FEFCC" w14:textId="77777777">
      <w:pPr>
        <w:keepNext/>
        <w:spacing w:before="360" w:after="240" w:line="240" w:lineRule="auto"/>
        <w:outlineLvl w:val="0"/>
        <w:rPr>
          <w:rFonts w:ascii="Palatino Linotype" w:hAnsi="Palatino Linotype" w:eastAsia="Palatino Linotype" w:cs="Times New Roman"/>
          <w:b/>
          <w:caps/>
          <w:kern w:val="28"/>
          <w:u w:val="single"/>
          <w14:ligatures w14:val="none"/>
        </w:rPr>
      </w:pPr>
      <w:r w:rsidRPr="001942D0">
        <w:rPr>
          <w:rFonts w:ascii="Palatino Linotype" w:hAnsi="Palatino Linotype" w:eastAsia="Palatino Linotype" w:cs="Times New Roman"/>
          <w:b/>
          <w:caps/>
          <w:kern w:val="28"/>
          <w:u w:val="single"/>
          <w14:ligatures w14:val="none"/>
        </w:rPr>
        <w:t>Therefore it is ordered that:</w:t>
      </w:r>
    </w:p>
    <w:p w:rsidR="00A76F4A" w:rsidP="001C7001" w:rsidRDefault="00A76F4A" w14:paraId="787F3235" w14:textId="54CDB798">
      <w:pPr>
        <w:numPr>
          <w:ilvl w:val="0"/>
          <w:numId w:val="2"/>
        </w:numPr>
        <w:spacing w:after="0" w:line="240" w:lineRule="auto"/>
        <w:rPr>
          <w:rFonts w:ascii="Palatino Linotype" w:hAnsi="Palatino Linotype" w:eastAsia="Palatino Linotype" w:cs="Times New Roman"/>
          <w:snapToGrid w:val="0"/>
          <w:kern w:val="0"/>
          <w14:ligatures w14:val="none"/>
        </w:rPr>
      </w:pPr>
      <w:r w:rsidRPr="001942D0">
        <w:rPr>
          <w:rFonts w:ascii="Palatino Linotype" w:hAnsi="Palatino Linotype" w:eastAsia="Palatino Linotype" w:cs="Times New Roman"/>
          <w:snapToGrid w:val="0"/>
          <w:kern w:val="0"/>
          <w14:ligatures w14:val="none"/>
        </w:rPr>
        <w:t xml:space="preserve">The request of </w:t>
      </w:r>
      <w:r w:rsidR="00CA7976">
        <w:rPr>
          <w:rFonts w:ascii="Palatino Linotype" w:hAnsi="Palatino Linotype" w:eastAsia="Palatino Linotype" w:cs="Times New Roman"/>
          <w:snapToGrid w:val="0"/>
          <w:kern w:val="0"/>
          <w14:ligatures w14:val="none"/>
        </w:rPr>
        <w:t>Pacific Gas and Electric</w:t>
      </w:r>
      <w:r w:rsidR="00433BA9">
        <w:rPr>
          <w:rFonts w:ascii="Palatino Linotype" w:hAnsi="Palatino Linotype" w:eastAsia="Palatino Linotype" w:cs="Times New Roman"/>
          <w:snapToGrid w:val="0"/>
          <w:kern w:val="0"/>
          <w14:ligatures w14:val="none"/>
        </w:rPr>
        <w:t xml:space="preserve"> (PG&amp;E)</w:t>
      </w:r>
      <w:r w:rsidRPr="006F1D16">
        <w:rPr>
          <w:rFonts w:ascii="Palatino Linotype" w:hAnsi="Palatino Linotype" w:eastAsia="Palatino Linotype" w:cs="Times New Roman"/>
          <w:snapToGrid w:val="0"/>
          <w:kern w:val="0"/>
          <w14:ligatures w14:val="none"/>
        </w:rPr>
        <w:t xml:space="preserve"> </w:t>
      </w:r>
      <w:r w:rsidR="0014264A">
        <w:rPr>
          <w:rFonts w:ascii="Palatino Linotype" w:hAnsi="Palatino Linotype" w:eastAsia="Palatino Linotype" w:cs="Times New Roman"/>
          <w:snapToGrid w:val="0"/>
          <w:kern w:val="0"/>
          <w14:ligatures w14:val="none"/>
        </w:rPr>
        <w:t>to</w:t>
      </w:r>
      <w:r w:rsidR="00A6772E">
        <w:rPr>
          <w:rFonts w:ascii="Palatino Linotype" w:hAnsi="Palatino Linotype" w:eastAsia="Palatino Linotype" w:cs="Times New Roman"/>
          <w:snapToGrid w:val="0"/>
          <w:kern w:val="0"/>
          <w14:ligatures w14:val="none"/>
        </w:rPr>
        <w:t xml:space="preserve"> approv</w:t>
      </w:r>
      <w:r w:rsidR="0014264A">
        <w:rPr>
          <w:rFonts w:ascii="Palatino Linotype" w:hAnsi="Palatino Linotype" w:eastAsia="Palatino Linotype" w:cs="Times New Roman"/>
          <w:snapToGrid w:val="0"/>
          <w:kern w:val="0"/>
          <w14:ligatures w14:val="none"/>
        </w:rPr>
        <w:t>e</w:t>
      </w:r>
      <w:r w:rsidR="00E7554A">
        <w:rPr>
          <w:rFonts w:ascii="Palatino Linotype" w:hAnsi="Palatino Linotype" w:eastAsia="Palatino Linotype" w:cs="Times New Roman"/>
          <w:snapToGrid w:val="0"/>
          <w:kern w:val="0"/>
          <w14:ligatures w14:val="none"/>
        </w:rPr>
        <w:t xml:space="preserve"> the Agreement for Installation or Allocation of Special Facilities between itself and customer STACK</w:t>
      </w:r>
      <w:r w:rsidR="00AA0817">
        <w:rPr>
          <w:rFonts w:ascii="Palatino Linotype" w:hAnsi="Palatino Linotype" w:eastAsia="Palatino Linotype" w:cs="Times New Roman"/>
          <w:snapToGrid w:val="0"/>
          <w:kern w:val="0"/>
          <w14:ligatures w14:val="none"/>
        </w:rPr>
        <w:t xml:space="preserve"> Infrastructure</w:t>
      </w:r>
      <w:r w:rsidR="00C53190">
        <w:rPr>
          <w:rFonts w:ascii="Palatino Linotype" w:hAnsi="Palatino Linotype" w:eastAsia="Palatino Linotype" w:cs="Times New Roman"/>
          <w:snapToGrid w:val="0"/>
          <w:kern w:val="0"/>
          <w14:ligatures w14:val="none"/>
        </w:rPr>
        <w:t xml:space="preserve"> as requested in Advice Letter 7569-E</w:t>
      </w:r>
      <w:r w:rsidR="00E7554A">
        <w:rPr>
          <w:rFonts w:ascii="Palatino Linotype" w:hAnsi="Palatino Linotype" w:eastAsia="Palatino Linotype" w:cs="Times New Roman"/>
          <w:snapToGrid w:val="0"/>
          <w:kern w:val="0"/>
          <w14:ligatures w14:val="none"/>
        </w:rPr>
        <w:t xml:space="preserve"> is approved</w:t>
      </w:r>
      <w:r w:rsidR="00235BA9">
        <w:rPr>
          <w:rFonts w:ascii="Palatino Linotype" w:hAnsi="Palatino Linotype" w:eastAsia="Palatino Linotype" w:cs="Times New Roman"/>
          <w:snapToGrid w:val="0"/>
          <w:kern w:val="0"/>
          <w14:ligatures w14:val="none"/>
        </w:rPr>
        <w:t xml:space="preserve"> without modification</w:t>
      </w:r>
      <w:r w:rsidR="00475945">
        <w:rPr>
          <w:rFonts w:ascii="Palatino Linotype" w:hAnsi="Palatino Linotype" w:eastAsia="Palatino Linotype" w:cs="Times New Roman"/>
          <w:snapToGrid w:val="0"/>
          <w:kern w:val="0"/>
          <w14:ligatures w14:val="none"/>
        </w:rPr>
        <w:t>.</w:t>
      </w:r>
    </w:p>
    <w:p w:rsidR="006E2CDB" w:rsidP="001C7001" w:rsidRDefault="00235BA9" w14:paraId="05EA0826" w14:textId="67CA25FC">
      <w:pPr>
        <w:numPr>
          <w:ilvl w:val="0"/>
          <w:numId w:val="2"/>
        </w:numPr>
        <w:spacing w:after="0" w:line="240" w:lineRule="auto"/>
        <w:rPr>
          <w:rFonts w:ascii="Palatino Linotype" w:hAnsi="Palatino Linotype" w:eastAsia="Palatino Linotype" w:cs="Times New Roman"/>
          <w:snapToGrid w:val="0"/>
          <w:kern w:val="0"/>
          <w14:ligatures w14:val="none"/>
        </w:rPr>
      </w:pPr>
      <w:r w:rsidRPr="001942D0">
        <w:rPr>
          <w:rFonts w:ascii="Palatino Linotype" w:hAnsi="Palatino Linotype" w:eastAsia="Palatino Linotype" w:cs="Times New Roman"/>
          <w:snapToGrid w:val="0"/>
          <w:kern w:val="0"/>
          <w14:ligatures w14:val="none"/>
        </w:rPr>
        <w:t xml:space="preserve">The request of </w:t>
      </w:r>
      <w:r w:rsidR="00433BA9">
        <w:rPr>
          <w:rFonts w:ascii="Palatino Linotype" w:hAnsi="Palatino Linotype" w:eastAsia="Palatino Linotype" w:cs="Times New Roman"/>
          <w:snapToGrid w:val="0"/>
          <w:kern w:val="0"/>
          <w14:ligatures w14:val="none"/>
        </w:rPr>
        <w:t>PG&amp;E</w:t>
      </w:r>
      <w:r w:rsidRPr="006F1D16">
        <w:rPr>
          <w:rFonts w:ascii="Palatino Linotype" w:hAnsi="Palatino Linotype" w:eastAsia="Palatino Linotype" w:cs="Times New Roman"/>
          <w:snapToGrid w:val="0"/>
          <w:kern w:val="0"/>
          <w14:ligatures w14:val="none"/>
        </w:rPr>
        <w:t xml:space="preserve"> </w:t>
      </w:r>
      <w:r>
        <w:rPr>
          <w:rFonts w:ascii="Palatino Linotype" w:hAnsi="Palatino Linotype" w:eastAsia="Palatino Linotype" w:cs="Times New Roman"/>
          <w:snapToGrid w:val="0"/>
          <w:kern w:val="0"/>
          <w14:ligatures w14:val="none"/>
        </w:rPr>
        <w:t xml:space="preserve">to approve the Agreement </w:t>
      </w:r>
      <w:r w:rsidR="00476638">
        <w:rPr>
          <w:rFonts w:ascii="Palatino Linotype" w:hAnsi="Palatino Linotype" w:eastAsia="Palatino Linotype" w:cs="Times New Roman"/>
          <w:snapToGrid w:val="0"/>
          <w:kern w:val="0"/>
          <w14:ligatures w14:val="none"/>
        </w:rPr>
        <w:t>to Perform Tariff Schedule Related Work</w:t>
      </w:r>
      <w:r>
        <w:rPr>
          <w:rFonts w:ascii="Palatino Linotype" w:hAnsi="Palatino Linotype" w:eastAsia="Palatino Linotype" w:cs="Times New Roman"/>
          <w:snapToGrid w:val="0"/>
          <w:kern w:val="0"/>
          <w14:ligatures w14:val="none"/>
        </w:rPr>
        <w:t xml:space="preserve"> between itself and customer STACK</w:t>
      </w:r>
      <w:r w:rsidR="00AA0817">
        <w:rPr>
          <w:rFonts w:ascii="Palatino Linotype" w:hAnsi="Palatino Linotype" w:eastAsia="Palatino Linotype" w:cs="Times New Roman"/>
          <w:snapToGrid w:val="0"/>
          <w:kern w:val="0"/>
          <w14:ligatures w14:val="none"/>
        </w:rPr>
        <w:t xml:space="preserve"> Infrastructure</w:t>
      </w:r>
      <w:r w:rsidR="00C53190">
        <w:rPr>
          <w:rFonts w:ascii="Palatino Linotype" w:hAnsi="Palatino Linotype" w:eastAsia="Palatino Linotype" w:cs="Times New Roman"/>
          <w:snapToGrid w:val="0"/>
          <w:kern w:val="0"/>
          <w14:ligatures w14:val="none"/>
        </w:rPr>
        <w:t xml:space="preserve"> as requested in Advice Letter 7569-E</w:t>
      </w:r>
      <w:r>
        <w:rPr>
          <w:rFonts w:ascii="Palatino Linotype" w:hAnsi="Palatino Linotype" w:eastAsia="Palatino Linotype" w:cs="Times New Roman"/>
          <w:snapToGrid w:val="0"/>
          <w:kern w:val="0"/>
          <w14:ligatures w14:val="none"/>
        </w:rPr>
        <w:t xml:space="preserve"> is approved</w:t>
      </w:r>
      <w:r w:rsidR="00C231B3">
        <w:rPr>
          <w:rFonts w:ascii="Palatino Linotype" w:hAnsi="Palatino Linotype" w:eastAsia="Palatino Linotype" w:cs="Times New Roman"/>
          <w:snapToGrid w:val="0"/>
          <w:kern w:val="0"/>
          <w14:ligatures w14:val="none"/>
        </w:rPr>
        <w:t xml:space="preserve"> with the modifications set forth </w:t>
      </w:r>
      <w:r w:rsidR="000913F1">
        <w:rPr>
          <w:rFonts w:ascii="Palatino Linotype" w:hAnsi="Palatino Linotype" w:eastAsia="Palatino Linotype" w:cs="Times New Roman"/>
          <w:snapToGrid w:val="0"/>
          <w:kern w:val="0"/>
          <w14:ligatures w14:val="none"/>
        </w:rPr>
        <w:t xml:space="preserve">above </w:t>
      </w:r>
      <w:r w:rsidR="00C231B3">
        <w:rPr>
          <w:rFonts w:ascii="Palatino Linotype" w:hAnsi="Palatino Linotype" w:eastAsia="Palatino Linotype" w:cs="Times New Roman"/>
          <w:snapToGrid w:val="0"/>
          <w:kern w:val="0"/>
          <w14:ligatures w14:val="none"/>
        </w:rPr>
        <w:t>and otherwise specified herein.</w:t>
      </w:r>
    </w:p>
    <w:p w:rsidRPr="00354067" w:rsidR="00437055" w:rsidP="001C7001" w:rsidRDefault="00703F9B" w14:paraId="5758F7B2" w14:textId="1809CB47">
      <w:pPr>
        <w:numPr>
          <w:ilvl w:val="0"/>
          <w:numId w:val="2"/>
        </w:numPr>
        <w:spacing w:after="0" w:line="240" w:lineRule="auto"/>
        <w:rPr>
          <w:rFonts w:ascii="Palatino Linotype" w:hAnsi="Palatino Linotype" w:eastAsia="Palatino Linotype" w:cs="Times New Roman"/>
          <w:snapToGrid w:val="0"/>
          <w:kern w:val="0"/>
          <w14:ligatures w14:val="none"/>
        </w:rPr>
      </w:pPr>
      <w:r>
        <w:rPr>
          <w:rFonts w:ascii="Palatino Linotype" w:hAnsi="Palatino Linotype" w:eastAsia="Palatino Linotype" w:cs="Times New Roman"/>
          <w:snapToGrid w:val="0"/>
          <w:kern w:val="0"/>
          <w14:ligatures w14:val="none"/>
        </w:rPr>
        <w:t>PG&amp;E shall modify the refund process in the Agreement to Perform Tariff Schedule Related Work</w:t>
      </w:r>
      <w:r w:rsidR="00601969">
        <w:rPr>
          <w:rFonts w:ascii="Palatino Linotype" w:hAnsi="Palatino Linotype" w:eastAsia="Palatino Linotype" w:cs="Times New Roman"/>
          <w:snapToGrid w:val="0"/>
          <w:kern w:val="0"/>
          <w14:ligatures w14:val="none"/>
        </w:rPr>
        <w:t xml:space="preserve"> </w:t>
      </w:r>
      <w:r>
        <w:rPr>
          <w:rFonts w:ascii="Palatino Linotype" w:hAnsi="Palatino Linotype" w:eastAsia="Palatino Linotype" w:cs="Times New Roman"/>
          <w:snapToGrid w:val="0"/>
          <w:kern w:val="0"/>
          <w14:ligatures w14:val="none"/>
        </w:rPr>
        <w:t xml:space="preserve">to </w:t>
      </w:r>
      <w:r>
        <w:rPr>
          <w:rFonts w:ascii="Palatino Linotype" w:hAnsi="Palatino Linotype" w:eastAsia="Aptos" w:cs="Times New Roman"/>
        </w:rPr>
        <w:t xml:space="preserve">limit </w:t>
      </w:r>
      <w:r w:rsidR="00C30B7A">
        <w:rPr>
          <w:rFonts w:ascii="Palatino Linotype" w:hAnsi="Palatino Linotype" w:eastAsia="Aptos" w:cs="Times New Roman"/>
        </w:rPr>
        <w:t xml:space="preserve">annual </w:t>
      </w:r>
      <w:r>
        <w:rPr>
          <w:rFonts w:ascii="Palatino Linotype" w:hAnsi="Palatino Linotype" w:eastAsia="Aptos" w:cs="Times New Roman"/>
        </w:rPr>
        <w:t>refunds to STACK</w:t>
      </w:r>
      <w:r w:rsidR="00AA0817">
        <w:rPr>
          <w:rFonts w:ascii="Palatino Linotype" w:hAnsi="Palatino Linotype" w:eastAsia="Aptos" w:cs="Times New Roman"/>
        </w:rPr>
        <w:t xml:space="preserve"> Infrastructure</w:t>
      </w:r>
      <w:r>
        <w:rPr>
          <w:rFonts w:ascii="Palatino Linotype" w:hAnsi="Palatino Linotype" w:eastAsia="Aptos" w:cs="Times New Roman"/>
        </w:rPr>
        <w:t xml:space="preserve"> to 75 percent of the </w:t>
      </w:r>
      <w:r w:rsidR="00CD6D31">
        <w:rPr>
          <w:rFonts w:ascii="Palatino Linotype" w:hAnsi="Palatino Linotype" w:eastAsia="Aptos" w:cs="Times New Roman"/>
        </w:rPr>
        <w:t xml:space="preserve">annual </w:t>
      </w:r>
      <w:r>
        <w:rPr>
          <w:rFonts w:ascii="Palatino Linotype" w:hAnsi="Palatino Linotype" w:eastAsia="Aptos" w:cs="Times New Roman"/>
        </w:rPr>
        <w:t xml:space="preserve">net revenues PG&amp;E </w:t>
      </w:r>
      <w:r w:rsidR="00CD6D31">
        <w:rPr>
          <w:rFonts w:ascii="Palatino Linotype" w:hAnsi="Palatino Linotype" w:eastAsia="Aptos" w:cs="Times New Roman"/>
        </w:rPr>
        <w:t>collected from STACK Infrastructure in that year</w:t>
      </w:r>
      <w:r w:rsidR="008528BB">
        <w:rPr>
          <w:rFonts w:ascii="Palatino Linotype" w:hAnsi="Palatino Linotype" w:eastAsia="Aptos" w:cs="Times New Roman"/>
        </w:rPr>
        <w:t xml:space="preserve">, </w:t>
      </w:r>
      <w:r w:rsidR="00803E17">
        <w:rPr>
          <w:rFonts w:ascii="Palatino Linotype" w:hAnsi="Palatino Linotype" w:eastAsia="Aptos" w:cs="Times New Roman"/>
        </w:rPr>
        <w:t>adjusting</w:t>
      </w:r>
      <w:r w:rsidR="008528BB">
        <w:rPr>
          <w:rFonts w:ascii="Palatino Linotype" w:hAnsi="Palatino Linotype" w:eastAsia="Aptos" w:cs="Times New Roman"/>
        </w:rPr>
        <w:t xml:space="preserve"> for the Income Tax Component of Contribution (ITCC)</w:t>
      </w:r>
      <w:r>
        <w:rPr>
          <w:rFonts w:ascii="Palatino Linotype" w:hAnsi="Palatino Linotype" w:eastAsia="Aptos" w:cs="Times New Roman"/>
        </w:rPr>
        <w:t xml:space="preserve">. </w:t>
      </w:r>
      <w:r w:rsidR="0095372A">
        <w:rPr>
          <w:rFonts w:ascii="Palatino Linotype" w:hAnsi="Palatino Linotype" w:eastAsia="Aptos" w:cs="Times New Roman"/>
        </w:rPr>
        <w:t xml:space="preserve">In this case, </w:t>
      </w:r>
      <w:r w:rsidR="005755BE">
        <w:rPr>
          <w:rFonts w:ascii="Palatino Linotype" w:hAnsi="Palatino Linotype" w:eastAsia="Aptos" w:cs="Times New Roman"/>
        </w:rPr>
        <w:t>the term ‘</w:t>
      </w:r>
      <w:r w:rsidR="0095372A">
        <w:rPr>
          <w:rFonts w:ascii="Palatino Linotype" w:hAnsi="Palatino Linotype" w:eastAsia="Aptos" w:cs="Times New Roman"/>
        </w:rPr>
        <w:t>n</w:t>
      </w:r>
      <w:r>
        <w:rPr>
          <w:rFonts w:ascii="Palatino Linotype" w:hAnsi="Palatino Linotype" w:eastAsia="Aptos" w:cs="Times New Roman"/>
        </w:rPr>
        <w:t>et revenues</w:t>
      </w:r>
      <w:r w:rsidR="005755BE">
        <w:rPr>
          <w:rFonts w:ascii="Palatino Linotype" w:hAnsi="Palatino Linotype" w:eastAsia="Aptos" w:cs="Times New Roman"/>
        </w:rPr>
        <w:t>’</w:t>
      </w:r>
      <w:r>
        <w:rPr>
          <w:rFonts w:ascii="Palatino Linotype" w:hAnsi="Palatino Linotype" w:eastAsia="Aptos" w:cs="Times New Roman"/>
        </w:rPr>
        <w:t xml:space="preserve"> refers to the transmission component of </w:t>
      </w:r>
      <w:r w:rsidR="008A1B92">
        <w:rPr>
          <w:rFonts w:ascii="Palatino Linotype" w:hAnsi="Palatino Linotype" w:eastAsia="Aptos" w:cs="Times New Roman"/>
        </w:rPr>
        <w:t>the customer’s</w:t>
      </w:r>
      <w:r>
        <w:rPr>
          <w:rFonts w:ascii="Palatino Linotype" w:hAnsi="Palatino Linotype" w:eastAsia="Aptos" w:cs="Times New Roman"/>
        </w:rPr>
        <w:t xml:space="preserve"> electric rates</w:t>
      </w:r>
      <w:r w:rsidR="00751B16">
        <w:rPr>
          <w:rFonts w:ascii="Palatino Linotype" w:hAnsi="Palatino Linotype" w:eastAsia="Aptos" w:cs="Times New Roman"/>
        </w:rPr>
        <w:t xml:space="preserve"> and the per meter customer charge</w:t>
      </w:r>
      <w:r>
        <w:rPr>
          <w:rFonts w:ascii="Palatino Linotype" w:hAnsi="Palatino Linotype" w:eastAsia="Aptos" w:cs="Times New Roman"/>
        </w:rPr>
        <w:t>.</w:t>
      </w:r>
      <w:r w:rsidR="004F5CBE">
        <w:rPr>
          <w:rFonts w:ascii="Palatino Linotype" w:hAnsi="Palatino Linotype" w:eastAsia="Aptos" w:cs="Times New Roman"/>
        </w:rPr>
        <w:t xml:space="preserve"> </w:t>
      </w:r>
      <w:r w:rsidR="00F26EDE">
        <w:rPr>
          <w:rFonts w:ascii="Palatino Linotype" w:hAnsi="Palatino Linotype" w:eastAsia="Aptos" w:cs="Times New Roman"/>
        </w:rPr>
        <w:t xml:space="preserve">PG&amp;E shall also extend the period </w:t>
      </w:r>
      <w:r w:rsidR="00803E17">
        <w:rPr>
          <w:rFonts w:ascii="Palatino Linotype" w:hAnsi="Palatino Linotype" w:eastAsia="Aptos" w:cs="Times New Roman"/>
        </w:rPr>
        <w:t>when</w:t>
      </w:r>
      <w:r w:rsidR="002D5DFB">
        <w:rPr>
          <w:rFonts w:ascii="Palatino Linotype" w:hAnsi="Palatino Linotype" w:eastAsia="Aptos" w:cs="Times New Roman"/>
        </w:rPr>
        <w:t xml:space="preserve"> STACK Infrastructure is eligible to receive a refund </w:t>
      </w:r>
      <w:r w:rsidR="00F26EDE">
        <w:rPr>
          <w:rFonts w:ascii="Palatino Linotype" w:hAnsi="Palatino Linotype" w:eastAsia="Aptos" w:cs="Times New Roman"/>
        </w:rPr>
        <w:t>from 10 to 15 years.</w:t>
      </w:r>
    </w:p>
    <w:p w:rsidRPr="001942D0" w:rsidR="00C231B3" w:rsidP="001C7001" w:rsidRDefault="00433BA9" w14:paraId="550EA9D4" w14:textId="54731072">
      <w:pPr>
        <w:numPr>
          <w:ilvl w:val="0"/>
          <w:numId w:val="2"/>
        </w:numPr>
        <w:spacing w:after="0" w:line="240" w:lineRule="auto"/>
        <w:rPr>
          <w:rFonts w:ascii="Palatino Linotype" w:hAnsi="Palatino Linotype" w:eastAsia="Palatino Linotype" w:cs="Times New Roman"/>
          <w:snapToGrid w:val="0"/>
          <w:kern w:val="0"/>
          <w14:ligatures w14:val="none"/>
        </w:rPr>
      </w:pPr>
      <w:r>
        <w:rPr>
          <w:rFonts w:ascii="Palatino Linotype" w:hAnsi="Palatino Linotype" w:eastAsia="Palatino Linotype" w:cs="Times New Roman"/>
          <w:snapToGrid w:val="0"/>
          <w:kern w:val="0"/>
          <w14:ligatures w14:val="none"/>
        </w:rPr>
        <w:t xml:space="preserve">PG&amp;E </w:t>
      </w:r>
      <w:r w:rsidR="00437055">
        <w:rPr>
          <w:rFonts w:ascii="Palatino Linotype" w:hAnsi="Palatino Linotype" w:eastAsia="Palatino Linotype" w:cs="Times New Roman"/>
          <w:snapToGrid w:val="0"/>
          <w:kern w:val="0"/>
          <w14:ligatures w14:val="none"/>
        </w:rPr>
        <w:t>may</w:t>
      </w:r>
      <w:r>
        <w:rPr>
          <w:rFonts w:ascii="Palatino Linotype" w:hAnsi="Palatino Linotype" w:eastAsia="Palatino Linotype" w:cs="Times New Roman"/>
          <w:snapToGrid w:val="0"/>
          <w:kern w:val="0"/>
          <w14:ligatures w14:val="none"/>
        </w:rPr>
        <w:t xml:space="preserve"> </w:t>
      </w:r>
      <w:r w:rsidR="00437055">
        <w:rPr>
          <w:rFonts w:ascii="Palatino Linotype" w:hAnsi="Palatino Linotype" w:eastAsia="Palatino Linotype" w:cs="Times New Roman"/>
          <w:snapToGrid w:val="0"/>
          <w:kern w:val="0"/>
          <w14:ligatures w14:val="none"/>
        </w:rPr>
        <w:t xml:space="preserve">seek approval for the modified Agreement to Perform Tariff Schedule Related Work through a </w:t>
      </w:r>
      <w:r>
        <w:rPr>
          <w:rFonts w:ascii="Palatino Linotype" w:hAnsi="Palatino Linotype" w:eastAsia="Palatino Linotype" w:cs="Times New Roman"/>
          <w:snapToGrid w:val="0"/>
          <w:kern w:val="0"/>
          <w14:ligatures w14:val="none"/>
        </w:rPr>
        <w:t xml:space="preserve">Tier 1 </w:t>
      </w:r>
      <w:r w:rsidR="00437055">
        <w:rPr>
          <w:rFonts w:ascii="Palatino Linotype" w:hAnsi="Palatino Linotype" w:eastAsia="Palatino Linotype" w:cs="Times New Roman"/>
          <w:snapToGrid w:val="0"/>
          <w:kern w:val="0"/>
          <w14:ligatures w14:val="none"/>
        </w:rPr>
        <w:t>Advice Letter.</w:t>
      </w:r>
    </w:p>
    <w:p w:rsidRPr="00682199" w:rsidR="00A76F4A" w:rsidP="001C7001" w:rsidRDefault="00A76F4A" w14:paraId="42B617EF" w14:textId="77777777">
      <w:pPr>
        <w:spacing w:after="0" w:line="240" w:lineRule="auto"/>
        <w:ind w:left="360"/>
        <w:rPr>
          <w:rFonts w:ascii="Palatino Linotype" w:hAnsi="Palatino Linotype" w:eastAsia="Palatino Linotype" w:cs="Times New Roman"/>
          <w:snapToGrid w:val="0"/>
          <w:kern w:val="0"/>
          <w14:ligatures w14:val="none"/>
        </w:rPr>
      </w:pPr>
    </w:p>
    <w:p w:rsidRPr="001942D0" w:rsidR="00A76F4A" w:rsidP="001C7001" w:rsidRDefault="00A76F4A" w14:paraId="2F730BE1" w14:textId="77777777">
      <w:pPr>
        <w:tabs>
          <w:tab w:val="left" w:pos="720"/>
          <w:tab w:val="left" w:pos="1296"/>
          <w:tab w:val="left" w:pos="2016"/>
          <w:tab w:val="left" w:pos="2736"/>
          <w:tab w:val="left" w:pos="3456"/>
          <w:tab w:val="left" w:pos="4176"/>
          <w:tab w:val="left" w:pos="5760"/>
        </w:tabs>
        <w:spacing w:after="0" w:line="240" w:lineRule="auto"/>
        <w:rPr>
          <w:rFonts w:ascii="Palatino Linotype" w:hAnsi="Palatino Linotype" w:eastAsia="Palatino Linotype" w:cs="Times New Roman"/>
          <w:kern w:val="0"/>
          <w14:ligatures w14:val="none"/>
        </w:rPr>
      </w:pPr>
    </w:p>
    <w:p w:rsidRPr="001942D0" w:rsidR="00A76F4A" w:rsidP="001C7001" w:rsidRDefault="00A76F4A" w14:paraId="6B9B735A" w14:textId="77777777">
      <w:pPr>
        <w:keepNext/>
        <w:tabs>
          <w:tab w:val="left" w:pos="720"/>
          <w:tab w:val="left" w:pos="1296"/>
          <w:tab w:val="left" w:pos="2016"/>
          <w:tab w:val="left" w:pos="2736"/>
          <w:tab w:val="left" w:pos="3456"/>
          <w:tab w:val="left" w:pos="4176"/>
          <w:tab w:val="left" w:pos="5760"/>
        </w:tabs>
        <w:spacing w:after="0" w:line="240" w:lineRule="auto"/>
        <w:rPr>
          <w:rFonts w:ascii="Palatino Linotype" w:hAnsi="Palatino Linotype" w:eastAsia="Palatino Linotype" w:cs="Times New Roman"/>
          <w:kern w:val="0"/>
          <w14:ligatures w14:val="none"/>
        </w:rPr>
      </w:pPr>
      <w:r w:rsidRPr="001942D0">
        <w:rPr>
          <w:rFonts w:ascii="Palatino Linotype" w:hAnsi="Palatino Linotype" w:eastAsia="Palatino Linotype" w:cs="Times New Roman"/>
          <w:kern w:val="0"/>
          <w14:ligatures w14:val="none"/>
        </w:rPr>
        <w:lastRenderedPageBreak/>
        <w:t>This Resolution is effective today.</w:t>
      </w:r>
    </w:p>
    <w:p w:rsidR="00A76F4A" w:rsidP="001C7001" w:rsidRDefault="00A76F4A" w14:paraId="6FDD03B7" w14:textId="77777777">
      <w:pPr>
        <w:keepNext/>
        <w:tabs>
          <w:tab w:val="left" w:pos="720"/>
          <w:tab w:val="left" w:pos="1296"/>
          <w:tab w:val="left" w:pos="2016"/>
          <w:tab w:val="left" w:pos="2736"/>
          <w:tab w:val="left" w:pos="3456"/>
          <w:tab w:val="left" w:pos="4176"/>
          <w:tab w:val="left" w:pos="4500"/>
        </w:tabs>
        <w:spacing w:after="0" w:line="240" w:lineRule="auto"/>
        <w:rPr>
          <w:rFonts w:ascii="Palatino Linotype" w:hAnsi="Palatino Linotype" w:eastAsia="Palatino Linotype" w:cs="Times New Roman"/>
          <w:kern w:val="0"/>
          <w14:ligatures w14:val="none"/>
        </w:rPr>
      </w:pPr>
    </w:p>
    <w:p w:rsidR="00A76F4A" w:rsidP="001C7001" w:rsidRDefault="00A76F4A" w14:paraId="7C0D2B15" w14:textId="77777777">
      <w:pPr>
        <w:keepNext/>
        <w:tabs>
          <w:tab w:val="left" w:pos="720"/>
          <w:tab w:val="left" w:pos="1296"/>
          <w:tab w:val="left" w:pos="2016"/>
          <w:tab w:val="left" w:pos="2736"/>
          <w:tab w:val="left" w:pos="3456"/>
          <w:tab w:val="left" w:pos="4176"/>
          <w:tab w:val="left" w:pos="5760"/>
        </w:tabs>
        <w:spacing w:after="0" w:line="240" w:lineRule="auto"/>
        <w:rPr>
          <w:rFonts w:ascii="Palatino Linotype" w:hAnsi="Palatino Linotype" w:eastAsia="Palatino Linotype" w:cs="Times New Roman"/>
          <w:kern w:val="0"/>
          <w14:ligatures w14:val="none"/>
        </w:rPr>
      </w:pPr>
    </w:p>
    <w:p w:rsidR="00A76F4A" w:rsidP="001C7001" w:rsidRDefault="00A76F4A" w14:paraId="203AD159" w14:textId="33419E3D">
      <w:pPr>
        <w:pStyle w:val="10sp0"/>
        <w:spacing w:after="480"/>
        <w:rPr>
          <w:rFonts w:ascii="Palatino Linotype" w:hAnsi="Palatino Linotype"/>
        </w:rPr>
      </w:pPr>
      <w:r>
        <w:rPr>
          <w:rFonts w:ascii="Palatino Linotype" w:hAnsi="Palatino Linotype"/>
        </w:rPr>
        <w:t>T</w:t>
      </w:r>
      <w:r w:rsidRPr="0051493D">
        <w:rPr>
          <w:rFonts w:ascii="Palatino Linotype" w:hAnsi="Palatino Linotype"/>
        </w:rPr>
        <w:t>he foregoing resolution was duly introduced, passed and adopted at a conference of the Public Utilities Commission of the State of California held on</w:t>
      </w:r>
      <w:r w:rsidR="00D13DD1">
        <w:rPr>
          <w:rFonts w:ascii="Palatino Linotype" w:hAnsi="Palatino Linotype"/>
        </w:rPr>
        <w:t xml:space="preserve"> October 30, 202</w:t>
      </w:r>
      <w:r w:rsidR="00F66E12">
        <w:rPr>
          <w:rFonts w:ascii="Palatino Linotype" w:hAnsi="Palatino Linotype"/>
        </w:rPr>
        <w:t>5</w:t>
      </w:r>
      <w:r w:rsidR="000722CA">
        <w:rPr>
          <w:rFonts w:ascii="Palatino Linotype" w:hAnsi="Palatino Linotype"/>
        </w:rPr>
        <w:t>;</w:t>
      </w:r>
      <w:r w:rsidRPr="0051493D">
        <w:rPr>
          <w:rFonts w:ascii="Palatino Linotype" w:hAnsi="Palatino Linotype"/>
        </w:rPr>
        <w:t xml:space="preserve"> the following Commissioners voting favorably thereon:</w:t>
      </w:r>
    </w:p>
    <w:p w:rsidRPr="0051493D" w:rsidR="00F66E12" w:rsidP="001C7001" w:rsidRDefault="00F66E12" w14:paraId="3C53F0E1" w14:textId="77777777">
      <w:pPr>
        <w:pStyle w:val="10sp0"/>
        <w:spacing w:after="480"/>
        <w:rPr>
          <w:rFonts w:ascii="Palatino Linotype" w:hAnsi="Palatino Linotype"/>
        </w:rPr>
      </w:pPr>
    </w:p>
    <w:p w:rsidRPr="00F66E12" w:rsidR="00F66E12" w:rsidP="00F66E12" w:rsidRDefault="00F66E12" w14:paraId="0400FF09" w14:textId="77777777">
      <w:pPr>
        <w:keepNext/>
        <w:spacing w:after="0" w:line="240" w:lineRule="auto"/>
        <w:ind w:left="5670"/>
        <w:rPr>
          <w:rFonts w:ascii="Palatino Linotype" w:hAnsi="Palatino Linotype" w:eastAsia="Palatino Linotype" w:cs="Times New Roman"/>
          <w:u w:val="single"/>
        </w:rPr>
      </w:pPr>
      <w:r w:rsidRPr="00F66E12">
        <w:rPr>
          <w:rFonts w:ascii="Palatino Linotype" w:hAnsi="Palatino Linotype" w:eastAsia="Palatino Linotype" w:cs="Times New Roman"/>
          <w:u w:val="single"/>
        </w:rPr>
        <w:t>/s/ RACHEL PETERSON</w:t>
      </w:r>
    </w:p>
    <w:p w:rsidRPr="00F66E12" w:rsidR="00F66E12" w:rsidP="00F66E12" w:rsidRDefault="00F66E12" w14:paraId="3544A076" w14:textId="77777777">
      <w:pPr>
        <w:keepNext/>
        <w:spacing w:after="0" w:line="240" w:lineRule="auto"/>
        <w:ind w:left="5850"/>
        <w:rPr>
          <w:rFonts w:ascii="Palatino Linotype" w:hAnsi="Palatino Linotype" w:eastAsia="Palatino Linotype" w:cs="Times New Roman"/>
        </w:rPr>
      </w:pPr>
      <w:r w:rsidRPr="00F66E12">
        <w:rPr>
          <w:rFonts w:ascii="Palatino Linotype" w:hAnsi="Palatino Linotype" w:eastAsia="Palatino Linotype" w:cs="Times New Roman"/>
        </w:rPr>
        <w:t xml:space="preserve">    Rachel Peterson</w:t>
      </w:r>
    </w:p>
    <w:p w:rsidRPr="00F66E12" w:rsidR="00F66E12" w:rsidP="00F66E12" w:rsidRDefault="00F66E12" w14:paraId="24CC9E71" w14:textId="77777777">
      <w:pPr>
        <w:keepNext/>
        <w:spacing w:after="0" w:line="240" w:lineRule="auto"/>
        <w:ind w:left="5850"/>
        <w:rPr>
          <w:rFonts w:ascii="Palatino Linotype" w:hAnsi="Palatino Linotype" w:eastAsia="Palatino Linotype" w:cs="Times New Roman"/>
        </w:rPr>
      </w:pPr>
      <w:r w:rsidRPr="00F66E12">
        <w:rPr>
          <w:rFonts w:ascii="Palatino Linotype" w:hAnsi="Palatino Linotype" w:eastAsia="Palatino Linotype" w:cs="Times New Roman"/>
        </w:rPr>
        <w:t xml:space="preserve">  Executive Director</w:t>
      </w:r>
    </w:p>
    <w:p w:rsidRPr="00F66E12" w:rsidR="00F66E12" w:rsidP="00F66E12" w:rsidRDefault="00F66E12" w14:paraId="58E72B24" w14:textId="77777777">
      <w:pPr>
        <w:keepNext/>
        <w:spacing w:after="0" w:line="240" w:lineRule="auto"/>
        <w:ind w:left="5850"/>
        <w:rPr>
          <w:rFonts w:ascii="Palatino Linotype" w:hAnsi="Palatino Linotype" w:eastAsia="Palatino Linotype" w:cs="Times New Roman"/>
        </w:rPr>
      </w:pPr>
    </w:p>
    <w:p w:rsidRPr="00F66E12" w:rsidR="00F66E12" w:rsidP="00F66E12" w:rsidRDefault="00F66E12" w14:paraId="376EF8F8" w14:textId="77777777">
      <w:pPr>
        <w:keepNext/>
        <w:spacing w:after="0" w:line="240" w:lineRule="auto"/>
        <w:ind w:left="5850"/>
        <w:rPr>
          <w:rFonts w:ascii="Palatino Linotype" w:hAnsi="Palatino Linotype" w:eastAsia="Palatino Linotype" w:cs="Times New Roman"/>
        </w:rPr>
      </w:pPr>
    </w:p>
    <w:p w:rsidRPr="00F66E12" w:rsidR="00F66E12" w:rsidP="00F66E12" w:rsidRDefault="00F66E12" w14:paraId="3752035B" w14:textId="77777777">
      <w:pPr>
        <w:keepNext/>
        <w:spacing w:after="0" w:line="240" w:lineRule="auto"/>
        <w:ind w:left="5850"/>
        <w:rPr>
          <w:rFonts w:ascii="Palatino Linotype" w:hAnsi="Palatino Linotype" w:eastAsia="Palatino Linotype" w:cs="Times New Roman"/>
        </w:rPr>
      </w:pPr>
      <w:r w:rsidRPr="00F66E12">
        <w:rPr>
          <w:rFonts w:ascii="Palatino Linotype" w:hAnsi="Palatino Linotype" w:eastAsia="Palatino Linotype" w:cs="Times New Roman"/>
        </w:rPr>
        <w:t>ALICE REYNOLDS</w:t>
      </w:r>
    </w:p>
    <w:p w:rsidRPr="00F66E12" w:rsidR="00F66E12" w:rsidP="00F66E12" w:rsidRDefault="00F66E12" w14:paraId="60579BEA" w14:textId="77777777">
      <w:pPr>
        <w:keepNext/>
        <w:spacing w:after="0" w:line="240" w:lineRule="auto"/>
        <w:ind w:left="5850"/>
        <w:rPr>
          <w:rFonts w:ascii="Palatino Linotype" w:hAnsi="Palatino Linotype" w:eastAsia="Palatino Linotype" w:cs="Times New Roman"/>
        </w:rPr>
      </w:pPr>
      <w:r w:rsidRPr="00F66E12">
        <w:rPr>
          <w:rFonts w:ascii="Palatino Linotype" w:hAnsi="Palatino Linotype" w:eastAsia="Palatino Linotype" w:cs="Times New Roman"/>
        </w:rPr>
        <w:t xml:space="preserve">       President</w:t>
      </w:r>
    </w:p>
    <w:p w:rsidRPr="00F66E12" w:rsidR="00F66E12" w:rsidP="00F66E12" w:rsidRDefault="00F66E12" w14:paraId="1C054264" w14:textId="77777777">
      <w:pPr>
        <w:keepNext/>
        <w:spacing w:after="0" w:line="240" w:lineRule="auto"/>
        <w:ind w:left="5850"/>
        <w:rPr>
          <w:rFonts w:ascii="Palatino Linotype" w:hAnsi="Palatino Linotype" w:eastAsia="Palatino Linotype" w:cs="Times New Roman"/>
        </w:rPr>
      </w:pPr>
    </w:p>
    <w:p w:rsidRPr="00F66E12" w:rsidR="00F66E12" w:rsidP="00F66E12" w:rsidRDefault="00F66E12" w14:paraId="10D0BCC4" w14:textId="77777777">
      <w:pPr>
        <w:keepNext/>
        <w:spacing w:after="0" w:line="240" w:lineRule="auto"/>
        <w:ind w:left="5850"/>
        <w:rPr>
          <w:rFonts w:ascii="Palatino Linotype" w:hAnsi="Palatino Linotype" w:eastAsia="Palatino Linotype" w:cs="Times New Roman"/>
        </w:rPr>
      </w:pPr>
      <w:r w:rsidRPr="00F66E12">
        <w:rPr>
          <w:rFonts w:ascii="Palatino Linotype" w:hAnsi="Palatino Linotype" w:eastAsia="Palatino Linotype" w:cs="Times New Roman"/>
        </w:rPr>
        <w:t>DARCIE L. HOUCK</w:t>
      </w:r>
    </w:p>
    <w:p w:rsidRPr="00F66E12" w:rsidR="00F66E12" w:rsidP="00F66E12" w:rsidRDefault="00F66E12" w14:paraId="32E654CA" w14:textId="77777777">
      <w:pPr>
        <w:keepNext/>
        <w:spacing w:after="0" w:line="240" w:lineRule="auto"/>
        <w:ind w:left="5850"/>
        <w:rPr>
          <w:rFonts w:ascii="Palatino Linotype" w:hAnsi="Palatino Linotype" w:eastAsia="Palatino Linotype" w:cs="Times New Roman"/>
        </w:rPr>
      </w:pPr>
      <w:r w:rsidRPr="00F66E12">
        <w:rPr>
          <w:rFonts w:ascii="Palatino Linotype" w:hAnsi="Palatino Linotype" w:eastAsia="Palatino Linotype" w:cs="Times New Roman"/>
        </w:rPr>
        <w:t>JOHN REYNOLDS</w:t>
      </w:r>
    </w:p>
    <w:p w:rsidRPr="00F66E12" w:rsidR="00F66E12" w:rsidP="00F66E12" w:rsidRDefault="00F66E12" w14:paraId="494F9BF4" w14:textId="77777777">
      <w:pPr>
        <w:keepNext/>
        <w:spacing w:after="0" w:line="240" w:lineRule="auto"/>
        <w:ind w:left="5850"/>
        <w:rPr>
          <w:rFonts w:ascii="Palatino Linotype" w:hAnsi="Palatino Linotype" w:eastAsia="Palatino Linotype" w:cs="Times New Roman"/>
        </w:rPr>
      </w:pPr>
      <w:r w:rsidRPr="00F66E12">
        <w:rPr>
          <w:rFonts w:ascii="Palatino Linotype" w:hAnsi="Palatino Linotype" w:eastAsia="Palatino Linotype" w:cs="Times New Roman"/>
        </w:rPr>
        <w:t>KAREN DOUGLAS</w:t>
      </w:r>
    </w:p>
    <w:p w:rsidRPr="00F66E12" w:rsidR="00F66E12" w:rsidP="00F66E12" w:rsidRDefault="00F66E12" w14:paraId="0E1EBFED" w14:textId="77777777">
      <w:pPr>
        <w:keepNext/>
        <w:spacing w:after="0" w:line="240" w:lineRule="auto"/>
        <w:ind w:left="5850"/>
        <w:rPr>
          <w:rFonts w:ascii="Palatino Linotype" w:hAnsi="Palatino Linotype" w:eastAsia="Palatino Linotype" w:cs="Times New Roman"/>
        </w:rPr>
      </w:pPr>
      <w:r w:rsidRPr="00F66E12">
        <w:rPr>
          <w:rFonts w:ascii="Palatino Linotype" w:hAnsi="Palatino Linotype" w:eastAsia="Palatino Linotype" w:cs="Times New Roman"/>
        </w:rPr>
        <w:t>MATTHEW BAKER</w:t>
      </w:r>
    </w:p>
    <w:p w:rsidRPr="001942D0" w:rsidR="00A76F4A" w:rsidP="00F66E12" w:rsidRDefault="00F66E12" w14:paraId="0B7DFB9B" w14:textId="4CB5AA3C">
      <w:pPr>
        <w:keepNext/>
        <w:spacing w:after="0" w:line="240" w:lineRule="auto"/>
        <w:ind w:left="5850"/>
        <w:rPr>
          <w:rFonts w:ascii="Palatino Linotype" w:hAnsi="Palatino Linotype" w:eastAsia="Palatino Linotype" w:cs="Times New Roman"/>
          <w:kern w:val="0"/>
          <w14:ligatures w14:val="none"/>
        </w:rPr>
      </w:pPr>
      <w:r w:rsidRPr="00F66E12">
        <w:rPr>
          <w:rFonts w:ascii="Palatino Linotype" w:hAnsi="Palatino Linotype" w:eastAsia="Palatino Linotype" w:cs="Times New Roman"/>
        </w:rPr>
        <w:t xml:space="preserve">       Commissioners</w:t>
      </w:r>
    </w:p>
    <w:p w:rsidRPr="001942D0" w:rsidR="00A76F4A" w:rsidP="001C7001" w:rsidRDefault="00A76F4A" w14:paraId="7B2A2C97" w14:textId="77777777">
      <w:pPr>
        <w:keepNext/>
        <w:tabs>
          <w:tab w:val="left" w:pos="720"/>
          <w:tab w:val="left" w:pos="1296"/>
          <w:tab w:val="left" w:pos="2016"/>
          <w:tab w:val="left" w:pos="2736"/>
          <w:tab w:val="left" w:pos="3456"/>
          <w:tab w:val="left" w:pos="4176"/>
          <w:tab w:val="left" w:pos="5760"/>
        </w:tabs>
        <w:spacing w:after="0" w:line="240" w:lineRule="auto"/>
        <w:rPr>
          <w:rFonts w:ascii="Palatino Linotype" w:hAnsi="Palatino Linotype" w:eastAsia="Palatino Linotype" w:cs="Times New Roman"/>
          <w:kern w:val="0"/>
          <w14:ligatures w14:val="none"/>
        </w:rPr>
      </w:pPr>
    </w:p>
    <w:p w:rsidR="00F66E12" w:rsidP="001C7001" w:rsidRDefault="00F66E12" w14:paraId="65D6ECCF" w14:textId="77777777">
      <w:pPr>
        <w:keepNext/>
        <w:spacing w:after="0" w:line="240" w:lineRule="auto"/>
        <w:rPr>
          <w:rFonts w:ascii="Palatino Linotype" w:hAnsi="Palatino Linotype" w:eastAsia="Palatino Linotype" w:cs="Times New Roman"/>
        </w:rPr>
      </w:pPr>
    </w:p>
    <w:p w:rsidR="00A76F4A" w:rsidP="001C7001" w:rsidRDefault="00A76F4A" w14:paraId="1BFDA168" w14:textId="4536E408">
      <w:pPr>
        <w:keepNext/>
        <w:spacing w:after="0" w:line="240" w:lineRule="auto"/>
        <w:rPr>
          <w:rFonts w:ascii="Palatino Linotype" w:hAnsi="Palatino Linotype" w:eastAsia="Palatino Linotype" w:cs="Times New Roman"/>
        </w:rPr>
      </w:pPr>
      <w:r w:rsidRPr="00ED1BD6">
        <w:rPr>
          <w:rFonts w:ascii="Palatino Linotype" w:hAnsi="Palatino Linotype" w:eastAsia="Palatino Linotype" w:cs="Times New Roman"/>
        </w:rPr>
        <w:t xml:space="preserve">Dated </w:t>
      </w:r>
      <w:r w:rsidRPr="00ED1BD6" w:rsidR="00ED1BD6">
        <w:rPr>
          <w:rFonts w:ascii="Palatino Linotype" w:hAnsi="Palatino Linotype" w:eastAsia="Palatino Linotype" w:cs="Times New Roman"/>
        </w:rPr>
        <w:t>October 30, 2025</w:t>
      </w:r>
      <w:r w:rsidRPr="00921E87">
        <w:rPr>
          <w:rFonts w:ascii="Palatino Linotype" w:hAnsi="Palatino Linotype" w:eastAsia="Palatino Linotype" w:cs="Times New Roman"/>
        </w:rPr>
        <w:t xml:space="preserve">, at </w:t>
      </w:r>
      <w:r w:rsidR="00ED1BD6">
        <w:rPr>
          <w:rFonts w:ascii="Palatino Linotype" w:hAnsi="Palatino Linotype" w:eastAsia="Palatino Linotype" w:cs="Times New Roman"/>
        </w:rPr>
        <w:t>Sacramento</w:t>
      </w:r>
      <w:r w:rsidRPr="00921E87">
        <w:rPr>
          <w:rFonts w:ascii="Palatino Linotype" w:hAnsi="Palatino Linotype" w:eastAsia="Palatino Linotype" w:cs="Times New Roman"/>
        </w:rPr>
        <w:t>, California</w:t>
      </w:r>
      <w:r w:rsidR="006E715A">
        <w:rPr>
          <w:rFonts w:ascii="Palatino Linotype" w:hAnsi="Palatino Linotype" w:eastAsia="Palatino Linotype" w:cs="Times New Roman"/>
        </w:rPr>
        <w:t xml:space="preserve">   </w:t>
      </w:r>
      <w:r>
        <w:tab/>
      </w:r>
    </w:p>
    <w:p w:rsidR="00A76F4A" w:rsidP="001C7001" w:rsidRDefault="00A76F4A" w14:paraId="6C25D2B1" w14:textId="77777777">
      <w:pPr>
        <w:keepNext/>
        <w:spacing w:after="0" w:line="240" w:lineRule="auto"/>
        <w:rPr>
          <w:rFonts w:ascii="Palatino Linotype" w:hAnsi="Palatino Linotype" w:eastAsia="Palatino Linotype" w:cs="Times New Roman"/>
        </w:rPr>
      </w:pPr>
    </w:p>
    <w:p w:rsidR="00A76F4A" w:rsidP="001C7001" w:rsidRDefault="00A76F4A" w14:paraId="0210CE2F" w14:textId="77777777">
      <w:pPr>
        <w:keepNext/>
        <w:spacing w:after="0" w:line="240" w:lineRule="auto"/>
        <w:rPr>
          <w:rFonts w:ascii="Palatino Linotype" w:hAnsi="Palatino Linotype" w:eastAsia="Palatino Linotype" w:cs="Times New Roman"/>
        </w:rPr>
      </w:pPr>
    </w:p>
    <w:p w:rsidR="00A76F4A" w:rsidP="001C7001" w:rsidRDefault="00A76F4A" w14:paraId="59C29A8B" w14:textId="77777777">
      <w:pPr>
        <w:keepNext/>
        <w:spacing w:after="0" w:line="240" w:lineRule="auto"/>
        <w:rPr>
          <w:rFonts w:ascii="Palatino Linotype" w:hAnsi="Palatino Linotype" w:eastAsia="Palatino Linotype" w:cs="Times New Roman"/>
        </w:rPr>
      </w:pPr>
    </w:p>
    <w:p w:rsidR="00A76F4A" w:rsidP="001C7001" w:rsidRDefault="00A76F4A" w14:paraId="19AFAC8E" w14:textId="77777777">
      <w:pPr>
        <w:keepNext/>
        <w:spacing w:after="0" w:line="240" w:lineRule="auto"/>
        <w:rPr>
          <w:rFonts w:ascii="Palatino Linotype" w:hAnsi="Palatino Linotype" w:eastAsia="Palatino Linotype" w:cs="Times New Roman"/>
        </w:rPr>
      </w:pPr>
    </w:p>
    <w:p w:rsidR="00A76F4A" w:rsidP="001C7001" w:rsidRDefault="00A76F4A" w14:paraId="1FD216D4" w14:textId="77777777">
      <w:pPr>
        <w:keepNext/>
        <w:spacing w:after="0" w:line="240" w:lineRule="auto"/>
      </w:pPr>
    </w:p>
    <w:p w:rsidR="00FA7801" w:rsidRDefault="00FA7801" w14:paraId="04DEA10F" w14:textId="77777777"/>
    <w:sectPr w:rsidR="00FA7801" w:rsidSect="00750E92">
      <w:headerReference w:type="default"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1D0497" w14:textId="77777777" w:rsidR="00A46394" w:rsidRDefault="00A46394" w:rsidP="00A76F4A">
      <w:pPr>
        <w:spacing w:after="0" w:line="240" w:lineRule="auto"/>
      </w:pPr>
      <w:r>
        <w:separator/>
      </w:r>
    </w:p>
  </w:endnote>
  <w:endnote w:type="continuationSeparator" w:id="0">
    <w:p w14:paraId="312A7A16" w14:textId="77777777" w:rsidR="00A46394" w:rsidRDefault="00A46394" w:rsidP="00A76F4A">
      <w:pPr>
        <w:spacing w:after="0" w:line="240" w:lineRule="auto"/>
      </w:pPr>
      <w:r>
        <w:continuationSeparator/>
      </w:r>
    </w:p>
  </w:endnote>
  <w:endnote w:type="continuationNotice" w:id="1">
    <w:p w14:paraId="4D426E1C" w14:textId="77777777" w:rsidR="00A46394" w:rsidRDefault="00A4639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w:altName w:val="Palatino Linotype"/>
    <w:panose1 w:val="00000000000000000000"/>
    <w:charset w:val="00"/>
    <w:family w:val="roman"/>
    <w:pitch w:val="variable"/>
    <w:sig w:usb0="20000A87" w:usb1="08000000" w:usb2="00000008" w:usb3="00000000" w:csb0="0000011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auto"/>
    <w:pitch w:val="variable"/>
    <w:sig w:usb0="E0002AFF" w:usb1="5000785B" w:usb2="00000000"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alatino Linotype" w:hAnsi="Palatino Linotype"/>
      </w:rPr>
      <w:id w:val="-495273077"/>
      <w:docPartObj>
        <w:docPartGallery w:val="Page Numbers (Bottom of Page)"/>
        <w:docPartUnique/>
      </w:docPartObj>
    </w:sdtPr>
    <w:sdtEndPr>
      <w:rPr>
        <w:noProof/>
      </w:rPr>
    </w:sdtEndPr>
    <w:sdtContent>
      <w:p w14:paraId="0D8786F3" w14:textId="5C6D8969" w:rsidR="002514A5" w:rsidRPr="002514A5" w:rsidRDefault="002514A5">
        <w:pPr>
          <w:pStyle w:val="Footer"/>
          <w:jc w:val="center"/>
          <w:rPr>
            <w:rFonts w:ascii="Palatino Linotype" w:hAnsi="Palatino Linotype"/>
          </w:rPr>
        </w:pPr>
        <w:r w:rsidRPr="002514A5">
          <w:rPr>
            <w:rFonts w:ascii="Palatino Linotype" w:hAnsi="Palatino Linotype"/>
          </w:rPr>
          <w:fldChar w:fldCharType="begin"/>
        </w:r>
        <w:r w:rsidRPr="002514A5">
          <w:rPr>
            <w:rFonts w:ascii="Palatino Linotype" w:hAnsi="Palatino Linotype"/>
          </w:rPr>
          <w:instrText xml:space="preserve"> PAGE   \* MERGEFORMAT </w:instrText>
        </w:r>
        <w:r w:rsidRPr="002514A5">
          <w:rPr>
            <w:rFonts w:ascii="Palatino Linotype" w:hAnsi="Palatino Linotype"/>
          </w:rPr>
          <w:fldChar w:fldCharType="separate"/>
        </w:r>
        <w:r w:rsidRPr="002514A5">
          <w:rPr>
            <w:rFonts w:ascii="Palatino Linotype" w:hAnsi="Palatino Linotype"/>
            <w:noProof/>
          </w:rPr>
          <w:t>2</w:t>
        </w:r>
        <w:r w:rsidRPr="002514A5">
          <w:rPr>
            <w:rFonts w:ascii="Palatino Linotype" w:hAnsi="Palatino Linotype"/>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alatino Linotype" w:hAnsi="Palatino Linotype"/>
      </w:rPr>
      <w:id w:val="1495374242"/>
      <w:docPartObj>
        <w:docPartGallery w:val="Page Numbers (Bottom of Page)"/>
        <w:docPartUnique/>
      </w:docPartObj>
    </w:sdtPr>
    <w:sdtEndPr>
      <w:rPr>
        <w:noProof/>
      </w:rPr>
    </w:sdtEndPr>
    <w:sdtContent>
      <w:p w14:paraId="6783E552" w14:textId="343DF103" w:rsidR="004A7A4C" w:rsidRPr="004A7A4C" w:rsidRDefault="000568C4" w:rsidP="00687AEE">
        <w:pPr>
          <w:pStyle w:val="Footer"/>
          <w:rPr>
            <w:rFonts w:ascii="Palatino Linotype" w:hAnsi="Palatino Linotype"/>
          </w:rPr>
        </w:pPr>
        <w:r w:rsidRPr="000568C4">
          <w:rPr>
            <w:rFonts w:ascii="Tahoma" w:hAnsi="Tahoma" w:cs="Tahoma"/>
            <w:sz w:val="18"/>
          </w:rPr>
          <w:t>586498115</w:t>
        </w:r>
        <w:r w:rsidR="00687AEE" w:rsidRPr="00687AEE">
          <w:rPr>
            <w:rFonts w:ascii="Tahoma" w:hAnsi="Tahoma" w:cs="Tahoma"/>
            <w:sz w:val="18"/>
          </w:rPr>
          <w:t>  </w:t>
        </w:r>
        <w:r w:rsidR="00687AEE">
          <w:rPr>
            <w:rFonts w:ascii="Tahoma" w:hAnsi="Tahoma" w:cs="Tahoma"/>
            <w:sz w:val="18"/>
          </w:rPr>
          <w:t xml:space="preserve"> </w:t>
        </w:r>
        <w:r w:rsidR="00FB7C7C">
          <w:rPr>
            <w:rFonts w:ascii="Palatino Linotype" w:hAnsi="Palatino Linotype"/>
          </w:rPr>
          <w:tab/>
        </w:r>
        <w:r w:rsidR="004A7A4C" w:rsidRPr="004A7A4C">
          <w:rPr>
            <w:rFonts w:ascii="Palatino Linotype" w:hAnsi="Palatino Linotype"/>
          </w:rPr>
          <w:fldChar w:fldCharType="begin"/>
        </w:r>
        <w:r w:rsidR="004A7A4C" w:rsidRPr="004A7A4C">
          <w:rPr>
            <w:rFonts w:ascii="Palatino Linotype" w:hAnsi="Palatino Linotype"/>
          </w:rPr>
          <w:instrText xml:space="preserve"> PAGE   \* MERGEFORMAT </w:instrText>
        </w:r>
        <w:r w:rsidR="004A7A4C" w:rsidRPr="004A7A4C">
          <w:rPr>
            <w:rFonts w:ascii="Palatino Linotype" w:hAnsi="Palatino Linotype"/>
          </w:rPr>
          <w:fldChar w:fldCharType="separate"/>
        </w:r>
        <w:r w:rsidR="004A7A4C" w:rsidRPr="004A7A4C">
          <w:rPr>
            <w:rFonts w:ascii="Palatino Linotype" w:hAnsi="Palatino Linotype"/>
            <w:noProof/>
          </w:rPr>
          <w:t>2</w:t>
        </w:r>
        <w:r w:rsidR="004A7A4C" w:rsidRPr="004A7A4C">
          <w:rPr>
            <w:rFonts w:ascii="Palatino Linotype" w:hAnsi="Palatino Linotype"/>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72773B" w14:textId="77777777" w:rsidR="00A46394" w:rsidRDefault="00A46394" w:rsidP="00A76F4A">
      <w:pPr>
        <w:spacing w:after="0" w:line="240" w:lineRule="auto"/>
      </w:pPr>
      <w:r>
        <w:separator/>
      </w:r>
    </w:p>
  </w:footnote>
  <w:footnote w:type="continuationSeparator" w:id="0">
    <w:p w14:paraId="0C68782C" w14:textId="77777777" w:rsidR="00A46394" w:rsidRDefault="00A46394" w:rsidP="00A76F4A">
      <w:pPr>
        <w:spacing w:after="0" w:line="240" w:lineRule="auto"/>
      </w:pPr>
      <w:r>
        <w:continuationSeparator/>
      </w:r>
    </w:p>
  </w:footnote>
  <w:footnote w:type="continuationNotice" w:id="1">
    <w:p w14:paraId="346B1CD8" w14:textId="77777777" w:rsidR="00A46394" w:rsidRDefault="00A46394">
      <w:pPr>
        <w:spacing w:after="0" w:line="240" w:lineRule="auto"/>
      </w:pPr>
    </w:p>
  </w:footnote>
  <w:footnote w:id="2">
    <w:p w14:paraId="21E1E01D" w14:textId="5DA9CD18" w:rsidR="00A57D99" w:rsidRPr="00644B47" w:rsidRDefault="00A57D99">
      <w:pPr>
        <w:pStyle w:val="FootnoteText"/>
        <w:rPr>
          <w:rFonts w:ascii="Palatino Linotype" w:hAnsi="Palatino Linotype"/>
        </w:rPr>
      </w:pPr>
      <w:r w:rsidRPr="00644B47">
        <w:rPr>
          <w:rStyle w:val="FootnoteReference"/>
          <w:rFonts w:ascii="Palatino Linotype" w:hAnsi="Palatino Linotype"/>
        </w:rPr>
        <w:footnoteRef/>
      </w:r>
      <w:r w:rsidRPr="00644B47">
        <w:rPr>
          <w:rFonts w:ascii="Palatino Linotype" w:hAnsi="Palatino Linotype"/>
        </w:rPr>
        <w:t xml:space="preserve"> </w:t>
      </w:r>
      <w:r w:rsidR="00585C8C" w:rsidRPr="00644B47">
        <w:rPr>
          <w:rFonts w:ascii="Palatino Linotype" w:hAnsi="Palatino Linotype"/>
        </w:rPr>
        <w:t>For additional detail on the BARC methodology, includin</w:t>
      </w:r>
      <w:r w:rsidR="00FE6D4C" w:rsidRPr="00644B47">
        <w:rPr>
          <w:rFonts w:ascii="Palatino Linotype" w:hAnsi="Palatino Linotype"/>
        </w:rPr>
        <w:t xml:space="preserve">g an example, see PG&amp;E </w:t>
      </w:r>
      <w:r w:rsidR="0065104E" w:rsidRPr="00644B47">
        <w:rPr>
          <w:rFonts w:ascii="Palatino Linotype" w:hAnsi="Palatino Linotype"/>
        </w:rPr>
        <w:t>Supplemental Testimony Work</w:t>
      </w:r>
      <w:r w:rsidR="00DA2273" w:rsidRPr="00644B47">
        <w:rPr>
          <w:rFonts w:ascii="Palatino Linotype" w:hAnsi="Palatino Linotype"/>
        </w:rPr>
        <w:t xml:space="preserve"> Paper 1</w:t>
      </w:r>
      <w:r w:rsidR="0065104E" w:rsidRPr="00644B47">
        <w:rPr>
          <w:rFonts w:ascii="Palatino Linotype" w:hAnsi="Palatino Linotype"/>
        </w:rPr>
        <w:t xml:space="preserve"> in A. 24-11-007</w:t>
      </w:r>
      <w:r w:rsidR="00DA2273" w:rsidRPr="00644B47">
        <w:rPr>
          <w:rFonts w:ascii="Palatino Linotype" w:hAnsi="Palatino Linotype"/>
        </w:rPr>
        <w:t>, submitted March 21, 2025</w:t>
      </w:r>
      <w:r w:rsidRPr="00644B47">
        <w:rPr>
          <w:rFonts w:ascii="Palatino Linotype" w:hAnsi="Palatino Linotype"/>
        </w:rPr>
        <w:t>.</w:t>
      </w:r>
    </w:p>
  </w:footnote>
  <w:footnote w:id="3">
    <w:p w14:paraId="3F2E8D0A" w14:textId="790D5D59" w:rsidR="00430917" w:rsidRPr="00644B47" w:rsidRDefault="00430917">
      <w:pPr>
        <w:pStyle w:val="FootnoteText"/>
        <w:rPr>
          <w:rFonts w:ascii="Palatino Linotype" w:hAnsi="Palatino Linotype"/>
        </w:rPr>
      </w:pPr>
      <w:r w:rsidRPr="00644B47">
        <w:rPr>
          <w:rStyle w:val="FootnoteReference"/>
          <w:rFonts w:ascii="Palatino Linotype" w:hAnsi="Palatino Linotype"/>
        </w:rPr>
        <w:footnoteRef/>
      </w:r>
      <w:r w:rsidRPr="00644B47">
        <w:rPr>
          <w:rFonts w:ascii="Palatino Linotype" w:hAnsi="Palatino Linotype"/>
        </w:rPr>
        <w:t xml:space="preserve"> </w:t>
      </w:r>
      <w:r w:rsidR="00C14E0E" w:rsidRPr="00644B47">
        <w:rPr>
          <w:rFonts w:ascii="Palatino Linotype" w:hAnsi="Palatino Linotype"/>
        </w:rPr>
        <w:t>As noted in the background section, the customer advance and related refunds in this case will be based on actual costs</w:t>
      </w:r>
      <w:r w:rsidR="001A2125" w:rsidRPr="00644B47">
        <w:rPr>
          <w:rFonts w:ascii="Palatino Linotype" w:hAnsi="Palatino Linotype"/>
        </w:rPr>
        <w:t>, rather than the current cost estimates</w:t>
      </w:r>
      <w:r w:rsidR="00B13DB6" w:rsidRPr="00644B47">
        <w:rPr>
          <w:rFonts w:ascii="Palatino Linotype" w:hAnsi="Palatino Linotype"/>
        </w:rPr>
        <w:t>, and may be smaller or larger than this amount.</w:t>
      </w:r>
    </w:p>
  </w:footnote>
  <w:footnote w:id="4">
    <w:p w14:paraId="5FEBE105" w14:textId="79D7CBFE" w:rsidR="00956F4B" w:rsidRPr="00644B47" w:rsidRDefault="00956F4B">
      <w:pPr>
        <w:pStyle w:val="FootnoteText"/>
        <w:rPr>
          <w:rFonts w:ascii="Palatino Linotype" w:hAnsi="Palatino Linotype"/>
        </w:rPr>
      </w:pPr>
      <w:r w:rsidRPr="00644B47">
        <w:rPr>
          <w:rStyle w:val="FootnoteReference"/>
          <w:rFonts w:ascii="Palatino Linotype" w:hAnsi="Palatino Linotype"/>
        </w:rPr>
        <w:footnoteRef/>
      </w:r>
      <w:r w:rsidRPr="00644B47">
        <w:rPr>
          <w:rFonts w:ascii="Palatino Linotype" w:hAnsi="Palatino Linotype"/>
        </w:rPr>
        <w:t xml:space="preserve"> </w:t>
      </w:r>
      <w:r w:rsidR="005741F3" w:rsidRPr="00644B47">
        <w:rPr>
          <w:rFonts w:ascii="Palatino Linotype" w:hAnsi="Palatino Linotype"/>
        </w:rPr>
        <w:t xml:space="preserve">This approximation was calculated based on PG&amp;E’s </w:t>
      </w:r>
      <w:r w:rsidR="000229E4" w:rsidRPr="00644B47">
        <w:rPr>
          <w:rFonts w:ascii="Palatino Linotype" w:hAnsi="Palatino Linotype"/>
        </w:rPr>
        <w:t>f</w:t>
      </w:r>
      <w:r w:rsidR="005741F3" w:rsidRPr="00644B47">
        <w:rPr>
          <w:rFonts w:ascii="Palatino Linotype" w:hAnsi="Palatino Linotype"/>
        </w:rPr>
        <w:t>orecas</w:t>
      </w:r>
      <w:r w:rsidR="00C9055E" w:rsidRPr="00644B47">
        <w:rPr>
          <w:rFonts w:ascii="Palatino Linotype" w:hAnsi="Palatino Linotype"/>
        </w:rPr>
        <w:t>t for New Business</w:t>
      </w:r>
      <w:r w:rsidR="000229E4" w:rsidRPr="00644B47">
        <w:rPr>
          <w:rFonts w:ascii="Palatino Linotype" w:hAnsi="Palatino Linotype"/>
        </w:rPr>
        <w:t xml:space="preserve"> costs</w:t>
      </w:r>
      <w:r w:rsidR="00C9055E" w:rsidRPr="00644B47">
        <w:rPr>
          <w:rFonts w:ascii="Palatino Linotype" w:hAnsi="Palatino Linotype"/>
        </w:rPr>
        <w:t xml:space="preserve"> </w:t>
      </w:r>
      <w:r w:rsidR="000229E4" w:rsidRPr="00644B47">
        <w:rPr>
          <w:rFonts w:ascii="Palatino Linotype" w:hAnsi="Palatino Linotype"/>
        </w:rPr>
        <w:t>(M</w:t>
      </w:r>
      <w:r w:rsidR="00C9055E" w:rsidRPr="00644B47">
        <w:rPr>
          <w:rFonts w:ascii="Palatino Linotype" w:hAnsi="Palatino Linotype"/>
        </w:rPr>
        <w:t>WC 16</w:t>
      </w:r>
      <w:r w:rsidR="000229E4" w:rsidRPr="00644B47">
        <w:rPr>
          <w:rFonts w:ascii="Palatino Linotype" w:hAnsi="Palatino Linotype"/>
        </w:rPr>
        <w:t>)</w:t>
      </w:r>
      <w:r w:rsidR="00C9055E" w:rsidRPr="00644B47">
        <w:rPr>
          <w:rFonts w:ascii="Palatino Linotype" w:hAnsi="Palatino Linotype"/>
        </w:rPr>
        <w:t xml:space="preserve">, </w:t>
      </w:r>
      <w:r w:rsidR="00E01F7F" w:rsidRPr="00644B47">
        <w:rPr>
          <w:rFonts w:ascii="Palatino Linotype" w:hAnsi="Palatino Linotype"/>
        </w:rPr>
        <w:t xml:space="preserve">which includes </w:t>
      </w:r>
      <w:r w:rsidR="000229E4" w:rsidRPr="00644B47">
        <w:rPr>
          <w:rFonts w:ascii="Palatino Linotype" w:hAnsi="Palatino Linotype"/>
        </w:rPr>
        <w:t>installing electric infrastructure to connect new customers to the distribution system</w:t>
      </w:r>
      <w:r w:rsidR="00ED43C0" w:rsidRPr="00644B47">
        <w:rPr>
          <w:rFonts w:ascii="Palatino Linotype" w:hAnsi="Palatino Linotype"/>
        </w:rPr>
        <w:t xml:space="preserve"> or expand service for existing customers</w:t>
      </w:r>
      <w:r w:rsidR="000229E4" w:rsidRPr="00644B47">
        <w:rPr>
          <w:rFonts w:ascii="Palatino Linotype" w:hAnsi="Palatino Linotype"/>
        </w:rPr>
        <w:t xml:space="preserve">. </w:t>
      </w:r>
      <w:r w:rsidR="003036B3" w:rsidRPr="00644B47">
        <w:rPr>
          <w:rFonts w:ascii="Palatino Linotype" w:hAnsi="Palatino Linotype"/>
        </w:rPr>
        <w:t xml:space="preserve">PG&amp;E estimated </w:t>
      </w:r>
      <w:r w:rsidR="005954B2" w:rsidRPr="00644B47">
        <w:rPr>
          <w:rFonts w:ascii="Palatino Linotype" w:hAnsi="Palatino Linotype"/>
        </w:rPr>
        <w:t xml:space="preserve">about $4.8 billion in costs to </w:t>
      </w:r>
      <w:r w:rsidR="00605C1E" w:rsidRPr="00644B47">
        <w:rPr>
          <w:rFonts w:ascii="Palatino Linotype" w:hAnsi="Palatino Linotype"/>
        </w:rPr>
        <w:t>cover 38,212 units, i.e. energizations or service expansions</w:t>
      </w:r>
      <w:r w:rsidR="0023755C" w:rsidRPr="00644B47">
        <w:rPr>
          <w:rFonts w:ascii="Palatino Linotype" w:hAnsi="Palatino Linotype"/>
        </w:rPr>
        <w:t>. This comes to about $120,000 typical cost</w:t>
      </w:r>
      <w:r w:rsidR="00ED43C0" w:rsidRPr="00644B47">
        <w:rPr>
          <w:rFonts w:ascii="Palatino Linotype" w:hAnsi="Palatino Linotype"/>
        </w:rPr>
        <w:t xml:space="preserve"> for each unit</w:t>
      </w:r>
      <w:r w:rsidR="0023755C" w:rsidRPr="00644B47">
        <w:rPr>
          <w:rFonts w:ascii="Palatino Linotype" w:hAnsi="Palatino Linotype"/>
        </w:rPr>
        <w:t xml:space="preserve">. </w:t>
      </w:r>
      <w:r w:rsidR="00042BE5" w:rsidRPr="00644B47">
        <w:rPr>
          <w:rFonts w:ascii="Palatino Linotype" w:hAnsi="Palatino Linotype"/>
        </w:rPr>
        <w:t>Note that this average would include both residential customers and larger commercial and industrial customers</w:t>
      </w:r>
      <w:r w:rsidR="00A958C2" w:rsidRPr="00644B47">
        <w:rPr>
          <w:rFonts w:ascii="Palatino Linotype" w:hAnsi="Palatino Linotype"/>
        </w:rPr>
        <w:t>, and individual costs may vary significantly</w:t>
      </w:r>
      <w:r w:rsidR="00042BE5" w:rsidRPr="00644B47">
        <w:rPr>
          <w:rFonts w:ascii="Palatino Linotype" w:hAnsi="Palatino Linotype"/>
        </w:rPr>
        <w:t xml:space="preserve">. </w:t>
      </w:r>
      <w:r w:rsidR="0023755C" w:rsidRPr="00644B47">
        <w:rPr>
          <w:rFonts w:ascii="Palatino Linotype" w:hAnsi="Palatino Linotype"/>
        </w:rPr>
        <w:t xml:space="preserve">See </w:t>
      </w:r>
      <w:r w:rsidR="00782C5F" w:rsidRPr="00644B47">
        <w:rPr>
          <w:rFonts w:ascii="Palatino Linotype" w:hAnsi="Palatino Linotype"/>
        </w:rPr>
        <w:t>PG&amp;E’s Motion to Revise 2025 and 2026 Energization Cost Caps, filed October 4, 2024 in R. 24-01-018.</w:t>
      </w:r>
    </w:p>
  </w:footnote>
  <w:footnote w:id="5">
    <w:p w14:paraId="60F2C5BC" w14:textId="7A46AB71" w:rsidR="00E33998" w:rsidRPr="00644B47" w:rsidRDefault="00E33998">
      <w:pPr>
        <w:pStyle w:val="FootnoteText"/>
        <w:rPr>
          <w:rFonts w:ascii="Palatino Linotype" w:hAnsi="Palatino Linotype"/>
        </w:rPr>
      </w:pPr>
      <w:r w:rsidRPr="00644B47">
        <w:rPr>
          <w:rStyle w:val="FootnoteReference"/>
          <w:rFonts w:ascii="Palatino Linotype" w:hAnsi="Palatino Linotype"/>
        </w:rPr>
        <w:footnoteRef/>
      </w:r>
      <w:r w:rsidRPr="00644B47">
        <w:rPr>
          <w:rFonts w:ascii="Palatino Linotype" w:hAnsi="Palatino Linotype"/>
        </w:rPr>
        <w:t xml:space="preserve"> </w:t>
      </w:r>
      <w:r w:rsidR="004567C9" w:rsidRPr="00644B47">
        <w:rPr>
          <w:rFonts w:ascii="Palatino Linotype" w:hAnsi="Palatino Linotype"/>
        </w:rPr>
        <w:t>See</w:t>
      </w:r>
      <w:r w:rsidRPr="00644B47">
        <w:rPr>
          <w:rFonts w:ascii="Palatino Linotype" w:hAnsi="Palatino Linotype"/>
        </w:rPr>
        <w:t xml:space="preserve"> PG&amp;E Supplemental Testimony </w:t>
      </w:r>
      <w:r w:rsidR="004567C9" w:rsidRPr="00644B47">
        <w:rPr>
          <w:rFonts w:ascii="Palatino Linotype" w:hAnsi="Palatino Linotype"/>
        </w:rPr>
        <w:t>Work Paper 1 in A. 24-11-007, submitted March 21, 2025, which assumes an 85% load factor for large loads.</w:t>
      </w:r>
    </w:p>
  </w:footnote>
  <w:footnote w:id="6">
    <w:p w14:paraId="28508BD2" w14:textId="5DA97A15" w:rsidR="00C33FF5" w:rsidRPr="00644B47" w:rsidRDefault="00C33FF5">
      <w:pPr>
        <w:pStyle w:val="FootnoteText"/>
        <w:rPr>
          <w:rFonts w:ascii="Palatino Linotype" w:hAnsi="Palatino Linotype"/>
        </w:rPr>
      </w:pPr>
      <w:r w:rsidRPr="00644B47">
        <w:rPr>
          <w:rStyle w:val="FootnoteReference"/>
          <w:rFonts w:ascii="Palatino Linotype" w:hAnsi="Palatino Linotype"/>
        </w:rPr>
        <w:footnoteRef/>
      </w:r>
      <w:r w:rsidRPr="00644B47">
        <w:rPr>
          <w:rFonts w:ascii="Palatino Linotype" w:hAnsi="Palatino Linotype"/>
        </w:rPr>
        <w:t xml:space="preserve"> </w:t>
      </w:r>
      <w:r w:rsidR="002275E7" w:rsidRPr="00644B47">
        <w:rPr>
          <w:rFonts w:ascii="Palatino Linotype" w:hAnsi="Palatino Linotype"/>
        </w:rPr>
        <w:t>For large load customers like STACK under the B</w:t>
      </w:r>
      <w:r w:rsidR="00EB567F" w:rsidRPr="00644B47">
        <w:rPr>
          <w:rFonts w:ascii="Palatino Linotype" w:hAnsi="Palatino Linotype"/>
        </w:rPr>
        <w:t>-20 tariff</w:t>
      </w:r>
      <w:r w:rsidR="00E24071" w:rsidRPr="00644B47">
        <w:rPr>
          <w:rFonts w:ascii="Palatino Linotype" w:hAnsi="Palatino Linotype"/>
        </w:rPr>
        <w:t xml:space="preserve">, </w:t>
      </w:r>
      <w:r w:rsidR="003D7A71" w:rsidRPr="00644B47">
        <w:rPr>
          <w:rFonts w:ascii="Palatino Linotype" w:hAnsi="Palatino Linotype"/>
        </w:rPr>
        <w:t>most</w:t>
      </w:r>
      <w:r w:rsidR="00645EA6" w:rsidRPr="00644B47">
        <w:rPr>
          <w:rFonts w:ascii="Palatino Linotype" w:hAnsi="Palatino Linotype"/>
        </w:rPr>
        <w:t xml:space="preserve"> net revenues would come from demand </w:t>
      </w:r>
      <w:r w:rsidR="003D7A71" w:rsidRPr="00644B47">
        <w:rPr>
          <w:rFonts w:ascii="Palatino Linotype" w:hAnsi="Palatino Linotype"/>
        </w:rPr>
        <w:t xml:space="preserve">rates </w:t>
      </w:r>
      <w:r w:rsidR="00645EA6" w:rsidRPr="00644B47">
        <w:rPr>
          <w:rFonts w:ascii="Palatino Linotype" w:hAnsi="Palatino Linotype"/>
        </w:rPr>
        <w:t xml:space="preserve">rather than energy </w:t>
      </w:r>
      <w:r w:rsidR="003D7A71" w:rsidRPr="00644B47">
        <w:rPr>
          <w:rFonts w:ascii="Palatino Linotype" w:hAnsi="Palatino Linotype"/>
        </w:rPr>
        <w:t>rates</w:t>
      </w:r>
      <w:r w:rsidR="00645EA6" w:rsidRPr="00644B47">
        <w:rPr>
          <w:rFonts w:ascii="Palatino Linotype" w:hAnsi="Palatino Linotype"/>
        </w:rPr>
        <w:t xml:space="preserve">. See </w:t>
      </w:r>
      <w:r w:rsidR="00326E32" w:rsidRPr="00644B47">
        <w:rPr>
          <w:rFonts w:ascii="Palatino Linotype" w:hAnsi="Palatino Linotype"/>
        </w:rPr>
        <w:t xml:space="preserve">Electric Schedule B-20, Sheets </w:t>
      </w:r>
      <w:r w:rsidR="003D7A71" w:rsidRPr="00644B47">
        <w:rPr>
          <w:rFonts w:ascii="Palatino Linotype" w:hAnsi="Palatino Linotype"/>
        </w:rPr>
        <w:t>5</w:t>
      </w:r>
      <w:r w:rsidR="00326E32" w:rsidRPr="00644B47">
        <w:rPr>
          <w:rFonts w:ascii="Palatino Linotype" w:hAnsi="Palatino Linotype"/>
        </w:rPr>
        <w:t>-6.</w:t>
      </w:r>
    </w:p>
  </w:footnote>
  <w:footnote w:id="7">
    <w:p w14:paraId="221EBC97" w14:textId="4371EC92" w:rsidR="0001646C" w:rsidRPr="00644B47" w:rsidRDefault="0001646C" w:rsidP="0001646C">
      <w:pPr>
        <w:pStyle w:val="FootnoteText"/>
        <w:rPr>
          <w:rFonts w:ascii="Palatino Linotype" w:hAnsi="Palatino Linotype"/>
        </w:rPr>
      </w:pPr>
      <w:r w:rsidRPr="00644B47">
        <w:rPr>
          <w:rStyle w:val="FootnoteReference"/>
          <w:rFonts w:ascii="Palatino Linotype" w:hAnsi="Palatino Linotype"/>
        </w:rPr>
        <w:footnoteRef/>
      </w:r>
      <w:r w:rsidRPr="00644B47">
        <w:rPr>
          <w:rFonts w:ascii="Palatino Linotype" w:hAnsi="Palatino Linotype"/>
        </w:rPr>
        <w:t xml:space="preserve"> See Advice Letter 7569-E at pg. 2 noting the “unique circumstances presented by this request,” at pg. 4 noting STACK’s energization “entails a substantial scope of work,” and at pg. 4 considering the potential inaccuracy of STACK’s load projections.</w:t>
      </w:r>
    </w:p>
  </w:footnote>
  <w:footnote w:id="8">
    <w:p w14:paraId="69379961" w14:textId="18C007B9" w:rsidR="001568A3" w:rsidRPr="00644B47" w:rsidRDefault="001568A3">
      <w:pPr>
        <w:pStyle w:val="FootnoteText"/>
        <w:rPr>
          <w:rFonts w:ascii="Palatino Linotype" w:hAnsi="Palatino Linotype"/>
        </w:rPr>
      </w:pPr>
      <w:r w:rsidRPr="00644B47">
        <w:rPr>
          <w:rStyle w:val="FootnoteReference"/>
          <w:rFonts w:ascii="Palatino Linotype" w:hAnsi="Palatino Linotype"/>
        </w:rPr>
        <w:footnoteRef/>
      </w:r>
      <w:r w:rsidRPr="00644B47">
        <w:rPr>
          <w:rFonts w:ascii="Palatino Linotype" w:hAnsi="Palatino Linotype"/>
        </w:rPr>
        <w:t xml:space="preserve"> See the tables </w:t>
      </w:r>
      <w:r w:rsidR="004D33D3" w:rsidRPr="00644B47">
        <w:rPr>
          <w:rFonts w:ascii="Palatino Linotype" w:hAnsi="Palatino Linotype"/>
        </w:rPr>
        <w:t xml:space="preserve">submitted in PG&amp;E Advice Letter </w:t>
      </w:r>
      <w:r w:rsidR="00541614" w:rsidRPr="00644B47">
        <w:rPr>
          <w:rFonts w:ascii="Palatino Linotype" w:hAnsi="Palatino Linotype"/>
        </w:rPr>
        <w:t>7516-E – specifically Appendix 1a, Page 4, column labeled “Revenue At Present.”</w:t>
      </w:r>
      <w:r w:rsidR="00F20A72" w:rsidRPr="00644B47">
        <w:rPr>
          <w:rFonts w:ascii="Palatino Linotype" w:hAnsi="Palatino Linotype"/>
        </w:rPr>
        <w:t xml:space="preserve"> Note that these </w:t>
      </w:r>
      <w:r w:rsidR="008350AA" w:rsidRPr="00644B47">
        <w:rPr>
          <w:rFonts w:ascii="Palatino Linotype" w:hAnsi="Palatino Linotype"/>
        </w:rPr>
        <w:t xml:space="preserve">tables reflect average revenues divided over total kWh sold, not </w:t>
      </w:r>
      <w:r w:rsidR="003C17F9" w:rsidRPr="00644B47">
        <w:rPr>
          <w:rFonts w:ascii="Palatino Linotype" w:hAnsi="Palatino Linotype"/>
        </w:rPr>
        <w:t>actual customer rates</w:t>
      </w:r>
      <w:r w:rsidR="008350AA" w:rsidRPr="00644B47">
        <w:rPr>
          <w:rFonts w:ascii="Palatino Linotype" w:hAnsi="Palatino Linotype"/>
        </w:rPr>
        <w:t xml:space="preserve">. </w:t>
      </w:r>
      <w:hyperlink r:id="rId1" w:history="1">
        <w:r w:rsidR="008350AA" w:rsidRPr="00644B47">
          <w:rPr>
            <w:rStyle w:val="Hyperlink"/>
            <w:rFonts w:ascii="Palatino Linotype" w:hAnsi="Palatino Linotype"/>
          </w:rPr>
          <w:t>https://www.pge.com/tariffs/assets/pdf/adviceletter/ELEC_7516-E.pdf</w:t>
        </w:r>
      </w:hyperlink>
    </w:p>
  </w:footnote>
  <w:footnote w:id="9">
    <w:p w14:paraId="47BDEB6E" w14:textId="32FB6E10" w:rsidR="00A35556" w:rsidRPr="00644B47" w:rsidRDefault="00A35556">
      <w:pPr>
        <w:pStyle w:val="FootnoteText"/>
        <w:rPr>
          <w:rFonts w:ascii="Palatino Linotype" w:hAnsi="Palatino Linotype"/>
        </w:rPr>
      </w:pPr>
      <w:r w:rsidRPr="00644B47">
        <w:rPr>
          <w:rStyle w:val="FootnoteReference"/>
          <w:rFonts w:ascii="Palatino Linotype" w:hAnsi="Palatino Linotype"/>
        </w:rPr>
        <w:footnoteRef/>
      </w:r>
      <w:r w:rsidRPr="00644B47">
        <w:rPr>
          <w:rFonts w:ascii="Palatino Linotype" w:hAnsi="Palatino Linotype"/>
        </w:rPr>
        <w:t xml:space="preserve"> </w:t>
      </w:r>
      <w:r w:rsidRPr="00644B47">
        <w:rPr>
          <w:rFonts w:ascii="Palatino Linotype" w:eastAsia="Aptos" w:hAnsi="Palatino Linotype" w:cs="Times New Roman"/>
        </w:rPr>
        <w:t>A residential customer, for reference, pays about 26.6 c/kWh according to the same table. However, residential and large load rates are not directly comparable as these customer types have significantly different utilization rates and tariffs, with residential customers having lower load factors.</w:t>
      </w:r>
    </w:p>
  </w:footnote>
  <w:footnote w:id="10">
    <w:p w14:paraId="5E8F6C4D" w14:textId="77777777" w:rsidR="00CB1A7A" w:rsidRPr="00644B47" w:rsidRDefault="00CB1A7A" w:rsidP="00CB1A7A">
      <w:pPr>
        <w:pStyle w:val="FootnoteText"/>
        <w:rPr>
          <w:rFonts w:ascii="Palatino Linotype" w:hAnsi="Palatino Linotype"/>
        </w:rPr>
      </w:pPr>
      <w:r w:rsidRPr="00644B47">
        <w:rPr>
          <w:rStyle w:val="FootnoteReference"/>
          <w:rFonts w:ascii="Palatino Linotype" w:hAnsi="Palatino Linotype"/>
        </w:rPr>
        <w:footnoteRef/>
      </w:r>
      <w:r w:rsidRPr="00644B47">
        <w:rPr>
          <w:rFonts w:ascii="Palatino Linotype" w:hAnsi="Palatino Linotype"/>
        </w:rPr>
        <w:t xml:space="preserve"> In the Rule 30 proceeding, A. 24-11-007, this type of broader transmission network upgrade is referred to as ‘Type 4’ Facilities.</w:t>
      </w:r>
    </w:p>
  </w:footnote>
  <w:footnote w:id="11">
    <w:p w14:paraId="469B7799" w14:textId="282B65CF" w:rsidR="00AD7447" w:rsidRPr="00644B47" w:rsidRDefault="00AD7447">
      <w:pPr>
        <w:pStyle w:val="FootnoteText"/>
        <w:rPr>
          <w:rFonts w:ascii="Palatino Linotype" w:hAnsi="Palatino Linotype"/>
        </w:rPr>
      </w:pPr>
      <w:r w:rsidRPr="00644B47">
        <w:rPr>
          <w:rStyle w:val="FootnoteReference"/>
          <w:rFonts w:ascii="Palatino Linotype" w:hAnsi="Palatino Linotype"/>
        </w:rPr>
        <w:footnoteRef/>
      </w:r>
      <w:r w:rsidRPr="00644B47">
        <w:rPr>
          <w:rFonts w:ascii="Palatino Linotype" w:hAnsi="Palatino Linotype"/>
        </w:rPr>
        <w:t xml:space="preserve"> </w:t>
      </w:r>
      <w:r w:rsidR="0047399A" w:rsidRPr="00644B47">
        <w:rPr>
          <w:rFonts w:ascii="Palatino Linotype" w:hAnsi="Palatino Linotype"/>
        </w:rPr>
        <w:t>Assuming these costs can be approximated at 2.5 percent of the total infrastructure costs, which can</w:t>
      </w:r>
      <w:r w:rsidRPr="00644B47">
        <w:rPr>
          <w:rFonts w:ascii="Palatino Linotype" w:hAnsi="Palatino Linotype"/>
        </w:rPr>
        <w:t xml:space="preserve"> be considered a conservative assumption. </w:t>
      </w:r>
      <w:r w:rsidR="00527FD3" w:rsidRPr="00644B47">
        <w:rPr>
          <w:rFonts w:ascii="Palatino Linotype" w:hAnsi="Palatino Linotype"/>
        </w:rPr>
        <w:t>According to Electric</w:t>
      </w:r>
      <w:r w:rsidRPr="00644B47">
        <w:rPr>
          <w:rFonts w:ascii="Palatino Linotype" w:hAnsi="Palatino Linotype"/>
        </w:rPr>
        <w:t xml:space="preserve"> Rule 2, </w:t>
      </w:r>
      <w:r w:rsidR="00527FD3" w:rsidRPr="00644B47">
        <w:rPr>
          <w:rFonts w:ascii="Palatino Linotype" w:hAnsi="Palatino Linotype"/>
        </w:rPr>
        <w:t xml:space="preserve">when </w:t>
      </w:r>
      <w:r w:rsidR="00917284" w:rsidRPr="00644B47">
        <w:rPr>
          <w:rFonts w:ascii="Palatino Linotype" w:hAnsi="Palatino Linotype"/>
        </w:rPr>
        <w:t>the utility builds</w:t>
      </w:r>
      <w:r w:rsidRPr="00644B47">
        <w:rPr>
          <w:rFonts w:ascii="Palatino Linotype" w:hAnsi="Palatino Linotype"/>
        </w:rPr>
        <w:t xml:space="preserve"> customer</w:t>
      </w:r>
      <w:r w:rsidR="00917284" w:rsidRPr="00644B47">
        <w:rPr>
          <w:rFonts w:ascii="Palatino Linotype" w:hAnsi="Palatino Linotype"/>
        </w:rPr>
        <w:t>-</w:t>
      </w:r>
      <w:r w:rsidRPr="00644B47">
        <w:rPr>
          <w:rFonts w:ascii="Palatino Linotype" w:hAnsi="Palatino Linotype"/>
        </w:rPr>
        <w:t xml:space="preserve">financed </w:t>
      </w:r>
      <w:r w:rsidR="00C37A88" w:rsidRPr="00644B47">
        <w:rPr>
          <w:rFonts w:ascii="Palatino Linotype" w:hAnsi="Palatino Linotype"/>
        </w:rPr>
        <w:t xml:space="preserve">transmission-level </w:t>
      </w:r>
      <w:r w:rsidRPr="00644B47">
        <w:rPr>
          <w:rFonts w:ascii="Palatino Linotype" w:hAnsi="Palatino Linotype"/>
        </w:rPr>
        <w:t xml:space="preserve">Special Facilities, PG&amp;E </w:t>
      </w:r>
      <w:r w:rsidR="00527FD3" w:rsidRPr="00644B47">
        <w:rPr>
          <w:rFonts w:ascii="Palatino Linotype" w:hAnsi="Palatino Linotype"/>
        </w:rPr>
        <w:t>collects</w:t>
      </w:r>
      <w:r w:rsidRPr="00644B47">
        <w:rPr>
          <w:rFonts w:ascii="Palatino Linotype" w:hAnsi="Palatino Linotype"/>
        </w:rPr>
        <w:t xml:space="preserve"> a yearly</w:t>
      </w:r>
      <w:r w:rsidR="00917284" w:rsidRPr="00644B47">
        <w:rPr>
          <w:rFonts w:ascii="Palatino Linotype" w:hAnsi="Palatino Linotype"/>
        </w:rPr>
        <w:t xml:space="preserve"> cost of ownership </w:t>
      </w:r>
      <w:r w:rsidR="00527FD3" w:rsidRPr="00644B47">
        <w:rPr>
          <w:rFonts w:ascii="Palatino Linotype" w:hAnsi="Palatino Linotype"/>
        </w:rPr>
        <w:t>charge equal to</w:t>
      </w:r>
      <w:r w:rsidR="00917284" w:rsidRPr="00644B47">
        <w:rPr>
          <w:rFonts w:ascii="Palatino Linotype" w:hAnsi="Palatino Linotype"/>
        </w:rPr>
        <w:t xml:space="preserve"> 3.72</w:t>
      </w:r>
      <w:r w:rsidR="0047399A" w:rsidRPr="00644B47">
        <w:rPr>
          <w:rFonts w:ascii="Palatino Linotype" w:hAnsi="Palatino Linotype"/>
        </w:rPr>
        <w:t xml:space="preserve"> percent </w:t>
      </w:r>
      <w:r w:rsidR="00917284" w:rsidRPr="00644B47">
        <w:rPr>
          <w:rFonts w:ascii="Palatino Linotype" w:hAnsi="Palatino Linotype"/>
        </w:rPr>
        <w:t xml:space="preserve">of the total </w:t>
      </w:r>
      <w:r w:rsidR="00C37A88" w:rsidRPr="00644B47">
        <w:rPr>
          <w:rFonts w:ascii="Palatino Linotype" w:hAnsi="Palatino Linotype"/>
        </w:rPr>
        <w:t xml:space="preserve">facility </w:t>
      </w:r>
      <w:r w:rsidR="00917284" w:rsidRPr="00644B47">
        <w:rPr>
          <w:rFonts w:ascii="Palatino Linotype" w:hAnsi="Palatino Linotype"/>
        </w:rPr>
        <w:t xml:space="preserve">cost </w:t>
      </w:r>
      <w:r w:rsidR="0047399A" w:rsidRPr="00644B47">
        <w:rPr>
          <w:rFonts w:ascii="Palatino Linotype" w:hAnsi="Palatino Linotype"/>
        </w:rPr>
        <w:t>in order to</w:t>
      </w:r>
      <w:r w:rsidR="00917284" w:rsidRPr="00644B47">
        <w:rPr>
          <w:rFonts w:ascii="Palatino Linotype" w:hAnsi="Palatino Linotype"/>
        </w:rPr>
        <w:t xml:space="preserve"> cover </w:t>
      </w:r>
      <w:r w:rsidR="0047399A" w:rsidRPr="00644B47">
        <w:rPr>
          <w:rFonts w:ascii="Palatino Linotype" w:hAnsi="Palatino Linotype"/>
        </w:rPr>
        <w:t xml:space="preserve">continuing </w:t>
      </w:r>
      <w:r w:rsidR="00917284" w:rsidRPr="00644B47">
        <w:rPr>
          <w:rFonts w:ascii="Palatino Linotype" w:hAnsi="Palatino Linotype"/>
        </w:rPr>
        <w:t>ownership expense</w:t>
      </w:r>
      <w:r w:rsidR="00527FD3" w:rsidRPr="00644B47">
        <w:rPr>
          <w:rFonts w:ascii="Palatino Linotype" w:hAnsi="Palatino Linotype"/>
        </w:rPr>
        <w:t>s</w:t>
      </w:r>
      <w:r w:rsidR="00C37A88" w:rsidRPr="00644B47">
        <w:rPr>
          <w:rFonts w:ascii="Palatino Linotype" w:hAnsi="Palatino Linotype"/>
        </w:rPr>
        <w:t>.</w:t>
      </w:r>
    </w:p>
  </w:footnote>
  <w:footnote w:id="12">
    <w:p w14:paraId="314D36F8" w14:textId="32687A67" w:rsidR="00357405" w:rsidRPr="00644B47" w:rsidRDefault="00357405">
      <w:pPr>
        <w:pStyle w:val="FootnoteText"/>
        <w:rPr>
          <w:rFonts w:ascii="Palatino Linotype" w:hAnsi="Palatino Linotype"/>
        </w:rPr>
      </w:pPr>
      <w:r w:rsidRPr="00644B47">
        <w:rPr>
          <w:rStyle w:val="FootnoteReference"/>
          <w:rFonts w:ascii="Palatino Linotype" w:hAnsi="Palatino Linotype"/>
        </w:rPr>
        <w:footnoteRef/>
      </w:r>
      <w:r w:rsidRPr="00644B47">
        <w:rPr>
          <w:rFonts w:ascii="Palatino Linotype" w:hAnsi="Palatino Linotype"/>
        </w:rPr>
        <w:t xml:space="preserve"> Cal Advocates Comments at p. 2.</w:t>
      </w:r>
    </w:p>
  </w:footnote>
  <w:footnote w:id="13">
    <w:p w14:paraId="1D555D41" w14:textId="7AFA3C66" w:rsidR="00357405" w:rsidRPr="00644B47" w:rsidRDefault="00357405">
      <w:pPr>
        <w:pStyle w:val="FootnoteText"/>
        <w:rPr>
          <w:rFonts w:ascii="Palatino Linotype" w:hAnsi="Palatino Linotype"/>
        </w:rPr>
      </w:pPr>
      <w:r w:rsidRPr="00644B47">
        <w:rPr>
          <w:rStyle w:val="FootnoteReference"/>
          <w:rFonts w:ascii="Palatino Linotype" w:hAnsi="Palatino Linotype"/>
        </w:rPr>
        <w:footnoteRef/>
      </w:r>
      <w:r w:rsidRPr="00644B47">
        <w:rPr>
          <w:rFonts w:ascii="Palatino Linotype" w:hAnsi="Palatino Linotype"/>
        </w:rPr>
        <w:t xml:space="preserve"> Cal Advocates Comments at p. 2.</w:t>
      </w:r>
    </w:p>
  </w:footnote>
  <w:footnote w:id="14">
    <w:p w14:paraId="5FA48657" w14:textId="441A0659" w:rsidR="00255155" w:rsidRPr="00644B47" w:rsidRDefault="00255155">
      <w:pPr>
        <w:pStyle w:val="FootnoteText"/>
        <w:rPr>
          <w:rFonts w:ascii="Palatino Linotype" w:hAnsi="Palatino Linotype"/>
        </w:rPr>
      </w:pPr>
      <w:r w:rsidRPr="00644B47">
        <w:rPr>
          <w:rStyle w:val="FootnoteReference"/>
          <w:rFonts w:ascii="Palatino Linotype" w:hAnsi="Palatino Linotype"/>
        </w:rPr>
        <w:footnoteRef/>
      </w:r>
      <w:r w:rsidRPr="00644B47">
        <w:rPr>
          <w:rFonts w:ascii="Palatino Linotype" w:hAnsi="Palatino Linotype"/>
        </w:rPr>
        <w:t xml:space="preserve"> Cal Advocates Comments at p. 4-5. Cal Advocates refers to the “BARC Threshold” in their comments, but we use the term “BARC Formula amount” to remain consistent with the discussion section above.</w:t>
      </w:r>
    </w:p>
  </w:footnote>
  <w:footnote w:id="15">
    <w:p w14:paraId="0FF10BF0" w14:textId="79A496EF" w:rsidR="00B41E79" w:rsidRPr="00644B47" w:rsidRDefault="00B41E79">
      <w:pPr>
        <w:pStyle w:val="FootnoteText"/>
        <w:rPr>
          <w:rFonts w:ascii="Palatino Linotype" w:hAnsi="Palatino Linotype"/>
        </w:rPr>
      </w:pPr>
      <w:r w:rsidRPr="00644B47">
        <w:rPr>
          <w:rStyle w:val="FootnoteReference"/>
          <w:rFonts w:ascii="Palatino Linotype" w:hAnsi="Palatino Linotype"/>
        </w:rPr>
        <w:footnoteRef/>
      </w:r>
      <w:r w:rsidRPr="00644B47">
        <w:rPr>
          <w:rFonts w:ascii="Palatino Linotype" w:hAnsi="Palatino Linotype"/>
        </w:rPr>
        <w:t xml:space="preserve"> Cal Advocates Comments at p. 5.</w:t>
      </w:r>
    </w:p>
  </w:footnote>
  <w:footnote w:id="16">
    <w:p w14:paraId="3BBDED94" w14:textId="2859D927" w:rsidR="00B41E79" w:rsidRPr="00644B47" w:rsidRDefault="00B41E79" w:rsidP="008C0F43">
      <w:pPr>
        <w:pStyle w:val="FootnoteText"/>
        <w:ind w:left="180" w:hanging="180"/>
        <w:rPr>
          <w:rFonts w:ascii="Palatino Linotype" w:hAnsi="Palatino Linotype"/>
        </w:rPr>
      </w:pPr>
      <w:r w:rsidRPr="00644B47">
        <w:rPr>
          <w:rStyle w:val="FootnoteReference"/>
          <w:rFonts w:ascii="Palatino Linotype" w:hAnsi="Palatino Linotype"/>
        </w:rPr>
        <w:footnoteRef/>
      </w:r>
      <w:r w:rsidRPr="00644B47">
        <w:rPr>
          <w:rFonts w:ascii="Palatino Linotype" w:hAnsi="Palatino Linotype"/>
        </w:rPr>
        <w:t xml:space="preserve"> CAISO, 2024-2025 Transmission Plan at p. 74. </w:t>
      </w:r>
      <w:r w:rsidRPr="00644B47">
        <w:rPr>
          <w:rFonts w:ascii="Palatino Linotype" w:hAnsi="Palatino Linotype"/>
          <w:i/>
          <w:iCs/>
        </w:rPr>
        <w:t>See</w:t>
      </w:r>
      <w:r w:rsidRPr="00644B47">
        <w:rPr>
          <w:rFonts w:ascii="Palatino Linotype" w:hAnsi="Palatino Linotype"/>
        </w:rPr>
        <w:t xml:space="preserve"> </w:t>
      </w:r>
      <w:hyperlink r:id="rId2" w:history="1">
        <w:r w:rsidR="008C0F43" w:rsidRPr="00F42F46">
          <w:rPr>
            <w:rStyle w:val="Hyperlink"/>
            <w:rFonts w:ascii="Palatino Linotype" w:hAnsi="Palatino Linotype"/>
          </w:rPr>
          <w:t>https://www.caiso.com/documents/iso-board-approved-2024-2025-transmission-plan.pdf</w:t>
        </w:r>
      </w:hyperlink>
      <w:r w:rsidR="008C0F43">
        <w:rPr>
          <w:rFonts w:ascii="Palatino Linotype" w:hAnsi="Palatino Linotype"/>
        </w:rPr>
        <w:t xml:space="preserve"> </w:t>
      </w:r>
    </w:p>
  </w:footnote>
  <w:footnote w:id="17">
    <w:p w14:paraId="7AD03E06" w14:textId="75914550" w:rsidR="00CB3EC0" w:rsidRPr="00644B47" w:rsidRDefault="00CB3EC0">
      <w:pPr>
        <w:pStyle w:val="FootnoteText"/>
        <w:rPr>
          <w:rFonts w:ascii="Palatino Linotype" w:hAnsi="Palatino Linotype"/>
        </w:rPr>
      </w:pPr>
      <w:r w:rsidRPr="00644B47">
        <w:rPr>
          <w:rStyle w:val="FootnoteReference"/>
          <w:rFonts w:ascii="Palatino Linotype" w:hAnsi="Palatino Linotype"/>
        </w:rPr>
        <w:footnoteRef/>
      </w:r>
      <w:r w:rsidRPr="00644B47">
        <w:rPr>
          <w:rFonts w:ascii="Palatino Linotype" w:hAnsi="Palatino Linotype"/>
        </w:rPr>
        <w:t xml:space="preserve"> CAISO, 2024-2025 Transmission Plan at p. 75.</w:t>
      </w:r>
    </w:p>
  </w:footnote>
  <w:footnote w:id="18">
    <w:p w14:paraId="000BA571" w14:textId="038FBC6E" w:rsidR="00CB3EC0" w:rsidRPr="00644B47" w:rsidRDefault="00CB3EC0">
      <w:pPr>
        <w:pStyle w:val="FootnoteText"/>
        <w:rPr>
          <w:rFonts w:ascii="Palatino Linotype" w:hAnsi="Palatino Linotype"/>
        </w:rPr>
      </w:pPr>
      <w:r w:rsidRPr="00644B47">
        <w:rPr>
          <w:rStyle w:val="FootnoteReference"/>
          <w:rFonts w:ascii="Palatino Linotype" w:hAnsi="Palatino Linotype"/>
        </w:rPr>
        <w:footnoteRef/>
      </w:r>
      <w:r w:rsidRPr="00644B47">
        <w:rPr>
          <w:rFonts w:ascii="Palatino Linotype" w:hAnsi="Palatino Linotype"/>
        </w:rPr>
        <w:t xml:space="preserve"> CAISO, 2024-2025 Transmission Plan at p. 69-72.</w:t>
      </w:r>
    </w:p>
  </w:footnote>
  <w:footnote w:id="19">
    <w:p w14:paraId="11F03714" w14:textId="4D9E1DDE" w:rsidR="00166F81" w:rsidRPr="00644B47" w:rsidRDefault="00166F81">
      <w:pPr>
        <w:pStyle w:val="FootnoteText"/>
        <w:rPr>
          <w:rFonts w:ascii="Palatino Linotype" w:hAnsi="Palatino Linotype"/>
        </w:rPr>
      </w:pPr>
      <w:r w:rsidRPr="00644B47">
        <w:rPr>
          <w:rStyle w:val="FootnoteReference"/>
          <w:rFonts w:ascii="Palatino Linotype" w:hAnsi="Palatino Linotype"/>
        </w:rPr>
        <w:footnoteRef/>
      </w:r>
      <w:r w:rsidRPr="00644B47">
        <w:rPr>
          <w:rFonts w:ascii="Palatino Linotype" w:hAnsi="Palatino Linotype"/>
        </w:rPr>
        <w:t xml:space="preserve"> PG&amp;E Advice Letter 7569-e at p. 2.</w:t>
      </w:r>
    </w:p>
  </w:footnote>
  <w:footnote w:id="20">
    <w:p w14:paraId="52548E46" w14:textId="411CC672" w:rsidR="007C3B39" w:rsidRPr="00644B47" w:rsidRDefault="007C3B39">
      <w:pPr>
        <w:pStyle w:val="FootnoteText"/>
        <w:rPr>
          <w:rFonts w:ascii="Palatino Linotype" w:hAnsi="Palatino Linotype"/>
        </w:rPr>
      </w:pPr>
      <w:r w:rsidRPr="00644B47">
        <w:rPr>
          <w:rStyle w:val="FootnoteReference"/>
          <w:rFonts w:ascii="Palatino Linotype" w:hAnsi="Palatino Linotype"/>
        </w:rPr>
        <w:footnoteRef/>
      </w:r>
      <w:r w:rsidRPr="00644B47">
        <w:rPr>
          <w:rFonts w:ascii="Palatino Linotype" w:hAnsi="Palatino Linotype"/>
        </w:rPr>
        <w:t xml:space="preserve"> PG&amp;E Comments at p. 5.</w:t>
      </w:r>
    </w:p>
  </w:footnote>
  <w:footnote w:id="21">
    <w:p w14:paraId="5A8D049F" w14:textId="3C9715BB" w:rsidR="00B33FAD" w:rsidRPr="00644B47" w:rsidRDefault="00B33FAD">
      <w:pPr>
        <w:pStyle w:val="FootnoteText"/>
        <w:rPr>
          <w:rFonts w:ascii="Palatino Linotype" w:hAnsi="Palatino Linotype"/>
        </w:rPr>
      </w:pPr>
      <w:r w:rsidRPr="00644B47">
        <w:rPr>
          <w:rStyle w:val="FootnoteReference"/>
          <w:rFonts w:ascii="Palatino Linotype" w:hAnsi="Palatino Linotype"/>
        </w:rPr>
        <w:footnoteRef/>
      </w:r>
      <w:r w:rsidRPr="00644B47">
        <w:rPr>
          <w:rFonts w:ascii="Palatino Linotype" w:hAnsi="Palatino Linotype"/>
        </w:rPr>
        <w:t xml:space="preserve"> </w:t>
      </w:r>
      <w:r w:rsidRPr="00644B47">
        <w:rPr>
          <w:rFonts w:ascii="Palatino Linotype" w:hAnsi="Palatino Linotype"/>
          <w:i/>
          <w:iCs/>
        </w:rPr>
        <w:t xml:space="preserve">See </w:t>
      </w:r>
      <w:r w:rsidRPr="00644B47">
        <w:rPr>
          <w:rFonts w:ascii="Palatino Linotype" w:hAnsi="Palatino Linotype"/>
        </w:rPr>
        <w:t>Electric Rule 15.E.4.</w:t>
      </w:r>
    </w:p>
  </w:footnote>
  <w:footnote w:id="22">
    <w:p w14:paraId="6EBD01C1" w14:textId="77777777" w:rsidR="00AC1753" w:rsidRPr="00644B47" w:rsidRDefault="00AC1753" w:rsidP="00AC1753">
      <w:pPr>
        <w:pStyle w:val="FootnoteText"/>
        <w:rPr>
          <w:rFonts w:ascii="Palatino Linotype" w:hAnsi="Palatino Linotype"/>
        </w:rPr>
      </w:pPr>
      <w:r w:rsidRPr="00644B47">
        <w:rPr>
          <w:rStyle w:val="FootnoteReference"/>
          <w:rFonts w:ascii="Palatino Linotype" w:hAnsi="Palatino Linotype"/>
        </w:rPr>
        <w:footnoteRef/>
      </w:r>
      <w:r w:rsidRPr="00644B47">
        <w:rPr>
          <w:rFonts w:ascii="Palatino Linotype" w:hAnsi="Palatino Linotype"/>
        </w:rPr>
        <w:t xml:space="preserve"> PG&amp;E Comments at p. 7.</w:t>
      </w:r>
    </w:p>
  </w:footnote>
  <w:footnote w:id="23">
    <w:p w14:paraId="50D428EE" w14:textId="33473CC3" w:rsidR="00FE4AB2" w:rsidRPr="00644B47" w:rsidRDefault="00FE4AB2">
      <w:pPr>
        <w:pStyle w:val="FootnoteText"/>
        <w:rPr>
          <w:rFonts w:ascii="Palatino Linotype" w:hAnsi="Palatino Linotype"/>
        </w:rPr>
      </w:pPr>
      <w:r w:rsidRPr="00644B47">
        <w:rPr>
          <w:rStyle w:val="FootnoteReference"/>
          <w:rFonts w:ascii="Palatino Linotype" w:hAnsi="Palatino Linotype"/>
        </w:rPr>
        <w:footnoteRef/>
      </w:r>
      <w:r w:rsidRPr="00644B47">
        <w:rPr>
          <w:rFonts w:ascii="Palatino Linotype" w:hAnsi="Palatino Linotype"/>
        </w:rPr>
        <w:t xml:space="preserve"> STACK Infrastructure Comments at p. 7.</w:t>
      </w:r>
    </w:p>
  </w:footnote>
  <w:footnote w:id="24">
    <w:p w14:paraId="0825F422" w14:textId="383C41D6" w:rsidR="007277C2" w:rsidRPr="00644B47" w:rsidRDefault="007277C2">
      <w:pPr>
        <w:pStyle w:val="FootnoteText"/>
        <w:rPr>
          <w:rFonts w:ascii="Palatino Linotype" w:hAnsi="Palatino Linotype"/>
        </w:rPr>
      </w:pPr>
      <w:r w:rsidRPr="00644B47">
        <w:rPr>
          <w:rStyle w:val="FootnoteReference"/>
          <w:rFonts w:ascii="Palatino Linotype" w:hAnsi="Palatino Linotype"/>
        </w:rPr>
        <w:footnoteRef/>
      </w:r>
      <w:r w:rsidRPr="00644B47">
        <w:rPr>
          <w:rFonts w:ascii="Palatino Linotype" w:hAnsi="Palatino Linotype"/>
        </w:rPr>
        <w:t xml:space="preserve"> In its comments, STACK Infrastructure itself notes that its data center is “fully leased through 2043,” and that nothing in the record suggests </w:t>
      </w:r>
      <w:r w:rsidR="00B508AC" w:rsidRPr="00644B47">
        <w:rPr>
          <w:rFonts w:ascii="Palatino Linotype" w:hAnsi="Palatino Linotype"/>
        </w:rPr>
        <w:t>anything other than it being immediately used and useful.</w:t>
      </w:r>
      <w:r w:rsidRPr="00644B47">
        <w:rPr>
          <w:rFonts w:ascii="Palatino Linotype" w:hAnsi="Palatino Linotype"/>
        </w:rPr>
        <w:t xml:space="preserve"> STACK Infrastructure Comments at p. 3</w:t>
      </w:r>
      <w:r w:rsidR="00B508AC" w:rsidRPr="00644B47">
        <w:rPr>
          <w:rFonts w:ascii="Palatino Linotype" w:hAnsi="Palatino Linotype"/>
        </w:rPr>
        <w:t xml:space="preserve"> and p. 10</w:t>
      </w:r>
      <w:r w:rsidRPr="00644B47">
        <w:rPr>
          <w:rFonts w:ascii="Palatino Linotype" w:hAnsi="Palatino Linotype"/>
        </w:rPr>
        <w:t>.</w:t>
      </w:r>
    </w:p>
  </w:footnote>
  <w:footnote w:id="25">
    <w:p w14:paraId="1928CEEB" w14:textId="04140418" w:rsidR="00B508AC" w:rsidRPr="00644B47" w:rsidRDefault="00B508AC">
      <w:pPr>
        <w:pStyle w:val="FootnoteText"/>
        <w:rPr>
          <w:rFonts w:ascii="Palatino Linotype" w:hAnsi="Palatino Linotype"/>
        </w:rPr>
      </w:pPr>
      <w:r w:rsidRPr="00644B47">
        <w:rPr>
          <w:rStyle w:val="FootnoteReference"/>
          <w:rFonts w:ascii="Palatino Linotype" w:hAnsi="Palatino Linotype"/>
        </w:rPr>
        <w:footnoteRef/>
      </w:r>
      <w:r w:rsidRPr="00644B47">
        <w:rPr>
          <w:rFonts w:ascii="Palatino Linotype" w:hAnsi="Palatino Linotype"/>
        </w:rPr>
        <w:t xml:space="preserve"> STACK Infrastructure </w:t>
      </w:r>
      <w:r w:rsidR="007C6986" w:rsidRPr="00644B47">
        <w:rPr>
          <w:rFonts w:ascii="Palatino Linotype" w:hAnsi="Palatino Linotype"/>
        </w:rPr>
        <w:t xml:space="preserve">Comments </w:t>
      </w:r>
      <w:r w:rsidRPr="00644B47">
        <w:rPr>
          <w:rFonts w:ascii="Palatino Linotype" w:hAnsi="Palatino Linotype"/>
        </w:rPr>
        <w:t>at p. 9.</w:t>
      </w:r>
    </w:p>
  </w:footnote>
  <w:footnote w:id="26">
    <w:p w14:paraId="7C690F03" w14:textId="08C53B4A" w:rsidR="00992D87" w:rsidRPr="00644B47" w:rsidRDefault="00992D87">
      <w:pPr>
        <w:pStyle w:val="FootnoteText"/>
        <w:rPr>
          <w:rFonts w:ascii="Palatino Linotype" w:hAnsi="Palatino Linotype"/>
        </w:rPr>
      </w:pPr>
      <w:r w:rsidRPr="00644B47">
        <w:rPr>
          <w:rStyle w:val="FootnoteReference"/>
          <w:rFonts w:ascii="Palatino Linotype" w:hAnsi="Palatino Linotype"/>
        </w:rPr>
        <w:footnoteRef/>
      </w:r>
      <w:r w:rsidRPr="00644B47">
        <w:rPr>
          <w:rFonts w:ascii="Palatino Linotype" w:hAnsi="Palatino Linotype"/>
        </w:rPr>
        <w:t xml:space="preserve"> PG&amp;E Comments at p. 4.</w:t>
      </w:r>
    </w:p>
  </w:footnote>
  <w:footnote w:id="27">
    <w:p w14:paraId="13195F66" w14:textId="0ED52EBC" w:rsidR="007C6986" w:rsidRPr="00644B47" w:rsidRDefault="007C6986">
      <w:pPr>
        <w:pStyle w:val="FootnoteText"/>
        <w:rPr>
          <w:rFonts w:ascii="Palatino Linotype" w:hAnsi="Palatino Linotype"/>
        </w:rPr>
      </w:pPr>
      <w:r w:rsidRPr="00644B47">
        <w:rPr>
          <w:rStyle w:val="FootnoteReference"/>
          <w:rFonts w:ascii="Palatino Linotype" w:hAnsi="Palatino Linotype"/>
        </w:rPr>
        <w:footnoteRef/>
      </w:r>
      <w:r w:rsidRPr="00644B47">
        <w:rPr>
          <w:rFonts w:ascii="Palatino Linotype" w:hAnsi="Palatino Linotype"/>
        </w:rPr>
        <w:t xml:space="preserve"> STACK Infrastructure Comments at p. 3 and p. 9.</w:t>
      </w:r>
    </w:p>
  </w:footnote>
  <w:footnote w:id="28">
    <w:p w14:paraId="53165A02" w14:textId="732C4596" w:rsidR="56284205" w:rsidRPr="00644B47" w:rsidRDefault="1DC5276F" w:rsidP="1DC5276F">
      <w:pPr>
        <w:pStyle w:val="FootnoteText"/>
        <w:rPr>
          <w:rFonts w:ascii="Palatino Linotype" w:hAnsi="Palatino Linotype"/>
        </w:rPr>
      </w:pPr>
      <w:r w:rsidRPr="00644B47">
        <w:rPr>
          <w:rStyle w:val="FootnoteReference"/>
          <w:rFonts w:ascii="Palatino Linotype" w:hAnsi="Palatino Linotype"/>
        </w:rPr>
        <w:footnoteRef/>
      </w:r>
      <w:r w:rsidR="00603B27" w:rsidRPr="00644B47">
        <w:rPr>
          <w:rFonts w:ascii="Palatino Linotype" w:hAnsi="Palatino Linotype"/>
        </w:rPr>
        <w:t xml:space="preserve"> We note that D.25-07-039, Ordering Paragraph 5 states : ”Agreements approved via the Tier 2 Advice Letter process during this interim period, pursuant to this decision, will remain unchanged for those specific contracts, even if Electric Rule 30 is later modified, excluding any future determinations of the deferred issues mentioned in Ordering Paragraph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39280" w14:textId="68AF12EB" w:rsidR="00A76F4A" w:rsidRDefault="007D1A04" w:rsidP="00CA3D13">
    <w:pPr>
      <w:pStyle w:val="Header"/>
      <w:tabs>
        <w:tab w:val="clear" w:pos="9360"/>
        <w:tab w:val="right" w:pos="9000"/>
      </w:tabs>
      <w:rPr>
        <w:rFonts w:ascii="Palatino Linotype" w:hAnsi="Palatino Linotype"/>
      </w:rPr>
    </w:pPr>
    <w:r>
      <w:rPr>
        <w:rFonts w:ascii="Palatino Linotype" w:hAnsi="Palatino Linotype"/>
      </w:rPr>
      <w:t>ED</w:t>
    </w:r>
    <w:r w:rsidR="008213BB">
      <w:rPr>
        <w:rFonts w:ascii="Palatino Linotype" w:hAnsi="Palatino Linotype"/>
      </w:rPr>
      <w:t xml:space="preserve">/Resolution </w:t>
    </w:r>
    <w:r w:rsidR="00241FA0">
      <w:rPr>
        <w:rFonts w:ascii="Palatino Linotype" w:hAnsi="Palatino Linotype"/>
      </w:rPr>
      <w:t>E-5420</w:t>
    </w:r>
    <w:r w:rsidR="004255F8">
      <w:tab/>
    </w:r>
    <w:r w:rsidR="004255F8">
      <w:tab/>
    </w:r>
    <w:r w:rsidR="00B003D8">
      <w:rPr>
        <w:rFonts w:ascii="Palatino Linotype" w:hAnsi="Palatino Linotype"/>
      </w:rPr>
      <w:t xml:space="preserve">October </w:t>
    </w:r>
    <w:r>
      <w:rPr>
        <w:rFonts w:ascii="Palatino Linotype" w:hAnsi="Palatino Linotype"/>
      </w:rPr>
      <w:t>30</w:t>
    </w:r>
    <w:r w:rsidR="00C336EA">
      <w:rPr>
        <w:rFonts w:ascii="Palatino Linotype" w:hAnsi="Palatino Linotype"/>
      </w:rPr>
      <w:t>, 2025</w:t>
    </w:r>
  </w:p>
  <w:p w14:paraId="537E339C" w14:textId="3D21D242" w:rsidR="007D1A04" w:rsidRDefault="007D1A04" w:rsidP="00CA3D13">
    <w:pPr>
      <w:pStyle w:val="Header"/>
      <w:rPr>
        <w:rFonts w:ascii="Palatino Linotype" w:hAnsi="Palatino Linotype"/>
      </w:rPr>
    </w:pPr>
    <w:r>
      <w:rPr>
        <w:rFonts w:ascii="Palatino Linotype" w:hAnsi="Palatino Linotype"/>
      </w:rPr>
      <w:t xml:space="preserve">PG&amp;E </w:t>
    </w:r>
    <w:r w:rsidR="008213BB">
      <w:rPr>
        <w:rFonts w:ascii="Palatino Linotype" w:hAnsi="Palatino Linotype"/>
      </w:rPr>
      <w:t>AL</w:t>
    </w:r>
    <w:r w:rsidR="00241FA0">
      <w:rPr>
        <w:rFonts w:ascii="Palatino Linotype" w:hAnsi="Palatino Linotype"/>
      </w:rPr>
      <w:t xml:space="preserve"> 7569-E</w:t>
    </w:r>
    <w:r w:rsidR="00565F65">
      <w:rPr>
        <w:rFonts w:ascii="Palatino Linotype" w:hAnsi="Palatino Linotype"/>
      </w:rPr>
      <w:t>/</w:t>
    </w:r>
    <w:r>
      <w:rPr>
        <w:rFonts w:ascii="Palatino Linotype" w:hAnsi="Palatino Linotype"/>
      </w:rPr>
      <w:t>TUT</w:t>
    </w:r>
  </w:p>
  <w:p w14:paraId="0537E996" w14:textId="77777777" w:rsidR="007D1A04" w:rsidRPr="002A1AD8" w:rsidRDefault="007D1A04" w:rsidP="00CA3D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21BBB" w14:textId="1E83F842" w:rsidR="00750E92" w:rsidRPr="00750E92" w:rsidRDefault="00580974" w:rsidP="00580974">
    <w:pPr>
      <w:pStyle w:val="Header"/>
      <w:rPr>
        <w:rFonts w:ascii="Palatino Linotype" w:hAnsi="Palatino Linotype"/>
      </w:rPr>
    </w:pPr>
    <w:r>
      <w:rPr>
        <w:rFonts w:ascii="Palatino Linotype" w:hAnsi="Palatino Linotype"/>
      </w:rPr>
      <w:tab/>
    </w:r>
    <w:r>
      <w:rPr>
        <w:rFonts w:ascii="Palatino Linotype" w:hAnsi="Palatino Linotype"/>
      </w:rPr>
      <w:tab/>
      <w:t>Date of Issuance: November 7, 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DB7819"/>
    <w:multiLevelType w:val="singleLevel"/>
    <w:tmpl w:val="0409000F"/>
    <w:lvl w:ilvl="0">
      <w:start w:val="1"/>
      <w:numFmt w:val="decimal"/>
      <w:lvlText w:val="%1."/>
      <w:lvlJc w:val="left"/>
      <w:pPr>
        <w:tabs>
          <w:tab w:val="num" w:pos="360"/>
        </w:tabs>
        <w:ind w:left="360" w:hanging="360"/>
      </w:pPr>
    </w:lvl>
  </w:abstractNum>
  <w:abstractNum w:abstractNumId="1" w15:restartNumberingAfterBreak="0">
    <w:nsid w:val="26F8414F"/>
    <w:multiLevelType w:val="hybridMultilevel"/>
    <w:tmpl w:val="250802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338A6A74"/>
    <w:multiLevelType w:val="multilevel"/>
    <w:tmpl w:val="5E0C89A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342B0C04"/>
    <w:multiLevelType w:val="multilevel"/>
    <w:tmpl w:val="700288A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425F7039"/>
    <w:multiLevelType w:val="multilevel"/>
    <w:tmpl w:val="F21A57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5E1792C"/>
    <w:multiLevelType w:val="hybridMultilevel"/>
    <w:tmpl w:val="E2880F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2FA16D3"/>
    <w:multiLevelType w:val="multilevel"/>
    <w:tmpl w:val="99F6E6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72565C7"/>
    <w:multiLevelType w:val="singleLevel"/>
    <w:tmpl w:val="B4D29030"/>
    <w:lvl w:ilvl="0">
      <w:start w:val="1"/>
      <w:numFmt w:val="decimal"/>
      <w:lvlText w:val="%1."/>
      <w:lvlJc w:val="left"/>
      <w:pPr>
        <w:tabs>
          <w:tab w:val="num" w:pos="420"/>
        </w:tabs>
        <w:ind w:left="420" w:hanging="420"/>
      </w:pPr>
      <w:rPr>
        <w:rFonts w:hint="default"/>
      </w:rPr>
    </w:lvl>
  </w:abstractNum>
  <w:abstractNum w:abstractNumId="8" w15:restartNumberingAfterBreak="0">
    <w:nsid w:val="5B3B32E4"/>
    <w:multiLevelType w:val="hybridMultilevel"/>
    <w:tmpl w:val="514AE7FA"/>
    <w:lvl w:ilvl="0" w:tplc="BCEE72C4">
      <w:start w:val="3232"/>
      <w:numFmt w:val="bullet"/>
      <w:lvlText w:val="•"/>
      <w:lvlJc w:val="left"/>
      <w:pPr>
        <w:ind w:left="720" w:hanging="360"/>
      </w:pPr>
      <w:rPr>
        <w:rFonts w:ascii="Palatino" w:eastAsia="Times New Roman" w:hAnsi="Palatino"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21B5FEB"/>
    <w:multiLevelType w:val="multilevel"/>
    <w:tmpl w:val="F94EC1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BB84711"/>
    <w:multiLevelType w:val="hybridMultilevel"/>
    <w:tmpl w:val="B294812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71C42DC2"/>
    <w:multiLevelType w:val="singleLevel"/>
    <w:tmpl w:val="5326712C"/>
    <w:name w:val="_Simple Numbered List"/>
    <w:lvl w:ilvl="0">
      <w:start w:val="1"/>
      <w:numFmt w:val="decimal"/>
      <w:pStyle w:val="SimpleNumberedList"/>
      <w:lvlText w:val="%1."/>
      <w:lvlJc w:val="left"/>
      <w:pPr>
        <w:tabs>
          <w:tab w:val="num" w:pos="720"/>
        </w:tabs>
        <w:ind w:left="720" w:hanging="720"/>
      </w:pPr>
      <w:rPr>
        <w:color w:val="auto"/>
      </w:rPr>
    </w:lvl>
  </w:abstractNum>
  <w:abstractNum w:abstractNumId="12" w15:restartNumberingAfterBreak="0">
    <w:nsid w:val="7A1D7D7A"/>
    <w:multiLevelType w:val="hybridMultilevel"/>
    <w:tmpl w:val="E1BEBA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44842790">
    <w:abstractNumId w:val="7"/>
  </w:num>
  <w:num w:numId="2" w16cid:durableId="1991593136">
    <w:abstractNumId w:val="0"/>
  </w:num>
  <w:num w:numId="3" w16cid:durableId="1754620235">
    <w:abstractNumId w:val="1"/>
  </w:num>
  <w:num w:numId="4" w16cid:durableId="969365539">
    <w:abstractNumId w:val="10"/>
  </w:num>
  <w:num w:numId="5" w16cid:durableId="468133998">
    <w:abstractNumId w:val="8"/>
  </w:num>
  <w:num w:numId="6" w16cid:durableId="426273653">
    <w:abstractNumId w:val="11"/>
  </w:num>
  <w:num w:numId="7" w16cid:durableId="1690835141">
    <w:abstractNumId w:val="4"/>
  </w:num>
  <w:num w:numId="8" w16cid:durableId="725371250">
    <w:abstractNumId w:val="9"/>
  </w:num>
  <w:num w:numId="9" w16cid:durableId="1077634468">
    <w:abstractNumId w:val="6"/>
  </w:num>
  <w:num w:numId="10" w16cid:durableId="34297420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150264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17824094">
    <w:abstractNumId w:val="5"/>
  </w:num>
  <w:num w:numId="13" w16cid:durableId="50458716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F4A"/>
    <w:rsid w:val="00000A89"/>
    <w:rsid w:val="00001611"/>
    <w:rsid w:val="000016FD"/>
    <w:rsid w:val="00001862"/>
    <w:rsid w:val="00001EC0"/>
    <w:rsid w:val="000021EC"/>
    <w:rsid w:val="000028B4"/>
    <w:rsid w:val="00002936"/>
    <w:rsid w:val="000030A1"/>
    <w:rsid w:val="000031BC"/>
    <w:rsid w:val="0000370B"/>
    <w:rsid w:val="0000378D"/>
    <w:rsid w:val="00003A1C"/>
    <w:rsid w:val="00003B12"/>
    <w:rsid w:val="00005A26"/>
    <w:rsid w:val="00005C6C"/>
    <w:rsid w:val="00006CBA"/>
    <w:rsid w:val="00006CEA"/>
    <w:rsid w:val="00007A15"/>
    <w:rsid w:val="00007C17"/>
    <w:rsid w:val="000103E0"/>
    <w:rsid w:val="0001079F"/>
    <w:rsid w:val="0001126D"/>
    <w:rsid w:val="00012071"/>
    <w:rsid w:val="00012CB5"/>
    <w:rsid w:val="000140FB"/>
    <w:rsid w:val="000142C9"/>
    <w:rsid w:val="0001462A"/>
    <w:rsid w:val="00015230"/>
    <w:rsid w:val="00015689"/>
    <w:rsid w:val="0001646C"/>
    <w:rsid w:val="000226FF"/>
    <w:rsid w:val="000229E4"/>
    <w:rsid w:val="000231FB"/>
    <w:rsid w:val="000235DD"/>
    <w:rsid w:val="00023AA2"/>
    <w:rsid w:val="00024D29"/>
    <w:rsid w:val="00025130"/>
    <w:rsid w:val="00025AC6"/>
    <w:rsid w:val="000261B2"/>
    <w:rsid w:val="000262D9"/>
    <w:rsid w:val="00030105"/>
    <w:rsid w:val="000312B9"/>
    <w:rsid w:val="00031778"/>
    <w:rsid w:val="00031FC3"/>
    <w:rsid w:val="000326E6"/>
    <w:rsid w:val="00033544"/>
    <w:rsid w:val="000337A4"/>
    <w:rsid w:val="000338D0"/>
    <w:rsid w:val="00033A12"/>
    <w:rsid w:val="00033AA6"/>
    <w:rsid w:val="00033C75"/>
    <w:rsid w:val="000347CE"/>
    <w:rsid w:val="000369E6"/>
    <w:rsid w:val="000375F1"/>
    <w:rsid w:val="00041145"/>
    <w:rsid w:val="000412F3"/>
    <w:rsid w:val="00041E7E"/>
    <w:rsid w:val="00042BE5"/>
    <w:rsid w:val="00043A27"/>
    <w:rsid w:val="00044898"/>
    <w:rsid w:val="00044AA5"/>
    <w:rsid w:val="00044DD9"/>
    <w:rsid w:val="00045B24"/>
    <w:rsid w:val="00046289"/>
    <w:rsid w:val="00046294"/>
    <w:rsid w:val="00046551"/>
    <w:rsid w:val="0004656B"/>
    <w:rsid w:val="00046853"/>
    <w:rsid w:val="0004714B"/>
    <w:rsid w:val="00047639"/>
    <w:rsid w:val="00047936"/>
    <w:rsid w:val="00047DC7"/>
    <w:rsid w:val="00047F75"/>
    <w:rsid w:val="00050042"/>
    <w:rsid w:val="00051AAB"/>
    <w:rsid w:val="00051DE3"/>
    <w:rsid w:val="00051F75"/>
    <w:rsid w:val="000532D1"/>
    <w:rsid w:val="00053430"/>
    <w:rsid w:val="00053FF5"/>
    <w:rsid w:val="00054D11"/>
    <w:rsid w:val="00054D98"/>
    <w:rsid w:val="000553A7"/>
    <w:rsid w:val="0005554E"/>
    <w:rsid w:val="000556E2"/>
    <w:rsid w:val="00055EFF"/>
    <w:rsid w:val="000568A0"/>
    <w:rsid w:val="000568C4"/>
    <w:rsid w:val="00056BB8"/>
    <w:rsid w:val="0005714D"/>
    <w:rsid w:val="000575F3"/>
    <w:rsid w:val="00057A5C"/>
    <w:rsid w:val="00057C73"/>
    <w:rsid w:val="00060774"/>
    <w:rsid w:val="00060C3C"/>
    <w:rsid w:val="00060D4D"/>
    <w:rsid w:val="0006193B"/>
    <w:rsid w:val="000619AD"/>
    <w:rsid w:val="000625CA"/>
    <w:rsid w:val="000625DB"/>
    <w:rsid w:val="00062906"/>
    <w:rsid w:val="000629FF"/>
    <w:rsid w:val="00062BAE"/>
    <w:rsid w:val="00063450"/>
    <w:rsid w:val="00064571"/>
    <w:rsid w:val="00064FB1"/>
    <w:rsid w:val="00065287"/>
    <w:rsid w:val="00065493"/>
    <w:rsid w:val="000664AE"/>
    <w:rsid w:val="00066CAB"/>
    <w:rsid w:val="00067376"/>
    <w:rsid w:val="00067C8D"/>
    <w:rsid w:val="00067CF6"/>
    <w:rsid w:val="0007033F"/>
    <w:rsid w:val="000708D7"/>
    <w:rsid w:val="000721DF"/>
    <w:rsid w:val="000722CA"/>
    <w:rsid w:val="00072630"/>
    <w:rsid w:val="00072668"/>
    <w:rsid w:val="000729DB"/>
    <w:rsid w:val="00072A0C"/>
    <w:rsid w:val="00072BA3"/>
    <w:rsid w:val="00072D9B"/>
    <w:rsid w:val="00074251"/>
    <w:rsid w:val="00074798"/>
    <w:rsid w:val="00075043"/>
    <w:rsid w:val="00076DB3"/>
    <w:rsid w:val="00077219"/>
    <w:rsid w:val="0008035B"/>
    <w:rsid w:val="000808C1"/>
    <w:rsid w:val="000812BC"/>
    <w:rsid w:val="000818AF"/>
    <w:rsid w:val="00081F07"/>
    <w:rsid w:val="00082903"/>
    <w:rsid w:val="000843F1"/>
    <w:rsid w:val="000848AD"/>
    <w:rsid w:val="00084948"/>
    <w:rsid w:val="00085192"/>
    <w:rsid w:val="000854B0"/>
    <w:rsid w:val="00085C29"/>
    <w:rsid w:val="00085C2A"/>
    <w:rsid w:val="00087407"/>
    <w:rsid w:val="000877D6"/>
    <w:rsid w:val="00090326"/>
    <w:rsid w:val="00090D18"/>
    <w:rsid w:val="000913F1"/>
    <w:rsid w:val="0009189C"/>
    <w:rsid w:val="00092BE6"/>
    <w:rsid w:val="00092FFF"/>
    <w:rsid w:val="00093450"/>
    <w:rsid w:val="00094762"/>
    <w:rsid w:val="00095502"/>
    <w:rsid w:val="00095A65"/>
    <w:rsid w:val="00095BF4"/>
    <w:rsid w:val="00096835"/>
    <w:rsid w:val="00096890"/>
    <w:rsid w:val="000973DD"/>
    <w:rsid w:val="0009744A"/>
    <w:rsid w:val="000975E1"/>
    <w:rsid w:val="000979A4"/>
    <w:rsid w:val="000A0622"/>
    <w:rsid w:val="000A0942"/>
    <w:rsid w:val="000A0CEE"/>
    <w:rsid w:val="000A0D2A"/>
    <w:rsid w:val="000A1C84"/>
    <w:rsid w:val="000A26A3"/>
    <w:rsid w:val="000A2E0F"/>
    <w:rsid w:val="000A2EC8"/>
    <w:rsid w:val="000A3212"/>
    <w:rsid w:val="000A3BA2"/>
    <w:rsid w:val="000A5AEF"/>
    <w:rsid w:val="000A5B1F"/>
    <w:rsid w:val="000A5C3E"/>
    <w:rsid w:val="000A5C8C"/>
    <w:rsid w:val="000A60D0"/>
    <w:rsid w:val="000A6AAB"/>
    <w:rsid w:val="000A6C61"/>
    <w:rsid w:val="000A735D"/>
    <w:rsid w:val="000A74A0"/>
    <w:rsid w:val="000A7C34"/>
    <w:rsid w:val="000B0C2E"/>
    <w:rsid w:val="000B0D05"/>
    <w:rsid w:val="000B144D"/>
    <w:rsid w:val="000B1777"/>
    <w:rsid w:val="000B1BE5"/>
    <w:rsid w:val="000B1D0D"/>
    <w:rsid w:val="000B1F4A"/>
    <w:rsid w:val="000B2372"/>
    <w:rsid w:val="000B38A1"/>
    <w:rsid w:val="000B4258"/>
    <w:rsid w:val="000B45BF"/>
    <w:rsid w:val="000B47D4"/>
    <w:rsid w:val="000B4D55"/>
    <w:rsid w:val="000B7185"/>
    <w:rsid w:val="000C0814"/>
    <w:rsid w:val="000C1E5C"/>
    <w:rsid w:val="000C2030"/>
    <w:rsid w:val="000C354D"/>
    <w:rsid w:val="000C3FC1"/>
    <w:rsid w:val="000C47AD"/>
    <w:rsid w:val="000C4C66"/>
    <w:rsid w:val="000C664E"/>
    <w:rsid w:val="000C6CB4"/>
    <w:rsid w:val="000C6D77"/>
    <w:rsid w:val="000C7B75"/>
    <w:rsid w:val="000D07A7"/>
    <w:rsid w:val="000D0B3B"/>
    <w:rsid w:val="000D157D"/>
    <w:rsid w:val="000D19C5"/>
    <w:rsid w:val="000D1C79"/>
    <w:rsid w:val="000D23D3"/>
    <w:rsid w:val="000D2492"/>
    <w:rsid w:val="000D2FF1"/>
    <w:rsid w:val="000D3CBA"/>
    <w:rsid w:val="000D3D94"/>
    <w:rsid w:val="000D3F66"/>
    <w:rsid w:val="000D44F8"/>
    <w:rsid w:val="000D51A6"/>
    <w:rsid w:val="000D5EFA"/>
    <w:rsid w:val="000D611E"/>
    <w:rsid w:val="000D66B3"/>
    <w:rsid w:val="000D6B70"/>
    <w:rsid w:val="000D6EAE"/>
    <w:rsid w:val="000D74D4"/>
    <w:rsid w:val="000E0217"/>
    <w:rsid w:val="000E02EC"/>
    <w:rsid w:val="000E0941"/>
    <w:rsid w:val="000E15E8"/>
    <w:rsid w:val="000E16CE"/>
    <w:rsid w:val="000E22A7"/>
    <w:rsid w:val="000E28DF"/>
    <w:rsid w:val="000E2B8B"/>
    <w:rsid w:val="000E3191"/>
    <w:rsid w:val="000E34B0"/>
    <w:rsid w:val="000E35D8"/>
    <w:rsid w:val="000E4700"/>
    <w:rsid w:val="000E4EB3"/>
    <w:rsid w:val="000E51F0"/>
    <w:rsid w:val="000E52F5"/>
    <w:rsid w:val="000E5425"/>
    <w:rsid w:val="000E5BA9"/>
    <w:rsid w:val="000E65EE"/>
    <w:rsid w:val="000E72A3"/>
    <w:rsid w:val="000E7435"/>
    <w:rsid w:val="000F0029"/>
    <w:rsid w:val="000F0A30"/>
    <w:rsid w:val="000F0CCF"/>
    <w:rsid w:val="000F0F7E"/>
    <w:rsid w:val="000F156C"/>
    <w:rsid w:val="000F2AFF"/>
    <w:rsid w:val="000F2DF3"/>
    <w:rsid w:val="000F2EF2"/>
    <w:rsid w:val="000F2F68"/>
    <w:rsid w:val="000F37D4"/>
    <w:rsid w:val="000F43DA"/>
    <w:rsid w:val="000F5D01"/>
    <w:rsid w:val="000F5FB1"/>
    <w:rsid w:val="000F64CE"/>
    <w:rsid w:val="000F707C"/>
    <w:rsid w:val="000F73EB"/>
    <w:rsid w:val="0010052A"/>
    <w:rsid w:val="00102327"/>
    <w:rsid w:val="001025D4"/>
    <w:rsid w:val="001027E6"/>
    <w:rsid w:val="00103152"/>
    <w:rsid w:val="00103C9B"/>
    <w:rsid w:val="001042FE"/>
    <w:rsid w:val="00104414"/>
    <w:rsid w:val="00104C4E"/>
    <w:rsid w:val="00104CC7"/>
    <w:rsid w:val="00104E59"/>
    <w:rsid w:val="001051AD"/>
    <w:rsid w:val="001062C4"/>
    <w:rsid w:val="00106871"/>
    <w:rsid w:val="00107940"/>
    <w:rsid w:val="00107AF1"/>
    <w:rsid w:val="001106C2"/>
    <w:rsid w:val="001108A3"/>
    <w:rsid w:val="00110A7B"/>
    <w:rsid w:val="00110D4C"/>
    <w:rsid w:val="00111049"/>
    <w:rsid w:val="001110B2"/>
    <w:rsid w:val="00112896"/>
    <w:rsid w:val="00113A3D"/>
    <w:rsid w:val="00114DE3"/>
    <w:rsid w:val="0011698A"/>
    <w:rsid w:val="0011760B"/>
    <w:rsid w:val="00117A5C"/>
    <w:rsid w:val="00120062"/>
    <w:rsid w:val="00120B2B"/>
    <w:rsid w:val="00121976"/>
    <w:rsid w:val="0012213E"/>
    <w:rsid w:val="00122F38"/>
    <w:rsid w:val="001234CC"/>
    <w:rsid w:val="00123D1A"/>
    <w:rsid w:val="00123F1C"/>
    <w:rsid w:val="001242C5"/>
    <w:rsid w:val="00124C8E"/>
    <w:rsid w:val="00124FCE"/>
    <w:rsid w:val="001274AE"/>
    <w:rsid w:val="00127559"/>
    <w:rsid w:val="0013019A"/>
    <w:rsid w:val="00130C05"/>
    <w:rsid w:val="00130E19"/>
    <w:rsid w:val="00130F81"/>
    <w:rsid w:val="00130FE3"/>
    <w:rsid w:val="001317EC"/>
    <w:rsid w:val="00131A8A"/>
    <w:rsid w:val="00132516"/>
    <w:rsid w:val="00132B74"/>
    <w:rsid w:val="00132DB0"/>
    <w:rsid w:val="00133131"/>
    <w:rsid w:val="00133716"/>
    <w:rsid w:val="001339BB"/>
    <w:rsid w:val="00135EF5"/>
    <w:rsid w:val="001373FD"/>
    <w:rsid w:val="00137438"/>
    <w:rsid w:val="00137B4D"/>
    <w:rsid w:val="0014017B"/>
    <w:rsid w:val="00140E20"/>
    <w:rsid w:val="0014264A"/>
    <w:rsid w:val="00143595"/>
    <w:rsid w:val="0014381D"/>
    <w:rsid w:val="00144001"/>
    <w:rsid w:val="00144E82"/>
    <w:rsid w:val="0014616A"/>
    <w:rsid w:val="00146963"/>
    <w:rsid w:val="00147880"/>
    <w:rsid w:val="00147AA3"/>
    <w:rsid w:val="00147F3F"/>
    <w:rsid w:val="00150BC7"/>
    <w:rsid w:val="00151F38"/>
    <w:rsid w:val="001523F3"/>
    <w:rsid w:val="00152F49"/>
    <w:rsid w:val="001543B9"/>
    <w:rsid w:val="00154554"/>
    <w:rsid w:val="0015480C"/>
    <w:rsid w:val="00154E4F"/>
    <w:rsid w:val="00155A29"/>
    <w:rsid w:val="00155BFA"/>
    <w:rsid w:val="001566E9"/>
    <w:rsid w:val="001568A3"/>
    <w:rsid w:val="00157339"/>
    <w:rsid w:val="001574B5"/>
    <w:rsid w:val="00160FB5"/>
    <w:rsid w:val="0016197B"/>
    <w:rsid w:val="00161ADA"/>
    <w:rsid w:val="001627A4"/>
    <w:rsid w:val="00162827"/>
    <w:rsid w:val="00163437"/>
    <w:rsid w:val="00163691"/>
    <w:rsid w:val="00163798"/>
    <w:rsid w:val="001637D3"/>
    <w:rsid w:val="00163D81"/>
    <w:rsid w:val="001642CA"/>
    <w:rsid w:val="00164473"/>
    <w:rsid w:val="00164F16"/>
    <w:rsid w:val="001661A8"/>
    <w:rsid w:val="00166543"/>
    <w:rsid w:val="001665B1"/>
    <w:rsid w:val="00166F81"/>
    <w:rsid w:val="00167C82"/>
    <w:rsid w:val="001707AB"/>
    <w:rsid w:val="00170A83"/>
    <w:rsid w:val="00170BBB"/>
    <w:rsid w:val="0017100B"/>
    <w:rsid w:val="0017152F"/>
    <w:rsid w:val="001725C8"/>
    <w:rsid w:val="00172C42"/>
    <w:rsid w:val="001730AF"/>
    <w:rsid w:val="001732DB"/>
    <w:rsid w:val="00173B0B"/>
    <w:rsid w:val="00173FA9"/>
    <w:rsid w:val="00174883"/>
    <w:rsid w:val="001748C5"/>
    <w:rsid w:val="00174A87"/>
    <w:rsid w:val="00174F8A"/>
    <w:rsid w:val="001763A5"/>
    <w:rsid w:val="0017672B"/>
    <w:rsid w:val="00176DBA"/>
    <w:rsid w:val="00176FA7"/>
    <w:rsid w:val="00177F40"/>
    <w:rsid w:val="001802A8"/>
    <w:rsid w:val="001803F7"/>
    <w:rsid w:val="0018053E"/>
    <w:rsid w:val="0018073C"/>
    <w:rsid w:val="001809AA"/>
    <w:rsid w:val="00180B3D"/>
    <w:rsid w:val="00180EB5"/>
    <w:rsid w:val="00181641"/>
    <w:rsid w:val="00182C68"/>
    <w:rsid w:val="00183BBD"/>
    <w:rsid w:val="00184A03"/>
    <w:rsid w:val="00187ECC"/>
    <w:rsid w:val="00190283"/>
    <w:rsid w:val="001909C1"/>
    <w:rsid w:val="00191292"/>
    <w:rsid w:val="00191963"/>
    <w:rsid w:val="00191E76"/>
    <w:rsid w:val="00191F5D"/>
    <w:rsid w:val="0019298B"/>
    <w:rsid w:val="00192B99"/>
    <w:rsid w:val="00192D6E"/>
    <w:rsid w:val="00193DAF"/>
    <w:rsid w:val="001942E5"/>
    <w:rsid w:val="0019580A"/>
    <w:rsid w:val="001962C0"/>
    <w:rsid w:val="00196F2C"/>
    <w:rsid w:val="001A0A06"/>
    <w:rsid w:val="001A0BB2"/>
    <w:rsid w:val="001A1BDC"/>
    <w:rsid w:val="001A1CE5"/>
    <w:rsid w:val="001A2125"/>
    <w:rsid w:val="001A27A6"/>
    <w:rsid w:val="001A3562"/>
    <w:rsid w:val="001A40C5"/>
    <w:rsid w:val="001A4CC6"/>
    <w:rsid w:val="001A5553"/>
    <w:rsid w:val="001A6E3B"/>
    <w:rsid w:val="001A7394"/>
    <w:rsid w:val="001A7689"/>
    <w:rsid w:val="001A78E7"/>
    <w:rsid w:val="001A7D66"/>
    <w:rsid w:val="001B0122"/>
    <w:rsid w:val="001B0F5B"/>
    <w:rsid w:val="001B11FB"/>
    <w:rsid w:val="001B1D01"/>
    <w:rsid w:val="001B2403"/>
    <w:rsid w:val="001B31E9"/>
    <w:rsid w:val="001B3646"/>
    <w:rsid w:val="001B3819"/>
    <w:rsid w:val="001B3986"/>
    <w:rsid w:val="001B546F"/>
    <w:rsid w:val="001B5700"/>
    <w:rsid w:val="001B5F8C"/>
    <w:rsid w:val="001B647E"/>
    <w:rsid w:val="001B7420"/>
    <w:rsid w:val="001B7422"/>
    <w:rsid w:val="001B79FA"/>
    <w:rsid w:val="001C03B4"/>
    <w:rsid w:val="001C073A"/>
    <w:rsid w:val="001C10FA"/>
    <w:rsid w:val="001C1626"/>
    <w:rsid w:val="001C4CF6"/>
    <w:rsid w:val="001C4E0F"/>
    <w:rsid w:val="001C51DF"/>
    <w:rsid w:val="001C57B6"/>
    <w:rsid w:val="001C5872"/>
    <w:rsid w:val="001C5D12"/>
    <w:rsid w:val="001C6A43"/>
    <w:rsid w:val="001C6B15"/>
    <w:rsid w:val="001C6E79"/>
    <w:rsid w:val="001C7001"/>
    <w:rsid w:val="001C7214"/>
    <w:rsid w:val="001D094C"/>
    <w:rsid w:val="001D164E"/>
    <w:rsid w:val="001D1D49"/>
    <w:rsid w:val="001D3984"/>
    <w:rsid w:val="001D44F8"/>
    <w:rsid w:val="001D4814"/>
    <w:rsid w:val="001D482F"/>
    <w:rsid w:val="001D495C"/>
    <w:rsid w:val="001D5123"/>
    <w:rsid w:val="001D53FF"/>
    <w:rsid w:val="001D596F"/>
    <w:rsid w:val="001D5B2B"/>
    <w:rsid w:val="001D5EE2"/>
    <w:rsid w:val="001D5F8C"/>
    <w:rsid w:val="001D7557"/>
    <w:rsid w:val="001E0D53"/>
    <w:rsid w:val="001E0F25"/>
    <w:rsid w:val="001E2464"/>
    <w:rsid w:val="001E2886"/>
    <w:rsid w:val="001E2FAF"/>
    <w:rsid w:val="001E36E1"/>
    <w:rsid w:val="001E3E54"/>
    <w:rsid w:val="001E458C"/>
    <w:rsid w:val="001E4FAA"/>
    <w:rsid w:val="001E5121"/>
    <w:rsid w:val="001E53F6"/>
    <w:rsid w:val="001E57ED"/>
    <w:rsid w:val="001E6116"/>
    <w:rsid w:val="001E615F"/>
    <w:rsid w:val="001E658D"/>
    <w:rsid w:val="001E6D4C"/>
    <w:rsid w:val="001E7A8E"/>
    <w:rsid w:val="001E7B0A"/>
    <w:rsid w:val="001E7EDD"/>
    <w:rsid w:val="001F0311"/>
    <w:rsid w:val="001F0949"/>
    <w:rsid w:val="001F0D82"/>
    <w:rsid w:val="001F0F21"/>
    <w:rsid w:val="001F11DB"/>
    <w:rsid w:val="001F171A"/>
    <w:rsid w:val="001F17A8"/>
    <w:rsid w:val="001F28EB"/>
    <w:rsid w:val="001F2D73"/>
    <w:rsid w:val="001F2E69"/>
    <w:rsid w:val="001F2FA9"/>
    <w:rsid w:val="001F3F99"/>
    <w:rsid w:val="001F42D0"/>
    <w:rsid w:val="001F53A7"/>
    <w:rsid w:val="001F565F"/>
    <w:rsid w:val="001F582F"/>
    <w:rsid w:val="001F6256"/>
    <w:rsid w:val="001F6490"/>
    <w:rsid w:val="001F6674"/>
    <w:rsid w:val="001F696D"/>
    <w:rsid w:val="001F720C"/>
    <w:rsid w:val="001F7485"/>
    <w:rsid w:val="001F7CDF"/>
    <w:rsid w:val="001F7D8D"/>
    <w:rsid w:val="002005EA"/>
    <w:rsid w:val="00200BBA"/>
    <w:rsid w:val="002014FD"/>
    <w:rsid w:val="002015EA"/>
    <w:rsid w:val="00201B24"/>
    <w:rsid w:val="00203009"/>
    <w:rsid w:val="002038C5"/>
    <w:rsid w:val="002040FD"/>
    <w:rsid w:val="002045FB"/>
    <w:rsid w:val="00204B1B"/>
    <w:rsid w:val="00204FF8"/>
    <w:rsid w:val="00205FA3"/>
    <w:rsid w:val="002060FB"/>
    <w:rsid w:val="002067E7"/>
    <w:rsid w:val="00207651"/>
    <w:rsid w:val="0020774B"/>
    <w:rsid w:val="0021091B"/>
    <w:rsid w:val="00210BAB"/>
    <w:rsid w:val="002113EE"/>
    <w:rsid w:val="002115EE"/>
    <w:rsid w:val="00211785"/>
    <w:rsid w:val="0021178A"/>
    <w:rsid w:val="002121EC"/>
    <w:rsid w:val="00213D18"/>
    <w:rsid w:val="00214523"/>
    <w:rsid w:val="00215F6C"/>
    <w:rsid w:val="00216AD5"/>
    <w:rsid w:val="00216D5C"/>
    <w:rsid w:val="00217A26"/>
    <w:rsid w:val="00221EA1"/>
    <w:rsid w:val="00222843"/>
    <w:rsid w:val="00222D24"/>
    <w:rsid w:val="00222F75"/>
    <w:rsid w:val="00223C97"/>
    <w:rsid w:val="00223D42"/>
    <w:rsid w:val="00224B09"/>
    <w:rsid w:val="00224D7B"/>
    <w:rsid w:val="00224D80"/>
    <w:rsid w:val="00225EE8"/>
    <w:rsid w:val="002265AC"/>
    <w:rsid w:val="002275E7"/>
    <w:rsid w:val="00230548"/>
    <w:rsid w:val="002305D2"/>
    <w:rsid w:val="00231430"/>
    <w:rsid w:val="00231D20"/>
    <w:rsid w:val="002322FF"/>
    <w:rsid w:val="0023231D"/>
    <w:rsid w:val="00232472"/>
    <w:rsid w:val="00232AEE"/>
    <w:rsid w:val="00233C3F"/>
    <w:rsid w:val="002340BD"/>
    <w:rsid w:val="00234109"/>
    <w:rsid w:val="00234E02"/>
    <w:rsid w:val="00235BA9"/>
    <w:rsid w:val="00235CA2"/>
    <w:rsid w:val="00236058"/>
    <w:rsid w:val="002368E6"/>
    <w:rsid w:val="002374FF"/>
    <w:rsid w:val="0023755C"/>
    <w:rsid w:val="00237F9C"/>
    <w:rsid w:val="002407BB"/>
    <w:rsid w:val="00241162"/>
    <w:rsid w:val="002414EB"/>
    <w:rsid w:val="00241618"/>
    <w:rsid w:val="00241810"/>
    <w:rsid w:val="00241FA0"/>
    <w:rsid w:val="00243264"/>
    <w:rsid w:val="00244120"/>
    <w:rsid w:val="0024445A"/>
    <w:rsid w:val="00244CE6"/>
    <w:rsid w:val="002452F4"/>
    <w:rsid w:val="00245560"/>
    <w:rsid w:val="0024560F"/>
    <w:rsid w:val="00245838"/>
    <w:rsid w:val="0024585C"/>
    <w:rsid w:val="00246474"/>
    <w:rsid w:val="00246AF4"/>
    <w:rsid w:val="00246EE1"/>
    <w:rsid w:val="00246FFD"/>
    <w:rsid w:val="0024717A"/>
    <w:rsid w:val="002473ED"/>
    <w:rsid w:val="00247927"/>
    <w:rsid w:val="00247A11"/>
    <w:rsid w:val="002509C8"/>
    <w:rsid w:val="00250F55"/>
    <w:rsid w:val="0025118E"/>
    <w:rsid w:val="00251307"/>
    <w:rsid w:val="002514A5"/>
    <w:rsid w:val="00251FEC"/>
    <w:rsid w:val="002525B4"/>
    <w:rsid w:val="00253185"/>
    <w:rsid w:val="002534EA"/>
    <w:rsid w:val="00253CE0"/>
    <w:rsid w:val="002544B8"/>
    <w:rsid w:val="002546EF"/>
    <w:rsid w:val="0025505C"/>
    <w:rsid w:val="00255061"/>
    <w:rsid w:val="00255155"/>
    <w:rsid w:val="0025660E"/>
    <w:rsid w:val="002568FE"/>
    <w:rsid w:val="0025780B"/>
    <w:rsid w:val="002579BD"/>
    <w:rsid w:val="00257D28"/>
    <w:rsid w:val="002602D2"/>
    <w:rsid w:val="002631F7"/>
    <w:rsid w:val="002636F5"/>
    <w:rsid w:val="0026452A"/>
    <w:rsid w:val="00265960"/>
    <w:rsid w:val="00265A1F"/>
    <w:rsid w:val="00265A3D"/>
    <w:rsid w:val="00266489"/>
    <w:rsid w:val="00266DA5"/>
    <w:rsid w:val="0026711F"/>
    <w:rsid w:val="00267785"/>
    <w:rsid w:val="0026799C"/>
    <w:rsid w:val="00267B32"/>
    <w:rsid w:val="00267D16"/>
    <w:rsid w:val="0027127D"/>
    <w:rsid w:val="00272058"/>
    <w:rsid w:val="0027252A"/>
    <w:rsid w:val="0027267C"/>
    <w:rsid w:val="002726D4"/>
    <w:rsid w:val="00272FEF"/>
    <w:rsid w:val="00273693"/>
    <w:rsid w:val="002736CA"/>
    <w:rsid w:val="00273737"/>
    <w:rsid w:val="00273947"/>
    <w:rsid w:val="00274C3D"/>
    <w:rsid w:val="002755D1"/>
    <w:rsid w:val="00275A1A"/>
    <w:rsid w:val="002768F1"/>
    <w:rsid w:val="00276C1E"/>
    <w:rsid w:val="00280141"/>
    <w:rsid w:val="00280427"/>
    <w:rsid w:val="00280E53"/>
    <w:rsid w:val="00280E65"/>
    <w:rsid w:val="00281397"/>
    <w:rsid w:val="00281DB4"/>
    <w:rsid w:val="002829B6"/>
    <w:rsid w:val="002833F0"/>
    <w:rsid w:val="00283415"/>
    <w:rsid w:val="00285109"/>
    <w:rsid w:val="00285CE3"/>
    <w:rsid w:val="00286F08"/>
    <w:rsid w:val="00286FB0"/>
    <w:rsid w:val="002877F2"/>
    <w:rsid w:val="0029005B"/>
    <w:rsid w:val="002905DC"/>
    <w:rsid w:val="00290B99"/>
    <w:rsid w:val="00290FB2"/>
    <w:rsid w:val="00291203"/>
    <w:rsid w:val="00291225"/>
    <w:rsid w:val="00291743"/>
    <w:rsid w:val="00292C07"/>
    <w:rsid w:val="002933AE"/>
    <w:rsid w:val="0029384E"/>
    <w:rsid w:val="0029387E"/>
    <w:rsid w:val="00293FC8"/>
    <w:rsid w:val="00294D31"/>
    <w:rsid w:val="0029505B"/>
    <w:rsid w:val="00295207"/>
    <w:rsid w:val="00295739"/>
    <w:rsid w:val="00295AFC"/>
    <w:rsid w:val="00296C27"/>
    <w:rsid w:val="00297DEF"/>
    <w:rsid w:val="00297F47"/>
    <w:rsid w:val="002A0137"/>
    <w:rsid w:val="002A0847"/>
    <w:rsid w:val="002A1D6A"/>
    <w:rsid w:val="002A21AA"/>
    <w:rsid w:val="002A24CA"/>
    <w:rsid w:val="002A2FDF"/>
    <w:rsid w:val="002A33E7"/>
    <w:rsid w:val="002A3927"/>
    <w:rsid w:val="002A45A4"/>
    <w:rsid w:val="002A46FA"/>
    <w:rsid w:val="002A6224"/>
    <w:rsid w:val="002A6501"/>
    <w:rsid w:val="002A69D2"/>
    <w:rsid w:val="002A6B4D"/>
    <w:rsid w:val="002A745C"/>
    <w:rsid w:val="002A7736"/>
    <w:rsid w:val="002A7FE3"/>
    <w:rsid w:val="002B0149"/>
    <w:rsid w:val="002B0752"/>
    <w:rsid w:val="002B117C"/>
    <w:rsid w:val="002B275A"/>
    <w:rsid w:val="002B4277"/>
    <w:rsid w:val="002B44C4"/>
    <w:rsid w:val="002B4AE8"/>
    <w:rsid w:val="002B4C3D"/>
    <w:rsid w:val="002B4F98"/>
    <w:rsid w:val="002B59FE"/>
    <w:rsid w:val="002B5D2E"/>
    <w:rsid w:val="002B67D9"/>
    <w:rsid w:val="002B77F5"/>
    <w:rsid w:val="002B7E04"/>
    <w:rsid w:val="002B7E82"/>
    <w:rsid w:val="002B7F43"/>
    <w:rsid w:val="002C0ECD"/>
    <w:rsid w:val="002C0FA5"/>
    <w:rsid w:val="002C204C"/>
    <w:rsid w:val="002C26AF"/>
    <w:rsid w:val="002C285B"/>
    <w:rsid w:val="002C30A0"/>
    <w:rsid w:val="002C3543"/>
    <w:rsid w:val="002C41CA"/>
    <w:rsid w:val="002C434B"/>
    <w:rsid w:val="002C48E8"/>
    <w:rsid w:val="002C4E55"/>
    <w:rsid w:val="002C5D98"/>
    <w:rsid w:val="002C5E06"/>
    <w:rsid w:val="002C6014"/>
    <w:rsid w:val="002C6C1A"/>
    <w:rsid w:val="002C6FC6"/>
    <w:rsid w:val="002C714B"/>
    <w:rsid w:val="002C7160"/>
    <w:rsid w:val="002C7781"/>
    <w:rsid w:val="002C7E3E"/>
    <w:rsid w:val="002D0734"/>
    <w:rsid w:val="002D0AD9"/>
    <w:rsid w:val="002D0EC5"/>
    <w:rsid w:val="002D15A9"/>
    <w:rsid w:val="002D1A2C"/>
    <w:rsid w:val="002D2131"/>
    <w:rsid w:val="002D224C"/>
    <w:rsid w:val="002D2453"/>
    <w:rsid w:val="002D25D1"/>
    <w:rsid w:val="002D299B"/>
    <w:rsid w:val="002D3A75"/>
    <w:rsid w:val="002D464F"/>
    <w:rsid w:val="002D46E8"/>
    <w:rsid w:val="002D579C"/>
    <w:rsid w:val="002D5DFB"/>
    <w:rsid w:val="002D6073"/>
    <w:rsid w:val="002D6D95"/>
    <w:rsid w:val="002D795B"/>
    <w:rsid w:val="002D7D85"/>
    <w:rsid w:val="002E0761"/>
    <w:rsid w:val="002E0976"/>
    <w:rsid w:val="002E0DF3"/>
    <w:rsid w:val="002E2343"/>
    <w:rsid w:val="002E2381"/>
    <w:rsid w:val="002E278C"/>
    <w:rsid w:val="002E41B7"/>
    <w:rsid w:val="002E4973"/>
    <w:rsid w:val="002E4F56"/>
    <w:rsid w:val="002E5205"/>
    <w:rsid w:val="002E5E29"/>
    <w:rsid w:val="002E6768"/>
    <w:rsid w:val="002E6DB8"/>
    <w:rsid w:val="002E71AE"/>
    <w:rsid w:val="002E7AC3"/>
    <w:rsid w:val="002F03E0"/>
    <w:rsid w:val="002F0DAD"/>
    <w:rsid w:val="002F1431"/>
    <w:rsid w:val="002F19DD"/>
    <w:rsid w:val="002F21D5"/>
    <w:rsid w:val="002F2DEC"/>
    <w:rsid w:val="002F37CB"/>
    <w:rsid w:val="002F442C"/>
    <w:rsid w:val="002F49C7"/>
    <w:rsid w:val="002F4A56"/>
    <w:rsid w:val="002F5E06"/>
    <w:rsid w:val="002F6E0C"/>
    <w:rsid w:val="002F6F04"/>
    <w:rsid w:val="002F6FF6"/>
    <w:rsid w:val="002F73C9"/>
    <w:rsid w:val="002F7EE8"/>
    <w:rsid w:val="00301A5B"/>
    <w:rsid w:val="00302D40"/>
    <w:rsid w:val="00302F08"/>
    <w:rsid w:val="00303297"/>
    <w:rsid w:val="003036B3"/>
    <w:rsid w:val="00303774"/>
    <w:rsid w:val="00305B63"/>
    <w:rsid w:val="00305FF7"/>
    <w:rsid w:val="0031000A"/>
    <w:rsid w:val="00310098"/>
    <w:rsid w:val="00310956"/>
    <w:rsid w:val="00310C5A"/>
    <w:rsid w:val="0031198B"/>
    <w:rsid w:val="00312087"/>
    <w:rsid w:val="0031267B"/>
    <w:rsid w:val="00312D38"/>
    <w:rsid w:val="00313210"/>
    <w:rsid w:val="00313CB0"/>
    <w:rsid w:val="003152DC"/>
    <w:rsid w:val="00315712"/>
    <w:rsid w:val="0031619A"/>
    <w:rsid w:val="00317ED1"/>
    <w:rsid w:val="00320767"/>
    <w:rsid w:val="00320943"/>
    <w:rsid w:val="00320E2A"/>
    <w:rsid w:val="0032182B"/>
    <w:rsid w:val="00321948"/>
    <w:rsid w:val="003221D9"/>
    <w:rsid w:val="003221EE"/>
    <w:rsid w:val="0032283B"/>
    <w:rsid w:val="003230DA"/>
    <w:rsid w:val="003231FD"/>
    <w:rsid w:val="00324AB6"/>
    <w:rsid w:val="00325BAF"/>
    <w:rsid w:val="003263A4"/>
    <w:rsid w:val="00326E32"/>
    <w:rsid w:val="00327A98"/>
    <w:rsid w:val="003303C7"/>
    <w:rsid w:val="00330662"/>
    <w:rsid w:val="003323B8"/>
    <w:rsid w:val="00332A11"/>
    <w:rsid w:val="00333887"/>
    <w:rsid w:val="003341C3"/>
    <w:rsid w:val="00334E00"/>
    <w:rsid w:val="00334F88"/>
    <w:rsid w:val="0033529F"/>
    <w:rsid w:val="00335448"/>
    <w:rsid w:val="003365B1"/>
    <w:rsid w:val="00336B73"/>
    <w:rsid w:val="00336E0A"/>
    <w:rsid w:val="003370F5"/>
    <w:rsid w:val="0033719C"/>
    <w:rsid w:val="00337476"/>
    <w:rsid w:val="00337B92"/>
    <w:rsid w:val="00337BD9"/>
    <w:rsid w:val="00340EA2"/>
    <w:rsid w:val="00341BDD"/>
    <w:rsid w:val="00342DAE"/>
    <w:rsid w:val="003438F1"/>
    <w:rsid w:val="00344BD0"/>
    <w:rsid w:val="00345031"/>
    <w:rsid w:val="00345354"/>
    <w:rsid w:val="00346177"/>
    <w:rsid w:val="00346B72"/>
    <w:rsid w:val="0034723B"/>
    <w:rsid w:val="0034740A"/>
    <w:rsid w:val="00347DC9"/>
    <w:rsid w:val="00350382"/>
    <w:rsid w:val="0035101B"/>
    <w:rsid w:val="003525A9"/>
    <w:rsid w:val="003525D8"/>
    <w:rsid w:val="00353F42"/>
    <w:rsid w:val="00354067"/>
    <w:rsid w:val="0035482C"/>
    <w:rsid w:val="00354830"/>
    <w:rsid w:val="00354930"/>
    <w:rsid w:val="003564A7"/>
    <w:rsid w:val="00356857"/>
    <w:rsid w:val="003569EB"/>
    <w:rsid w:val="00357405"/>
    <w:rsid w:val="00357453"/>
    <w:rsid w:val="00360157"/>
    <w:rsid w:val="00361B80"/>
    <w:rsid w:val="0036245B"/>
    <w:rsid w:val="00362DEE"/>
    <w:rsid w:val="00362FA6"/>
    <w:rsid w:val="00363442"/>
    <w:rsid w:val="0036345C"/>
    <w:rsid w:val="00363F4A"/>
    <w:rsid w:val="003641A6"/>
    <w:rsid w:val="00365084"/>
    <w:rsid w:val="003656C8"/>
    <w:rsid w:val="00365ED1"/>
    <w:rsid w:val="003674B2"/>
    <w:rsid w:val="00370C2A"/>
    <w:rsid w:val="00370CBE"/>
    <w:rsid w:val="0037147E"/>
    <w:rsid w:val="003717FC"/>
    <w:rsid w:val="00372A0E"/>
    <w:rsid w:val="00372E42"/>
    <w:rsid w:val="0037310F"/>
    <w:rsid w:val="0037364F"/>
    <w:rsid w:val="00373823"/>
    <w:rsid w:val="00373C88"/>
    <w:rsid w:val="00373CC1"/>
    <w:rsid w:val="00373E55"/>
    <w:rsid w:val="0037424C"/>
    <w:rsid w:val="00374D6F"/>
    <w:rsid w:val="00375485"/>
    <w:rsid w:val="0037678A"/>
    <w:rsid w:val="003768FE"/>
    <w:rsid w:val="003779BC"/>
    <w:rsid w:val="003804C5"/>
    <w:rsid w:val="00380664"/>
    <w:rsid w:val="003806F9"/>
    <w:rsid w:val="003815ED"/>
    <w:rsid w:val="00382349"/>
    <w:rsid w:val="003826D0"/>
    <w:rsid w:val="00382E69"/>
    <w:rsid w:val="0038361B"/>
    <w:rsid w:val="003848A8"/>
    <w:rsid w:val="00384F1B"/>
    <w:rsid w:val="00385038"/>
    <w:rsid w:val="00386B38"/>
    <w:rsid w:val="00386DF4"/>
    <w:rsid w:val="00387219"/>
    <w:rsid w:val="00387CAD"/>
    <w:rsid w:val="00390007"/>
    <w:rsid w:val="00390170"/>
    <w:rsid w:val="0039053D"/>
    <w:rsid w:val="00390E92"/>
    <w:rsid w:val="00391919"/>
    <w:rsid w:val="00391E6C"/>
    <w:rsid w:val="00391EBC"/>
    <w:rsid w:val="00392A94"/>
    <w:rsid w:val="0039369E"/>
    <w:rsid w:val="003939A2"/>
    <w:rsid w:val="003939D3"/>
    <w:rsid w:val="00394FBA"/>
    <w:rsid w:val="00395335"/>
    <w:rsid w:val="003953ED"/>
    <w:rsid w:val="003963EA"/>
    <w:rsid w:val="003964B2"/>
    <w:rsid w:val="00396EDA"/>
    <w:rsid w:val="003971C1"/>
    <w:rsid w:val="003976D0"/>
    <w:rsid w:val="00397CD7"/>
    <w:rsid w:val="003A0D0F"/>
    <w:rsid w:val="003A1858"/>
    <w:rsid w:val="003A196B"/>
    <w:rsid w:val="003A1D15"/>
    <w:rsid w:val="003A22BE"/>
    <w:rsid w:val="003A2707"/>
    <w:rsid w:val="003A3474"/>
    <w:rsid w:val="003A3936"/>
    <w:rsid w:val="003A411D"/>
    <w:rsid w:val="003A49F6"/>
    <w:rsid w:val="003A562B"/>
    <w:rsid w:val="003A5B2B"/>
    <w:rsid w:val="003A5B41"/>
    <w:rsid w:val="003A5D13"/>
    <w:rsid w:val="003B0154"/>
    <w:rsid w:val="003B05AC"/>
    <w:rsid w:val="003B07A2"/>
    <w:rsid w:val="003B0A51"/>
    <w:rsid w:val="003B0A70"/>
    <w:rsid w:val="003B0B1D"/>
    <w:rsid w:val="003B106F"/>
    <w:rsid w:val="003B1A30"/>
    <w:rsid w:val="003B1B0E"/>
    <w:rsid w:val="003B22AE"/>
    <w:rsid w:val="003B242A"/>
    <w:rsid w:val="003B295A"/>
    <w:rsid w:val="003B3084"/>
    <w:rsid w:val="003B3645"/>
    <w:rsid w:val="003B3B8C"/>
    <w:rsid w:val="003B433E"/>
    <w:rsid w:val="003B48A1"/>
    <w:rsid w:val="003B5364"/>
    <w:rsid w:val="003B5696"/>
    <w:rsid w:val="003B5E9D"/>
    <w:rsid w:val="003B6D26"/>
    <w:rsid w:val="003B7E76"/>
    <w:rsid w:val="003C01D0"/>
    <w:rsid w:val="003C03AC"/>
    <w:rsid w:val="003C111C"/>
    <w:rsid w:val="003C17F9"/>
    <w:rsid w:val="003C182D"/>
    <w:rsid w:val="003C1BC7"/>
    <w:rsid w:val="003C36A7"/>
    <w:rsid w:val="003C3A0D"/>
    <w:rsid w:val="003C3A17"/>
    <w:rsid w:val="003C3C7C"/>
    <w:rsid w:val="003C4048"/>
    <w:rsid w:val="003C442A"/>
    <w:rsid w:val="003C4D1C"/>
    <w:rsid w:val="003C5BC7"/>
    <w:rsid w:val="003C5CA0"/>
    <w:rsid w:val="003C6385"/>
    <w:rsid w:val="003C74F1"/>
    <w:rsid w:val="003C777F"/>
    <w:rsid w:val="003D082A"/>
    <w:rsid w:val="003D0B63"/>
    <w:rsid w:val="003D169B"/>
    <w:rsid w:val="003D16C0"/>
    <w:rsid w:val="003D18D0"/>
    <w:rsid w:val="003D1A26"/>
    <w:rsid w:val="003D1C16"/>
    <w:rsid w:val="003D21CB"/>
    <w:rsid w:val="003D274E"/>
    <w:rsid w:val="003D2774"/>
    <w:rsid w:val="003D321E"/>
    <w:rsid w:val="003D3316"/>
    <w:rsid w:val="003D4BD5"/>
    <w:rsid w:val="003D502E"/>
    <w:rsid w:val="003D5A1B"/>
    <w:rsid w:val="003D612C"/>
    <w:rsid w:val="003D670B"/>
    <w:rsid w:val="003D675C"/>
    <w:rsid w:val="003D6B3E"/>
    <w:rsid w:val="003D7A71"/>
    <w:rsid w:val="003D7C27"/>
    <w:rsid w:val="003D7E59"/>
    <w:rsid w:val="003D7EB1"/>
    <w:rsid w:val="003E017E"/>
    <w:rsid w:val="003E053B"/>
    <w:rsid w:val="003E0D5E"/>
    <w:rsid w:val="003E0EA8"/>
    <w:rsid w:val="003E1869"/>
    <w:rsid w:val="003E1EE1"/>
    <w:rsid w:val="003E2334"/>
    <w:rsid w:val="003E758C"/>
    <w:rsid w:val="003E787A"/>
    <w:rsid w:val="003E7F8F"/>
    <w:rsid w:val="003F003A"/>
    <w:rsid w:val="003F0525"/>
    <w:rsid w:val="003F0E05"/>
    <w:rsid w:val="003F12EE"/>
    <w:rsid w:val="003F1856"/>
    <w:rsid w:val="003F1FAE"/>
    <w:rsid w:val="003F29AD"/>
    <w:rsid w:val="003F3349"/>
    <w:rsid w:val="003F3CAA"/>
    <w:rsid w:val="003F41BD"/>
    <w:rsid w:val="003F41EB"/>
    <w:rsid w:val="003F60EA"/>
    <w:rsid w:val="003F7368"/>
    <w:rsid w:val="003F7769"/>
    <w:rsid w:val="003F78F6"/>
    <w:rsid w:val="00400788"/>
    <w:rsid w:val="00401E3F"/>
    <w:rsid w:val="00402ACA"/>
    <w:rsid w:val="00403242"/>
    <w:rsid w:val="00403664"/>
    <w:rsid w:val="00403757"/>
    <w:rsid w:val="00404AC8"/>
    <w:rsid w:val="00405344"/>
    <w:rsid w:val="0040633D"/>
    <w:rsid w:val="0040655E"/>
    <w:rsid w:val="004068C4"/>
    <w:rsid w:val="00407C75"/>
    <w:rsid w:val="0041066B"/>
    <w:rsid w:val="00410685"/>
    <w:rsid w:val="00410C62"/>
    <w:rsid w:val="004113DA"/>
    <w:rsid w:val="00411A33"/>
    <w:rsid w:val="00412652"/>
    <w:rsid w:val="0041284A"/>
    <w:rsid w:val="00413064"/>
    <w:rsid w:val="00414685"/>
    <w:rsid w:val="00414697"/>
    <w:rsid w:val="00414DA3"/>
    <w:rsid w:val="00415069"/>
    <w:rsid w:val="004153D1"/>
    <w:rsid w:val="004153DC"/>
    <w:rsid w:val="0041608B"/>
    <w:rsid w:val="00416266"/>
    <w:rsid w:val="004169B8"/>
    <w:rsid w:val="00416ACB"/>
    <w:rsid w:val="00420673"/>
    <w:rsid w:val="004218CA"/>
    <w:rsid w:val="00421D62"/>
    <w:rsid w:val="00422CFE"/>
    <w:rsid w:val="00422E86"/>
    <w:rsid w:val="00422F95"/>
    <w:rsid w:val="00423D27"/>
    <w:rsid w:val="00423FF4"/>
    <w:rsid w:val="00424130"/>
    <w:rsid w:val="00424244"/>
    <w:rsid w:val="004255F8"/>
    <w:rsid w:val="00425D01"/>
    <w:rsid w:val="00426420"/>
    <w:rsid w:val="004264FC"/>
    <w:rsid w:val="00426F25"/>
    <w:rsid w:val="00430334"/>
    <w:rsid w:val="00430917"/>
    <w:rsid w:val="004311E9"/>
    <w:rsid w:val="0043152B"/>
    <w:rsid w:val="004318D2"/>
    <w:rsid w:val="00431ED9"/>
    <w:rsid w:val="0043342C"/>
    <w:rsid w:val="00433656"/>
    <w:rsid w:val="00433BA9"/>
    <w:rsid w:val="00433C92"/>
    <w:rsid w:val="0043425F"/>
    <w:rsid w:val="004345D8"/>
    <w:rsid w:val="004346E4"/>
    <w:rsid w:val="00434767"/>
    <w:rsid w:val="0043524B"/>
    <w:rsid w:val="0043529D"/>
    <w:rsid w:val="00436063"/>
    <w:rsid w:val="00436A10"/>
    <w:rsid w:val="00437055"/>
    <w:rsid w:val="00437275"/>
    <w:rsid w:val="00437E49"/>
    <w:rsid w:val="004408B6"/>
    <w:rsid w:val="00440966"/>
    <w:rsid w:val="00441172"/>
    <w:rsid w:val="004418EB"/>
    <w:rsid w:val="00441C02"/>
    <w:rsid w:val="004422AC"/>
    <w:rsid w:val="004422BF"/>
    <w:rsid w:val="0044296E"/>
    <w:rsid w:val="0044313F"/>
    <w:rsid w:val="00443168"/>
    <w:rsid w:val="00443DA9"/>
    <w:rsid w:val="0044455E"/>
    <w:rsid w:val="004453A6"/>
    <w:rsid w:val="00445AA4"/>
    <w:rsid w:val="00446460"/>
    <w:rsid w:val="0044660F"/>
    <w:rsid w:val="00446667"/>
    <w:rsid w:val="0044680D"/>
    <w:rsid w:val="004479C2"/>
    <w:rsid w:val="00447F00"/>
    <w:rsid w:val="00450522"/>
    <w:rsid w:val="00451212"/>
    <w:rsid w:val="0045182D"/>
    <w:rsid w:val="00451917"/>
    <w:rsid w:val="00451D1A"/>
    <w:rsid w:val="00451DCD"/>
    <w:rsid w:val="004521D2"/>
    <w:rsid w:val="00452718"/>
    <w:rsid w:val="0045277D"/>
    <w:rsid w:val="00452909"/>
    <w:rsid w:val="004529A3"/>
    <w:rsid w:val="00452D60"/>
    <w:rsid w:val="004534B0"/>
    <w:rsid w:val="00453709"/>
    <w:rsid w:val="00453748"/>
    <w:rsid w:val="004538DE"/>
    <w:rsid w:val="00453B08"/>
    <w:rsid w:val="004544A7"/>
    <w:rsid w:val="0045512F"/>
    <w:rsid w:val="00455537"/>
    <w:rsid w:val="004556A9"/>
    <w:rsid w:val="004558A9"/>
    <w:rsid w:val="004567C9"/>
    <w:rsid w:val="00457107"/>
    <w:rsid w:val="00457B0B"/>
    <w:rsid w:val="00457F62"/>
    <w:rsid w:val="00460181"/>
    <w:rsid w:val="004607EF"/>
    <w:rsid w:val="00461935"/>
    <w:rsid w:val="00461A64"/>
    <w:rsid w:val="0046275D"/>
    <w:rsid w:val="00463112"/>
    <w:rsid w:val="0046395A"/>
    <w:rsid w:val="004646D8"/>
    <w:rsid w:val="0046485C"/>
    <w:rsid w:val="00465033"/>
    <w:rsid w:val="00465EAB"/>
    <w:rsid w:val="00466C0F"/>
    <w:rsid w:val="004679F9"/>
    <w:rsid w:val="00467BDE"/>
    <w:rsid w:val="00470E69"/>
    <w:rsid w:val="00471491"/>
    <w:rsid w:val="00471F88"/>
    <w:rsid w:val="00472200"/>
    <w:rsid w:val="0047221B"/>
    <w:rsid w:val="004728BF"/>
    <w:rsid w:val="004729A8"/>
    <w:rsid w:val="00473945"/>
    <w:rsid w:val="0047399A"/>
    <w:rsid w:val="004745CE"/>
    <w:rsid w:val="00474BB2"/>
    <w:rsid w:val="00474BFB"/>
    <w:rsid w:val="0047578E"/>
    <w:rsid w:val="00475945"/>
    <w:rsid w:val="00476638"/>
    <w:rsid w:val="00476B0C"/>
    <w:rsid w:val="0048000B"/>
    <w:rsid w:val="00480051"/>
    <w:rsid w:val="00480270"/>
    <w:rsid w:val="00481AE8"/>
    <w:rsid w:val="00482E90"/>
    <w:rsid w:val="00482F33"/>
    <w:rsid w:val="00483DB0"/>
    <w:rsid w:val="00485E28"/>
    <w:rsid w:val="00486EAD"/>
    <w:rsid w:val="00486F4A"/>
    <w:rsid w:val="004900FA"/>
    <w:rsid w:val="004905E7"/>
    <w:rsid w:val="00491C42"/>
    <w:rsid w:val="0049215F"/>
    <w:rsid w:val="00492844"/>
    <w:rsid w:val="00492E98"/>
    <w:rsid w:val="004939D9"/>
    <w:rsid w:val="00493ECA"/>
    <w:rsid w:val="00494461"/>
    <w:rsid w:val="004946D1"/>
    <w:rsid w:val="00495D2F"/>
    <w:rsid w:val="0049661F"/>
    <w:rsid w:val="00497362"/>
    <w:rsid w:val="00497963"/>
    <w:rsid w:val="004A11F2"/>
    <w:rsid w:val="004A1851"/>
    <w:rsid w:val="004A33C8"/>
    <w:rsid w:val="004A3F38"/>
    <w:rsid w:val="004A48F2"/>
    <w:rsid w:val="004A4992"/>
    <w:rsid w:val="004A4B7B"/>
    <w:rsid w:val="004A54CA"/>
    <w:rsid w:val="004A58ED"/>
    <w:rsid w:val="004A5B8A"/>
    <w:rsid w:val="004A5EA5"/>
    <w:rsid w:val="004A6592"/>
    <w:rsid w:val="004A7025"/>
    <w:rsid w:val="004A72BA"/>
    <w:rsid w:val="004A7A4C"/>
    <w:rsid w:val="004B047E"/>
    <w:rsid w:val="004B0877"/>
    <w:rsid w:val="004B10DD"/>
    <w:rsid w:val="004B16F9"/>
    <w:rsid w:val="004B2087"/>
    <w:rsid w:val="004B22FD"/>
    <w:rsid w:val="004B3908"/>
    <w:rsid w:val="004B3ECF"/>
    <w:rsid w:val="004B3FA0"/>
    <w:rsid w:val="004B4F9F"/>
    <w:rsid w:val="004B6142"/>
    <w:rsid w:val="004B63DD"/>
    <w:rsid w:val="004B659F"/>
    <w:rsid w:val="004B6D0E"/>
    <w:rsid w:val="004B6D3A"/>
    <w:rsid w:val="004B74E1"/>
    <w:rsid w:val="004C0BEB"/>
    <w:rsid w:val="004C1E6A"/>
    <w:rsid w:val="004C1F02"/>
    <w:rsid w:val="004C2AFE"/>
    <w:rsid w:val="004C2DCA"/>
    <w:rsid w:val="004C43A8"/>
    <w:rsid w:val="004C46E7"/>
    <w:rsid w:val="004C4F68"/>
    <w:rsid w:val="004C54E7"/>
    <w:rsid w:val="004C594F"/>
    <w:rsid w:val="004C5F9C"/>
    <w:rsid w:val="004C64BC"/>
    <w:rsid w:val="004C712A"/>
    <w:rsid w:val="004C72A0"/>
    <w:rsid w:val="004D00A9"/>
    <w:rsid w:val="004D027D"/>
    <w:rsid w:val="004D20A3"/>
    <w:rsid w:val="004D2233"/>
    <w:rsid w:val="004D2637"/>
    <w:rsid w:val="004D2CE9"/>
    <w:rsid w:val="004D33B7"/>
    <w:rsid w:val="004D33D3"/>
    <w:rsid w:val="004D36A5"/>
    <w:rsid w:val="004D373F"/>
    <w:rsid w:val="004D3FC5"/>
    <w:rsid w:val="004D437A"/>
    <w:rsid w:val="004D4DF1"/>
    <w:rsid w:val="004D5EEB"/>
    <w:rsid w:val="004D66EE"/>
    <w:rsid w:val="004D7EFB"/>
    <w:rsid w:val="004D7F89"/>
    <w:rsid w:val="004E0D02"/>
    <w:rsid w:val="004E19B9"/>
    <w:rsid w:val="004E2DA6"/>
    <w:rsid w:val="004E2E3C"/>
    <w:rsid w:val="004E31BA"/>
    <w:rsid w:val="004E3477"/>
    <w:rsid w:val="004E4851"/>
    <w:rsid w:val="004E4F6F"/>
    <w:rsid w:val="004E68F3"/>
    <w:rsid w:val="004E7406"/>
    <w:rsid w:val="004E74BA"/>
    <w:rsid w:val="004E7E34"/>
    <w:rsid w:val="004F0DC8"/>
    <w:rsid w:val="004F1258"/>
    <w:rsid w:val="004F1369"/>
    <w:rsid w:val="004F1393"/>
    <w:rsid w:val="004F1B07"/>
    <w:rsid w:val="004F1DF4"/>
    <w:rsid w:val="004F2300"/>
    <w:rsid w:val="004F2D6C"/>
    <w:rsid w:val="004F381F"/>
    <w:rsid w:val="004F3F69"/>
    <w:rsid w:val="004F5AE4"/>
    <w:rsid w:val="004F5CBE"/>
    <w:rsid w:val="00500343"/>
    <w:rsid w:val="005008B5"/>
    <w:rsid w:val="005016F0"/>
    <w:rsid w:val="005019A5"/>
    <w:rsid w:val="0050255D"/>
    <w:rsid w:val="00502612"/>
    <w:rsid w:val="00502877"/>
    <w:rsid w:val="00502899"/>
    <w:rsid w:val="00502914"/>
    <w:rsid w:val="00502CEE"/>
    <w:rsid w:val="00502D5E"/>
    <w:rsid w:val="00502E53"/>
    <w:rsid w:val="0050360A"/>
    <w:rsid w:val="00504B21"/>
    <w:rsid w:val="00504EE6"/>
    <w:rsid w:val="005051DC"/>
    <w:rsid w:val="00505440"/>
    <w:rsid w:val="00505D54"/>
    <w:rsid w:val="00505EEB"/>
    <w:rsid w:val="00507086"/>
    <w:rsid w:val="0050722A"/>
    <w:rsid w:val="005073B4"/>
    <w:rsid w:val="00507590"/>
    <w:rsid w:val="00507725"/>
    <w:rsid w:val="005100D8"/>
    <w:rsid w:val="0051051C"/>
    <w:rsid w:val="00510CE1"/>
    <w:rsid w:val="005114F5"/>
    <w:rsid w:val="005117E9"/>
    <w:rsid w:val="00511D15"/>
    <w:rsid w:val="00512592"/>
    <w:rsid w:val="005125B5"/>
    <w:rsid w:val="0051301F"/>
    <w:rsid w:val="005131BA"/>
    <w:rsid w:val="00513CC3"/>
    <w:rsid w:val="00513E50"/>
    <w:rsid w:val="00513F92"/>
    <w:rsid w:val="00514256"/>
    <w:rsid w:val="00514441"/>
    <w:rsid w:val="005144DB"/>
    <w:rsid w:val="00515A37"/>
    <w:rsid w:val="00515F53"/>
    <w:rsid w:val="00516104"/>
    <w:rsid w:val="0051726A"/>
    <w:rsid w:val="00517989"/>
    <w:rsid w:val="005211BB"/>
    <w:rsid w:val="00521834"/>
    <w:rsid w:val="00521B0D"/>
    <w:rsid w:val="00523605"/>
    <w:rsid w:val="00523F03"/>
    <w:rsid w:val="005244BA"/>
    <w:rsid w:val="005244EB"/>
    <w:rsid w:val="00524BE2"/>
    <w:rsid w:val="00525438"/>
    <w:rsid w:val="005259FB"/>
    <w:rsid w:val="0052646B"/>
    <w:rsid w:val="00526963"/>
    <w:rsid w:val="005269EB"/>
    <w:rsid w:val="00526E02"/>
    <w:rsid w:val="0052711D"/>
    <w:rsid w:val="00527FD3"/>
    <w:rsid w:val="00530185"/>
    <w:rsid w:val="0053066E"/>
    <w:rsid w:val="00532844"/>
    <w:rsid w:val="00532CD4"/>
    <w:rsid w:val="00533C29"/>
    <w:rsid w:val="005348BE"/>
    <w:rsid w:val="00534CC1"/>
    <w:rsid w:val="0053534F"/>
    <w:rsid w:val="005358D0"/>
    <w:rsid w:val="005364B8"/>
    <w:rsid w:val="005365AF"/>
    <w:rsid w:val="00536BBF"/>
    <w:rsid w:val="0053700F"/>
    <w:rsid w:val="0053706E"/>
    <w:rsid w:val="0053765C"/>
    <w:rsid w:val="00537892"/>
    <w:rsid w:val="00537EF2"/>
    <w:rsid w:val="005402B1"/>
    <w:rsid w:val="00540879"/>
    <w:rsid w:val="00540930"/>
    <w:rsid w:val="00540A33"/>
    <w:rsid w:val="005414CF"/>
    <w:rsid w:val="00541614"/>
    <w:rsid w:val="005429B0"/>
    <w:rsid w:val="005430F1"/>
    <w:rsid w:val="0054398C"/>
    <w:rsid w:val="00543D50"/>
    <w:rsid w:val="00544572"/>
    <w:rsid w:val="00544AC5"/>
    <w:rsid w:val="00544BC7"/>
    <w:rsid w:val="00544E32"/>
    <w:rsid w:val="00545647"/>
    <w:rsid w:val="00545AF6"/>
    <w:rsid w:val="00545FCD"/>
    <w:rsid w:val="00546CEB"/>
    <w:rsid w:val="00547195"/>
    <w:rsid w:val="00547F48"/>
    <w:rsid w:val="005500DC"/>
    <w:rsid w:val="00550F18"/>
    <w:rsid w:val="0055148C"/>
    <w:rsid w:val="00551D17"/>
    <w:rsid w:val="00552241"/>
    <w:rsid w:val="00552D93"/>
    <w:rsid w:val="00553B2D"/>
    <w:rsid w:val="00554527"/>
    <w:rsid w:val="00554E1D"/>
    <w:rsid w:val="00554F05"/>
    <w:rsid w:val="005550CE"/>
    <w:rsid w:val="005559B1"/>
    <w:rsid w:val="0055619F"/>
    <w:rsid w:val="00556A05"/>
    <w:rsid w:val="005578A2"/>
    <w:rsid w:val="005579BE"/>
    <w:rsid w:val="005600D0"/>
    <w:rsid w:val="005604CD"/>
    <w:rsid w:val="005618B6"/>
    <w:rsid w:val="0056221C"/>
    <w:rsid w:val="005623F0"/>
    <w:rsid w:val="00562E48"/>
    <w:rsid w:val="005633EE"/>
    <w:rsid w:val="005639B1"/>
    <w:rsid w:val="00563D5B"/>
    <w:rsid w:val="00563E51"/>
    <w:rsid w:val="0056409C"/>
    <w:rsid w:val="005641F9"/>
    <w:rsid w:val="005642DD"/>
    <w:rsid w:val="0056537E"/>
    <w:rsid w:val="0056570D"/>
    <w:rsid w:val="00565982"/>
    <w:rsid w:val="005659DC"/>
    <w:rsid w:val="00565F65"/>
    <w:rsid w:val="005665F8"/>
    <w:rsid w:val="0056715D"/>
    <w:rsid w:val="00570AAB"/>
    <w:rsid w:val="00571004"/>
    <w:rsid w:val="00571879"/>
    <w:rsid w:val="00573545"/>
    <w:rsid w:val="00573AC5"/>
    <w:rsid w:val="005741F3"/>
    <w:rsid w:val="00574607"/>
    <w:rsid w:val="005755BE"/>
    <w:rsid w:val="00576082"/>
    <w:rsid w:val="0057762F"/>
    <w:rsid w:val="00577645"/>
    <w:rsid w:val="00577A68"/>
    <w:rsid w:val="005803C0"/>
    <w:rsid w:val="00580974"/>
    <w:rsid w:val="00580CB6"/>
    <w:rsid w:val="00580EA3"/>
    <w:rsid w:val="00581BE0"/>
    <w:rsid w:val="005821BB"/>
    <w:rsid w:val="00582264"/>
    <w:rsid w:val="0058268B"/>
    <w:rsid w:val="005832C7"/>
    <w:rsid w:val="0058341C"/>
    <w:rsid w:val="00583AB9"/>
    <w:rsid w:val="00584CB5"/>
    <w:rsid w:val="00584D81"/>
    <w:rsid w:val="00585909"/>
    <w:rsid w:val="00585C8C"/>
    <w:rsid w:val="0058662E"/>
    <w:rsid w:val="00586CBE"/>
    <w:rsid w:val="0059050F"/>
    <w:rsid w:val="005907AF"/>
    <w:rsid w:val="00590DE6"/>
    <w:rsid w:val="005911E0"/>
    <w:rsid w:val="005916DE"/>
    <w:rsid w:val="00591B07"/>
    <w:rsid w:val="00592510"/>
    <w:rsid w:val="005925D9"/>
    <w:rsid w:val="0059289E"/>
    <w:rsid w:val="005934E3"/>
    <w:rsid w:val="00595272"/>
    <w:rsid w:val="005954B2"/>
    <w:rsid w:val="005966AB"/>
    <w:rsid w:val="00596DE8"/>
    <w:rsid w:val="00597496"/>
    <w:rsid w:val="00597A44"/>
    <w:rsid w:val="00597E65"/>
    <w:rsid w:val="005A00E3"/>
    <w:rsid w:val="005A0A03"/>
    <w:rsid w:val="005A178E"/>
    <w:rsid w:val="005A1A4A"/>
    <w:rsid w:val="005A2926"/>
    <w:rsid w:val="005A2945"/>
    <w:rsid w:val="005A31FA"/>
    <w:rsid w:val="005A32D5"/>
    <w:rsid w:val="005A36A7"/>
    <w:rsid w:val="005A3F85"/>
    <w:rsid w:val="005A5835"/>
    <w:rsid w:val="005A5987"/>
    <w:rsid w:val="005A5E9D"/>
    <w:rsid w:val="005A690E"/>
    <w:rsid w:val="005A7B87"/>
    <w:rsid w:val="005B0BAD"/>
    <w:rsid w:val="005B13BB"/>
    <w:rsid w:val="005B21DC"/>
    <w:rsid w:val="005B23F9"/>
    <w:rsid w:val="005B2452"/>
    <w:rsid w:val="005B25B9"/>
    <w:rsid w:val="005B2632"/>
    <w:rsid w:val="005B2937"/>
    <w:rsid w:val="005B30C3"/>
    <w:rsid w:val="005B3613"/>
    <w:rsid w:val="005B45EC"/>
    <w:rsid w:val="005B4B50"/>
    <w:rsid w:val="005B4B78"/>
    <w:rsid w:val="005B6928"/>
    <w:rsid w:val="005B764E"/>
    <w:rsid w:val="005C01C4"/>
    <w:rsid w:val="005C033A"/>
    <w:rsid w:val="005C072B"/>
    <w:rsid w:val="005C08F0"/>
    <w:rsid w:val="005C17E8"/>
    <w:rsid w:val="005C2720"/>
    <w:rsid w:val="005C32CE"/>
    <w:rsid w:val="005C378C"/>
    <w:rsid w:val="005C40EA"/>
    <w:rsid w:val="005C48CF"/>
    <w:rsid w:val="005C5118"/>
    <w:rsid w:val="005C5CF0"/>
    <w:rsid w:val="005C5F5E"/>
    <w:rsid w:val="005C647D"/>
    <w:rsid w:val="005C6512"/>
    <w:rsid w:val="005C6658"/>
    <w:rsid w:val="005C666B"/>
    <w:rsid w:val="005C7237"/>
    <w:rsid w:val="005C796B"/>
    <w:rsid w:val="005D0F15"/>
    <w:rsid w:val="005D121A"/>
    <w:rsid w:val="005D1899"/>
    <w:rsid w:val="005D2F28"/>
    <w:rsid w:val="005D3807"/>
    <w:rsid w:val="005D384F"/>
    <w:rsid w:val="005D3A4C"/>
    <w:rsid w:val="005D43DD"/>
    <w:rsid w:val="005D4A10"/>
    <w:rsid w:val="005D4A46"/>
    <w:rsid w:val="005D52B5"/>
    <w:rsid w:val="005D54D3"/>
    <w:rsid w:val="005D5855"/>
    <w:rsid w:val="005D6883"/>
    <w:rsid w:val="005D6EA5"/>
    <w:rsid w:val="005D7273"/>
    <w:rsid w:val="005D72F3"/>
    <w:rsid w:val="005D77E6"/>
    <w:rsid w:val="005D78A5"/>
    <w:rsid w:val="005D78C3"/>
    <w:rsid w:val="005E09A9"/>
    <w:rsid w:val="005E0B31"/>
    <w:rsid w:val="005E0BEE"/>
    <w:rsid w:val="005E1C03"/>
    <w:rsid w:val="005E2CF3"/>
    <w:rsid w:val="005E2E3D"/>
    <w:rsid w:val="005E4856"/>
    <w:rsid w:val="005E4CD7"/>
    <w:rsid w:val="005E4DAD"/>
    <w:rsid w:val="005E4ED0"/>
    <w:rsid w:val="005E65CA"/>
    <w:rsid w:val="005E6804"/>
    <w:rsid w:val="005E6861"/>
    <w:rsid w:val="005F0376"/>
    <w:rsid w:val="005F13D0"/>
    <w:rsid w:val="005F24FD"/>
    <w:rsid w:val="005F2DC1"/>
    <w:rsid w:val="005F320F"/>
    <w:rsid w:val="005F3B91"/>
    <w:rsid w:val="005F3D1F"/>
    <w:rsid w:val="005F43D3"/>
    <w:rsid w:val="005F49E7"/>
    <w:rsid w:val="005F4D8B"/>
    <w:rsid w:val="005F4E98"/>
    <w:rsid w:val="005F556B"/>
    <w:rsid w:val="005F5B2E"/>
    <w:rsid w:val="005F6356"/>
    <w:rsid w:val="0060001C"/>
    <w:rsid w:val="00600A16"/>
    <w:rsid w:val="00600A6B"/>
    <w:rsid w:val="006012D9"/>
    <w:rsid w:val="00601969"/>
    <w:rsid w:val="00602A12"/>
    <w:rsid w:val="00602FA2"/>
    <w:rsid w:val="00603B27"/>
    <w:rsid w:val="0060425F"/>
    <w:rsid w:val="0060458D"/>
    <w:rsid w:val="00604935"/>
    <w:rsid w:val="00604DC7"/>
    <w:rsid w:val="00604E5C"/>
    <w:rsid w:val="0060581C"/>
    <w:rsid w:val="00605C1E"/>
    <w:rsid w:val="006066DA"/>
    <w:rsid w:val="0060681D"/>
    <w:rsid w:val="00606AC1"/>
    <w:rsid w:val="00607878"/>
    <w:rsid w:val="00607C80"/>
    <w:rsid w:val="00607DB1"/>
    <w:rsid w:val="00611C90"/>
    <w:rsid w:val="00611FFE"/>
    <w:rsid w:val="006129D0"/>
    <w:rsid w:val="0061314B"/>
    <w:rsid w:val="006143B5"/>
    <w:rsid w:val="00615DEA"/>
    <w:rsid w:val="00615F28"/>
    <w:rsid w:val="00616205"/>
    <w:rsid w:val="006165DE"/>
    <w:rsid w:val="00616D3F"/>
    <w:rsid w:val="006172E8"/>
    <w:rsid w:val="0062068E"/>
    <w:rsid w:val="00620AEF"/>
    <w:rsid w:val="00620BE7"/>
    <w:rsid w:val="0062105B"/>
    <w:rsid w:val="00621BB7"/>
    <w:rsid w:val="00621D08"/>
    <w:rsid w:val="006222DF"/>
    <w:rsid w:val="00622656"/>
    <w:rsid w:val="00622758"/>
    <w:rsid w:val="00623215"/>
    <w:rsid w:val="0062449C"/>
    <w:rsid w:val="006252A3"/>
    <w:rsid w:val="00625352"/>
    <w:rsid w:val="00625722"/>
    <w:rsid w:val="0062718E"/>
    <w:rsid w:val="006275D6"/>
    <w:rsid w:val="006312CE"/>
    <w:rsid w:val="00631613"/>
    <w:rsid w:val="00631FAD"/>
    <w:rsid w:val="006322CC"/>
    <w:rsid w:val="00632890"/>
    <w:rsid w:val="0063339C"/>
    <w:rsid w:val="006334E1"/>
    <w:rsid w:val="0063489A"/>
    <w:rsid w:val="006348E3"/>
    <w:rsid w:val="006357EE"/>
    <w:rsid w:val="006363A3"/>
    <w:rsid w:val="00637405"/>
    <w:rsid w:val="00637417"/>
    <w:rsid w:val="00637869"/>
    <w:rsid w:val="00640EAD"/>
    <w:rsid w:val="006416B9"/>
    <w:rsid w:val="0064197B"/>
    <w:rsid w:val="00641D59"/>
    <w:rsid w:val="00641DE8"/>
    <w:rsid w:val="006435C2"/>
    <w:rsid w:val="006436BB"/>
    <w:rsid w:val="0064371B"/>
    <w:rsid w:val="00643ECA"/>
    <w:rsid w:val="00644B47"/>
    <w:rsid w:val="006450FC"/>
    <w:rsid w:val="00645C5C"/>
    <w:rsid w:val="00645EA6"/>
    <w:rsid w:val="00646242"/>
    <w:rsid w:val="00646BA2"/>
    <w:rsid w:val="006473A2"/>
    <w:rsid w:val="00647A5E"/>
    <w:rsid w:val="00650D74"/>
    <w:rsid w:val="0065104E"/>
    <w:rsid w:val="006534B0"/>
    <w:rsid w:val="00653626"/>
    <w:rsid w:val="006545CF"/>
    <w:rsid w:val="006545D7"/>
    <w:rsid w:val="00654C94"/>
    <w:rsid w:val="00654E4A"/>
    <w:rsid w:val="0065571F"/>
    <w:rsid w:val="00655780"/>
    <w:rsid w:val="00655DBF"/>
    <w:rsid w:val="006570B2"/>
    <w:rsid w:val="006604F5"/>
    <w:rsid w:val="0066086D"/>
    <w:rsid w:val="0066151F"/>
    <w:rsid w:val="00661CF3"/>
    <w:rsid w:val="0066255B"/>
    <w:rsid w:val="00662B73"/>
    <w:rsid w:val="0066319F"/>
    <w:rsid w:val="006638A9"/>
    <w:rsid w:val="00663F15"/>
    <w:rsid w:val="00665282"/>
    <w:rsid w:val="00665830"/>
    <w:rsid w:val="00666646"/>
    <w:rsid w:val="006667B4"/>
    <w:rsid w:val="00666A15"/>
    <w:rsid w:val="00666AC3"/>
    <w:rsid w:val="00667C69"/>
    <w:rsid w:val="0067013E"/>
    <w:rsid w:val="006705AC"/>
    <w:rsid w:val="00671315"/>
    <w:rsid w:val="00671FF5"/>
    <w:rsid w:val="00673376"/>
    <w:rsid w:val="0067488C"/>
    <w:rsid w:val="00675FA9"/>
    <w:rsid w:val="00675FD1"/>
    <w:rsid w:val="006761C4"/>
    <w:rsid w:val="00676532"/>
    <w:rsid w:val="00680301"/>
    <w:rsid w:val="006805A7"/>
    <w:rsid w:val="00680B4F"/>
    <w:rsid w:val="00680D51"/>
    <w:rsid w:val="00680F7F"/>
    <w:rsid w:val="006812A3"/>
    <w:rsid w:val="0068160C"/>
    <w:rsid w:val="00682EBE"/>
    <w:rsid w:val="00683001"/>
    <w:rsid w:val="006845E0"/>
    <w:rsid w:val="006865E8"/>
    <w:rsid w:val="00686766"/>
    <w:rsid w:val="00686CE1"/>
    <w:rsid w:val="00686CE6"/>
    <w:rsid w:val="00687260"/>
    <w:rsid w:val="00687835"/>
    <w:rsid w:val="00687938"/>
    <w:rsid w:val="00687AEE"/>
    <w:rsid w:val="00687B2D"/>
    <w:rsid w:val="00690546"/>
    <w:rsid w:val="006906CC"/>
    <w:rsid w:val="00690FB5"/>
    <w:rsid w:val="00691749"/>
    <w:rsid w:val="00691CEA"/>
    <w:rsid w:val="00692604"/>
    <w:rsid w:val="00692D55"/>
    <w:rsid w:val="0069408C"/>
    <w:rsid w:val="00694E2E"/>
    <w:rsid w:val="00694ED5"/>
    <w:rsid w:val="006952DE"/>
    <w:rsid w:val="0069542F"/>
    <w:rsid w:val="0069555C"/>
    <w:rsid w:val="00695D83"/>
    <w:rsid w:val="00696BD3"/>
    <w:rsid w:val="00697F78"/>
    <w:rsid w:val="006A0812"/>
    <w:rsid w:val="006A18ED"/>
    <w:rsid w:val="006A207C"/>
    <w:rsid w:val="006A3023"/>
    <w:rsid w:val="006A387D"/>
    <w:rsid w:val="006A3F48"/>
    <w:rsid w:val="006A4133"/>
    <w:rsid w:val="006A4653"/>
    <w:rsid w:val="006A4F18"/>
    <w:rsid w:val="006A53CF"/>
    <w:rsid w:val="006A5534"/>
    <w:rsid w:val="006A605F"/>
    <w:rsid w:val="006A64A4"/>
    <w:rsid w:val="006A64B5"/>
    <w:rsid w:val="006A6E8E"/>
    <w:rsid w:val="006A7BD1"/>
    <w:rsid w:val="006A7F9A"/>
    <w:rsid w:val="006A83D6"/>
    <w:rsid w:val="006B042B"/>
    <w:rsid w:val="006B09F9"/>
    <w:rsid w:val="006B0E1F"/>
    <w:rsid w:val="006B1884"/>
    <w:rsid w:val="006B21F7"/>
    <w:rsid w:val="006B2D1E"/>
    <w:rsid w:val="006B395A"/>
    <w:rsid w:val="006B4EFB"/>
    <w:rsid w:val="006B5162"/>
    <w:rsid w:val="006B5A47"/>
    <w:rsid w:val="006B5A6F"/>
    <w:rsid w:val="006B5EB7"/>
    <w:rsid w:val="006B7805"/>
    <w:rsid w:val="006C0BFE"/>
    <w:rsid w:val="006C275F"/>
    <w:rsid w:val="006C2FFB"/>
    <w:rsid w:val="006C34C0"/>
    <w:rsid w:val="006C37FD"/>
    <w:rsid w:val="006C3984"/>
    <w:rsid w:val="006C4065"/>
    <w:rsid w:val="006C4D8F"/>
    <w:rsid w:val="006C4E0B"/>
    <w:rsid w:val="006C534D"/>
    <w:rsid w:val="006C57E4"/>
    <w:rsid w:val="006C632F"/>
    <w:rsid w:val="006C6722"/>
    <w:rsid w:val="006C6827"/>
    <w:rsid w:val="006C736F"/>
    <w:rsid w:val="006D03DA"/>
    <w:rsid w:val="006D040D"/>
    <w:rsid w:val="006D044D"/>
    <w:rsid w:val="006D09D4"/>
    <w:rsid w:val="006D0DDE"/>
    <w:rsid w:val="006D1137"/>
    <w:rsid w:val="006D176F"/>
    <w:rsid w:val="006D1C2F"/>
    <w:rsid w:val="006D3F48"/>
    <w:rsid w:val="006D4821"/>
    <w:rsid w:val="006D4ECD"/>
    <w:rsid w:val="006D51A0"/>
    <w:rsid w:val="006D578B"/>
    <w:rsid w:val="006D5F66"/>
    <w:rsid w:val="006D5FA5"/>
    <w:rsid w:val="006D641F"/>
    <w:rsid w:val="006D7B67"/>
    <w:rsid w:val="006D7C75"/>
    <w:rsid w:val="006E013D"/>
    <w:rsid w:val="006E0486"/>
    <w:rsid w:val="006E05B9"/>
    <w:rsid w:val="006E0CB6"/>
    <w:rsid w:val="006E0DF9"/>
    <w:rsid w:val="006E21DD"/>
    <w:rsid w:val="006E2C67"/>
    <w:rsid w:val="006E2CDB"/>
    <w:rsid w:val="006E46E2"/>
    <w:rsid w:val="006E4FAA"/>
    <w:rsid w:val="006E4FBE"/>
    <w:rsid w:val="006E53F1"/>
    <w:rsid w:val="006E66EF"/>
    <w:rsid w:val="006E69ED"/>
    <w:rsid w:val="006E6BC5"/>
    <w:rsid w:val="006E715A"/>
    <w:rsid w:val="006E7E5A"/>
    <w:rsid w:val="006F0326"/>
    <w:rsid w:val="006F058F"/>
    <w:rsid w:val="006F0A48"/>
    <w:rsid w:val="006F1245"/>
    <w:rsid w:val="006F1CF4"/>
    <w:rsid w:val="006F2288"/>
    <w:rsid w:val="006F25D6"/>
    <w:rsid w:val="006F2956"/>
    <w:rsid w:val="006F2F7D"/>
    <w:rsid w:val="006F3316"/>
    <w:rsid w:val="006F5207"/>
    <w:rsid w:val="006F5DAD"/>
    <w:rsid w:val="006F6E28"/>
    <w:rsid w:val="006F78F0"/>
    <w:rsid w:val="006F7ABE"/>
    <w:rsid w:val="006F7BF5"/>
    <w:rsid w:val="0070002D"/>
    <w:rsid w:val="0070104A"/>
    <w:rsid w:val="007011AC"/>
    <w:rsid w:val="0070176A"/>
    <w:rsid w:val="00701824"/>
    <w:rsid w:val="00703F9B"/>
    <w:rsid w:val="0070547D"/>
    <w:rsid w:val="007058E7"/>
    <w:rsid w:val="00705C71"/>
    <w:rsid w:val="00706760"/>
    <w:rsid w:val="007069CB"/>
    <w:rsid w:val="00707C40"/>
    <w:rsid w:val="007106E4"/>
    <w:rsid w:val="00711259"/>
    <w:rsid w:val="00711ED5"/>
    <w:rsid w:val="00712158"/>
    <w:rsid w:val="007123EC"/>
    <w:rsid w:val="00712CD7"/>
    <w:rsid w:val="00712D6F"/>
    <w:rsid w:val="00713646"/>
    <w:rsid w:val="00714CF1"/>
    <w:rsid w:val="00714F74"/>
    <w:rsid w:val="00715DA9"/>
    <w:rsid w:val="00717B36"/>
    <w:rsid w:val="00717EE7"/>
    <w:rsid w:val="00720BA2"/>
    <w:rsid w:val="00720DA7"/>
    <w:rsid w:val="00720F86"/>
    <w:rsid w:val="007210DC"/>
    <w:rsid w:val="00721ECB"/>
    <w:rsid w:val="00721FD7"/>
    <w:rsid w:val="00722369"/>
    <w:rsid w:val="00722375"/>
    <w:rsid w:val="0072273F"/>
    <w:rsid w:val="00723020"/>
    <w:rsid w:val="007230BC"/>
    <w:rsid w:val="007241CB"/>
    <w:rsid w:val="0072422C"/>
    <w:rsid w:val="0072427C"/>
    <w:rsid w:val="00724C10"/>
    <w:rsid w:val="00724E4A"/>
    <w:rsid w:val="007255A1"/>
    <w:rsid w:val="0072673C"/>
    <w:rsid w:val="007268B1"/>
    <w:rsid w:val="0072690B"/>
    <w:rsid w:val="0072732E"/>
    <w:rsid w:val="007277C2"/>
    <w:rsid w:val="0073089A"/>
    <w:rsid w:val="00730B2F"/>
    <w:rsid w:val="00730CD9"/>
    <w:rsid w:val="007310CD"/>
    <w:rsid w:val="00731528"/>
    <w:rsid w:val="00731624"/>
    <w:rsid w:val="0073224E"/>
    <w:rsid w:val="007326AD"/>
    <w:rsid w:val="00732AAF"/>
    <w:rsid w:val="00732AD3"/>
    <w:rsid w:val="00733482"/>
    <w:rsid w:val="00733991"/>
    <w:rsid w:val="007347D4"/>
    <w:rsid w:val="00735AB6"/>
    <w:rsid w:val="007365A9"/>
    <w:rsid w:val="00736866"/>
    <w:rsid w:val="00736B81"/>
    <w:rsid w:val="00736E19"/>
    <w:rsid w:val="0073729B"/>
    <w:rsid w:val="00737747"/>
    <w:rsid w:val="0074035C"/>
    <w:rsid w:val="00740EEB"/>
    <w:rsid w:val="00741C60"/>
    <w:rsid w:val="00741C9C"/>
    <w:rsid w:val="00742650"/>
    <w:rsid w:val="00742E75"/>
    <w:rsid w:val="0074353A"/>
    <w:rsid w:val="00743671"/>
    <w:rsid w:val="007436CA"/>
    <w:rsid w:val="00744823"/>
    <w:rsid w:val="00744AA6"/>
    <w:rsid w:val="00744E0E"/>
    <w:rsid w:val="007452BC"/>
    <w:rsid w:val="00745555"/>
    <w:rsid w:val="00745C76"/>
    <w:rsid w:val="0074601B"/>
    <w:rsid w:val="0074774D"/>
    <w:rsid w:val="00747815"/>
    <w:rsid w:val="00747A8D"/>
    <w:rsid w:val="00750378"/>
    <w:rsid w:val="00750DAB"/>
    <w:rsid w:val="00750E92"/>
    <w:rsid w:val="0075147D"/>
    <w:rsid w:val="00751B16"/>
    <w:rsid w:val="0075202E"/>
    <w:rsid w:val="007526FA"/>
    <w:rsid w:val="00753481"/>
    <w:rsid w:val="007552AC"/>
    <w:rsid w:val="0075596C"/>
    <w:rsid w:val="00755982"/>
    <w:rsid w:val="00755C91"/>
    <w:rsid w:val="00755D1B"/>
    <w:rsid w:val="00756B38"/>
    <w:rsid w:val="00756E5A"/>
    <w:rsid w:val="00757C86"/>
    <w:rsid w:val="00760A86"/>
    <w:rsid w:val="00761A64"/>
    <w:rsid w:val="00761AD6"/>
    <w:rsid w:val="007629B5"/>
    <w:rsid w:val="00762ACE"/>
    <w:rsid w:val="00763067"/>
    <w:rsid w:val="0076395A"/>
    <w:rsid w:val="00763B35"/>
    <w:rsid w:val="0076406F"/>
    <w:rsid w:val="00764242"/>
    <w:rsid w:val="00764B13"/>
    <w:rsid w:val="00765EE9"/>
    <w:rsid w:val="00766B86"/>
    <w:rsid w:val="0076758F"/>
    <w:rsid w:val="00770155"/>
    <w:rsid w:val="00770297"/>
    <w:rsid w:val="0077045E"/>
    <w:rsid w:val="007708B1"/>
    <w:rsid w:val="00771DA4"/>
    <w:rsid w:val="00772C97"/>
    <w:rsid w:val="00772E81"/>
    <w:rsid w:val="007736BD"/>
    <w:rsid w:val="0077383C"/>
    <w:rsid w:val="00773FC2"/>
    <w:rsid w:val="00773FF2"/>
    <w:rsid w:val="007741BF"/>
    <w:rsid w:val="00774726"/>
    <w:rsid w:val="00775CA7"/>
    <w:rsid w:val="007766A1"/>
    <w:rsid w:val="007777DB"/>
    <w:rsid w:val="00777EA5"/>
    <w:rsid w:val="007808D1"/>
    <w:rsid w:val="00780C62"/>
    <w:rsid w:val="00780F19"/>
    <w:rsid w:val="007813F3"/>
    <w:rsid w:val="007826D6"/>
    <w:rsid w:val="00782980"/>
    <w:rsid w:val="00782A79"/>
    <w:rsid w:val="00782C5F"/>
    <w:rsid w:val="007837F8"/>
    <w:rsid w:val="007839A4"/>
    <w:rsid w:val="00783FD1"/>
    <w:rsid w:val="007842C0"/>
    <w:rsid w:val="00785B33"/>
    <w:rsid w:val="00785BDA"/>
    <w:rsid w:val="00787C67"/>
    <w:rsid w:val="0079018F"/>
    <w:rsid w:val="00790FAD"/>
    <w:rsid w:val="00792173"/>
    <w:rsid w:val="007926CD"/>
    <w:rsid w:val="00792AB4"/>
    <w:rsid w:val="00792FAE"/>
    <w:rsid w:val="00793A9E"/>
    <w:rsid w:val="00793F32"/>
    <w:rsid w:val="00794ADB"/>
    <w:rsid w:val="0079502C"/>
    <w:rsid w:val="00795CD4"/>
    <w:rsid w:val="0079610D"/>
    <w:rsid w:val="00797ACE"/>
    <w:rsid w:val="007A076E"/>
    <w:rsid w:val="007A0A99"/>
    <w:rsid w:val="007A0B6B"/>
    <w:rsid w:val="007A14AE"/>
    <w:rsid w:val="007A2952"/>
    <w:rsid w:val="007A3C12"/>
    <w:rsid w:val="007A3F31"/>
    <w:rsid w:val="007A4380"/>
    <w:rsid w:val="007A4F8E"/>
    <w:rsid w:val="007A5889"/>
    <w:rsid w:val="007A58CA"/>
    <w:rsid w:val="007A5B8A"/>
    <w:rsid w:val="007A6075"/>
    <w:rsid w:val="007A7521"/>
    <w:rsid w:val="007A7781"/>
    <w:rsid w:val="007A7AE9"/>
    <w:rsid w:val="007B08E6"/>
    <w:rsid w:val="007B0DCD"/>
    <w:rsid w:val="007B1BED"/>
    <w:rsid w:val="007B24F0"/>
    <w:rsid w:val="007B326D"/>
    <w:rsid w:val="007B3827"/>
    <w:rsid w:val="007B3A09"/>
    <w:rsid w:val="007B3BD4"/>
    <w:rsid w:val="007B3D79"/>
    <w:rsid w:val="007B41E8"/>
    <w:rsid w:val="007B6084"/>
    <w:rsid w:val="007B6C7B"/>
    <w:rsid w:val="007B6E49"/>
    <w:rsid w:val="007B7948"/>
    <w:rsid w:val="007B7F03"/>
    <w:rsid w:val="007C079E"/>
    <w:rsid w:val="007C0C31"/>
    <w:rsid w:val="007C0D45"/>
    <w:rsid w:val="007C0E9E"/>
    <w:rsid w:val="007C16BF"/>
    <w:rsid w:val="007C17AE"/>
    <w:rsid w:val="007C29D1"/>
    <w:rsid w:val="007C2FA4"/>
    <w:rsid w:val="007C360B"/>
    <w:rsid w:val="007C3B39"/>
    <w:rsid w:val="007C4731"/>
    <w:rsid w:val="007C4D06"/>
    <w:rsid w:val="007C4D22"/>
    <w:rsid w:val="007C5426"/>
    <w:rsid w:val="007C58F4"/>
    <w:rsid w:val="007C5A2F"/>
    <w:rsid w:val="007C5D7C"/>
    <w:rsid w:val="007C5F76"/>
    <w:rsid w:val="007C639B"/>
    <w:rsid w:val="007C67AC"/>
    <w:rsid w:val="007C6920"/>
    <w:rsid w:val="007C6986"/>
    <w:rsid w:val="007C6B73"/>
    <w:rsid w:val="007C6C5D"/>
    <w:rsid w:val="007C72E5"/>
    <w:rsid w:val="007C7927"/>
    <w:rsid w:val="007C7C32"/>
    <w:rsid w:val="007D030B"/>
    <w:rsid w:val="007D03EB"/>
    <w:rsid w:val="007D08E5"/>
    <w:rsid w:val="007D0B4F"/>
    <w:rsid w:val="007D0BED"/>
    <w:rsid w:val="007D103F"/>
    <w:rsid w:val="007D120D"/>
    <w:rsid w:val="007D1443"/>
    <w:rsid w:val="007D1A04"/>
    <w:rsid w:val="007D3534"/>
    <w:rsid w:val="007D3F3B"/>
    <w:rsid w:val="007D502A"/>
    <w:rsid w:val="007D5E9C"/>
    <w:rsid w:val="007D6160"/>
    <w:rsid w:val="007D64D7"/>
    <w:rsid w:val="007D6850"/>
    <w:rsid w:val="007D7ECD"/>
    <w:rsid w:val="007E000C"/>
    <w:rsid w:val="007E11C8"/>
    <w:rsid w:val="007E127B"/>
    <w:rsid w:val="007E1295"/>
    <w:rsid w:val="007E13A9"/>
    <w:rsid w:val="007E22AA"/>
    <w:rsid w:val="007E2946"/>
    <w:rsid w:val="007E2C2C"/>
    <w:rsid w:val="007E3A87"/>
    <w:rsid w:val="007E3C80"/>
    <w:rsid w:val="007E4569"/>
    <w:rsid w:val="007E4719"/>
    <w:rsid w:val="007E5D0C"/>
    <w:rsid w:val="007E673C"/>
    <w:rsid w:val="007E6A0D"/>
    <w:rsid w:val="007F04A0"/>
    <w:rsid w:val="007F0EB5"/>
    <w:rsid w:val="007F211C"/>
    <w:rsid w:val="007F3C5F"/>
    <w:rsid w:val="007F4254"/>
    <w:rsid w:val="007F4645"/>
    <w:rsid w:val="007F5CCA"/>
    <w:rsid w:val="007F62D8"/>
    <w:rsid w:val="007F72D1"/>
    <w:rsid w:val="007F796D"/>
    <w:rsid w:val="00800008"/>
    <w:rsid w:val="00800052"/>
    <w:rsid w:val="008001D6"/>
    <w:rsid w:val="00802705"/>
    <w:rsid w:val="008029C7"/>
    <w:rsid w:val="00802F56"/>
    <w:rsid w:val="008035C6"/>
    <w:rsid w:val="00803E17"/>
    <w:rsid w:val="008049C9"/>
    <w:rsid w:val="00805084"/>
    <w:rsid w:val="008050B5"/>
    <w:rsid w:val="00805BF9"/>
    <w:rsid w:val="008065C9"/>
    <w:rsid w:val="008065DA"/>
    <w:rsid w:val="008066F8"/>
    <w:rsid w:val="00806881"/>
    <w:rsid w:val="00806A42"/>
    <w:rsid w:val="00811795"/>
    <w:rsid w:val="00811A0D"/>
    <w:rsid w:val="00811DA0"/>
    <w:rsid w:val="00812302"/>
    <w:rsid w:val="00812E56"/>
    <w:rsid w:val="008143C8"/>
    <w:rsid w:val="00814E0A"/>
    <w:rsid w:val="0081540D"/>
    <w:rsid w:val="0081557C"/>
    <w:rsid w:val="00815DE6"/>
    <w:rsid w:val="008164F0"/>
    <w:rsid w:val="008167B9"/>
    <w:rsid w:val="0081697F"/>
    <w:rsid w:val="00816B62"/>
    <w:rsid w:val="00816F08"/>
    <w:rsid w:val="00817CC8"/>
    <w:rsid w:val="00820435"/>
    <w:rsid w:val="0082046A"/>
    <w:rsid w:val="00820D28"/>
    <w:rsid w:val="00821376"/>
    <w:rsid w:val="008213BB"/>
    <w:rsid w:val="00821D8C"/>
    <w:rsid w:val="00821FCB"/>
    <w:rsid w:val="00822B7F"/>
    <w:rsid w:val="008232F6"/>
    <w:rsid w:val="0082344C"/>
    <w:rsid w:val="00823565"/>
    <w:rsid w:val="00823999"/>
    <w:rsid w:val="008247C0"/>
    <w:rsid w:val="00825756"/>
    <w:rsid w:val="00825E5D"/>
    <w:rsid w:val="008261BF"/>
    <w:rsid w:val="00826510"/>
    <w:rsid w:val="00830D6E"/>
    <w:rsid w:val="0083136D"/>
    <w:rsid w:val="00831723"/>
    <w:rsid w:val="00831C64"/>
    <w:rsid w:val="00831F57"/>
    <w:rsid w:val="00832475"/>
    <w:rsid w:val="008329C2"/>
    <w:rsid w:val="0083334E"/>
    <w:rsid w:val="00834651"/>
    <w:rsid w:val="008346A5"/>
    <w:rsid w:val="00834FF6"/>
    <w:rsid w:val="008350AA"/>
    <w:rsid w:val="008352FE"/>
    <w:rsid w:val="00835590"/>
    <w:rsid w:val="008355E8"/>
    <w:rsid w:val="00836134"/>
    <w:rsid w:val="00836F62"/>
    <w:rsid w:val="0083729E"/>
    <w:rsid w:val="008373E3"/>
    <w:rsid w:val="008404DE"/>
    <w:rsid w:val="008414F2"/>
    <w:rsid w:val="0084386E"/>
    <w:rsid w:val="0084479E"/>
    <w:rsid w:val="00844AA4"/>
    <w:rsid w:val="00844DC2"/>
    <w:rsid w:val="00846511"/>
    <w:rsid w:val="00846A83"/>
    <w:rsid w:val="00846D77"/>
    <w:rsid w:val="00846EF9"/>
    <w:rsid w:val="00847129"/>
    <w:rsid w:val="008473B1"/>
    <w:rsid w:val="0084749D"/>
    <w:rsid w:val="00847B3A"/>
    <w:rsid w:val="0085016B"/>
    <w:rsid w:val="00850315"/>
    <w:rsid w:val="008507C8"/>
    <w:rsid w:val="0085165D"/>
    <w:rsid w:val="008518E7"/>
    <w:rsid w:val="0085272E"/>
    <w:rsid w:val="008528BB"/>
    <w:rsid w:val="00853097"/>
    <w:rsid w:val="0085349B"/>
    <w:rsid w:val="00853F57"/>
    <w:rsid w:val="00853F5A"/>
    <w:rsid w:val="00854045"/>
    <w:rsid w:val="008553BB"/>
    <w:rsid w:val="00856A1B"/>
    <w:rsid w:val="00856B2B"/>
    <w:rsid w:val="00857772"/>
    <w:rsid w:val="00857808"/>
    <w:rsid w:val="00857C92"/>
    <w:rsid w:val="008600D3"/>
    <w:rsid w:val="0086027B"/>
    <w:rsid w:val="0086072B"/>
    <w:rsid w:val="00860D9B"/>
    <w:rsid w:val="00861D60"/>
    <w:rsid w:val="008635F7"/>
    <w:rsid w:val="008638C0"/>
    <w:rsid w:val="00863992"/>
    <w:rsid w:val="008649E4"/>
    <w:rsid w:val="0086505E"/>
    <w:rsid w:val="00865FF0"/>
    <w:rsid w:val="0086601E"/>
    <w:rsid w:val="0086655D"/>
    <w:rsid w:val="008665EF"/>
    <w:rsid w:val="0086660A"/>
    <w:rsid w:val="00870892"/>
    <w:rsid w:val="008713CC"/>
    <w:rsid w:val="00871803"/>
    <w:rsid w:val="0087184E"/>
    <w:rsid w:val="00871A85"/>
    <w:rsid w:val="00871D24"/>
    <w:rsid w:val="0087254E"/>
    <w:rsid w:val="00872B05"/>
    <w:rsid w:val="00872BD0"/>
    <w:rsid w:val="00872CC1"/>
    <w:rsid w:val="00872FF1"/>
    <w:rsid w:val="00873098"/>
    <w:rsid w:val="008736FB"/>
    <w:rsid w:val="00873918"/>
    <w:rsid w:val="00875847"/>
    <w:rsid w:val="00875A5E"/>
    <w:rsid w:val="00876688"/>
    <w:rsid w:val="0087674D"/>
    <w:rsid w:val="0087757A"/>
    <w:rsid w:val="0087761D"/>
    <w:rsid w:val="00877905"/>
    <w:rsid w:val="008779C8"/>
    <w:rsid w:val="00880184"/>
    <w:rsid w:val="00880189"/>
    <w:rsid w:val="008809F2"/>
    <w:rsid w:val="00881A87"/>
    <w:rsid w:val="00882110"/>
    <w:rsid w:val="00882220"/>
    <w:rsid w:val="008828F7"/>
    <w:rsid w:val="0088299D"/>
    <w:rsid w:val="00882C68"/>
    <w:rsid w:val="00883420"/>
    <w:rsid w:val="00885CFE"/>
    <w:rsid w:val="00886024"/>
    <w:rsid w:val="00886456"/>
    <w:rsid w:val="00886F67"/>
    <w:rsid w:val="00887658"/>
    <w:rsid w:val="008876F6"/>
    <w:rsid w:val="008900C6"/>
    <w:rsid w:val="00890432"/>
    <w:rsid w:val="0089075E"/>
    <w:rsid w:val="00890AEE"/>
    <w:rsid w:val="00890CBA"/>
    <w:rsid w:val="008915E5"/>
    <w:rsid w:val="00891C44"/>
    <w:rsid w:val="008921E2"/>
    <w:rsid w:val="00892E9A"/>
    <w:rsid w:val="0089348C"/>
    <w:rsid w:val="00893821"/>
    <w:rsid w:val="0089505B"/>
    <w:rsid w:val="00895275"/>
    <w:rsid w:val="00896A88"/>
    <w:rsid w:val="008970A3"/>
    <w:rsid w:val="00897123"/>
    <w:rsid w:val="008972E3"/>
    <w:rsid w:val="00897B3B"/>
    <w:rsid w:val="00897B7D"/>
    <w:rsid w:val="008A05C7"/>
    <w:rsid w:val="008A0BB0"/>
    <w:rsid w:val="008A1864"/>
    <w:rsid w:val="008A19B5"/>
    <w:rsid w:val="008A1B92"/>
    <w:rsid w:val="008A21DC"/>
    <w:rsid w:val="008A230C"/>
    <w:rsid w:val="008A25AB"/>
    <w:rsid w:val="008A2A4E"/>
    <w:rsid w:val="008A2F3B"/>
    <w:rsid w:val="008A362E"/>
    <w:rsid w:val="008A3F64"/>
    <w:rsid w:val="008A483A"/>
    <w:rsid w:val="008A4C2B"/>
    <w:rsid w:val="008A4F40"/>
    <w:rsid w:val="008A4F71"/>
    <w:rsid w:val="008A5E99"/>
    <w:rsid w:val="008A6405"/>
    <w:rsid w:val="008A64EE"/>
    <w:rsid w:val="008A6C98"/>
    <w:rsid w:val="008A7662"/>
    <w:rsid w:val="008A78EE"/>
    <w:rsid w:val="008B0736"/>
    <w:rsid w:val="008B08E0"/>
    <w:rsid w:val="008B0A49"/>
    <w:rsid w:val="008B12D8"/>
    <w:rsid w:val="008B1493"/>
    <w:rsid w:val="008B1738"/>
    <w:rsid w:val="008B1917"/>
    <w:rsid w:val="008B1DBE"/>
    <w:rsid w:val="008B1EC9"/>
    <w:rsid w:val="008B281D"/>
    <w:rsid w:val="008B3374"/>
    <w:rsid w:val="008B38BA"/>
    <w:rsid w:val="008B3AC3"/>
    <w:rsid w:val="008B3FE3"/>
    <w:rsid w:val="008B46B6"/>
    <w:rsid w:val="008B4744"/>
    <w:rsid w:val="008B643E"/>
    <w:rsid w:val="008B6820"/>
    <w:rsid w:val="008B6A6C"/>
    <w:rsid w:val="008B6C47"/>
    <w:rsid w:val="008B74DF"/>
    <w:rsid w:val="008B7759"/>
    <w:rsid w:val="008B7B27"/>
    <w:rsid w:val="008B7D49"/>
    <w:rsid w:val="008C022F"/>
    <w:rsid w:val="008C0F43"/>
    <w:rsid w:val="008C11CB"/>
    <w:rsid w:val="008C2F48"/>
    <w:rsid w:val="008C364E"/>
    <w:rsid w:val="008C42A4"/>
    <w:rsid w:val="008C517D"/>
    <w:rsid w:val="008C60E9"/>
    <w:rsid w:val="008C7E66"/>
    <w:rsid w:val="008D082B"/>
    <w:rsid w:val="008D11CD"/>
    <w:rsid w:val="008D18CE"/>
    <w:rsid w:val="008D1A97"/>
    <w:rsid w:val="008D1BB4"/>
    <w:rsid w:val="008D3E76"/>
    <w:rsid w:val="008D4114"/>
    <w:rsid w:val="008D47FA"/>
    <w:rsid w:val="008D4B83"/>
    <w:rsid w:val="008D4C51"/>
    <w:rsid w:val="008D4CEA"/>
    <w:rsid w:val="008D4D85"/>
    <w:rsid w:val="008D5241"/>
    <w:rsid w:val="008D57BE"/>
    <w:rsid w:val="008D5F23"/>
    <w:rsid w:val="008D628D"/>
    <w:rsid w:val="008D6C45"/>
    <w:rsid w:val="008E0131"/>
    <w:rsid w:val="008E07C2"/>
    <w:rsid w:val="008E0E36"/>
    <w:rsid w:val="008E15C4"/>
    <w:rsid w:val="008E1694"/>
    <w:rsid w:val="008E1FD5"/>
    <w:rsid w:val="008E229E"/>
    <w:rsid w:val="008E23ED"/>
    <w:rsid w:val="008E42FB"/>
    <w:rsid w:val="008E619C"/>
    <w:rsid w:val="008E6F3D"/>
    <w:rsid w:val="008E7338"/>
    <w:rsid w:val="008E7414"/>
    <w:rsid w:val="008E7535"/>
    <w:rsid w:val="008E7684"/>
    <w:rsid w:val="008E7A34"/>
    <w:rsid w:val="008E7C6C"/>
    <w:rsid w:val="008F0BD3"/>
    <w:rsid w:val="008F0D64"/>
    <w:rsid w:val="008F194C"/>
    <w:rsid w:val="008F22F5"/>
    <w:rsid w:val="008F277F"/>
    <w:rsid w:val="008F30C6"/>
    <w:rsid w:val="008F4265"/>
    <w:rsid w:val="008F4C3A"/>
    <w:rsid w:val="008F53EB"/>
    <w:rsid w:val="008F6814"/>
    <w:rsid w:val="008F73EB"/>
    <w:rsid w:val="008F7F8C"/>
    <w:rsid w:val="00900FAD"/>
    <w:rsid w:val="0090212B"/>
    <w:rsid w:val="009023E7"/>
    <w:rsid w:val="00902E8D"/>
    <w:rsid w:val="00902F87"/>
    <w:rsid w:val="0090321E"/>
    <w:rsid w:val="0090339B"/>
    <w:rsid w:val="0090387E"/>
    <w:rsid w:val="009048A1"/>
    <w:rsid w:val="00904DF7"/>
    <w:rsid w:val="00904EA4"/>
    <w:rsid w:val="00906632"/>
    <w:rsid w:val="009077E1"/>
    <w:rsid w:val="009103B6"/>
    <w:rsid w:val="00910877"/>
    <w:rsid w:val="00910EDD"/>
    <w:rsid w:val="00911328"/>
    <w:rsid w:val="00911506"/>
    <w:rsid w:val="00911657"/>
    <w:rsid w:val="009129F9"/>
    <w:rsid w:val="00913F65"/>
    <w:rsid w:val="00914002"/>
    <w:rsid w:val="00914284"/>
    <w:rsid w:val="00914343"/>
    <w:rsid w:val="00914C17"/>
    <w:rsid w:val="00914D70"/>
    <w:rsid w:val="00914DCE"/>
    <w:rsid w:val="00916073"/>
    <w:rsid w:val="00917284"/>
    <w:rsid w:val="00917293"/>
    <w:rsid w:val="00920362"/>
    <w:rsid w:val="00920E09"/>
    <w:rsid w:val="00920F10"/>
    <w:rsid w:val="00920FD3"/>
    <w:rsid w:val="0092155D"/>
    <w:rsid w:val="00922139"/>
    <w:rsid w:val="0092240E"/>
    <w:rsid w:val="00922B48"/>
    <w:rsid w:val="00925272"/>
    <w:rsid w:val="00926671"/>
    <w:rsid w:val="00926917"/>
    <w:rsid w:val="00926A96"/>
    <w:rsid w:val="00926F82"/>
    <w:rsid w:val="00927362"/>
    <w:rsid w:val="00927C78"/>
    <w:rsid w:val="0093118B"/>
    <w:rsid w:val="00931A13"/>
    <w:rsid w:val="00932D48"/>
    <w:rsid w:val="00933047"/>
    <w:rsid w:val="00933F08"/>
    <w:rsid w:val="00935848"/>
    <w:rsid w:val="00935C6E"/>
    <w:rsid w:val="0093619F"/>
    <w:rsid w:val="00936425"/>
    <w:rsid w:val="00936D96"/>
    <w:rsid w:val="0093716E"/>
    <w:rsid w:val="00937775"/>
    <w:rsid w:val="009377AF"/>
    <w:rsid w:val="009400E6"/>
    <w:rsid w:val="0094078E"/>
    <w:rsid w:val="009418F3"/>
    <w:rsid w:val="00941FA5"/>
    <w:rsid w:val="009427A4"/>
    <w:rsid w:val="00943061"/>
    <w:rsid w:val="009433DB"/>
    <w:rsid w:val="009436C3"/>
    <w:rsid w:val="00943AC9"/>
    <w:rsid w:val="009440FE"/>
    <w:rsid w:val="00945119"/>
    <w:rsid w:val="00945810"/>
    <w:rsid w:val="00945BBB"/>
    <w:rsid w:val="00945CC6"/>
    <w:rsid w:val="00946941"/>
    <w:rsid w:val="0094773B"/>
    <w:rsid w:val="009479F7"/>
    <w:rsid w:val="00947EB1"/>
    <w:rsid w:val="00950510"/>
    <w:rsid w:val="00950624"/>
    <w:rsid w:val="0095176A"/>
    <w:rsid w:val="00951976"/>
    <w:rsid w:val="00951C22"/>
    <w:rsid w:val="00953032"/>
    <w:rsid w:val="0095350A"/>
    <w:rsid w:val="0095372A"/>
    <w:rsid w:val="00954B84"/>
    <w:rsid w:val="009567AE"/>
    <w:rsid w:val="00956F4B"/>
    <w:rsid w:val="009575C4"/>
    <w:rsid w:val="009579EE"/>
    <w:rsid w:val="00957DB2"/>
    <w:rsid w:val="009608EC"/>
    <w:rsid w:val="00960AA1"/>
    <w:rsid w:val="00961423"/>
    <w:rsid w:val="00961D7E"/>
    <w:rsid w:val="00961FD0"/>
    <w:rsid w:val="009631D6"/>
    <w:rsid w:val="0096384F"/>
    <w:rsid w:val="00963CCC"/>
    <w:rsid w:val="00964432"/>
    <w:rsid w:val="00965DC3"/>
    <w:rsid w:val="009661E6"/>
    <w:rsid w:val="0096642D"/>
    <w:rsid w:val="00966F74"/>
    <w:rsid w:val="009671EF"/>
    <w:rsid w:val="0096722C"/>
    <w:rsid w:val="00967A8D"/>
    <w:rsid w:val="009700C1"/>
    <w:rsid w:val="00970971"/>
    <w:rsid w:val="009717CB"/>
    <w:rsid w:val="0097189E"/>
    <w:rsid w:val="009731C6"/>
    <w:rsid w:val="009736B2"/>
    <w:rsid w:val="00974BBA"/>
    <w:rsid w:val="0097534E"/>
    <w:rsid w:val="009755B6"/>
    <w:rsid w:val="00975657"/>
    <w:rsid w:val="00975731"/>
    <w:rsid w:val="0097648B"/>
    <w:rsid w:val="009803C5"/>
    <w:rsid w:val="009808CF"/>
    <w:rsid w:val="00980BBF"/>
    <w:rsid w:val="00981187"/>
    <w:rsid w:val="00982FDE"/>
    <w:rsid w:val="00985C64"/>
    <w:rsid w:val="0098665D"/>
    <w:rsid w:val="009866DF"/>
    <w:rsid w:val="00986880"/>
    <w:rsid w:val="009878BB"/>
    <w:rsid w:val="00987B0C"/>
    <w:rsid w:val="00987D0D"/>
    <w:rsid w:val="009907E4"/>
    <w:rsid w:val="009910B2"/>
    <w:rsid w:val="0099229A"/>
    <w:rsid w:val="00992D87"/>
    <w:rsid w:val="009931E1"/>
    <w:rsid w:val="00993FD8"/>
    <w:rsid w:val="0099546D"/>
    <w:rsid w:val="009955EB"/>
    <w:rsid w:val="009961D4"/>
    <w:rsid w:val="00997BFD"/>
    <w:rsid w:val="00997F44"/>
    <w:rsid w:val="009A0181"/>
    <w:rsid w:val="009A0BCA"/>
    <w:rsid w:val="009A0DCB"/>
    <w:rsid w:val="009A0E2C"/>
    <w:rsid w:val="009A13A9"/>
    <w:rsid w:val="009A1AE5"/>
    <w:rsid w:val="009A1F9D"/>
    <w:rsid w:val="009A280C"/>
    <w:rsid w:val="009A2D9B"/>
    <w:rsid w:val="009A311C"/>
    <w:rsid w:val="009A3F64"/>
    <w:rsid w:val="009A4456"/>
    <w:rsid w:val="009A494B"/>
    <w:rsid w:val="009A4950"/>
    <w:rsid w:val="009A49E4"/>
    <w:rsid w:val="009A52DC"/>
    <w:rsid w:val="009A56FE"/>
    <w:rsid w:val="009A5885"/>
    <w:rsid w:val="009A7375"/>
    <w:rsid w:val="009A78B3"/>
    <w:rsid w:val="009A7BA9"/>
    <w:rsid w:val="009B0C79"/>
    <w:rsid w:val="009B0E6E"/>
    <w:rsid w:val="009B11E0"/>
    <w:rsid w:val="009B1260"/>
    <w:rsid w:val="009B1C1B"/>
    <w:rsid w:val="009B2399"/>
    <w:rsid w:val="009B2AB6"/>
    <w:rsid w:val="009B2B10"/>
    <w:rsid w:val="009B3E10"/>
    <w:rsid w:val="009B4221"/>
    <w:rsid w:val="009B4E5C"/>
    <w:rsid w:val="009B5048"/>
    <w:rsid w:val="009B568C"/>
    <w:rsid w:val="009B615B"/>
    <w:rsid w:val="009B6899"/>
    <w:rsid w:val="009B7240"/>
    <w:rsid w:val="009B7332"/>
    <w:rsid w:val="009B7DC5"/>
    <w:rsid w:val="009C0A6F"/>
    <w:rsid w:val="009C0D23"/>
    <w:rsid w:val="009C13E1"/>
    <w:rsid w:val="009C30BC"/>
    <w:rsid w:val="009C3DDD"/>
    <w:rsid w:val="009C4CBA"/>
    <w:rsid w:val="009C5157"/>
    <w:rsid w:val="009C5403"/>
    <w:rsid w:val="009C632B"/>
    <w:rsid w:val="009C63A2"/>
    <w:rsid w:val="009C69FC"/>
    <w:rsid w:val="009C6E80"/>
    <w:rsid w:val="009C71DD"/>
    <w:rsid w:val="009C722B"/>
    <w:rsid w:val="009C736D"/>
    <w:rsid w:val="009C7F02"/>
    <w:rsid w:val="009D05CC"/>
    <w:rsid w:val="009D0BDD"/>
    <w:rsid w:val="009D1139"/>
    <w:rsid w:val="009D126E"/>
    <w:rsid w:val="009D134C"/>
    <w:rsid w:val="009D139C"/>
    <w:rsid w:val="009D164E"/>
    <w:rsid w:val="009D1C62"/>
    <w:rsid w:val="009D1C75"/>
    <w:rsid w:val="009D2535"/>
    <w:rsid w:val="009D2CC4"/>
    <w:rsid w:val="009D2D54"/>
    <w:rsid w:val="009D41F5"/>
    <w:rsid w:val="009D47F6"/>
    <w:rsid w:val="009D49A1"/>
    <w:rsid w:val="009D4C05"/>
    <w:rsid w:val="009D4D30"/>
    <w:rsid w:val="009D4D90"/>
    <w:rsid w:val="009D65F9"/>
    <w:rsid w:val="009D7250"/>
    <w:rsid w:val="009D740E"/>
    <w:rsid w:val="009D7895"/>
    <w:rsid w:val="009E0787"/>
    <w:rsid w:val="009E0ACE"/>
    <w:rsid w:val="009E21FA"/>
    <w:rsid w:val="009E2672"/>
    <w:rsid w:val="009E28A9"/>
    <w:rsid w:val="009E2AC1"/>
    <w:rsid w:val="009E2C77"/>
    <w:rsid w:val="009E3399"/>
    <w:rsid w:val="009E33C8"/>
    <w:rsid w:val="009E3421"/>
    <w:rsid w:val="009E4860"/>
    <w:rsid w:val="009E4959"/>
    <w:rsid w:val="009E4D5E"/>
    <w:rsid w:val="009E5639"/>
    <w:rsid w:val="009E61D7"/>
    <w:rsid w:val="009F01B1"/>
    <w:rsid w:val="009F03E5"/>
    <w:rsid w:val="009F071F"/>
    <w:rsid w:val="009F0E60"/>
    <w:rsid w:val="009F1086"/>
    <w:rsid w:val="009F1970"/>
    <w:rsid w:val="009F1C38"/>
    <w:rsid w:val="009F20A2"/>
    <w:rsid w:val="009F282A"/>
    <w:rsid w:val="009F285C"/>
    <w:rsid w:val="009F3C41"/>
    <w:rsid w:val="009F3C9B"/>
    <w:rsid w:val="009F43B1"/>
    <w:rsid w:val="009F4940"/>
    <w:rsid w:val="009F5FA9"/>
    <w:rsid w:val="009F60EB"/>
    <w:rsid w:val="009F7250"/>
    <w:rsid w:val="009F761A"/>
    <w:rsid w:val="009F7673"/>
    <w:rsid w:val="009F7DF6"/>
    <w:rsid w:val="00A00E9A"/>
    <w:rsid w:val="00A0151F"/>
    <w:rsid w:val="00A01B24"/>
    <w:rsid w:val="00A01EEB"/>
    <w:rsid w:val="00A0252B"/>
    <w:rsid w:val="00A02A73"/>
    <w:rsid w:val="00A02E05"/>
    <w:rsid w:val="00A03184"/>
    <w:rsid w:val="00A0372F"/>
    <w:rsid w:val="00A0425D"/>
    <w:rsid w:val="00A043BE"/>
    <w:rsid w:val="00A04711"/>
    <w:rsid w:val="00A0510C"/>
    <w:rsid w:val="00A057C2"/>
    <w:rsid w:val="00A06F5D"/>
    <w:rsid w:val="00A07AC1"/>
    <w:rsid w:val="00A07D03"/>
    <w:rsid w:val="00A11A2F"/>
    <w:rsid w:val="00A130F3"/>
    <w:rsid w:val="00A13275"/>
    <w:rsid w:val="00A14622"/>
    <w:rsid w:val="00A14884"/>
    <w:rsid w:val="00A14E7B"/>
    <w:rsid w:val="00A14F1F"/>
    <w:rsid w:val="00A153C4"/>
    <w:rsid w:val="00A1542A"/>
    <w:rsid w:val="00A15A1A"/>
    <w:rsid w:val="00A15BBD"/>
    <w:rsid w:val="00A1638E"/>
    <w:rsid w:val="00A17215"/>
    <w:rsid w:val="00A173C9"/>
    <w:rsid w:val="00A17A82"/>
    <w:rsid w:val="00A20140"/>
    <w:rsid w:val="00A21BA2"/>
    <w:rsid w:val="00A22670"/>
    <w:rsid w:val="00A23064"/>
    <w:rsid w:val="00A231A4"/>
    <w:rsid w:val="00A236FD"/>
    <w:rsid w:val="00A23C22"/>
    <w:rsid w:val="00A244C3"/>
    <w:rsid w:val="00A24A78"/>
    <w:rsid w:val="00A25890"/>
    <w:rsid w:val="00A25A1D"/>
    <w:rsid w:val="00A25A4C"/>
    <w:rsid w:val="00A25AF7"/>
    <w:rsid w:val="00A25C32"/>
    <w:rsid w:val="00A25F6B"/>
    <w:rsid w:val="00A30293"/>
    <w:rsid w:val="00A313BA"/>
    <w:rsid w:val="00A31F38"/>
    <w:rsid w:val="00A3215C"/>
    <w:rsid w:val="00A3228C"/>
    <w:rsid w:val="00A32353"/>
    <w:rsid w:val="00A3278B"/>
    <w:rsid w:val="00A328E7"/>
    <w:rsid w:val="00A335F2"/>
    <w:rsid w:val="00A3401B"/>
    <w:rsid w:val="00A35556"/>
    <w:rsid w:val="00A35A29"/>
    <w:rsid w:val="00A35E90"/>
    <w:rsid w:val="00A36568"/>
    <w:rsid w:val="00A366BB"/>
    <w:rsid w:val="00A36887"/>
    <w:rsid w:val="00A36FFC"/>
    <w:rsid w:val="00A3734D"/>
    <w:rsid w:val="00A37954"/>
    <w:rsid w:val="00A39998"/>
    <w:rsid w:val="00A4021D"/>
    <w:rsid w:val="00A40E1D"/>
    <w:rsid w:val="00A42110"/>
    <w:rsid w:val="00A429A5"/>
    <w:rsid w:val="00A42AC1"/>
    <w:rsid w:val="00A43B2F"/>
    <w:rsid w:val="00A43F32"/>
    <w:rsid w:val="00A44505"/>
    <w:rsid w:val="00A44A31"/>
    <w:rsid w:val="00A44C83"/>
    <w:rsid w:val="00A45177"/>
    <w:rsid w:val="00A45652"/>
    <w:rsid w:val="00A45D04"/>
    <w:rsid w:val="00A4601A"/>
    <w:rsid w:val="00A46394"/>
    <w:rsid w:val="00A46461"/>
    <w:rsid w:val="00A46728"/>
    <w:rsid w:val="00A4695F"/>
    <w:rsid w:val="00A46E1E"/>
    <w:rsid w:val="00A46ED6"/>
    <w:rsid w:val="00A46FFC"/>
    <w:rsid w:val="00A470F5"/>
    <w:rsid w:val="00A47A4C"/>
    <w:rsid w:val="00A50577"/>
    <w:rsid w:val="00A51215"/>
    <w:rsid w:val="00A52832"/>
    <w:rsid w:val="00A532A0"/>
    <w:rsid w:val="00A53A82"/>
    <w:rsid w:val="00A53D8B"/>
    <w:rsid w:val="00A54221"/>
    <w:rsid w:val="00A54282"/>
    <w:rsid w:val="00A549C2"/>
    <w:rsid w:val="00A551A2"/>
    <w:rsid w:val="00A5558D"/>
    <w:rsid w:val="00A5574C"/>
    <w:rsid w:val="00A55B61"/>
    <w:rsid w:val="00A55D50"/>
    <w:rsid w:val="00A5671A"/>
    <w:rsid w:val="00A572F5"/>
    <w:rsid w:val="00A57D99"/>
    <w:rsid w:val="00A614A8"/>
    <w:rsid w:val="00A61B71"/>
    <w:rsid w:val="00A62415"/>
    <w:rsid w:val="00A6252B"/>
    <w:rsid w:val="00A626B2"/>
    <w:rsid w:val="00A62A27"/>
    <w:rsid w:val="00A63429"/>
    <w:rsid w:val="00A63841"/>
    <w:rsid w:val="00A64425"/>
    <w:rsid w:val="00A64466"/>
    <w:rsid w:val="00A66544"/>
    <w:rsid w:val="00A66A86"/>
    <w:rsid w:val="00A66CC3"/>
    <w:rsid w:val="00A66D78"/>
    <w:rsid w:val="00A675EA"/>
    <w:rsid w:val="00A6772E"/>
    <w:rsid w:val="00A67AC3"/>
    <w:rsid w:val="00A70B63"/>
    <w:rsid w:val="00A722AD"/>
    <w:rsid w:val="00A72C19"/>
    <w:rsid w:val="00A72D63"/>
    <w:rsid w:val="00A72E74"/>
    <w:rsid w:val="00A7314F"/>
    <w:rsid w:val="00A7319F"/>
    <w:rsid w:val="00A74047"/>
    <w:rsid w:val="00A74F05"/>
    <w:rsid w:val="00A76F4A"/>
    <w:rsid w:val="00A77068"/>
    <w:rsid w:val="00A77314"/>
    <w:rsid w:val="00A77919"/>
    <w:rsid w:val="00A77AEA"/>
    <w:rsid w:val="00A77C3F"/>
    <w:rsid w:val="00A77F00"/>
    <w:rsid w:val="00A803AB"/>
    <w:rsid w:val="00A80A36"/>
    <w:rsid w:val="00A80EDC"/>
    <w:rsid w:val="00A80EE1"/>
    <w:rsid w:val="00A80F65"/>
    <w:rsid w:val="00A81380"/>
    <w:rsid w:val="00A81686"/>
    <w:rsid w:val="00A81AF0"/>
    <w:rsid w:val="00A81E6E"/>
    <w:rsid w:val="00A824FD"/>
    <w:rsid w:val="00A829F7"/>
    <w:rsid w:val="00A82C34"/>
    <w:rsid w:val="00A8351F"/>
    <w:rsid w:val="00A836B5"/>
    <w:rsid w:val="00A847A7"/>
    <w:rsid w:val="00A84B80"/>
    <w:rsid w:val="00A8545E"/>
    <w:rsid w:val="00A85959"/>
    <w:rsid w:val="00A864FC"/>
    <w:rsid w:val="00A866B3"/>
    <w:rsid w:val="00A86782"/>
    <w:rsid w:val="00A86A3E"/>
    <w:rsid w:val="00A90139"/>
    <w:rsid w:val="00A905CC"/>
    <w:rsid w:val="00A919F9"/>
    <w:rsid w:val="00A9295A"/>
    <w:rsid w:val="00A93180"/>
    <w:rsid w:val="00A94009"/>
    <w:rsid w:val="00A941DD"/>
    <w:rsid w:val="00A95626"/>
    <w:rsid w:val="00A956D3"/>
    <w:rsid w:val="00A95827"/>
    <w:rsid w:val="00A958C2"/>
    <w:rsid w:val="00A96DE2"/>
    <w:rsid w:val="00A9738A"/>
    <w:rsid w:val="00A97434"/>
    <w:rsid w:val="00A97AD3"/>
    <w:rsid w:val="00AA0359"/>
    <w:rsid w:val="00AA0817"/>
    <w:rsid w:val="00AA0CFC"/>
    <w:rsid w:val="00AA18C5"/>
    <w:rsid w:val="00AA1F1D"/>
    <w:rsid w:val="00AA32C2"/>
    <w:rsid w:val="00AA3B54"/>
    <w:rsid w:val="00AA3E72"/>
    <w:rsid w:val="00AA4192"/>
    <w:rsid w:val="00AA4395"/>
    <w:rsid w:val="00AA46B9"/>
    <w:rsid w:val="00AA4887"/>
    <w:rsid w:val="00AA4B61"/>
    <w:rsid w:val="00AA5DD4"/>
    <w:rsid w:val="00AA6049"/>
    <w:rsid w:val="00AA6632"/>
    <w:rsid w:val="00AA6906"/>
    <w:rsid w:val="00AA701F"/>
    <w:rsid w:val="00AA7AE4"/>
    <w:rsid w:val="00AA7B3F"/>
    <w:rsid w:val="00AB0154"/>
    <w:rsid w:val="00AB0AC9"/>
    <w:rsid w:val="00AB1899"/>
    <w:rsid w:val="00AB1945"/>
    <w:rsid w:val="00AB2035"/>
    <w:rsid w:val="00AB228F"/>
    <w:rsid w:val="00AB22CF"/>
    <w:rsid w:val="00AB246B"/>
    <w:rsid w:val="00AB3306"/>
    <w:rsid w:val="00AB446C"/>
    <w:rsid w:val="00AB453A"/>
    <w:rsid w:val="00AB4D94"/>
    <w:rsid w:val="00AB55BA"/>
    <w:rsid w:val="00AB56FE"/>
    <w:rsid w:val="00AB5EDA"/>
    <w:rsid w:val="00AB60D1"/>
    <w:rsid w:val="00AB63F5"/>
    <w:rsid w:val="00AB70BC"/>
    <w:rsid w:val="00AB7131"/>
    <w:rsid w:val="00AB72EC"/>
    <w:rsid w:val="00AB7CF1"/>
    <w:rsid w:val="00AC1641"/>
    <w:rsid w:val="00AC1753"/>
    <w:rsid w:val="00AC1C22"/>
    <w:rsid w:val="00AC397C"/>
    <w:rsid w:val="00AC4273"/>
    <w:rsid w:val="00AC6273"/>
    <w:rsid w:val="00AC762B"/>
    <w:rsid w:val="00AD06E0"/>
    <w:rsid w:val="00AD11A5"/>
    <w:rsid w:val="00AD1876"/>
    <w:rsid w:val="00AD1A7F"/>
    <w:rsid w:val="00AD3357"/>
    <w:rsid w:val="00AD3BC8"/>
    <w:rsid w:val="00AD6E03"/>
    <w:rsid w:val="00AD7447"/>
    <w:rsid w:val="00AD7696"/>
    <w:rsid w:val="00AD7BE7"/>
    <w:rsid w:val="00AD7EC9"/>
    <w:rsid w:val="00AE0F0E"/>
    <w:rsid w:val="00AE15F7"/>
    <w:rsid w:val="00AE1FEB"/>
    <w:rsid w:val="00AE2578"/>
    <w:rsid w:val="00AE261E"/>
    <w:rsid w:val="00AE2844"/>
    <w:rsid w:val="00AE2F4C"/>
    <w:rsid w:val="00AE4B52"/>
    <w:rsid w:val="00AE5237"/>
    <w:rsid w:val="00AE5E99"/>
    <w:rsid w:val="00AE619C"/>
    <w:rsid w:val="00AE6C9C"/>
    <w:rsid w:val="00AE7329"/>
    <w:rsid w:val="00AE79BB"/>
    <w:rsid w:val="00AE7B08"/>
    <w:rsid w:val="00AF04EA"/>
    <w:rsid w:val="00AF062C"/>
    <w:rsid w:val="00AF07E3"/>
    <w:rsid w:val="00AF1C08"/>
    <w:rsid w:val="00AF2554"/>
    <w:rsid w:val="00AF4919"/>
    <w:rsid w:val="00AF4CF8"/>
    <w:rsid w:val="00AF5A1B"/>
    <w:rsid w:val="00AF5E30"/>
    <w:rsid w:val="00AF715E"/>
    <w:rsid w:val="00AF7613"/>
    <w:rsid w:val="00AF7A8C"/>
    <w:rsid w:val="00AF7AC3"/>
    <w:rsid w:val="00AF7C42"/>
    <w:rsid w:val="00B003D8"/>
    <w:rsid w:val="00B01476"/>
    <w:rsid w:val="00B01AB8"/>
    <w:rsid w:val="00B024B8"/>
    <w:rsid w:val="00B02CD3"/>
    <w:rsid w:val="00B0370C"/>
    <w:rsid w:val="00B03A8B"/>
    <w:rsid w:val="00B03BD4"/>
    <w:rsid w:val="00B041F1"/>
    <w:rsid w:val="00B04469"/>
    <w:rsid w:val="00B049F0"/>
    <w:rsid w:val="00B04A40"/>
    <w:rsid w:val="00B05190"/>
    <w:rsid w:val="00B05811"/>
    <w:rsid w:val="00B05DD6"/>
    <w:rsid w:val="00B06662"/>
    <w:rsid w:val="00B06681"/>
    <w:rsid w:val="00B07EDC"/>
    <w:rsid w:val="00B07EFF"/>
    <w:rsid w:val="00B1020D"/>
    <w:rsid w:val="00B10B5D"/>
    <w:rsid w:val="00B11CEB"/>
    <w:rsid w:val="00B1211B"/>
    <w:rsid w:val="00B121F3"/>
    <w:rsid w:val="00B12DCA"/>
    <w:rsid w:val="00B12E62"/>
    <w:rsid w:val="00B13008"/>
    <w:rsid w:val="00B13055"/>
    <w:rsid w:val="00B130EB"/>
    <w:rsid w:val="00B139AA"/>
    <w:rsid w:val="00B13BBA"/>
    <w:rsid w:val="00B13DB6"/>
    <w:rsid w:val="00B13E31"/>
    <w:rsid w:val="00B13FAA"/>
    <w:rsid w:val="00B142BA"/>
    <w:rsid w:val="00B145AA"/>
    <w:rsid w:val="00B151D8"/>
    <w:rsid w:val="00B162FF"/>
    <w:rsid w:val="00B165CE"/>
    <w:rsid w:val="00B167E9"/>
    <w:rsid w:val="00B17D7A"/>
    <w:rsid w:val="00B17DC9"/>
    <w:rsid w:val="00B17DCB"/>
    <w:rsid w:val="00B17E6E"/>
    <w:rsid w:val="00B20611"/>
    <w:rsid w:val="00B2143B"/>
    <w:rsid w:val="00B21787"/>
    <w:rsid w:val="00B219E7"/>
    <w:rsid w:val="00B21C8E"/>
    <w:rsid w:val="00B21FA6"/>
    <w:rsid w:val="00B22DE1"/>
    <w:rsid w:val="00B237EF"/>
    <w:rsid w:val="00B24CF8"/>
    <w:rsid w:val="00B25C82"/>
    <w:rsid w:val="00B27000"/>
    <w:rsid w:val="00B2787C"/>
    <w:rsid w:val="00B3094C"/>
    <w:rsid w:val="00B30CCA"/>
    <w:rsid w:val="00B32098"/>
    <w:rsid w:val="00B332BA"/>
    <w:rsid w:val="00B333DE"/>
    <w:rsid w:val="00B33586"/>
    <w:rsid w:val="00B33FAD"/>
    <w:rsid w:val="00B340D1"/>
    <w:rsid w:val="00B341DD"/>
    <w:rsid w:val="00B34311"/>
    <w:rsid w:val="00B345C0"/>
    <w:rsid w:val="00B352EF"/>
    <w:rsid w:val="00B3557A"/>
    <w:rsid w:val="00B35629"/>
    <w:rsid w:val="00B35A41"/>
    <w:rsid w:val="00B35A56"/>
    <w:rsid w:val="00B35A84"/>
    <w:rsid w:val="00B35ABA"/>
    <w:rsid w:val="00B35B40"/>
    <w:rsid w:val="00B36031"/>
    <w:rsid w:val="00B3665E"/>
    <w:rsid w:val="00B36CBA"/>
    <w:rsid w:val="00B36EAD"/>
    <w:rsid w:val="00B371A0"/>
    <w:rsid w:val="00B37C48"/>
    <w:rsid w:val="00B40758"/>
    <w:rsid w:val="00B40B57"/>
    <w:rsid w:val="00B40C24"/>
    <w:rsid w:val="00B415B1"/>
    <w:rsid w:val="00B415CB"/>
    <w:rsid w:val="00B415F1"/>
    <w:rsid w:val="00B41E79"/>
    <w:rsid w:val="00B43893"/>
    <w:rsid w:val="00B43E87"/>
    <w:rsid w:val="00B43EA1"/>
    <w:rsid w:val="00B4401F"/>
    <w:rsid w:val="00B442B6"/>
    <w:rsid w:val="00B44EDD"/>
    <w:rsid w:val="00B4523C"/>
    <w:rsid w:val="00B4554A"/>
    <w:rsid w:val="00B458BB"/>
    <w:rsid w:val="00B46AEF"/>
    <w:rsid w:val="00B46EB8"/>
    <w:rsid w:val="00B46FDC"/>
    <w:rsid w:val="00B47073"/>
    <w:rsid w:val="00B4770F"/>
    <w:rsid w:val="00B47887"/>
    <w:rsid w:val="00B50690"/>
    <w:rsid w:val="00B50706"/>
    <w:rsid w:val="00B508AC"/>
    <w:rsid w:val="00B50961"/>
    <w:rsid w:val="00B50CED"/>
    <w:rsid w:val="00B5104E"/>
    <w:rsid w:val="00B512B4"/>
    <w:rsid w:val="00B519EF"/>
    <w:rsid w:val="00B51F90"/>
    <w:rsid w:val="00B5239A"/>
    <w:rsid w:val="00B52D41"/>
    <w:rsid w:val="00B5386F"/>
    <w:rsid w:val="00B5421A"/>
    <w:rsid w:val="00B547FC"/>
    <w:rsid w:val="00B548C3"/>
    <w:rsid w:val="00B54A9D"/>
    <w:rsid w:val="00B54AF0"/>
    <w:rsid w:val="00B565EC"/>
    <w:rsid w:val="00B56FD3"/>
    <w:rsid w:val="00B5770D"/>
    <w:rsid w:val="00B57743"/>
    <w:rsid w:val="00B57A85"/>
    <w:rsid w:val="00B57B77"/>
    <w:rsid w:val="00B609C2"/>
    <w:rsid w:val="00B60C3A"/>
    <w:rsid w:val="00B614D8"/>
    <w:rsid w:val="00B61AAD"/>
    <w:rsid w:val="00B626DD"/>
    <w:rsid w:val="00B627AF"/>
    <w:rsid w:val="00B62C17"/>
    <w:rsid w:val="00B633C9"/>
    <w:rsid w:val="00B63D81"/>
    <w:rsid w:val="00B640C1"/>
    <w:rsid w:val="00B6425D"/>
    <w:rsid w:val="00B651B6"/>
    <w:rsid w:val="00B65993"/>
    <w:rsid w:val="00B67A4F"/>
    <w:rsid w:val="00B67EA5"/>
    <w:rsid w:val="00B70116"/>
    <w:rsid w:val="00B7020F"/>
    <w:rsid w:val="00B706AF"/>
    <w:rsid w:val="00B719CB"/>
    <w:rsid w:val="00B71AD6"/>
    <w:rsid w:val="00B7228C"/>
    <w:rsid w:val="00B729EB"/>
    <w:rsid w:val="00B746C5"/>
    <w:rsid w:val="00B77B9B"/>
    <w:rsid w:val="00B80387"/>
    <w:rsid w:val="00B80789"/>
    <w:rsid w:val="00B84103"/>
    <w:rsid w:val="00B8483A"/>
    <w:rsid w:val="00B84BFD"/>
    <w:rsid w:val="00B85970"/>
    <w:rsid w:val="00B85973"/>
    <w:rsid w:val="00B86E5A"/>
    <w:rsid w:val="00B87C18"/>
    <w:rsid w:val="00B87D02"/>
    <w:rsid w:val="00B903F1"/>
    <w:rsid w:val="00B90EB6"/>
    <w:rsid w:val="00B90EF5"/>
    <w:rsid w:val="00B92197"/>
    <w:rsid w:val="00B932CF"/>
    <w:rsid w:val="00B93C94"/>
    <w:rsid w:val="00B94B74"/>
    <w:rsid w:val="00B94F19"/>
    <w:rsid w:val="00B95154"/>
    <w:rsid w:val="00B952BA"/>
    <w:rsid w:val="00B95A47"/>
    <w:rsid w:val="00B95CA0"/>
    <w:rsid w:val="00B962F3"/>
    <w:rsid w:val="00B97143"/>
    <w:rsid w:val="00BA02CE"/>
    <w:rsid w:val="00BA11ED"/>
    <w:rsid w:val="00BA178F"/>
    <w:rsid w:val="00BA1A78"/>
    <w:rsid w:val="00BA1DB1"/>
    <w:rsid w:val="00BA252B"/>
    <w:rsid w:val="00BA2866"/>
    <w:rsid w:val="00BA294A"/>
    <w:rsid w:val="00BA3780"/>
    <w:rsid w:val="00BA45D2"/>
    <w:rsid w:val="00BA47F6"/>
    <w:rsid w:val="00BA4B7D"/>
    <w:rsid w:val="00BA5C6B"/>
    <w:rsid w:val="00BA616B"/>
    <w:rsid w:val="00BA6720"/>
    <w:rsid w:val="00BA7CCA"/>
    <w:rsid w:val="00BA7D5C"/>
    <w:rsid w:val="00BB01B9"/>
    <w:rsid w:val="00BB0698"/>
    <w:rsid w:val="00BB1682"/>
    <w:rsid w:val="00BB1726"/>
    <w:rsid w:val="00BB2421"/>
    <w:rsid w:val="00BB2732"/>
    <w:rsid w:val="00BB2E02"/>
    <w:rsid w:val="00BB31CB"/>
    <w:rsid w:val="00BB49C8"/>
    <w:rsid w:val="00BB52CB"/>
    <w:rsid w:val="00BB59A2"/>
    <w:rsid w:val="00BB5E5A"/>
    <w:rsid w:val="00BB6178"/>
    <w:rsid w:val="00BB6D84"/>
    <w:rsid w:val="00BB741E"/>
    <w:rsid w:val="00BB760E"/>
    <w:rsid w:val="00BB7A4C"/>
    <w:rsid w:val="00BB7D31"/>
    <w:rsid w:val="00BC0D65"/>
    <w:rsid w:val="00BC1411"/>
    <w:rsid w:val="00BC1856"/>
    <w:rsid w:val="00BC1F8F"/>
    <w:rsid w:val="00BC242D"/>
    <w:rsid w:val="00BC2C83"/>
    <w:rsid w:val="00BC40F0"/>
    <w:rsid w:val="00BC4969"/>
    <w:rsid w:val="00BC52DF"/>
    <w:rsid w:val="00BC5421"/>
    <w:rsid w:val="00BC6036"/>
    <w:rsid w:val="00BC71E1"/>
    <w:rsid w:val="00BC77D9"/>
    <w:rsid w:val="00BC7958"/>
    <w:rsid w:val="00BC7D96"/>
    <w:rsid w:val="00BD0467"/>
    <w:rsid w:val="00BD0558"/>
    <w:rsid w:val="00BD058E"/>
    <w:rsid w:val="00BD13B9"/>
    <w:rsid w:val="00BD16DA"/>
    <w:rsid w:val="00BD19DD"/>
    <w:rsid w:val="00BD2707"/>
    <w:rsid w:val="00BD2862"/>
    <w:rsid w:val="00BD350C"/>
    <w:rsid w:val="00BD3F0B"/>
    <w:rsid w:val="00BD417E"/>
    <w:rsid w:val="00BD44BC"/>
    <w:rsid w:val="00BD4A7D"/>
    <w:rsid w:val="00BD533F"/>
    <w:rsid w:val="00BD5948"/>
    <w:rsid w:val="00BD598C"/>
    <w:rsid w:val="00BD59DE"/>
    <w:rsid w:val="00BD5B79"/>
    <w:rsid w:val="00BD6619"/>
    <w:rsid w:val="00BD761A"/>
    <w:rsid w:val="00BD7675"/>
    <w:rsid w:val="00BD7B32"/>
    <w:rsid w:val="00BE203F"/>
    <w:rsid w:val="00BE218C"/>
    <w:rsid w:val="00BE284C"/>
    <w:rsid w:val="00BE3B5C"/>
    <w:rsid w:val="00BE3F7A"/>
    <w:rsid w:val="00BE489C"/>
    <w:rsid w:val="00BE528D"/>
    <w:rsid w:val="00BE60DC"/>
    <w:rsid w:val="00BE65F4"/>
    <w:rsid w:val="00BF01E5"/>
    <w:rsid w:val="00BF03C1"/>
    <w:rsid w:val="00BF199E"/>
    <w:rsid w:val="00BF32A6"/>
    <w:rsid w:val="00BF3CC0"/>
    <w:rsid w:val="00BF3F5C"/>
    <w:rsid w:val="00BF4388"/>
    <w:rsid w:val="00BF45C1"/>
    <w:rsid w:val="00BF5ED7"/>
    <w:rsid w:val="00BF6777"/>
    <w:rsid w:val="00BF67FC"/>
    <w:rsid w:val="00BF6963"/>
    <w:rsid w:val="00BF6C32"/>
    <w:rsid w:val="00BF6D25"/>
    <w:rsid w:val="00BF7A51"/>
    <w:rsid w:val="00C01304"/>
    <w:rsid w:val="00C01873"/>
    <w:rsid w:val="00C01D08"/>
    <w:rsid w:val="00C02048"/>
    <w:rsid w:val="00C02454"/>
    <w:rsid w:val="00C038F1"/>
    <w:rsid w:val="00C04481"/>
    <w:rsid w:val="00C04ACD"/>
    <w:rsid w:val="00C04AEA"/>
    <w:rsid w:val="00C04FFF"/>
    <w:rsid w:val="00C0501B"/>
    <w:rsid w:val="00C05550"/>
    <w:rsid w:val="00C05F8C"/>
    <w:rsid w:val="00C062E0"/>
    <w:rsid w:val="00C065E1"/>
    <w:rsid w:val="00C06BE4"/>
    <w:rsid w:val="00C06C18"/>
    <w:rsid w:val="00C07012"/>
    <w:rsid w:val="00C076CA"/>
    <w:rsid w:val="00C077BA"/>
    <w:rsid w:val="00C10925"/>
    <w:rsid w:val="00C11236"/>
    <w:rsid w:val="00C117A8"/>
    <w:rsid w:val="00C121D9"/>
    <w:rsid w:val="00C12D6D"/>
    <w:rsid w:val="00C134F0"/>
    <w:rsid w:val="00C138A3"/>
    <w:rsid w:val="00C13A8C"/>
    <w:rsid w:val="00C13ADC"/>
    <w:rsid w:val="00C14CBF"/>
    <w:rsid w:val="00C14DD9"/>
    <w:rsid w:val="00C14E0E"/>
    <w:rsid w:val="00C15639"/>
    <w:rsid w:val="00C156A0"/>
    <w:rsid w:val="00C161BB"/>
    <w:rsid w:val="00C166BB"/>
    <w:rsid w:val="00C16CFB"/>
    <w:rsid w:val="00C17384"/>
    <w:rsid w:val="00C1764B"/>
    <w:rsid w:val="00C178B6"/>
    <w:rsid w:val="00C20100"/>
    <w:rsid w:val="00C20344"/>
    <w:rsid w:val="00C20624"/>
    <w:rsid w:val="00C208CA"/>
    <w:rsid w:val="00C20A21"/>
    <w:rsid w:val="00C20E0D"/>
    <w:rsid w:val="00C21D30"/>
    <w:rsid w:val="00C22C6D"/>
    <w:rsid w:val="00C231B3"/>
    <w:rsid w:val="00C24511"/>
    <w:rsid w:val="00C245FC"/>
    <w:rsid w:val="00C251AC"/>
    <w:rsid w:val="00C255E7"/>
    <w:rsid w:val="00C25E6E"/>
    <w:rsid w:val="00C26907"/>
    <w:rsid w:val="00C27064"/>
    <w:rsid w:val="00C3045F"/>
    <w:rsid w:val="00C3091D"/>
    <w:rsid w:val="00C30B26"/>
    <w:rsid w:val="00C30B7A"/>
    <w:rsid w:val="00C31511"/>
    <w:rsid w:val="00C31550"/>
    <w:rsid w:val="00C32444"/>
    <w:rsid w:val="00C336EA"/>
    <w:rsid w:val="00C338E9"/>
    <w:rsid w:val="00C33FF5"/>
    <w:rsid w:val="00C34A5E"/>
    <w:rsid w:val="00C36C03"/>
    <w:rsid w:val="00C36E43"/>
    <w:rsid w:val="00C37134"/>
    <w:rsid w:val="00C37213"/>
    <w:rsid w:val="00C37440"/>
    <w:rsid w:val="00C37A88"/>
    <w:rsid w:val="00C40548"/>
    <w:rsid w:val="00C409A2"/>
    <w:rsid w:val="00C4164D"/>
    <w:rsid w:val="00C41731"/>
    <w:rsid w:val="00C41F50"/>
    <w:rsid w:val="00C42D51"/>
    <w:rsid w:val="00C42E46"/>
    <w:rsid w:val="00C43406"/>
    <w:rsid w:val="00C43B0D"/>
    <w:rsid w:val="00C4423F"/>
    <w:rsid w:val="00C44522"/>
    <w:rsid w:val="00C44DAA"/>
    <w:rsid w:val="00C451E5"/>
    <w:rsid w:val="00C4679E"/>
    <w:rsid w:val="00C46BF3"/>
    <w:rsid w:val="00C46D49"/>
    <w:rsid w:val="00C47E05"/>
    <w:rsid w:val="00C503B2"/>
    <w:rsid w:val="00C50B4A"/>
    <w:rsid w:val="00C5150A"/>
    <w:rsid w:val="00C51C10"/>
    <w:rsid w:val="00C52251"/>
    <w:rsid w:val="00C52A96"/>
    <w:rsid w:val="00C53190"/>
    <w:rsid w:val="00C53447"/>
    <w:rsid w:val="00C5394D"/>
    <w:rsid w:val="00C544AB"/>
    <w:rsid w:val="00C57009"/>
    <w:rsid w:val="00C57A7D"/>
    <w:rsid w:val="00C57B25"/>
    <w:rsid w:val="00C603D3"/>
    <w:rsid w:val="00C60827"/>
    <w:rsid w:val="00C6104B"/>
    <w:rsid w:val="00C630CA"/>
    <w:rsid w:val="00C63146"/>
    <w:rsid w:val="00C63397"/>
    <w:rsid w:val="00C64046"/>
    <w:rsid w:val="00C64D40"/>
    <w:rsid w:val="00C64EDA"/>
    <w:rsid w:val="00C65039"/>
    <w:rsid w:val="00C65C6C"/>
    <w:rsid w:val="00C66437"/>
    <w:rsid w:val="00C6647F"/>
    <w:rsid w:val="00C6648C"/>
    <w:rsid w:val="00C66604"/>
    <w:rsid w:val="00C66945"/>
    <w:rsid w:val="00C66989"/>
    <w:rsid w:val="00C67B2A"/>
    <w:rsid w:val="00C70362"/>
    <w:rsid w:val="00C705A0"/>
    <w:rsid w:val="00C727A0"/>
    <w:rsid w:val="00C741AE"/>
    <w:rsid w:val="00C747BD"/>
    <w:rsid w:val="00C76F03"/>
    <w:rsid w:val="00C770D2"/>
    <w:rsid w:val="00C77133"/>
    <w:rsid w:val="00C77951"/>
    <w:rsid w:val="00C77F5B"/>
    <w:rsid w:val="00C80222"/>
    <w:rsid w:val="00C80367"/>
    <w:rsid w:val="00C80BD8"/>
    <w:rsid w:val="00C80C65"/>
    <w:rsid w:val="00C8266D"/>
    <w:rsid w:val="00C82844"/>
    <w:rsid w:val="00C82CA5"/>
    <w:rsid w:val="00C83B43"/>
    <w:rsid w:val="00C8414D"/>
    <w:rsid w:val="00C852CD"/>
    <w:rsid w:val="00C8548B"/>
    <w:rsid w:val="00C860AC"/>
    <w:rsid w:val="00C86B0B"/>
    <w:rsid w:val="00C877DF"/>
    <w:rsid w:val="00C87843"/>
    <w:rsid w:val="00C879EB"/>
    <w:rsid w:val="00C9055E"/>
    <w:rsid w:val="00C90728"/>
    <w:rsid w:val="00C90935"/>
    <w:rsid w:val="00C923C8"/>
    <w:rsid w:val="00C928E5"/>
    <w:rsid w:val="00C934F5"/>
    <w:rsid w:val="00C939AE"/>
    <w:rsid w:val="00C94169"/>
    <w:rsid w:val="00C9513D"/>
    <w:rsid w:val="00C95AA9"/>
    <w:rsid w:val="00C95B34"/>
    <w:rsid w:val="00C965D2"/>
    <w:rsid w:val="00C96DF7"/>
    <w:rsid w:val="00C96EA2"/>
    <w:rsid w:val="00C97801"/>
    <w:rsid w:val="00C99A97"/>
    <w:rsid w:val="00CA0901"/>
    <w:rsid w:val="00CA11A1"/>
    <w:rsid w:val="00CA1B2B"/>
    <w:rsid w:val="00CA233F"/>
    <w:rsid w:val="00CA3471"/>
    <w:rsid w:val="00CA35C4"/>
    <w:rsid w:val="00CA3D13"/>
    <w:rsid w:val="00CA457C"/>
    <w:rsid w:val="00CA46F8"/>
    <w:rsid w:val="00CA5D16"/>
    <w:rsid w:val="00CA5D8C"/>
    <w:rsid w:val="00CA70AA"/>
    <w:rsid w:val="00CA7656"/>
    <w:rsid w:val="00CA7976"/>
    <w:rsid w:val="00CA7E71"/>
    <w:rsid w:val="00CB09BC"/>
    <w:rsid w:val="00CB101C"/>
    <w:rsid w:val="00CB1027"/>
    <w:rsid w:val="00CB13FA"/>
    <w:rsid w:val="00CB1A7A"/>
    <w:rsid w:val="00CB28F8"/>
    <w:rsid w:val="00CB313D"/>
    <w:rsid w:val="00CB33E0"/>
    <w:rsid w:val="00CB3B72"/>
    <w:rsid w:val="00CB3DE2"/>
    <w:rsid w:val="00CB3EC0"/>
    <w:rsid w:val="00CB40CC"/>
    <w:rsid w:val="00CB4BFD"/>
    <w:rsid w:val="00CB4FCF"/>
    <w:rsid w:val="00CB5509"/>
    <w:rsid w:val="00CB55A3"/>
    <w:rsid w:val="00CB604A"/>
    <w:rsid w:val="00CB6F2E"/>
    <w:rsid w:val="00CB72D2"/>
    <w:rsid w:val="00CB7656"/>
    <w:rsid w:val="00CC0497"/>
    <w:rsid w:val="00CC0635"/>
    <w:rsid w:val="00CC2564"/>
    <w:rsid w:val="00CC3E78"/>
    <w:rsid w:val="00CC568E"/>
    <w:rsid w:val="00CC5850"/>
    <w:rsid w:val="00CC62CB"/>
    <w:rsid w:val="00CC6F71"/>
    <w:rsid w:val="00CC7623"/>
    <w:rsid w:val="00CC7D42"/>
    <w:rsid w:val="00CD0641"/>
    <w:rsid w:val="00CD09EE"/>
    <w:rsid w:val="00CD2391"/>
    <w:rsid w:val="00CD3202"/>
    <w:rsid w:val="00CD3443"/>
    <w:rsid w:val="00CD3F2E"/>
    <w:rsid w:val="00CD458F"/>
    <w:rsid w:val="00CD4CCC"/>
    <w:rsid w:val="00CD6463"/>
    <w:rsid w:val="00CD6C5B"/>
    <w:rsid w:val="00CD6D31"/>
    <w:rsid w:val="00CD7FAC"/>
    <w:rsid w:val="00CE03DC"/>
    <w:rsid w:val="00CE062C"/>
    <w:rsid w:val="00CE07F1"/>
    <w:rsid w:val="00CE1895"/>
    <w:rsid w:val="00CE23F6"/>
    <w:rsid w:val="00CE2AD4"/>
    <w:rsid w:val="00CE359B"/>
    <w:rsid w:val="00CE3A4B"/>
    <w:rsid w:val="00CE448A"/>
    <w:rsid w:val="00CE5332"/>
    <w:rsid w:val="00CE59AA"/>
    <w:rsid w:val="00CF14A6"/>
    <w:rsid w:val="00CF16E8"/>
    <w:rsid w:val="00CF1BBC"/>
    <w:rsid w:val="00CF23F2"/>
    <w:rsid w:val="00CF2C9C"/>
    <w:rsid w:val="00CF3635"/>
    <w:rsid w:val="00CF3CC7"/>
    <w:rsid w:val="00CF4044"/>
    <w:rsid w:val="00CF4CDB"/>
    <w:rsid w:val="00CF50C5"/>
    <w:rsid w:val="00CF52B6"/>
    <w:rsid w:val="00CF58FA"/>
    <w:rsid w:val="00CF5CC7"/>
    <w:rsid w:val="00CF60A6"/>
    <w:rsid w:val="00CF62E3"/>
    <w:rsid w:val="00CF6568"/>
    <w:rsid w:val="00CF66D8"/>
    <w:rsid w:val="00CF7016"/>
    <w:rsid w:val="00D007B8"/>
    <w:rsid w:val="00D0137C"/>
    <w:rsid w:val="00D016E3"/>
    <w:rsid w:val="00D01C99"/>
    <w:rsid w:val="00D02256"/>
    <w:rsid w:val="00D0340F"/>
    <w:rsid w:val="00D03441"/>
    <w:rsid w:val="00D03BE1"/>
    <w:rsid w:val="00D044B5"/>
    <w:rsid w:val="00D04F87"/>
    <w:rsid w:val="00D05AFA"/>
    <w:rsid w:val="00D05C5A"/>
    <w:rsid w:val="00D06537"/>
    <w:rsid w:val="00D06EB1"/>
    <w:rsid w:val="00D0743E"/>
    <w:rsid w:val="00D104DF"/>
    <w:rsid w:val="00D10682"/>
    <w:rsid w:val="00D10CD2"/>
    <w:rsid w:val="00D10EF0"/>
    <w:rsid w:val="00D11D70"/>
    <w:rsid w:val="00D13DD1"/>
    <w:rsid w:val="00D14666"/>
    <w:rsid w:val="00D15BC0"/>
    <w:rsid w:val="00D15CBA"/>
    <w:rsid w:val="00D1655C"/>
    <w:rsid w:val="00D1669A"/>
    <w:rsid w:val="00D1743E"/>
    <w:rsid w:val="00D17CB9"/>
    <w:rsid w:val="00D207E0"/>
    <w:rsid w:val="00D21931"/>
    <w:rsid w:val="00D21D4E"/>
    <w:rsid w:val="00D22038"/>
    <w:rsid w:val="00D22853"/>
    <w:rsid w:val="00D22FA3"/>
    <w:rsid w:val="00D22FFF"/>
    <w:rsid w:val="00D2392F"/>
    <w:rsid w:val="00D23EA7"/>
    <w:rsid w:val="00D24034"/>
    <w:rsid w:val="00D240A0"/>
    <w:rsid w:val="00D24208"/>
    <w:rsid w:val="00D243CD"/>
    <w:rsid w:val="00D24AAC"/>
    <w:rsid w:val="00D24F21"/>
    <w:rsid w:val="00D27B2B"/>
    <w:rsid w:val="00D27DD4"/>
    <w:rsid w:val="00D27F24"/>
    <w:rsid w:val="00D27F50"/>
    <w:rsid w:val="00D309DF"/>
    <w:rsid w:val="00D30D4C"/>
    <w:rsid w:val="00D3124D"/>
    <w:rsid w:val="00D312E9"/>
    <w:rsid w:val="00D31970"/>
    <w:rsid w:val="00D3298C"/>
    <w:rsid w:val="00D32ADC"/>
    <w:rsid w:val="00D32C86"/>
    <w:rsid w:val="00D33267"/>
    <w:rsid w:val="00D34C75"/>
    <w:rsid w:val="00D357FA"/>
    <w:rsid w:val="00D373D2"/>
    <w:rsid w:val="00D37FBD"/>
    <w:rsid w:val="00D40060"/>
    <w:rsid w:val="00D4089D"/>
    <w:rsid w:val="00D40C6B"/>
    <w:rsid w:val="00D412B2"/>
    <w:rsid w:val="00D42C72"/>
    <w:rsid w:val="00D43099"/>
    <w:rsid w:val="00D43122"/>
    <w:rsid w:val="00D4316A"/>
    <w:rsid w:val="00D43908"/>
    <w:rsid w:val="00D43EDB"/>
    <w:rsid w:val="00D44D33"/>
    <w:rsid w:val="00D45AF3"/>
    <w:rsid w:val="00D45D42"/>
    <w:rsid w:val="00D46764"/>
    <w:rsid w:val="00D46BC5"/>
    <w:rsid w:val="00D46BF6"/>
    <w:rsid w:val="00D46F1A"/>
    <w:rsid w:val="00D51500"/>
    <w:rsid w:val="00D51519"/>
    <w:rsid w:val="00D51A12"/>
    <w:rsid w:val="00D525BC"/>
    <w:rsid w:val="00D52C8D"/>
    <w:rsid w:val="00D52E57"/>
    <w:rsid w:val="00D53DC7"/>
    <w:rsid w:val="00D541E5"/>
    <w:rsid w:val="00D5472C"/>
    <w:rsid w:val="00D547B3"/>
    <w:rsid w:val="00D55333"/>
    <w:rsid w:val="00D55A89"/>
    <w:rsid w:val="00D55FD4"/>
    <w:rsid w:val="00D600D3"/>
    <w:rsid w:val="00D60D5B"/>
    <w:rsid w:val="00D61858"/>
    <w:rsid w:val="00D62C0A"/>
    <w:rsid w:val="00D62D91"/>
    <w:rsid w:val="00D630ED"/>
    <w:rsid w:val="00D63590"/>
    <w:rsid w:val="00D63C73"/>
    <w:rsid w:val="00D653A5"/>
    <w:rsid w:val="00D65A5F"/>
    <w:rsid w:val="00D664D8"/>
    <w:rsid w:val="00D669FF"/>
    <w:rsid w:val="00D66FBB"/>
    <w:rsid w:val="00D676EB"/>
    <w:rsid w:val="00D67895"/>
    <w:rsid w:val="00D67D9A"/>
    <w:rsid w:val="00D709F5"/>
    <w:rsid w:val="00D71BC8"/>
    <w:rsid w:val="00D73B95"/>
    <w:rsid w:val="00D7463C"/>
    <w:rsid w:val="00D758E4"/>
    <w:rsid w:val="00D75ED9"/>
    <w:rsid w:val="00D77B07"/>
    <w:rsid w:val="00D809F1"/>
    <w:rsid w:val="00D81148"/>
    <w:rsid w:val="00D813BC"/>
    <w:rsid w:val="00D81586"/>
    <w:rsid w:val="00D81AA8"/>
    <w:rsid w:val="00D81B77"/>
    <w:rsid w:val="00D81D41"/>
    <w:rsid w:val="00D824CB"/>
    <w:rsid w:val="00D83078"/>
    <w:rsid w:val="00D83A1F"/>
    <w:rsid w:val="00D83F3E"/>
    <w:rsid w:val="00D84076"/>
    <w:rsid w:val="00D842FD"/>
    <w:rsid w:val="00D845AB"/>
    <w:rsid w:val="00D847E8"/>
    <w:rsid w:val="00D85422"/>
    <w:rsid w:val="00D859A9"/>
    <w:rsid w:val="00D864C9"/>
    <w:rsid w:val="00D8734B"/>
    <w:rsid w:val="00D875A1"/>
    <w:rsid w:val="00D9172E"/>
    <w:rsid w:val="00D92442"/>
    <w:rsid w:val="00D926C0"/>
    <w:rsid w:val="00D93475"/>
    <w:rsid w:val="00D93AF0"/>
    <w:rsid w:val="00D94099"/>
    <w:rsid w:val="00D9466D"/>
    <w:rsid w:val="00D948BA"/>
    <w:rsid w:val="00D95401"/>
    <w:rsid w:val="00D9567C"/>
    <w:rsid w:val="00D95D56"/>
    <w:rsid w:val="00D961B3"/>
    <w:rsid w:val="00D9693A"/>
    <w:rsid w:val="00D97281"/>
    <w:rsid w:val="00D97B67"/>
    <w:rsid w:val="00D97BA6"/>
    <w:rsid w:val="00D97BE6"/>
    <w:rsid w:val="00DA05F2"/>
    <w:rsid w:val="00DA0656"/>
    <w:rsid w:val="00DA1663"/>
    <w:rsid w:val="00DA1F1F"/>
    <w:rsid w:val="00DA1FF1"/>
    <w:rsid w:val="00DA2273"/>
    <w:rsid w:val="00DA2DEE"/>
    <w:rsid w:val="00DA3040"/>
    <w:rsid w:val="00DA3C0D"/>
    <w:rsid w:val="00DA476C"/>
    <w:rsid w:val="00DA47E5"/>
    <w:rsid w:val="00DA4BC8"/>
    <w:rsid w:val="00DA4E40"/>
    <w:rsid w:val="00DA5CDF"/>
    <w:rsid w:val="00DA631B"/>
    <w:rsid w:val="00DA64AD"/>
    <w:rsid w:val="00DA6ABF"/>
    <w:rsid w:val="00DA7033"/>
    <w:rsid w:val="00DA72FC"/>
    <w:rsid w:val="00DA765D"/>
    <w:rsid w:val="00DA7C82"/>
    <w:rsid w:val="00DB0D2E"/>
    <w:rsid w:val="00DB0FAD"/>
    <w:rsid w:val="00DB10F9"/>
    <w:rsid w:val="00DB1732"/>
    <w:rsid w:val="00DB19CC"/>
    <w:rsid w:val="00DB1A31"/>
    <w:rsid w:val="00DB1A94"/>
    <w:rsid w:val="00DB1A9E"/>
    <w:rsid w:val="00DB1C0E"/>
    <w:rsid w:val="00DB1DC5"/>
    <w:rsid w:val="00DB22B8"/>
    <w:rsid w:val="00DB231D"/>
    <w:rsid w:val="00DB259B"/>
    <w:rsid w:val="00DB27C6"/>
    <w:rsid w:val="00DB2F29"/>
    <w:rsid w:val="00DB323B"/>
    <w:rsid w:val="00DB48ED"/>
    <w:rsid w:val="00DB5444"/>
    <w:rsid w:val="00DB5808"/>
    <w:rsid w:val="00DB5EC7"/>
    <w:rsid w:val="00DB6AF5"/>
    <w:rsid w:val="00DB6D34"/>
    <w:rsid w:val="00DB723D"/>
    <w:rsid w:val="00DB7ADF"/>
    <w:rsid w:val="00DB7D05"/>
    <w:rsid w:val="00DC0D22"/>
    <w:rsid w:val="00DC1497"/>
    <w:rsid w:val="00DC1822"/>
    <w:rsid w:val="00DC18FD"/>
    <w:rsid w:val="00DC2118"/>
    <w:rsid w:val="00DC2F61"/>
    <w:rsid w:val="00DC35F8"/>
    <w:rsid w:val="00DC3994"/>
    <w:rsid w:val="00DC3AE5"/>
    <w:rsid w:val="00DC3D37"/>
    <w:rsid w:val="00DC4A79"/>
    <w:rsid w:val="00DC5133"/>
    <w:rsid w:val="00DC5414"/>
    <w:rsid w:val="00DC5659"/>
    <w:rsid w:val="00DC5E81"/>
    <w:rsid w:val="00DC66F4"/>
    <w:rsid w:val="00DC677B"/>
    <w:rsid w:val="00DC688C"/>
    <w:rsid w:val="00DC68C6"/>
    <w:rsid w:val="00DC7320"/>
    <w:rsid w:val="00DC739E"/>
    <w:rsid w:val="00DC759F"/>
    <w:rsid w:val="00DD0F5E"/>
    <w:rsid w:val="00DD15E6"/>
    <w:rsid w:val="00DD19BE"/>
    <w:rsid w:val="00DD1FBE"/>
    <w:rsid w:val="00DD20CC"/>
    <w:rsid w:val="00DD21C7"/>
    <w:rsid w:val="00DD2536"/>
    <w:rsid w:val="00DD3B8A"/>
    <w:rsid w:val="00DD40B5"/>
    <w:rsid w:val="00DD4E37"/>
    <w:rsid w:val="00DD5315"/>
    <w:rsid w:val="00DD582A"/>
    <w:rsid w:val="00DD60C3"/>
    <w:rsid w:val="00DD704A"/>
    <w:rsid w:val="00DD76FE"/>
    <w:rsid w:val="00DE0BDC"/>
    <w:rsid w:val="00DE0DB4"/>
    <w:rsid w:val="00DE1664"/>
    <w:rsid w:val="00DE16AA"/>
    <w:rsid w:val="00DE1947"/>
    <w:rsid w:val="00DE1DB4"/>
    <w:rsid w:val="00DE219D"/>
    <w:rsid w:val="00DE2608"/>
    <w:rsid w:val="00DE318F"/>
    <w:rsid w:val="00DE3850"/>
    <w:rsid w:val="00DE38D8"/>
    <w:rsid w:val="00DE44F8"/>
    <w:rsid w:val="00DE4EEB"/>
    <w:rsid w:val="00DE5A37"/>
    <w:rsid w:val="00DE5BFB"/>
    <w:rsid w:val="00DE653D"/>
    <w:rsid w:val="00DE7E20"/>
    <w:rsid w:val="00DE7F32"/>
    <w:rsid w:val="00DE7F63"/>
    <w:rsid w:val="00DF17DA"/>
    <w:rsid w:val="00DF1B39"/>
    <w:rsid w:val="00DF1CCF"/>
    <w:rsid w:val="00DF2101"/>
    <w:rsid w:val="00DF38C7"/>
    <w:rsid w:val="00DF4E54"/>
    <w:rsid w:val="00DF57C5"/>
    <w:rsid w:val="00DF5825"/>
    <w:rsid w:val="00DF65FC"/>
    <w:rsid w:val="00DF66B3"/>
    <w:rsid w:val="00DF6771"/>
    <w:rsid w:val="00DF6979"/>
    <w:rsid w:val="00DF7634"/>
    <w:rsid w:val="00E00A20"/>
    <w:rsid w:val="00E00C1F"/>
    <w:rsid w:val="00E01113"/>
    <w:rsid w:val="00E016AE"/>
    <w:rsid w:val="00E01BB4"/>
    <w:rsid w:val="00E01F7F"/>
    <w:rsid w:val="00E021E3"/>
    <w:rsid w:val="00E0267E"/>
    <w:rsid w:val="00E03465"/>
    <w:rsid w:val="00E04962"/>
    <w:rsid w:val="00E059BC"/>
    <w:rsid w:val="00E05E75"/>
    <w:rsid w:val="00E06064"/>
    <w:rsid w:val="00E0608A"/>
    <w:rsid w:val="00E065DD"/>
    <w:rsid w:val="00E06AB5"/>
    <w:rsid w:val="00E07D30"/>
    <w:rsid w:val="00E10A7F"/>
    <w:rsid w:val="00E113A3"/>
    <w:rsid w:val="00E11FCF"/>
    <w:rsid w:val="00E12046"/>
    <w:rsid w:val="00E12272"/>
    <w:rsid w:val="00E122C5"/>
    <w:rsid w:val="00E12717"/>
    <w:rsid w:val="00E129F5"/>
    <w:rsid w:val="00E12A81"/>
    <w:rsid w:val="00E12E6F"/>
    <w:rsid w:val="00E13B30"/>
    <w:rsid w:val="00E13B39"/>
    <w:rsid w:val="00E1403E"/>
    <w:rsid w:val="00E140AC"/>
    <w:rsid w:val="00E1451A"/>
    <w:rsid w:val="00E14F40"/>
    <w:rsid w:val="00E155C4"/>
    <w:rsid w:val="00E167EC"/>
    <w:rsid w:val="00E1685A"/>
    <w:rsid w:val="00E17080"/>
    <w:rsid w:val="00E170C9"/>
    <w:rsid w:val="00E17AF0"/>
    <w:rsid w:val="00E20077"/>
    <w:rsid w:val="00E209E4"/>
    <w:rsid w:val="00E21018"/>
    <w:rsid w:val="00E21567"/>
    <w:rsid w:val="00E218F4"/>
    <w:rsid w:val="00E22506"/>
    <w:rsid w:val="00E22AE6"/>
    <w:rsid w:val="00E23084"/>
    <w:rsid w:val="00E23600"/>
    <w:rsid w:val="00E24071"/>
    <w:rsid w:val="00E242A9"/>
    <w:rsid w:val="00E24423"/>
    <w:rsid w:val="00E246F1"/>
    <w:rsid w:val="00E24922"/>
    <w:rsid w:val="00E2567A"/>
    <w:rsid w:val="00E27B35"/>
    <w:rsid w:val="00E33073"/>
    <w:rsid w:val="00E336F4"/>
    <w:rsid w:val="00E3392F"/>
    <w:rsid w:val="00E33998"/>
    <w:rsid w:val="00E33C96"/>
    <w:rsid w:val="00E36095"/>
    <w:rsid w:val="00E3624D"/>
    <w:rsid w:val="00E36DDB"/>
    <w:rsid w:val="00E376CF"/>
    <w:rsid w:val="00E37827"/>
    <w:rsid w:val="00E379B2"/>
    <w:rsid w:val="00E37AB0"/>
    <w:rsid w:val="00E4007F"/>
    <w:rsid w:val="00E406C6"/>
    <w:rsid w:val="00E413B0"/>
    <w:rsid w:val="00E41685"/>
    <w:rsid w:val="00E41A46"/>
    <w:rsid w:val="00E41B6F"/>
    <w:rsid w:val="00E41B8F"/>
    <w:rsid w:val="00E41CD7"/>
    <w:rsid w:val="00E42184"/>
    <w:rsid w:val="00E434B6"/>
    <w:rsid w:val="00E43A2D"/>
    <w:rsid w:val="00E43E73"/>
    <w:rsid w:val="00E4485A"/>
    <w:rsid w:val="00E4493D"/>
    <w:rsid w:val="00E461D0"/>
    <w:rsid w:val="00E46BB3"/>
    <w:rsid w:val="00E47617"/>
    <w:rsid w:val="00E50F16"/>
    <w:rsid w:val="00E519FD"/>
    <w:rsid w:val="00E51BF5"/>
    <w:rsid w:val="00E51DA7"/>
    <w:rsid w:val="00E5267D"/>
    <w:rsid w:val="00E52C1F"/>
    <w:rsid w:val="00E5525F"/>
    <w:rsid w:val="00E56009"/>
    <w:rsid w:val="00E56258"/>
    <w:rsid w:val="00E5639E"/>
    <w:rsid w:val="00E5671F"/>
    <w:rsid w:val="00E56787"/>
    <w:rsid w:val="00E56D42"/>
    <w:rsid w:val="00E5718F"/>
    <w:rsid w:val="00E57B65"/>
    <w:rsid w:val="00E57DAD"/>
    <w:rsid w:val="00E60BD5"/>
    <w:rsid w:val="00E60C3F"/>
    <w:rsid w:val="00E61009"/>
    <w:rsid w:val="00E614EF"/>
    <w:rsid w:val="00E61E60"/>
    <w:rsid w:val="00E627D6"/>
    <w:rsid w:val="00E6294D"/>
    <w:rsid w:val="00E62D93"/>
    <w:rsid w:val="00E62E6F"/>
    <w:rsid w:val="00E631B1"/>
    <w:rsid w:val="00E63423"/>
    <w:rsid w:val="00E640D8"/>
    <w:rsid w:val="00E6449C"/>
    <w:rsid w:val="00E64B33"/>
    <w:rsid w:val="00E65068"/>
    <w:rsid w:val="00E651BF"/>
    <w:rsid w:val="00E65D3F"/>
    <w:rsid w:val="00E65E1E"/>
    <w:rsid w:val="00E663EA"/>
    <w:rsid w:val="00E66937"/>
    <w:rsid w:val="00E66A5B"/>
    <w:rsid w:val="00E678F7"/>
    <w:rsid w:val="00E67AAA"/>
    <w:rsid w:val="00E705C2"/>
    <w:rsid w:val="00E71CD8"/>
    <w:rsid w:val="00E725AF"/>
    <w:rsid w:val="00E725D4"/>
    <w:rsid w:val="00E73632"/>
    <w:rsid w:val="00E737D2"/>
    <w:rsid w:val="00E73CA8"/>
    <w:rsid w:val="00E73D66"/>
    <w:rsid w:val="00E73F2C"/>
    <w:rsid w:val="00E74E39"/>
    <w:rsid w:val="00E7554A"/>
    <w:rsid w:val="00E764AC"/>
    <w:rsid w:val="00E764C6"/>
    <w:rsid w:val="00E76C9C"/>
    <w:rsid w:val="00E801EF"/>
    <w:rsid w:val="00E802E6"/>
    <w:rsid w:val="00E806F8"/>
    <w:rsid w:val="00E808D5"/>
    <w:rsid w:val="00E81A2C"/>
    <w:rsid w:val="00E81FED"/>
    <w:rsid w:val="00E8248E"/>
    <w:rsid w:val="00E82709"/>
    <w:rsid w:val="00E839FA"/>
    <w:rsid w:val="00E83E5A"/>
    <w:rsid w:val="00E851DF"/>
    <w:rsid w:val="00E8580B"/>
    <w:rsid w:val="00E85ADB"/>
    <w:rsid w:val="00E861AE"/>
    <w:rsid w:val="00E879F8"/>
    <w:rsid w:val="00E87E5D"/>
    <w:rsid w:val="00E8C1A2"/>
    <w:rsid w:val="00E90686"/>
    <w:rsid w:val="00E91537"/>
    <w:rsid w:val="00E91F1E"/>
    <w:rsid w:val="00E93A12"/>
    <w:rsid w:val="00E93B1E"/>
    <w:rsid w:val="00E944BF"/>
    <w:rsid w:val="00E94A44"/>
    <w:rsid w:val="00E96537"/>
    <w:rsid w:val="00E976EF"/>
    <w:rsid w:val="00E97843"/>
    <w:rsid w:val="00E97BDF"/>
    <w:rsid w:val="00E97C2F"/>
    <w:rsid w:val="00EA0362"/>
    <w:rsid w:val="00EA0AE0"/>
    <w:rsid w:val="00EA0AF3"/>
    <w:rsid w:val="00EA1516"/>
    <w:rsid w:val="00EA2391"/>
    <w:rsid w:val="00EA2D07"/>
    <w:rsid w:val="00EA31CC"/>
    <w:rsid w:val="00EA3402"/>
    <w:rsid w:val="00EA3953"/>
    <w:rsid w:val="00EA4065"/>
    <w:rsid w:val="00EA465B"/>
    <w:rsid w:val="00EA4E53"/>
    <w:rsid w:val="00EA5A39"/>
    <w:rsid w:val="00EA61EA"/>
    <w:rsid w:val="00EA621F"/>
    <w:rsid w:val="00EA67C2"/>
    <w:rsid w:val="00EA680F"/>
    <w:rsid w:val="00EA6815"/>
    <w:rsid w:val="00EA68A8"/>
    <w:rsid w:val="00EB0386"/>
    <w:rsid w:val="00EB1916"/>
    <w:rsid w:val="00EB2218"/>
    <w:rsid w:val="00EB3377"/>
    <w:rsid w:val="00EB34D9"/>
    <w:rsid w:val="00EB35C1"/>
    <w:rsid w:val="00EB365B"/>
    <w:rsid w:val="00EB4582"/>
    <w:rsid w:val="00EB479A"/>
    <w:rsid w:val="00EB4AAD"/>
    <w:rsid w:val="00EB4B00"/>
    <w:rsid w:val="00EB51BC"/>
    <w:rsid w:val="00EB52BC"/>
    <w:rsid w:val="00EB5381"/>
    <w:rsid w:val="00EB567F"/>
    <w:rsid w:val="00EB64E3"/>
    <w:rsid w:val="00EB6A11"/>
    <w:rsid w:val="00EB6F19"/>
    <w:rsid w:val="00EB7338"/>
    <w:rsid w:val="00EC09B4"/>
    <w:rsid w:val="00EC1B63"/>
    <w:rsid w:val="00EC2443"/>
    <w:rsid w:val="00EC3C42"/>
    <w:rsid w:val="00EC4ABC"/>
    <w:rsid w:val="00EC507F"/>
    <w:rsid w:val="00EC6016"/>
    <w:rsid w:val="00EC60C5"/>
    <w:rsid w:val="00EC61C1"/>
    <w:rsid w:val="00EC631B"/>
    <w:rsid w:val="00EC7E08"/>
    <w:rsid w:val="00ED0073"/>
    <w:rsid w:val="00ED11BF"/>
    <w:rsid w:val="00ED1ABA"/>
    <w:rsid w:val="00ED1BD6"/>
    <w:rsid w:val="00ED23F4"/>
    <w:rsid w:val="00ED2905"/>
    <w:rsid w:val="00ED30C0"/>
    <w:rsid w:val="00ED3176"/>
    <w:rsid w:val="00ED3863"/>
    <w:rsid w:val="00ED4365"/>
    <w:rsid w:val="00ED43C0"/>
    <w:rsid w:val="00ED47EF"/>
    <w:rsid w:val="00ED4CBA"/>
    <w:rsid w:val="00ED4E50"/>
    <w:rsid w:val="00ED637F"/>
    <w:rsid w:val="00ED6473"/>
    <w:rsid w:val="00ED67F7"/>
    <w:rsid w:val="00ED69B9"/>
    <w:rsid w:val="00ED6C6E"/>
    <w:rsid w:val="00ED6E16"/>
    <w:rsid w:val="00ED7822"/>
    <w:rsid w:val="00ED7D00"/>
    <w:rsid w:val="00EE21BE"/>
    <w:rsid w:val="00EE22F2"/>
    <w:rsid w:val="00EE27B6"/>
    <w:rsid w:val="00EE2945"/>
    <w:rsid w:val="00EE314E"/>
    <w:rsid w:val="00EE60A1"/>
    <w:rsid w:val="00EE68C4"/>
    <w:rsid w:val="00EE70F6"/>
    <w:rsid w:val="00EE7161"/>
    <w:rsid w:val="00EF12A3"/>
    <w:rsid w:val="00EF1856"/>
    <w:rsid w:val="00EF1B17"/>
    <w:rsid w:val="00EF242D"/>
    <w:rsid w:val="00EF24C0"/>
    <w:rsid w:val="00EF2896"/>
    <w:rsid w:val="00EF35F6"/>
    <w:rsid w:val="00EF3851"/>
    <w:rsid w:val="00EF3B49"/>
    <w:rsid w:val="00EF4299"/>
    <w:rsid w:val="00EF42FC"/>
    <w:rsid w:val="00EF435E"/>
    <w:rsid w:val="00EF4D41"/>
    <w:rsid w:val="00EF53A0"/>
    <w:rsid w:val="00EF5AB5"/>
    <w:rsid w:val="00EF5F92"/>
    <w:rsid w:val="00EF696B"/>
    <w:rsid w:val="00EF74EA"/>
    <w:rsid w:val="00EF7B21"/>
    <w:rsid w:val="00EF7CB2"/>
    <w:rsid w:val="00EF7D12"/>
    <w:rsid w:val="00F011CB"/>
    <w:rsid w:val="00F01617"/>
    <w:rsid w:val="00F017A5"/>
    <w:rsid w:val="00F018DA"/>
    <w:rsid w:val="00F02979"/>
    <w:rsid w:val="00F02A83"/>
    <w:rsid w:val="00F036BE"/>
    <w:rsid w:val="00F03AF3"/>
    <w:rsid w:val="00F04B43"/>
    <w:rsid w:val="00F05559"/>
    <w:rsid w:val="00F06439"/>
    <w:rsid w:val="00F07C38"/>
    <w:rsid w:val="00F07C4B"/>
    <w:rsid w:val="00F10692"/>
    <w:rsid w:val="00F10AB2"/>
    <w:rsid w:val="00F12518"/>
    <w:rsid w:val="00F12BA9"/>
    <w:rsid w:val="00F12EC6"/>
    <w:rsid w:val="00F133D5"/>
    <w:rsid w:val="00F13CF0"/>
    <w:rsid w:val="00F144F2"/>
    <w:rsid w:val="00F149D7"/>
    <w:rsid w:val="00F14DCF"/>
    <w:rsid w:val="00F156FA"/>
    <w:rsid w:val="00F15ADA"/>
    <w:rsid w:val="00F1620D"/>
    <w:rsid w:val="00F162EF"/>
    <w:rsid w:val="00F172A3"/>
    <w:rsid w:val="00F17591"/>
    <w:rsid w:val="00F207CA"/>
    <w:rsid w:val="00F20A72"/>
    <w:rsid w:val="00F21092"/>
    <w:rsid w:val="00F215D7"/>
    <w:rsid w:val="00F227A4"/>
    <w:rsid w:val="00F22C07"/>
    <w:rsid w:val="00F23C82"/>
    <w:rsid w:val="00F23CD8"/>
    <w:rsid w:val="00F24390"/>
    <w:rsid w:val="00F24AAB"/>
    <w:rsid w:val="00F24C29"/>
    <w:rsid w:val="00F24D79"/>
    <w:rsid w:val="00F2561C"/>
    <w:rsid w:val="00F25692"/>
    <w:rsid w:val="00F25B25"/>
    <w:rsid w:val="00F260B9"/>
    <w:rsid w:val="00F2681E"/>
    <w:rsid w:val="00F26EDE"/>
    <w:rsid w:val="00F3078F"/>
    <w:rsid w:val="00F30857"/>
    <w:rsid w:val="00F317EB"/>
    <w:rsid w:val="00F32CE4"/>
    <w:rsid w:val="00F33373"/>
    <w:rsid w:val="00F33391"/>
    <w:rsid w:val="00F3378F"/>
    <w:rsid w:val="00F33C5D"/>
    <w:rsid w:val="00F34442"/>
    <w:rsid w:val="00F34D89"/>
    <w:rsid w:val="00F35361"/>
    <w:rsid w:val="00F353B9"/>
    <w:rsid w:val="00F37A17"/>
    <w:rsid w:val="00F37CD1"/>
    <w:rsid w:val="00F40248"/>
    <w:rsid w:val="00F4113B"/>
    <w:rsid w:val="00F416F5"/>
    <w:rsid w:val="00F41D37"/>
    <w:rsid w:val="00F41ED1"/>
    <w:rsid w:val="00F426BB"/>
    <w:rsid w:val="00F42EDF"/>
    <w:rsid w:val="00F430C4"/>
    <w:rsid w:val="00F43395"/>
    <w:rsid w:val="00F44124"/>
    <w:rsid w:val="00F44658"/>
    <w:rsid w:val="00F44759"/>
    <w:rsid w:val="00F44BFB"/>
    <w:rsid w:val="00F44CCF"/>
    <w:rsid w:val="00F4567C"/>
    <w:rsid w:val="00F458EC"/>
    <w:rsid w:val="00F461E2"/>
    <w:rsid w:val="00F46290"/>
    <w:rsid w:val="00F47292"/>
    <w:rsid w:val="00F47320"/>
    <w:rsid w:val="00F47792"/>
    <w:rsid w:val="00F50145"/>
    <w:rsid w:val="00F50BA5"/>
    <w:rsid w:val="00F5123F"/>
    <w:rsid w:val="00F518DA"/>
    <w:rsid w:val="00F51BE7"/>
    <w:rsid w:val="00F51C2E"/>
    <w:rsid w:val="00F531B6"/>
    <w:rsid w:val="00F54984"/>
    <w:rsid w:val="00F54FA1"/>
    <w:rsid w:val="00F558C0"/>
    <w:rsid w:val="00F55D4E"/>
    <w:rsid w:val="00F56D07"/>
    <w:rsid w:val="00F570BC"/>
    <w:rsid w:val="00F577B4"/>
    <w:rsid w:val="00F579B4"/>
    <w:rsid w:val="00F57A5A"/>
    <w:rsid w:val="00F57D9F"/>
    <w:rsid w:val="00F60D35"/>
    <w:rsid w:val="00F61281"/>
    <w:rsid w:val="00F6136B"/>
    <w:rsid w:val="00F61A46"/>
    <w:rsid w:val="00F624B2"/>
    <w:rsid w:val="00F6255E"/>
    <w:rsid w:val="00F63AF8"/>
    <w:rsid w:val="00F64260"/>
    <w:rsid w:val="00F65DDD"/>
    <w:rsid w:val="00F66209"/>
    <w:rsid w:val="00F669C9"/>
    <w:rsid w:val="00F66E12"/>
    <w:rsid w:val="00F66F3A"/>
    <w:rsid w:val="00F67707"/>
    <w:rsid w:val="00F677EB"/>
    <w:rsid w:val="00F67D6D"/>
    <w:rsid w:val="00F7020B"/>
    <w:rsid w:val="00F70535"/>
    <w:rsid w:val="00F7072E"/>
    <w:rsid w:val="00F70C9C"/>
    <w:rsid w:val="00F717AA"/>
    <w:rsid w:val="00F719EA"/>
    <w:rsid w:val="00F71E5D"/>
    <w:rsid w:val="00F7267A"/>
    <w:rsid w:val="00F72756"/>
    <w:rsid w:val="00F737FA"/>
    <w:rsid w:val="00F73FC2"/>
    <w:rsid w:val="00F74220"/>
    <w:rsid w:val="00F74C3E"/>
    <w:rsid w:val="00F750CE"/>
    <w:rsid w:val="00F75254"/>
    <w:rsid w:val="00F75838"/>
    <w:rsid w:val="00F75B93"/>
    <w:rsid w:val="00F75E84"/>
    <w:rsid w:val="00F76167"/>
    <w:rsid w:val="00F775BE"/>
    <w:rsid w:val="00F80CAB"/>
    <w:rsid w:val="00F81C58"/>
    <w:rsid w:val="00F81F7E"/>
    <w:rsid w:val="00F82067"/>
    <w:rsid w:val="00F82442"/>
    <w:rsid w:val="00F82C39"/>
    <w:rsid w:val="00F83188"/>
    <w:rsid w:val="00F83B42"/>
    <w:rsid w:val="00F841FE"/>
    <w:rsid w:val="00F841FF"/>
    <w:rsid w:val="00F84859"/>
    <w:rsid w:val="00F84E9C"/>
    <w:rsid w:val="00F854F6"/>
    <w:rsid w:val="00F855EE"/>
    <w:rsid w:val="00F868E9"/>
    <w:rsid w:val="00F87859"/>
    <w:rsid w:val="00F87B79"/>
    <w:rsid w:val="00F90194"/>
    <w:rsid w:val="00F906D6"/>
    <w:rsid w:val="00F9131C"/>
    <w:rsid w:val="00F919A0"/>
    <w:rsid w:val="00F91A92"/>
    <w:rsid w:val="00F926C2"/>
    <w:rsid w:val="00F92B1A"/>
    <w:rsid w:val="00F93486"/>
    <w:rsid w:val="00F93917"/>
    <w:rsid w:val="00F94C0E"/>
    <w:rsid w:val="00F9508E"/>
    <w:rsid w:val="00F95AFD"/>
    <w:rsid w:val="00F96304"/>
    <w:rsid w:val="00F96B9B"/>
    <w:rsid w:val="00F9798E"/>
    <w:rsid w:val="00FA02F7"/>
    <w:rsid w:val="00FA0E9D"/>
    <w:rsid w:val="00FA2508"/>
    <w:rsid w:val="00FA2DB1"/>
    <w:rsid w:val="00FA389E"/>
    <w:rsid w:val="00FA454E"/>
    <w:rsid w:val="00FA4790"/>
    <w:rsid w:val="00FA4C52"/>
    <w:rsid w:val="00FA55EF"/>
    <w:rsid w:val="00FA6D93"/>
    <w:rsid w:val="00FA7279"/>
    <w:rsid w:val="00FA7476"/>
    <w:rsid w:val="00FA7801"/>
    <w:rsid w:val="00FB05F2"/>
    <w:rsid w:val="00FB07B1"/>
    <w:rsid w:val="00FB1633"/>
    <w:rsid w:val="00FB1782"/>
    <w:rsid w:val="00FB181E"/>
    <w:rsid w:val="00FB18B8"/>
    <w:rsid w:val="00FB2133"/>
    <w:rsid w:val="00FB2D76"/>
    <w:rsid w:val="00FB33A6"/>
    <w:rsid w:val="00FB4786"/>
    <w:rsid w:val="00FB4C89"/>
    <w:rsid w:val="00FB4F0D"/>
    <w:rsid w:val="00FB50C5"/>
    <w:rsid w:val="00FB55B4"/>
    <w:rsid w:val="00FB6435"/>
    <w:rsid w:val="00FB6B2B"/>
    <w:rsid w:val="00FB7C7C"/>
    <w:rsid w:val="00FC1818"/>
    <w:rsid w:val="00FC1B4E"/>
    <w:rsid w:val="00FC20D8"/>
    <w:rsid w:val="00FC259D"/>
    <w:rsid w:val="00FC4269"/>
    <w:rsid w:val="00FC54D9"/>
    <w:rsid w:val="00FC558F"/>
    <w:rsid w:val="00FC56BF"/>
    <w:rsid w:val="00FC5D01"/>
    <w:rsid w:val="00FC5E19"/>
    <w:rsid w:val="00FC62AD"/>
    <w:rsid w:val="00FC6C59"/>
    <w:rsid w:val="00FC6E0D"/>
    <w:rsid w:val="00FC7815"/>
    <w:rsid w:val="00FC7EF9"/>
    <w:rsid w:val="00FD0087"/>
    <w:rsid w:val="00FD1989"/>
    <w:rsid w:val="00FD1C20"/>
    <w:rsid w:val="00FD2B83"/>
    <w:rsid w:val="00FD36AC"/>
    <w:rsid w:val="00FD4398"/>
    <w:rsid w:val="00FD4A99"/>
    <w:rsid w:val="00FD4C0A"/>
    <w:rsid w:val="00FD4F49"/>
    <w:rsid w:val="00FD5A96"/>
    <w:rsid w:val="00FD6168"/>
    <w:rsid w:val="00FD6288"/>
    <w:rsid w:val="00FD6D42"/>
    <w:rsid w:val="00FD7918"/>
    <w:rsid w:val="00FD7A6D"/>
    <w:rsid w:val="00FE0019"/>
    <w:rsid w:val="00FE05BD"/>
    <w:rsid w:val="00FE18DF"/>
    <w:rsid w:val="00FE3034"/>
    <w:rsid w:val="00FE36E3"/>
    <w:rsid w:val="00FE379A"/>
    <w:rsid w:val="00FE4AB2"/>
    <w:rsid w:val="00FE5330"/>
    <w:rsid w:val="00FE5C63"/>
    <w:rsid w:val="00FE6784"/>
    <w:rsid w:val="00FE6A44"/>
    <w:rsid w:val="00FE6B48"/>
    <w:rsid w:val="00FE6D4C"/>
    <w:rsid w:val="00FE7358"/>
    <w:rsid w:val="00FE7393"/>
    <w:rsid w:val="00FE797D"/>
    <w:rsid w:val="00FE7BC3"/>
    <w:rsid w:val="00FF1338"/>
    <w:rsid w:val="00FF163A"/>
    <w:rsid w:val="00FF2A42"/>
    <w:rsid w:val="00FF33C3"/>
    <w:rsid w:val="00FF34A1"/>
    <w:rsid w:val="00FF38CE"/>
    <w:rsid w:val="00FF3C36"/>
    <w:rsid w:val="00FF4396"/>
    <w:rsid w:val="00FF5227"/>
    <w:rsid w:val="00FF5C57"/>
    <w:rsid w:val="00FF5E24"/>
    <w:rsid w:val="00FF66C0"/>
    <w:rsid w:val="00FF72B1"/>
    <w:rsid w:val="00FF7674"/>
    <w:rsid w:val="00FF7831"/>
    <w:rsid w:val="00FF7B47"/>
    <w:rsid w:val="01C5389D"/>
    <w:rsid w:val="028DD401"/>
    <w:rsid w:val="02D18DE3"/>
    <w:rsid w:val="02F0F354"/>
    <w:rsid w:val="03AB9D32"/>
    <w:rsid w:val="04B23AD8"/>
    <w:rsid w:val="051BC1C6"/>
    <w:rsid w:val="056951F7"/>
    <w:rsid w:val="06342B63"/>
    <w:rsid w:val="070AF3E4"/>
    <w:rsid w:val="072EBD55"/>
    <w:rsid w:val="07676943"/>
    <w:rsid w:val="07A10F4A"/>
    <w:rsid w:val="07DCD734"/>
    <w:rsid w:val="080D9628"/>
    <w:rsid w:val="08499EDF"/>
    <w:rsid w:val="0862D2DF"/>
    <w:rsid w:val="092D700A"/>
    <w:rsid w:val="0938E13F"/>
    <w:rsid w:val="09EAECEC"/>
    <w:rsid w:val="0A9F8EC5"/>
    <w:rsid w:val="0AFD5662"/>
    <w:rsid w:val="0B6DD1B6"/>
    <w:rsid w:val="0C1E8B6B"/>
    <w:rsid w:val="0C38BE41"/>
    <w:rsid w:val="0CD494AA"/>
    <w:rsid w:val="0CFA95DE"/>
    <w:rsid w:val="0DAF957A"/>
    <w:rsid w:val="0DB07E78"/>
    <w:rsid w:val="0DD5C7ED"/>
    <w:rsid w:val="0E10F0A2"/>
    <w:rsid w:val="0E749B8D"/>
    <w:rsid w:val="0EE6A605"/>
    <w:rsid w:val="0FDACD11"/>
    <w:rsid w:val="1164C2F1"/>
    <w:rsid w:val="1278D143"/>
    <w:rsid w:val="127A5AB5"/>
    <w:rsid w:val="12FFD04B"/>
    <w:rsid w:val="133D2909"/>
    <w:rsid w:val="13BE7166"/>
    <w:rsid w:val="13F3B869"/>
    <w:rsid w:val="14CDFAE3"/>
    <w:rsid w:val="14E9A93D"/>
    <w:rsid w:val="156F4655"/>
    <w:rsid w:val="157F930F"/>
    <w:rsid w:val="158AFD49"/>
    <w:rsid w:val="186D8475"/>
    <w:rsid w:val="18DEB5DC"/>
    <w:rsid w:val="19404C62"/>
    <w:rsid w:val="19446085"/>
    <w:rsid w:val="1953FEF5"/>
    <w:rsid w:val="19BB0339"/>
    <w:rsid w:val="1A55AE58"/>
    <w:rsid w:val="1B269E1C"/>
    <w:rsid w:val="1B79888F"/>
    <w:rsid w:val="1B899FAE"/>
    <w:rsid w:val="1BFD3385"/>
    <w:rsid w:val="1C67098B"/>
    <w:rsid w:val="1D5C3B7B"/>
    <w:rsid w:val="1DC5276F"/>
    <w:rsid w:val="1DC98733"/>
    <w:rsid w:val="1E24B9BF"/>
    <w:rsid w:val="1E6A5095"/>
    <w:rsid w:val="1F1C5147"/>
    <w:rsid w:val="1F2CEE49"/>
    <w:rsid w:val="1F4A9541"/>
    <w:rsid w:val="1F700C68"/>
    <w:rsid w:val="1FA607E5"/>
    <w:rsid w:val="212E01E5"/>
    <w:rsid w:val="2232C2DE"/>
    <w:rsid w:val="23E00E17"/>
    <w:rsid w:val="251370F6"/>
    <w:rsid w:val="25923F39"/>
    <w:rsid w:val="267B1543"/>
    <w:rsid w:val="26A61F54"/>
    <w:rsid w:val="281147E0"/>
    <w:rsid w:val="282229C6"/>
    <w:rsid w:val="289DDC4F"/>
    <w:rsid w:val="2908160D"/>
    <w:rsid w:val="290C77DD"/>
    <w:rsid w:val="299AF1C9"/>
    <w:rsid w:val="29B044CE"/>
    <w:rsid w:val="29EC453A"/>
    <w:rsid w:val="29F1D6D5"/>
    <w:rsid w:val="2A510C8B"/>
    <w:rsid w:val="2AEE8225"/>
    <w:rsid w:val="2AF5B102"/>
    <w:rsid w:val="2B28782E"/>
    <w:rsid w:val="2C2A5E9F"/>
    <w:rsid w:val="2CA35083"/>
    <w:rsid w:val="2DB0B69A"/>
    <w:rsid w:val="2F973A02"/>
    <w:rsid w:val="3109C340"/>
    <w:rsid w:val="319A603D"/>
    <w:rsid w:val="3376F1D3"/>
    <w:rsid w:val="34051716"/>
    <w:rsid w:val="3490ECE0"/>
    <w:rsid w:val="34D1F36B"/>
    <w:rsid w:val="34F2B694"/>
    <w:rsid w:val="3532F05B"/>
    <w:rsid w:val="353FA001"/>
    <w:rsid w:val="35ABDCD5"/>
    <w:rsid w:val="35E0862D"/>
    <w:rsid w:val="363743E3"/>
    <w:rsid w:val="36445EAD"/>
    <w:rsid w:val="36622CC7"/>
    <w:rsid w:val="37FE7653"/>
    <w:rsid w:val="3872C723"/>
    <w:rsid w:val="3971F277"/>
    <w:rsid w:val="398E27DB"/>
    <w:rsid w:val="3A734468"/>
    <w:rsid w:val="3AE9A3A6"/>
    <w:rsid w:val="3BC9775C"/>
    <w:rsid w:val="3BE0C75F"/>
    <w:rsid w:val="3BF68292"/>
    <w:rsid w:val="3C193AF4"/>
    <w:rsid w:val="3C7E6EC3"/>
    <w:rsid w:val="3D059155"/>
    <w:rsid w:val="3D77A052"/>
    <w:rsid w:val="3E100769"/>
    <w:rsid w:val="3E2BF050"/>
    <w:rsid w:val="3E77404F"/>
    <w:rsid w:val="3ECE3AFA"/>
    <w:rsid w:val="3F4892A1"/>
    <w:rsid w:val="3F681DC2"/>
    <w:rsid w:val="3FC281C0"/>
    <w:rsid w:val="3FE83401"/>
    <w:rsid w:val="402ECF2C"/>
    <w:rsid w:val="409E471F"/>
    <w:rsid w:val="40C0B58D"/>
    <w:rsid w:val="40CD2A87"/>
    <w:rsid w:val="4143F7BD"/>
    <w:rsid w:val="41673698"/>
    <w:rsid w:val="41C7E674"/>
    <w:rsid w:val="42043AE3"/>
    <w:rsid w:val="42156FA4"/>
    <w:rsid w:val="42173D6E"/>
    <w:rsid w:val="4275687D"/>
    <w:rsid w:val="4325D720"/>
    <w:rsid w:val="444C7463"/>
    <w:rsid w:val="4465CAD7"/>
    <w:rsid w:val="44A3ABAA"/>
    <w:rsid w:val="44E3FF2B"/>
    <w:rsid w:val="45DBD246"/>
    <w:rsid w:val="46EA4B70"/>
    <w:rsid w:val="47051755"/>
    <w:rsid w:val="478E1DDF"/>
    <w:rsid w:val="48468E10"/>
    <w:rsid w:val="497DF15D"/>
    <w:rsid w:val="4A615A50"/>
    <w:rsid w:val="4A8E269F"/>
    <w:rsid w:val="4AEF27A8"/>
    <w:rsid w:val="4B53BF2D"/>
    <w:rsid w:val="4B70EDC5"/>
    <w:rsid w:val="4B8EF7B2"/>
    <w:rsid w:val="4BC9208C"/>
    <w:rsid w:val="4C524E35"/>
    <w:rsid w:val="4CA23940"/>
    <w:rsid w:val="4CB9577B"/>
    <w:rsid w:val="4D9AE2EA"/>
    <w:rsid w:val="4E1673A2"/>
    <w:rsid w:val="4E53699A"/>
    <w:rsid w:val="4F48D5B5"/>
    <w:rsid w:val="50052448"/>
    <w:rsid w:val="5086A499"/>
    <w:rsid w:val="519924A0"/>
    <w:rsid w:val="51E6CE4C"/>
    <w:rsid w:val="51FA5C8E"/>
    <w:rsid w:val="525BA528"/>
    <w:rsid w:val="52FABF72"/>
    <w:rsid w:val="532A924F"/>
    <w:rsid w:val="53F1C2FA"/>
    <w:rsid w:val="542AC687"/>
    <w:rsid w:val="54EF423E"/>
    <w:rsid w:val="5509892F"/>
    <w:rsid w:val="5531265C"/>
    <w:rsid w:val="56284205"/>
    <w:rsid w:val="5690E068"/>
    <w:rsid w:val="56C9EA5D"/>
    <w:rsid w:val="56D138EF"/>
    <w:rsid w:val="571BC92F"/>
    <w:rsid w:val="5774BB1F"/>
    <w:rsid w:val="57BD3AFA"/>
    <w:rsid w:val="5833F587"/>
    <w:rsid w:val="58D58BA8"/>
    <w:rsid w:val="59B4F103"/>
    <w:rsid w:val="5A86DD54"/>
    <w:rsid w:val="5AE433C6"/>
    <w:rsid w:val="5AFBFD7D"/>
    <w:rsid w:val="5B4ECBE9"/>
    <w:rsid w:val="5B7DBD3E"/>
    <w:rsid w:val="5BC7E4F4"/>
    <w:rsid w:val="5BCDE931"/>
    <w:rsid w:val="5BFC5CAD"/>
    <w:rsid w:val="5C9DCE90"/>
    <w:rsid w:val="5CC4D4B6"/>
    <w:rsid w:val="5DB8D407"/>
    <w:rsid w:val="5DE80A55"/>
    <w:rsid w:val="5E5A2CA4"/>
    <w:rsid w:val="5EADD9D2"/>
    <w:rsid w:val="5EB92EB9"/>
    <w:rsid w:val="602FCBDD"/>
    <w:rsid w:val="60D66ACD"/>
    <w:rsid w:val="62178C2A"/>
    <w:rsid w:val="62502E4A"/>
    <w:rsid w:val="627B6789"/>
    <w:rsid w:val="638417E6"/>
    <w:rsid w:val="648C207F"/>
    <w:rsid w:val="664EB73F"/>
    <w:rsid w:val="66904707"/>
    <w:rsid w:val="6703CC70"/>
    <w:rsid w:val="6743FC06"/>
    <w:rsid w:val="67611CA5"/>
    <w:rsid w:val="6778D000"/>
    <w:rsid w:val="680EE1E8"/>
    <w:rsid w:val="690C9E52"/>
    <w:rsid w:val="69AA885D"/>
    <w:rsid w:val="6AEDDEFE"/>
    <w:rsid w:val="6B155DD2"/>
    <w:rsid w:val="6B8D316E"/>
    <w:rsid w:val="6C0ADE60"/>
    <w:rsid w:val="6C6396FA"/>
    <w:rsid w:val="6D0EF4F2"/>
    <w:rsid w:val="6E10D9B1"/>
    <w:rsid w:val="6E8EBE24"/>
    <w:rsid w:val="6EEC4B78"/>
    <w:rsid w:val="6F665DD2"/>
    <w:rsid w:val="6FCC142D"/>
    <w:rsid w:val="7030592D"/>
    <w:rsid w:val="71298350"/>
    <w:rsid w:val="72EB9BA6"/>
    <w:rsid w:val="7397D10B"/>
    <w:rsid w:val="73C93F57"/>
    <w:rsid w:val="740B5535"/>
    <w:rsid w:val="75076874"/>
    <w:rsid w:val="75CAEE04"/>
    <w:rsid w:val="75D14832"/>
    <w:rsid w:val="75E1DE63"/>
    <w:rsid w:val="76DF3840"/>
    <w:rsid w:val="77DEE731"/>
    <w:rsid w:val="78158EFA"/>
    <w:rsid w:val="787D751A"/>
    <w:rsid w:val="79CE4946"/>
    <w:rsid w:val="7A0270A3"/>
    <w:rsid w:val="7A82A421"/>
    <w:rsid w:val="7B443A03"/>
    <w:rsid w:val="7B8503D9"/>
    <w:rsid w:val="7CF4A590"/>
    <w:rsid w:val="7DCCD5DF"/>
    <w:rsid w:val="7F109170"/>
    <w:rsid w:val="7F1C54A7"/>
    <w:rsid w:val="7F2C233A"/>
    <w:rsid w:val="7F3745F1"/>
    <w:rsid w:val="7F7B6F28"/>
    <w:rsid w:val="7F7C21D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22FEA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3ECA"/>
  </w:style>
  <w:style w:type="paragraph" w:styleId="Heading1">
    <w:name w:val="heading 1"/>
    <w:basedOn w:val="Normal"/>
    <w:next w:val="Normal"/>
    <w:link w:val="Heading1Char"/>
    <w:uiPriority w:val="9"/>
    <w:qFormat/>
    <w:rsid w:val="00A76F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76F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76F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76F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76F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76F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6F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6F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6F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6F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76F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76F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76F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76F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76F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6F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6F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6F4A"/>
    <w:rPr>
      <w:rFonts w:eastAsiaTheme="majorEastAsia" w:cstheme="majorBidi"/>
      <w:color w:val="272727" w:themeColor="text1" w:themeTint="D8"/>
    </w:rPr>
  </w:style>
  <w:style w:type="paragraph" w:styleId="Title">
    <w:name w:val="Title"/>
    <w:basedOn w:val="Normal"/>
    <w:next w:val="Normal"/>
    <w:link w:val="TitleChar"/>
    <w:uiPriority w:val="10"/>
    <w:qFormat/>
    <w:rsid w:val="00A76F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6F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6F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6F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6F4A"/>
    <w:pPr>
      <w:spacing w:before="160"/>
      <w:jc w:val="center"/>
    </w:pPr>
    <w:rPr>
      <w:i/>
      <w:iCs/>
      <w:color w:val="404040" w:themeColor="text1" w:themeTint="BF"/>
    </w:rPr>
  </w:style>
  <w:style w:type="character" w:customStyle="1" w:styleId="QuoteChar">
    <w:name w:val="Quote Char"/>
    <w:basedOn w:val="DefaultParagraphFont"/>
    <w:link w:val="Quote"/>
    <w:uiPriority w:val="29"/>
    <w:rsid w:val="00A76F4A"/>
    <w:rPr>
      <w:i/>
      <w:iCs/>
      <w:color w:val="404040" w:themeColor="text1" w:themeTint="BF"/>
    </w:rPr>
  </w:style>
  <w:style w:type="paragraph" w:styleId="ListParagraph">
    <w:name w:val="List Paragraph"/>
    <w:basedOn w:val="Normal"/>
    <w:uiPriority w:val="34"/>
    <w:qFormat/>
    <w:rsid w:val="00A76F4A"/>
    <w:pPr>
      <w:ind w:left="720"/>
      <w:contextualSpacing/>
    </w:pPr>
  </w:style>
  <w:style w:type="character" w:styleId="IntenseEmphasis">
    <w:name w:val="Intense Emphasis"/>
    <w:basedOn w:val="DefaultParagraphFont"/>
    <w:uiPriority w:val="21"/>
    <w:qFormat/>
    <w:rsid w:val="00A76F4A"/>
    <w:rPr>
      <w:i/>
      <w:iCs/>
      <w:color w:val="0F4761" w:themeColor="accent1" w:themeShade="BF"/>
    </w:rPr>
  </w:style>
  <w:style w:type="paragraph" w:styleId="IntenseQuote">
    <w:name w:val="Intense Quote"/>
    <w:basedOn w:val="Normal"/>
    <w:next w:val="Normal"/>
    <w:link w:val="IntenseQuoteChar"/>
    <w:uiPriority w:val="30"/>
    <w:qFormat/>
    <w:rsid w:val="00A76F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76F4A"/>
    <w:rPr>
      <w:i/>
      <w:iCs/>
      <w:color w:val="0F4761" w:themeColor="accent1" w:themeShade="BF"/>
    </w:rPr>
  </w:style>
  <w:style w:type="character" w:styleId="IntenseReference">
    <w:name w:val="Intense Reference"/>
    <w:basedOn w:val="DefaultParagraphFont"/>
    <w:uiPriority w:val="32"/>
    <w:qFormat/>
    <w:rsid w:val="00A76F4A"/>
    <w:rPr>
      <w:b/>
      <w:bCs/>
      <w:smallCaps/>
      <w:color w:val="0F4761" w:themeColor="accent1" w:themeShade="BF"/>
      <w:spacing w:val="5"/>
    </w:rPr>
  </w:style>
  <w:style w:type="character" w:styleId="Hyperlink">
    <w:name w:val="Hyperlink"/>
    <w:basedOn w:val="DefaultParagraphFont"/>
    <w:uiPriority w:val="99"/>
    <w:unhideWhenUsed/>
    <w:rsid w:val="00A76F4A"/>
    <w:rPr>
      <w:color w:val="467886" w:themeColor="hyperlink"/>
      <w:u w:val="single"/>
    </w:rPr>
  </w:style>
  <w:style w:type="paragraph" w:styleId="Header">
    <w:name w:val="header"/>
    <w:basedOn w:val="Normal"/>
    <w:link w:val="HeaderChar"/>
    <w:unhideWhenUsed/>
    <w:rsid w:val="00A76F4A"/>
    <w:pPr>
      <w:tabs>
        <w:tab w:val="center" w:pos="4680"/>
        <w:tab w:val="right" w:pos="9360"/>
      </w:tabs>
      <w:spacing w:after="0" w:line="240" w:lineRule="auto"/>
    </w:pPr>
  </w:style>
  <w:style w:type="character" w:customStyle="1" w:styleId="HeaderChar">
    <w:name w:val="Header Char"/>
    <w:basedOn w:val="DefaultParagraphFont"/>
    <w:link w:val="Header"/>
    <w:rsid w:val="00A76F4A"/>
  </w:style>
  <w:style w:type="paragraph" w:styleId="Footer">
    <w:name w:val="footer"/>
    <w:basedOn w:val="Normal"/>
    <w:link w:val="FooterChar"/>
    <w:uiPriority w:val="99"/>
    <w:unhideWhenUsed/>
    <w:rsid w:val="00A76F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6F4A"/>
  </w:style>
  <w:style w:type="paragraph" w:customStyle="1" w:styleId="10sp0">
    <w:name w:val="_1.0sp 0&quot;"/>
    <w:basedOn w:val="Normal"/>
    <w:rsid w:val="00A76F4A"/>
    <w:pPr>
      <w:suppressAutoHyphens/>
      <w:spacing w:after="240" w:line="240" w:lineRule="auto"/>
    </w:pPr>
    <w:rPr>
      <w:rFonts w:ascii="Times New Roman" w:eastAsia="SimSun" w:hAnsi="Times New Roman" w:cs="Times New Roman"/>
      <w:kern w:val="0"/>
      <w:szCs w:val="20"/>
      <w14:ligatures w14:val="none"/>
    </w:rPr>
  </w:style>
  <w:style w:type="paragraph" w:customStyle="1" w:styleId="SimpleNumberedList">
    <w:name w:val="_Simple Numbered List"/>
    <w:basedOn w:val="Normal"/>
    <w:rsid w:val="00A76F4A"/>
    <w:pPr>
      <w:numPr>
        <w:numId w:val="6"/>
      </w:numPr>
      <w:suppressAutoHyphens/>
      <w:spacing w:after="240" w:line="240" w:lineRule="auto"/>
    </w:pPr>
    <w:rPr>
      <w:rFonts w:ascii="Times New Roman" w:eastAsia="SimSun" w:hAnsi="Times New Roman" w:cs="Times New Roman"/>
      <w:kern w:val="0"/>
      <w:szCs w:val="20"/>
      <w14:ligatures w14:val="none"/>
    </w:rPr>
  </w:style>
  <w:style w:type="paragraph" w:customStyle="1" w:styleId="10spHanging05">
    <w:name w:val="_1.0sp Hanging 0.5&quot;"/>
    <w:basedOn w:val="Normal"/>
    <w:rsid w:val="00A76F4A"/>
    <w:pPr>
      <w:suppressAutoHyphens/>
      <w:spacing w:after="240" w:line="240" w:lineRule="auto"/>
      <w:ind w:left="720" w:hanging="720"/>
    </w:pPr>
    <w:rPr>
      <w:rFonts w:ascii="Times New Roman" w:eastAsia="SimSun" w:hAnsi="Times New Roman" w:cs="Times New Roman"/>
      <w:kern w:val="0"/>
      <w:szCs w:val="20"/>
      <w14:ligatures w14:val="none"/>
    </w:rPr>
  </w:style>
  <w:style w:type="character" w:styleId="CommentReference">
    <w:name w:val="annotation reference"/>
    <w:basedOn w:val="DefaultParagraphFont"/>
    <w:uiPriority w:val="99"/>
    <w:semiHidden/>
    <w:unhideWhenUsed/>
    <w:rsid w:val="00473945"/>
    <w:rPr>
      <w:sz w:val="16"/>
      <w:szCs w:val="16"/>
    </w:rPr>
  </w:style>
  <w:style w:type="paragraph" w:styleId="CommentText">
    <w:name w:val="annotation text"/>
    <w:basedOn w:val="Normal"/>
    <w:link w:val="CommentTextChar"/>
    <w:uiPriority w:val="99"/>
    <w:unhideWhenUsed/>
    <w:rsid w:val="00473945"/>
    <w:pPr>
      <w:spacing w:line="240" w:lineRule="auto"/>
    </w:pPr>
    <w:rPr>
      <w:sz w:val="20"/>
      <w:szCs w:val="20"/>
    </w:rPr>
  </w:style>
  <w:style w:type="character" w:customStyle="1" w:styleId="CommentTextChar">
    <w:name w:val="Comment Text Char"/>
    <w:basedOn w:val="DefaultParagraphFont"/>
    <w:link w:val="CommentText"/>
    <w:uiPriority w:val="99"/>
    <w:rsid w:val="00473945"/>
    <w:rPr>
      <w:sz w:val="20"/>
      <w:szCs w:val="20"/>
    </w:rPr>
  </w:style>
  <w:style w:type="paragraph" w:styleId="CommentSubject">
    <w:name w:val="annotation subject"/>
    <w:basedOn w:val="CommentText"/>
    <w:next w:val="CommentText"/>
    <w:link w:val="CommentSubjectChar"/>
    <w:uiPriority w:val="99"/>
    <w:semiHidden/>
    <w:unhideWhenUsed/>
    <w:rsid w:val="00473945"/>
    <w:rPr>
      <w:b/>
      <w:bCs/>
    </w:rPr>
  </w:style>
  <w:style w:type="character" w:customStyle="1" w:styleId="CommentSubjectChar">
    <w:name w:val="Comment Subject Char"/>
    <w:basedOn w:val="CommentTextChar"/>
    <w:link w:val="CommentSubject"/>
    <w:uiPriority w:val="99"/>
    <w:semiHidden/>
    <w:rsid w:val="00473945"/>
    <w:rPr>
      <w:b/>
      <w:bCs/>
      <w:sz w:val="20"/>
      <w:szCs w:val="20"/>
    </w:rPr>
  </w:style>
  <w:style w:type="paragraph" w:styleId="FootnoteText">
    <w:name w:val="footnote text"/>
    <w:basedOn w:val="Normal"/>
    <w:link w:val="FootnoteTextChar"/>
    <w:uiPriority w:val="99"/>
    <w:semiHidden/>
    <w:unhideWhenUsed/>
    <w:rsid w:val="00621BB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21BB7"/>
    <w:rPr>
      <w:sz w:val="20"/>
      <w:szCs w:val="20"/>
    </w:rPr>
  </w:style>
  <w:style w:type="character" w:styleId="FootnoteReference">
    <w:name w:val="footnote reference"/>
    <w:basedOn w:val="DefaultParagraphFont"/>
    <w:uiPriority w:val="99"/>
    <w:semiHidden/>
    <w:unhideWhenUsed/>
    <w:rsid w:val="00621BB7"/>
    <w:rPr>
      <w:vertAlign w:val="superscript"/>
    </w:rPr>
  </w:style>
  <w:style w:type="paragraph" w:styleId="Revision">
    <w:name w:val="Revision"/>
    <w:hidden/>
    <w:uiPriority w:val="99"/>
    <w:semiHidden/>
    <w:rsid w:val="00C8266D"/>
    <w:pPr>
      <w:spacing w:after="0" w:line="240" w:lineRule="auto"/>
    </w:pPr>
  </w:style>
  <w:style w:type="character" w:styleId="UnresolvedMention">
    <w:name w:val="Unresolved Mention"/>
    <w:basedOn w:val="DefaultParagraphFont"/>
    <w:uiPriority w:val="99"/>
    <w:semiHidden/>
    <w:unhideWhenUsed/>
    <w:rsid w:val="0053066E"/>
    <w:rPr>
      <w:color w:val="605E5C"/>
      <w:shd w:val="clear" w:color="auto" w:fill="E1DFDD"/>
    </w:rPr>
  </w:style>
  <w:style w:type="character" w:styleId="Mention">
    <w:name w:val="Mention"/>
    <w:basedOn w:val="DefaultParagraphFont"/>
    <w:uiPriority w:val="99"/>
    <w:unhideWhenUsed/>
    <w:rsid w:val="007C079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093793">
      <w:bodyDiv w:val="1"/>
      <w:marLeft w:val="0"/>
      <w:marRight w:val="0"/>
      <w:marTop w:val="0"/>
      <w:marBottom w:val="0"/>
      <w:divBdr>
        <w:top w:val="none" w:sz="0" w:space="0" w:color="auto"/>
        <w:left w:val="none" w:sz="0" w:space="0" w:color="auto"/>
        <w:bottom w:val="none" w:sz="0" w:space="0" w:color="auto"/>
        <w:right w:val="none" w:sz="0" w:space="0" w:color="auto"/>
      </w:divBdr>
    </w:div>
    <w:div w:id="198054038">
      <w:bodyDiv w:val="1"/>
      <w:marLeft w:val="0"/>
      <w:marRight w:val="0"/>
      <w:marTop w:val="0"/>
      <w:marBottom w:val="0"/>
      <w:divBdr>
        <w:top w:val="none" w:sz="0" w:space="0" w:color="auto"/>
        <w:left w:val="none" w:sz="0" w:space="0" w:color="auto"/>
        <w:bottom w:val="none" w:sz="0" w:space="0" w:color="auto"/>
        <w:right w:val="none" w:sz="0" w:space="0" w:color="auto"/>
      </w:divBdr>
    </w:div>
    <w:div w:id="293292918">
      <w:bodyDiv w:val="1"/>
      <w:marLeft w:val="0"/>
      <w:marRight w:val="0"/>
      <w:marTop w:val="0"/>
      <w:marBottom w:val="0"/>
      <w:divBdr>
        <w:top w:val="none" w:sz="0" w:space="0" w:color="auto"/>
        <w:left w:val="none" w:sz="0" w:space="0" w:color="auto"/>
        <w:bottom w:val="none" w:sz="0" w:space="0" w:color="auto"/>
        <w:right w:val="none" w:sz="0" w:space="0" w:color="auto"/>
      </w:divBdr>
    </w:div>
    <w:div w:id="487598606">
      <w:bodyDiv w:val="1"/>
      <w:marLeft w:val="0"/>
      <w:marRight w:val="0"/>
      <w:marTop w:val="0"/>
      <w:marBottom w:val="0"/>
      <w:divBdr>
        <w:top w:val="none" w:sz="0" w:space="0" w:color="auto"/>
        <w:left w:val="none" w:sz="0" w:space="0" w:color="auto"/>
        <w:bottom w:val="none" w:sz="0" w:space="0" w:color="auto"/>
        <w:right w:val="none" w:sz="0" w:space="0" w:color="auto"/>
      </w:divBdr>
    </w:div>
    <w:div w:id="623116599">
      <w:bodyDiv w:val="1"/>
      <w:marLeft w:val="0"/>
      <w:marRight w:val="0"/>
      <w:marTop w:val="0"/>
      <w:marBottom w:val="0"/>
      <w:divBdr>
        <w:top w:val="none" w:sz="0" w:space="0" w:color="auto"/>
        <w:left w:val="none" w:sz="0" w:space="0" w:color="auto"/>
        <w:bottom w:val="none" w:sz="0" w:space="0" w:color="auto"/>
        <w:right w:val="none" w:sz="0" w:space="0" w:color="auto"/>
      </w:divBdr>
    </w:div>
    <w:div w:id="1469011854">
      <w:bodyDiv w:val="1"/>
      <w:marLeft w:val="0"/>
      <w:marRight w:val="0"/>
      <w:marTop w:val="0"/>
      <w:marBottom w:val="0"/>
      <w:divBdr>
        <w:top w:val="none" w:sz="0" w:space="0" w:color="auto"/>
        <w:left w:val="none" w:sz="0" w:space="0" w:color="auto"/>
        <w:bottom w:val="none" w:sz="0" w:space="0" w:color="auto"/>
        <w:right w:val="none" w:sz="0" w:space="0" w:color="auto"/>
      </w:divBdr>
    </w:div>
    <w:div w:id="1972051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s://www.caiso.com/documents/iso-board-approved-2024-2025-transmission-plan.pdf" TargetMode="External"/><Relationship Id="rId1" Type="http://schemas.openxmlformats.org/officeDocument/2006/relationships/hyperlink" Target="https://www.pge.com/tariffs/assets/pdf/adviceletter/ELEC_7516-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3792811-17d4-4d84-9dea-2aac61cb402c" xsi:nil="true"/>
    <lcf76f155ced4ddcb4097134ff3c332f xmlns="3e861da3-3f5c-49e8-8199-910d1ca57fe2">
      <Terms xmlns="http://schemas.microsoft.com/office/infopath/2007/PartnerControls"/>
    </lcf76f155ced4ddcb4097134ff3c332f>
    <Notes xmlns="3e861da3-3f5c-49e8-8199-910d1ca57fe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DD62BB367C13449AA1A194F617A76E4" ma:contentTypeVersion="20" ma:contentTypeDescription="Create a new document." ma:contentTypeScope="" ma:versionID="37c0dcf42e3bba3855f687292dd6701a">
  <xsd:schema xmlns:xsd="http://www.w3.org/2001/XMLSchema" xmlns:xs="http://www.w3.org/2001/XMLSchema" xmlns:p="http://schemas.microsoft.com/office/2006/metadata/properties" xmlns:ns2="c3792811-17d4-4d84-9dea-2aac61cb402c" xmlns:ns3="3e861da3-3f5c-49e8-8199-910d1ca57fe2" targetNamespace="http://schemas.microsoft.com/office/2006/metadata/properties" ma:root="true" ma:fieldsID="1d4b11359c5e2e00cf5c39bf5fc423a8" ns2:_="" ns3:_="">
    <xsd:import namespace="c3792811-17d4-4d84-9dea-2aac61cb402c"/>
    <xsd:import namespace="3e861da3-3f5c-49e8-8199-910d1ca57fe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Note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ObjectDetectorVersions" minOccurs="0"/>
                <xsd:element ref="ns3:MediaServiceSearchPropertie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792811-17d4-4d84-9dea-2aac61cb402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4551025f-ed0e-46aa-9cb5-6b9d659e7360}" ma:internalName="TaxCatchAll" ma:showField="CatchAllData" ma:web="c3792811-17d4-4d84-9dea-2aac61cb402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e861da3-3f5c-49e8-8199-910d1ca57fe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Notes" ma:index="12" nillable="true" ma:displayName="Notes" ma:format="Dropdown" ma:internalName="Notes">
      <xsd:simpleType>
        <xsd:restriction base="dms:Text">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Location" ma:index="19" nillable="true" ma:displayName="Location"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58c64cc-ee56-435d-b6d0-239f1a5e0d97"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1C780E-3D08-4B0A-8821-488CAE882A12}">
  <ds:schemaRefs>
    <ds:schemaRef ds:uri="http://schemas.microsoft.com/sharepoint/v3/contenttype/forms"/>
  </ds:schemaRefs>
</ds:datastoreItem>
</file>

<file path=customXml/itemProps2.xml><?xml version="1.0" encoding="utf-8"?>
<ds:datastoreItem xmlns:ds="http://schemas.openxmlformats.org/officeDocument/2006/customXml" ds:itemID="{3CC8C451-6480-4FBA-AD88-A84922291283}">
  <ds:schemaRefs>
    <ds:schemaRef ds:uri="http://schemas.microsoft.com/office/2006/metadata/properties"/>
    <ds:schemaRef ds:uri="http://schemas.microsoft.com/office/infopath/2007/PartnerControls"/>
    <ds:schemaRef ds:uri="c3792811-17d4-4d84-9dea-2aac61cb402c"/>
    <ds:schemaRef ds:uri="3e861da3-3f5c-49e8-8199-910d1ca57fe2"/>
  </ds:schemaRefs>
</ds:datastoreItem>
</file>

<file path=customXml/itemProps3.xml><?xml version="1.0" encoding="utf-8"?>
<ds:datastoreItem xmlns:ds="http://schemas.openxmlformats.org/officeDocument/2006/customXml" ds:itemID="{7D8FD8A9-8D8D-4CA5-BFE7-273BACDEF1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792811-17d4-4d84-9dea-2aac61cb402c"/>
    <ds:schemaRef ds:uri="3e861da3-3f5c-49e8-8199-910d1ca57f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FB88BC3-8B78-41D8-B38F-B4979137D11D}">
  <ds:schemaRefs>
    <ds:schemaRef ds:uri="http://schemas.openxmlformats.org/officeDocument/2006/bibliography"/>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23</ap:Pages>
  <ap:Words>8005</ap:Words>
  <ap:Characters>45635</ap:Characters>
  <ap:Application>Microsoft Office Word</ap:Application>
  <ap:DocSecurity>0</ap:DocSecurity>
  <ap:Lines>380</ap:Lines>
  <ap:Paragraphs>107</ap:Paragraphs>
  <ap:ScaleCrop>false</ap:ScaleCrop>
  <ap:Company/>
  <ap:LinksUpToDate>false</ap:LinksUpToDate>
  <ap:CharactersWithSpaces>53533</ap:CharactersWithSpaces>
  <ap:SharedDoc>false</ap:SharedDoc>
  <ap:HLinks>
    <vt:vector baseType="variant" size="6">
      <vt:variant>
        <vt:i4>3866632</vt:i4>
      </vt:variant>
      <vt:variant>
        <vt:i4>0</vt:i4>
      </vt:variant>
      <vt:variant>
        <vt:i4>0</vt:i4>
      </vt:variant>
      <vt:variant>
        <vt:i4>5</vt:i4>
      </vt:variant>
      <vt:variant>
        <vt:lpwstr>https://www.pge.com/tariffs/assets/pdf/adviceletter/ELEC_7516-E.pdf</vt:lpwstr>
      </vt:variant>
      <vt:variant>
        <vt:lpwstr/>
      </vt:variant>
    </vt:vector>
  </ap:HLinks>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2025-09-10T17:04:00Z</cp:lastPrinted>
  <dcterms:created xsi:type="dcterms:W3CDTF">2025-11-07T09:43:06Z</dcterms:created>
  <dcterms:modified xsi:type="dcterms:W3CDTF">2025-11-07T09:43:06Z</dcterms:modified>
</cp:coreProperties>
</file>