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BC0BD1" w:rsidRDefault="00925738" w14:paraId="78BEC459" w14:textId="14804824">
      <w:pPr>
        <w:tabs>
          <w:tab w:val="center" w:pos="4680"/>
          <w:tab w:val="right" w:pos="9360"/>
        </w:tabs>
        <w:spacing w:line="240" w:lineRule="auto"/>
        <w:ind w:firstLine="0"/>
      </w:pPr>
      <w:r w:rsidRPr="00733471">
        <w:t>ALJ</w:t>
      </w:r>
      <w:r w:rsidRPr="00733471" w:rsidR="00DA7B5D">
        <w:t>/</w:t>
      </w:r>
      <w:r w:rsidRPr="00733471">
        <w:t>RIM</w:t>
      </w:r>
      <w:r w:rsidRPr="00733471" w:rsidR="00DA7B5D">
        <w:t>/</w:t>
      </w:r>
      <w:r w:rsidRPr="00733471">
        <w:t>abb</w:t>
      </w:r>
      <w:r w:rsidR="007B7EDA">
        <w:t xml:space="preserve">        </w:t>
      </w:r>
      <w:r w:rsidR="00DA7B5D">
        <w:rPr>
          <w:rFonts w:ascii="Arial" w:hAnsi="Arial" w:cs="Arial"/>
          <w:b/>
          <w:sz w:val="32"/>
          <w:szCs w:val="32"/>
        </w:rPr>
        <w:t>PROPOSED DECISION</w:t>
      </w:r>
      <w:r w:rsidR="00DA7B5D">
        <w:tab/>
      </w:r>
      <w:r w:rsidRPr="00EE4315" w:rsidR="00DA7B5D">
        <w:rPr>
          <w:b/>
        </w:rPr>
        <w:t>Agenda ID #</w:t>
      </w:r>
      <w:r w:rsidR="001E053A">
        <w:rPr>
          <w:b/>
        </w:rPr>
        <w:t> </w:t>
      </w:r>
      <w:r w:rsidRPr="001E053A" w:rsidR="001E053A">
        <w:rPr>
          <w:b/>
        </w:rPr>
        <w:t>23815</w:t>
      </w:r>
      <w:r w:rsidR="007B7EDA">
        <w:rPr>
          <w:b/>
        </w:rPr>
        <w:t xml:space="preserve"> </w:t>
      </w:r>
      <w:r w:rsidRPr="007B7EDA" w:rsidR="007B7EDA">
        <w:rPr>
          <w:b/>
        </w:rPr>
        <w:t>(Rev. 1)</w:t>
      </w:r>
    </w:p>
    <w:p w:rsidR="00DA7B5D" w:rsidP="00BC0BD1" w:rsidRDefault="00925738" w14:paraId="497F830B" w14:textId="06F775BA">
      <w:pPr>
        <w:spacing w:line="240" w:lineRule="auto"/>
        <w:jc w:val="right"/>
        <w:rPr>
          <w:b/>
        </w:rPr>
      </w:pPr>
      <w:r>
        <w:rPr>
          <w:b/>
        </w:rPr>
        <w:t>Ratesetting</w:t>
      </w:r>
    </w:p>
    <w:p w:rsidRPr="007B7EDA" w:rsidR="007B7EDA" w:rsidP="007B7EDA" w:rsidRDefault="007B7EDA" w14:paraId="2A748153" w14:textId="77777777">
      <w:pPr>
        <w:spacing w:line="240" w:lineRule="auto"/>
        <w:jc w:val="right"/>
        <w:rPr>
          <w:b/>
        </w:rPr>
      </w:pPr>
      <w:r w:rsidRPr="007B7EDA">
        <w:rPr>
          <w:b/>
        </w:rPr>
        <w:t>11/20/2025 Item #10</w:t>
      </w:r>
    </w:p>
    <w:p w:rsidRPr="00733471" w:rsidR="00452BA9" w:rsidP="00BC0BD1" w:rsidRDefault="00452BA9" w14:paraId="0B6600CC" w14:textId="77777777">
      <w:pPr>
        <w:spacing w:line="240" w:lineRule="auto"/>
        <w:ind w:firstLine="0"/>
      </w:pPr>
    </w:p>
    <w:p w:rsidRPr="00D71ED4" w:rsidR="00D71ED4" w:rsidP="00D71ED4" w:rsidRDefault="00D71ED4" w14:paraId="6612445D" w14:textId="18E45587">
      <w:pPr>
        <w:spacing w:line="240" w:lineRule="auto"/>
        <w:ind w:firstLine="0"/>
        <w:rPr>
          <w:u w:val="single"/>
        </w:rPr>
      </w:pPr>
      <w:r w:rsidRPr="00D71ED4">
        <w:t xml:space="preserve">Decision </w:t>
      </w:r>
      <w:r w:rsidRPr="001E67BC">
        <w:rPr>
          <w:b/>
          <w:bCs/>
          <w:u w:val="single"/>
        </w:rPr>
        <w:t>PROPOSED DECISION OF ALJ MASON (Mailed 10/15/2025)</w:t>
      </w:r>
    </w:p>
    <w:p w:rsidR="00452BA9" w:rsidP="002B32A4" w:rsidRDefault="00452BA9" w14:paraId="30239A36" w14:textId="77777777">
      <w:pPr>
        <w:spacing w:line="240" w:lineRule="auto"/>
        <w:ind w:firstLine="0"/>
        <w:rPr>
          <w:u w:val="single"/>
        </w:rPr>
      </w:pPr>
    </w:p>
    <w:p w:rsidRPr="00733471" w:rsidR="007B7EDA" w:rsidP="002B32A4" w:rsidRDefault="007B7EDA" w14:paraId="4A3BB80F" w14:textId="77777777">
      <w:pPr>
        <w:spacing w:line="240" w:lineRule="auto"/>
        <w:ind w:firstLine="0"/>
        <w:rPr>
          <w:u w:val="single"/>
        </w:rPr>
      </w:pPr>
    </w:p>
    <w:p w:rsidRPr="00452BA9" w:rsidR="00DA7B5D" w:rsidP="00452BA9" w:rsidRDefault="00DA7B5D" w14:paraId="4C49B6D9" w14:textId="1280A027">
      <w:pPr>
        <w:spacing w:line="240" w:lineRule="auto"/>
        <w:ind w:firstLine="0"/>
        <w:rPr>
          <w:rFonts w:ascii="Arial" w:hAnsi="Arial" w:cs="Arial"/>
          <w:sz w:val="24"/>
          <w:szCs w:val="24"/>
        </w:rPr>
      </w:pPr>
      <w:r w:rsidRPr="00452BA9">
        <w:rPr>
          <w:rFonts w:ascii="Arial" w:hAnsi="Arial" w:cs="Arial"/>
          <w:b/>
          <w:sz w:val="24"/>
          <w:szCs w:val="24"/>
        </w:rPr>
        <w:t>BEFORE THE PUBLIC UTILITIES COMMISSION OF THE STATE OF</w:t>
      </w:r>
      <w:r w:rsidRPr="00452BA9" w:rsidR="00452BA9">
        <w:rPr>
          <w:rFonts w:ascii="Arial" w:hAnsi="Arial" w:cs="Arial"/>
          <w:b/>
          <w:sz w:val="24"/>
          <w:szCs w:val="24"/>
        </w:rPr>
        <w:t xml:space="preserve"> </w:t>
      </w:r>
      <w:r w:rsidRPr="00452BA9">
        <w:rPr>
          <w:rFonts w:ascii="Arial" w:hAnsi="Arial" w:cs="Arial"/>
          <w:b/>
          <w:sz w:val="24"/>
          <w:szCs w:val="24"/>
        </w:rPr>
        <w:t>CALIFORNIA</w:t>
      </w:r>
    </w:p>
    <w:p w:rsidRPr="00C26BA9" w:rsidR="00925738" w:rsidP="00BC0BD1" w:rsidRDefault="00925738" w14:paraId="0D2D50B8" w14:textId="77777777">
      <w:pPr>
        <w:suppressAutoHyphens/>
        <w:spacing w:line="240" w:lineRule="auto"/>
        <w:ind w:firstLine="0"/>
        <w:rPr>
          <w:rFonts w:ascii="Palatino" w:hAnsi="Palatino" w:eastAsia="Times New Roman" w:cs="Times New Roman"/>
          <w:szCs w:val="20"/>
        </w:rPr>
      </w:pPr>
    </w:p>
    <w:tbl>
      <w:tblPr>
        <w:tblW w:w="0" w:type="auto"/>
        <w:tblLayout w:type="fixed"/>
        <w:tblLook w:val="0000" w:firstRow="0" w:lastRow="0" w:firstColumn="0" w:lastColumn="0" w:noHBand="0" w:noVBand="0"/>
      </w:tblPr>
      <w:tblGrid>
        <w:gridCol w:w="5580"/>
        <w:gridCol w:w="3665"/>
      </w:tblGrid>
      <w:tr w:rsidRPr="00733471" w:rsidR="00925738" w:rsidTr="00452BA9" w14:paraId="5B537776" w14:textId="77777777">
        <w:tc>
          <w:tcPr>
            <w:tcW w:w="5580" w:type="dxa"/>
            <w:tcBorders>
              <w:bottom w:val="single" w:color="auto" w:sz="6" w:space="0"/>
              <w:right w:val="single" w:color="auto" w:sz="6" w:space="0"/>
            </w:tcBorders>
          </w:tcPr>
          <w:p w:rsidRPr="00733471" w:rsidR="00925738" w:rsidP="00452BA9" w:rsidRDefault="00925738" w14:paraId="1E7E666E" w14:textId="2EA86C76">
            <w:pPr>
              <w:tabs>
                <w:tab w:val="left" w:pos="4575"/>
              </w:tabs>
              <w:spacing w:before="60" w:line="240" w:lineRule="auto"/>
              <w:ind w:firstLine="0"/>
              <w:rPr>
                <w:rFonts w:eastAsia="Times New Roman" w:cs="Times New Roman"/>
                <w:szCs w:val="20"/>
              </w:rPr>
            </w:pPr>
            <w:r w:rsidRPr="00733471">
              <w:rPr>
                <w:rFonts w:eastAsia="Times New Roman" w:cs="Times New Roman"/>
                <w:szCs w:val="20"/>
              </w:rPr>
              <w:t xml:space="preserve">In the Matter of the Joint Application of Sprint Communications Company L.P. </w:t>
            </w:r>
            <w:r w:rsidRPr="00733471" w:rsidR="00BC0BD1">
              <w:rPr>
                <w:rFonts w:eastAsia="Times New Roman" w:cs="Times New Roman"/>
                <w:szCs w:val="20"/>
              </w:rPr>
              <w:br/>
            </w:r>
            <w:r w:rsidRPr="00733471">
              <w:rPr>
                <w:rFonts w:eastAsia="Times New Roman" w:cs="Times New Roman"/>
                <w:szCs w:val="20"/>
              </w:rPr>
              <w:t>(U-5112) and T-Mobile USA, Inc., a Delaware corporation, for Approval of Transfer of Control of Sprint Communications Company L.P. Pursuant to California Public Utilities Code Section 854(a).</w:t>
            </w:r>
          </w:p>
          <w:p w:rsidRPr="00733471" w:rsidR="00925738" w:rsidP="00647C10" w:rsidRDefault="00925738" w14:paraId="722C5DA7" w14:textId="77777777">
            <w:pPr>
              <w:tabs>
                <w:tab w:val="left" w:pos="4575"/>
              </w:tabs>
              <w:spacing w:line="240" w:lineRule="auto"/>
              <w:rPr>
                <w:rFonts w:eastAsia="Times New Roman" w:cs="Times New Roman"/>
                <w:szCs w:val="20"/>
              </w:rPr>
            </w:pPr>
          </w:p>
        </w:tc>
        <w:tc>
          <w:tcPr>
            <w:tcW w:w="3665" w:type="dxa"/>
            <w:tcBorders>
              <w:left w:val="nil"/>
            </w:tcBorders>
            <w:vAlign w:val="center"/>
          </w:tcPr>
          <w:p w:rsidRPr="00733471" w:rsidR="00BC0BD1" w:rsidP="00452BA9" w:rsidRDefault="00BC0BD1" w14:paraId="15FE9E33" w14:textId="77777777">
            <w:pPr>
              <w:spacing w:line="240" w:lineRule="auto"/>
              <w:ind w:firstLine="0"/>
              <w:jc w:val="center"/>
              <w:rPr>
                <w:rFonts w:eastAsia="Times New Roman" w:cs="Times New Roman"/>
                <w:szCs w:val="20"/>
              </w:rPr>
            </w:pPr>
          </w:p>
          <w:p w:rsidRPr="00733471" w:rsidR="00925738" w:rsidP="00452BA9" w:rsidRDefault="00925738" w14:paraId="0E88A5FB" w14:textId="2879EE4B">
            <w:pPr>
              <w:spacing w:line="240" w:lineRule="auto"/>
              <w:jc w:val="center"/>
              <w:rPr>
                <w:rFonts w:eastAsia="Times New Roman" w:cs="Times New Roman"/>
                <w:szCs w:val="20"/>
              </w:rPr>
            </w:pPr>
            <w:r w:rsidRPr="00733471">
              <w:rPr>
                <w:rFonts w:eastAsia="Times New Roman" w:cs="Times New Roman"/>
                <w:szCs w:val="20"/>
              </w:rPr>
              <w:t>Application</w:t>
            </w:r>
            <w:r w:rsidR="00452BA9">
              <w:rPr>
                <w:rFonts w:eastAsia="Times New Roman" w:cs="Times New Roman"/>
                <w:szCs w:val="20"/>
              </w:rPr>
              <w:t> </w:t>
            </w:r>
            <w:r w:rsidRPr="00733471">
              <w:rPr>
                <w:rFonts w:eastAsia="Times New Roman" w:cs="Times New Roman"/>
                <w:szCs w:val="20"/>
              </w:rPr>
              <w:t>18-07-011</w:t>
            </w:r>
          </w:p>
          <w:p w:rsidRPr="00733471" w:rsidR="00925738" w:rsidP="00452BA9" w:rsidRDefault="00925738" w14:paraId="2B5447CE" w14:textId="77777777">
            <w:pPr>
              <w:spacing w:line="240" w:lineRule="auto"/>
              <w:jc w:val="center"/>
              <w:rPr>
                <w:rFonts w:eastAsia="Times New Roman" w:cs="Times New Roman"/>
                <w:szCs w:val="20"/>
              </w:rPr>
            </w:pPr>
          </w:p>
        </w:tc>
      </w:tr>
      <w:tr w:rsidRPr="00733471" w:rsidR="00925738" w:rsidTr="00E40D0C" w14:paraId="153448CB" w14:textId="77777777">
        <w:trPr>
          <w:trHeight w:val="570"/>
        </w:trPr>
        <w:tc>
          <w:tcPr>
            <w:tcW w:w="5580" w:type="dxa"/>
            <w:tcBorders>
              <w:bottom w:val="single" w:color="auto" w:sz="6" w:space="0"/>
              <w:right w:val="single" w:color="auto" w:sz="6" w:space="0"/>
            </w:tcBorders>
          </w:tcPr>
          <w:p w:rsidRPr="00733471" w:rsidR="00925738" w:rsidP="007B7EDA" w:rsidRDefault="00925738" w14:paraId="2C1ACA9A" w14:textId="2001FCA6">
            <w:pPr>
              <w:tabs>
                <w:tab w:val="left" w:pos="4575"/>
              </w:tabs>
              <w:spacing w:before="120" w:line="240" w:lineRule="auto"/>
              <w:ind w:firstLine="0"/>
              <w:rPr>
                <w:rFonts w:eastAsia="Times New Roman" w:cs="Times New Roman"/>
                <w:szCs w:val="20"/>
              </w:rPr>
            </w:pPr>
            <w:r w:rsidRPr="00733471">
              <w:rPr>
                <w:rFonts w:eastAsia="Times New Roman" w:cs="Times New Roman"/>
                <w:szCs w:val="20"/>
              </w:rPr>
              <w:t>And Related Matter.</w:t>
            </w:r>
          </w:p>
        </w:tc>
        <w:tc>
          <w:tcPr>
            <w:tcW w:w="3665" w:type="dxa"/>
            <w:tcBorders>
              <w:left w:val="nil"/>
            </w:tcBorders>
            <w:vAlign w:val="center"/>
          </w:tcPr>
          <w:p w:rsidRPr="00733471" w:rsidR="00925738" w:rsidP="00E40D0C" w:rsidRDefault="00925738" w14:paraId="1ADB3C88" w14:textId="338C6491">
            <w:pPr>
              <w:spacing w:line="240" w:lineRule="auto"/>
              <w:jc w:val="center"/>
              <w:rPr>
                <w:rFonts w:eastAsia="Times New Roman" w:cs="Times New Roman"/>
                <w:szCs w:val="20"/>
              </w:rPr>
            </w:pPr>
            <w:r w:rsidRPr="00733471">
              <w:rPr>
                <w:rFonts w:eastAsia="Times New Roman" w:cs="Times New Roman"/>
                <w:szCs w:val="20"/>
              </w:rPr>
              <w:t>Application</w:t>
            </w:r>
            <w:r w:rsidR="00452BA9">
              <w:rPr>
                <w:rFonts w:eastAsia="Times New Roman" w:cs="Times New Roman"/>
                <w:szCs w:val="20"/>
              </w:rPr>
              <w:t> </w:t>
            </w:r>
            <w:r w:rsidRPr="00733471">
              <w:rPr>
                <w:rFonts w:eastAsia="Times New Roman" w:cs="Times New Roman"/>
                <w:szCs w:val="20"/>
              </w:rPr>
              <w:t>18-07-012</w:t>
            </w:r>
          </w:p>
          <w:p w:rsidRPr="00733471" w:rsidR="00925738" w:rsidP="00E40D0C" w:rsidRDefault="00925738" w14:paraId="67ADE4ED" w14:textId="77777777">
            <w:pPr>
              <w:spacing w:line="240" w:lineRule="auto"/>
              <w:jc w:val="center"/>
              <w:rPr>
                <w:rFonts w:eastAsia="Times New Roman" w:cs="Times New Roman"/>
                <w:szCs w:val="20"/>
              </w:rPr>
            </w:pPr>
          </w:p>
        </w:tc>
      </w:tr>
    </w:tbl>
    <w:p w:rsidR="00DA7B5D" w:rsidP="008F0116" w:rsidRDefault="00DA7B5D" w14:paraId="16982FE4" w14:textId="77777777">
      <w:pPr>
        <w:spacing w:line="240" w:lineRule="auto"/>
        <w:ind w:firstLine="0"/>
        <w:rPr>
          <w:rFonts w:ascii="Arial" w:hAnsi="Arial" w:cs="Arial"/>
          <w:sz w:val="24"/>
          <w:szCs w:val="24"/>
        </w:rPr>
      </w:pPr>
    </w:p>
    <w:p w:rsidR="00BC0BD1" w:rsidP="008F0116" w:rsidRDefault="00BC0BD1" w14:paraId="1C4CAD48" w14:textId="77777777">
      <w:pPr>
        <w:spacing w:line="240" w:lineRule="auto"/>
        <w:ind w:firstLine="0"/>
        <w:rPr>
          <w:rFonts w:ascii="Arial" w:hAnsi="Arial" w:cs="Arial"/>
          <w:sz w:val="24"/>
          <w:szCs w:val="24"/>
        </w:rPr>
      </w:pPr>
    </w:p>
    <w:p w:rsidR="00452BA9" w:rsidP="00452BA9" w:rsidRDefault="002B32A4" w14:paraId="3AB4E0D0" w14:textId="77777777">
      <w:pPr>
        <w:pStyle w:val="Dummy"/>
        <w:spacing w:after="0"/>
        <w:jc w:val="center"/>
      </w:pPr>
      <w:r w:rsidRPr="002B32A4">
        <w:t xml:space="preserve">DECISION ON CENTER FOR ACCESSIBLE TECHNOLOGY’S </w:t>
      </w:r>
    </w:p>
    <w:p w:rsidR="0098655A" w:rsidP="00452BA9" w:rsidRDefault="002B32A4" w14:paraId="43FFDC04" w14:textId="66AA9F79">
      <w:pPr>
        <w:pStyle w:val="Dummy"/>
        <w:spacing w:after="0"/>
        <w:jc w:val="center"/>
      </w:pPr>
      <w:r w:rsidRPr="002B32A4">
        <w:t>PETITION FOR MODIFICATION OF D.20-04</w:t>
      </w:r>
      <w:r>
        <w:t>-008</w:t>
      </w:r>
    </w:p>
    <w:p w:rsidR="005A148C" w:rsidP="005A148C" w:rsidRDefault="005A148C" w14:paraId="49A8606B" w14:textId="77777777">
      <w:pPr>
        <w:pStyle w:val="Dummy"/>
      </w:pPr>
      <w:bookmarkStart w:name="_Toc8123714" w:id="0"/>
      <w:bookmarkStart w:name="_Toc208497301" w:id="1"/>
      <w:r>
        <w:t>Summary</w:t>
      </w:r>
      <w:bookmarkEnd w:id="0"/>
      <w:bookmarkEnd w:id="1"/>
    </w:p>
    <w:p w:rsidR="00E40D0C" w:rsidP="006E6574" w:rsidRDefault="005A148C" w14:paraId="26D4C4DF" w14:textId="556E3219">
      <w:pPr>
        <w:pStyle w:val="Standard"/>
      </w:pPr>
      <w:r>
        <w:t>Th</w:t>
      </w:r>
      <w:r w:rsidR="00B91FEA">
        <w:t>is decision</w:t>
      </w:r>
      <w:r w:rsidR="00176EA8">
        <w:t xml:space="preserve"> denies</w:t>
      </w:r>
      <w:r w:rsidR="00B91FEA">
        <w:t xml:space="preserve"> the </w:t>
      </w:r>
      <w:r w:rsidRPr="00B0493E" w:rsidR="00B91FEA">
        <w:rPr>
          <w:i/>
          <w:iCs/>
        </w:rPr>
        <w:t xml:space="preserve">Center for Accessible Technology’s Petition for Modification of </w:t>
      </w:r>
      <w:r w:rsidR="00113CC8">
        <w:rPr>
          <w:i/>
          <w:iCs/>
        </w:rPr>
        <w:t>[</w:t>
      </w:r>
      <w:r w:rsidRPr="00B0493E" w:rsidR="00B91FEA">
        <w:rPr>
          <w:i/>
          <w:iCs/>
        </w:rPr>
        <w:t>D</w:t>
      </w:r>
      <w:r w:rsidR="00113CC8">
        <w:rPr>
          <w:i/>
          <w:iCs/>
        </w:rPr>
        <w:t>ecision (D</w:t>
      </w:r>
      <w:r w:rsidRPr="00B0493E" w:rsidR="00B91FEA">
        <w:rPr>
          <w:i/>
          <w:iCs/>
        </w:rPr>
        <w:t>.</w:t>
      </w:r>
      <w:r w:rsidR="00113CC8">
        <w:rPr>
          <w:i/>
          <w:iCs/>
        </w:rPr>
        <w:t xml:space="preserve">)] </w:t>
      </w:r>
      <w:r w:rsidRPr="00B0493E" w:rsidR="00B91FEA">
        <w:rPr>
          <w:i/>
          <w:iCs/>
        </w:rPr>
        <w:t>20-04-008</w:t>
      </w:r>
      <w:r w:rsidR="006A0FB5">
        <w:t xml:space="preserve"> because it fails to meet the requirements of Rule</w:t>
      </w:r>
      <w:r w:rsidR="00BF4340">
        <w:t> </w:t>
      </w:r>
      <w:r w:rsidR="006A0FB5">
        <w:t>16.4 of the Commission’s Rules of Practice and Procedure.</w:t>
      </w:r>
      <w:r w:rsidR="001816CB">
        <w:t xml:space="preserve"> </w:t>
      </w:r>
      <w:r w:rsidR="00BF4340">
        <w:t xml:space="preserve"> </w:t>
      </w:r>
      <w:r w:rsidR="001816CB">
        <w:t xml:space="preserve">Rather than ask the Commission to make changes to D.20-04-008, </w:t>
      </w:r>
      <w:r w:rsidR="00552EFF">
        <w:t xml:space="preserve">the Center for </w:t>
      </w:r>
      <w:r w:rsidR="001C5B70">
        <w:t>A</w:t>
      </w:r>
      <w:r w:rsidR="00552EFF">
        <w:t xml:space="preserve">ccessible Technology requests that the Commission </w:t>
      </w:r>
      <w:r w:rsidR="008E2EF1">
        <w:t xml:space="preserve">reopen </w:t>
      </w:r>
      <w:r w:rsidR="008321BA">
        <w:t>Applications</w:t>
      </w:r>
      <w:r w:rsidR="00BF4340">
        <w:t> </w:t>
      </w:r>
      <w:r w:rsidR="008321BA">
        <w:t>18-01-011 and 18</w:t>
      </w:r>
      <w:r w:rsidR="00BF4340">
        <w:noBreakHyphen/>
      </w:r>
      <w:r w:rsidR="008321BA">
        <w:t>07-012</w:t>
      </w:r>
      <w:r w:rsidR="00A37EC1">
        <w:t xml:space="preserve"> </w:t>
      </w:r>
      <w:r w:rsidR="001C5B70">
        <w:t>to</w:t>
      </w:r>
      <w:r w:rsidR="00A37EC1">
        <w:t xml:space="preserve"> enforce Ordering Paragraphs 32-37 of D.20-04-008</w:t>
      </w:r>
      <w:r w:rsidR="00CE3582">
        <w:t xml:space="preserve">. </w:t>
      </w:r>
      <w:r w:rsidR="0059514D">
        <w:t xml:space="preserve"> </w:t>
      </w:r>
      <w:r w:rsidR="00CE3582">
        <w:t>These Ordering Paragraphs</w:t>
      </w:r>
      <w:r w:rsidR="00F13D3E">
        <w:t xml:space="preserve"> address diversity obligations</w:t>
      </w:r>
      <w:r w:rsidR="00863BE2">
        <w:t xml:space="preserve"> that were conditions of the merger authorization</w:t>
      </w:r>
      <w:r w:rsidR="00906D8B">
        <w:t xml:space="preserve"> between Sprint Communications Company</w:t>
      </w:r>
      <w:r w:rsidR="00033008">
        <w:t xml:space="preserve"> L.P. and T-Mobile USA, Inc</w:t>
      </w:r>
      <w:r w:rsidR="00863BE2">
        <w:t>.</w:t>
      </w:r>
      <w:r w:rsidR="008F577B">
        <w:t xml:space="preserve"> </w:t>
      </w:r>
      <w:r w:rsidR="00BF4340">
        <w:t xml:space="preserve"> </w:t>
      </w:r>
      <w:r w:rsidR="008F577B">
        <w:t xml:space="preserve">Such </w:t>
      </w:r>
      <w:r w:rsidR="00CE3582">
        <w:t xml:space="preserve">enforcement </w:t>
      </w:r>
      <w:r w:rsidR="008F577B">
        <w:t xml:space="preserve">relief is not appropriate </w:t>
      </w:r>
      <w:r w:rsidR="00726736">
        <w:t>as part of a Petition for Modification.</w:t>
      </w:r>
    </w:p>
    <w:p w:rsidR="00E40D0C" w:rsidP="00E40D0C" w:rsidRDefault="00E40D0C" w14:paraId="11774172" w14:textId="77777777">
      <w:pPr>
        <w:pStyle w:val="Standard"/>
        <w:ind w:firstLine="0"/>
        <w:sectPr w:rsidR="00E40D0C" w:rsidSect="00E40D0C">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pPr>
    </w:p>
    <w:p w:rsidR="00033008" w:rsidP="006E6574" w:rsidRDefault="007C5604" w14:paraId="7271F9C0" w14:textId="7C048BA5">
      <w:pPr>
        <w:pStyle w:val="Standard"/>
      </w:pPr>
      <w:r>
        <w:lastRenderedPageBreak/>
        <w:t xml:space="preserve">While we are denying the </w:t>
      </w:r>
      <w:r w:rsidRPr="00B30180">
        <w:rPr>
          <w:i/>
          <w:iCs/>
        </w:rPr>
        <w:t>Petition for Modification</w:t>
      </w:r>
      <w:r>
        <w:t xml:space="preserve">, </w:t>
      </w:r>
      <w:r w:rsidR="00EC57BB">
        <w:t xml:space="preserve">we </w:t>
      </w:r>
      <w:r w:rsidRPr="00FE5AB7" w:rsidR="00FE5AB7">
        <w:t>note that D.20-04-008 provide</w:t>
      </w:r>
      <w:r w:rsidR="005B24F5">
        <w:t>s</w:t>
      </w:r>
      <w:r w:rsidRPr="00FE5AB7" w:rsidR="00FE5AB7">
        <w:t xml:space="preserve"> Commission staff with mechanisms to monitor and ensure compliance with the approved terms of the merger between T-Mobile and Sprint</w:t>
      </w:r>
      <w:r w:rsidR="00B14010">
        <w:t>.</w:t>
      </w:r>
      <w:r w:rsidR="00FE5AB7">
        <w:t xml:space="preserve"> </w:t>
      </w:r>
      <w:r w:rsidR="0059514D">
        <w:t xml:space="preserve"> </w:t>
      </w:r>
      <w:r w:rsidRPr="00FE5AB7" w:rsidR="00FE5AB7">
        <w:t>CFAT may reach out to Commission staff and inquire about the Compliance Monitor’s work to ensure T-Mobile’s compliance with D.20-04-008, as well as about the development and enforcement of the citation program</w:t>
      </w:r>
      <w:r w:rsidR="003961FD">
        <w:t>.</w:t>
      </w:r>
    </w:p>
    <w:p w:rsidR="002C7FE9" w:rsidP="00B32ED4" w:rsidRDefault="002C7FE9" w14:paraId="35118A52" w14:textId="6B50781C">
      <w:pPr>
        <w:pStyle w:val="Heading1"/>
        <w:numPr>
          <w:ilvl w:val="0"/>
          <w:numId w:val="1"/>
        </w:numPr>
      </w:pPr>
      <w:bookmarkStart w:name="_Toc8123715" w:id="2"/>
      <w:bookmarkStart w:name="_Toc208497302" w:id="3"/>
      <w:r w:rsidRPr="00121089">
        <w:t>Background</w:t>
      </w:r>
      <w:bookmarkEnd w:id="2"/>
      <w:bookmarkEnd w:id="3"/>
    </w:p>
    <w:p w:rsidR="0063491C" w:rsidP="0063491C" w:rsidRDefault="0063491C" w14:paraId="7CF43D88" w14:textId="77777777">
      <w:pPr>
        <w:pStyle w:val="Heading2"/>
      </w:pPr>
      <w:bookmarkStart w:name="_Toc8123716" w:id="4"/>
      <w:bookmarkStart w:name="_Toc208497303" w:id="5"/>
      <w:r>
        <w:t>Factual Background</w:t>
      </w:r>
      <w:bookmarkEnd w:id="4"/>
      <w:bookmarkEnd w:id="5"/>
    </w:p>
    <w:p w:rsidR="00933859" w:rsidP="006E6574" w:rsidRDefault="00933859" w14:paraId="14977536" w14:textId="1061300E">
      <w:pPr>
        <w:pStyle w:val="Standard"/>
      </w:pPr>
      <w:r>
        <w:t>On July 13, 20</w:t>
      </w:r>
      <w:r w:rsidR="001738F1">
        <w:t>1</w:t>
      </w:r>
      <w:r>
        <w:t xml:space="preserve">8, </w:t>
      </w:r>
      <w:r w:rsidR="006A07CF">
        <w:t xml:space="preserve">Sprint Communications Company L.P. (Sprint) and </w:t>
      </w:r>
      <w:r>
        <w:t>T</w:t>
      </w:r>
      <w:r w:rsidR="00D51806">
        <w:noBreakHyphen/>
      </w:r>
      <w:r>
        <w:t>Mobile</w:t>
      </w:r>
      <w:r w:rsidR="00C54621">
        <w:t xml:space="preserve"> USA, Inc. (T-Mobile) filed a </w:t>
      </w:r>
      <w:r w:rsidRPr="0063290F" w:rsidR="00C54621">
        <w:rPr>
          <w:i/>
          <w:iCs/>
        </w:rPr>
        <w:t>Joint Application for Approval of Transfer of Control of Sprint Communications Company L.P</w:t>
      </w:r>
      <w:r w:rsidR="00C54621">
        <w:t>.</w:t>
      </w:r>
    </w:p>
    <w:p w:rsidR="0063290F" w:rsidP="006E6574" w:rsidRDefault="0063290F" w14:paraId="26EC5085" w14:textId="0F9F85CB">
      <w:pPr>
        <w:pStyle w:val="Standard"/>
      </w:pPr>
      <w:r>
        <w:t xml:space="preserve">Following evidentiary hearings, </w:t>
      </w:r>
      <w:r w:rsidR="00462970">
        <w:t>on April 27, 2020, the Commission issued D.20-04-008 which approved the transaction with conditions.</w:t>
      </w:r>
      <w:r w:rsidR="005D1185">
        <w:t xml:space="preserve"> </w:t>
      </w:r>
      <w:r w:rsidR="00D51806">
        <w:t xml:space="preserve"> </w:t>
      </w:r>
      <w:r w:rsidR="005D1185">
        <w:t>The Commission imposed</w:t>
      </w:r>
      <w:r w:rsidR="004C3D66">
        <w:t xml:space="preserve"> conditions regarding diversity, equity, and inclusion</w:t>
      </w:r>
      <w:r w:rsidR="003F0300">
        <w:t xml:space="preserve"> that are set forth in Ordering Paragraphs 32-37:</w:t>
      </w:r>
    </w:p>
    <w:p w:rsidR="00E26B3D" w:rsidP="00D51806" w:rsidRDefault="001252C7" w14:paraId="4CA82E4C" w14:textId="0AF86904">
      <w:pPr>
        <w:pStyle w:val="Standard"/>
        <w:numPr>
          <w:ilvl w:val="0"/>
          <w:numId w:val="19"/>
        </w:numPr>
        <w:spacing w:after="120" w:line="240" w:lineRule="auto"/>
        <w:ind w:left="1080" w:right="1440"/>
      </w:pPr>
      <w:r w:rsidRPr="001252C7">
        <w:t xml:space="preserve">New T-Mobile shall strive to achieve and maintain a diverse board of directors that includes substantial representation by people of color. </w:t>
      </w:r>
      <w:r w:rsidR="00D51806">
        <w:t xml:space="preserve"> </w:t>
      </w:r>
      <w:r w:rsidRPr="001252C7">
        <w:t>New T-Mobile shall evaluate the makeup of its Board on an ongoing basis, encourage its stockholders to select diverse candidates to fill Board vacancies, and propose a diverse pool of candidates for its stockholders to consider when filling vacancies.</w:t>
      </w:r>
    </w:p>
    <w:p w:rsidR="00E26B3D" w:rsidP="00D51806" w:rsidRDefault="001252C7" w14:paraId="3935A65A" w14:textId="270332C6">
      <w:pPr>
        <w:pStyle w:val="Standard"/>
        <w:numPr>
          <w:ilvl w:val="0"/>
          <w:numId w:val="19"/>
        </w:numPr>
        <w:spacing w:after="120" w:line="240" w:lineRule="auto"/>
        <w:ind w:left="1080" w:right="1440"/>
      </w:pPr>
      <w:r w:rsidRPr="001252C7">
        <w:t>New T-Mobile shall continue to have a Diversity and Inclusion Office led by a Vice President with budgetary and decision-making authority to ensure that diversity is integrated into all aspects of the company and is among the company’s core values.</w:t>
      </w:r>
    </w:p>
    <w:p w:rsidR="00E26B3D" w:rsidP="00D51806" w:rsidRDefault="001252C7" w14:paraId="3EC1DAD2" w14:textId="40BFA4FB">
      <w:pPr>
        <w:pStyle w:val="Standard"/>
        <w:numPr>
          <w:ilvl w:val="0"/>
          <w:numId w:val="19"/>
        </w:numPr>
        <w:spacing w:after="120" w:line="240" w:lineRule="auto"/>
        <w:ind w:left="1080" w:right="1440"/>
      </w:pPr>
      <w:r w:rsidRPr="001252C7">
        <w:t xml:space="preserve">New T-Mobile shall continue to have a Vice-President of Governmental Affairs who works with community </w:t>
      </w:r>
      <w:r w:rsidRPr="001252C7">
        <w:lastRenderedPageBreak/>
        <w:t>organizations on policy matters, technology needs, and investment.</w:t>
      </w:r>
    </w:p>
    <w:p w:rsidR="00E26B3D" w:rsidP="00D51806" w:rsidRDefault="001252C7" w14:paraId="15BA977A" w14:textId="71C70B2C">
      <w:pPr>
        <w:pStyle w:val="Standard"/>
        <w:numPr>
          <w:ilvl w:val="0"/>
          <w:numId w:val="19"/>
        </w:numPr>
        <w:spacing w:after="120" w:line="240" w:lineRule="auto"/>
        <w:ind w:left="1080" w:right="1440"/>
      </w:pPr>
      <w:r w:rsidRPr="001252C7">
        <w:t xml:space="preserve">New T-Mobile shall strive to increase the diversity of its workforce in California at all levels to reflect the diversity of communities where it operates. </w:t>
      </w:r>
      <w:r w:rsidR="0059514D">
        <w:t xml:space="preserve"> </w:t>
      </w:r>
      <w:r w:rsidRPr="001252C7">
        <w:t>It shall conduct (and enhance existing) mentoring, outreach, recruiting, development and training programs that provide meaningful opportunities for employment and advancement.</w:t>
      </w:r>
    </w:p>
    <w:p w:rsidR="00656A79" w:rsidP="00D51806" w:rsidRDefault="001252C7" w14:paraId="392B4EBA" w14:textId="76E18568">
      <w:pPr>
        <w:pStyle w:val="Standard"/>
        <w:numPr>
          <w:ilvl w:val="0"/>
          <w:numId w:val="19"/>
        </w:numPr>
        <w:spacing w:after="120" w:line="240" w:lineRule="auto"/>
        <w:ind w:left="1080" w:right="1440"/>
      </w:pPr>
      <w:r w:rsidRPr="001252C7">
        <w:t xml:space="preserve">New T-Mobile shall support and partner with local trade schools and other community and civic organizations in California to train and/or certify individuals for employment in the wireless, telecommunications, or technology industries. </w:t>
      </w:r>
      <w:r w:rsidR="00D51806">
        <w:t xml:space="preserve"> </w:t>
      </w:r>
      <w:r w:rsidRPr="001252C7">
        <w:t>New T</w:t>
      </w:r>
      <w:r w:rsidR="00656A79">
        <w:t>-</w:t>
      </w:r>
      <w:r w:rsidRPr="001252C7">
        <w:t>Mobile shall invest in local community programs designed to prepare people of color and other diverse individuals to succeed in the workplace, including mentoring programs to enhance opportunities for upward mobility from entry-level to mid-level and senior management.</w:t>
      </w:r>
    </w:p>
    <w:p w:rsidR="0034039C" w:rsidP="00D51806" w:rsidRDefault="001252C7" w14:paraId="5DA0AF59" w14:textId="44C7E782">
      <w:pPr>
        <w:pStyle w:val="Standard"/>
        <w:numPr>
          <w:ilvl w:val="0"/>
          <w:numId w:val="19"/>
        </w:numPr>
        <w:spacing w:after="120" w:line="240" w:lineRule="auto"/>
        <w:ind w:left="1080" w:right="1440"/>
      </w:pPr>
      <w:r w:rsidRPr="001252C7">
        <w:t xml:space="preserve">New T-Mobile shall strive to substantially increase, over the next three years, its diverse supplier spending in California. </w:t>
      </w:r>
      <w:r w:rsidR="00D51806">
        <w:t xml:space="preserve"> </w:t>
      </w:r>
      <w:r w:rsidRPr="001252C7">
        <w:t>It shall establish specific goals in this area, including goals for the use of minority-owned banking, accounting, other financial, and legal services companies. New T-Mobile’s goal for five years following the merger shall be to exceed T-Mobile's 22.88% annual diversity spending in California in 2019.</w:t>
      </w:r>
    </w:p>
    <w:p w:rsidR="0034039C" w:rsidP="00D51806" w:rsidRDefault="002B5C2E" w14:paraId="791CEDE5" w14:textId="4F88BCB9">
      <w:pPr>
        <w:pStyle w:val="Standard"/>
        <w:spacing w:after="240" w:line="240" w:lineRule="auto"/>
      </w:pPr>
      <w:r>
        <w:t>The proceeding</w:t>
      </w:r>
      <w:r w:rsidR="00425B39">
        <w:t>s were</w:t>
      </w:r>
      <w:r>
        <w:t xml:space="preserve"> closed on </w:t>
      </w:r>
      <w:r w:rsidR="00931368">
        <w:t xml:space="preserve">April </w:t>
      </w:r>
      <w:r w:rsidR="00E4016E">
        <w:t>27</w:t>
      </w:r>
      <w:r>
        <w:t>, 202</w:t>
      </w:r>
      <w:r w:rsidR="0034039C">
        <w:t>0.</w:t>
      </w:r>
      <w:r w:rsidR="00BE3DAE">
        <w:rPr>
          <w:rStyle w:val="FootnoteReference"/>
        </w:rPr>
        <w:footnoteReference w:id="2"/>
      </w:r>
    </w:p>
    <w:p w:rsidR="00DA3F8A" w:rsidP="007D5E66" w:rsidRDefault="00DA3F8A" w14:paraId="449686E5" w14:textId="19A763AD">
      <w:pPr>
        <w:pStyle w:val="Standard"/>
      </w:pPr>
      <w:bookmarkStart w:name="_Hlk210816030" w:id="6"/>
      <w:r>
        <w:t>On February 12, 2021, the Commission approved Resolution</w:t>
      </w:r>
      <w:r w:rsidRPr="00DA3F8A">
        <w:t xml:space="preserve"> T-17722</w:t>
      </w:r>
      <w:r>
        <w:t>, approving</w:t>
      </w:r>
      <w:r w:rsidRPr="00DA3F8A">
        <w:t xml:space="preserve"> a Citation Program under the administration of Commission Staff to </w:t>
      </w:r>
      <w:r w:rsidRPr="00DA3F8A">
        <w:lastRenderedPageBreak/>
        <w:t>assure T-Mobile USA, Inc.’s compliance with the requirements contained within the Ordering Paragraphs of Decision 20-04-008.</w:t>
      </w:r>
    </w:p>
    <w:p w:rsidR="0063491C" w:rsidP="0063491C" w:rsidRDefault="0063491C" w14:paraId="5B71693E" w14:textId="77777777">
      <w:pPr>
        <w:pStyle w:val="Heading2"/>
      </w:pPr>
      <w:bookmarkStart w:name="_Toc8123717" w:id="7"/>
      <w:bookmarkStart w:name="_Toc208497304" w:id="8"/>
      <w:bookmarkEnd w:id="6"/>
      <w:r>
        <w:t>Procedural Background</w:t>
      </w:r>
      <w:bookmarkEnd w:id="7"/>
      <w:bookmarkEnd w:id="8"/>
    </w:p>
    <w:p w:rsidR="00537D9C" w:rsidP="006E6574" w:rsidRDefault="004809F7" w14:paraId="40FCEA9E" w14:textId="4CFF1B4C">
      <w:pPr>
        <w:pStyle w:val="Standard"/>
      </w:pPr>
      <w:r>
        <w:t xml:space="preserve">On </w:t>
      </w:r>
      <w:r w:rsidR="006C1663">
        <w:t xml:space="preserve">April 10, 2025, Center for Accessible Technology (CFAT) </w:t>
      </w:r>
      <w:r w:rsidR="005D398A">
        <w:t>tendered</w:t>
      </w:r>
      <w:r w:rsidR="00307C20">
        <w:t xml:space="preserve"> two pleadings</w:t>
      </w:r>
      <w:r w:rsidR="005D398A">
        <w:t xml:space="preserve"> for filing</w:t>
      </w:r>
      <w:r w:rsidR="00307C20">
        <w:t xml:space="preserve">: </w:t>
      </w:r>
      <w:r w:rsidR="0059514D">
        <w:t xml:space="preserve"> </w:t>
      </w:r>
      <w:r w:rsidR="00307C20">
        <w:t xml:space="preserve">first, </w:t>
      </w:r>
      <w:r w:rsidRPr="00471E19" w:rsidR="00471E19">
        <w:rPr>
          <w:i/>
          <w:iCs/>
        </w:rPr>
        <w:t xml:space="preserve">CFAT’s </w:t>
      </w:r>
      <w:r w:rsidRPr="00471E19" w:rsidR="00307C20">
        <w:rPr>
          <w:i/>
          <w:iCs/>
        </w:rPr>
        <w:t>Motion for Party Status</w:t>
      </w:r>
      <w:r w:rsidR="00307C20">
        <w:t xml:space="preserve">; and second, </w:t>
      </w:r>
      <w:r w:rsidR="00471E19">
        <w:t>CFAT’s</w:t>
      </w:r>
      <w:r w:rsidR="007B7B3F">
        <w:t xml:space="preserve"> </w:t>
      </w:r>
      <w:r w:rsidRPr="00471E19" w:rsidR="007B7B3F">
        <w:rPr>
          <w:i/>
          <w:iCs/>
        </w:rPr>
        <w:t>Petition for Modification of D.20-04-008</w:t>
      </w:r>
      <w:r w:rsidR="007B7B3F">
        <w:t xml:space="preserve"> (</w:t>
      </w:r>
      <w:r w:rsidRPr="00471E19" w:rsidR="007B7B3F">
        <w:rPr>
          <w:i/>
          <w:iCs/>
        </w:rPr>
        <w:t>Petition</w:t>
      </w:r>
      <w:r w:rsidR="007B7B3F">
        <w:t>)</w:t>
      </w:r>
      <w:r w:rsidR="00537D9C">
        <w:t xml:space="preserve">. </w:t>
      </w:r>
      <w:r w:rsidR="00D51806">
        <w:t xml:space="preserve"> </w:t>
      </w:r>
      <w:r w:rsidR="00537D9C">
        <w:t>These pleadings were eventually accepted for filing on</w:t>
      </w:r>
      <w:r w:rsidR="00AD64A6">
        <w:t xml:space="preserve"> April 10, 2025, and April 11,</w:t>
      </w:r>
      <w:r w:rsidR="00537D9C">
        <w:t xml:space="preserve"> 2025</w:t>
      </w:r>
      <w:r w:rsidR="00AD64A6">
        <w:t>, respectively</w:t>
      </w:r>
      <w:r w:rsidR="00537D9C">
        <w:t>.</w:t>
      </w:r>
    </w:p>
    <w:p w:rsidR="00704F39" w:rsidP="006E6574" w:rsidRDefault="003C119B" w14:paraId="7F7014DF" w14:textId="26719719">
      <w:pPr>
        <w:pStyle w:val="Standard"/>
      </w:pPr>
      <w:r>
        <w:t xml:space="preserve">On April </w:t>
      </w:r>
      <w:r w:rsidR="00482FBB">
        <w:t xml:space="preserve">25, 2025, T-Mobile filed its </w:t>
      </w:r>
      <w:r w:rsidRPr="0038056E" w:rsidR="00226256">
        <w:rPr>
          <w:i/>
          <w:iCs/>
        </w:rPr>
        <w:t>Response to the Motion for Party Status</w:t>
      </w:r>
      <w:r w:rsidR="00226256">
        <w:t xml:space="preserve">, arguing that </w:t>
      </w:r>
      <w:r w:rsidR="00BF28D0">
        <w:t xml:space="preserve">CFAT cannot file a </w:t>
      </w:r>
      <w:r w:rsidR="00677707">
        <w:t>m</w:t>
      </w:r>
      <w:r w:rsidR="00BF28D0">
        <w:t xml:space="preserve">otion or become a party in a proceeding that is closed. </w:t>
      </w:r>
      <w:r w:rsidR="00D51806">
        <w:t xml:space="preserve"> </w:t>
      </w:r>
      <w:r w:rsidR="00BF28D0">
        <w:t>As support, T-Mobile cites Rule 11.1(a)</w:t>
      </w:r>
      <w:r w:rsidR="00381B1E">
        <w:t xml:space="preserve"> (Motions)</w:t>
      </w:r>
      <w:r w:rsidR="009F4AE3">
        <w:t xml:space="preserve">, which </w:t>
      </w:r>
      <w:r w:rsidR="00831A29">
        <w:t xml:space="preserve">provides that the purpose </w:t>
      </w:r>
      <w:r w:rsidR="00715003">
        <w:t>for</w:t>
      </w:r>
      <w:r w:rsidR="009F4AE3">
        <w:t xml:space="preserve"> </w:t>
      </w:r>
      <w:r w:rsidR="00CE3582">
        <w:t xml:space="preserve">any </w:t>
      </w:r>
      <w:r w:rsidR="009F4AE3">
        <w:t>motion</w:t>
      </w:r>
      <w:r w:rsidR="00715003">
        <w:t xml:space="preserve"> at the Commission i</w:t>
      </w:r>
      <w:r w:rsidR="00113CC8">
        <w:t>s</w:t>
      </w:r>
      <w:r w:rsidR="00630221">
        <w:t xml:space="preserve"> for the Commission or Administrative Law Judge to “take a specific action related to </w:t>
      </w:r>
      <w:r w:rsidRPr="00630221" w:rsidR="00630221">
        <w:rPr>
          <w:i/>
          <w:iCs/>
        </w:rPr>
        <w:t>an open proceeding</w:t>
      </w:r>
      <w:r w:rsidR="00630221">
        <w:t xml:space="preserve"> before the Commission.</w:t>
      </w:r>
      <w:r w:rsidR="00D51806">
        <w:t>”</w:t>
      </w:r>
      <w:r w:rsidR="00630221">
        <w:t xml:space="preserve"> (</w:t>
      </w:r>
      <w:r w:rsidRPr="00C621D2" w:rsidR="00630221">
        <w:rPr>
          <w:i/>
          <w:iCs/>
        </w:rPr>
        <w:t>Italics</w:t>
      </w:r>
      <w:r w:rsidR="00630221">
        <w:t xml:space="preserve"> added.) </w:t>
      </w:r>
      <w:r w:rsidR="00D51806">
        <w:t xml:space="preserve"> </w:t>
      </w:r>
      <w:r w:rsidR="00381B1E">
        <w:t>In addition, CFAT cites Rule 1.4</w:t>
      </w:r>
      <w:r w:rsidR="009914D0">
        <w:t>(b)</w:t>
      </w:r>
      <w:r w:rsidR="00024453">
        <w:t>(2)</w:t>
      </w:r>
      <w:r w:rsidR="00381B1E">
        <w:t xml:space="preserve"> (Party Status), </w:t>
      </w:r>
      <w:r w:rsidR="00B1050C">
        <w:t>which requires the moving party to “state the factual and legal contentions that the person intends to make and show that the contentions will be reasonably pertinent to the issues already presented.”</w:t>
      </w:r>
      <w:r w:rsidR="00A17D21">
        <w:t xml:space="preserve"> </w:t>
      </w:r>
      <w:r w:rsidR="00D51806">
        <w:t xml:space="preserve"> </w:t>
      </w:r>
      <w:r w:rsidR="00A17D21">
        <w:t>T-Mobile reads Rule</w:t>
      </w:r>
      <w:r w:rsidR="00D51806">
        <w:t> </w:t>
      </w:r>
      <w:r w:rsidR="00A17D21">
        <w:t xml:space="preserve">1.4(b)(2) as requiring an open proceeding </w:t>
      </w:r>
      <w:r w:rsidR="00704F39">
        <w:t>be</w:t>
      </w:r>
      <w:r w:rsidR="00A17D21">
        <w:t>for</w:t>
      </w:r>
      <w:r w:rsidR="00704F39">
        <w:t>e</w:t>
      </w:r>
      <w:r w:rsidR="00A17D21">
        <w:t xml:space="preserve"> a Motion</w:t>
      </w:r>
      <w:r w:rsidR="00704F39">
        <w:t xml:space="preserve"> for Party Status can be heard.</w:t>
      </w:r>
    </w:p>
    <w:p w:rsidR="00B34968" w:rsidP="006E6574" w:rsidRDefault="00704F39" w14:paraId="56BB22E3" w14:textId="47232D6B">
      <w:pPr>
        <w:pStyle w:val="Standard"/>
      </w:pPr>
      <w:r>
        <w:t xml:space="preserve"> </w:t>
      </w:r>
      <w:r w:rsidR="00C60A32">
        <w:t xml:space="preserve">T-Mobile also </w:t>
      </w:r>
      <w:r w:rsidR="00B87D88">
        <w:t>oppose</w:t>
      </w:r>
      <w:r w:rsidR="00535E8F">
        <w:t>s</w:t>
      </w:r>
      <w:r w:rsidR="00B87D88">
        <w:t xml:space="preserve"> the </w:t>
      </w:r>
      <w:r w:rsidRPr="00B34968" w:rsidR="00B87D88">
        <w:rPr>
          <w:i/>
          <w:iCs/>
        </w:rPr>
        <w:t>Petition</w:t>
      </w:r>
      <w:r w:rsidR="00BD279F">
        <w:t>, arguing that</w:t>
      </w:r>
      <w:r w:rsidR="00B87D88">
        <w:t xml:space="preserve"> it fails to suggest any changes to D.</w:t>
      </w:r>
      <w:r w:rsidR="00BD279F">
        <w:t>20-04-008 as required by Rule 1</w:t>
      </w:r>
      <w:r w:rsidR="007C3888">
        <w:t>6.4(b).</w:t>
      </w:r>
    </w:p>
    <w:p w:rsidR="00A9758F" w:rsidP="006E6574" w:rsidRDefault="00E569B3" w14:paraId="740C6FB1" w14:textId="6EBE7052">
      <w:pPr>
        <w:pStyle w:val="Standard"/>
      </w:pPr>
      <w:r>
        <w:t xml:space="preserve">On May 12, 2025, </w:t>
      </w:r>
      <w:r w:rsidR="00895969">
        <w:t xml:space="preserve">The Utility Reform Network (TURN) filed its </w:t>
      </w:r>
      <w:r w:rsidRPr="00895969" w:rsidR="00895969">
        <w:rPr>
          <w:i/>
          <w:iCs/>
        </w:rPr>
        <w:t>Response</w:t>
      </w:r>
      <w:r w:rsidR="00895969">
        <w:t xml:space="preserve"> to CFAT’s </w:t>
      </w:r>
      <w:r w:rsidRPr="00895969" w:rsidR="00895969">
        <w:rPr>
          <w:i/>
          <w:iCs/>
        </w:rPr>
        <w:t>Petition</w:t>
      </w:r>
      <w:r w:rsidR="00895969">
        <w:t xml:space="preserve">. </w:t>
      </w:r>
      <w:r w:rsidR="00D51806">
        <w:t xml:space="preserve"> </w:t>
      </w:r>
      <w:r w:rsidR="00006014">
        <w:t xml:space="preserve">TURN claims the Petition is timely and presents evidence that T-Mobile is not complying </w:t>
      </w:r>
      <w:r w:rsidR="00617FB4">
        <w:t xml:space="preserve">with the </w:t>
      </w:r>
      <w:proofErr w:type="gramStart"/>
      <w:r w:rsidR="00617FB4">
        <w:t>diversity</w:t>
      </w:r>
      <w:proofErr w:type="gramEnd"/>
      <w:r w:rsidR="00617FB4">
        <w:t>-related merger conditions included in D.20-04-008.</w:t>
      </w:r>
      <w:r w:rsidR="00363729">
        <w:t xml:space="preserve"> </w:t>
      </w:r>
      <w:r w:rsidR="00D51806">
        <w:t xml:space="preserve"> </w:t>
      </w:r>
      <w:r w:rsidR="00363729">
        <w:t xml:space="preserve">TURN further requests that the Commission enforce the diversity conditions contained in Ordering </w:t>
      </w:r>
      <w:r w:rsidR="00A9758F">
        <w:t>Paragraphs</w:t>
      </w:r>
      <w:r w:rsidR="00363729">
        <w:t xml:space="preserve"> 32-37 of </w:t>
      </w:r>
      <w:r w:rsidR="00A9758F">
        <w:t>D</w:t>
      </w:r>
      <w:r w:rsidR="00363729">
        <w:t>.20-04-008.</w:t>
      </w:r>
    </w:p>
    <w:p w:rsidR="00B619C5" w:rsidP="006E6574" w:rsidRDefault="0052736C" w14:paraId="426BBF82" w14:textId="39B2A9A4">
      <w:pPr>
        <w:pStyle w:val="Standard"/>
      </w:pPr>
      <w:r>
        <w:lastRenderedPageBreak/>
        <w:t xml:space="preserve">On May 12, 2025, </w:t>
      </w:r>
      <w:r w:rsidR="00F345CA">
        <w:t>T</w:t>
      </w:r>
      <w:r>
        <w:t xml:space="preserve">-Mobile filed its </w:t>
      </w:r>
      <w:r w:rsidRPr="008E403E" w:rsidR="008E403E">
        <w:rPr>
          <w:i/>
          <w:iCs/>
        </w:rPr>
        <w:t>Response</w:t>
      </w:r>
      <w:r>
        <w:t xml:space="preserve"> to the </w:t>
      </w:r>
      <w:r w:rsidRPr="008E403E">
        <w:rPr>
          <w:i/>
          <w:iCs/>
        </w:rPr>
        <w:t>Petition</w:t>
      </w:r>
      <w:r>
        <w:t>, arguing that</w:t>
      </w:r>
      <w:r w:rsidR="00B619C5">
        <w:t xml:space="preserve"> it fails to suggest any changes to D.20-04-008 as required by Rule 16.4(b).</w:t>
      </w:r>
    </w:p>
    <w:p w:rsidR="00EC7362" w:rsidP="006E6574" w:rsidRDefault="00EC7362" w14:paraId="741D0069" w14:textId="6EFD3650">
      <w:pPr>
        <w:pStyle w:val="Standard"/>
      </w:pPr>
      <w:r>
        <w:t xml:space="preserve">On July 25, 2025, CFAT filed a </w:t>
      </w:r>
      <w:r w:rsidRPr="001C0B19">
        <w:rPr>
          <w:i/>
          <w:iCs/>
        </w:rPr>
        <w:t>Motion for Official Notice</w:t>
      </w:r>
      <w:r w:rsidR="002A0B53">
        <w:t xml:space="preserve"> and asked that the Commission take official notice</w:t>
      </w:r>
      <w:r w:rsidR="00A46063">
        <w:t xml:space="preserve"> of the following</w:t>
      </w:r>
      <w:r w:rsidR="003B154D">
        <w:t>:</w:t>
      </w:r>
    </w:p>
    <w:p w:rsidR="00B13185" w:rsidP="0059514D" w:rsidRDefault="00B13185" w14:paraId="56FB918E" w14:textId="6555D6C2">
      <w:pPr>
        <w:pStyle w:val="Standard"/>
        <w:numPr>
          <w:ilvl w:val="0"/>
          <w:numId w:val="20"/>
        </w:numPr>
        <w:spacing w:after="120" w:line="240" w:lineRule="auto"/>
        <w:ind w:left="1080" w:right="1440"/>
      </w:pPr>
      <w:r>
        <w:t>A March 27, 2025</w:t>
      </w:r>
      <w:r w:rsidR="00B429FD">
        <w:t>,</w:t>
      </w:r>
      <w:r>
        <w:t xml:space="preserve"> letter from Mark W. Nelson, Executive Vice President and General Counsel, T-Mobile US, Inc.</w:t>
      </w:r>
      <w:r w:rsidR="00D1438E">
        <w:t>,</w:t>
      </w:r>
      <w:r>
        <w:t xml:space="preserve"> detailing T-Mobile’s elimination of its diversity, equity, and inclusion initiatives.</w:t>
      </w:r>
    </w:p>
    <w:p w:rsidR="003B154D" w:rsidP="0059514D" w:rsidRDefault="00B13185" w14:paraId="03B1E791" w14:textId="157842B4">
      <w:pPr>
        <w:pStyle w:val="Standard"/>
        <w:numPr>
          <w:ilvl w:val="0"/>
          <w:numId w:val="20"/>
        </w:numPr>
        <w:spacing w:after="120" w:line="240" w:lineRule="auto"/>
        <w:ind w:left="1080" w:right="1440"/>
      </w:pPr>
      <w:r>
        <w:t>A July 8, 2025</w:t>
      </w:r>
      <w:r w:rsidR="00B429FD">
        <w:t>,</w:t>
      </w:r>
      <w:r>
        <w:t xml:space="preserve"> letter from Mark W. Nelson, Executive Vice President and General Counsel, T-Mobile US, Inc.</w:t>
      </w:r>
      <w:r w:rsidR="00B429FD">
        <w:t>,</w:t>
      </w:r>
      <w:r>
        <w:t xml:space="preserve"> detailing T-Mobile’s elimination of its diversity, equity, and inclusion initiatives.</w:t>
      </w:r>
    </w:p>
    <w:p w:rsidR="00175249" w:rsidP="0059514D" w:rsidRDefault="00175249" w14:paraId="6C455F57" w14:textId="42C2B748">
      <w:pPr>
        <w:pStyle w:val="Standard"/>
        <w:numPr>
          <w:ilvl w:val="0"/>
          <w:numId w:val="20"/>
        </w:numPr>
        <w:spacing w:after="120" w:line="240" w:lineRule="auto"/>
        <w:ind w:left="1080" w:right="1440"/>
      </w:pPr>
      <w:r>
        <w:t>A Federal Communications Commission Public Notice re: Domestic Section 214 Application for the Transfer of Control of Subsidiaries of the Lumos Fiber Entities to Trailblazer Holdco, LLC (March 28, 2025);</w:t>
      </w:r>
    </w:p>
    <w:p w:rsidR="00175249" w:rsidP="0059514D" w:rsidRDefault="00175249" w14:paraId="68A80685" w14:textId="1DEC3D00">
      <w:pPr>
        <w:pStyle w:val="Standard"/>
        <w:numPr>
          <w:ilvl w:val="0"/>
          <w:numId w:val="20"/>
        </w:numPr>
        <w:spacing w:after="120" w:line="240" w:lineRule="auto"/>
        <w:ind w:left="1080" w:right="1440"/>
      </w:pPr>
      <w:r>
        <w:t xml:space="preserve">Memorandum Opinion and Order, In the Matter of Applications of T-Mobile US, </w:t>
      </w:r>
      <w:r w:rsidR="00B429FD">
        <w:t>Inc.</w:t>
      </w:r>
      <w:r>
        <w:t xml:space="preserve"> and United States Cellular Corporation for Consent to Transfer Control of Licenses, Authorizations, and Leases, GN Docket No. 24</w:t>
      </w:r>
      <w:r w:rsidR="00616B09">
        <w:noBreakHyphen/>
      </w:r>
      <w:r>
        <w:t>286 (July 11, 2025).</w:t>
      </w:r>
    </w:p>
    <w:p w:rsidR="001738F1" w:rsidP="006E6574" w:rsidRDefault="001738F1" w14:paraId="7B6D3003" w14:textId="664F39D2">
      <w:pPr>
        <w:pStyle w:val="Standard"/>
      </w:pPr>
      <w:r>
        <w:t xml:space="preserve">On August 11, 2025, T-Mobile filed its </w:t>
      </w:r>
      <w:r w:rsidRPr="002975A0">
        <w:rPr>
          <w:i/>
          <w:iCs/>
        </w:rPr>
        <w:t>Response to Center for Accessible Technology’s Motion for Official Notice</w:t>
      </w:r>
      <w:r>
        <w:t>.</w:t>
      </w:r>
    </w:p>
    <w:p w:rsidR="00EE3060" w:rsidP="006E6574" w:rsidRDefault="00AA6321" w14:paraId="28DF4997" w14:textId="6247E6C6">
      <w:pPr>
        <w:pStyle w:val="Standard"/>
      </w:pPr>
      <w:proofErr w:type="gramStart"/>
      <w:r>
        <w:t>For the reasons that</w:t>
      </w:r>
      <w:proofErr w:type="gramEnd"/>
      <w:r>
        <w:t xml:space="preserve"> follow, we deny CFAT’s </w:t>
      </w:r>
      <w:r w:rsidRPr="00CC6C3D">
        <w:rPr>
          <w:i/>
          <w:iCs/>
        </w:rPr>
        <w:t>Motion for Official Notice</w:t>
      </w:r>
      <w:r w:rsidR="00CC6C3D">
        <w:t xml:space="preserve"> because it is moot.</w:t>
      </w:r>
    </w:p>
    <w:p w:rsidR="00683B2C" w:rsidP="00683B2C" w:rsidRDefault="00683B2C" w14:paraId="1916E612" w14:textId="77777777">
      <w:pPr>
        <w:pStyle w:val="Heading2"/>
      </w:pPr>
      <w:bookmarkStart w:name="_Toc208497305" w:id="9"/>
      <w:r>
        <w:t>Submission Date</w:t>
      </w:r>
      <w:bookmarkEnd w:id="9"/>
    </w:p>
    <w:p w:rsidR="00683B2C" w:rsidP="006E6574" w:rsidRDefault="004D056E" w14:paraId="71664306" w14:textId="636B5891">
      <w:pPr>
        <w:pStyle w:val="Standard"/>
      </w:pPr>
      <w:r>
        <w:t>Not applicable.</w:t>
      </w:r>
    </w:p>
    <w:p w:rsidR="0073353F" w:rsidP="006C7820" w:rsidRDefault="005939A5" w14:paraId="164C8FD2" w14:textId="4F40B7EB">
      <w:pPr>
        <w:pStyle w:val="Heading1"/>
      </w:pPr>
      <w:bookmarkStart w:name="_Toc8123720" w:id="10"/>
      <w:bookmarkStart w:name="_Toc208497306" w:id="11"/>
      <w:r>
        <w:t>Discussion and Analysis</w:t>
      </w:r>
      <w:bookmarkEnd w:id="10"/>
      <w:bookmarkEnd w:id="11"/>
    </w:p>
    <w:p w:rsidR="00EA36C6" w:rsidP="00D2041C" w:rsidRDefault="00963618" w14:paraId="12361A33" w14:textId="6C873D0C">
      <w:pPr>
        <w:pStyle w:val="Heading2"/>
      </w:pPr>
      <w:bookmarkStart w:name="_Toc208497307" w:id="12"/>
      <w:r>
        <w:t>Motion for Party Status</w:t>
      </w:r>
      <w:bookmarkEnd w:id="12"/>
    </w:p>
    <w:p w:rsidR="007B7260" w:rsidP="00AC68EE" w:rsidRDefault="00963618" w14:paraId="10AC9EFE" w14:textId="493E9D19">
      <w:r>
        <w:t>Motions for Party Status are governed by Rule 1.4.</w:t>
      </w:r>
      <w:r w:rsidR="004201E6">
        <w:t xml:space="preserve">(b). </w:t>
      </w:r>
      <w:r w:rsidR="00616B09">
        <w:t xml:space="preserve"> </w:t>
      </w:r>
      <w:r w:rsidR="004201E6">
        <w:t xml:space="preserve">The moving party must “state the factual and legal contentions that the person intends to make and </w:t>
      </w:r>
      <w:r w:rsidR="004201E6">
        <w:lastRenderedPageBreak/>
        <w:t xml:space="preserve">show that the contentions will be reasonably pertinent to the issues already presented.” </w:t>
      </w:r>
      <w:r w:rsidR="00616B09">
        <w:t xml:space="preserve"> </w:t>
      </w:r>
      <w:r w:rsidR="004201E6">
        <w:t>While not expressly stated</w:t>
      </w:r>
      <w:r w:rsidR="00201DF6">
        <w:t xml:space="preserve"> in the language of the Rule</w:t>
      </w:r>
      <w:r w:rsidR="004201E6">
        <w:t xml:space="preserve">, </w:t>
      </w:r>
      <w:r w:rsidR="00540B32">
        <w:t>the Commission has interpreted Rule 1.4.(b) to apply to Motions</w:t>
      </w:r>
      <w:r w:rsidR="00B84650">
        <w:t xml:space="preserve"> for Party Status in an open proceeding. </w:t>
      </w:r>
      <w:r w:rsidR="00616B09">
        <w:t xml:space="preserve"> </w:t>
      </w:r>
      <w:r w:rsidR="009E1B06">
        <w:t>(</w:t>
      </w:r>
      <w:r w:rsidRPr="007B7260" w:rsidR="009E1B06">
        <w:rPr>
          <w:i/>
          <w:iCs/>
        </w:rPr>
        <w:t>See</w:t>
      </w:r>
      <w:r w:rsidR="00C166B7">
        <w:t xml:space="preserve"> D.</w:t>
      </w:r>
      <w:r w:rsidR="0058253B">
        <w:t>10-07-042</w:t>
      </w:r>
      <w:r w:rsidR="00A46843">
        <w:t xml:space="preserve"> at 96</w:t>
      </w:r>
      <w:r w:rsidR="00C166B7">
        <w:t xml:space="preserve"> [</w:t>
      </w:r>
      <w:r w:rsidR="00D0515B">
        <w:t>motion for party status denied “because there are no further formal opportunities for parties to participate</w:t>
      </w:r>
      <w:r w:rsidR="00B41D34">
        <w:t>” in the proceeding.”</w:t>
      </w:r>
      <w:r w:rsidR="0058253B">
        <w:t>]</w:t>
      </w:r>
      <w:r w:rsidR="00DF5FB9">
        <w:t>.</w:t>
      </w:r>
      <w:r w:rsidR="009C258B">
        <w:t>)</w:t>
      </w:r>
      <w:r w:rsidR="00616B09">
        <w:t xml:space="preserve"> </w:t>
      </w:r>
      <w:r w:rsidR="00DF5FB9">
        <w:t xml:space="preserve"> Such a</w:t>
      </w:r>
      <w:r w:rsidR="000A4D5D">
        <w:t xml:space="preserve">n interpretation is consistent with the </w:t>
      </w:r>
      <w:r w:rsidR="00CE3582">
        <w:t xml:space="preserve">requirement in Rule 11.1(a) </w:t>
      </w:r>
      <w:r w:rsidR="000A4D5D">
        <w:t xml:space="preserve">that </w:t>
      </w:r>
      <w:r w:rsidR="009C258B">
        <w:t xml:space="preserve">all motions must be filed in an open proceeding. </w:t>
      </w:r>
      <w:r w:rsidR="00616B09">
        <w:t xml:space="preserve"> </w:t>
      </w:r>
      <w:r w:rsidR="009C258B">
        <w:t>(</w:t>
      </w:r>
      <w:r w:rsidRPr="009C258B" w:rsidR="009C258B">
        <w:rPr>
          <w:i/>
          <w:iCs/>
        </w:rPr>
        <w:t>See</w:t>
      </w:r>
      <w:r w:rsidR="0059514D">
        <w:t xml:space="preserve"> </w:t>
      </w:r>
      <w:r w:rsidR="00A46843">
        <w:t>D.22</w:t>
      </w:r>
      <w:r w:rsidR="0059514D">
        <w:noBreakHyphen/>
      </w:r>
      <w:r w:rsidR="00A46843">
        <w:t>11</w:t>
      </w:r>
      <w:r w:rsidR="0059514D">
        <w:noBreakHyphen/>
      </w:r>
      <w:r w:rsidR="00A46843">
        <w:t>007 at 12, footnote 15 [</w:t>
      </w:r>
      <w:r w:rsidR="00AD53A0">
        <w:t xml:space="preserve">“Pursuant to Rule </w:t>
      </w:r>
      <w:r w:rsidR="00770B95">
        <w:t>1</w:t>
      </w:r>
      <w:r w:rsidR="00AD53A0">
        <w:t>1.1, a motion may only be filed in an open proceeding.</w:t>
      </w:r>
      <w:r w:rsidR="00770B95">
        <w:t>”</w:t>
      </w:r>
      <w:r w:rsidR="00AD53A0">
        <w:t>].)</w:t>
      </w:r>
    </w:p>
    <w:p w:rsidR="00631CB1" w:rsidP="00AC68EE" w:rsidRDefault="007B7260" w14:paraId="5B852074" w14:textId="48FDB74E">
      <w:r>
        <w:t xml:space="preserve">Here, </w:t>
      </w:r>
      <w:r w:rsidR="00726796">
        <w:t xml:space="preserve">A.18-07-011 and A.19-07-012 </w:t>
      </w:r>
      <w:r w:rsidR="001D4096">
        <w:t xml:space="preserve">went through various openings, </w:t>
      </w:r>
      <w:r w:rsidR="00DB7553">
        <w:t xml:space="preserve">closures, </w:t>
      </w:r>
      <w:r w:rsidR="001D4096">
        <w:t>re</w:t>
      </w:r>
      <w:r w:rsidR="002B32A4">
        <w:t>-</w:t>
      </w:r>
      <w:r w:rsidR="001D4096">
        <w:t>openings, and closures</w:t>
      </w:r>
      <w:r w:rsidR="00B44A33">
        <w:t xml:space="preserve"> that all occurred years before CFAT </w:t>
      </w:r>
      <w:r w:rsidR="005D108B">
        <w:t>attempted to participate in this proceeding.</w:t>
      </w:r>
      <w:r w:rsidR="0076006E">
        <w:rPr>
          <w:rStyle w:val="FootnoteReference"/>
        </w:rPr>
        <w:footnoteReference w:id="3"/>
      </w:r>
      <w:r w:rsidR="00726796">
        <w:t xml:space="preserve"> </w:t>
      </w:r>
      <w:r w:rsidR="00616B09">
        <w:t xml:space="preserve"> </w:t>
      </w:r>
      <w:r w:rsidR="007742C7">
        <w:t xml:space="preserve">Therefore, CFAT’s </w:t>
      </w:r>
      <w:r w:rsidRPr="00157214" w:rsidR="007742C7">
        <w:rPr>
          <w:i/>
          <w:iCs/>
        </w:rPr>
        <w:t>Motion for Party Status</w:t>
      </w:r>
      <w:r w:rsidR="007742C7">
        <w:t xml:space="preserve"> is denied as there </w:t>
      </w:r>
      <w:r w:rsidR="00721099">
        <w:t xml:space="preserve">wasn’t </w:t>
      </w:r>
      <w:r w:rsidR="007742C7">
        <w:t xml:space="preserve">an open proceeding </w:t>
      </w:r>
      <w:r w:rsidR="00721099">
        <w:t>for CFAT to participate</w:t>
      </w:r>
      <w:r w:rsidR="00631CB1">
        <w:t xml:space="preserve"> in when its </w:t>
      </w:r>
      <w:r w:rsidRPr="00157214" w:rsidR="00631CB1">
        <w:rPr>
          <w:i/>
          <w:iCs/>
        </w:rPr>
        <w:t>Motion</w:t>
      </w:r>
      <w:r w:rsidR="00631CB1">
        <w:t xml:space="preserve"> was tendered for filing</w:t>
      </w:r>
      <w:r w:rsidR="00714D9A">
        <w:t xml:space="preserve"> on April 10, 2025</w:t>
      </w:r>
      <w:r w:rsidR="00631CB1">
        <w:t>.</w:t>
      </w:r>
      <w:r w:rsidR="00263323">
        <w:t xml:space="preserve"> </w:t>
      </w:r>
      <w:r w:rsidR="0059514D">
        <w:t xml:space="preserve"> </w:t>
      </w:r>
      <w:r w:rsidR="00263323">
        <w:t>The proceeding was reopened on April 11, 2025</w:t>
      </w:r>
      <w:r w:rsidR="00A607E2">
        <w:t>,</w:t>
      </w:r>
      <w:r w:rsidR="00263323">
        <w:t xml:space="preserve"> with the filing of the </w:t>
      </w:r>
      <w:r w:rsidRPr="00D12EF0" w:rsidR="00263323">
        <w:rPr>
          <w:i/>
          <w:iCs/>
        </w:rPr>
        <w:t>Petition</w:t>
      </w:r>
      <w:r w:rsidR="00263323">
        <w:t>.</w:t>
      </w:r>
    </w:p>
    <w:p w:rsidR="00E8518A" w:rsidP="00E8518A" w:rsidRDefault="00616197" w14:paraId="0E8E4DE2" w14:textId="1248FE6E">
      <w:pPr>
        <w:pStyle w:val="Heading2"/>
      </w:pPr>
      <w:bookmarkStart w:name="_Toc208497308" w:id="13"/>
      <w:r>
        <w:t>Petition for Modification</w:t>
      </w:r>
      <w:bookmarkEnd w:id="13"/>
    </w:p>
    <w:p w:rsidR="00616197" w:rsidP="00616197" w:rsidRDefault="00616197" w14:paraId="0961E88E" w14:textId="696303E1">
      <w:pPr>
        <w:pStyle w:val="Standard"/>
      </w:pPr>
      <w:r>
        <w:t xml:space="preserve">Denying CFAT’s </w:t>
      </w:r>
      <w:r w:rsidRPr="00CC6C3D">
        <w:rPr>
          <w:i/>
          <w:iCs/>
        </w:rPr>
        <w:t>Motion for Party Status</w:t>
      </w:r>
      <w:r>
        <w:t xml:space="preserve"> does not, however, automatically resolve CFAT’s </w:t>
      </w:r>
      <w:r w:rsidRPr="00CC6C3D" w:rsidR="00F1507F">
        <w:rPr>
          <w:i/>
          <w:iCs/>
        </w:rPr>
        <w:t>Petition</w:t>
      </w:r>
      <w:r w:rsidR="00F1507F">
        <w:t xml:space="preserve">. </w:t>
      </w:r>
      <w:r w:rsidR="00616B09">
        <w:t xml:space="preserve"> </w:t>
      </w:r>
      <w:r w:rsidR="00F1507F">
        <w:t>That is because pursuant to</w:t>
      </w:r>
      <w:r w:rsidR="001764E2">
        <w:t xml:space="preserve"> Rule 16.4(e), </w:t>
      </w:r>
      <w:r w:rsidR="006300BF">
        <w:t>the petitioner need not be a party to the proceeding</w:t>
      </w:r>
      <w:r w:rsidR="00CF0296">
        <w:t xml:space="preserve"> when it files the </w:t>
      </w:r>
      <w:r w:rsidR="00E14213">
        <w:t>petition.</w:t>
      </w:r>
      <w:r w:rsidR="00CF0296">
        <w:t xml:space="preserve"> </w:t>
      </w:r>
      <w:r w:rsidR="00616B09">
        <w:t xml:space="preserve"> </w:t>
      </w:r>
      <w:r w:rsidR="00CF0296">
        <w:t xml:space="preserve">Instead, the </w:t>
      </w:r>
      <w:r w:rsidR="00CF0296">
        <w:lastRenderedPageBreak/>
        <w:t>petitioner</w:t>
      </w:r>
      <w:r w:rsidR="00515DED">
        <w:t xml:space="preserve"> who is not currently a party</w:t>
      </w:r>
      <w:r w:rsidR="00CF0296">
        <w:t xml:space="preserve"> “must state specifically how the petitioner is affected by the decision and why the petitioner did not participate in the proceeding earlier.”</w:t>
      </w:r>
    </w:p>
    <w:p w:rsidR="00C65F0D" w:rsidP="00616197" w:rsidRDefault="00C65F0D" w14:paraId="23DA11C3" w14:textId="2C2E4812">
      <w:pPr>
        <w:pStyle w:val="Standard"/>
      </w:pPr>
      <w:r>
        <w:t xml:space="preserve">CFAT fails to satisfy </w:t>
      </w:r>
      <w:r w:rsidR="00114B54">
        <w:t xml:space="preserve">the requirements of Rule 16.4(e). </w:t>
      </w:r>
      <w:r w:rsidR="00616B09">
        <w:t xml:space="preserve"> </w:t>
      </w:r>
      <w:r w:rsidR="00114B54">
        <w:t xml:space="preserve">CFAT does </w:t>
      </w:r>
      <w:r w:rsidR="00295740">
        <w:t xml:space="preserve">not provide any </w:t>
      </w:r>
      <w:proofErr w:type="gramStart"/>
      <w:r w:rsidR="00295740">
        <w:t>specifics</w:t>
      </w:r>
      <w:proofErr w:type="gramEnd"/>
      <w:r w:rsidR="00295740">
        <w:t xml:space="preserve"> about how CFAT’s interests are affected </w:t>
      </w:r>
      <w:r w:rsidR="007C6864">
        <w:t xml:space="preserve">by </w:t>
      </w:r>
      <w:r w:rsidR="00295740">
        <w:t xml:space="preserve">T-Mobile’s alleged noncompliance with Ordering Paragraphs 32-37 of </w:t>
      </w:r>
      <w:r w:rsidR="007A7275">
        <w:t>D.20-04-008</w:t>
      </w:r>
      <w:r w:rsidR="00AC6470">
        <w:t xml:space="preserve">. </w:t>
      </w:r>
      <w:r w:rsidR="00616B09">
        <w:t xml:space="preserve"> </w:t>
      </w:r>
      <w:r w:rsidR="00AC6470">
        <w:t xml:space="preserve">To the contrary, CFAT </w:t>
      </w:r>
      <w:r w:rsidR="000F20FB">
        <w:t>alleges</w:t>
      </w:r>
      <w:r w:rsidR="009A0DB3">
        <w:t xml:space="preserve"> </w:t>
      </w:r>
      <w:r w:rsidR="000F7066">
        <w:t xml:space="preserve">that it represents individuals with disabilities, including small business owners with disabilities. </w:t>
      </w:r>
      <w:r w:rsidR="00616B09">
        <w:t xml:space="preserve"> </w:t>
      </w:r>
      <w:r w:rsidR="00440BC3">
        <w:t>Per CFAT, t</w:t>
      </w:r>
      <w:r w:rsidR="000F7066">
        <w:t xml:space="preserve">he Commission’s Supplier </w:t>
      </w:r>
      <w:r w:rsidR="00BA2CD0">
        <w:t>Diversity</w:t>
      </w:r>
      <w:r w:rsidR="000F7066">
        <w:t xml:space="preserve"> Program includes Disabled Veteran Businesses (DV</w:t>
      </w:r>
      <w:r w:rsidR="00372269">
        <w:t>Bs) and Persons with Disabilities Businesses (PWDBs).</w:t>
      </w:r>
      <w:r w:rsidR="007E591E">
        <w:t xml:space="preserve"> </w:t>
      </w:r>
      <w:r w:rsidR="00616B09">
        <w:t xml:space="preserve"> </w:t>
      </w:r>
      <w:r w:rsidR="007E591E">
        <w:t>CFAT argues</w:t>
      </w:r>
      <w:r w:rsidR="000F20FB">
        <w:t xml:space="preserve"> that T-Mobile’s alleged “</w:t>
      </w:r>
      <w:r w:rsidR="002B32A4">
        <w:t>…</w:t>
      </w:r>
      <w:r w:rsidR="000F20FB">
        <w:t>failure to participate in the Commission’s Supplier diversity Program could deprive DVBs and PWDBs of access to critical business opportunities.”</w:t>
      </w:r>
      <w:r w:rsidR="00417893">
        <w:t xml:space="preserve"> (</w:t>
      </w:r>
      <w:r w:rsidRPr="00696B9C" w:rsidR="00417893">
        <w:rPr>
          <w:i/>
          <w:iCs/>
        </w:rPr>
        <w:t xml:space="preserve">Petition </w:t>
      </w:r>
      <w:r w:rsidR="00417893">
        <w:t>at 7.)</w:t>
      </w:r>
      <w:r w:rsidR="00BA2CD0">
        <w:t xml:space="preserve"> </w:t>
      </w:r>
      <w:r w:rsidR="00616B09">
        <w:t xml:space="preserve"> </w:t>
      </w:r>
      <w:r w:rsidR="00BA2CD0">
        <w:t xml:space="preserve">Yet these claims of </w:t>
      </w:r>
      <w:r w:rsidR="0075703F">
        <w:t>potential future deprivations of</w:t>
      </w:r>
      <w:r w:rsidR="0085001C">
        <w:t xml:space="preserve"> DVB and PWDB </w:t>
      </w:r>
      <w:r w:rsidR="0075703F">
        <w:t>business opportunities</w:t>
      </w:r>
      <w:r w:rsidR="0085001C">
        <w:t xml:space="preserve"> are speculative</w:t>
      </w:r>
      <w:r w:rsidR="00D003EA">
        <w:t>,</w:t>
      </w:r>
      <w:r w:rsidR="000D4639">
        <w:t xml:space="preserve"> </w:t>
      </w:r>
      <w:r w:rsidR="002B3BE7">
        <w:t>are unsupported by a declaration or affidavit as required by Rule 16.4(b)</w:t>
      </w:r>
      <w:r w:rsidR="00414055">
        <w:t>,</w:t>
      </w:r>
      <w:r w:rsidR="00A750F4">
        <w:t xml:space="preserve"> and, therefore, fail to satisfy </w:t>
      </w:r>
      <w:r w:rsidR="000B2ECB">
        <w:t>Rule</w:t>
      </w:r>
      <w:r w:rsidR="00616B09">
        <w:t> </w:t>
      </w:r>
      <w:r w:rsidR="000B2ECB">
        <w:t xml:space="preserve">16.4(e)’s requirement that the petitioner demonstrate </w:t>
      </w:r>
      <w:r w:rsidR="00D07497">
        <w:t xml:space="preserve">how it is </w:t>
      </w:r>
      <w:r w:rsidRPr="00414055" w:rsidR="00D07497">
        <w:rPr>
          <w:i/>
          <w:iCs/>
        </w:rPr>
        <w:t>currently</w:t>
      </w:r>
      <w:r w:rsidR="00D07497">
        <w:t xml:space="preserve"> being “affected.”</w:t>
      </w:r>
      <w:r w:rsidR="00EC3996">
        <w:t xml:space="preserve"> (</w:t>
      </w:r>
      <w:r w:rsidRPr="00C16104" w:rsidR="00EC3996">
        <w:rPr>
          <w:i/>
          <w:iCs/>
        </w:rPr>
        <w:t>See</w:t>
      </w:r>
      <w:r w:rsidR="00EC3996">
        <w:t xml:space="preserve"> D</w:t>
      </w:r>
      <w:r w:rsidR="00C16104">
        <w:t>.</w:t>
      </w:r>
      <w:r w:rsidR="00EC3996">
        <w:t>10-09-004</w:t>
      </w:r>
      <w:r w:rsidR="00052D2C">
        <w:t xml:space="preserve"> at 2 [rejecting speculative claims as a basis for modifying a Commission decision</w:t>
      </w:r>
      <w:r w:rsidR="00C16104">
        <w:t>].)</w:t>
      </w:r>
    </w:p>
    <w:p w:rsidR="00F77E65" w:rsidP="00616197" w:rsidRDefault="00D07497" w14:paraId="3D9691EE" w14:textId="20C76CAD">
      <w:pPr>
        <w:pStyle w:val="Standard"/>
      </w:pPr>
      <w:r>
        <w:t>Even more</w:t>
      </w:r>
      <w:r w:rsidR="00F77E65">
        <w:t xml:space="preserve"> problematic </w:t>
      </w:r>
      <w:r w:rsidR="00285F0B">
        <w:t>with</w:t>
      </w:r>
      <w:r w:rsidR="00F77E65">
        <w:t xml:space="preserve"> CFAT’s </w:t>
      </w:r>
      <w:r w:rsidRPr="00814545" w:rsidR="00F77E65">
        <w:rPr>
          <w:i/>
          <w:iCs/>
        </w:rPr>
        <w:t>Petition</w:t>
      </w:r>
      <w:r w:rsidR="00F77E65">
        <w:t xml:space="preserve"> is that it fails to meet the requirements of Rule 16.4</w:t>
      </w:r>
      <w:r w:rsidR="005F2A41">
        <w:t xml:space="preserve">(a) and </w:t>
      </w:r>
      <w:r w:rsidR="004353CE">
        <w:t xml:space="preserve">(b). </w:t>
      </w:r>
      <w:r w:rsidR="00616B09">
        <w:t xml:space="preserve"> </w:t>
      </w:r>
      <w:r w:rsidR="00E03A2A">
        <w:t>Rule 16.4(a) states that the petition must ask the Commission to</w:t>
      </w:r>
      <w:r w:rsidR="002B32A4">
        <w:t>, “…</w:t>
      </w:r>
      <w:r w:rsidR="00E03A2A">
        <w:t>make changes to an issued decision</w:t>
      </w:r>
      <w:r w:rsidR="00754F17">
        <w:t>[,]” and Rule</w:t>
      </w:r>
      <w:r w:rsidR="00616B09">
        <w:t> </w:t>
      </w:r>
      <w:r w:rsidR="00754F17">
        <w:t>16.4(b) states that a</w:t>
      </w:r>
      <w:r w:rsidR="004353CE">
        <w:t xml:space="preserve"> petitioner seeking modification relief </w:t>
      </w:r>
      <w:r w:rsidR="00053905">
        <w:t>“</w:t>
      </w:r>
      <w:r w:rsidR="002B32A4">
        <w:t>…</w:t>
      </w:r>
      <w:r w:rsidR="00053905">
        <w:t>must propose specific wording to carry out all requested modifications to the decision.”</w:t>
      </w:r>
      <w:r w:rsidR="00E43D04">
        <w:t xml:space="preserve"> </w:t>
      </w:r>
      <w:r w:rsidR="00616B09">
        <w:t xml:space="preserve"> </w:t>
      </w:r>
      <w:r w:rsidR="00E43D04">
        <w:t>Rather than propose</w:t>
      </w:r>
      <w:r w:rsidR="00B0107D">
        <w:t xml:space="preserve"> modifications to D.20-04-008, CFAT “</w:t>
      </w:r>
      <w:r w:rsidR="002B32A4">
        <w:t>…</w:t>
      </w:r>
      <w:r w:rsidR="00B0107D">
        <w:t>requests that the Commission reopen the proceeding for the purposes of enforcing Ordering Paragraphs 32-37 of D.20-04-008</w:t>
      </w:r>
      <w:r w:rsidR="00B57D92">
        <w:t>[.]” (</w:t>
      </w:r>
      <w:r w:rsidRPr="0021205F" w:rsidR="00B57D92">
        <w:rPr>
          <w:i/>
          <w:iCs/>
        </w:rPr>
        <w:t>Petition</w:t>
      </w:r>
      <w:r w:rsidR="00B57D92">
        <w:t xml:space="preserve"> at 1</w:t>
      </w:r>
      <w:r w:rsidR="00507002">
        <w:t>;</w:t>
      </w:r>
      <w:r w:rsidR="00B57D92">
        <w:t xml:space="preserve"> and 8</w:t>
      </w:r>
      <w:r w:rsidR="0021205F">
        <w:t>.)</w:t>
      </w:r>
    </w:p>
    <w:p w:rsidR="0004588E" w:rsidP="00616197" w:rsidRDefault="0004588E" w14:paraId="62266798" w14:textId="16429C6A">
      <w:pPr>
        <w:pStyle w:val="Standard"/>
      </w:pPr>
      <w:r>
        <w:lastRenderedPageBreak/>
        <w:t xml:space="preserve">CFAT’s failure </w:t>
      </w:r>
      <w:r w:rsidR="000D10A9">
        <w:t xml:space="preserve">to meet these requirements is fatal to its </w:t>
      </w:r>
      <w:r w:rsidRPr="00F87EE6" w:rsidR="000D10A9">
        <w:rPr>
          <w:i/>
          <w:iCs/>
        </w:rPr>
        <w:t>Petition</w:t>
      </w:r>
      <w:r w:rsidR="000D10A9">
        <w:t xml:space="preserve">. </w:t>
      </w:r>
      <w:r w:rsidR="00616B09">
        <w:t xml:space="preserve"> </w:t>
      </w:r>
      <w:r w:rsidR="000D10A9">
        <w:t xml:space="preserve">The Commission </w:t>
      </w:r>
      <w:r w:rsidR="00141C95">
        <w:t xml:space="preserve">does not permit a party to use a </w:t>
      </w:r>
      <w:r w:rsidR="00011E62">
        <w:t>p</w:t>
      </w:r>
      <w:r w:rsidR="00141C95">
        <w:t>etition as a means to obtain relief not contemplated by Rule 16.4 (</w:t>
      </w:r>
      <w:r w:rsidRPr="00011E62" w:rsidR="00141C95">
        <w:rPr>
          <w:i/>
          <w:iCs/>
        </w:rPr>
        <w:t>See</w:t>
      </w:r>
      <w:r w:rsidR="00816A74">
        <w:rPr>
          <w:i/>
          <w:iCs/>
        </w:rPr>
        <w:t>, e.g.,</w:t>
      </w:r>
      <w:r w:rsidRPr="00011E62" w:rsidR="0013291A">
        <w:rPr>
          <w:i/>
          <w:iCs/>
        </w:rPr>
        <w:t xml:space="preserve"> </w:t>
      </w:r>
      <w:r w:rsidR="0013291A">
        <w:t>D.09-07-014 at 9-10</w:t>
      </w:r>
      <w:r w:rsidR="00CD6E9F">
        <w:t xml:space="preserve"> [“</w:t>
      </w:r>
      <w:r w:rsidR="00650D3F">
        <w:t>The purpose of a Petition for Modification…is to ask the Commission to make changes to an issued decision</w:t>
      </w:r>
      <w:r w:rsidR="00B5249E">
        <w:t>….As in D.08-01-019, we will not allow CE Council to use this Petition as a substitute for an Application for Rehearing.”</w:t>
      </w:r>
      <w:r w:rsidR="00816A74">
        <w:t>]</w:t>
      </w:r>
      <w:r w:rsidR="00FC077F">
        <w:t>.</w:t>
      </w:r>
      <w:r w:rsidR="00816A74">
        <w:t>)</w:t>
      </w:r>
      <w:r w:rsidR="00706B1C">
        <w:t xml:space="preserve"> CFAT fails to offer any reason </w:t>
      </w:r>
      <w:r w:rsidR="00C34B21">
        <w:t>why</w:t>
      </w:r>
      <w:r w:rsidR="00706B1C">
        <w:t xml:space="preserve"> the Commission </w:t>
      </w:r>
      <w:r w:rsidR="00C34B21">
        <w:t>can</w:t>
      </w:r>
      <w:r w:rsidR="000D4639">
        <w:t xml:space="preserve"> or should</w:t>
      </w:r>
      <w:r w:rsidR="00706B1C">
        <w:t xml:space="preserve"> deviate </w:t>
      </w:r>
      <w:r w:rsidR="00F02719">
        <w:t xml:space="preserve">from its </w:t>
      </w:r>
      <w:r w:rsidR="001C7F1C">
        <w:t xml:space="preserve">adherence to the </w:t>
      </w:r>
      <w:r w:rsidR="00507002">
        <w:t>plain</w:t>
      </w:r>
      <w:r w:rsidR="001C7F1C">
        <w:t xml:space="preserve"> requirements of Rule 16.4.</w:t>
      </w:r>
    </w:p>
    <w:p w:rsidR="00D200CB" w:rsidP="00616197" w:rsidRDefault="000D4639" w14:paraId="2E097AF6" w14:textId="78575250">
      <w:pPr>
        <w:pStyle w:val="Standard"/>
      </w:pPr>
      <w:r>
        <w:t>In closing, w</w:t>
      </w:r>
      <w:r w:rsidR="00D200CB">
        <w:t xml:space="preserve">e note that while </w:t>
      </w:r>
      <w:r w:rsidR="00A21311">
        <w:t xml:space="preserve">the </w:t>
      </w:r>
      <w:r w:rsidRPr="00207C88" w:rsidR="00A21311">
        <w:rPr>
          <w:i/>
          <w:iCs/>
        </w:rPr>
        <w:t>Petition</w:t>
      </w:r>
      <w:r w:rsidR="00A21311">
        <w:t xml:space="preserve"> is denied, D.20-04-008 does provide Commission staff with mechanisms to monitor and ensure compliance with the approved terms of the merger between T-Mobile and </w:t>
      </w:r>
      <w:r w:rsidR="00463382">
        <w:t xml:space="preserve">Sprint. </w:t>
      </w:r>
      <w:r w:rsidR="00616B09">
        <w:t xml:space="preserve"> </w:t>
      </w:r>
      <w:r w:rsidR="004626EF">
        <w:t xml:space="preserve">Under </w:t>
      </w:r>
      <w:r>
        <w:t>“</w:t>
      </w:r>
      <w:r w:rsidR="004626EF">
        <w:t>J.</w:t>
      </w:r>
      <w:r w:rsidR="0059514D">
        <w:t> </w:t>
      </w:r>
      <w:r w:rsidR="004626EF">
        <w:t>ENSURING COMPLIANCE</w:t>
      </w:r>
      <w:r>
        <w:t>”</w:t>
      </w:r>
      <w:r w:rsidR="004626EF">
        <w:t xml:space="preserve"> of D.20-04-008, the Ordering Paragraph</w:t>
      </w:r>
      <w:r w:rsidR="009B16A4">
        <w:t>s</w:t>
      </w:r>
      <w:r w:rsidR="004626EF">
        <w:t xml:space="preserve"> provide the </w:t>
      </w:r>
      <w:r w:rsidR="00D36587">
        <w:t>following</w:t>
      </w:r>
      <w:r w:rsidR="004626EF">
        <w:t xml:space="preserve"> direction </w:t>
      </w:r>
      <w:r w:rsidR="00D36587">
        <w:t>to Commission staff</w:t>
      </w:r>
      <w:r w:rsidR="00C46A96">
        <w:t xml:space="preserve"> to hire a Compliance Monitor</w:t>
      </w:r>
      <w:r w:rsidR="008A01C1">
        <w:t xml:space="preserve"> and to develop a citation program</w:t>
      </w:r>
      <w:r w:rsidR="00D36587">
        <w:t>:</w:t>
      </w:r>
    </w:p>
    <w:p w:rsidR="007D36F1" w:rsidP="00FC5B90" w:rsidRDefault="008223C9" w14:paraId="57F10D64" w14:textId="3BBF719F">
      <w:pPr>
        <w:pStyle w:val="Standard"/>
        <w:numPr>
          <w:ilvl w:val="0"/>
          <w:numId w:val="19"/>
        </w:numPr>
        <w:spacing w:after="120" w:line="240" w:lineRule="auto"/>
        <w:ind w:left="1080" w:right="1440"/>
      </w:pPr>
      <w:r w:rsidRPr="008223C9">
        <w:t>Compliance Monitor and Enforcement. Within 120</w:t>
      </w:r>
      <w:r w:rsidR="00616B09">
        <w:t> </w:t>
      </w:r>
      <w:r w:rsidRPr="008223C9">
        <w:t>days of the effective date of the Commission decision approving the merger, CPUC shall hire, at New T-Mobile’s expense, an independent monitor to review New T-Mobile's compliance with all its commitments herein.</w:t>
      </w:r>
      <w:r w:rsidR="0059514D">
        <w:t xml:space="preserve"> </w:t>
      </w:r>
      <w:r w:rsidRPr="008223C9">
        <w:t xml:space="preserve"> The compliance monitor shall meet initially with Staff within 30</w:t>
      </w:r>
      <w:r w:rsidR="00616B09">
        <w:t> </w:t>
      </w:r>
      <w:r w:rsidRPr="008223C9">
        <w:t>days of being hired and at least quarterly thereafter to report on New T-Mobile's adherence to the conditions imposed by this decision.</w:t>
      </w:r>
    </w:p>
    <w:p w:rsidR="008223C9" w:rsidP="00FC5B90" w:rsidRDefault="008223C9" w14:paraId="21E8F835" w14:textId="0231FEDA">
      <w:pPr>
        <w:pStyle w:val="Standard"/>
        <w:numPr>
          <w:ilvl w:val="0"/>
          <w:numId w:val="19"/>
        </w:numPr>
        <w:spacing w:after="120" w:line="240" w:lineRule="auto"/>
        <w:ind w:left="1080" w:right="1440"/>
      </w:pPr>
      <w:r w:rsidRPr="008223C9">
        <w:t xml:space="preserve">The Compliance Monitor will make semi-annual findings on merger compliance and/or lack of compliance. </w:t>
      </w:r>
      <w:r w:rsidR="00747CAF">
        <w:t xml:space="preserve"> </w:t>
      </w:r>
      <w:r w:rsidRPr="008223C9">
        <w:t xml:space="preserve">For </w:t>
      </w:r>
      <w:proofErr w:type="gramStart"/>
      <w:r w:rsidRPr="008223C9">
        <w:t>the instances</w:t>
      </w:r>
      <w:proofErr w:type="gramEnd"/>
      <w:r w:rsidRPr="008223C9">
        <w:t xml:space="preserve"> where the New T-Mobile is out of compliance, the Compliance Monitor will recommend a</w:t>
      </w:r>
      <w:r w:rsidR="004C5C2E">
        <w:t xml:space="preserve"> </w:t>
      </w:r>
      <w:r w:rsidRPr="00083A57" w:rsidR="00083A57">
        <w:t xml:space="preserve">penalty to bring T-Mobile into compliance and forward his findings and </w:t>
      </w:r>
      <w:proofErr w:type="gramStart"/>
      <w:r w:rsidRPr="00083A57" w:rsidR="00083A57">
        <w:t>recommendation</w:t>
      </w:r>
      <w:proofErr w:type="gramEnd"/>
      <w:r w:rsidRPr="00083A57" w:rsidR="00083A57">
        <w:t xml:space="preserve"> to the Director of the Commission’s Communications Division and the Attorney General. </w:t>
      </w:r>
      <w:r w:rsidR="00747CAF">
        <w:t xml:space="preserve"> </w:t>
      </w:r>
      <w:r w:rsidRPr="00083A57" w:rsidR="00083A57">
        <w:t xml:space="preserve">The Attorney General may enforce this Order either pursuant </w:t>
      </w:r>
      <w:r w:rsidRPr="00083A57" w:rsidR="00083A57">
        <w:lastRenderedPageBreak/>
        <w:t xml:space="preserve">to Public Utilities Code Sections 702 and 2101, or under its independent authority, and such enforcement actions would not interfere with the Commission’s authority but would be complementary. </w:t>
      </w:r>
      <w:r w:rsidR="00747CAF">
        <w:t xml:space="preserve"> </w:t>
      </w:r>
      <w:r w:rsidRPr="00083A57" w:rsidR="00083A57">
        <w:t>The CPUC shall develop a citation program that can be utilized to impose penalties on New T-Mobile for violations of the terms of this decision.</w:t>
      </w:r>
    </w:p>
    <w:p w:rsidRPr="00616197" w:rsidR="00E5285C" w:rsidP="001F2DC7" w:rsidRDefault="00E5285C" w14:paraId="7B6CAF41" w14:textId="2450D19D">
      <w:pPr>
        <w:pStyle w:val="Standard"/>
        <w:ind w:firstLine="0"/>
      </w:pPr>
      <w:r>
        <w:t xml:space="preserve">CFAT may reach out to Commission staff and </w:t>
      </w:r>
      <w:r w:rsidR="00207C88">
        <w:t>inquire</w:t>
      </w:r>
      <w:r>
        <w:t xml:space="preserve"> about the </w:t>
      </w:r>
      <w:r w:rsidR="004E106B">
        <w:t>Compliance Monitor’s work</w:t>
      </w:r>
      <w:r>
        <w:t xml:space="preserve"> to ensure T-Mobile’s compliance</w:t>
      </w:r>
      <w:r w:rsidR="00453B73">
        <w:t xml:space="preserve"> with</w:t>
      </w:r>
      <w:r w:rsidR="001F2DC7">
        <w:t xml:space="preserve"> D.20-04-008</w:t>
      </w:r>
      <w:r w:rsidR="00522933">
        <w:t xml:space="preserve">, as well as </w:t>
      </w:r>
      <w:r w:rsidR="00C734C3">
        <w:t xml:space="preserve">about </w:t>
      </w:r>
      <w:r w:rsidR="00522933">
        <w:t>the development and enforcement of the citation program.</w:t>
      </w:r>
    </w:p>
    <w:p w:rsidR="00603238" w:rsidP="00FA1B4F" w:rsidRDefault="00603238" w14:paraId="14408350" w14:textId="77777777">
      <w:pPr>
        <w:pStyle w:val="Heading1"/>
      </w:pPr>
      <w:bookmarkStart w:name="_Toc208497309" w:id="14"/>
      <w:bookmarkStart w:name="_Toc8123721" w:id="15"/>
      <w:r>
        <w:t>Summary of Public Comment</w:t>
      </w:r>
      <w:bookmarkEnd w:id="14"/>
    </w:p>
    <w:p w:rsidRPr="00011E62" w:rsidR="00603238" w:rsidP="00284D8D" w:rsidRDefault="00603238" w14:paraId="64602ABB" w14:textId="616720D9">
      <w:pPr>
        <w:rPr>
          <w:rFonts w:ascii="Calibri" w:hAnsi="Calibri"/>
          <w:sz w:val="22"/>
        </w:rPr>
      </w:pPr>
      <w:r w:rsidRPr="00011E62">
        <w:t>Rule 1.18 allows any member of the public to submit written comment</w:t>
      </w:r>
      <w:r w:rsidR="006446F7">
        <w:t>s</w:t>
      </w:r>
      <w:r w:rsidRPr="00011E62">
        <w:t xml:space="preserve"> in any Commission proceeding using the “Public Comment” tab of the online Docket Card for that proceeding on the Commission’s website.</w:t>
      </w:r>
      <w:r w:rsidR="00747CAF">
        <w:t xml:space="preserve">  </w:t>
      </w:r>
      <w:r w:rsidRPr="00011E62">
        <w:t>Rule</w:t>
      </w:r>
      <w:r w:rsidR="00747CAF">
        <w:t> </w:t>
      </w:r>
      <w:r w:rsidRPr="00011E62">
        <w:t>1.18(b) requires that relevant written comment submitted in a proceeding be summarized in the final decision issued in that proceeding.</w:t>
      </w:r>
    </w:p>
    <w:p w:rsidRPr="00603238" w:rsidR="00603238" w:rsidP="00603238" w:rsidRDefault="005B7FD9" w14:paraId="58542F1C" w14:textId="758487F9">
      <w:pPr>
        <w:pStyle w:val="Standard"/>
      </w:pPr>
      <w:r>
        <w:t>T</w:t>
      </w:r>
      <w:r w:rsidR="00603238">
        <w:t>here are no relevant public comments on the Docket Card</w:t>
      </w:r>
      <w:r>
        <w:t>.</w:t>
      </w:r>
    </w:p>
    <w:p w:rsidR="004A1EAD" w:rsidP="004A1EAD" w:rsidRDefault="004A1EAD" w14:paraId="33765890" w14:textId="77777777">
      <w:pPr>
        <w:pStyle w:val="Heading1"/>
      </w:pPr>
      <w:bookmarkStart w:name="_Toc208497310" w:id="16"/>
      <w:bookmarkStart w:name="_Toc8123723" w:id="17"/>
      <w:bookmarkEnd w:id="15"/>
      <w:r>
        <w:t>Procedural Matters</w:t>
      </w:r>
      <w:bookmarkEnd w:id="16"/>
    </w:p>
    <w:p w:rsidRPr="008B175A" w:rsidR="004A1EAD" w:rsidP="004A1EAD" w:rsidRDefault="004A1EAD" w14:paraId="5E304B07" w14:textId="4C6418D2">
      <w:pPr>
        <w:pStyle w:val="Standard"/>
      </w:pPr>
      <w:r w:rsidRPr="008B175A">
        <w:t xml:space="preserve">This decision affirms all rulings made by the Administrative Law Judge and assigned Commissioner in this proceeding. </w:t>
      </w:r>
      <w:r w:rsidR="00747CAF">
        <w:t xml:space="preserve"> </w:t>
      </w:r>
      <w:r w:rsidRPr="008B175A">
        <w:t>All motions not ruled on are deemed denied.</w:t>
      </w:r>
    </w:p>
    <w:p w:rsidR="005939A5" w:rsidP="005939A5" w:rsidRDefault="005939A5" w14:paraId="7DBB26A7" w14:textId="77777777">
      <w:pPr>
        <w:pStyle w:val="Heading1"/>
      </w:pPr>
      <w:bookmarkStart w:name="_Toc208497311" w:id="18"/>
      <w:r>
        <w:t>Comments on Proposed Decision</w:t>
      </w:r>
      <w:bookmarkEnd w:id="17"/>
      <w:bookmarkEnd w:id="18"/>
    </w:p>
    <w:p w:rsidR="005939A5" w:rsidP="005C58FA" w:rsidRDefault="00F7285A" w14:paraId="59294909" w14:textId="4CEBD9C1">
      <w:pPr>
        <w:pStyle w:val="Standard"/>
      </w:pPr>
      <w:r>
        <w:t xml:space="preserve">The proposed decision of Administrative Law Judge </w:t>
      </w:r>
      <w:bookmarkStart w:name="_Hlk208565264" w:id="19"/>
      <w:r>
        <w:t>Robert M.</w:t>
      </w:r>
      <w:r w:rsidR="00747CAF">
        <w:t> </w:t>
      </w:r>
      <w:r>
        <w:t>Mason III</w:t>
      </w:r>
      <w:bookmarkEnd w:id="19"/>
      <w:r w:rsidR="00B91113">
        <w:t xml:space="preserve"> </w:t>
      </w:r>
      <w:r w:rsidR="005C58FA">
        <w:t>in this matter was mailed to the parties in accordance with Section</w:t>
      </w:r>
      <w:r w:rsidR="00747CAF">
        <w:t> </w:t>
      </w:r>
      <w:r w:rsidR="005C58FA">
        <w:t>311 of the Public Utilities Code and comments were allowed under Rule</w:t>
      </w:r>
      <w:r w:rsidR="00747CAF">
        <w:t> </w:t>
      </w:r>
      <w:r w:rsidR="005C58FA">
        <w:t xml:space="preserve">14.3 of the Commission’s Rules of Practice and Procedure.  </w:t>
      </w:r>
      <w:r w:rsidR="001738F1">
        <w:t>No comments were filed.</w:t>
      </w:r>
    </w:p>
    <w:p w:rsidR="005939A5" w:rsidP="005939A5" w:rsidRDefault="005939A5" w14:paraId="1FE3B9D6" w14:textId="77777777">
      <w:pPr>
        <w:pStyle w:val="Heading1"/>
      </w:pPr>
      <w:bookmarkStart w:name="_Toc8123724" w:id="20"/>
      <w:bookmarkStart w:name="_Toc208497312" w:id="21"/>
      <w:r>
        <w:lastRenderedPageBreak/>
        <w:t>Assignment of Proceeding</w:t>
      </w:r>
      <w:bookmarkEnd w:id="20"/>
      <w:bookmarkEnd w:id="21"/>
    </w:p>
    <w:p w:rsidR="00DE783F" w:rsidP="00FC5B90" w:rsidRDefault="00435899" w14:paraId="49C4631D" w14:textId="714C1A4D">
      <w:pPr>
        <w:pStyle w:val="Standard"/>
      </w:pPr>
      <w:r>
        <w:t>President Alice Reynolds</w:t>
      </w:r>
      <w:r w:rsidR="005939A5">
        <w:t xml:space="preserve"> is the assigned Commissioner</w:t>
      </w:r>
      <w:r w:rsidR="0090142C">
        <w:t>,</w:t>
      </w:r>
      <w:r w:rsidR="005939A5">
        <w:t xml:space="preserve"> and </w:t>
      </w:r>
      <w:r w:rsidR="00B91113">
        <w:t>Robert</w:t>
      </w:r>
      <w:r w:rsidR="00452BA9">
        <w:t> </w:t>
      </w:r>
      <w:r w:rsidR="00B91113">
        <w:t>M.</w:t>
      </w:r>
      <w:r w:rsidR="00452BA9">
        <w:t> </w:t>
      </w:r>
      <w:r w:rsidR="00B91113">
        <w:t>Mason III</w:t>
      </w:r>
      <w:r w:rsidR="005939A5">
        <w:t xml:space="preserve"> is the assigned Administrative Law Judge in this proceeding.</w:t>
      </w:r>
    </w:p>
    <w:p w:rsidR="005939A5" w:rsidP="005939A5" w:rsidRDefault="005939A5" w14:paraId="4FC44A58" w14:textId="77777777">
      <w:pPr>
        <w:pStyle w:val="Dummy"/>
      </w:pPr>
      <w:bookmarkStart w:name="_Toc8123725" w:id="22"/>
      <w:bookmarkStart w:name="_Toc208497313" w:id="23"/>
      <w:r>
        <w:t>Findings of Fact</w:t>
      </w:r>
      <w:bookmarkEnd w:id="22"/>
      <w:bookmarkEnd w:id="23"/>
    </w:p>
    <w:p w:rsidRPr="00FC5B90" w:rsidR="00F62B7A" w:rsidP="00FC5B90" w:rsidRDefault="00477E15" w14:paraId="3864E8D0" w14:textId="328B9370">
      <w:pPr>
        <w:pStyle w:val="FoF"/>
      </w:pPr>
      <w:r w:rsidRPr="00FC5B90">
        <w:t>Applications 18-07-011 and 18-07-012 were closed</w:t>
      </w:r>
      <w:r w:rsidRPr="00FC5B90" w:rsidR="00030316">
        <w:t xml:space="preserve"> on</w:t>
      </w:r>
      <w:r w:rsidRPr="00FC5B90" w:rsidR="00846C3A">
        <w:t xml:space="preserve"> April 27, 2020</w:t>
      </w:r>
      <w:r w:rsidRPr="00FC5B90" w:rsidR="00030316">
        <w:t>.</w:t>
      </w:r>
    </w:p>
    <w:p w:rsidRPr="00FC5B90" w:rsidR="00030316" w:rsidP="00FC5B90" w:rsidRDefault="00030316" w14:paraId="73BA1EA9" w14:textId="161A9EF0">
      <w:pPr>
        <w:pStyle w:val="FoF"/>
      </w:pPr>
      <w:r w:rsidRPr="00FC5B90">
        <w:t xml:space="preserve">Applications 18-07-011 and 18-07-012 were reopened </w:t>
      </w:r>
      <w:r w:rsidRPr="00FC5B90" w:rsidR="002B6FA5">
        <w:t>on August 13, 2021</w:t>
      </w:r>
      <w:r w:rsidRPr="00FC5B90" w:rsidR="005608E3">
        <w:t>,</w:t>
      </w:r>
      <w:r w:rsidRPr="00FC5B90" w:rsidR="002B6FA5">
        <w:t xml:space="preserve"> </w:t>
      </w:r>
      <w:r w:rsidRPr="00FC5B90">
        <w:t xml:space="preserve"> to address the Commission’s Order to Show Cause.</w:t>
      </w:r>
    </w:p>
    <w:p w:rsidRPr="00FC5B90" w:rsidR="00030316" w:rsidP="00FC5B90" w:rsidRDefault="00030316" w14:paraId="0F253491" w14:textId="430B121F">
      <w:pPr>
        <w:pStyle w:val="FoF"/>
      </w:pPr>
      <w:r w:rsidRPr="00FC5B90">
        <w:t>Following the issuance of</w:t>
      </w:r>
      <w:r w:rsidRPr="00FC5B90" w:rsidR="009916F8">
        <w:t xml:space="preserve"> </w:t>
      </w:r>
      <w:r w:rsidRPr="00FC5B90" w:rsidR="005608E3">
        <w:t>D.22-11-005,</w:t>
      </w:r>
      <w:r w:rsidRPr="00FC5B90">
        <w:t xml:space="preserve"> Applications</w:t>
      </w:r>
      <w:r w:rsidRPr="00FC5B90" w:rsidR="00747CAF">
        <w:t> </w:t>
      </w:r>
      <w:r w:rsidRPr="00FC5B90">
        <w:t>18-07-011 and 18</w:t>
      </w:r>
      <w:r w:rsidRPr="00FC5B90" w:rsidR="00747CAF">
        <w:noBreakHyphen/>
      </w:r>
      <w:r w:rsidRPr="00FC5B90">
        <w:t>07</w:t>
      </w:r>
      <w:r w:rsidRPr="00FC5B90" w:rsidR="00747CAF">
        <w:noBreakHyphen/>
      </w:r>
      <w:r w:rsidRPr="00FC5B90">
        <w:t>012 were again closed</w:t>
      </w:r>
      <w:r w:rsidRPr="00FC5B90" w:rsidR="009916F8">
        <w:t xml:space="preserve"> on November 7, 2022</w:t>
      </w:r>
      <w:r w:rsidRPr="00FC5B90">
        <w:t>.</w:t>
      </w:r>
    </w:p>
    <w:p w:rsidRPr="00FC5B90" w:rsidR="00030316" w:rsidP="00FC5B90" w:rsidRDefault="00030316" w14:paraId="60F3BEAD" w14:textId="5748CC71">
      <w:pPr>
        <w:pStyle w:val="FoF"/>
      </w:pPr>
      <w:r w:rsidRPr="00FC5B90">
        <w:t xml:space="preserve">During the time in which Applications 18-07-011 and 18-07-012 were open, CFAT </w:t>
      </w:r>
      <w:r w:rsidRPr="00FC5B90" w:rsidR="009916F8">
        <w:t>never sought to become a</w:t>
      </w:r>
      <w:r w:rsidRPr="00FC5B90">
        <w:t xml:space="preserve"> party to th</w:t>
      </w:r>
      <w:r w:rsidRPr="00FC5B90" w:rsidR="009916F8">
        <w:t>e</w:t>
      </w:r>
      <w:r w:rsidRPr="00FC5B90">
        <w:t xml:space="preserve"> proceeding</w:t>
      </w:r>
      <w:r w:rsidRPr="00FC5B90" w:rsidR="009916F8">
        <w:t>s</w:t>
      </w:r>
      <w:r w:rsidRPr="00FC5B90">
        <w:t>.</w:t>
      </w:r>
    </w:p>
    <w:p w:rsidR="005939A5" w:rsidP="005939A5" w:rsidRDefault="005939A5" w14:paraId="54100688" w14:textId="77777777">
      <w:pPr>
        <w:pStyle w:val="Dummy"/>
      </w:pPr>
      <w:bookmarkStart w:name="_Toc8123726" w:id="24"/>
      <w:bookmarkStart w:name="_Toc208497314" w:id="25"/>
      <w:r>
        <w:t>Conclusions of Law</w:t>
      </w:r>
      <w:bookmarkEnd w:id="24"/>
      <w:bookmarkEnd w:id="25"/>
    </w:p>
    <w:p w:rsidR="00BC13BD" w:rsidP="00FC5B90" w:rsidRDefault="00BC13BD" w14:paraId="3DE69154" w14:textId="0F99FB0E">
      <w:pPr>
        <w:pStyle w:val="CoL"/>
      </w:pPr>
      <w:r>
        <w:t xml:space="preserve">It is reasonable to conclude that CFAT’s </w:t>
      </w:r>
      <w:r w:rsidRPr="00775070">
        <w:rPr>
          <w:i/>
          <w:iCs/>
        </w:rPr>
        <w:t>Motion for Party Status</w:t>
      </w:r>
      <w:r>
        <w:t xml:space="preserve"> should be </w:t>
      </w:r>
      <w:r w:rsidR="0050444D">
        <w:t>denied</w:t>
      </w:r>
      <w:r w:rsidR="007E7FA2">
        <w:t xml:space="preserve"> because it was </w:t>
      </w:r>
      <w:r w:rsidR="00AF5931">
        <w:t>tendered at a time when A.18-07-011 and A.18</w:t>
      </w:r>
      <w:r w:rsidR="00FC5B90">
        <w:noBreakHyphen/>
      </w:r>
      <w:r w:rsidR="00AF5931">
        <w:t>07-012 were closed</w:t>
      </w:r>
      <w:r>
        <w:t>.</w:t>
      </w:r>
    </w:p>
    <w:p w:rsidR="00932865" w:rsidP="00FC5B90" w:rsidRDefault="00BC13BD" w14:paraId="05D774F0" w14:textId="5AEABE9E">
      <w:pPr>
        <w:pStyle w:val="CoL"/>
      </w:pPr>
      <w:r>
        <w:t xml:space="preserve">It is reasonable to conclude that CFAT’s </w:t>
      </w:r>
      <w:r w:rsidRPr="00775070">
        <w:rPr>
          <w:i/>
          <w:iCs/>
        </w:rPr>
        <w:t>Petition for Modification</w:t>
      </w:r>
      <w:r>
        <w:t xml:space="preserve"> should be denied</w:t>
      </w:r>
      <w:r w:rsidR="006103B9">
        <w:t xml:space="preserve"> for failing to comply with the requirements of Rule 16.4</w:t>
      </w:r>
      <w:r>
        <w:t>.</w:t>
      </w:r>
    </w:p>
    <w:p w:rsidRPr="001E2A62" w:rsidR="00AE2033" w:rsidP="00FC5B90" w:rsidRDefault="00AE2033" w14:paraId="2AE1EF8B" w14:textId="44396157">
      <w:pPr>
        <w:pStyle w:val="CoL"/>
      </w:pPr>
      <w:r>
        <w:t>It is reasonable to conclude that C</w:t>
      </w:r>
      <w:r w:rsidR="00FC4E11">
        <w:t xml:space="preserve">FAT’s </w:t>
      </w:r>
      <w:r w:rsidRPr="00775070" w:rsidR="00FC4E11">
        <w:rPr>
          <w:i/>
          <w:iCs/>
        </w:rPr>
        <w:t>Motion for Official Notice</w:t>
      </w:r>
      <w:r w:rsidR="00FC4E11">
        <w:t xml:space="preserve"> should be denied as moot.</w:t>
      </w:r>
    </w:p>
    <w:p w:rsidR="00BB0243" w:rsidP="000A6E05" w:rsidRDefault="005939A5" w14:paraId="73096176" w14:textId="77777777">
      <w:pPr>
        <w:pStyle w:val="Mainex"/>
      </w:pPr>
      <w:bookmarkStart w:name="_Toc208497315" w:id="26"/>
      <w:r>
        <w:t>O</w:t>
      </w:r>
      <w:r w:rsidR="00722850">
        <w:t>RDER</w:t>
      </w:r>
      <w:bookmarkEnd w:id="26"/>
    </w:p>
    <w:p w:rsidR="00BB0243" w:rsidP="000A6E05" w:rsidRDefault="00BB0243" w14:paraId="49ECD1B2" w14:textId="77777777">
      <w:pPr>
        <w:keepNext/>
      </w:pPr>
      <w:r w:rsidRPr="00BB0243">
        <w:rPr>
          <w:b/>
        </w:rPr>
        <w:t>IT IS ORDERED</w:t>
      </w:r>
      <w:r>
        <w:t xml:space="preserve"> that:</w:t>
      </w:r>
    </w:p>
    <w:p w:rsidR="0050444D" w:rsidP="00FC5B90" w:rsidRDefault="0050444D" w14:paraId="00773812" w14:textId="35226727">
      <w:pPr>
        <w:pStyle w:val="OP"/>
      </w:pPr>
      <w:r>
        <w:t xml:space="preserve">Center </w:t>
      </w:r>
      <w:r w:rsidR="00191EC3">
        <w:t>for</w:t>
      </w:r>
      <w:r>
        <w:t xml:space="preserve"> Accessible Technology’s </w:t>
      </w:r>
      <w:r w:rsidRPr="00FC5B90">
        <w:rPr>
          <w:i/>
          <w:iCs/>
        </w:rPr>
        <w:t>Motion for Party Status</w:t>
      </w:r>
      <w:r>
        <w:t xml:space="preserve"> is denied.</w:t>
      </w:r>
    </w:p>
    <w:p w:rsidR="003C21DD" w:rsidP="00FC5B90" w:rsidRDefault="0050444D" w14:paraId="428EE59B" w14:textId="77777777">
      <w:pPr>
        <w:pStyle w:val="OP"/>
      </w:pPr>
      <w:r>
        <w:t xml:space="preserve">Center for Accessible Technology’s </w:t>
      </w:r>
      <w:r w:rsidRPr="008033AC">
        <w:rPr>
          <w:i/>
          <w:iCs/>
        </w:rPr>
        <w:t>Petition for Modification</w:t>
      </w:r>
      <w:r>
        <w:t xml:space="preserve"> is denied.</w:t>
      </w:r>
    </w:p>
    <w:p w:rsidR="00FC4E11" w:rsidP="00FC5B90" w:rsidRDefault="00FC4E11" w14:paraId="1571C327" w14:textId="76911674">
      <w:pPr>
        <w:pStyle w:val="OP"/>
      </w:pPr>
      <w:r>
        <w:t xml:space="preserve">Center for Accessible Technology’s </w:t>
      </w:r>
      <w:r w:rsidRPr="008033AC">
        <w:rPr>
          <w:i/>
          <w:iCs/>
        </w:rPr>
        <w:t>Motion for Official Notice</w:t>
      </w:r>
      <w:r>
        <w:t xml:space="preserve"> is denied.</w:t>
      </w:r>
    </w:p>
    <w:p w:rsidR="003C21DD" w:rsidP="00FC5B90" w:rsidRDefault="003C21DD" w14:paraId="296775D0" w14:textId="77777777">
      <w:pPr>
        <w:pStyle w:val="OP"/>
      </w:pPr>
      <w:r>
        <w:t>Applications 18-07-011 and 18-07-012 are closed.</w:t>
      </w:r>
    </w:p>
    <w:p w:rsidR="00FC5B90" w:rsidP="00FC5B90" w:rsidRDefault="00FC5B90" w14:paraId="09A2D6EE" w14:textId="77777777">
      <w:pPr>
        <w:pStyle w:val="OP"/>
        <w:numPr>
          <w:ilvl w:val="0"/>
          <w:numId w:val="0"/>
        </w:numPr>
        <w:ind w:left="540" w:hanging="180"/>
      </w:pPr>
    </w:p>
    <w:p w:rsidR="008F0116" w:rsidP="00FC5B90" w:rsidRDefault="008F0116" w14:paraId="306A0A78" w14:textId="1FBF5168">
      <w:pPr>
        <w:pStyle w:val="OP"/>
        <w:numPr>
          <w:ilvl w:val="0"/>
          <w:numId w:val="0"/>
        </w:numPr>
        <w:ind w:left="540" w:hanging="180"/>
      </w:pPr>
      <w:r>
        <w:t>This order is effective today.</w:t>
      </w:r>
    </w:p>
    <w:p w:rsidRPr="00714CF2" w:rsidR="003C21DD" w:rsidP="007B7EDA" w:rsidRDefault="008F0116" w14:paraId="2964891F" w14:textId="6D6A6BCA">
      <w:pPr>
        <w:spacing w:line="240" w:lineRule="auto"/>
      </w:pPr>
      <w:r>
        <w:t>Dated</w:t>
      </w:r>
      <w:r w:rsidR="00DE783F">
        <w:t> </w:t>
      </w:r>
      <w:r w:rsidR="007B7EDA">
        <w:t>Novem</w:t>
      </w:r>
      <w:r w:rsidR="00733471">
        <w:t>ber</w:t>
      </w:r>
      <w:r w:rsidR="00DE783F">
        <w:t> </w:t>
      </w:r>
      <w:r w:rsidR="00733471">
        <w:t>__,</w:t>
      </w:r>
      <w:r w:rsidR="00DE783F">
        <w:t> </w:t>
      </w:r>
      <w:r w:rsidR="00733471">
        <w:t>2025</w:t>
      </w:r>
      <w:r>
        <w:t>,</w:t>
      </w:r>
      <w:r w:rsidR="00DE783F">
        <w:t> </w:t>
      </w:r>
      <w:r>
        <w:t>at</w:t>
      </w:r>
      <w:r w:rsidR="00A607E2">
        <w:t> </w:t>
      </w:r>
      <w:r>
        <w:t>Sa</w:t>
      </w:r>
      <w:r w:rsidR="00A607E2">
        <w:t>n</w:t>
      </w:r>
      <w:r w:rsidR="00FC5B90">
        <w:t> </w:t>
      </w:r>
      <w:r w:rsidR="00A607E2">
        <w:t>Francisc</w:t>
      </w:r>
      <w:r w:rsidR="00D75CE5">
        <w:t>o</w:t>
      </w:r>
      <w:r>
        <w:t>, California</w:t>
      </w:r>
    </w:p>
    <w:sectPr w:rsidRPr="00714CF2" w:rsidR="003C21DD" w:rsidSect="00E40D0C">
      <w:headerReference w:type="first" r:id="rId14"/>
      <w:footerReference w:type="first" r:id="rId15"/>
      <w:pgSz w:w="12240" w:h="15840"/>
      <w:pgMar w:top="1728" w:right="1440" w:bottom="1440" w:left="1440" w:header="720" w:footer="720" w:gutter="0"/>
      <w:pgNumType w:fmt="numberInDash"/>
      <w:cols w:space="720"/>
      <w:titlePg/>
      <w:docGrid w:linePitch="360"/>
    </w:sectPr>
    <w:p>
      <w:r>
        <w:t xml:space="preserve"/>
      </w:r>
    </w:p>
    <w:p>
      <w:r>
        <w:t xml:space="preserve">Attachment 1: </w:t>
      </w:r>
    </w:p>
    <w:p>
      <w:hyperlink w:history="true" r:id="R6aaaac7ecad94a20">
        <w:r w:rsidRPr="00CB1292">
          <w:rPr>
            <w:rStyle w:val="Hyperlink"/>
            <w:color w:val="2E74B5" w:themeColor="accent1" w:themeShade="BF"/>
            <w:u w:val="single"/>
          </w:rPr>
          <w:t>REDLINE A.18-07-011 et. al. Sprint T-mobile Transfer ARD-RIM Agenda 11-20-2025 (COMT)</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D433" w14:textId="77777777" w:rsidR="001A1BD9" w:rsidRDefault="001A1BD9" w:rsidP="0098138E">
      <w:pPr>
        <w:spacing w:line="240" w:lineRule="auto"/>
      </w:pPr>
      <w:r>
        <w:separator/>
      </w:r>
    </w:p>
  </w:endnote>
  <w:endnote w:type="continuationSeparator" w:id="0">
    <w:p w14:paraId="267B02FE" w14:textId="77777777" w:rsidR="001A1BD9" w:rsidRDefault="001A1BD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98662"/>
      <w:docPartObj>
        <w:docPartGallery w:val="Page Numbers (Bottom of Page)"/>
        <w:docPartUnique/>
      </w:docPartObj>
    </w:sdtPr>
    <w:sdtEndPr>
      <w:rPr>
        <w:noProof/>
      </w:rPr>
    </w:sdtEndPr>
    <w:sdtContent>
      <w:p w14:paraId="72AFD227" w14:textId="1AB30C35" w:rsidR="007B7EDA" w:rsidRDefault="007B7EDA" w:rsidP="007B7E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C392" w14:textId="77777777" w:rsidR="00E40D0C" w:rsidRDefault="00E40D0C" w:rsidP="00CC00FF">
    <w:pPr>
      <w:pStyle w:val="Footer"/>
    </w:pPr>
  </w:p>
  <w:p w14:paraId="7791C173" w14:textId="2A054CF0" w:rsidR="00E40D0C" w:rsidRDefault="00CE7ECB" w:rsidP="00D71ED4">
    <w:pPr>
      <w:pStyle w:val="Footer"/>
      <w:ind w:firstLine="0"/>
    </w:pPr>
    <w:r w:rsidRPr="00CE7ECB">
      <w:rPr>
        <w:sz w:val="16"/>
        <w:szCs w:val="16"/>
      </w:rPr>
      <w:t>587370069</w:t>
    </w:r>
    <w:r w:rsidR="00CC00FF">
      <w:tab/>
    </w:r>
    <w:sdt>
      <w:sdtPr>
        <w:id w:val="795328579"/>
        <w:docPartObj>
          <w:docPartGallery w:val="Page Numbers (Bottom of Page)"/>
          <w:docPartUnique/>
        </w:docPartObj>
      </w:sdtPr>
      <w:sdtEndPr>
        <w:rPr>
          <w:noProof/>
        </w:rPr>
      </w:sdtEndPr>
      <w:sdtContent>
        <w:r w:rsidR="00E40D0C">
          <w:fldChar w:fldCharType="begin"/>
        </w:r>
        <w:r w:rsidR="00E40D0C">
          <w:instrText xml:space="preserve"> PAGE   \* MERGEFORMAT </w:instrText>
        </w:r>
        <w:r w:rsidR="00E40D0C">
          <w:fldChar w:fldCharType="separate"/>
        </w:r>
        <w:r w:rsidR="00E40D0C">
          <w:rPr>
            <w:noProof/>
          </w:rPr>
          <w:t>2</w:t>
        </w:r>
        <w:r w:rsidR="00E40D0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7EDE" w14:textId="77777777" w:rsidR="00CC00FF" w:rsidRDefault="00CC00FF" w:rsidP="00CC00FF">
    <w:pPr>
      <w:pStyle w:val="Footer"/>
    </w:pPr>
  </w:p>
  <w:p w14:paraId="2CD0F965" w14:textId="67FC5D26" w:rsidR="00CC00FF" w:rsidRDefault="00CC00FF" w:rsidP="00CC00FF">
    <w:pPr>
      <w:pStyle w:val="Footer"/>
    </w:pPr>
    <w:r>
      <w:tab/>
    </w:r>
    <w:sdt>
      <w:sdtPr>
        <w:id w:val="7039076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AED5" w14:textId="77777777" w:rsidR="001A1BD9" w:rsidRDefault="001A1BD9" w:rsidP="00DF58E7">
      <w:pPr>
        <w:spacing w:line="240" w:lineRule="auto"/>
        <w:ind w:firstLine="0"/>
      </w:pPr>
      <w:r>
        <w:separator/>
      </w:r>
    </w:p>
  </w:footnote>
  <w:footnote w:type="continuationSeparator" w:id="0">
    <w:p w14:paraId="136F6811" w14:textId="77777777" w:rsidR="001A1BD9" w:rsidRDefault="001A1BD9" w:rsidP="00DF58E7">
      <w:pPr>
        <w:spacing w:line="240" w:lineRule="auto"/>
        <w:ind w:firstLine="0"/>
      </w:pPr>
      <w:r>
        <w:continuationSeparator/>
      </w:r>
    </w:p>
  </w:footnote>
  <w:footnote w:type="continuationNotice" w:id="1">
    <w:p w14:paraId="4DDCFCBE" w14:textId="77777777" w:rsidR="001A1BD9" w:rsidRPr="00DF58E7" w:rsidRDefault="001A1BD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A3BBE58" w14:textId="14098018" w:rsidR="00BE3DAE" w:rsidRDefault="00BE3DAE">
      <w:pPr>
        <w:pStyle w:val="FootnoteText"/>
      </w:pPr>
      <w:r>
        <w:rPr>
          <w:rStyle w:val="FootnoteReference"/>
        </w:rPr>
        <w:footnoteRef/>
      </w:r>
      <w:r>
        <w:t xml:space="preserve"> </w:t>
      </w:r>
      <w:r w:rsidR="00A60A0C">
        <w:t xml:space="preserve">As we explain in detail, </w:t>
      </w:r>
      <w:r w:rsidR="00A60A0C" w:rsidRPr="00605E78">
        <w:rPr>
          <w:i/>
          <w:iCs/>
        </w:rPr>
        <w:t>infra</w:t>
      </w:r>
      <w:r w:rsidR="00A60A0C">
        <w:t xml:space="preserve">, </w:t>
      </w:r>
      <w:r w:rsidR="00605E78">
        <w:t>there were some instances when the proceedings were reopened and later closed again.</w:t>
      </w:r>
    </w:p>
  </w:footnote>
  <w:footnote w:id="3">
    <w:p w14:paraId="2D31C4EF" w14:textId="224C74F7" w:rsidR="0076006E" w:rsidRDefault="0076006E">
      <w:pPr>
        <w:pStyle w:val="FootnoteText"/>
      </w:pPr>
      <w:r>
        <w:rPr>
          <w:rStyle w:val="FootnoteReference"/>
        </w:rPr>
        <w:footnoteRef/>
      </w:r>
      <w:r>
        <w:t xml:space="preserve"> With the issuance of </w:t>
      </w:r>
      <w:r w:rsidR="007771AB">
        <w:t>D.20-04-008, Applications 18-07-011 and 18-07-012 were closed on April</w:t>
      </w:r>
      <w:r w:rsidR="00616B09">
        <w:t> </w:t>
      </w:r>
      <w:r w:rsidR="007771AB">
        <w:t xml:space="preserve">27, 2020. </w:t>
      </w:r>
      <w:r w:rsidR="00616B09">
        <w:t xml:space="preserve"> </w:t>
      </w:r>
      <w:r w:rsidR="00A56EE7">
        <w:t xml:space="preserve">The </w:t>
      </w:r>
      <w:r w:rsidR="0049282B">
        <w:t>Applications</w:t>
      </w:r>
      <w:r w:rsidR="00A56EE7">
        <w:t xml:space="preserve"> were reopened on May 7, 2020, when the Consumer Groups </w:t>
      </w:r>
      <w:r w:rsidR="001F00E1">
        <w:t>(</w:t>
      </w:r>
      <w:r w:rsidR="00A56EE7">
        <w:t xml:space="preserve">Public Advocates Office, Greenlining Institute, and </w:t>
      </w:r>
      <w:r w:rsidR="001F00E1">
        <w:t xml:space="preserve">TURN) filed their </w:t>
      </w:r>
      <w:r w:rsidR="0049282B" w:rsidRPr="003A096B">
        <w:rPr>
          <w:i/>
          <w:iCs/>
        </w:rPr>
        <w:t xml:space="preserve">Joint </w:t>
      </w:r>
      <w:r w:rsidR="001F00E1" w:rsidRPr="003A096B">
        <w:rPr>
          <w:i/>
          <w:iCs/>
        </w:rPr>
        <w:t>Application for Rehearing</w:t>
      </w:r>
      <w:r w:rsidR="001F00E1">
        <w:t>.</w:t>
      </w:r>
      <w:r w:rsidR="00DB2EAC">
        <w:t xml:space="preserve"> </w:t>
      </w:r>
      <w:r w:rsidR="00616B09">
        <w:t xml:space="preserve"> </w:t>
      </w:r>
      <w:r w:rsidR="00DB2EAC">
        <w:t>D.20-08-022 modified D.20-04-008</w:t>
      </w:r>
      <w:r w:rsidR="002B2844">
        <w:t>,</w:t>
      </w:r>
      <w:r w:rsidR="00DB2EAC">
        <w:t xml:space="preserve"> denied the</w:t>
      </w:r>
      <w:r w:rsidR="002B2844">
        <w:t xml:space="preserve"> </w:t>
      </w:r>
      <w:r w:rsidR="0049282B" w:rsidRPr="003A096B">
        <w:rPr>
          <w:i/>
          <w:iCs/>
        </w:rPr>
        <w:t xml:space="preserve">Joint </w:t>
      </w:r>
      <w:r w:rsidR="002B2844" w:rsidRPr="003A096B">
        <w:rPr>
          <w:i/>
          <w:iCs/>
        </w:rPr>
        <w:t>Application for Rehearing</w:t>
      </w:r>
      <w:r w:rsidR="002B2844">
        <w:t xml:space="preserve">, and closed the </w:t>
      </w:r>
      <w:r w:rsidR="0049282B">
        <w:t>Applications</w:t>
      </w:r>
      <w:r w:rsidR="002B2844">
        <w:t xml:space="preserve"> on August 6, 2020. </w:t>
      </w:r>
      <w:r w:rsidR="00616B09">
        <w:t xml:space="preserve"> </w:t>
      </w:r>
      <w:r w:rsidR="008A568A">
        <w:t xml:space="preserve">The Applications were </w:t>
      </w:r>
      <w:r w:rsidR="003A096B">
        <w:t>reopened</w:t>
      </w:r>
      <w:r w:rsidR="008A568A">
        <w:t xml:space="preserve"> on August</w:t>
      </w:r>
      <w:r w:rsidR="00616B09">
        <w:t> </w:t>
      </w:r>
      <w:r w:rsidR="008A568A">
        <w:t>13,</w:t>
      </w:r>
      <w:r w:rsidR="00616B09">
        <w:t> </w:t>
      </w:r>
      <w:r w:rsidR="008A568A">
        <w:t>2021</w:t>
      </w:r>
      <w:r w:rsidR="00B4022A">
        <w:t xml:space="preserve">, when the assigned Commissioner and assigned Administrative Law Judge issued their </w:t>
      </w:r>
      <w:r w:rsidR="00B4022A" w:rsidRPr="003A096B">
        <w:rPr>
          <w:i/>
          <w:iCs/>
        </w:rPr>
        <w:t>Order to Show Cause</w:t>
      </w:r>
      <w:r w:rsidR="00B4022A">
        <w:t xml:space="preserve"> directing T-Mobile to explain why it should not be sanctioned for violating Rule 1.1.</w:t>
      </w:r>
      <w:r w:rsidR="00E32EB0">
        <w:t xml:space="preserve"> </w:t>
      </w:r>
      <w:r w:rsidR="00616B09">
        <w:t xml:space="preserve"> </w:t>
      </w:r>
      <w:r w:rsidR="00E32EB0">
        <w:t>The Applicati</w:t>
      </w:r>
      <w:r w:rsidR="000F7D76">
        <w:t xml:space="preserve">ons </w:t>
      </w:r>
      <w:r w:rsidR="0044032B">
        <w:t xml:space="preserve">were closed on November 7, 2022, when the </w:t>
      </w:r>
      <w:r w:rsidR="009C4D80">
        <w:t>Commission issued D.22</w:t>
      </w:r>
      <w:r w:rsidR="000D4639">
        <w:t>-</w:t>
      </w:r>
      <w:r w:rsidR="009C4D80">
        <w:t>11</w:t>
      </w:r>
      <w:r w:rsidR="000D4639">
        <w:t>-</w:t>
      </w:r>
      <w:r w:rsidR="009C4D80">
        <w:t>005</w:t>
      </w:r>
      <w:r w:rsidR="00706721">
        <w:t>, finding that T-Mobile should be sanctioned for violating Rule</w:t>
      </w:r>
      <w:r w:rsidR="00616B09">
        <w:t> </w:t>
      </w:r>
      <w:r w:rsidR="00706721">
        <w:t>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011C" w14:textId="08788813" w:rsidR="007B7EDA" w:rsidRDefault="007B7EDA" w:rsidP="007B7EDA">
    <w:pPr>
      <w:pStyle w:val="Header"/>
      <w:tabs>
        <w:tab w:val="clear" w:pos="4680"/>
      </w:tabs>
      <w:ind w:firstLine="0"/>
      <w:rPr>
        <w:b/>
      </w:rPr>
    </w:pPr>
    <w:r w:rsidRPr="002B32A4">
      <w:t xml:space="preserve">A.18-07-011 </w:t>
    </w:r>
    <w:r w:rsidRPr="002B32A4">
      <w:rPr>
        <w:i/>
        <w:iCs/>
      </w:rPr>
      <w:t>et al</w:t>
    </w:r>
    <w:r w:rsidRPr="002B32A4">
      <w:t>.  ALJ/RIM/</w:t>
    </w:r>
    <w:r>
      <w:t>abb</w:t>
    </w:r>
    <w:r>
      <w:tab/>
    </w:r>
    <w:r>
      <w:rPr>
        <w:b/>
      </w:rPr>
      <w:t xml:space="preserve">PROPOSED DECISION </w:t>
    </w:r>
    <w:r w:rsidRPr="007B7EDA">
      <w:rPr>
        <w:b/>
      </w:rPr>
      <w:t>(Rev. 1)</w:t>
    </w:r>
  </w:p>
  <w:p w14:paraId="04A50711" w14:textId="77777777" w:rsidR="007B7EDA" w:rsidRDefault="007B7EDA" w:rsidP="007B7EDA">
    <w:pPr>
      <w:pStyle w:val="Header"/>
      <w:tabs>
        <w:tab w:val="clear" w:pos="4680"/>
      </w:tabs>
      <w:ind w:firstLine="0"/>
      <w:rPr>
        <w:b/>
      </w:rPr>
    </w:pPr>
  </w:p>
  <w:p w14:paraId="61DA0D49" w14:textId="77777777" w:rsidR="007B7EDA" w:rsidRPr="007B7EDA" w:rsidRDefault="007B7EDA" w:rsidP="007B7EDA">
    <w:pPr>
      <w:pStyle w:val="Header"/>
      <w:tabs>
        <w:tab w:val="clear" w:pos="4680"/>
      </w:tabs>
      <w:ind w:firstLine="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483C" w14:textId="3E885C5C" w:rsidR="00E40D0C" w:rsidRDefault="00E40D0C" w:rsidP="00BF4340">
    <w:pPr>
      <w:pStyle w:val="Header"/>
      <w:tabs>
        <w:tab w:val="clear" w:pos="4680"/>
      </w:tabs>
      <w:ind w:firstLine="0"/>
      <w:rPr>
        <w:b/>
      </w:rPr>
    </w:pPr>
    <w:r w:rsidRPr="002B32A4">
      <w:t xml:space="preserve">A.18-07-011 </w:t>
    </w:r>
    <w:r w:rsidRPr="002B32A4">
      <w:rPr>
        <w:i/>
        <w:iCs/>
      </w:rPr>
      <w:t>et al</w:t>
    </w:r>
    <w:r w:rsidRPr="002B32A4">
      <w:t>.  ALJ/RIM/</w:t>
    </w:r>
    <w:r>
      <w:t>abb</w:t>
    </w:r>
    <w:r>
      <w:tab/>
    </w:r>
    <w:r>
      <w:rPr>
        <w:b/>
      </w:rPr>
      <w:t>PROPOSED DECISION</w:t>
    </w:r>
    <w:r w:rsidR="007B7EDA">
      <w:rPr>
        <w:b/>
      </w:rPr>
      <w:t xml:space="preserve"> </w:t>
    </w:r>
    <w:r w:rsidR="007B7EDA" w:rsidRPr="007B7EDA">
      <w:rPr>
        <w:b/>
      </w:rPr>
      <w:t>(Rev. 1)</w:t>
    </w:r>
  </w:p>
  <w:p w14:paraId="29934E11" w14:textId="77777777" w:rsidR="007B7EDA" w:rsidRDefault="007B7EDA" w:rsidP="00BF4340">
    <w:pPr>
      <w:pStyle w:val="Header"/>
      <w:tabs>
        <w:tab w:val="clear" w:pos="4680"/>
      </w:tabs>
      <w:ind w:firstLine="0"/>
      <w:rPr>
        <w:b/>
      </w:rPr>
    </w:pPr>
  </w:p>
  <w:p w14:paraId="37FFA9AB" w14:textId="77777777" w:rsidR="007B7EDA" w:rsidRPr="007B7EDA" w:rsidRDefault="007B7EDA" w:rsidP="00BF4340">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27B11A6"/>
    <w:multiLevelType w:val="hybridMultilevel"/>
    <w:tmpl w:val="64683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D20010"/>
    <w:multiLevelType w:val="hybridMultilevel"/>
    <w:tmpl w:val="8206984A"/>
    <w:lvl w:ilvl="0" w:tplc="17EC3E92">
      <w:start w:val="3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B1436A4"/>
    <w:multiLevelType w:val="hybridMultilevel"/>
    <w:tmpl w:val="D294FE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9A0AFE"/>
    <w:multiLevelType w:val="multilevel"/>
    <w:tmpl w:val="18F4A5AC"/>
    <w:numStyleLink w:val="FoFCoLOP"/>
  </w:abstractNum>
  <w:num w:numId="1" w16cid:durableId="1354526949">
    <w:abstractNumId w:val="13"/>
  </w:num>
  <w:num w:numId="2" w16cid:durableId="140774137">
    <w:abstractNumId w:val="1"/>
  </w:num>
  <w:num w:numId="3" w16cid:durableId="1898543446">
    <w:abstractNumId w:val="12"/>
  </w:num>
  <w:num w:numId="4" w16cid:durableId="701521005">
    <w:abstractNumId w:val="2"/>
  </w:num>
  <w:num w:numId="5" w16cid:durableId="2017029027">
    <w:abstractNumId w:val="17"/>
  </w:num>
  <w:num w:numId="6" w16cid:durableId="973756952">
    <w:abstractNumId w:val="9"/>
  </w:num>
  <w:num w:numId="7" w16cid:durableId="827667741">
    <w:abstractNumId w:val="5"/>
  </w:num>
  <w:num w:numId="8" w16cid:durableId="1760327020">
    <w:abstractNumId w:val="16"/>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700281124">
    <w:abstractNumId w:val="10"/>
  </w:num>
  <w:num w:numId="19" w16cid:durableId="1942565339">
    <w:abstractNumId w:val="11"/>
  </w:num>
  <w:num w:numId="20" w16cid:durableId="565188334">
    <w:abstractNumId w:val="15"/>
  </w:num>
  <w:num w:numId="21" w16cid:durableId="964232619">
    <w:abstractNumId w:val="17"/>
  </w:num>
  <w:num w:numId="22" w16cid:durableId="38751113">
    <w:abstractNumId w:val="17"/>
  </w:num>
  <w:num w:numId="23" w16cid:durableId="983043077">
    <w:abstractNumId w:val="17"/>
  </w:num>
  <w:num w:numId="24" w16cid:durableId="19219871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EA"/>
    <w:rsid w:val="00000F6A"/>
    <w:rsid w:val="00003906"/>
    <w:rsid w:val="00006014"/>
    <w:rsid w:val="00011E62"/>
    <w:rsid w:val="00015DCE"/>
    <w:rsid w:val="00024453"/>
    <w:rsid w:val="00030316"/>
    <w:rsid w:val="00030353"/>
    <w:rsid w:val="00033008"/>
    <w:rsid w:val="0004588E"/>
    <w:rsid w:val="00052D2C"/>
    <w:rsid w:val="00053905"/>
    <w:rsid w:val="00057D81"/>
    <w:rsid w:val="0007115A"/>
    <w:rsid w:val="00083A57"/>
    <w:rsid w:val="000973C8"/>
    <w:rsid w:val="000A1176"/>
    <w:rsid w:val="000A2AA9"/>
    <w:rsid w:val="000A4D5D"/>
    <w:rsid w:val="000A56F2"/>
    <w:rsid w:val="000A6E05"/>
    <w:rsid w:val="000B12FA"/>
    <w:rsid w:val="000B2ECB"/>
    <w:rsid w:val="000C08BF"/>
    <w:rsid w:val="000C3B9A"/>
    <w:rsid w:val="000D10A9"/>
    <w:rsid w:val="000D25A8"/>
    <w:rsid w:val="000D4639"/>
    <w:rsid w:val="000E270A"/>
    <w:rsid w:val="000E4C53"/>
    <w:rsid w:val="000F20FB"/>
    <w:rsid w:val="000F48C6"/>
    <w:rsid w:val="000F7066"/>
    <w:rsid w:val="000F7D76"/>
    <w:rsid w:val="001119EE"/>
    <w:rsid w:val="00113CC8"/>
    <w:rsid w:val="00114B54"/>
    <w:rsid w:val="00121089"/>
    <w:rsid w:val="001238AF"/>
    <w:rsid w:val="001252C7"/>
    <w:rsid w:val="0013291A"/>
    <w:rsid w:val="001336F0"/>
    <w:rsid w:val="00141C95"/>
    <w:rsid w:val="001534A3"/>
    <w:rsid w:val="00157214"/>
    <w:rsid w:val="001738F1"/>
    <w:rsid w:val="00175249"/>
    <w:rsid w:val="001764E2"/>
    <w:rsid w:val="00176EA8"/>
    <w:rsid w:val="001816CB"/>
    <w:rsid w:val="00184A8F"/>
    <w:rsid w:val="00191EC3"/>
    <w:rsid w:val="001A1BD9"/>
    <w:rsid w:val="001C0B19"/>
    <w:rsid w:val="001C363F"/>
    <w:rsid w:val="001C5B70"/>
    <w:rsid w:val="001C7F1C"/>
    <w:rsid w:val="001D4096"/>
    <w:rsid w:val="001D4A97"/>
    <w:rsid w:val="001E053A"/>
    <w:rsid w:val="001E2A62"/>
    <w:rsid w:val="001E67BC"/>
    <w:rsid w:val="001F00E1"/>
    <w:rsid w:val="001F1750"/>
    <w:rsid w:val="001F2819"/>
    <w:rsid w:val="001F2DC7"/>
    <w:rsid w:val="001F46F0"/>
    <w:rsid w:val="00201DF6"/>
    <w:rsid w:val="002040C2"/>
    <w:rsid w:val="002043EC"/>
    <w:rsid w:val="00207C88"/>
    <w:rsid w:val="0021205F"/>
    <w:rsid w:val="0022486F"/>
    <w:rsid w:val="00226256"/>
    <w:rsid w:val="002310C6"/>
    <w:rsid w:val="0023178E"/>
    <w:rsid w:val="00243DC0"/>
    <w:rsid w:val="00247477"/>
    <w:rsid w:val="00263323"/>
    <w:rsid w:val="00270440"/>
    <w:rsid w:val="00284D8D"/>
    <w:rsid w:val="00285F0B"/>
    <w:rsid w:val="00287BC5"/>
    <w:rsid w:val="00293DEE"/>
    <w:rsid w:val="00295740"/>
    <w:rsid w:val="002974BC"/>
    <w:rsid w:val="002975A0"/>
    <w:rsid w:val="002A0B53"/>
    <w:rsid w:val="002A0B5D"/>
    <w:rsid w:val="002B19ED"/>
    <w:rsid w:val="002B2844"/>
    <w:rsid w:val="002B32A4"/>
    <w:rsid w:val="002B3BE7"/>
    <w:rsid w:val="002B5C2E"/>
    <w:rsid w:val="002B6FA5"/>
    <w:rsid w:val="002C7FE9"/>
    <w:rsid w:val="002D0DC5"/>
    <w:rsid w:val="002D4EFD"/>
    <w:rsid w:val="00307C20"/>
    <w:rsid w:val="003156B4"/>
    <w:rsid w:val="00315A97"/>
    <w:rsid w:val="00316071"/>
    <w:rsid w:val="0034039C"/>
    <w:rsid w:val="00343E5C"/>
    <w:rsid w:val="00344FB8"/>
    <w:rsid w:val="0036017B"/>
    <w:rsid w:val="00362755"/>
    <w:rsid w:val="00363729"/>
    <w:rsid w:val="00372269"/>
    <w:rsid w:val="00373B93"/>
    <w:rsid w:val="0038056E"/>
    <w:rsid w:val="00380CD1"/>
    <w:rsid w:val="00381B1E"/>
    <w:rsid w:val="003957E5"/>
    <w:rsid w:val="003961FD"/>
    <w:rsid w:val="003A02CA"/>
    <w:rsid w:val="003A096B"/>
    <w:rsid w:val="003A38F0"/>
    <w:rsid w:val="003B154D"/>
    <w:rsid w:val="003C119B"/>
    <w:rsid w:val="003C16B1"/>
    <w:rsid w:val="003C21DD"/>
    <w:rsid w:val="003F0300"/>
    <w:rsid w:val="003F069A"/>
    <w:rsid w:val="003F4329"/>
    <w:rsid w:val="00412534"/>
    <w:rsid w:val="00412C83"/>
    <w:rsid w:val="00414055"/>
    <w:rsid w:val="00417893"/>
    <w:rsid w:val="004201E6"/>
    <w:rsid w:val="00425B39"/>
    <w:rsid w:val="00426014"/>
    <w:rsid w:val="004353CE"/>
    <w:rsid w:val="00435899"/>
    <w:rsid w:val="0044032B"/>
    <w:rsid w:val="00440BC3"/>
    <w:rsid w:val="0044617E"/>
    <w:rsid w:val="00452BA9"/>
    <w:rsid w:val="00453B73"/>
    <w:rsid w:val="0046078B"/>
    <w:rsid w:val="00460B7D"/>
    <w:rsid w:val="004626EF"/>
    <w:rsid w:val="00462970"/>
    <w:rsid w:val="00463382"/>
    <w:rsid w:val="00471E19"/>
    <w:rsid w:val="00477E15"/>
    <w:rsid w:val="004809F7"/>
    <w:rsid w:val="00480CB0"/>
    <w:rsid w:val="00482FBB"/>
    <w:rsid w:val="00483603"/>
    <w:rsid w:val="0049282B"/>
    <w:rsid w:val="004A1EAD"/>
    <w:rsid w:val="004A47BE"/>
    <w:rsid w:val="004B34EA"/>
    <w:rsid w:val="004B5494"/>
    <w:rsid w:val="004C3D66"/>
    <w:rsid w:val="004C5C2E"/>
    <w:rsid w:val="004C7A2B"/>
    <w:rsid w:val="004C7D3A"/>
    <w:rsid w:val="004D056E"/>
    <w:rsid w:val="004D6F51"/>
    <w:rsid w:val="004E106B"/>
    <w:rsid w:val="004F394A"/>
    <w:rsid w:val="005018A8"/>
    <w:rsid w:val="0050444D"/>
    <w:rsid w:val="00505A39"/>
    <w:rsid w:val="00507002"/>
    <w:rsid w:val="00511778"/>
    <w:rsid w:val="00514B4B"/>
    <w:rsid w:val="00515DED"/>
    <w:rsid w:val="005162B3"/>
    <w:rsid w:val="00522933"/>
    <w:rsid w:val="005240BF"/>
    <w:rsid w:val="0052736C"/>
    <w:rsid w:val="00535E8F"/>
    <w:rsid w:val="00537D9C"/>
    <w:rsid w:val="00540B32"/>
    <w:rsid w:val="00552EFF"/>
    <w:rsid w:val="005608E3"/>
    <w:rsid w:val="0058253B"/>
    <w:rsid w:val="00585390"/>
    <w:rsid w:val="005939A5"/>
    <w:rsid w:val="0059514D"/>
    <w:rsid w:val="005A148C"/>
    <w:rsid w:val="005A18E5"/>
    <w:rsid w:val="005B24F5"/>
    <w:rsid w:val="005B2BB1"/>
    <w:rsid w:val="005B7CD4"/>
    <w:rsid w:val="005B7FD9"/>
    <w:rsid w:val="005C58FA"/>
    <w:rsid w:val="005D108B"/>
    <w:rsid w:val="005D1185"/>
    <w:rsid w:val="005D398A"/>
    <w:rsid w:val="005F2A41"/>
    <w:rsid w:val="00603238"/>
    <w:rsid w:val="00605E78"/>
    <w:rsid w:val="006103B9"/>
    <w:rsid w:val="00616197"/>
    <w:rsid w:val="00616B09"/>
    <w:rsid w:val="00617BB8"/>
    <w:rsid w:val="00617FB4"/>
    <w:rsid w:val="006300BF"/>
    <w:rsid w:val="00630221"/>
    <w:rsid w:val="00631CB1"/>
    <w:rsid w:val="00632207"/>
    <w:rsid w:val="0063290F"/>
    <w:rsid w:val="0063491C"/>
    <w:rsid w:val="00641A5C"/>
    <w:rsid w:val="006446F7"/>
    <w:rsid w:val="006505DE"/>
    <w:rsid w:val="00650D3F"/>
    <w:rsid w:val="00656A79"/>
    <w:rsid w:val="0065732D"/>
    <w:rsid w:val="00661AFE"/>
    <w:rsid w:val="00672D50"/>
    <w:rsid w:val="00677707"/>
    <w:rsid w:val="00680F19"/>
    <w:rsid w:val="00683B2C"/>
    <w:rsid w:val="00686D02"/>
    <w:rsid w:val="006913B1"/>
    <w:rsid w:val="00696B9C"/>
    <w:rsid w:val="006A07CF"/>
    <w:rsid w:val="006A0FB5"/>
    <w:rsid w:val="006A588F"/>
    <w:rsid w:val="006B60D4"/>
    <w:rsid w:val="006B6D87"/>
    <w:rsid w:val="006C1663"/>
    <w:rsid w:val="006C1F10"/>
    <w:rsid w:val="006C5193"/>
    <w:rsid w:val="006E56F6"/>
    <w:rsid w:val="006E5E28"/>
    <w:rsid w:val="006E6574"/>
    <w:rsid w:val="00704F39"/>
    <w:rsid w:val="00706721"/>
    <w:rsid w:val="00706B1C"/>
    <w:rsid w:val="00714CF2"/>
    <w:rsid w:val="00714D9A"/>
    <w:rsid w:val="00715003"/>
    <w:rsid w:val="007156B9"/>
    <w:rsid w:val="00720817"/>
    <w:rsid w:val="00721099"/>
    <w:rsid w:val="00722850"/>
    <w:rsid w:val="00726736"/>
    <w:rsid w:val="00726796"/>
    <w:rsid w:val="00733471"/>
    <w:rsid w:val="0073353F"/>
    <w:rsid w:val="00735A91"/>
    <w:rsid w:val="00736859"/>
    <w:rsid w:val="00736F1A"/>
    <w:rsid w:val="00742E45"/>
    <w:rsid w:val="007447AF"/>
    <w:rsid w:val="00747CAF"/>
    <w:rsid w:val="00750816"/>
    <w:rsid w:val="00750A4F"/>
    <w:rsid w:val="00754F17"/>
    <w:rsid w:val="00754F9F"/>
    <w:rsid w:val="0075703F"/>
    <w:rsid w:val="0076006E"/>
    <w:rsid w:val="007657C1"/>
    <w:rsid w:val="00770B95"/>
    <w:rsid w:val="007742C7"/>
    <w:rsid w:val="00775070"/>
    <w:rsid w:val="007771AB"/>
    <w:rsid w:val="0077755F"/>
    <w:rsid w:val="007A1A46"/>
    <w:rsid w:val="007A406D"/>
    <w:rsid w:val="007A62B0"/>
    <w:rsid w:val="007A7275"/>
    <w:rsid w:val="007B7260"/>
    <w:rsid w:val="007B7B3F"/>
    <w:rsid w:val="007B7EDA"/>
    <w:rsid w:val="007C3888"/>
    <w:rsid w:val="007C5604"/>
    <w:rsid w:val="007C5A0C"/>
    <w:rsid w:val="007C6864"/>
    <w:rsid w:val="007D36F1"/>
    <w:rsid w:val="007D5E66"/>
    <w:rsid w:val="007E0FEE"/>
    <w:rsid w:val="007E591E"/>
    <w:rsid w:val="007E7FA2"/>
    <w:rsid w:val="007F2017"/>
    <w:rsid w:val="008033AC"/>
    <w:rsid w:val="0080390E"/>
    <w:rsid w:val="00814545"/>
    <w:rsid w:val="008159CF"/>
    <w:rsid w:val="00816A74"/>
    <w:rsid w:val="00816E05"/>
    <w:rsid w:val="008223C9"/>
    <w:rsid w:val="00831A29"/>
    <w:rsid w:val="008321BA"/>
    <w:rsid w:val="008339BB"/>
    <w:rsid w:val="00846C3A"/>
    <w:rsid w:val="0085001C"/>
    <w:rsid w:val="00861ADB"/>
    <w:rsid w:val="0086259F"/>
    <w:rsid w:val="0086330E"/>
    <w:rsid w:val="00863BE2"/>
    <w:rsid w:val="0086419A"/>
    <w:rsid w:val="00865E55"/>
    <w:rsid w:val="00866BE2"/>
    <w:rsid w:val="0087023B"/>
    <w:rsid w:val="00895969"/>
    <w:rsid w:val="008A01C1"/>
    <w:rsid w:val="008A08BF"/>
    <w:rsid w:val="008A179F"/>
    <w:rsid w:val="008A2060"/>
    <w:rsid w:val="008A568A"/>
    <w:rsid w:val="008B0864"/>
    <w:rsid w:val="008B175A"/>
    <w:rsid w:val="008B7235"/>
    <w:rsid w:val="008C3CB7"/>
    <w:rsid w:val="008C7413"/>
    <w:rsid w:val="008D16B7"/>
    <w:rsid w:val="008E2EF1"/>
    <w:rsid w:val="008E403E"/>
    <w:rsid w:val="008E6AE6"/>
    <w:rsid w:val="008E780F"/>
    <w:rsid w:val="008F0116"/>
    <w:rsid w:val="008F143D"/>
    <w:rsid w:val="008F1440"/>
    <w:rsid w:val="008F577B"/>
    <w:rsid w:val="0090142C"/>
    <w:rsid w:val="00905254"/>
    <w:rsid w:val="00906D8B"/>
    <w:rsid w:val="00925738"/>
    <w:rsid w:val="00931368"/>
    <w:rsid w:val="00932865"/>
    <w:rsid w:val="0093322B"/>
    <w:rsid w:val="00933859"/>
    <w:rsid w:val="00943A74"/>
    <w:rsid w:val="00963618"/>
    <w:rsid w:val="00963D0D"/>
    <w:rsid w:val="00967351"/>
    <w:rsid w:val="0098138E"/>
    <w:rsid w:val="0098655A"/>
    <w:rsid w:val="0099069F"/>
    <w:rsid w:val="009914D0"/>
    <w:rsid w:val="009916F8"/>
    <w:rsid w:val="00995160"/>
    <w:rsid w:val="009A0DB3"/>
    <w:rsid w:val="009A6E36"/>
    <w:rsid w:val="009B0BED"/>
    <w:rsid w:val="009B16A4"/>
    <w:rsid w:val="009B4F0B"/>
    <w:rsid w:val="009C258B"/>
    <w:rsid w:val="009C4D80"/>
    <w:rsid w:val="009E1B06"/>
    <w:rsid w:val="009E6052"/>
    <w:rsid w:val="009E7C7F"/>
    <w:rsid w:val="009F4AE3"/>
    <w:rsid w:val="00A17CE0"/>
    <w:rsid w:val="00A17D21"/>
    <w:rsid w:val="00A21311"/>
    <w:rsid w:val="00A23D48"/>
    <w:rsid w:val="00A37EC1"/>
    <w:rsid w:val="00A42306"/>
    <w:rsid w:val="00A44E8D"/>
    <w:rsid w:val="00A46063"/>
    <w:rsid w:val="00A46843"/>
    <w:rsid w:val="00A46EA8"/>
    <w:rsid w:val="00A46FBE"/>
    <w:rsid w:val="00A55ACD"/>
    <w:rsid w:val="00A56EE7"/>
    <w:rsid w:val="00A607E2"/>
    <w:rsid w:val="00A60A0C"/>
    <w:rsid w:val="00A750F4"/>
    <w:rsid w:val="00A85D27"/>
    <w:rsid w:val="00A86B48"/>
    <w:rsid w:val="00A92E19"/>
    <w:rsid w:val="00A9758F"/>
    <w:rsid w:val="00AA5F3D"/>
    <w:rsid w:val="00AA6321"/>
    <w:rsid w:val="00AB7875"/>
    <w:rsid w:val="00AB794B"/>
    <w:rsid w:val="00AC6470"/>
    <w:rsid w:val="00AC68EE"/>
    <w:rsid w:val="00AD53A0"/>
    <w:rsid w:val="00AD64A6"/>
    <w:rsid w:val="00AE01F9"/>
    <w:rsid w:val="00AE2033"/>
    <w:rsid w:val="00AF1E7E"/>
    <w:rsid w:val="00AF5931"/>
    <w:rsid w:val="00B0107D"/>
    <w:rsid w:val="00B01F7E"/>
    <w:rsid w:val="00B0493E"/>
    <w:rsid w:val="00B04AB2"/>
    <w:rsid w:val="00B06FC4"/>
    <w:rsid w:val="00B1050C"/>
    <w:rsid w:val="00B13185"/>
    <w:rsid w:val="00B14010"/>
    <w:rsid w:val="00B16C2A"/>
    <w:rsid w:val="00B25840"/>
    <w:rsid w:val="00B30180"/>
    <w:rsid w:val="00B3087D"/>
    <w:rsid w:val="00B34794"/>
    <w:rsid w:val="00B34968"/>
    <w:rsid w:val="00B4022A"/>
    <w:rsid w:val="00B41D34"/>
    <w:rsid w:val="00B429FD"/>
    <w:rsid w:val="00B44A33"/>
    <w:rsid w:val="00B5249E"/>
    <w:rsid w:val="00B57D92"/>
    <w:rsid w:val="00B60421"/>
    <w:rsid w:val="00B619C5"/>
    <w:rsid w:val="00B81EB6"/>
    <w:rsid w:val="00B84650"/>
    <w:rsid w:val="00B87D88"/>
    <w:rsid w:val="00B91113"/>
    <w:rsid w:val="00B91FEA"/>
    <w:rsid w:val="00BA12E5"/>
    <w:rsid w:val="00BA2CD0"/>
    <w:rsid w:val="00BB0243"/>
    <w:rsid w:val="00BC035E"/>
    <w:rsid w:val="00BC0BD1"/>
    <w:rsid w:val="00BC13BD"/>
    <w:rsid w:val="00BD0BC6"/>
    <w:rsid w:val="00BD279F"/>
    <w:rsid w:val="00BE3DAE"/>
    <w:rsid w:val="00BF28D0"/>
    <w:rsid w:val="00BF4340"/>
    <w:rsid w:val="00C10B5F"/>
    <w:rsid w:val="00C16104"/>
    <w:rsid w:val="00C166B7"/>
    <w:rsid w:val="00C3291F"/>
    <w:rsid w:val="00C34B21"/>
    <w:rsid w:val="00C435BB"/>
    <w:rsid w:val="00C46A96"/>
    <w:rsid w:val="00C54621"/>
    <w:rsid w:val="00C57E66"/>
    <w:rsid w:val="00C60A32"/>
    <w:rsid w:val="00C621D2"/>
    <w:rsid w:val="00C65F0D"/>
    <w:rsid w:val="00C734C3"/>
    <w:rsid w:val="00C8404F"/>
    <w:rsid w:val="00C84ADE"/>
    <w:rsid w:val="00C878D5"/>
    <w:rsid w:val="00C9033B"/>
    <w:rsid w:val="00C913A1"/>
    <w:rsid w:val="00CB0CB6"/>
    <w:rsid w:val="00CC00FF"/>
    <w:rsid w:val="00CC6A99"/>
    <w:rsid w:val="00CC6C3D"/>
    <w:rsid w:val="00CD6E9F"/>
    <w:rsid w:val="00CE3582"/>
    <w:rsid w:val="00CE7ECB"/>
    <w:rsid w:val="00CF0296"/>
    <w:rsid w:val="00D003EA"/>
    <w:rsid w:val="00D00AA3"/>
    <w:rsid w:val="00D0504E"/>
    <w:rsid w:val="00D0515B"/>
    <w:rsid w:val="00D07497"/>
    <w:rsid w:val="00D07F73"/>
    <w:rsid w:val="00D11ED4"/>
    <w:rsid w:val="00D12EF0"/>
    <w:rsid w:val="00D1438E"/>
    <w:rsid w:val="00D14844"/>
    <w:rsid w:val="00D200CB"/>
    <w:rsid w:val="00D2041C"/>
    <w:rsid w:val="00D22FB9"/>
    <w:rsid w:val="00D25ADE"/>
    <w:rsid w:val="00D36587"/>
    <w:rsid w:val="00D43297"/>
    <w:rsid w:val="00D44DB6"/>
    <w:rsid w:val="00D50119"/>
    <w:rsid w:val="00D51806"/>
    <w:rsid w:val="00D71ED4"/>
    <w:rsid w:val="00D75CE5"/>
    <w:rsid w:val="00D77869"/>
    <w:rsid w:val="00D82A43"/>
    <w:rsid w:val="00DA38FB"/>
    <w:rsid w:val="00DA3F8A"/>
    <w:rsid w:val="00DA6CD8"/>
    <w:rsid w:val="00DA7B5D"/>
    <w:rsid w:val="00DB2EAC"/>
    <w:rsid w:val="00DB7553"/>
    <w:rsid w:val="00DE783F"/>
    <w:rsid w:val="00DF58E7"/>
    <w:rsid w:val="00DF5FB9"/>
    <w:rsid w:val="00E00BF9"/>
    <w:rsid w:val="00E03A2A"/>
    <w:rsid w:val="00E04457"/>
    <w:rsid w:val="00E11876"/>
    <w:rsid w:val="00E14213"/>
    <w:rsid w:val="00E23CBB"/>
    <w:rsid w:val="00E26B3D"/>
    <w:rsid w:val="00E32EB0"/>
    <w:rsid w:val="00E33EDC"/>
    <w:rsid w:val="00E37B59"/>
    <w:rsid w:val="00E4016E"/>
    <w:rsid w:val="00E40D0C"/>
    <w:rsid w:val="00E43D04"/>
    <w:rsid w:val="00E47FF5"/>
    <w:rsid w:val="00E5285C"/>
    <w:rsid w:val="00E53438"/>
    <w:rsid w:val="00E5449B"/>
    <w:rsid w:val="00E569B3"/>
    <w:rsid w:val="00E725FC"/>
    <w:rsid w:val="00E830DB"/>
    <w:rsid w:val="00E8518A"/>
    <w:rsid w:val="00E92B17"/>
    <w:rsid w:val="00E94775"/>
    <w:rsid w:val="00E9493F"/>
    <w:rsid w:val="00EA36C6"/>
    <w:rsid w:val="00EC30F9"/>
    <w:rsid w:val="00EC3996"/>
    <w:rsid w:val="00EC57BB"/>
    <w:rsid w:val="00EC7362"/>
    <w:rsid w:val="00ED5725"/>
    <w:rsid w:val="00ED6D79"/>
    <w:rsid w:val="00ED7031"/>
    <w:rsid w:val="00EE17D7"/>
    <w:rsid w:val="00EE3060"/>
    <w:rsid w:val="00EE4315"/>
    <w:rsid w:val="00EF1413"/>
    <w:rsid w:val="00EF6925"/>
    <w:rsid w:val="00F02719"/>
    <w:rsid w:val="00F07463"/>
    <w:rsid w:val="00F12118"/>
    <w:rsid w:val="00F125A1"/>
    <w:rsid w:val="00F13D3E"/>
    <w:rsid w:val="00F1507F"/>
    <w:rsid w:val="00F26ED3"/>
    <w:rsid w:val="00F345CA"/>
    <w:rsid w:val="00F36251"/>
    <w:rsid w:val="00F62B7A"/>
    <w:rsid w:val="00F6397D"/>
    <w:rsid w:val="00F67344"/>
    <w:rsid w:val="00F7285A"/>
    <w:rsid w:val="00F7293E"/>
    <w:rsid w:val="00F76650"/>
    <w:rsid w:val="00F77E65"/>
    <w:rsid w:val="00F877E6"/>
    <w:rsid w:val="00F87EE6"/>
    <w:rsid w:val="00F9187B"/>
    <w:rsid w:val="00F92385"/>
    <w:rsid w:val="00FA1B4F"/>
    <w:rsid w:val="00FA4876"/>
    <w:rsid w:val="00FC077F"/>
    <w:rsid w:val="00FC47F9"/>
    <w:rsid w:val="00FC4E11"/>
    <w:rsid w:val="00FC5B90"/>
    <w:rsid w:val="00FD4FC0"/>
    <w:rsid w:val="00FE2351"/>
    <w:rsid w:val="00FE337D"/>
    <w:rsid w:val="00FE5580"/>
    <w:rsid w:val="00FE5AB7"/>
    <w:rsid w:val="00FF110C"/>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D9F9A"/>
  <w15:chartTrackingRefBased/>
  <w15:docId w15:val="{3CF9C89A-4E3D-438B-89CA-5AAA7ADBA5F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113CC8"/>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587/K925/587925079.pdf" TargetMode="External" Id="R6aaaac7ecad94a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2370</ap:Words>
  <ap:Characters>13512</ap:Characters>
  <ap:Application>Microsoft Office Word</ap:Application>
  <ap:DocSecurity>0</ap:DocSecurity>
  <ap:Lines>112</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15851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2025-11-18T17:51:00Z</cp:lastPrinted>
  <dcterms:created xsi:type="dcterms:W3CDTF">2025-11-18T11:31:05Z</dcterms:created>
  <dcterms:modified xsi:type="dcterms:W3CDTF">2025-11-18T11:31:05Z</dcterms:modified>
</cp:coreProperties>
</file>