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9615F2" w14:paraId="1EC59F34" w14:textId="3D337AD3">
      <w:pPr>
        <w:tabs>
          <w:tab w:val="center" w:pos="4680"/>
          <w:tab w:val="right" w:pos="9360"/>
        </w:tabs>
        <w:spacing w:line="240" w:lineRule="auto"/>
        <w:ind w:firstLine="0"/>
      </w:pPr>
      <w:r w:rsidRPr="009615F2">
        <w:t>ALJ/TPR/cg7</w:t>
      </w:r>
      <w:r w:rsidR="00AB1C4F">
        <w:t xml:space="preserve">           </w:t>
      </w:r>
      <w:r w:rsidR="00DA7B5D">
        <w:rPr>
          <w:rFonts w:ascii="Arial" w:hAnsi="Arial" w:cs="Arial"/>
          <w:b/>
          <w:sz w:val="32"/>
          <w:szCs w:val="32"/>
        </w:rPr>
        <w:t>PROPOSED DECISION</w:t>
      </w:r>
      <w:r w:rsidR="00DA7B5D">
        <w:tab/>
      </w:r>
      <w:r w:rsidRPr="00EE4315" w:rsidR="00DA7B5D">
        <w:rPr>
          <w:b/>
        </w:rPr>
        <w:t>Agenda ID #</w:t>
      </w:r>
      <w:r w:rsidR="00B51612">
        <w:rPr>
          <w:b/>
        </w:rPr>
        <w:t>23814</w:t>
      </w:r>
      <w:r w:rsidR="00AB1C4F">
        <w:rPr>
          <w:b/>
        </w:rPr>
        <w:t xml:space="preserve"> (Rev. 1)</w:t>
      </w:r>
    </w:p>
    <w:p w:rsidR="00DA7B5D" w:rsidP="00632207" w:rsidRDefault="009615F2" w14:paraId="1E794497" w14:textId="6666B1E3">
      <w:pPr>
        <w:spacing w:line="240" w:lineRule="auto"/>
        <w:jc w:val="right"/>
        <w:rPr>
          <w:b/>
        </w:rPr>
      </w:pPr>
      <w:proofErr w:type="spellStart"/>
      <w:r>
        <w:rPr>
          <w:b/>
        </w:rPr>
        <w:t>Ratesetting</w:t>
      </w:r>
      <w:proofErr w:type="spellEnd"/>
    </w:p>
    <w:p w:rsidRPr="00EE4315" w:rsidR="006B333D" w:rsidP="00632207" w:rsidRDefault="006B333D" w14:paraId="664E15DA" w14:textId="4BC2464A">
      <w:pPr>
        <w:spacing w:line="240" w:lineRule="auto"/>
        <w:jc w:val="right"/>
        <w:rPr>
          <w:b/>
        </w:rPr>
      </w:pPr>
      <w:r>
        <w:rPr>
          <w:b/>
        </w:rPr>
        <w:t>11/20/2025 Item #9</w:t>
      </w:r>
    </w:p>
    <w:p w:rsidR="00DA7B5D" w:rsidP="008F0116" w:rsidRDefault="00DA7B5D" w14:paraId="2D491F43" w14:textId="77777777">
      <w:pPr>
        <w:ind w:firstLine="0"/>
      </w:pPr>
    </w:p>
    <w:p w:rsidRPr="005A231D" w:rsidR="00DA7B5D" w:rsidP="0098655A" w:rsidRDefault="00DA7B5D" w14:paraId="69410EFA" w14:textId="4BB14953">
      <w:pPr>
        <w:ind w:left="1080" w:hanging="1080"/>
        <w:rPr>
          <w:u w:val="single"/>
        </w:rPr>
      </w:pPr>
      <w:r>
        <w:t xml:space="preserve">Decision </w:t>
      </w:r>
      <w:r w:rsidRPr="003138B2" w:rsidR="005A231D">
        <w:rPr>
          <w:b/>
          <w:bCs/>
          <w:u w:val="single"/>
        </w:rPr>
        <w:t xml:space="preserve">PROPOSED DECISION OF ALJ </w:t>
      </w:r>
      <w:r w:rsidRPr="003138B2" w:rsidR="00F56883">
        <w:rPr>
          <w:b/>
          <w:bCs/>
          <w:u w:val="single"/>
        </w:rPr>
        <w:t>PRATT (</w:t>
      </w:r>
      <w:r w:rsidR="001A5F31">
        <w:rPr>
          <w:b/>
          <w:bCs/>
          <w:u w:val="single"/>
        </w:rPr>
        <w:t>Mailed</w:t>
      </w:r>
      <w:r w:rsidR="00A00D41">
        <w:rPr>
          <w:b/>
          <w:bCs/>
          <w:u w:val="single"/>
        </w:rPr>
        <w:t xml:space="preserve"> 10/15/2025</w:t>
      </w:r>
      <w:r w:rsidRPr="003138B2" w:rsidR="003138B2">
        <w:rPr>
          <w:b/>
          <w:bCs/>
          <w:u w:val="single"/>
        </w:rPr>
        <w:t>)</w:t>
      </w:r>
    </w:p>
    <w:p w:rsidR="00DA7B5D" w:rsidP="003138B2" w:rsidRDefault="00DA7B5D" w14:paraId="7FE86B27" w14:textId="77777777">
      <w:pPr>
        <w:spacing w:line="240" w:lineRule="auto"/>
        <w:ind w:firstLine="0"/>
        <w:rPr>
          <w:u w:val="single"/>
        </w:rPr>
      </w:pPr>
    </w:p>
    <w:p w:rsidR="00DA7B5D" w:rsidP="00BB0243" w:rsidRDefault="00DA7B5D" w14:paraId="1263AB4F"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4AFBE28" w14:textId="77777777">
      <w:pPr>
        <w:spacing w:line="240" w:lineRule="auto"/>
        <w:ind w:firstLine="0"/>
        <w:rPr>
          <w:rFonts w:ascii="Arial" w:hAnsi="Arial" w:cs="Arial"/>
          <w:sz w:val="24"/>
          <w:szCs w:val="24"/>
        </w:rPr>
      </w:pPr>
    </w:p>
    <w:p w:rsidR="00C0123F" w:rsidP="008F0116" w:rsidRDefault="00C0123F" w14:paraId="66DF398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21556A41"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6D11D4" w14:paraId="351ED0CF" w14:textId="7EDDF2BB">
            <w:pPr>
              <w:spacing w:line="240" w:lineRule="auto"/>
              <w:ind w:firstLine="0"/>
              <w:rPr>
                <w:rFonts w:cs="Arial"/>
                <w:szCs w:val="26"/>
              </w:rPr>
            </w:pPr>
            <w:r w:rsidRPr="006D11D4">
              <w:rPr>
                <w:rFonts w:cs="Arial"/>
                <w:szCs w:val="26"/>
              </w:rPr>
              <w:t>Order Instituting Rulemaking to Create a Consistent Regulatory Framework for the Guidance, Planning and Evaluation of Integrated Distributed Energy Resources</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062F68" w14:paraId="7A3D6B97" w14:textId="100BC555">
            <w:pPr>
              <w:spacing w:line="240" w:lineRule="auto"/>
              <w:ind w:firstLine="0"/>
              <w:jc w:val="center"/>
              <w:rPr>
                <w:rFonts w:cs="Arial"/>
                <w:szCs w:val="26"/>
              </w:rPr>
            </w:pPr>
            <w:r>
              <w:rPr>
                <w:rFonts w:cs="Arial"/>
                <w:szCs w:val="26"/>
              </w:rPr>
              <w:t>Rulemaking 14-10-003</w:t>
            </w:r>
          </w:p>
        </w:tc>
      </w:tr>
    </w:tbl>
    <w:p w:rsidR="00DA7B5D" w:rsidP="008F0116" w:rsidRDefault="00DA7B5D" w14:paraId="64DA16C1" w14:textId="77777777">
      <w:pPr>
        <w:spacing w:line="240" w:lineRule="auto"/>
        <w:ind w:firstLine="0"/>
        <w:rPr>
          <w:rFonts w:ascii="Arial" w:hAnsi="Arial" w:cs="Arial"/>
          <w:sz w:val="24"/>
          <w:szCs w:val="24"/>
        </w:rPr>
      </w:pPr>
    </w:p>
    <w:p w:rsidR="00DA7B5D" w:rsidP="008F0116" w:rsidRDefault="00DA7B5D" w14:paraId="1DA7CD78" w14:textId="77777777">
      <w:pPr>
        <w:spacing w:line="240" w:lineRule="auto"/>
        <w:ind w:firstLine="0"/>
        <w:rPr>
          <w:rFonts w:ascii="Arial" w:hAnsi="Arial" w:cs="Arial"/>
          <w:sz w:val="24"/>
          <w:szCs w:val="24"/>
        </w:rPr>
      </w:pPr>
    </w:p>
    <w:p w:rsidR="00F92385" w:rsidP="006D11D4" w:rsidRDefault="006D11D4" w14:paraId="2C0B5C65" w14:textId="7ABF189A">
      <w:pPr>
        <w:pStyle w:val="Dummy"/>
        <w:jc w:val="center"/>
      </w:pPr>
      <w:bookmarkStart w:name="_Toc208930038" w:id="0"/>
      <w:r>
        <w:t xml:space="preserve">DECISION </w:t>
      </w:r>
      <w:r w:rsidR="00A85511">
        <w:t xml:space="preserve">DENYING </w:t>
      </w:r>
      <w:r w:rsidR="0074593F">
        <w:t xml:space="preserve">THE </w:t>
      </w:r>
      <w:r>
        <w:t xml:space="preserve">PETITION FOR MODIFICIATION OF </w:t>
      </w:r>
      <w:r>
        <w:br/>
        <w:t>DECISION 19-05-019</w:t>
      </w:r>
      <w:bookmarkEnd w:id="0"/>
    </w:p>
    <w:p w:rsidR="005A148C" w:rsidP="005A148C" w:rsidRDefault="005A148C" w14:paraId="667B9EFB" w14:textId="77777777">
      <w:pPr>
        <w:pStyle w:val="Dummy"/>
      </w:pPr>
      <w:bookmarkStart w:name="_Toc8123714" w:id="1"/>
      <w:bookmarkStart w:name="_Toc208930039" w:id="2"/>
      <w:r>
        <w:t>Summary</w:t>
      </w:r>
      <w:bookmarkEnd w:id="1"/>
      <w:bookmarkEnd w:id="2"/>
    </w:p>
    <w:p w:rsidR="004C58EA" w:rsidP="000409B3" w:rsidRDefault="00472488" w14:paraId="49475737" w14:textId="718ECAFE">
      <w:pPr>
        <w:pStyle w:val="Standard"/>
      </w:pPr>
      <w:r>
        <w:t>This decision denies the Petition for Modification of Decision</w:t>
      </w:r>
      <w:r w:rsidR="00FB3D15">
        <w:t xml:space="preserve"> 19-05-019 </w:t>
      </w:r>
      <w:r w:rsidR="00495B4D">
        <w:t xml:space="preserve">(Petition) </w:t>
      </w:r>
      <w:r w:rsidR="00FB3D15">
        <w:t xml:space="preserve">filed by </w:t>
      </w:r>
      <w:r w:rsidR="008F3D4C">
        <w:t xml:space="preserve">the </w:t>
      </w:r>
      <w:r w:rsidR="00FB3D15">
        <w:t xml:space="preserve">California </w:t>
      </w:r>
      <w:r w:rsidR="000409B3">
        <w:t>Efficiency and Demand Management Council</w:t>
      </w:r>
      <w:r w:rsidR="000064DF">
        <w:t xml:space="preserve"> </w:t>
      </w:r>
      <w:r w:rsidR="00AD1EFF">
        <w:t xml:space="preserve">to replace </w:t>
      </w:r>
      <w:r w:rsidR="004C58EA">
        <w:t xml:space="preserve">the Total Resource Cost test with the Program Administrator Cost test as the primary test for budget allocation of Distributed Energy Resource programs. </w:t>
      </w:r>
      <w:r w:rsidR="00495B4D">
        <w:t xml:space="preserve">The Petition fails to </w:t>
      </w:r>
      <w:r w:rsidRPr="00BC37DD" w:rsidR="00495B4D">
        <w:t xml:space="preserve">meet </w:t>
      </w:r>
      <w:r w:rsidR="00AF3DF3">
        <w:t xml:space="preserve">all </w:t>
      </w:r>
      <w:r w:rsidRPr="00BC37DD" w:rsidR="00495B4D">
        <w:t xml:space="preserve">the requirements </w:t>
      </w:r>
      <w:r w:rsidR="00366014">
        <w:t xml:space="preserve">of </w:t>
      </w:r>
      <w:r w:rsidR="00495B4D">
        <w:t>Rule </w:t>
      </w:r>
      <w:r w:rsidR="002D4AAA">
        <w:t>1</w:t>
      </w:r>
      <w:r w:rsidRPr="00BC37DD" w:rsidR="00495B4D">
        <w:t>6.</w:t>
      </w:r>
      <w:r w:rsidR="00495B4D">
        <w:t xml:space="preserve">4 of the Commission’s Rules of Practice and Procedure and is denied. </w:t>
      </w:r>
    </w:p>
    <w:p w:rsidR="00472488" w:rsidP="00472488" w:rsidRDefault="00472488" w14:paraId="606522A9" w14:textId="77777777">
      <w:r>
        <w:t>This proceeding is closed.</w:t>
      </w:r>
    </w:p>
    <w:p w:rsidR="00472488" w:rsidP="00472488" w:rsidRDefault="0031579D" w14:paraId="2A7B05D0" w14:textId="032CA434">
      <w:pPr>
        <w:pStyle w:val="Heading1"/>
      </w:pPr>
      <w:bookmarkStart w:name="_Toc208930040" w:id="3"/>
      <w:r>
        <w:t xml:space="preserve">Procedural </w:t>
      </w:r>
      <w:r w:rsidR="00472488">
        <w:t>Background</w:t>
      </w:r>
      <w:bookmarkEnd w:id="3"/>
    </w:p>
    <w:p w:rsidR="00472488" w:rsidP="00472488" w:rsidRDefault="00472488" w14:paraId="6B034061" w14:textId="4AFF4A44">
      <w:pPr>
        <w:pStyle w:val="Standard"/>
      </w:pPr>
      <w:r>
        <w:t xml:space="preserve">The Commission adopted </w:t>
      </w:r>
      <w:r w:rsidRPr="004C58EA">
        <w:t>Decision (D.) 19</w:t>
      </w:r>
      <w:r w:rsidRPr="004C58EA" w:rsidR="00FB3D15">
        <w:t>-05-019</w:t>
      </w:r>
      <w:r w:rsidRPr="004C58EA">
        <w:t xml:space="preserve">, effective </w:t>
      </w:r>
      <w:r w:rsidRPr="004C58EA" w:rsidR="00ED657C">
        <w:t>May 16, 2019</w:t>
      </w:r>
      <w:r w:rsidRPr="004C58EA">
        <w:t>, in this</w:t>
      </w:r>
      <w:r w:rsidRPr="004C58EA" w:rsidR="004C58EA">
        <w:t xml:space="preserve"> integrated demand-side resource program</w:t>
      </w:r>
      <w:r w:rsidRPr="004C58EA">
        <w:t xml:space="preserve"> rulemaking</w:t>
      </w:r>
      <w:r w:rsidR="00F838DC">
        <w:t xml:space="preserve"> (R.) 14-10-003</w:t>
      </w:r>
      <w:r w:rsidRPr="004C58EA">
        <w:t>.</w:t>
      </w:r>
      <w:r>
        <w:t xml:space="preserve"> </w:t>
      </w:r>
      <w:r w:rsidR="00BE69A8">
        <w:t>D.</w:t>
      </w:r>
      <w:r w:rsidRPr="004C58EA" w:rsidR="00BE69A8">
        <w:t>19-05-019</w:t>
      </w:r>
      <w:r w:rsidR="00F434E4">
        <w:t xml:space="preserve"> a</w:t>
      </w:r>
      <w:r w:rsidRPr="00893E50" w:rsidR="00893E50">
        <w:t>dopt</w:t>
      </w:r>
      <w:r w:rsidR="00F434E4">
        <w:t>ed c</w:t>
      </w:r>
      <w:r w:rsidRPr="00893E50" w:rsidR="00893E50">
        <w:t>ost-</w:t>
      </w:r>
      <w:r w:rsidR="00F434E4">
        <w:t>e</w:t>
      </w:r>
      <w:r w:rsidRPr="00893E50" w:rsidR="00893E50">
        <w:t xml:space="preserve">ffectiveness </w:t>
      </w:r>
      <w:r w:rsidR="009F5CA5">
        <w:t>a</w:t>
      </w:r>
      <w:r w:rsidRPr="00893E50" w:rsidR="00893E50">
        <w:t xml:space="preserve">nalysis </w:t>
      </w:r>
      <w:r w:rsidR="009F5CA5">
        <w:t>f</w:t>
      </w:r>
      <w:r w:rsidRPr="00893E50" w:rsidR="00893E50">
        <w:t xml:space="preserve">ramework </w:t>
      </w:r>
      <w:r w:rsidR="009F5CA5">
        <w:t>p</w:t>
      </w:r>
      <w:r w:rsidRPr="00893E50" w:rsidR="00893E50">
        <w:t xml:space="preserve">olicies for </w:t>
      </w:r>
      <w:r w:rsidR="009F5CA5">
        <w:t>d</w:t>
      </w:r>
      <w:r w:rsidRPr="00893E50" w:rsidR="00893E50">
        <w:t xml:space="preserve">istributed </w:t>
      </w:r>
      <w:r w:rsidR="009F5CA5">
        <w:t>e</w:t>
      </w:r>
      <w:r w:rsidRPr="00893E50" w:rsidR="00893E50">
        <w:t xml:space="preserve">nergy </w:t>
      </w:r>
      <w:r w:rsidR="009F5CA5">
        <w:t>r</w:t>
      </w:r>
      <w:r w:rsidRPr="00893E50" w:rsidR="00893E50">
        <w:t>esources</w:t>
      </w:r>
      <w:r w:rsidR="00F73687">
        <w:t xml:space="preserve"> (DERs)</w:t>
      </w:r>
      <w:r w:rsidRPr="00893E50" w:rsidR="00893E50">
        <w:t xml:space="preserve">, </w:t>
      </w:r>
      <w:r w:rsidR="0068054F">
        <w:t>and</w:t>
      </w:r>
      <w:r w:rsidRPr="00893E50" w:rsidR="00893E50">
        <w:t xml:space="preserve"> order</w:t>
      </w:r>
      <w:r w:rsidR="0068054F">
        <w:t>ed</w:t>
      </w:r>
      <w:r w:rsidRPr="00893E50" w:rsidR="00893E50">
        <w:t xml:space="preserve"> that starting July 1, 2019, the </w:t>
      </w:r>
      <w:r w:rsidRPr="00893E50" w:rsidR="00893E50">
        <w:lastRenderedPageBreak/>
        <w:t xml:space="preserve">Total Resource Cost (TRC) test </w:t>
      </w:r>
      <w:r w:rsidR="0068054F">
        <w:t>would</w:t>
      </w:r>
      <w:r w:rsidRPr="00893E50" w:rsidR="00893E50">
        <w:t xml:space="preserve"> be the primary test for all Commission activities, including filings and submissions, requiring cost-effectiveness analysis of </w:t>
      </w:r>
      <w:r w:rsidR="003C191C">
        <w:t>DERs</w:t>
      </w:r>
      <w:r w:rsidRPr="00893E50" w:rsidR="00893E50">
        <w:t>, except where expressly prohibited by statute or Commission decision. In addition, D.19-05-019 order</w:t>
      </w:r>
      <w:r w:rsidR="0068054F">
        <w:t>ed</w:t>
      </w:r>
      <w:r w:rsidRPr="00893E50" w:rsidR="00893E50">
        <w:t xml:space="preserve"> that starting July 1, 2019, all Commission activities that require</w:t>
      </w:r>
      <w:r w:rsidR="00F73687">
        <w:t>d</w:t>
      </w:r>
      <w:r w:rsidRPr="00893E50" w:rsidR="00893E50">
        <w:t xml:space="preserve"> cost-effectiveness analysis of DERs </w:t>
      </w:r>
      <w:r w:rsidR="00F73687">
        <w:t>would</w:t>
      </w:r>
      <w:r w:rsidRPr="00893E50" w:rsidR="00893E50">
        <w:t xml:space="preserve"> also review and consider the results of the Program Administrator Cost </w:t>
      </w:r>
      <w:r w:rsidR="00A93FC9">
        <w:t xml:space="preserve">(PAC) </w:t>
      </w:r>
      <w:r w:rsidRPr="00893E50" w:rsidR="00893E50">
        <w:t>test and the Ratepayer Impact Measure test.</w:t>
      </w:r>
      <w:r w:rsidR="00F434E4">
        <w:t xml:space="preserve"> </w:t>
      </w:r>
    </w:p>
    <w:p w:rsidR="00472488" w:rsidP="00472488" w:rsidRDefault="007467AF" w14:paraId="369DC1A9" w14:textId="1F7A18D2">
      <w:pPr>
        <w:pStyle w:val="Standard"/>
      </w:pPr>
      <w:r>
        <w:t xml:space="preserve">The </w:t>
      </w:r>
      <w:r w:rsidR="000409B3">
        <w:t xml:space="preserve">California Efficiency and Demand Management </w:t>
      </w:r>
      <w:r w:rsidRPr="000409B3" w:rsidR="000409B3">
        <w:t>Council (Council)</w:t>
      </w:r>
      <w:r w:rsidRPr="000409B3" w:rsidR="00472488">
        <w:t xml:space="preserve"> filed a</w:t>
      </w:r>
      <w:r w:rsidR="00472488">
        <w:t xml:space="preserve"> Petition for </w:t>
      </w:r>
      <w:r w:rsidRPr="00FB3D15" w:rsidR="00472488">
        <w:t>Modification of D.19-</w:t>
      </w:r>
      <w:r w:rsidRPr="00FB3D15" w:rsidR="00FB3D15">
        <w:t>05-</w:t>
      </w:r>
      <w:r w:rsidRPr="00EB27C8" w:rsidR="00FB3D15">
        <w:t>019</w:t>
      </w:r>
      <w:r w:rsidRPr="00EB27C8" w:rsidR="00472488">
        <w:t xml:space="preserve"> on </w:t>
      </w:r>
      <w:r w:rsidRPr="00EB27C8" w:rsidR="00B820C3">
        <w:t>April</w:t>
      </w:r>
      <w:r w:rsidRPr="00EB27C8" w:rsidR="00472488">
        <w:t xml:space="preserve"> 15, 2025</w:t>
      </w:r>
      <w:r w:rsidR="00BC1BC7">
        <w:t xml:space="preserve"> (Petition)</w:t>
      </w:r>
      <w:r w:rsidRPr="00EB27C8" w:rsidR="00472488">
        <w:t>.</w:t>
      </w:r>
      <w:r w:rsidR="00472488">
        <w:t xml:space="preserve"> </w:t>
      </w:r>
    </w:p>
    <w:p w:rsidR="00472488" w:rsidP="00472488" w:rsidRDefault="005829DC" w14:paraId="5D1B400B" w14:textId="1EEC97EF">
      <w:pPr>
        <w:pStyle w:val="Standard"/>
      </w:pPr>
      <w:r>
        <w:t xml:space="preserve">Council is </w:t>
      </w:r>
      <w:r w:rsidR="006A3160">
        <w:t xml:space="preserve">a statewide trade association of non-utility energy efficiency, demand response, and distributed energy resource </w:t>
      </w:r>
      <w:r w:rsidRPr="006A3160" w:rsidR="006A3160">
        <w:t>businesses</w:t>
      </w:r>
      <w:r w:rsidRPr="006A3160">
        <w:t>. Council</w:t>
      </w:r>
      <w:r>
        <w:t xml:space="preserve"> filed the Petition to request that the TRC test be replaced with the P</w:t>
      </w:r>
      <w:r w:rsidR="00A93FC9">
        <w:t>AC</w:t>
      </w:r>
      <w:r>
        <w:t xml:space="preserve"> test as the primary test for </w:t>
      </w:r>
      <w:r w:rsidR="00F82398">
        <w:t>budget allocation</w:t>
      </w:r>
      <w:r>
        <w:t xml:space="preserve"> of </w:t>
      </w:r>
      <w:r w:rsidR="00F82398">
        <w:t>DER programs</w:t>
      </w:r>
      <w:r>
        <w:t xml:space="preserve">. </w:t>
      </w:r>
    </w:p>
    <w:p w:rsidR="00472488" w:rsidP="00784E5B" w:rsidRDefault="00BE69A8" w14:paraId="0F6BE0DB" w14:textId="1F619379">
      <w:pPr>
        <w:pStyle w:val="Standard"/>
      </w:pPr>
      <w:r>
        <w:t xml:space="preserve">Comments </w:t>
      </w:r>
      <w:r w:rsidR="005829DC">
        <w:t xml:space="preserve">to the </w:t>
      </w:r>
      <w:r w:rsidR="000D5FA8">
        <w:t>Petition</w:t>
      </w:r>
      <w:r w:rsidR="005829DC">
        <w:t xml:space="preserve"> were filed on May 15, 2025</w:t>
      </w:r>
      <w:r w:rsidR="004C58EA">
        <w:t>,</w:t>
      </w:r>
      <w:r w:rsidR="005829DC">
        <w:t xml:space="preserve"> by the Natural Resources Defense Council</w:t>
      </w:r>
      <w:r w:rsidR="00DA214C">
        <w:t xml:space="preserve"> (NRDC)</w:t>
      </w:r>
      <w:r w:rsidR="005829DC">
        <w:t>, Pacific Gas and Electric Company</w:t>
      </w:r>
      <w:r w:rsidR="00DA214C">
        <w:t xml:space="preserve"> (PG&amp;E)</w:t>
      </w:r>
      <w:r w:rsidR="005829DC">
        <w:t>, Recurve Analytics, Inc., Southern California Edison Company</w:t>
      </w:r>
      <w:r w:rsidR="00DA214C">
        <w:t xml:space="preserve"> (SCE)</w:t>
      </w:r>
      <w:r w:rsidR="005829DC">
        <w:t>, the Commission’s Public Advocates Office</w:t>
      </w:r>
      <w:r w:rsidR="00784E5B">
        <w:t xml:space="preserve"> (Cal Advocates)</w:t>
      </w:r>
      <w:r w:rsidR="005829DC">
        <w:t>, and joint</w:t>
      </w:r>
      <w:r w:rsidR="00E357BA">
        <w:t>ly</w:t>
      </w:r>
      <w:r w:rsidR="005829DC">
        <w:t xml:space="preserve"> by Southern California Gas </w:t>
      </w:r>
      <w:r w:rsidR="00654136">
        <w:t xml:space="preserve">Company </w:t>
      </w:r>
      <w:r w:rsidR="005829DC">
        <w:t>and San Diego Gas &amp; Electric Company</w:t>
      </w:r>
      <w:r w:rsidR="00DA214C">
        <w:t xml:space="preserve"> (SoCalGas and SDG&amp;E)</w:t>
      </w:r>
      <w:r w:rsidR="005829DC">
        <w:t xml:space="preserve">. </w:t>
      </w:r>
      <w:r w:rsidRPr="003009D0" w:rsidR="003009D0">
        <w:t>Council</w:t>
      </w:r>
      <w:r w:rsidRPr="003009D0" w:rsidR="00472488">
        <w:t xml:space="preserve"> did not request </w:t>
      </w:r>
      <w:r>
        <w:t xml:space="preserve">an </w:t>
      </w:r>
      <w:r w:rsidRPr="003009D0" w:rsidR="00472488">
        <w:t xml:space="preserve">opportunity to file a </w:t>
      </w:r>
      <w:r>
        <w:t>r</w:t>
      </w:r>
      <w:r w:rsidRPr="003009D0" w:rsidR="00472488">
        <w:t xml:space="preserve">eply to the </w:t>
      </w:r>
      <w:r>
        <w:t>comments</w:t>
      </w:r>
      <w:r w:rsidRPr="003009D0">
        <w:t xml:space="preserve"> </w:t>
      </w:r>
      <w:r w:rsidRPr="003009D0" w:rsidR="00472488">
        <w:t xml:space="preserve">to the Petition. </w:t>
      </w:r>
    </w:p>
    <w:p w:rsidR="00C63649" w:rsidP="00C63649" w:rsidRDefault="00C63649" w14:paraId="1420D43B" w14:textId="4287A8B4">
      <w:pPr>
        <w:pStyle w:val="Heading1"/>
      </w:pPr>
      <w:bookmarkStart w:name="_Toc208930041" w:id="4"/>
      <w:r>
        <w:t>Submission Date</w:t>
      </w:r>
      <w:bookmarkEnd w:id="4"/>
    </w:p>
    <w:p w:rsidR="00472488" w:rsidP="00472488" w:rsidRDefault="00472488" w14:paraId="389DF346" w14:textId="4AF356F9">
      <w:pPr>
        <w:pStyle w:val="Standard"/>
      </w:pPr>
      <w:r w:rsidRPr="00FF0265">
        <w:t xml:space="preserve">This matter was </w:t>
      </w:r>
      <w:r w:rsidRPr="00B820C3">
        <w:t xml:space="preserve">submitted on </w:t>
      </w:r>
      <w:r w:rsidRPr="00B820C3" w:rsidR="00B820C3">
        <w:t>May</w:t>
      </w:r>
      <w:r w:rsidRPr="00B820C3">
        <w:t xml:space="preserve"> 15, 202</w:t>
      </w:r>
      <w:r w:rsidRPr="00B820C3" w:rsidR="00B820C3">
        <w:t>5</w:t>
      </w:r>
      <w:r w:rsidRPr="00B820C3">
        <w:t>, upon</w:t>
      </w:r>
      <w:r w:rsidRPr="00FF0265">
        <w:t xml:space="preserve"> </w:t>
      </w:r>
      <w:r>
        <w:t xml:space="preserve">the filing of </w:t>
      </w:r>
      <w:r w:rsidR="00BC2285">
        <w:t xml:space="preserve">party comments </w:t>
      </w:r>
      <w:r>
        <w:t>to the Petition.</w:t>
      </w:r>
    </w:p>
    <w:p w:rsidR="00197BE6" w:rsidP="00472488" w:rsidRDefault="00197BE6" w14:paraId="0B27D671" w14:textId="77777777">
      <w:pPr>
        <w:pStyle w:val="Heading1"/>
      </w:pPr>
      <w:bookmarkStart w:name="_Toc208930042" w:id="5"/>
      <w:r>
        <w:t>Summary of Petition</w:t>
      </w:r>
      <w:bookmarkEnd w:id="5"/>
    </w:p>
    <w:p w:rsidRPr="0031579D" w:rsidR="0031579D" w:rsidP="001D2329" w:rsidRDefault="00FE5166" w14:paraId="06FC4F3F" w14:textId="19B2CAFB">
      <w:pPr>
        <w:pStyle w:val="Standard"/>
      </w:pPr>
      <w:r>
        <w:t>The Council</w:t>
      </w:r>
      <w:r w:rsidR="000064DF">
        <w:t xml:space="preserve"> </w:t>
      </w:r>
      <w:r w:rsidR="00952319">
        <w:t xml:space="preserve">requests </w:t>
      </w:r>
      <w:r w:rsidR="00F73BD5">
        <w:t xml:space="preserve">that </w:t>
      </w:r>
      <w:r w:rsidR="00952319">
        <w:t xml:space="preserve">the Commission </w:t>
      </w:r>
      <w:r w:rsidR="00654136">
        <w:t xml:space="preserve">modify </w:t>
      </w:r>
      <w:r w:rsidR="00952319">
        <w:t>D.19-0</w:t>
      </w:r>
      <w:r w:rsidR="00A93FC9">
        <w:t>5</w:t>
      </w:r>
      <w:r w:rsidR="00952319">
        <w:t>-</w:t>
      </w:r>
      <w:r w:rsidR="00A93FC9">
        <w:t>019</w:t>
      </w:r>
      <w:r w:rsidR="00952319">
        <w:t xml:space="preserve"> to require use of the </w:t>
      </w:r>
      <w:r w:rsidR="002A1588">
        <w:t>PAC</w:t>
      </w:r>
      <w:r w:rsidR="00952319">
        <w:t xml:space="preserve"> </w:t>
      </w:r>
      <w:r w:rsidR="00E21D57">
        <w:t xml:space="preserve">test, instead of the current </w:t>
      </w:r>
      <w:r w:rsidR="002A1588">
        <w:t>TRC</w:t>
      </w:r>
      <w:r w:rsidR="00E21D57">
        <w:t xml:space="preserve"> test,</w:t>
      </w:r>
      <w:r w:rsidR="00952319">
        <w:t xml:space="preserve"> </w:t>
      </w:r>
      <w:r w:rsidR="002A1588">
        <w:t>only for the allocation of</w:t>
      </w:r>
      <w:r w:rsidR="00952319">
        <w:t xml:space="preserve"> </w:t>
      </w:r>
      <w:r w:rsidR="00E21D57">
        <w:lastRenderedPageBreak/>
        <w:t xml:space="preserve">DER program </w:t>
      </w:r>
      <w:r w:rsidR="00952319">
        <w:t>budget</w:t>
      </w:r>
      <w:r w:rsidR="002A1588">
        <w:t>s</w:t>
      </w:r>
      <w:r w:rsidR="002B5518">
        <w:t>.</w:t>
      </w:r>
      <w:r w:rsidR="00E21D57">
        <w:t xml:space="preserve"> The Council explicitly states that it does not propose </w:t>
      </w:r>
      <w:r w:rsidR="002A1588">
        <w:t>replacing the TRC for other cost-effectiveness determinations, including those used in DER program selections.</w:t>
      </w:r>
    </w:p>
    <w:p w:rsidR="00472488" w:rsidP="00472488" w:rsidRDefault="00472488" w14:paraId="42DE9D2B" w14:textId="745C74F5">
      <w:pPr>
        <w:pStyle w:val="Heading1"/>
      </w:pPr>
      <w:bookmarkStart w:name="_Toc208930043" w:id="6"/>
      <w:r>
        <w:t xml:space="preserve">Issues </w:t>
      </w:r>
      <w:r w:rsidR="00873125">
        <w:t>B</w:t>
      </w:r>
      <w:r>
        <w:t>efore the Commission</w:t>
      </w:r>
      <w:bookmarkEnd w:id="6"/>
    </w:p>
    <w:p w:rsidR="00472488" w:rsidP="00472488" w:rsidRDefault="00472488" w14:paraId="4962C228" w14:textId="73BC4CE0">
      <w:pPr>
        <w:pStyle w:val="Standard"/>
      </w:pPr>
      <w:r>
        <w:t>The issues before the Commission are (a) whether the Petition complies with the requirements of Rule 16.4 of the Commission’s Rules of Practice and Procedure (Rules), and (b) whether to grant the Petition.</w:t>
      </w:r>
    </w:p>
    <w:p w:rsidR="00472488" w:rsidP="00472488" w:rsidRDefault="00472488" w14:paraId="6CBF42A2" w14:textId="4D497512">
      <w:pPr>
        <w:pStyle w:val="Standard"/>
      </w:pPr>
      <w:r>
        <w:t>As discussed below, this decision does not address the substantive question of whether to grant the Petition because the Petition fails to meet the requirements of Rule 16.4.</w:t>
      </w:r>
    </w:p>
    <w:p w:rsidR="00472488" w:rsidP="00472488" w:rsidRDefault="00472488" w14:paraId="51FA7F6C" w14:textId="19DE0FE9">
      <w:pPr>
        <w:pStyle w:val="Heading1"/>
      </w:pPr>
      <w:bookmarkStart w:name="_Toc208930044" w:id="7"/>
      <w:r>
        <w:t>Whether the Petition Meets the Requirements of Rule 16.4</w:t>
      </w:r>
      <w:bookmarkEnd w:id="7"/>
    </w:p>
    <w:p w:rsidR="007C0BB7" w:rsidP="007C0BB7" w:rsidRDefault="00B938D1" w14:paraId="265EAEE7" w14:textId="0DE81815">
      <w:pPr>
        <w:pStyle w:val="Standard"/>
      </w:pPr>
      <w:r>
        <w:t>Rule 16.4</w:t>
      </w:r>
      <w:r w:rsidR="001015E0">
        <w:t xml:space="preserve"> provides the rules for petition</w:t>
      </w:r>
      <w:r w:rsidR="00FE5166">
        <w:t>s</w:t>
      </w:r>
      <w:r w:rsidR="001015E0">
        <w:t xml:space="preserve"> for modification. </w:t>
      </w:r>
    </w:p>
    <w:p w:rsidR="00187357" w:rsidP="00472488" w:rsidRDefault="007C0BB7" w14:paraId="6055F892" w14:textId="161D1147">
      <w:pPr>
        <w:pStyle w:val="Standard"/>
      </w:pPr>
      <w:r>
        <w:t xml:space="preserve">Rule 16.4(b) requires that a petition for modification </w:t>
      </w:r>
      <w:r w:rsidR="00FE5166">
        <w:t>includes</w:t>
      </w:r>
      <w:r>
        <w:t xml:space="preserve"> proposed language for the modified decision</w:t>
      </w:r>
      <w:r w:rsidR="00E21D57">
        <w:t xml:space="preserve"> and </w:t>
      </w:r>
      <w:r>
        <w:t xml:space="preserve">clear citations to </w:t>
      </w:r>
      <w:proofErr w:type="gramStart"/>
      <w:r>
        <w:t>factual information</w:t>
      </w:r>
      <w:proofErr w:type="gramEnd"/>
      <w:r>
        <w:t xml:space="preserve"> that </w:t>
      </w:r>
      <w:r w:rsidR="00E21D57">
        <w:t xml:space="preserve">is in the proceeding record or </w:t>
      </w:r>
      <w:r>
        <w:t>may be taken under notice</w:t>
      </w:r>
      <w:r w:rsidR="00E21D57">
        <w:t>. The petitioner is also required to include</w:t>
      </w:r>
      <w:r>
        <w:t xml:space="preserve"> </w:t>
      </w:r>
      <w:r w:rsidR="00430BFA">
        <w:t>affidavits</w:t>
      </w:r>
      <w:r>
        <w:t xml:space="preserve"> or declarations to any factual allegations</w:t>
      </w:r>
      <w:r w:rsidR="00E21D57">
        <w:t xml:space="preserve"> that are raised in the </w:t>
      </w:r>
      <w:r w:rsidR="00187357">
        <w:t>p</w:t>
      </w:r>
      <w:r w:rsidR="00E21D57">
        <w:t>etition</w:t>
      </w:r>
      <w:r>
        <w:t xml:space="preserve">. </w:t>
      </w:r>
    </w:p>
    <w:p w:rsidR="00153558" w:rsidP="00472488" w:rsidRDefault="00187357" w14:paraId="1EAB8D1F" w14:textId="6C312D59">
      <w:pPr>
        <w:pStyle w:val="Standard"/>
      </w:pPr>
      <w:r>
        <w:t xml:space="preserve">Council’s </w:t>
      </w:r>
      <w:r w:rsidR="007C0BB7">
        <w:t>Petition includes proposed language</w:t>
      </w:r>
      <w:r w:rsidR="00153558">
        <w:t xml:space="preserve"> for the modified decision. The </w:t>
      </w:r>
      <w:r>
        <w:t>P</w:t>
      </w:r>
      <w:r w:rsidR="00153558">
        <w:t xml:space="preserve">etition </w:t>
      </w:r>
      <w:r w:rsidR="000064DF">
        <w:t>alleges</w:t>
      </w:r>
      <w:r w:rsidR="007C0BB7">
        <w:t xml:space="preserve"> </w:t>
      </w:r>
      <w:r w:rsidR="000064DF">
        <w:t xml:space="preserve">material </w:t>
      </w:r>
      <w:r w:rsidR="007C0BB7">
        <w:t>factual information</w:t>
      </w:r>
      <w:r w:rsidR="000064DF">
        <w:t xml:space="preserve"> outside of the proceeding record</w:t>
      </w:r>
      <w:r w:rsidR="00153558">
        <w:t xml:space="preserve"> </w:t>
      </w:r>
      <w:r w:rsidR="000064DF">
        <w:t>but does not</w:t>
      </w:r>
      <w:r w:rsidR="00153558">
        <w:t xml:space="preserve"> provide an affidavit or declaration for all</w:t>
      </w:r>
      <w:r w:rsidR="000064DF">
        <w:t xml:space="preserve"> such </w:t>
      </w:r>
      <w:r w:rsidR="00153558">
        <w:t xml:space="preserve">factual allegations, such as the claim that increased heat pump adoption will improve affordability through increased electricity </w:t>
      </w:r>
      <w:r w:rsidR="000064DF">
        <w:t>usage</w:t>
      </w:r>
      <w:r w:rsidR="00153558">
        <w:t>.</w:t>
      </w:r>
      <w:r w:rsidR="00E21D57">
        <w:rPr>
          <w:rStyle w:val="FootnoteReference"/>
        </w:rPr>
        <w:footnoteReference w:id="2"/>
      </w:r>
      <w:r w:rsidR="00153558">
        <w:t xml:space="preserve"> </w:t>
      </w:r>
      <w:r w:rsidR="002A1588">
        <w:t>Similarly, the Council proposes that the statement: “</w:t>
      </w:r>
      <w:r w:rsidRPr="002A1588" w:rsidR="002A1588">
        <w:t xml:space="preserve">The Total Resource Cost test is not the appropriate test to use for DER program budget allocation decisions because it inappropriately penalizes </w:t>
      </w:r>
      <w:r w:rsidRPr="002A1588" w:rsidR="002A1588">
        <w:lastRenderedPageBreak/>
        <w:t>measures that require significant upfront investments and constrains DER programs from contributing to Commission goals</w:t>
      </w:r>
      <w:r w:rsidR="002A1588">
        <w:t>” be added to the findings of fact in D.19-05-019 without establishing the supporting material facts and background through a declaration or affidavit.</w:t>
      </w:r>
      <w:r w:rsidR="002A1588">
        <w:rPr>
          <w:rStyle w:val="FootnoteReference"/>
        </w:rPr>
        <w:footnoteReference w:id="3"/>
      </w:r>
    </w:p>
    <w:p w:rsidR="007C0BB7" w:rsidP="00472488" w:rsidRDefault="007C0BB7" w14:paraId="2AD95720" w14:textId="68FB0E10">
      <w:pPr>
        <w:pStyle w:val="Standard"/>
      </w:pPr>
      <w:r>
        <w:t xml:space="preserve">Rule 16.4(c) requires </w:t>
      </w:r>
      <w:r w:rsidR="00E21D57">
        <w:t>the Council</w:t>
      </w:r>
      <w:r>
        <w:t xml:space="preserve"> to serve the Petition </w:t>
      </w:r>
      <w:r w:rsidR="00FE5166">
        <w:t>on</w:t>
      </w:r>
      <w:r>
        <w:t xml:space="preserve"> the service list of the subject proceeding and to any other entities or service lists if directed by the assigned </w:t>
      </w:r>
      <w:r w:rsidR="00292276">
        <w:t>Administrative Law Judge (</w:t>
      </w:r>
      <w:r>
        <w:t>ALJ</w:t>
      </w:r>
      <w:r w:rsidR="00292276">
        <w:t>)</w:t>
      </w:r>
      <w:r>
        <w:t xml:space="preserve">. The </w:t>
      </w:r>
      <w:r w:rsidR="000064DF">
        <w:t>Council</w:t>
      </w:r>
      <w:r>
        <w:t xml:space="preserve"> served the Petition to the service list of this proceeding. The Assigned ALJ did not direct any additional service of the Petition. The </w:t>
      </w:r>
      <w:r w:rsidR="000064DF">
        <w:t>Council</w:t>
      </w:r>
      <w:r>
        <w:t xml:space="preserve"> has fulfilled the requirements of Rule 16.4(c).</w:t>
      </w:r>
    </w:p>
    <w:p w:rsidR="00472488" w:rsidP="00472488" w:rsidRDefault="00472488" w14:paraId="561A273B" w14:textId="5B9842C3">
      <w:pPr>
        <w:pStyle w:val="Standard"/>
      </w:pPr>
      <w:r>
        <w:t xml:space="preserve">Rule 16.4(d) provides that a petition for modification must be filed and served within one year of the effective date of the decision proposed to be modified. If more than one year has elapsed, the petition must also explain why the petition could not have been presented within one year of the effective date of the decision. If the Commission determines that the late submission has not been justified, it </w:t>
      </w:r>
      <w:r w:rsidR="00AE0774">
        <w:t>may,</w:t>
      </w:r>
      <w:r>
        <w:t xml:space="preserve"> on that ground</w:t>
      </w:r>
      <w:r w:rsidR="003D0A00">
        <w:t>,</w:t>
      </w:r>
      <w:r>
        <w:t xml:space="preserve"> issue a summary denial of the petition.</w:t>
      </w:r>
    </w:p>
    <w:p w:rsidRPr="00D355BB" w:rsidR="00B820C3" w:rsidP="00472488" w:rsidRDefault="00B820C3" w14:paraId="2A376C21" w14:textId="1D3DB4D5">
      <w:pPr>
        <w:pStyle w:val="Standard"/>
      </w:pPr>
      <w:r w:rsidRPr="00B820C3">
        <w:t>Council</w:t>
      </w:r>
      <w:r w:rsidRPr="00B820C3" w:rsidR="00472488">
        <w:t xml:space="preserve">’s Petition was filed and served more </w:t>
      </w:r>
      <w:r w:rsidR="00D52F1C">
        <w:t xml:space="preserve">than </w:t>
      </w:r>
      <w:r w:rsidRPr="00B820C3" w:rsidR="00472488">
        <w:t xml:space="preserve">one year after the effective date of the decision it </w:t>
      </w:r>
      <w:r w:rsidRPr="00D355BB" w:rsidR="00472488">
        <w:t xml:space="preserve">proposes to modify. </w:t>
      </w:r>
      <w:r w:rsidRPr="00D355BB">
        <w:t>Council argues that its Petition could not have been filed within on</w:t>
      </w:r>
      <w:r w:rsidRPr="00D355BB" w:rsidR="00F82398">
        <w:t>e</w:t>
      </w:r>
      <w:r w:rsidRPr="00D355BB">
        <w:t xml:space="preserve"> year of D.19-05-019 because</w:t>
      </w:r>
      <w:r w:rsidRPr="00D355BB" w:rsidR="00F82398">
        <w:t xml:space="preserve"> </w:t>
      </w:r>
      <w:r w:rsidRPr="00D355BB" w:rsidR="00D355BB">
        <w:t>the Petition</w:t>
      </w:r>
      <w:r w:rsidRPr="00D355BB" w:rsidR="00F82398">
        <w:t xml:space="preserve"> is responsive to </w:t>
      </w:r>
      <w:r w:rsidR="003D0A00">
        <w:t xml:space="preserve">the </w:t>
      </w:r>
      <w:r w:rsidRPr="00D355BB" w:rsidR="00F82398">
        <w:t xml:space="preserve">governor’s </w:t>
      </w:r>
      <w:r w:rsidR="00EB27C8">
        <w:t>E</w:t>
      </w:r>
      <w:r w:rsidRPr="00D355BB" w:rsidR="00F82398">
        <w:t xml:space="preserve">xecutive </w:t>
      </w:r>
      <w:r w:rsidR="00EB27C8">
        <w:t>O</w:t>
      </w:r>
      <w:r w:rsidRPr="00D355BB" w:rsidR="00F82398">
        <w:t xml:space="preserve">rder N-5-24 issued </w:t>
      </w:r>
      <w:r w:rsidR="003D0A00">
        <w:t xml:space="preserve">in </w:t>
      </w:r>
      <w:r w:rsidR="00EB27C8">
        <w:t>October 2024</w:t>
      </w:r>
      <w:r w:rsidR="003D0A00">
        <w:t>,</w:t>
      </w:r>
      <w:r w:rsidR="00EB27C8">
        <w:rPr>
          <w:rStyle w:val="FootnoteReference"/>
        </w:rPr>
        <w:footnoteReference w:id="4"/>
      </w:r>
      <w:r w:rsidRPr="00D355BB" w:rsidR="00F82398">
        <w:t xml:space="preserve"> a state auditor’s report issued in March 2025</w:t>
      </w:r>
      <w:r w:rsidR="00B05BD0">
        <w:t>,</w:t>
      </w:r>
      <w:r w:rsidR="00EB27C8">
        <w:rPr>
          <w:rStyle w:val="FootnoteReference"/>
        </w:rPr>
        <w:footnoteReference w:id="5"/>
      </w:r>
      <w:r w:rsidRPr="00D355BB" w:rsidR="00F82398">
        <w:t xml:space="preserve"> the Commission’s reauthorization of the Market Access Program in D.23-06-</w:t>
      </w:r>
      <w:r w:rsidRPr="00D355BB" w:rsidR="00D355BB">
        <w:t>055</w:t>
      </w:r>
      <w:r w:rsidR="00182BAF">
        <w:t>,</w:t>
      </w:r>
      <w:r w:rsidR="00EB27C8">
        <w:rPr>
          <w:rStyle w:val="FootnoteReference"/>
        </w:rPr>
        <w:footnoteReference w:id="6"/>
      </w:r>
      <w:r w:rsidRPr="00D355BB" w:rsidR="00D355BB">
        <w:t xml:space="preserve"> and the </w:t>
      </w:r>
      <w:r w:rsidRPr="00D355BB" w:rsidR="00D355BB">
        <w:lastRenderedPageBreak/>
        <w:t>Commission’s recent decision regarding application of the Societ</w:t>
      </w:r>
      <w:r w:rsidR="00417650">
        <w:t>al</w:t>
      </w:r>
      <w:r w:rsidRPr="00D355BB" w:rsidR="00D355BB">
        <w:t xml:space="preserve"> Cost Test for DER programs in D.24-07-015.</w:t>
      </w:r>
      <w:r w:rsidR="00EB27C8">
        <w:rPr>
          <w:rStyle w:val="FootnoteReference"/>
        </w:rPr>
        <w:footnoteReference w:id="7"/>
      </w:r>
    </w:p>
    <w:p w:rsidR="00EA2F01" w:rsidP="00CC0E07" w:rsidRDefault="00EA2F01" w14:paraId="06E3C895" w14:textId="1D109C18">
      <w:pPr>
        <w:pStyle w:val="Heading2"/>
        <w:ind w:hanging="360"/>
      </w:pPr>
      <w:bookmarkStart w:name="_Toc208930045" w:id="8"/>
      <w:r>
        <w:t xml:space="preserve">Party </w:t>
      </w:r>
      <w:r w:rsidR="00430BFA">
        <w:t>Responses</w:t>
      </w:r>
      <w:bookmarkEnd w:id="8"/>
    </w:p>
    <w:p w:rsidR="00323C16" w:rsidP="00472488" w:rsidRDefault="00323C16" w14:paraId="40FD02C2" w14:textId="70C24C12">
      <w:pPr>
        <w:pStyle w:val="Standard"/>
      </w:pPr>
      <w:r>
        <w:t>Cal Advocates, PG&amp;E, SCE, SoCalGas and SDG&amp;E all oppose granting the Petition.</w:t>
      </w:r>
    </w:p>
    <w:p w:rsidR="00E24AFA" w:rsidP="00472488" w:rsidRDefault="00472488" w14:paraId="1655F90D" w14:textId="55768EF2">
      <w:pPr>
        <w:pStyle w:val="Standard"/>
      </w:pPr>
      <w:r w:rsidRPr="00B820C3">
        <w:t xml:space="preserve">Cal Advocates </w:t>
      </w:r>
      <w:r w:rsidR="0008609D">
        <w:t>argu</w:t>
      </w:r>
      <w:r w:rsidR="00323C16">
        <w:t xml:space="preserve">es that the </w:t>
      </w:r>
      <w:r w:rsidR="00F9368B">
        <w:t xml:space="preserve">Petition </w:t>
      </w:r>
      <w:r w:rsidRPr="00B820C3">
        <w:t xml:space="preserve">fails to comply with Rule 16.4(d) </w:t>
      </w:r>
      <w:r w:rsidR="00EB27C8">
        <w:t>as</w:t>
      </w:r>
      <w:r w:rsidRPr="00B820C3">
        <w:t xml:space="preserve"> </w:t>
      </w:r>
      <w:r w:rsidR="00095E0A">
        <w:t>seeking to modify a past decision (D.19-05-019) that has recently been modified by a subsequent decision (D.24-07-019) does not demonstrate that the Petition could</w:t>
      </w:r>
      <w:r w:rsidR="00EB27C8">
        <w:t xml:space="preserve"> not</w:t>
      </w:r>
      <w:r w:rsidR="00095E0A">
        <w:t xml:space="preserve"> have been filed within a year of the decision (D.19-05-019)</w:t>
      </w:r>
      <w:r w:rsidR="00D355BB">
        <w:t>.</w:t>
      </w:r>
      <w:r w:rsidR="00BC10FB">
        <w:rPr>
          <w:rStyle w:val="FootnoteReference"/>
        </w:rPr>
        <w:footnoteReference w:id="8"/>
      </w:r>
      <w:r w:rsidR="00D355BB">
        <w:t xml:space="preserve"> Cal Advocates </w:t>
      </w:r>
      <w:r w:rsidR="00EB27C8">
        <w:t xml:space="preserve">also </w:t>
      </w:r>
      <w:r w:rsidR="00D355BB">
        <w:t>argues that Council</w:t>
      </w:r>
      <w:r w:rsidR="00095E0A">
        <w:t xml:space="preserve"> has had </w:t>
      </w:r>
      <w:r w:rsidR="00E24AFA">
        <w:t xml:space="preserve">the </w:t>
      </w:r>
      <w:r w:rsidR="00095E0A">
        <w:t xml:space="preserve">opportunity to raise its concerns in course of reaching D.24-07-019. </w:t>
      </w:r>
    </w:p>
    <w:p w:rsidR="00323C16" w:rsidP="00323C16" w:rsidRDefault="00323C16" w14:paraId="2863B3D4" w14:textId="0EC6BEF5">
      <w:pPr>
        <w:pStyle w:val="Standard"/>
      </w:pPr>
      <w:r>
        <w:t>PG&amp;E</w:t>
      </w:r>
      <w:r w:rsidRPr="0008609D">
        <w:t xml:space="preserve"> </w:t>
      </w:r>
      <w:r>
        <w:t xml:space="preserve">opposes </w:t>
      </w:r>
      <w:r w:rsidR="00976FA0">
        <w:t>using the</w:t>
      </w:r>
      <w:r>
        <w:t xml:space="preserve"> Petition</w:t>
      </w:r>
      <w:r w:rsidR="006936FD">
        <w:t xml:space="preserve"> to address the broader issues </w:t>
      </w:r>
      <w:r w:rsidR="00814BE6">
        <w:t xml:space="preserve">of </w:t>
      </w:r>
      <w:r>
        <w:t xml:space="preserve">affordability and cost-effectiveness </w:t>
      </w:r>
      <w:r w:rsidR="00FF1723">
        <w:t xml:space="preserve">and recommends that the </w:t>
      </w:r>
      <w:r w:rsidR="00814BE6">
        <w:t>Commission</w:t>
      </w:r>
      <w:r w:rsidR="00FF1723">
        <w:t xml:space="preserve"> address these issues in the </w:t>
      </w:r>
      <w:r w:rsidR="00814BE6">
        <w:t>Integrated</w:t>
      </w:r>
      <w:r w:rsidR="00FF1723">
        <w:t xml:space="preserve"> Distributed Energy Resources</w:t>
      </w:r>
      <w:r w:rsidR="00716418">
        <w:t xml:space="preserve"> successor proceeding, Rulemaking 22-11-013 (Customer Programs OIR), </w:t>
      </w:r>
      <w:r w:rsidR="00814BE6">
        <w:t>or Rulemaking 25-04-010 (Energy Efficiency)</w:t>
      </w:r>
      <w:r>
        <w:t xml:space="preserve">. </w:t>
      </w:r>
    </w:p>
    <w:p w:rsidR="00323C16" w:rsidP="00323C16" w:rsidRDefault="00323C16" w14:paraId="4354C766" w14:textId="3B3B1092">
      <w:pPr>
        <w:pStyle w:val="Standard"/>
      </w:pPr>
      <w:r>
        <w:t>SCE</w:t>
      </w:r>
      <w:r w:rsidRPr="0008609D">
        <w:t xml:space="preserve"> </w:t>
      </w:r>
      <w:r>
        <w:t>disagrees with the solution and modifications proposed by the Council and not</w:t>
      </w:r>
      <w:r w:rsidR="007F228E">
        <w:t>es</w:t>
      </w:r>
      <w:r>
        <w:t xml:space="preserve"> the dated nature of the record of this proceeding when compared to other current proceedings that SCE argues could consider the Council’s concerns. </w:t>
      </w:r>
    </w:p>
    <w:p w:rsidR="00323C16" w:rsidP="00323C16" w:rsidRDefault="00323C16" w14:paraId="26727D55" w14:textId="26DA767A">
      <w:pPr>
        <w:pStyle w:val="Standard"/>
      </w:pPr>
      <w:r>
        <w:t>SoCalGas and SDG&amp;E</w:t>
      </w:r>
      <w:r w:rsidRPr="0008609D">
        <w:t xml:space="preserve"> </w:t>
      </w:r>
      <w:r w:rsidR="007F228E">
        <w:t>state that</w:t>
      </w:r>
      <w:r>
        <w:t xml:space="preserve"> the Petition does not comply with Rule 16.4(b) and </w:t>
      </w:r>
      <w:r w:rsidR="007F228E">
        <w:t xml:space="preserve">note that </w:t>
      </w:r>
      <w:r>
        <w:t xml:space="preserve">the concerns raised in the </w:t>
      </w:r>
      <w:r w:rsidR="007F228E">
        <w:t>P</w:t>
      </w:r>
      <w:r>
        <w:t>etition have</w:t>
      </w:r>
      <w:r w:rsidR="007F228E">
        <w:t xml:space="preserve"> already</w:t>
      </w:r>
      <w:r>
        <w:t xml:space="preserve"> been considered in other proceedings and more recent Commission decisions.</w:t>
      </w:r>
    </w:p>
    <w:p w:rsidR="007F228E" w:rsidP="007F228E" w:rsidRDefault="007F228E" w14:paraId="16B31BE9" w14:textId="6027C358">
      <w:pPr>
        <w:pStyle w:val="Standard"/>
      </w:pPr>
      <w:r>
        <w:lastRenderedPageBreak/>
        <w:t>NRDC</w:t>
      </w:r>
      <w:r w:rsidRPr="007F228E">
        <w:t xml:space="preserve"> </w:t>
      </w:r>
      <w:r>
        <w:t>and Recurve Analytics, Inc. support granting the Petition.</w:t>
      </w:r>
    </w:p>
    <w:p w:rsidR="00F7518F" w:rsidP="00472488" w:rsidRDefault="00DA214C" w14:paraId="77D8B733" w14:textId="1CB9D810">
      <w:pPr>
        <w:pStyle w:val="Standard"/>
      </w:pPr>
      <w:r>
        <w:t>NRDC</w:t>
      </w:r>
      <w:r w:rsidR="0008609D">
        <w:t xml:space="preserve"> supports the Petition</w:t>
      </w:r>
      <w:r w:rsidR="0084033D">
        <w:t xml:space="preserve"> </w:t>
      </w:r>
      <w:r w:rsidR="00D47250">
        <w:t>and encourages application of the PAC test standard at the program level.</w:t>
      </w:r>
    </w:p>
    <w:p w:rsidR="00F7518F" w:rsidP="00472488" w:rsidRDefault="00F7518F" w14:paraId="4DCD9FB0" w14:textId="1BB51184">
      <w:pPr>
        <w:pStyle w:val="Standard"/>
      </w:pPr>
      <w:r>
        <w:t>Recurve Analytics, Inc.,</w:t>
      </w:r>
      <w:r w:rsidRPr="0008609D" w:rsidR="0008609D">
        <w:t xml:space="preserve"> </w:t>
      </w:r>
      <w:r w:rsidR="0008609D">
        <w:t xml:space="preserve">supports the Petition </w:t>
      </w:r>
      <w:r w:rsidR="00111621">
        <w:t>and argues that the current TRC test unintentionally curtails private investment in DERs.</w:t>
      </w:r>
    </w:p>
    <w:p w:rsidR="00EA2F01" w:rsidP="00CC0E07" w:rsidRDefault="00EA2F01" w14:paraId="6543B2D3" w14:textId="306B76C2">
      <w:pPr>
        <w:pStyle w:val="Heading2"/>
        <w:ind w:hanging="360"/>
      </w:pPr>
      <w:bookmarkStart w:name="_Toc208930046" w:id="9"/>
      <w:r>
        <w:t>Discussion</w:t>
      </w:r>
      <w:bookmarkEnd w:id="9"/>
    </w:p>
    <w:p w:rsidR="00153558" w:rsidP="00472488" w:rsidRDefault="00153558" w14:paraId="0011E479" w14:textId="63C466D0">
      <w:pPr>
        <w:pStyle w:val="Standard"/>
      </w:pPr>
      <w:r>
        <w:t>We agree with SoCalGas and SDG&amp;E that the Petition</w:t>
      </w:r>
      <w:r w:rsidR="000064DF">
        <w:t xml:space="preserve"> fails to meet the requirements of Rule 16.4(b). The Council</w:t>
      </w:r>
      <w:r>
        <w:t xml:space="preserve"> alleges material facts with respect to the consequences of proposed modifications</w:t>
      </w:r>
      <w:r w:rsidR="000064DF">
        <w:t xml:space="preserve"> without a clear declaration</w:t>
      </w:r>
      <w:r w:rsidR="002A1588">
        <w:t xml:space="preserve"> or </w:t>
      </w:r>
      <w:r w:rsidR="000064DF">
        <w:t>affidavit to support those material facts</w:t>
      </w:r>
      <w:r>
        <w:t xml:space="preserve">. </w:t>
      </w:r>
      <w:r w:rsidR="00E77A72">
        <w:t>While this may be a repairable defect of the Petition, such repairs would be moot due to failure of the Petition to meet the requirements of Rule 16.4(d), as discussed below.</w:t>
      </w:r>
    </w:p>
    <w:p w:rsidR="00095E0A" w:rsidP="00472488" w:rsidRDefault="00EB27C8" w14:paraId="0CAD39B5" w14:textId="3B12E77B">
      <w:pPr>
        <w:pStyle w:val="Standard"/>
      </w:pPr>
      <w:r>
        <w:t>We agree with Cal Advocates</w:t>
      </w:r>
      <w:r w:rsidR="001B0006">
        <w:t>, PG&amp;E, SCE, and SoCalGas and SDG&amp;E</w:t>
      </w:r>
      <w:r>
        <w:t xml:space="preserve"> </w:t>
      </w:r>
      <w:r w:rsidR="008115C8">
        <w:t>that the Petition</w:t>
      </w:r>
      <w:r w:rsidRPr="00B820C3" w:rsidR="008115C8">
        <w:t xml:space="preserve"> </w:t>
      </w:r>
      <w:r w:rsidR="008115C8">
        <w:t>fails to meet the requirements of</w:t>
      </w:r>
      <w:r w:rsidRPr="00B820C3" w:rsidR="008115C8">
        <w:t xml:space="preserve"> Rule 16.4(d)</w:t>
      </w:r>
      <w:r>
        <w:t>.</w:t>
      </w:r>
    </w:p>
    <w:p w:rsidRPr="001E39BA" w:rsidR="004C58EA" w:rsidP="001E39BA" w:rsidRDefault="00892CAD" w14:paraId="2A233347" w14:textId="5BD7D3F9">
      <w:pPr>
        <w:pStyle w:val="Standard"/>
        <w:rPr>
          <w:highlight w:val="yellow"/>
        </w:rPr>
      </w:pPr>
      <w:r>
        <w:t>The</w:t>
      </w:r>
      <w:r w:rsidR="004C58EA">
        <w:t xml:space="preserve"> policy considerations enacted by entities outside the Commission, such as the Governor’s </w:t>
      </w:r>
      <w:r w:rsidRPr="001E39BA" w:rsidR="004C58EA">
        <w:t>Executive Order N-5-</w:t>
      </w:r>
      <w:r w:rsidRPr="001E39BA" w:rsidR="00FE5166">
        <w:t>24,</w:t>
      </w:r>
      <w:r w:rsidRPr="001E39BA" w:rsidR="004C58EA">
        <w:t xml:space="preserve"> do not</w:t>
      </w:r>
      <w:r w:rsidR="004C494A">
        <w:t>, in this situation,</w:t>
      </w:r>
      <w:r w:rsidRPr="001E39BA" w:rsidR="004C58EA">
        <w:t xml:space="preserve"> constitute substantive factual evidence of shortcomings of</w:t>
      </w:r>
      <w:r w:rsidR="00EA2F01">
        <w:t xml:space="preserve"> D.19-05-019</w:t>
      </w:r>
      <w:r w:rsidRPr="001E39BA" w:rsidR="004C58EA">
        <w:t xml:space="preserve">. </w:t>
      </w:r>
      <w:r w:rsidRPr="001E39BA" w:rsidR="00D679F0">
        <w:t xml:space="preserve">The State Auditor’s report, while identifying potential shortcomings of the Commission’s programs, does not provide explicit evidence that </w:t>
      </w:r>
      <w:r w:rsidR="00C2766B">
        <w:t>D.19-05-019</w:t>
      </w:r>
      <w:r w:rsidRPr="001E39BA" w:rsidR="00D679F0">
        <w:t xml:space="preserve"> was made in error</w:t>
      </w:r>
      <w:r w:rsidR="00C2766B">
        <w:t>, was</w:t>
      </w:r>
      <w:r w:rsidRPr="001E39BA" w:rsidR="00D679F0">
        <w:t xml:space="preserve"> based upon erroneous evidence</w:t>
      </w:r>
      <w:r w:rsidR="00C2766B">
        <w:t>, or requires specific modifications to ensure functionality</w:t>
      </w:r>
      <w:r w:rsidRPr="001E39BA" w:rsidR="004C58EA">
        <w:t>.</w:t>
      </w:r>
    </w:p>
    <w:p w:rsidR="00472488" w:rsidP="00472488" w:rsidRDefault="00400C7A" w14:paraId="1C4D555F" w14:textId="03AA52BB">
      <w:pPr>
        <w:pStyle w:val="Standard"/>
      </w:pPr>
      <w:r>
        <w:t xml:space="preserve">Lastly, </w:t>
      </w:r>
      <w:r w:rsidR="0064573E">
        <w:t xml:space="preserve">the </w:t>
      </w:r>
      <w:r w:rsidR="002024CA">
        <w:t xml:space="preserve">Council </w:t>
      </w:r>
      <w:r w:rsidRPr="00B820C3" w:rsidR="00472488">
        <w:t>fail</w:t>
      </w:r>
      <w:r w:rsidR="002024CA">
        <w:t>ed</w:t>
      </w:r>
      <w:r w:rsidRPr="00B820C3" w:rsidR="00472488">
        <w:t xml:space="preserve"> to provide sufficient justification for why it could not have filed a petition for modification with this argument within one year of the effective date of D.</w:t>
      </w:r>
      <w:r w:rsidR="00B820C3">
        <w:t>19-05-019</w:t>
      </w:r>
      <w:r w:rsidRPr="00B820C3" w:rsidR="00472488">
        <w:t>.</w:t>
      </w:r>
      <w:r w:rsidR="001B0006">
        <w:t xml:space="preserve"> Since that time, the Commission has reached a subsequent decision, D.24-07-015, where the Council had </w:t>
      </w:r>
      <w:r w:rsidR="00FE5166">
        <w:t>the opportunity</w:t>
      </w:r>
      <w:r w:rsidR="001B0006">
        <w:t xml:space="preserve"> to raise </w:t>
      </w:r>
      <w:r w:rsidR="001B0006">
        <w:lastRenderedPageBreak/>
        <w:t>its concerns, and where the Commission confirmed its use of the TRC as its primary cost effectiveness test.</w:t>
      </w:r>
    </w:p>
    <w:p w:rsidR="00472488" w:rsidP="00472488" w:rsidRDefault="00472488" w14:paraId="5DD0F015" w14:textId="5F4728F5">
      <w:pPr>
        <w:pStyle w:val="Standard"/>
      </w:pPr>
      <w:proofErr w:type="gramStart"/>
      <w:r>
        <w:t>The Petition</w:t>
      </w:r>
      <w:proofErr w:type="gramEnd"/>
      <w:r>
        <w:t xml:space="preserve"> fails to comply with </w:t>
      </w:r>
      <w:r w:rsidR="0064573E">
        <w:t xml:space="preserve">all </w:t>
      </w:r>
      <w:r>
        <w:t xml:space="preserve">the requirements of Rule 16.4 and </w:t>
      </w:r>
      <w:r w:rsidR="00EA2F01">
        <w:t>is</w:t>
      </w:r>
      <w:r w:rsidR="002024CA">
        <w:t xml:space="preserve"> therefore</w:t>
      </w:r>
      <w:r>
        <w:t xml:space="preserve"> denied.</w:t>
      </w:r>
    </w:p>
    <w:p w:rsidR="00603238" w:rsidP="00FA1B4F" w:rsidRDefault="00603238" w14:paraId="43F29D7D" w14:textId="77777777">
      <w:pPr>
        <w:pStyle w:val="Heading1"/>
      </w:pPr>
      <w:bookmarkStart w:name="_Toc208930047" w:id="10"/>
      <w:bookmarkStart w:name="_Toc8123721" w:id="11"/>
      <w:r>
        <w:t>Summary of Public Comment</w:t>
      </w:r>
      <w:bookmarkEnd w:id="10"/>
    </w:p>
    <w:p w:rsidR="00603238" w:rsidP="00284D8D" w:rsidRDefault="00603238" w14:paraId="3D874C47" w14:textId="10ABBB33">
      <w:r w:rsidRPr="0077451C">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77451C">
        <w:t xml:space="preserve"> </w:t>
      </w:r>
    </w:p>
    <w:p w:rsidR="00B820C3" w:rsidP="00EB27C8" w:rsidRDefault="0077451C" w14:paraId="0D986490" w14:textId="2DF46D78">
      <w:r>
        <w:t xml:space="preserve">One comment was submitted by Mike Specian, on behalf of the American Council for an Energy-Efficient Economy, generally </w:t>
      </w:r>
      <w:r w:rsidR="00FB3D15">
        <w:t xml:space="preserve">reiterating and </w:t>
      </w:r>
      <w:r>
        <w:t xml:space="preserve">supporting the </w:t>
      </w:r>
      <w:r w:rsidR="00483CF2">
        <w:t>Petition</w:t>
      </w:r>
      <w:r>
        <w:t>.</w:t>
      </w:r>
    </w:p>
    <w:p w:rsidR="005939A5" w:rsidP="005939A5" w:rsidRDefault="005939A5" w14:paraId="28BC9343" w14:textId="77777777">
      <w:pPr>
        <w:pStyle w:val="Heading1"/>
      </w:pPr>
      <w:bookmarkStart w:name="_Toc8123723" w:id="12"/>
      <w:bookmarkStart w:name="_Toc208930048" w:id="13"/>
      <w:bookmarkEnd w:id="11"/>
      <w:r>
        <w:t>Comments on Proposed Decision</w:t>
      </w:r>
      <w:bookmarkEnd w:id="12"/>
      <w:bookmarkEnd w:id="13"/>
    </w:p>
    <w:p w:rsidRPr="00B820C3" w:rsidR="005939A5" w:rsidP="00B820C3" w:rsidRDefault="005C58FA" w14:paraId="39181DCA" w14:textId="51E70D77">
      <w:pPr>
        <w:pStyle w:val="Standard"/>
        <w:rPr>
          <w:highlight w:val="yellow"/>
        </w:rPr>
      </w:pPr>
      <w:r w:rsidRPr="00B820C3">
        <w:t>The proposed decision of A</w:t>
      </w:r>
      <w:r w:rsidR="00483CF2">
        <w:t xml:space="preserve">dministrative </w:t>
      </w:r>
      <w:r w:rsidRPr="00B820C3">
        <w:t>L</w:t>
      </w:r>
      <w:r w:rsidR="00483CF2">
        <w:t xml:space="preserve">aw </w:t>
      </w:r>
      <w:r w:rsidRPr="00B820C3">
        <w:t>J</w:t>
      </w:r>
      <w:r w:rsidR="00483CF2">
        <w:t>udge</w:t>
      </w:r>
      <w:r w:rsidRPr="00B820C3">
        <w:t xml:space="preserve"> </w:t>
      </w:r>
      <w:r w:rsidRPr="00B820C3" w:rsidR="00B820C3">
        <w:t xml:space="preserve">Trevor Pratt </w:t>
      </w:r>
      <w:r w:rsidRPr="00B820C3">
        <w:t>in this matter was mailed to the parties in accordance with Section 311 of the Public</w:t>
      </w:r>
      <w:r>
        <w:t xml:space="preserve"> Utilities Code and comments were allowed under Rule 14.3 of the Commission’s Rules of Practice and Procedure. </w:t>
      </w:r>
      <w:r w:rsidR="00F235B6">
        <w:t>No comments were filed.</w:t>
      </w:r>
    </w:p>
    <w:p w:rsidR="005939A5" w:rsidP="005939A5" w:rsidRDefault="005939A5" w14:paraId="6D3BA718" w14:textId="77777777">
      <w:pPr>
        <w:pStyle w:val="Heading1"/>
      </w:pPr>
      <w:bookmarkStart w:name="_Toc8123724" w:id="14"/>
      <w:bookmarkStart w:name="_Toc208930049" w:id="15"/>
      <w:r>
        <w:t>Assignment of Proceeding</w:t>
      </w:r>
      <w:bookmarkEnd w:id="14"/>
      <w:bookmarkEnd w:id="15"/>
    </w:p>
    <w:p w:rsidR="005939A5" w:rsidP="006E6574" w:rsidRDefault="00B820C3" w14:paraId="24864652" w14:textId="33DA0C3B">
      <w:pPr>
        <w:pStyle w:val="Standard"/>
      </w:pPr>
      <w:r>
        <w:t>Darcie L. Hou</w:t>
      </w:r>
      <w:r w:rsidR="00EB27C8">
        <w:t>ck</w:t>
      </w:r>
      <w:r w:rsidR="005939A5">
        <w:t xml:space="preserve"> is the assigned Commissioner and </w:t>
      </w:r>
      <w:r>
        <w:t>Trevor Pratt</w:t>
      </w:r>
      <w:r w:rsidR="005939A5">
        <w:t xml:space="preserve"> is the assigned Administrative Law Judge in this proceeding.</w:t>
      </w:r>
    </w:p>
    <w:p w:rsidR="005939A5" w:rsidP="00CC0E07" w:rsidRDefault="005939A5" w14:paraId="4E448258" w14:textId="77777777">
      <w:pPr>
        <w:pStyle w:val="Dummy"/>
        <w:ind w:firstLine="360"/>
      </w:pPr>
      <w:bookmarkStart w:name="_Toc8123725" w:id="16"/>
      <w:bookmarkStart w:name="_Toc208930050" w:id="17"/>
      <w:r>
        <w:t>Findings of Fact</w:t>
      </w:r>
      <w:bookmarkEnd w:id="16"/>
      <w:bookmarkEnd w:id="17"/>
    </w:p>
    <w:p w:rsidR="00B820C3" w:rsidP="00B820C3" w:rsidRDefault="00B820C3" w14:paraId="656A9EF1" w14:textId="6F2FB6A9">
      <w:pPr>
        <w:pStyle w:val="FoF"/>
      </w:pPr>
      <w:r>
        <w:t xml:space="preserve">The </w:t>
      </w:r>
      <w:r w:rsidRPr="00894572">
        <w:t xml:space="preserve">Petition </w:t>
      </w:r>
      <w:r>
        <w:t>was filed</w:t>
      </w:r>
      <w:r w:rsidRPr="00894572">
        <w:t xml:space="preserve"> more than one year after the effective date of D.</w:t>
      </w:r>
      <w:r>
        <w:t>19-05-019.</w:t>
      </w:r>
    </w:p>
    <w:p w:rsidRPr="001E2A62" w:rsidR="001B0006" w:rsidP="00B820C3" w:rsidRDefault="001B0006" w14:paraId="52387318" w14:textId="47FB1F96">
      <w:pPr>
        <w:pStyle w:val="FoF"/>
      </w:pPr>
      <w:r>
        <w:t xml:space="preserve">The Petition fails to comply with </w:t>
      </w:r>
      <w:r w:rsidR="00645C13">
        <w:t xml:space="preserve">the </w:t>
      </w:r>
      <w:r>
        <w:t>requirements of Rule 16.4(b).</w:t>
      </w:r>
    </w:p>
    <w:p w:rsidRPr="001E2A62" w:rsidR="00B820C3" w:rsidP="00B820C3" w:rsidRDefault="00B820C3" w14:paraId="46607C2F" w14:textId="0404B416">
      <w:pPr>
        <w:pStyle w:val="FoF"/>
      </w:pPr>
      <w:r>
        <w:t>The Petition fails to comply with the requirements of Rule 16.4(d).</w:t>
      </w:r>
    </w:p>
    <w:p w:rsidR="005939A5" w:rsidP="00CC0E07" w:rsidRDefault="005939A5" w14:paraId="715B5ADD" w14:textId="77777777">
      <w:pPr>
        <w:pStyle w:val="Dummy"/>
        <w:ind w:firstLine="360"/>
      </w:pPr>
      <w:bookmarkStart w:name="_Toc8123726" w:id="18"/>
      <w:bookmarkStart w:name="_Toc208930051" w:id="19"/>
      <w:r>
        <w:lastRenderedPageBreak/>
        <w:t>Conclusions of Law</w:t>
      </w:r>
      <w:bookmarkEnd w:id="18"/>
      <w:bookmarkEnd w:id="19"/>
    </w:p>
    <w:p w:rsidRPr="001E2A62" w:rsidR="00932865" w:rsidP="00B820C3" w:rsidRDefault="00B820C3" w14:paraId="66F3F19B" w14:textId="27DEAD8C">
      <w:pPr>
        <w:pStyle w:val="CoL"/>
      </w:pPr>
      <w:r>
        <w:t xml:space="preserve">It is reasonable to deny the Petition. </w:t>
      </w:r>
    </w:p>
    <w:p w:rsidR="00BB0243" w:rsidP="000A6E05" w:rsidRDefault="005939A5" w14:paraId="1488E7B5" w14:textId="77777777">
      <w:pPr>
        <w:pStyle w:val="Mainex"/>
      </w:pPr>
      <w:bookmarkStart w:name="_Toc208930052" w:id="20"/>
      <w:r>
        <w:t>O</w:t>
      </w:r>
      <w:r w:rsidR="00722850">
        <w:t>RDER</w:t>
      </w:r>
      <w:bookmarkEnd w:id="20"/>
    </w:p>
    <w:p w:rsidR="00BB0243" w:rsidP="000A6E05" w:rsidRDefault="00BB0243" w14:paraId="632DB7B6" w14:textId="77777777">
      <w:pPr>
        <w:keepNext/>
      </w:pPr>
      <w:r w:rsidRPr="00BB0243">
        <w:rPr>
          <w:b/>
        </w:rPr>
        <w:t>IT IS ORDERED</w:t>
      </w:r>
      <w:r>
        <w:t xml:space="preserve"> that:</w:t>
      </w:r>
    </w:p>
    <w:p w:rsidRPr="001E2A62" w:rsidR="00B820C3" w:rsidP="00B820C3" w:rsidRDefault="00B820C3" w14:paraId="24B4A921" w14:textId="71487674">
      <w:pPr>
        <w:pStyle w:val="OP"/>
      </w:pPr>
      <w:r w:rsidRPr="00894572">
        <w:t xml:space="preserve">The Petition for Modification of Decision </w:t>
      </w:r>
      <w:r>
        <w:t xml:space="preserve">19-05-019 </w:t>
      </w:r>
      <w:r w:rsidRPr="00894572">
        <w:t xml:space="preserve">filed by </w:t>
      </w:r>
      <w:r>
        <w:t xml:space="preserve">California Efficiency and Demand Management </w:t>
      </w:r>
      <w:r w:rsidRPr="000409B3">
        <w:t xml:space="preserve">Council </w:t>
      </w:r>
      <w:r>
        <w:t>on April 15, 2025</w:t>
      </w:r>
      <w:r w:rsidR="00EB27C8">
        <w:t>,</w:t>
      </w:r>
      <w:r w:rsidRPr="00894572">
        <w:t xml:space="preserve"> is </w:t>
      </w:r>
      <w:r>
        <w:t>denied.</w:t>
      </w:r>
    </w:p>
    <w:p w:rsidR="00F6397D" w:rsidP="00EB27C8" w:rsidRDefault="00B820C3" w14:paraId="15477BB7" w14:textId="110159D9">
      <w:pPr>
        <w:pStyle w:val="OP"/>
      </w:pPr>
      <w:r w:rsidRPr="00894572">
        <w:t xml:space="preserve">Rulemaking </w:t>
      </w:r>
      <w:r>
        <w:t>14-03-010 is close</w:t>
      </w:r>
      <w:r w:rsidRPr="001E2A62" w:rsidR="00E23CBB">
        <w:t>d.</w:t>
      </w:r>
    </w:p>
    <w:p w:rsidR="008F0116" w:rsidP="008F0116" w:rsidRDefault="008F0116" w14:paraId="7261C942" w14:textId="77777777">
      <w:r>
        <w:t>This order is effective today.</w:t>
      </w:r>
    </w:p>
    <w:p w:rsidRPr="00714CF2" w:rsidR="00714CF2" w:rsidP="00816E05" w:rsidRDefault="008F0116" w14:paraId="2C72E882" w14:textId="23479068">
      <w:r>
        <w:t xml:space="preserve">Dated </w:t>
      </w:r>
      <w:r w:rsidR="00CC0E07">
        <w:t>November ___, 2025</w:t>
      </w:r>
      <w:r>
        <w:t>, at San Francisco, California</w:t>
      </w:r>
    </w:p>
    <w:sectPr w:rsidRPr="00714CF2" w:rsidR="00714CF2" w:rsidSect="00CC0E07">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p>
      <w:r>
        <w:t xml:space="preserve"/>
      </w:r>
    </w:p>
    <w:p>
      <w:r>
        <w:t xml:space="preserve">Attachment 1: </w:t>
      </w:r>
    </w:p>
    <w:p>
      <w:hyperlink w:history="true" r:id="Rdb09bed26aee41d7">
        <w:r w:rsidRPr="00CB1292">
          <w:rPr>
            <w:rStyle w:val="Hyperlink"/>
            <w:color w:val="2E74B5" w:themeColor="accent1" w:themeShade="BF"/>
            <w:u w:val="single"/>
          </w:rPr>
          <w:t>REDLINE Rev1 R.14-10-003 PD PFM TPR 11-20 Agenda (COM).pdf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A6F8" w14:textId="77777777" w:rsidR="005F6D23" w:rsidRDefault="005F6D23" w:rsidP="0098138E">
      <w:pPr>
        <w:spacing w:line="240" w:lineRule="auto"/>
      </w:pPr>
      <w:r>
        <w:separator/>
      </w:r>
    </w:p>
  </w:endnote>
  <w:endnote w:type="continuationSeparator" w:id="0">
    <w:p w14:paraId="7C1F2555" w14:textId="77777777" w:rsidR="005F6D23" w:rsidRDefault="005F6D2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F833" w14:textId="09927404" w:rsidR="00CE6D3B" w:rsidRDefault="00CE6D3B">
    <w:pPr>
      <w:pStyle w:val="Footer"/>
    </w:pPr>
    <w:r>
      <w:tab/>
    </w:r>
    <w:sdt>
      <w:sdtPr>
        <w:id w:val="-1435088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01F16B0" w14:textId="77777777" w:rsidR="00CE6D3B" w:rsidRDefault="00CE6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360961"/>
      <w:docPartObj>
        <w:docPartGallery w:val="Page Numbers (Bottom of Page)"/>
        <w:docPartUnique/>
      </w:docPartObj>
    </w:sdtPr>
    <w:sdtEndPr>
      <w:rPr>
        <w:noProof/>
      </w:rPr>
    </w:sdtEndPr>
    <w:sdtContent>
      <w:p w14:paraId="771B9442" w14:textId="15168441" w:rsidR="00C0123F" w:rsidRDefault="00B60BC6" w:rsidP="00E1562F">
        <w:pPr>
          <w:pStyle w:val="Footer"/>
          <w:ind w:firstLine="0"/>
        </w:pPr>
        <w:r w:rsidRPr="00B60BC6">
          <w:rPr>
            <w:sz w:val="16"/>
            <w:szCs w:val="16"/>
          </w:rPr>
          <w:t>587924964</w:t>
        </w:r>
        <w:r w:rsidR="00C0123F">
          <w:tab/>
        </w:r>
        <w:r w:rsidR="00C0123F">
          <w:fldChar w:fldCharType="begin"/>
        </w:r>
        <w:r w:rsidR="00C0123F">
          <w:instrText xml:space="preserve"> PAGE   \* MERGEFORMAT </w:instrText>
        </w:r>
        <w:r w:rsidR="00C0123F">
          <w:fldChar w:fldCharType="separate"/>
        </w:r>
        <w:r w:rsidR="00C0123F">
          <w:rPr>
            <w:noProof/>
          </w:rPr>
          <w:t>2</w:t>
        </w:r>
        <w:r w:rsidR="00C0123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0E4F" w14:textId="77777777" w:rsidR="005F6D23" w:rsidRDefault="005F6D23" w:rsidP="00DF58E7">
      <w:pPr>
        <w:spacing w:line="240" w:lineRule="auto"/>
        <w:ind w:firstLine="0"/>
      </w:pPr>
      <w:r>
        <w:separator/>
      </w:r>
    </w:p>
  </w:footnote>
  <w:footnote w:type="continuationSeparator" w:id="0">
    <w:p w14:paraId="3C9489BD" w14:textId="77777777" w:rsidR="005F6D23" w:rsidRDefault="005F6D23" w:rsidP="00DF58E7">
      <w:pPr>
        <w:spacing w:line="240" w:lineRule="auto"/>
        <w:ind w:firstLine="0"/>
      </w:pPr>
      <w:r>
        <w:continuationSeparator/>
      </w:r>
    </w:p>
  </w:footnote>
  <w:footnote w:type="continuationNotice" w:id="1">
    <w:p w14:paraId="077B4080" w14:textId="77777777" w:rsidR="005F6D23" w:rsidRPr="00DF58E7" w:rsidRDefault="005F6D2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6EFAFE7" w14:textId="43F93773" w:rsidR="00E21D57" w:rsidRDefault="00E21D57">
      <w:pPr>
        <w:pStyle w:val="FootnoteText"/>
      </w:pPr>
      <w:r>
        <w:rPr>
          <w:rStyle w:val="FootnoteReference"/>
        </w:rPr>
        <w:footnoteRef/>
      </w:r>
      <w:r>
        <w:t xml:space="preserve"> Petition at 4.</w:t>
      </w:r>
    </w:p>
  </w:footnote>
  <w:footnote w:id="3">
    <w:p w14:paraId="5D1628F8" w14:textId="1FE53811" w:rsidR="002A1588" w:rsidRDefault="002A1588">
      <w:pPr>
        <w:pStyle w:val="FootnoteText"/>
      </w:pPr>
      <w:r>
        <w:rPr>
          <w:rStyle w:val="FootnoteReference"/>
        </w:rPr>
        <w:footnoteRef/>
      </w:r>
      <w:r>
        <w:t xml:space="preserve"> Petition at 7</w:t>
      </w:r>
      <w:r w:rsidR="00366014">
        <w:t>.</w:t>
      </w:r>
    </w:p>
  </w:footnote>
  <w:footnote w:id="4">
    <w:p w14:paraId="4DCFE2B2" w14:textId="6892BF96" w:rsidR="00EB27C8" w:rsidRDefault="00EB27C8">
      <w:pPr>
        <w:pStyle w:val="FootnoteText"/>
      </w:pPr>
      <w:r>
        <w:rPr>
          <w:rStyle w:val="FootnoteReference"/>
        </w:rPr>
        <w:footnoteRef/>
      </w:r>
      <w:r>
        <w:t xml:space="preserve"> </w:t>
      </w:r>
      <w:r w:rsidR="005965D7">
        <w:t xml:space="preserve">Governor Executive Order N-5-24 issued October 30, 2024, available at </w:t>
      </w:r>
      <w:hyperlink r:id="rId1" w:history="1">
        <w:r w:rsidR="005965D7" w:rsidRPr="005965D7">
          <w:rPr>
            <w:rStyle w:val="Hyperlink"/>
          </w:rPr>
          <w:t>GSS_9610_1E-20241030131318</w:t>
        </w:r>
      </w:hyperlink>
      <w:r w:rsidR="00366014">
        <w:t>.</w:t>
      </w:r>
    </w:p>
  </w:footnote>
  <w:footnote w:id="5">
    <w:p w14:paraId="20854B48" w14:textId="32B055C1" w:rsidR="00EB27C8" w:rsidRDefault="00EB27C8">
      <w:pPr>
        <w:pStyle w:val="FootnoteText"/>
      </w:pPr>
      <w:r>
        <w:rPr>
          <w:rStyle w:val="FootnoteReference"/>
        </w:rPr>
        <w:footnoteRef/>
      </w:r>
      <w:r>
        <w:t xml:space="preserve"> </w:t>
      </w:r>
      <w:r w:rsidR="005965D7" w:rsidRPr="005965D7">
        <w:t>California State Auditor Report 2023-127</w:t>
      </w:r>
      <w:r w:rsidR="005965D7">
        <w:t xml:space="preserve">, published March 18, 2025, available at </w:t>
      </w:r>
      <w:hyperlink r:id="rId2" w:history="1">
        <w:r w:rsidR="005965D7" w:rsidRPr="005965D7">
          <w:rPr>
            <w:rStyle w:val="Hyperlink"/>
          </w:rPr>
          <w:t>2023-127 The California Public Utilities Commission - California State Auditor</w:t>
        </w:r>
      </w:hyperlink>
      <w:r w:rsidR="00366014">
        <w:t>.</w:t>
      </w:r>
    </w:p>
  </w:footnote>
  <w:footnote w:id="6">
    <w:p w14:paraId="4CE56087" w14:textId="2825B613" w:rsidR="00EB27C8" w:rsidRDefault="00EB27C8">
      <w:pPr>
        <w:pStyle w:val="FootnoteText"/>
      </w:pPr>
      <w:r>
        <w:rPr>
          <w:rStyle w:val="FootnoteReference"/>
        </w:rPr>
        <w:footnoteRef/>
      </w:r>
      <w:r>
        <w:t xml:space="preserve"> Petition at 4</w:t>
      </w:r>
      <w:r w:rsidR="00DA214C">
        <w:t>.</w:t>
      </w:r>
    </w:p>
  </w:footnote>
  <w:footnote w:id="7">
    <w:p w14:paraId="3338A20B" w14:textId="03A3E8AB" w:rsidR="00EB27C8" w:rsidRDefault="00EB27C8">
      <w:pPr>
        <w:pStyle w:val="FootnoteText"/>
      </w:pPr>
      <w:r>
        <w:rPr>
          <w:rStyle w:val="FootnoteReference"/>
        </w:rPr>
        <w:footnoteRef/>
      </w:r>
      <w:r>
        <w:t xml:space="preserve"> Petition at 4</w:t>
      </w:r>
      <w:r w:rsidR="00DA214C">
        <w:t>.</w:t>
      </w:r>
    </w:p>
  </w:footnote>
  <w:footnote w:id="8">
    <w:p w14:paraId="0DDAFCC0" w14:textId="675BDEE6" w:rsidR="00BC10FB" w:rsidRDefault="00BC10FB">
      <w:pPr>
        <w:pStyle w:val="FootnoteText"/>
      </w:pPr>
      <w:r>
        <w:rPr>
          <w:rStyle w:val="FootnoteReference"/>
        </w:rPr>
        <w:footnoteRef/>
      </w:r>
      <w:r>
        <w:t xml:space="preserve"> Cal</w:t>
      </w:r>
      <w:r w:rsidR="00DA214C">
        <w:t xml:space="preserve"> </w:t>
      </w:r>
      <w:r>
        <w:t>Advocates at 2</w:t>
      </w:r>
      <w:r w:rsidR="00DA21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6C0" w14:textId="778AD845" w:rsidR="00AB1C4F" w:rsidRDefault="00AB1C4F" w:rsidP="00AB1C4F">
    <w:pPr>
      <w:pStyle w:val="Header"/>
      <w:tabs>
        <w:tab w:val="clear" w:pos="4680"/>
      </w:tabs>
      <w:ind w:firstLine="0"/>
      <w:rPr>
        <w:rFonts w:ascii="Arial" w:hAnsi="Arial" w:cs="Arial"/>
        <w:b/>
        <w:sz w:val="32"/>
        <w:szCs w:val="32"/>
      </w:rPr>
    </w:pPr>
    <w:r w:rsidRPr="009615F2">
      <w:t>R.14-10-</w:t>
    </w:r>
    <w:proofErr w:type="gramStart"/>
    <w:r w:rsidRPr="009615F2">
      <w:t>003</w:t>
    </w:r>
    <w:r>
      <w:t xml:space="preserve">  ALJ</w:t>
    </w:r>
    <w:proofErr w:type="gramEnd"/>
    <w:r>
      <w:t>/TPR/cg7</w:t>
    </w:r>
    <w:r>
      <w:tab/>
    </w:r>
    <w:r w:rsidRPr="008460DF">
      <w:rPr>
        <w:rFonts w:cs="Arial"/>
        <w:b/>
        <w:szCs w:val="26"/>
      </w:rPr>
      <w:t>PROPOSED DECISION</w:t>
    </w:r>
    <w:r w:rsidR="00CE6D3B">
      <w:rPr>
        <w:rFonts w:cs="Arial"/>
        <w:b/>
        <w:szCs w:val="26"/>
      </w:rPr>
      <w:t xml:space="preserve"> (Rev. 1)</w:t>
    </w:r>
  </w:p>
  <w:p w14:paraId="42403725" w14:textId="77777777" w:rsidR="00AB1C4F" w:rsidRDefault="00AB1C4F" w:rsidP="00AB1C4F">
    <w:pPr>
      <w:pStyle w:val="Header"/>
      <w:tabs>
        <w:tab w:val="clear" w:pos="4680"/>
      </w:tabs>
      <w:ind w:firstLine="0"/>
      <w:rPr>
        <w:i/>
      </w:rPr>
    </w:pPr>
  </w:p>
  <w:p w14:paraId="349066A6" w14:textId="77777777" w:rsidR="00AB1C4F" w:rsidRPr="00CC0E07" w:rsidRDefault="00AB1C4F" w:rsidP="00AB1C4F">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471526B7"/>
    <w:multiLevelType w:val="hybridMultilevel"/>
    <w:tmpl w:val="052000A0"/>
    <w:lvl w:ilvl="0" w:tplc="348C4838">
      <w:start w:val="1"/>
      <w:numFmt w:val="lowerLetter"/>
      <w:lvlText w:val="%1."/>
      <w:lvlJc w:val="left"/>
      <w:pPr>
        <w:ind w:left="1020" w:hanging="360"/>
      </w:pPr>
    </w:lvl>
    <w:lvl w:ilvl="1" w:tplc="EE7CD32A">
      <w:start w:val="1"/>
      <w:numFmt w:val="lowerLetter"/>
      <w:lvlText w:val="%2."/>
      <w:lvlJc w:val="left"/>
      <w:pPr>
        <w:ind w:left="1020" w:hanging="360"/>
      </w:pPr>
    </w:lvl>
    <w:lvl w:ilvl="2" w:tplc="932EF392">
      <w:start w:val="1"/>
      <w:numFmt w:val="lowerLetter"/>
      <w:lvlText w:val="%3."/>
      <w:lvlJc w:val="left"/>
      <w:pPr>
        <w:ind w:left="1020" w:hanging="360"/>
      </w:pPr>
    </w:lvl>
    <w:lvl w:ilvl="3" w:tplc="D2BACADE">
      <w:start w:val="1"/>
      <w:numFmt w:val="lowerLetter"/>
      <w:lvlText w:val="%4."/>
      <w:lvlJc w:val="left"/>
      <w:pPr>
        <w:ind w:left="1020" w:hanging="360"/>
      </w:pPr>
    </w:lvl>
    <w:lvl w:ilvl="4" w:tplc="239A451C">
      <w:start w:val="1"/>
      <w:numFmt w:val="lowerLetter"/>
      <w:lvlText w:val="%5."/>
      <w:lvlJc w:val="left"/>
      <w:pPr>
        <w:ind w:left="1020" w:hanging="360"/>
      </w:pPr>
    </w:lvl>
    <w:lvl w:ilvl="5" w:tplc="BEB6DCB4">
      <w:start w:val="1"/>
      <w:numFmt w:val="lowerLetter"/>
      <w:lvlText w:val="%6."/>
      <w:lvlJc w:val="left"/>
      <w:pPr>
        <w:ind w:left="1020" w:hanging="360"/>
      </w:pPr>
    </w:lvl>
    <w:lvl w:ilvl="6" w:tplc="92DA475A">
      <w:start w:val="1"/>
      <w:numFmt w:val="lowerLetter"/>
      <w:lvlText w:val="%7."/>
      <w:lvlJc w:val="left"/>
      <w:pPr>
        <w:ind w:left="1020" w:hanging="360"/>
      </w:pPr>
    </w:lvl>
    <w:lvl w:ilvl="7" w:tplc="D6D2EF5E">
      <w:start w:val="1"/>
      <w:numFmt w:val="lowerLetter"/>
      <w:lvlText w:val="%8."/>
      <w:lvlJc w:val="left"/>
      <w:pPr>
        <w:ind w:left="1020" w:hanging="360"/>
      </w:pPr>
    </w:lvl>
    <w:lvl w:ilvl="8" w:tplc="71B471F2">
      <w:start w:val="1"/>
      <w:numFmt w:val="lowerLetter"/>
      <w:lvlText w:val="%9."/>
      <w:lvlJc w:val="left"/>
      <w:pPr>
        <w:ind w:left="1020" w:hanging="360"/>
      </w:p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78005539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F7"/>
    <w:rsid w:val="00000F6A"/>
    <w:rsid w:val="000064DF"/>
    <w:rsid w:val="0002088E"/>
    <w:rsid w:val="000409B3"/>
    <w:rsid w:val="0004559F"/>
    <w:rsid w:val="000456BE"/>
    <w:rsid w:val="00062F68"/>
    <w:rsid w:val="0007115A"/>
    <w:rsid w:val="0008609D"/>
    <w:rsid w:val="00095E0A"/>
    <w:rsid w:val="000973C8"/>
    <w:rsid w:val="000A0C16"/>
    <w:rsid w:val="000A1E87"/>
    <w:rsid w:val="000A2AA9"/>
    <w:rsid w:val="000A56F2"/>
    <w:rsid w:val="000A6E05"/>
    <w:rsid w:val="000B12FA"/>
    <w:rsid w:val="000B609F"/>
    <w:rsid w:val="000C08BF"/>
    <w:rsid w:val="000C3B9A"/>
    <w:rsid w:val="000C41E4"/>
    <w:rsid w:val="000D25A8"/>
    <w:rsid w:val="000D5FA8"/>
    <w:rsid w:val="000E092B"/>
    <w:rsid w:val="000E270A"/>
    <w:rsid w:val="000E38BE"/>
    <w:rsid w:val="000E4C53"/>
    <w:rsid w:val="000F48C6"/>
    <w:rsid w:val="001015E0"/>
    <w:rsid w:val="00111621"/>
    <w:rsid w:val="00114D38"/>
    <w:rsid w:val="00121089"/>
    <w:rsid w:val="00131B58"/>
    <w:rsid w:val="00133FF2"/>
    <w:rsid w:val="00136F6F"/>
    <w:rsid w:val="00153558"/>
    <w:rsid w:val="00175527"/>
    <w:rsid w:val="00182BAF"/>
    <w:rsid w:val="00184A8F"/>
    <w:rsid w:val="00187357"/>
    <w:rsid w:val="00197BE6"/>
    <w:rsid w:val="001A5F31"/>
    <w:rsid w:val="001B0006"/>
    <w:rsid w:val="001C1F00"/>
    <w:rsid w:val="001C363F"/>
    <w:rsid w:val="001D2329"/>
    <w:rsid w:val="001E2A62"/>
    <w:rsid w:val="001E39BA"/>
    <w:rsid w:val="001F1A63"/>
    <w:rsid w:val="001F2819"/>
    <w:rsid w:val="002024CA"/>
    <w:rsid w:val="002043EC"/>
    <w:rsid w:val="00234069"/>
    <w:rsid w:val="00243A72"/>
    <w:rsid w:val="00243DC0"/>
    <w:rsid w:val="00247477"/>
    <w:rsid w:val="00247E6B"/>
    <w:rsid w:val="00263FCD"/>
    <w:rsid w:val="00270440"/>
    <w:rsid w:val="00284D8D"/>
    <w:rsid w:val="00285DFD"/>
    <w:rsid w:val="00287BC5"/>
    <w:rsid w:val="00292276"/>
    <w:rsid w:val="00293DEE"/>
    <w:rsid w:val="002A0B5D"/>
    <w:rsid w:val="002A1588"/>
    <w:rsid w:val="002A163B"/>
    <w:rsid w:val="002B5518"/>
    <w:rsid w:val="002C7FE9"/>
    <w:rsid w:val="002D0DC5"/>
    <w:rsid w:val="002D4AAA"/>
    <w:rsid w:val="002D4EFD"/>
    <w:rsid w:val="003009D0"/>
    <w:rsid w:val="003138B2"/>
    <w:rsid w:val="0031579D"/>
    <w:rsid w:val="00315A97"/>
    <w:rsid w:val="00316071"/>
    <w:rsid w:val="00323C16"/>
    <w:rsid w:val="00324DD7"/>
    <w:rsid w:val="00327415"/>
    <w:rsid w:val="00330C47"/>
    <w:rsid w:val="00343E5C"/>
    <w:rsid w:val="00344FB8"/>
    <w:rsid w:val="0035213A"/>
    <w:rsid w:val="0036017B"/>
    <w:rsid w:val="00360B6F"/>
    <w:rsid w:val="00362755"/>
    <w:rsid w:val="00366014"/>
    <w:rsid w:val="00367EC2"/>
    <w:rsid w:val="00373B93"/>
    <w:rsid w:val="0037711D"/>
    <w:rsid w:val="00380CD1"/>
    <w:rsid w:val="003A02CA"/>
    <w:rsid w:val="003A38F0"/>
    <w:rsid w:val="003B44F7"/>
    <w:rsid w:val="003C191C"/>
    <w:rsid w:val="003D0A00"/>
    <w:rsid w:val="003D1186"/>
    <w:rsid w:val="003D7FCF"/>
    <w:rsid w:val="003F026A"/>
    <w:rsid w:val="003F069A"/>
    <w:rsid w:val="003F4329"/>
    <w:rsid w:val="003F7D41"/>
    <w:rsid w:val="00400C7A"/>
    <w:rsid w:val="00412534"/>
    <w:rsid w:val="00412C83"/>
    <w:rsid w:val="00417650"/>
    <w:rsid w:val="00423CF7"/>
    <w:rsid w:val="00426014"/>
    <w:rsid w:val="00430BFA"/>
    <w:rsid w:val="0044617E"/>
    <w:rsid w:val="0046078B"/>
    <w:rsid w:val="00460B7D"/>
    <w:rsid w:val="00472488"/>
    <w:rsid w:val="00480CB0"/>
    <w:rsid w:val="00483603"/>
    <w:rsid w:val="00483CF2"/>
    <w:rsid w:val="00490F49"/>
    <w:rsid w:val="00495B4D"/>
    <w:rsid w:val="004A1EAD"/>
    <w:rsid w:val="004A47BE"/>
    <w:rsid w:val="004B34EA"/>
    <w:rsid w:val="004B5494"/>
    <w:rsid w:val="004C3111"/>
    <w:rsid w:val="004C494A"/>
    <w:rsid w:val="004C58EA"/>
    <w:rsid w:val="004C6969"/>
    <w:rsid w:val="004C7A2B"/>
    <w:rsid w:val="004C7D3A"/>
    <w:rsid w:val="005018A8"/>
    <w:rsid w:val="00501FBF"/>
    <w:rsid w:val="00505A39"/>
    <w:rsid w:val="005240BF"/>
    <w:rsid w:val="00534793"/>
    <w:rsid w:val="005829DC"/>
    <w:rsid w:val="00585390"/>
    <w:rsid w:val="005873C4"/>
    <w:rsid w:val="005939A5"/>
    <w:rsid w:val="005965D7"/>
    <w:rsid w:val="005A148C"/>
    <w:rsid w:val="005A16B2"/>
    <w:rsid w:val="005A231D"/>
    <w:rsid w:val="005A4750"/>
    <w:rsid w:val="005C58FA"/>
    <w:rsid w:val="005C5B2A"/>
    <w:rsid w:val="005D2812"/>
    <w:rsid w:val="005D70FA"/>
    <w:rsid w:val="005F6D23"/>
    <w:rsid w:val="00603238"/>
    <w:rsid w:val="00632207"/>
    <w:rsid w:val="0063491C"/>
    <w:rsid w:val="00641A5C"/>
    <w:rsid w:val="0064573E"/>
    <w:rsid w:val="00645C13"/>
    <w:rsid w:val="00646970"/>
    <w:rsid w:val="006476E0"/>
    <w:rsid w:val="006508F1"/>
    <w:rsid w:val="00654136"/>
    <w:rsid w:val="00661AFE"/>
    <w:rsid w:val="0068054F"/>
    <w:rsid w:val="00680F19"/>
    <w:rsid w:val="00683B2C"/>
    <w:rsid w:val="006870E2"/>
    <w:rsid w:val="006936FD"/>
    <w:rsid w:val="00697A67"/>
    <w:rsid w:val="006A3160"/>
    <w:rsid w:val="006A48A9"/>
    <w:rsid w:val="006A5CFC"/>
    <w:rsid w:val="006B333D"/>
    <w:rsid w:val="006C1F10"/>
    <w:rsid w:val="006D03DA"/>
    <w:rsid w:val="006D11D4"/>
    <w:rsid w:val="006E20AF"/>
    <w:rsid w:val="006E33E8"/>
    <w:rsid w:val="006E5E28"/>
    <w:rsid w:val="006E6574"/>
    <w:rsid w:val="006F6A25"/>
    <w:rsid w:val="00702022"/>
    <w:rsid w:val="00714CF2"/>
    <w:rsid w:val="007156B9"/>
    <w:rsid w:val="00716418"/>
    <w:rsid w:val="00720817"/>
    <w:rsid w:val="00722850"/>
    <w:rsid w:val="00732208"/>
    <w:rsid w:val="007330FC"/>
    <w:rsid w:val="0073353F"/>
    <w:rsid w:val="007355CD"/>
    <w:rsid w:val="00735A91"/>
    <w:rsid w:val="00742E45"/>
    <w:rsid w:val="007447AF"/>
    <w:rsid w:val="00745439"/>
    <w:rsid w:val="0074593F"/>
    <w:rsid w:val="007467AF"/>
    <w:rsid w:val="00750816"/>
    <w:rsid w:val="007657C1"/>
    <w:rsid w:val="00767977"/>
    <w:rsid w:val="0077451C"/>
    <w:rsid w:val="0077755F"/>
    <w:rsid w:val="00784E5B"/>
    <w:rsid w:val="007875A1"/>
    <w:rsid w:val="007A406D"/>
    <w:rsid w:val="007A62B0"/>
    <w:rsid w:val="007C0BB7"/>
    <w:rsid w:val="007C16B5"/>
    <w:rsid w:val="007C5A0C"/>
    <w:rsid w:val="007E0FEE"/>
    <w:rsid w:val="007F2017"/>
    <w:rsid w:val="007F228E"/>
    <w:rsid w:val="0080390E"/>
    <w:rsid w:val="008115C8"/>
    <w:rsid w:val="00814BE6"/>
    <w:rsid w:val="008159CF"/>
    <w:rsid w:val="00816314"/>
    <w:rsid w:val="00816E05"/>
    <w:rsid w:val="00825550"/>
    <w:rsid w:val="008339BB"/>
    <w:rsid w:val="0084033D"/>
    <w:rsid w:val="008460DF"/>
    <w:rsid w:val="00847ED2"/>
    <w:rsid w:val="008531BF"/>
    <w:rsid w:val="00855CDD"/>
    <w:rsid w:val="0086419A"/>
    <w:rsid w:val="0087023B"/>
    <w:rsid w:val="00872697"/>
    <w:rsid w:val="00873125"/>
    <w:rsid w:val="00892CAD"/>
    <w:rsid w:val="00893E50"/>
    <w:rsid w:val="00894F7E"/>
    <w:rsid w:val="008A08BF"/>
    <w:rsid w:val="008A179F"/>
    <w:rsid w:val="008B0864"/>
    <w:rsid w:val="008B175A"/>
    <w:rsid w:val="008C3CB7"/>
    <w:rsid w:val="008C7413"/>
    <w:rsid w:val="008D16B7"/>
    <w:rsid w:val="008E6AE6"/>
    <w:rsid w:val="008F0116"/>
    <w:rsid w:val="008F143D"/>
    <w:rsid w:val="008F15C8"/>
    <w:rsid w:val="008F3D4C"/>
    <w:rsid w:val="008F7507"/>
    <w:rsid w:val="00910324"/>
    <w:rsid w:val="00920553"/>
    <w:rsid w:val="00926AB4"/>
    <w:rsid w:val="00930EE6"/>
    <w:rsid w:val="00932865"/>
    <w:rsid w:val="00952319"/>
    <w:rsid w:val="009615F2"/>
    <w:rsid w:val="00976FA0"/>
    <w:rsid w:val="0098138E"/>
    <w:rsid w:val="0098655A"/>
    <w:rsid w:val="00991D2F"/>
    <w:rsid w:val="009A43BF"/>
    <w:rsid w:val="009A6E36"/>
    <w:rsid w:val="009C3660"/>
    <w:rsid w:val="009C71B0"/>
    <w:rsid w:val="009D6FC0"/>
    <w:rsid w:val="009E6052"/>
    <w:rsid w:val="009E7C7F"/>
    <w:rsid w:val="009F5CA5"/>
    <w:rsid w:val="00A00D41"/>
    <w:rsid w:val="00A058AA"/>
    <w:rsid w:val="00A1327B"/>
    <w:rsid w:val="00A17CE0"/>
    <w:rsid w:val="00A23D48"/>
    <w:rsid w:val="00A25D51"/>
    <w:rsid w:val="00A26232"/>
    <w:rsid w:val="00A3791C"/>
    <w:rsid w:val="00A42306"/>
    <w:rsid w:val="00A44E8D"/>
    <w:rsid w:val="00A46EA8"/>
    <w:rsid w:val="00A55ACD"/>
    <w:rsid w:val="00A706AE"/>
    <w:rsid w:val="00A753D4"/>
    <w:rsid w:val="00A85511"/>
    <w:rsid w:val="00A85D27"/>
    <w:rsid w:val="00A93FC9"/>
    <w:rsid w:val="00AA13BF"/>
    <w:rsid w:val="00AA3627"/>
    <w:rsid w:val="00AA6556"/>
    <w:rsid w:val="00AB1C4F"/>
    <w:rsid w:val="00AB7875"/>
    <w:rsid w:val="00AC68EE"/>
    <w:rsid w:val="00AD1EFF"/>
    <w:rsid w:val="00AE0774"/>
    <w:rsid w:val="00AF3DF3"/>
    <w:rsid w:val="00AF543E"/>
    <w:rsid w:val="00B01F7E"/>
    <w:rsid w:val="00B05BD0"/>
    <w:rsid w:val="00B06625"/>
    <w:rsid w:val="00B16C2A"/>
    <w:rsid w:val="00B22564"/>
    <w:rsid w:val="00B3087D"/>
    <w:rsid w:val="00B30D1B"/>
    <w:rsid w:val="00B325B0"/>
    <w:rsid w:val="00B34794"/>
    <w:rsid w:val="00B51612"/>
    <w:rsid w:val="00B60421"/>
    <w:rsid w:val="00B60BC6"/>
    <w:rsid w:val="00B72CF9"/>
    <w:rsid w:val="00B81EB6"/>
    <w:rsid w:val="00B820C3"/>
    <w:rsid w:val="00B938D1"/>
    <w:rsid w:val="00B97985"/>
    <w:rsid w:val="00BA19C8"/>
    <w:rsid w:val="00BA301A"/>
    <w:rsid w:val="00BB0243"/>
    <w:rsid w:val="00BB0AE9"/>
    <w:rsid w:val="00BC10FB"/>
    <w:rsid w:val="00BC1BC7"/>
    <w:rsid w:val="00BC2285"/>
    <w:rsid w:val="00BD5E64"/>
    <w:rsid w:val="00BE69A8"/>
    <w:rsid w:val="00BF1441"/>
    <w:rsid w:val="00C0123F"/>
    <w:rsid w:val="00C01F37"/>
    <w:rsid w:val="00C10B5F"/>
    <w:rsid w:val="00C1523D"/>
    <w:rsid w:val="00C2069B"/>
    <w:rsid w:val="00C2766B"/>
    <w:rsid w:val="00C3480D"/>
    <w:rsid w:val="00C414BB"/>
    <w:rsid w:val="00C475ED"/>
    <w:rsid w:val="00C621BB"/>
    <w:rsid w:val="00C63649"/>
    <w:rsid w:val="00C64F2B"/>
    <w:rsid w:val="00C72C94"/>
    <w:rsid w:val="00C8480B"/>
    <w:rsid w:val="00C878D5"/>
    <w:rsid w:val="00C9033B"/>
    <w:rsid w:val="00C913A1"/>
    <w:rsid w:val="00CA64B9"/>
    <w:rsid w:val="00CC0E07"/>
    <w:rsid w:val="00CC6A99"/>
    <w:rsid w:val="00CD72C1"/>
    <w:rsid w:val="00CE082B"/>
    <w:rsid w:val="00CE6D3B"/>
    <w:rsid w:val="00D00AA3"/>
    <w:rsid w:val="00D0504E"/>
    <w:rsid w:val="00D07F73"/>
    <w:rsid w:val="00D14844"/>
    <w:rsid w:val="00D2041C"/>
    <w:rsid w:val="00D2402A"/>
    <w:rsid w:val="00D25ADE"/>
    <w:rsid w:val="00D338A7"/>
    <w:rsid w:val="00D355BB"/>
    <w:rsid w:val="00D43297"/>
    <w:rsid w:val="00D44DB6"/>
    <w:rsid w:val="00D451DD"/>
    <w:rsid w:val="00D47250"/>
    <w:rsid w:val="00D50119"/>
    <w:rsid w:val="00D52F1C"/>
    <w:rsid w:val="00D679F0"/>
    <w:rsid w:val="00D82A43"/>
    <w:rsid w:val="00D844DB"/>
    <w:rsid w:val="00D96BDD"/>
    <w:rsid w:val="00DA214C"/>
    <w:rsid w:val="00DA7B5D"/>
    <w:rsid w:val="00DE3A65"/>
    <w:rsid w:val="00DE7D5F"/>
    <w:rsid w:val="00DF58E7"/>
    <w:rsid w:val="00E0160B"/>
    <w:rsid w:val="00E11876"/>
    <w:rsid w:val="00E1562F"/>
    <w:rsid w:val="00E21D57"/>
    <w:rsid w:val="00E23CBB"/>
    <w:rsid w:val="00E24AFA"/>
    <w:rsid w:val="00E34C83"/>
    <w:rsid w:val="00E357BA"/>
    <w:rsid w:val="00E36206"/>
    <w:rsid w:val="00E37B59"/>
    <w:rsid w:val="00E427A1"/>
    <w:rsid w:val="00E47FF5"/>
    <w:rsid w:val="00E53438"/>
    <w:rsid w:val="00E725FC"/>
    <w:rsid w:val="00E77A72"/>
    <w:rsid w:val="00E871BB"/>
    <w:rsid w:val="00E946C8"/>
    <w:rsid w:val="00E97D3B"/>
    <w:rsid w:val="00EA187D"/>
    <w:rsid w:val="00EA2F01"/>
    <w:rsid w:val="00EA36C6"/>
    <w:rsid w:val="00EA456B"/>
    <w:rsid w:val="00EA5758"/>
    <w:rsid w:val="00EB27C8"/>
    <w:rsid w:val="00EC30F9"/>
    <w:rsid w:val="00ED3AF7"/>
    <w:rsid w:val="00ED5725"/>
    <w:rsid w:val="00ED657C"/>
    <w:rsid w:val="00ED7031"/>
    <w:rsid w:val="00ED79CA"/>
    <w:rsid w:val="00EE3060"/>
    <w:rsid w:val="00EE4315"/>
    <w:rsid w:val="00EF5C41"/>
    <w:rsid w:val="00EF6925"/>
    <w:rsid w:val="00F12118"/>
    <w:rsid w:val="00F1231E"/>
    <w:rsid w:val="00F15EF2"/>
    <w:rsid w:val="00F1643B"/>
    <w:rsid w:val="00F225CF"/>
    <w:rsid w:val="00F235B6"/>
    <w:rsid w:val="00F26ED3"/>
    <w:rsid w:val="00F37BAC"/>
    <w:rsid w:val="00F434E4"/>
    <w:rsid w:val="00F56883"/>
    <w:rsid w:val="00F62B7A"/>
    <w:rsid w:val="00F6397D"/>
    <w:rsid w:val="00F652B4"/>
    <w:rsid w:val="00F663BF"/>
    <w:rsid w:val="00F7293E"/>
    <w:rsid w:val="00F73687"/>
    <w:rsid w:val="00F73BD5"/>
    <w:rsid w:val="00F7518F"/>
    <w:rsid w:val="00F76650"/>
    <w:rsid w:val="00F80AD5"/>
    <w:rsid w:val="00F80E99"/>
    <w:rsid w:val="00F8134E"/>
    <w:rsid w:val="00F82398"/>
    <w:rsid w:val="00F838DC"/>
    <w:rsid w:val="00F9019D"/>
    <w:rsid w:val="00F9187B"/>
    <w:rsid w:val="00F92385"/>
    <w:rsid w:val="00F9368B"/>
    <w:rsid w:val="00FA1A34"/>
    <w:rsid w:val="00FA1B4F"/>
    <w:rsid w:val="00FB3D15"/>
    <w:rsid w:val="00FC450A"/>
    <w:rsid w:val="00FC47F9"/>
    <w:rsid w:val="00FD6899"/>
    <w:rsid w:val="00FE1A87"/>
    <w:rsid w:val="00FE2351"/>
    <w:rsid w:val="00FE337D"/>
    <w:rsid w:val="00FE5166"/>
    <w:rsid w:val="00FE5580"/>
    <w:rsid w:val="00FF110C"/>
    <w:rsid w:val="00FF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2A259"/>
  <w15:chartTrackingRefBased/>
  <w15:docId w15:val="{883CEEA1-A5C2-408C-A223-FC16A6B491F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UnresolvedMention">
    <w:name w:val="Unresolved Mention"/>
    <w:basedOn w:val="DefaultParagraphFont"/>
    <w:uiPriority w:val="99"/>
    <w:semiHidden/>
    <w:unhideWhenUsed/>
    <w:rsid w:val="005965D7"/>
    <w:rPr>
      <w:color w:val="605E5C"/>
      <w:shd w:val="clear" w:color="auto" w:fill="E1DFDD"/>
    </w:rPr>
  </w:style>
  <w:style w:type="paragraph" w:styleId="Revision">
    <w:name w:val="Revision"/>
    <w:hidden/>
    <w:uiPriority w:val="99"/>
    <w:semiHidden/>
    <w:rsid w:val="008F3D4C"/>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BE69A8"/>
    <w:rPr>
      <w:sz w:val="16"/>
      <w:szCs w:val="16"/>
    </w:rPr>
  </w:style>
  <w:style w:type="paragraph" w:styleId="CommentText">
    <w:name w:val="annotation text"/>
    <w:basedOn w:val="Normal"/>
    <w:link w:val="CommentTextChar"/>
    <w:uiPriority w:val="99"/>
    <w:unhideWhenUsed/>
    <w:rsid w:val="00BE69A8"/>
    <w:pPr>
      <w:spacing w:line="240" w:lineRule="auto"/>
    </w:pPr>
    <w:rPr>
      <w:sz w:val="20"/>
      <w:szCs w:val="20"/>
    </w:rPr>
  </w:style>
  <w:style w:type="character" w:customStyle="1" w:styleId="CommentTextChar">
    <w:name w:val="Comment Text Char"/>
    <w:basedOn w:val="DefaultParagraphFont"/>
    <w:link w:val="CommentText"/>
    <w:uiPriority w:val="99"/>
    <w:rsid w:val="00BE69A8"/>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BE69A8"/>
    <w:rPr>
      <w:b/>
      <w:bCs/>
    </w:rPr>
  </w:style>
  <w:style w:type="character" w:customStyle="1" w:styleId="CommentSubjectChar">
    <w:name w:val="Comment Subject Char"/>
    <w:basedOn w:val="CommentTextChar"/>
    <w:link w:val="CommentSubject"/>
    <w:uiPriority w:val="99"/>
    <w:semiHidden/>
    <w:rsid w:val="00BE69A8"/>
    <w:rPr>
      <w:rFonts w:ascii="Book Antiqua" w:hAnsi="Book Antiqua"/>
      <w:b/>
      <w:bCs/>
      <w:sz w:val="20"/>
      <w:szCs w:val="20"/>
    </w:rPr>
  </w:style>
  <w:style w:type="paragraph" w:styleId="EndnoteText">
    <w:name w:val="endnote text"/>
    <w:basedOn w:val="Normal"/>
    <w:link w:val="EndnoteTextChar"/>
    <w:uiPriority w:val="99"/>
    <w:semiHidden/>
    <w:unhideWhenUsed/>
    <w:rsid w:val="00153558"/>
    <w:pPr>
      <w:spacing w:line="240" w:lineRule="auto"/>
    </w:pPr>
    <w:rPr>
      <w:sz w:val="20"/>
      <w:szCs w:val="20"/>
    </w:rPr>
  </w:style>
  <w:style w:type="character" w:customStyle="1" w:styleId="EndnoteTextChar">
    <w:name w:val="Endnote Text Char"/>
    <w:basedOn w:val="DefaultParagraphFont"/>
    <w:link w:val="EndnoteText"/>
    <w:uiPriority w:val="99"/>
    <w:semiHidden/>
    <w:rsid w:val="00153558"/>
    <w:rPr>
      <w:rFonts w:ascii="Book Antiqua" w:hAnsi="Book Antiqua"/>
      <w:sz w:val="20"/>
      <w:szCs w:val="20"/>
    </w:rPr>
  </w:style>
  <w:style w:type="character" w:styleId="EndnoteReference">
    <w:name w:val="endnote reference"/>
    <w:basedOn w:val="DefaultParagraphFont"/>
    <w:uiPriority w:val="99"/>
    <w:semiHidden/>
    <w:unhideWhenUsed/>
    <w:rsid w:val="00153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788932764">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8413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587/K925/587925211.pdf" TargetMode="External" Id="Rdb09bed26aee41d7" /></Relationships>
</file>

<file path=word/_rels/footnotes.xml.rels><?xml version="1.0" encoding="UTF-8" standalone="yes"?>
<Relationships xmlns="http://schemas.openxmlformats.org/package/2006/relationships"><Relationship Id="rId2" Type="http://schemas.openxmlformats.org/officeDocument/2006/relationships/hyperlink" Target="https://www.auditor.ca.gov/reports/2023-127/" TargetMode="External"/><Relationship Id="rId1" Type="http://schemas.openxmlformats.org/officeDocument/2006/relationships/hyperlink" Target="https://www.gov.ca.gov/wp-content/uploads/2024/10/energy-EO-10-3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1676</ap:Words>
  <ap:Characters>9358</ap:Characters>
  <ap:Application>Microsoft Office Word</ap:Application>
  <ap:DocSecurity>0</ap:DocSecurity>
  <ap:Lines>222</ap:Lines>
  <ap:Paragraphs>110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10924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2025-11-18T15:06:40Z</dcterms:created>
  <dcterms:modified xsi:type="dcterms:W3CDTF">2025-11-18T15:06:40Z</dcterms:modified>
</cp:coreProperties>
</file>