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2AE" w:rsidP="00473E10" w:rsidRDefault="001372AE" w14:paraId="430128B7" w14:textId="77777777">
      <w:pPr>
        <w:tabs>
          <w:tab w:val="center" w:pos="4230"/>
          <w:tab w:val="right" w:pos="9360"/>
        </w:tabs>
        <w:spacing w:line="240" w:lineRule="auto"/>
        <w:ind w:firstLine="0"/>
      </w:pPr>
      <w:r>
        <w:t>ALJ/HCF/</w:t>
      </w:r>
      <w:proofErr w:type="spellStart"/>
      <w:r>
        <w:t>asf</w:t>
      </w:r>
      <w:proofErr w:type="spellEnd"/>
      <w:r>
        <w:tab/>
      </w:r>
      <w:proofErr w:type="spellStart"/>
      <w:r>
        <w:rPr>
          <w:rFonts w:ascii="Arial" w:hAnsi="Arial" w:cs="Arial"/>
          <w:b/>
          <w:sz w:val="32"/>
          <w:szCs w:val="32"/>
        </w:rPr>
        <w:t>PROPOSED</w:t>
      </w:r>
      <w:proofErr w:type="spellEnd"/>
      <w:r>
        <w:rPr>
          <w:rFonts w:ascii="Arial" w:hAnsi="Arial" w:cs="Arial"/>
          <w:b/>
          <w:sz w:val="32"/>
          <w:szCs w:val="32"/>
        </w:rPr>
        <w:t xml:space="preserve"> DECISION</w:t>
      </w:r>
      <w:r>
        <w:tab/>
      </w:r>
      <w:r w:rsidRPr="00EE4315">
        <w:rPr>
          <w:b/>
        </w:rPr>
        <w:t>Agenda ID</w:t>
      </w:r>
      <w:r>
        <w:rPr>
          <w:b/>
        </w:rPr>
        <w:t>#23820 (Rev. 1)</w:t>
      </w:r>
    </w:p>
    <w:p w:rsidR="001372AE" w:rsidP="001372AE" w:rsidRDefault="001372AE" w14:paraId="1E83C33C" w14:textId="77777777">
      <w:pPr>
        <w:spacing w:line="240" w:lineRule="auto"/>
        <w:jc w:val="right"/>
        <w:rPr>
          <w:b/>
        </w:rPr>
      </w:pPr>
      <w:proofErr w:type="spellStart"/>
      <w:r>
        <w:rPr>
          <w:b/>
        </w:rPr>
        <w:t>Ratesetting</w:t>
      </w:r>
      <w:proofErr w:type="spellEnd"/>
    </w:p>
    <w:p w:rsidR="001372AE" w:rsidP="001372AE" w:rsidRDefault="001372AE" w14:paraId="3FE5849A" w14:textId="77777777">
      <w:pPr>
        <w:spacing w:line="240" w:lineRule="auto"/>
        <w:jc w:val="right"/>
        <w:rPr>
          <w:b/>
        </w:rPr>
      </w:pPr>
      <w:r>
        <w:rPr>
          <w:b/>
        </w:rPr>
        <w:t>11/20/2025 Item #14</w:t>
      </w:r>
    </w:p>
    <w:p w:rsidRPr="00EE4315" w:rsidR="001372AE" w:rsidP="001372AE" w:rsidRDefault="001372AE" w14:paraId="631CDD70" w14:textId="77777777">
      <w:pPr>
        <w:spacing w:line="240" w:lineRule="auto"/>
        <w:jc w:val="right"/>
        <w:rPr>
          <w:b/>
        </w:rPr>
      </w:pPr>
    </w:p>
    <w:p w:rsidR="001372AE" w:rsidP="001372AE" w:rsidRDefault="001372AE" w14:paraId="6567F531" w14:textId="77777777">
      <w:pPr>
        <w:ind w:firstLine="0"/>
      </w:pPr>
    </w:p>
    <w:p w:rsidRPr="006D0F13" w:rsidR="001372AE" w:rsidP="001372AE" w:rsidRDefault="001372AE" w14:paraId="60363B08" w14:textId="77777777">
      <w:pPr>
        <w:spacing w:line="240" w:lineRule="auto"/>
        <w:ind w:firstLine="0"/>
      </w:pPr>
      <w:r w:rsidRPr="006D0F13">
        <w:t xml:space="preserve">Decision </w:t>
      </w:r>
      <w:r w:rsidRPr="006D0F13">
        <w:rPr>
          <w:b/>
          <w:bCs/>
          <w:u w:val="single"/>
        </w:rPr>
        <w:t xml:space="preserve">PROPOSED DECISION OF ALJ FORTUNE (Mailed </w:t>
      </w:r>
      <w:r>
        <w:rPr>
          <w:b/>
          <w:bCs/>
          <w:u w:val="single"/>
        </w:rPr>
        <w:t>10/17/2025</w:t>
      </w:r>
      <w:r w:rsidRPr="006D0F13">
        <w:rPr>
          <w:b/>
          <w:bCs/>
          <w:u w:val="single"/>
        </w:rPr>
        <w:t>)</w:t>
      </w:r>
    </w:p>
    <w:p w:rsidR="001372AE" w:rsidP="001372AE" w:rsidRDefault="001372AE" w14:paraId="1B8380C5" w14:textId="77777777">
      <w:pPr>
        <w:spacing w:line="240" w:lineRule="auto"/>
        <w:jc w:val="center"/>
        <w:rPr>
          <w:u w:val="single"/>
        </w:rPr>
      </w:pPr>
    </w:p>
    <w:p w:rsidR="001372AE" w:rsidP="001372AE" w:rsidRDefault="001372AE" w14:paraId="1EEFB765" w14:textId="77777777">
      <w:pPr>
        <w:spacing w:line="240" w:lineRule="auto"/>
        <w:jc w:val="center"/>
        <w:rPr>
          <w:u w:val="single"/>
        </w:rPr>
      </w:pPr>
    </w:p>
    <w:p w:rsidR="001372AE" w:rsidP="001372AE" w:rsidRDefault="001372AE" w14:paraId="6D5B6F83"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1372AE" w:rsidP="001372AE" w:rsidRDefault="001372AE" w14:paraId="67D1DBEA" w14:textId="77777777">
      <w:pPr>
        <w:spacing w:line="240" w:lineRule="auto"/>
        <w:ind w:firstLine="0"/>
        <w:rPr>
          <w:rFonts w:ascii="Arial" w:hAnsi="Arial" w:cs="Arial"/>
          <w:sz w:val="24"/>
          <w:szCs w:val="24"/>
        </w:rPr>
      </w:pPr>
    </w:p>
    <w:p w:rsidR="001372AE" w:rsidP="001372AE" w:rsidRDefault="001372AE" w14:paraId="78EE8C6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1372AE" w:rsidTr="006175DF" w14:paraId="4DD596F1" w14:textId="77777777">
        <w:trPr>
          <w:jc w:val="center"/>
        </w:trPr>
        <w:tc>
          <w:tcPr>
            <w:tcW w:w="5040" w:type="dxa"/>
            <w:tcBorders>
              <w:top w:val="nil"/>
              <w:left w:val="nil"/>
              <w:bottom w:val="single" w:color="auto" w:sz="4" w:space="0"/>
              <w:right w:val="single" w:color="auto" w:sz="4" w:space="0"/>
            </w:tcBorders>
          </w:tcPr>
          <w:p w:rsidRPr="00DA7B5D" w:rsidR="001372AE" w:rsidP="006175DF" w:rsidRDefault="001372AE" w14:paraId="728E2B6E" w14:textId="77777777">
            <w:pPr>
              <w:spacing w:line="240" w:lineRule="auto"/>
              <w:ind w:firstLine="0"/>
              <w:rPr>
                <w:rFonts w:cs="Arial"/>
                <w:szCs w:val="26"/>
              </w:rPr>
            </w:pPr>
            <w:r w:rsidRPr="006D0F13">
              <w:rPr>
                <w:rFonts w:cs="Arial"/>
                <w:szCs w:val="26"/>
              </w:rPr>
              <w:t xml:space="preserve">Order Instituting Rulemaking to Evaluate the </w:t>
            </w:r>
            <w:proofErr w:type="spellStart"/>
            <w:r w:rsidRPr="006D0F13">
              <w:rPr>
                <w:rFonts w:cs="Arial"/>
                <w:szCs w:val="26"/>
              </w:rPr>
              <w:t>Mobilehome</w:t>
            </w:r>
            <w:proofErr w:type="spellEnd"/>
            <w:r w:rsidRPr="006D0F13">
              <w:rPr>
                <w:rFonts w:cs="Arial"/>
                <w:szCs w:val="26"/>
              </w:rPr>
              <w:t xml:space="preserve"> Park Pilot Program and to Adopt Programmatic Modifications.</w:t>
            </w:r>
            <w:r w:rsidRPr="00DA7B5D">
              <w:rPr>
                <w:rFonts w:cs="Arial"/>
                <w:szCs w:val="26"/>
              </w:rPr>
              <w:br/>
            </w:r>
          </w:p>
        </w:tc>
        <w:tc>
          <w:tcPr>
            <w:tcW w:w="5040" w:type="dxa"/>
            <w:tcBorders>
              <w:top w:val="nil"/>
              <w:left w:val="single" w:color="auto" w:sz="4" w:space="0"/>
              <w:bottom w:val="nil"/>
              <w:right w:val="nil"/>
            </w:tcBorders>
            <w:vAlign w:val="center"/>
          </w:tcPr>
          <w:p w:rsidRPr="00DA7B5D" w:rsidR="001372AE" w:rsidP="006175DF" w:rsidRDefault="001372AE" w14:paraId="53250249" w14:textId="77777777">
            <w:pPr>
              <w:spacing w:line="240" w:lineRule="auto"/>
              <w:ind w:firstLine="0"/>
              <w:jc w:val="center"/>
              <w:rPr>
                <w:rFonts w:cs="Arial"/>
                <w:szCs w:val="26"/>
              </w:rPr>
            </w:pPr>
            <w:r w:rsidRPr="006D0F13">
              <w:rPr>
                <w:rFonts w:cs="Arial"/>
                <w:szCs w:val="26"/>
              </w:rPr>
              <w:t>Rulemaking 18-04-018</w:t>
            </w:r>
          </w:p>
        </w:tc>
      </w:tr>
    </w:tbl>
    <w:p w:rsidR="001372AE" w:rsidP="001372AE" w:rsidRDefault="001372AE" w14:paraId="160C6F06" w14:textId="77777777">
      <w:pPr>
        <w:spacing w:line="240" w:lineRule="auto"/>
        <w:ind w:firstLine="0"/>
        <w:rPr>
          <w:rFonts w:ascii="Arial" w:hAnsi="Arial" w:cs="Arial"/>
          <w:sz w:val="24"/>
          <w:szCs w:val="24"/>
        </w:rPr>
      </w:pPr>
    </w:p>
    <w:p w:rsidR="001372AE" w:rsidP="001372AE" w:rsidRDefault="001372AE" w14:paraId="760BF9FD" w14:textId="77777777">
      <w:pPr>
        <w:spacing w:line="240" w:lineRule="auto"/>
        <w:ind w:firstLine="0"/>
        <w:rPr>
          <w:rFonts w:ascii="Arial" w:hAnsi="Arial" w:cs="Arial"/>
          <w:sz w:val="24"/>
          <w:szCs w:val="24"/>
        </w:rPr>
      </w:pPr>
    </w:p>
    <w:p w:rsidR="001372AE" w:rsidP="001372AE" w:rsidRDefault="001372AE" w14:paraId="448263AF" w14:textId="77777777">
      <w:pPr>
        <w:pStyle w:val="Main"/>
        <w:rPr>
          <w:rFonts w:cs="Arial"/>
          <w:szCs w:val="26"/>
        </w:rPr>
      </w:pPr>
      <w:bookmarkStart w:name="_Toc204269580" w:id="0"/>
      <w:r w:rsidRPr="006D0F13">
        <w:rPr>
          <w:rFonts w:cs="Arial"/>
          <w:szCs w:val="26"/>
        </w:rPr>
        <w:t xml:space="preserve">DECISION ESTABLISHING AN ELECTRIFICATION </w:t>
      </w:r>
      <w:r>
        <w:rPr>
          <w:rFonts w:cs="Arial"/>
          <w:szCs w:val="26"/>
        </w:rPr>
        <w:t xml:space="preserve">PILOT </w:t>
      </w:r>
      <w:r w:rsidRPr="006D0F13">
        <w:rPr>
          <w:rFonts w:cs="Arial"/>
          <w:szCs w:val="26"/>
        </w:rPr>
        <w:t>INITIATIVE FOR MOBILEHOME PARKS</w:t>
      </w:r>
      <w:bookmarkEnd w:id="0"/>
      <w:r w:rsidRPr="006D0F13">
        <w:rPr>
          <w:rFonts w:cs="Arial"/>
          <w:szCs w:val="26"/>
        </w:rPr>
        <w:t xml:space="preserve"> </w:t>
      </w:r>
    </w:p>
    <w:p w:rsidRPr="006D0F13" w:rsidR="001372AE" w:rsidP="001372AE" w:rsidRDefault="001372AE" w14:paraId="59370551" w14:textId="77777777">
      <w:pPr>
        <w:tabs>
          <w:tab w:val="center" w:pos="5040"/>
        </w:tabs>
        <w:sectPr w:rsidRPr="006D0F13" w:rsidR="001372AE" w:rsidSect="001372AE">
          <w:headerReference w:type="first" r:id="rId11"/>
          <w:footerReference w:type="first" r:id="rId12"/>
          <w:pgSz w:w="12240" w:h="15840"/>
          <w:pgMar w:top="1440" w:right="1440" w:bottom="1440" w:left="1440" w:header="720" w:footer="720" w:gutter="0"/>
          <w:pgNumType w:start="1"/>
          <w:cols w:space="720"/>
          <w:titlePg/>
          <w:docGrid w:linePitch="360"/>
        </w:sectPr>
      </w:pPr>
    </w:p>
    <w:p w:rsidRPr="001E2A62" w:rsidR="001372AE" w:rsidP="001372AE" w:rsidRDefault="001372AE" w14:paraId="2ED3DEFA" w14:textId="77777777">
      <w:pPr>
        <w:pStyle w:val="Main"/>
        <w:rPr>
          <w:rFonts w:ascii="Book Antiqua" w:hAnsi="Book Antiqua"/>
        </w:rPr>
      </w:pPr>
      <w:r w:rsidRPr="001E2A62">
        <w:rPr>
          <w:rFonts w:ascii="Book Antiqua" w:hAnsi="Book Antiqua"/>
        </w:rPr>
        <w:lastRenderedPageBreak/>
        <w:t>TABLE OF CONTENTS</w:t>
      </w:r>
    </w:p>
    <w:p w:rsidRPr="00D50119" w:rsidR="001372AE" w:rsidP="001372AE" w:rsidRDefault="001372AE" w14:paraId="111DDB8A" w14:textId="77777777">
      <w:pPr>
        <w:tabs>
          <w:tab w:val="right" w:pos="9360"/>
        </w:tabs>
        <w:ind w:firstLine="0"/>
      </w:pPr>
      <w:r w:rsidRPr="00D50119">
        <w:rPr>
          <w:b/>
        </w:rPr>
        <w:t>Title</w:t>
      </w:r>
      <w:r>
        <w:tab/>
      </w:r>
      <w:r w:rsidRPr="00D50119">
        <w:rPr>
          <w:b/>
        </w:rPr>
        <w:t>Page</w:t>
      </w:r>
    </w:p>
    <w:sdt>
      <w:sdtPr>
        <w:id w:val="725629041"/>
        <w:docPartObj>
          <w:docPartGallery w:val="Table of Contents"/>
          <w:docPartUnique/>
        </w:docPartObj>
      </w:sdtPr>
      <w:sdtContent>
        <w:p w:rsidR="001372AE" w:rsidP="00045187" w:rsidRDefault="001372AE" w14:paraId="417BF1E2" w14:textId="6D7AB642">
          <w:pPr>
            <w:pStyle w:val="TOC1"/>
            <w:tabs>
              <w:tab w:val="right" w:leader="dot" w:pos="9345"/>
            </w:tabs>
            <w:ind w:left="0" w:firstLine="0"/>
            <w:rPr>
              <w:rStyle w:val="Hyperlink"/>
              <w:noProof/>
              <w:kern w:val="2"/>
              <w14:ligatures w14:val="standardContextual"/>
            </w:rPr>
          </w:pPr>
          <w:r>
            <w:fldChar w:fldCharType="begin"/>
          </w:r>
          <w:r>
            <w:instrText>TOC \o "1-6" \z \u \h</w:instrText>
          </w:r>
          <w:r>
            <w:fldChar w:fldCharType="separate"/>
          </w:r>
          <w:hyperlink w:anchor="_Toc887465578">
            <w:r w:rsidRPr="2EC8422F">
              <w:rPr>
                <w:rStyle w:val="Hyperlink"/>
                <w:noProof/>
              </w:rPr>
              <w:t>DECISION ESTABLISHING AN ELECTRIFICATION INITIATIVE FOR MOBILEHOME PARKS</w:t>
            </w:r>
            <w:r>
              <w:rPr>
                <w:noProof/>
              </w:rPr>
              <w:tab/>
            </w:r>
            <w:r>
              <w:rPr>
                <w:noProof/>
              </w:rPr>
              <w:fldChar w:fldCharType="begin"/>
            </w:r>
            <w:r>
              <w:rPr>
                <w:noProof/>
              </w:rPr>
              <w:instrText>PAGEREF _Toc887465578 \h</w:instrText>
            </w:r>
            <w:r>
              <w:rPr>
                <w:noProof/>
              </w:rPr>
            </w:r>
            <w:r>
              <w:rPr>
                <w:noProof/>
              </w:rPr>
              <w:fldChar w:fldCharType="separate"/>
            </w:r>
            <w:r w:rsidR="00D40328">
              <w:rPr>
                <w:noProof/>
              </w:rPr>
              <w:t>1</w:t>
            </w:r>
            <w:r>
              <w:rPr>
                <w:noProof/>
              </w:rPr>
              <w:fldChar w:fldCharType="end"/>
            </w:r>
          </w:hyperlink>
        </w:p>
        <w:p w:rsidRPr="000D00FE" w:rsidR="001372AE" w:rsidP="001372AE" w:rsidRDefault="001372AE" w14:paraId="4AFB4025" w14:textId="2B02C04A">
          <w:pPr>
            <w:pStyle w:val="TOC1"/>
            <w:tabs>
              <w:tab w:val="right" w:leader="dot" w:pos="9345"/>
            </w:tabs>
            <w:rPr>
              <w:rStyle w:val="Hyperlink"/>
              <w:noProof/>
              <w:kern w:val="2"/>
              <w14:ligatures w14:val="standardContextual"/>
            </w:rPr>
          </w:pPr>
          <w:hyperlink w:anchor="_Toc1731838527">
            <w:r w:rsidRPr="2EC8422F">
              <w:rPr>
                <w:rStyle w:val="Hyperlink"/>
                <w:noProof/>
              </w:rPr>
              <w:t>Summary</w:t>
            </w:r>
            <w:r>
              <w:rPr>
                <w:noProof/>
              </w:rPr>
              <w:tab/>
            </w:r>
            <w:r>
              <w:rPr>
                <w:noProof/>
              </w:rPr>
              <w:fldChar w:fldCharType="begin"/>
            </w:r>
            <w:r>
              <w:rPr>
                <w:noProof/>
              </w:rPr>
              <w:instrText>PAGEREF _Toc1731838527 \h</w:instrText>
            </w:r>
            <w:r>
              <w:rPr>
                <w:noProof/>
              </w:rPr>
            </w:r>
            <w:r>
              <w:rPr>
                <w:noProof/>
              </w:rPr>
              <w:fldChar w:fldCharType="separate"/>
            </w:r>
            <w:r w:rsidR="00D40328">
              <w:rPr>
                <w:noProof/>
              </w:rPr>
              <w:t>1</w:t>
            </w:r>
            <w:r>
              <w:rPr>
                <w:noProof/>
              </w:rPr>
              <w:fldChar w:fldCharType="end"/>
            </w:r>
          </w:hyperlink>
        </w:p>
        <w:p w:rsidR="001372AE" w:rsidP="001372AE" w:rsidRDefault="001372AE" w14:paraId="23D8AB80" w14:textId="0D7D59B8">
          <w:pPr>
            <w:pStyle w:val="TOC1"/>
            <w:tabs>
              <w:tab w:val="left" w:pos="510"/>
              <w:tab w:val="right" w:leader="dot" w:pos="9345"/>
            </w:tabs>
            <w:rPr>
              <w:rStyle w:val="Hyperlink"/>
              <w:noProof/>
              <w:kern w:val="2"/>
              <w14:ligatures w14:val="standardContextual"/>
            </w:rPr>
          </w:pPr>
          <w:hyperlink w:anchor="_Toc33912008">
            <w:r w:rsidRPr="2EC8422F">
              <w:rPr>
                <w:rStyle w:val="Hyperlink"/>
                <w:noProof/>
              </w:rPr>
              <w:t>1.</w:t>
            </w:r>
            <w:r>
              <w:rPr>
                <w:noProof/>
              </w:rPr>
              <w:tab/>
            </w:r>
            <w:r w:rsidRPr="2EC8422F">
              <w:rPr>
                <w:rStyle w:val="Hyperlink"/>
                <w:noProof/>
              </w:rPr>
              <w:t>Background</w:t>
            </w:r>
            <w:r>
              <w:rPr>
                <w:noProof/>
              </w:rPr>
              <w:tab/>
            </w:r>
            <w:r>
              <w:rPr>
                <w:noProof/>
              </w:rPr>
              <w:fldChar w:fldCharType="begin"/>
            </w:r>
            <w:r>
              <w:rPr>
                <w:noProof/>
              </w:rPr>
              <w:instrText>PAGEREF _Toc33912008 \h</w:instrText>
            </w:r>
            <w:r>
              <w:rPr>
                <w:noProof/>
              </w:rPr>
            </w:r>
            <w:r>
              <w:rPr>
                <w:noProof/>
              </w:rPr>
              <w:fldChar w:fldCharType="separate"/>
            </w:r>
            <w:r w:rsidR="00D40328">
              <w:rPr>
                <w:noProof/>
              </w:rPr>
              <w:t>1</w:t>
            </w:r>
            <w:r>
              <w:rPr>
                <w:noProof/>
              </w:rPr>
              <w:fldChar w:fldCharType="end"/>
            </w:r>
          </w:hyperlink>
        </w:p>
        <w:p w:rsidR="001372AE" w:rsidP="001372AE" w:rsidRDefault="001372AE" w14:paraId="4A382218" w14:textId="7C5E0909">
          <w:pPr>
            <w:pStyle w:val="TOC1"/>
            <w:tabs>
              <w:tab w:val="left" w:pos="510"/>
              <w:tab w:val="right" w:leader="dot" w:pos="9345"/>
            </w:tabs>
            <w:rPr>
              <w:rStyle w:val="Hyperlink"/>
              <w:noProof/>
              <w:kern w:val="2"/>
              <w14:ligatures w14:val="standardContextual"/>
            </w:rPr>
          </w:pPr>
          <w:hyperlink w:anchor="_Toc479422631">
            <w:r w:rsidRPr="2EC8422F">
              <w:rPr>
                <w:rStyle w:val="Hyperlink"/>
                <w:noProof/>
              </w:rPr>
              <w:t>2.</w:t>
            </w:r>
            <w:r>
              <w:rPr>
                <w:noProof/>
              </w:rPr>
              <w:tab/>
            </w:r>
            <w:r w:rsidRPr="2EC8422F">
              <w:rPr>
                <w:rStyle w:val="Hyperlink"/>
                <w:noProof/>
              </w:rPr>
              <w:t>Jurisdiction</w:t>
            </w:r>
            <w:r>
              <w:rPr>
                <w:noProof/>
              </w:rPr>
              <w:tab/>
            </w:r>
            <w:r>
              <w:rPr>
                <w:noProof/>
              </w:rPr>
              <w:fldChar w:fldCharType="begin"/>
            </w:r>
            <w:r>
              <w:rPr>
                <w:noProof/>
              </w:rPr>
              <w:instrText>PAGEREF _Toc479422631 \h</w:instrText>
            </w:r>
            <w:r>
              <w:rPr>
                <w:noProof/>
              </w:rPr>
            </w:r>
            <w:r>
              <w:rPr>
                <w:noProof/>
              </w:rPr>
              <w:fldChar w:fldCharType="separate"/>
            </w:r>
            <w:r w:rsidR="00D40328">
              <w:rPr>
                <w:noProof/>
              </w:rPr>
              <w:t>2</w:t>
            </w:r>
            <w:r>
              <w:rPr>
                <w:noProof/>
              </w:rPr>
              <w:fldChar w:fldCharType="end"/>
            </w:r>
          </w:hyperlink>
        </w:p>
        <w:p w:rsidR="001372AE" w:rsidP="001372AE" w:rsidRDefault="001372AE" w14:paraId="6680CF54" w14:textId="58E8C66E">
          <w:pPr>
            <w:pStyle w:val="TOC1"/>
            <w:tabs>
              <w:tab w:val="left" w:pos="510"/>
              <w:tab w:val="right" w:leader="dot" w:pos="9345"/>
            </w:tabs>
            <w:rPr>
              <w:rStyle w:val="Hyperlink"/>
              <w:noProof/>
              <w:kern w:val="2"/>
              <w14:ligatures w14:val="standardContextual"/>
            </w:rPr>
          </w:pPr>
          <w:hyperlink w:anchor="_Toc39417530">
            <w:r w:rsidRPr="2EC8422F">
              <w:rPr>
                <w:rStyle w:val="Hyperlink"/>
                <w:noProof/>
              </w:rPr>
              <w:t>3.</w:t>
            </w:r>
            <w:r>
              <w:rPr>
                <w:noProof/>
              </w:rPr>
              <w:tab/>
            </w:r>
            <w:r w:rsidRPr="2EC8422F">
              <w:rPr>
                <w:rStyle w:val="Hyperlink"/>
                <w:noProof/>
              </w:rPr>
              <w:t>Procedural Background</w:t>
            </w:r>
            <w:r>
              <w:rPr>
                <w:noProof/>
              </w:rPr>
              <w:tab/>
            </w:r>
            <w:r>
              <w:rPr>
                <w:noProof/>
              </w:rPr>
              <w:fldChar w:fldCharType="begin"/>
            </w:r>
            <w:r>
              <w:rPr>
                <w:noProof/>
              </w:rPr>
              <w:instrText>PAGEREF _Toc39417530 \h</w:instrText>
            </w:r>
            <w:r>
              <w:rPr>
                <w:noProof/>
              </w:rPr>
            </w:r>
            <w:r>
              <w:rPr>
                <w:noProof/>
              </w:rPr>
              <w:fldChar w:fldCharType="separate"/>
            </w:r>
            <w:r w:rsidR="00D40328">
              <w:rPr>
                <w:noProof/>
              </w:rPr>
              <w:t>4</w:t>
            </w:r>
            <w:r>
              <w:rPr>
                <w:noProof/>
              </w:rPr>
              <w:fldChar w:fldCharType="end"/>
            </w:r>
          </w:hyperlink>
        </w:p>
        <w:p w:rsidR="001372AE" w:rsidP="001372AE" w:rsidRDefault="001372AE" w14:paraId="769EB6D5" w14:textId="35F7D7E4">
          <w:pPr>
            <w:pStyle w:val="TOC1"/>
            <w:tabs>
              <w:tab w:val="left" w:pos="510"/>
              <w:tab w:val="right" w:leader="dot" w:pos="9345"/>
            </w:tabs>
            <w:rPr>
              <w:rStyle w:val="Hyperlink"/>
              <w:noProof/>
              <w:kern w:val="2"/>
              <w14:ligatures w14:val="standardContextual"/>
            </w:rPr>
          </w:pPr>
          <w:hyperlink w:anchor="_Toc1040972760">
            <w:r w:rsidRPr="2EC8422F">
              <w:rPr>
                <w:rStyle w:val="Hyperlink"/>
                <w:noProof/>
              </w:rPr>
              <w:t>4.</w:t>
            </w:r>
            <w:r>
              <w:rPr>
                <w:noProof/>
              </w:rPr>
              <w:tab/>
            </w:r>
            <w:r w:rsidRPr="2EC8422F">
              <w:rPr>
                <w:rStyle w:val="Hyperlink"/>
                <w:noProof/>
              </w:rPr>
              <w:t>Issues Before the Commission</w:t>
            </w:r>
            <w:r>
              <w:rPr>
                <w:noProof/>
              </w:rPr>
              <w:tab/>
            </w:r>
            <w:r>
              <w:rPr>
                <w:noProof/>
              </w:rPr>
              <w:fldChar w:fldCharType="begin"/>
            </w:r>
            <w:r>
              <w:rPr>
                <w:noProof/>
              </w:rPr>
              <w:instrText>PAGEREF _Toc1040972760 \h</w:instrText>
            </w:r>
            <w:r>
              <w:rPr>
                <w:noProof/>
              </w:rPr>
            </w:r>
            <w:r>
              <w:rPr>
                <w:noProof/>
              </w:rPr>
              <w:fldChar w:fldCharType="separate"/>
            </w:r>
            <w:r w:rsidR="00D40328">
              <w:rPr>
                <w:noProof/>
              </w:rPr>
              <w:t>5</w:t>
            </w:r>
            <w:r>
              <w:rPr>
                <w:noProof/>
              </w:rPr>
              <w:fldChar w:fldCharType="end"/>
            </w:r>
          </w:hyperlink>
        </w:p>
        <w:p w:rsidR="001372AE" w:rsidP="001372AE" w:rsidRDefault="001372AE" w14:paraId="41D90A1B" w14:textId="368D8728">
          <w:pPr>
            <w:pStyle w:val="TOC1"/>
            <w:tabs>
              <w:tab w:val="left" w:pos="510"/>
              <w:tab w:val="right" w:leader="dot" w:pos="9345"/>
            </w:tabs>
            <w:rPr>
              <w:rStyle w:val="Hyperlink"/>
              <w:noProof/>
              <w:kern w:val="2"/>
              <w14:ligatures w14:val="standardContextual"/>
            </w:rPr>
          </w:pPr>
          <w:hyperlink w:anchor="_Toc512838650">
            <w:r w:rsidRPr="2EC8422F">
              <w:rPr>
                <w:rStyle w:val="Hyperlink"/>
                <w:noProof/>
              </w:rPr>
              <w:t>5.</w:t>
            </w:r>
            <w:r>
              <w:rPr>
                <w:noProof/>
              </w:rPr>
              <w:tab/>
            </w:r>
            <w:r w:rsidRPr="2EC8422F">
              <w:rPr>
                <w:rStyle w:val="Hyperlink"/>
                <w:noProof/>
              </w:rPr>
              <w:t>Mobilehome Park Electrification Pilot Initiative</w:t>
            </w:r>
            <w:r>
              <w:rPr>
                <w:noProof/>
              </w:rPr>
              <w:tab/>
            </w:r>
            <w:r>
              <w:rPr>
                <w:noProof/>
              </w:rPr>
              <w:fldChar w:fldCharType="begin"/>
            </w:r>
            <w:r>
              <w:rPr>
                <w:noProof/>
              </w:rPr>
              <w:instrText>PAGEREF _Toc512838650 \h</w:instrText>
            </w:r>
            <w:r>
              <w:rPr>
                <w:noProof/>
              </w:rPr>
            </w:r>
            <w:r>
              <w:rPr>
                <w:noProof/>
              </w:rPr>
              <w:fldChar w:fldCharType="separate"/>
            </w:r>
            <w:r w:rsidR="00D40328">
              <w:rPr>
                <w:noProof/>
              </w:rPr>
              <w:t>5</w:t>
            </w:r>
            <w:r>
              <w:rPr>
                <w:noProof/>
              </w:rPr>
              <w:fldChar w:fldCharType="end"/>
            </w:r>
          </w:hyperlink>
        </w:p>
        <w:p w:rsidR="001372AE" w:rsidP="001372AE" w:rsidRDefault="001372AE" w14:paraId="3E658A0C" w14:textId="49320388">
          <w:pPr>
            <w:pStyle w:val="TOC2"/>
            <w:tabs>
              <w:tab w:val="left" w:pos="780"/>
              <w:tab w:val="right" w:leader="dot" w:pos="9345"/>
            </w:tabs>
            <w:rPr>
              <w:rStyle w:val="Hyperlink"/>
              <w:noProof/>
              <w:kern w:val="2"/>
              <w14:ligatures w14:val="standardContextual"/>
            </w:rPr>
          </w:pPr>
          <w:hyperlink w:anchor="_Toc1871414221">
            <w:r w:rsidRPr="2EC8422F">
              <w:rPr>
                <w:rStyle w:val="Hyperlink"/>
                <w:noProof/>
              </w:rPr>
              <w:t>5.1.</w:t>
            </w:r>
            <w:r>
              <w:rPr>
                <w:noProof/>
              </w:rPr>
              <w:tab/>
            </w:r>
            <w:r w:rsidRPr="2EC8422F">
              <w:rPr>
                <w:rStyle w:val="Hyperlink"/>
                <w:noProof/>
              </w:rPr>
              <w:t>Considering an Electrification Pilot</w:t>
            </w:r>
            <w:r>
              <w:rPr>
                <w:noProof/>
              </w:rPr>
              <w:tab/>
            </w:r>
            <w:r>
              <w:rPr>
                <w:noProof/>
              </w:rPr>
              <w:fldChar w:fldCharType="begin"/>
            </w:r>
            <w:r>
              <w:rPr>
                <w:noProof/>
              </w:rPr>
              <w:instrText>PAGEREF _Toc1871414221 \h</w:instrText>
            </w:r>
            <w:r>
              <w:rPr>
                <w:noProof/>
              </w:rPr>
            </w:r>
            <w:r>
              <w:rPr>
                <w:noProof/>
              </w:rPr>
              <w:fldChar w:fldCharType="separate"/>
            </w:r>
            <w:r w:rsidR="00D40328">
              <w:rPr>
                <w:noProof/>
              </w:rPr>
              <w:t>5</w:t>
            </w:r>
            <w:r>
              <w:rPr>
                <w:noProof/>
              </w:rPr>
              <w:fldChar w:fldCharType="end"/>
            </w:r>
          </w:hyperlink>
        </w:p>
        <w:p w:rsidR="001372AE" w:rsidP="001372AE" w:rsidRDefault="001372AE" w14:paraId="586DB8D6" w14:textId="098AE85A">
          <w:pPr>
            <w:pStyle w:val="TOC3"/>
            <w:tabs>
              <w:tab w:val="left" w:pos="1560"/>
              <w:tab w:val="right" w:leader="dot" w:pos="9345"/>
            </w:tabs>
            <w:rPr>
              <w:rStyle w:val="Hyperlink"/>
              <w:noProof/>
              <w:kern w:val="2"/>
              <w14:ligatures w14:val="standardContextual"/>
            </w:rPr>
          </w:pPr>
          <w:hyperlink w:anchor="_Toc669948126">
            <w:r w:rsidRPr="2EC8422F">
              <w:rPr>
                <w:rStyle w:val="Hyperlink"/>
                <w:noProof/>
              </w:rPr>
              <w:t>5.1.1.</w:t>
            </w:r>
            <w:r>
              <w:rPr>
                <w:noProof/>
              </w:rPr>
              <w:tab/>
            </w:r>
            <w:r w:rsidRPr="2EC8422F">
              <w:rPr>
                <w:rStyle w:val="Hyperlink"/>
                <w:noProof/>
              </w:rPr>
              <w:t>Staff Electrification Initiative Pilot Proposal</w:t>
            </w:r>
            <w:r>
              <w:rPr>
                <w:noProof/>
              </w:rPr>
              <w:tab/>
            </w:r>
            <w:r>
              <w:rPr>
                <w:noProof/>
              </w:rPr>
              <w:fldChar w:fldCharType="begin"/>
            </w:r>
            <w:r>
              <w:rPr>
                <w:noProof/>
              </w:rPr>
              <w:instrText>PAGEREF _Toc669948126 \h</w:instrText>
            </w:r>
            <w:r>
              <w:rPr>
                <w:noProof/>
              </w:rPr>
            </w:r>
            <w:r>
              <w:rPr>
                <w:noProof/>
              </w:rPr>
              <w:fldChar w:fldCharType="separate"/>
            </w:r>
            <w:r w:rsidR="00D40328">
              <w:rPr>
                <w:noProof/>
              </w:rPr>
              <w:t>6</w:t>
            </w:r>
            <w:r>
              <w:rPr>
                <w:noProof/>
              </w:rPr>
              <w:fldChar w:fldCharType="end"/>
            </w:r>
          </w:hyperlink>
        </w:p>
        <w:p w:rsidR="001372AE" w:rsidP="001372AE" w:rsidRDefault="001372AE" w14:paraId="0458D8B7" w14:textId="798AC79A">
          <w:pPr>
            <w:pStyle w:val="TOC3"/>
            <w:tabs>
              <w:tab w:val="left" w:pos="1560"/>
              <w:tab w:val="right" w:leader="dot" w:pos="9345"/>
            </w:tabs>
            <w:rPr>
              <w:rStyle w:val="Hyperlink"/>
              <w:noProof/>
              <w:kern w:val="2"/>
              <w14:ligatures w14:val="standardContextual"/>
            </w:rPr>
          </w:pPr>
          <w:hyperlink w:anchor="_Toc772314269">
            <w:r w:rsidRPr="2EC8422F">
              <w:rPr>
                <w:rStyle w:val="Hyperlink"/>
                <w:noProof/>
              </w:rPr>
              <w:t>5.1.2.</w:t>
            </w:r>
            <w:r>
              <w:rPr>
                <w:noProof/>
              </w:rPr>
              <w:tab/>
            </w:r>
            <w:r w:rsidRPr="2EC8422F">
              <w:rPr>
                <w:rStyle w:val="Hyperlink"/>
                <w:noProof/>
              </w:rPr>
              <w:t>Party Comments</w:t>
            </w:r>
            <w:r>
              <w:rPr>
                <w:noProof/>
              </w:rPr>
              <w:tab/>
            </w:r>
            <w:r>
              <w:rPr>
                <w:noProof/>
              </w:rPr>
              <w:fldChar w:fldCharType="begin"/>
            </w:r>
            <w:r>
              <w:rPr>
                <w:noProof/>
              </w:rPr>
              <w:instrText>PAGEREF _Toc772314269 \h</w:instrText>
            </w:r>
            <w:r>
              <w:rPr>
                <w:noProof/>
              </w:rPr>
            </w:r>
            <w:r>
              <w:rPr>
                <w:noProof/>
              </w:rPr>
              <w:fldChar w:fldCharType="separate"/>
            </w:r>
            <w:r w:rsidR="00D40328">
              <w:rPr>
                <w:noProof/>
              </w:rPr>
              <w:t>7</w:t>
            </w:r>
            <w:r>
              <w:rPr>
                <w:noProof/>
              </w:rPr>
              <w:fldChar w:fldCharType="end"/>
            </w:r>
          </w:hyperlink>
        </w:p>
        <w:p w:rsidR="001372AE" w:rsidP="001372AE" w:rsidRDefault="001372AE" w14:paraId="5F7E9854" w14:textId="2D9F8B35">
          <w:pPr>
            <w:pStyle w:val="TOC3"/>
            <w:tabs>
              <w:tab w:val="left" w:pos="1560"/>
              <w:tab w:val="right" w:leader="dot" w:pos="9345"/>
            </w:tabs>
            <w:rPr>
              <w:rStyle w:val="Hyperlink"/>
              <w:noProof/>
              <w:kern w:val="2"/>
              <w14:ligatures w14:val="standardContextual"/>
            </w:rPr>
          </w:pPr>
          <w:hyperlink w:anchor="_Toc1876158423">
            <w:r w:rsidRPr="2EC8422F">
              <w:rPr>
                <w:rStyle w:val="Hyperlink"/>
                <w:noProof/>
              </w:rPr>
              <w:t>5.1.3.</w:t>
            </w:r>
            <w:r>
              <w:rPr>
                <w:noProof/>
              </w:rPr>
              <w:tab/>
            </w:r>
            <w:r w:rsidRPr="2EC8422F">
              <w:rPr>
                <w:rStyle w:val="Hyperlink"/>
                <w:noProof/>
              </w:rPr>
              <w:t>Considering an Electrification Pilot Discussion</w:t>
            </w:r>
            <w:r>
              <w:rPr>
                <w:noProof/>
              </w:rPr>
              <w:tab/>
            </w:r>
            <w:r>
              <w:rPr>
                <w:noProof/>
              </w:rPr>
              <w:fldChar w:fldCharType="begin"/>
            </w:r>
            <w:r>
              <w:rPr>
                <w:noProof/>
              </w:rPr>
              <w:instrText>PAGEREF _Toc1876158423 \h</w:instrText>
            </w:r>
            <w:r>
              <w:rPr>
                <w:noProof/>
              </w:rPr>
            </w:r>
            <w:r>
              <w:rPr>
                <w:noProof/>
              </w:rPr>
              <w:fldChar w:fldCharType="separate"/>
            </w:r>
            <w:r w:rsidR="00D40328">
              <w:rPr>
                <w:noProof/>
              </w:rPr>
              <w:t>8</w:t>
            </w:r>
            <w:r>
              <w:rPr>
                <w:noProof/>
              </w:rPr>
              <w:fldChar w:fldCharType="end"/>
            </w:r>
          </w:hyperlink>
        </w:p>
        <w:p w:rsidR="001372AE" w:rsidP="001372AE" w:rsidRDefault="001372AE" w14:paraId="16A6C308" w14:textId="58D9E9EF">
          <w:pPr>
            <w:pStyle w:val="TOC2"/>
            <w:tabs>
              <w:tab w:val="left" w:pos="780"/>
              <w:tab w:val="right" w:leader="dot" w:pos="9345"/>
            </w:tabs>
            <w:rPr>
              <w:rStyle w:val="Hyperlink"/>
              <w:noProof/>
              <w:kern w:val="2"/>
              <w14:ligatures w14:val="standardContextual"/>
            </w:rPr>
          </w:pPr>
          <w:hyperlink w:anchor="_Toc1239937320">
            <w:r w:rsidRPr="2EC8422F">
              <w:rPr>
                <w:rStyle w:val="Hyperlink"/>
                <w:noProof/>
              </w:rPr>
              <w:t>5.2.</w:t>
            </w:r>
            <w:r>
              <w:rPr>
                <w:noProof/>
              </w:rPr>
              <w:tab/>
            </w:r>
            <w:r w:rsidRPr="2EC8422F">
              <w:rPr>
                <w:rStyle w:val="Hyperlink"/>
                <w:noProof/>
              </w:rPr>
              <w:t>Selection Criteria</w:t>
            </w:r>
            <w:r>
              <w:rPr>
                <w:noProof/>
              </w:rPr>
              <w:tab/>
            </w:r>
            <w:r>
              <w:rPr>
                <w:noProof/>
              </w:rPr>
              <w:fldChar w:fldCharType="begin"/>
            </w:r>
            <w:r>
              <w:rPr>
                <w:noProof/>
              </w:rPr>
              <w:instrText>PAGEREF _Toc1239937320 \h</w:instrText>
            </w:r>
            <w:r>
              <w:rPr>
                <w:noProof/>
              </w:rPr>
            </w:r>
            <w:r>
              <w:rPr>
                <w:noProof/>
              </w:rPr>
              <w:fldChar w:fldCharType="separate"/>
            </w:r>
            <w:r w:rsidR="00D40328">
              <w:rPr>
                <w:noProof/>
              </w:rPr>
              <w:t>11</w:t>
            </w:r>
            <w:r>
              <w:rPr>
                <w:noProof/>
              </w:rPr>
              <w:fldChar w:fldCharType="end"/>
            </w:r>
          </w:hyperlink>
        </w:p>
        <w:p w:rsidR="001372AE" w:rsidP="001372AE" w:rsidRDefault="001372AE" w14:paraId="1694CEB1" w14:textId="2FDF61EC">
          <w:pPr>
            <w:pStyle w:val="TOC3"/>
            <w:tabs>
              <w:tab w:val="left" w:pos="1560"/>
              <w:tab w:val="right" w:leader="dot" w:pos="9345"/>
            </w:tabs>
            <w:rPr>
              <w:rStyle w:val="Hyperlink"/>
              <w:noProof/>
              <w:kern w:val="2"/>
              <w14:ligatures w14:val="standardContextual"/>
            </w:rPr>
          </w:pPr>
          <w:hyperlink w:anchor="_Toc366225691">
            <w:r w:rsidRPr="2EC8422F">
              <w:rPr>
                <w:rStyle w:val="Hyperlink"/>
                <w:noProof/>
              </w:rPr>
              <w:t>5.2.1.</w:t>
            </w:r>
            <w:r>
              <w:rPr>
                <w:noProof/>
              </w:rPr>
              <w:tab/>
            </w:r>
            <w:r w:rsidRPr="2EC8422F">
              <w:rPr>
                <w:rStyle w:val="Hyperlink"/>
                <w:noProof/>
              </w:rPr>
              <w:t>Staff Proposal</w:t>
            </w:r>
            <w:r>
              <w:rPr>
                <w:noProof/>
              </w:rPr>
              <w:tab/>
            </w:r>
            <w:r>
              <w:rPr>
                <w:noProof/>
              </w:rPr>
              <w:fldChar w:fldCharType="begin"/>
            </w:r>
            <w:r>
              <w:rPr>
                <w:noProof/>
              </w:rPr>
              <w:instrText>PAGEREF _Toc366225691 \h</w:instrText>
            </w:r>
            <w:r>
              <w:rPr>
                <w:noProof/>
              </w:rPr>
            </w:r>
            <w:r>
              <w:rPr>
                <w:noProof/>
              </w:rPr>
              <w:fldChar w:fldCharType="separate"/>
            </w:r>
            <w:r w:rsidR="00D40328">
              <w:rPr>
                <w:noProof/>
              </w:rPr>
              <w:t>11</w:t>
            </w:r>
            <w:r>
              <w:rPr>
                <w:noProof/>
              </w:rPr>
              <w:fldChar w:fldCharType="end"/>
            </w:r>
          </w:hyperlink>
        </w:p>
        <w:p w:rsidR="001372AE" w:rsidP="001372AE" w:rsidRDefault="001372AE" w14:paraId="65CA2C66" w14:textId="032D2473">
          <w:pPr>
            <w:pStyle w:val="TOC3"/>
            <w:tabs>
              <w:tab w:val="left" w:pos="1560"/>
              <w:tab w:val="right" w:leader="dot" w:pos="9345"/>
            </w:tabs>
            <w:rPr>
              <w:rStyle w:val="Hyperlink"/>
              <w:noProof/>
              <w:kern w:val="2"/>
              <w14:ligatures w14:val="standardContextual"/>
            </w:rPr>
          </w:pPr>
          <w:hyperlink w:anchor="_Toc901409154">
            <w:r w:rsidRPr="2EC8422F">
              <w:rPr>
                <w:rStyle w:val="Hyperlink"/>
                <w:noProof/>
              </w:rPr>
              <w:t>5.2.2.</w:t>
            </w:r>
            <w:r>
              <w:rPr>
                <w:noProof/>
              </w:rPr>
              <w:tab/>
            </w:r>
            <w:r w:rsidRPr="2EC8422F">
              <w:rPr>
                <w:rStyle w:val="Hyperlink"/>
                <w:noProof/>
              </w:rPr>
              <w:t>Party Comments</w:t>
            </w:r>
            <w:r>
              <w:rPr>
                <w:noProof/>
              </w:rPr>
              <w:tab/>
            </w:r>
            <w:r>
              <w:rPr>
                <w:noProof/>
              </w:rPr>
              <w:fldChar w:fldCharType="begin"/>
            </w:r>
            <w:r>
              <w:rPr>
                <w:noProof/>
              </w:rPr>
              <w:instrText>PAGEREF _Toc901409154 \h</w:instrText>
            </w:r>
            <w:r>
              <w:rPr>
                <w:noProof/>
              </w:rPr>
            </w:r>
            <w:r>
              <w:rPr>
                <w:noProof/>
              </w:rPr>
              <w:fldChar w:fldCharType="separate"/>
            </w:r>
            <w:r w:rsidR="00D40328">
              <w:rPr>
                <w:noProof/>
              </w:rPr>
              <w:t>13</w:t>
            </w:r>
            <w:r>
              <w:rPr>
                <w:noProof/>
              </w:rPr>
              <w:fldChar w:fldCharType="end"/>
            </w:r>
          </w:hyperlink>
        </w:p>
        <w:p w:rsidR="001372AE" w:rsidP="001372AE" w:rsidRDefault="001372AE" w14:paraId="18162591" w14:textId="15197EEB">
          <w:pPr>
            <w:pStyle w:val="TOC3"/>
            <w:tabs>
              <w:tab w:val="left" w:pos="1560"/>
              <w:tab w:val="right" w:leader="dot" w:pos="9345"/>
            </w:tabs>
            <w:rPr>
              <w:rStyle w:val="Hyperlink"/>
              <w:noProof/>
              <w:kern w:val="2"/>
              <w14:ligatures w14:val="standardContextual"/>
            </w:rPr>
          </w:pPr>
          <w:hyperlink w:anchor="_Toc1697327775">
            <w:r w:rsidRPr="2EC8422F">
              <w:rPr>
                <w:rStyle w:val="Hyperlink"/>
                <w:noProof/>
              </w:rPr>
              <w:t>5.2.3.</w:t>
            </w:r>
            <w:r>
              <w:rPr>
                <w:noProof/>
              </w:rPr>
              <w:tab/>
            </w:r>
            <w:r w:rsidRPr="2EC8422F">
              <w:rPr>
                <w:rStyle w:val="Hyperlink"/>
                <w:noProof/>
              </w:rPr>
              <w:t>Selection Criteria Discussion</w:t>
            </w:r>
            <w:r>
              <w:rPr>
                <w:noProof/>
              </w:rPr>
              <w:tab/>
            </w:r>
            <w:r>
              <w:rPr>
                <w:noProof/>
              </w:rPr>
              <w:fldChar w:fldCharType="begin"/>
            </w:r>
            <w:r>
              <w:rPr>
                <w:noProof/>
              </w:rPr>
              <w:instrText>PAGEREF _Toc1697327775 \h</w:instrText>
            </w:r>
            <w:r>
              <w:rPr>
                <w:noProof/>
              </w:rPr>
            </w:r>
            <w:r>
              <w:rPr>
                <w:noProof/>
              </w:rPr>
              <w:fldChar w:fldCharType="separate"/>
            </w:r>
            <w:r w:rsidR="00D40328">
              <w:rPr>
                <w:noProof/>
              </w:rPr>
              <w:t>15</w:t>
            </w:r>
            <w:r>
              <w:rPr>
                <w:noProof/>
              </w:rPr>
              <w:fldChar w:fldCharType="end"/>
            </w:r>
          </w:hyperlink>
        </w:p>
        <w:p w:rsidR="001372AE" w:rsidP="001372AE" w:rsidRDefault="001372AE" w14:paraId="24ABDD5B" w14:textId="000767BB">
          <w:pPr>
            <w:pStyle w:val="TOC2"/>
            <w:tabs>
              <w:tab w:val="left" w:pos="780"/>
              <w:tab w:val="right" w:leader="dot" w:pos="9345"/>
            </w:tabs>
            <w:rPr>
              <w:rStyle w:val="Hyperlink"/>
              <w:noProof/>
              <w:kern w:val="2"/>
              <w14:ligatures w14:val="standardContextual"/>
            </w:rPr>
          </w:pPr>
          <w:hyperlink w:anchor="_Toc2114180247">
            <w:r w:rsidRPr="2EC8422F">
              <w:rPr>
                <w:rStyle w:val="Hyperlink"/>
                <w:noProof/>
              </w:rPr>
              <w:t>5.3.</w:t>
            </w:r>
            <w:r>
              <w:rPr>
                <w:noProof/>
              </w:rPr>
              <w:tab/>
            </w:r>
            <w:r w:rsidRPr="2EC8422F">
              <w:rPr>
                <w:rStyle w:val="Hyperlink"/>
                <w:noProof/>
              </w:rPr>
              <w:t>Outreach and Education</w:t>
            </w:r>
            <w:r>
              <w:rPr>
                <w:noProof/>
              </w:rPr>
              <w:tab/>
            </w:r>
            <w:r>
              <w:rPr>
                <w:noProof/>
              </w:rPr>
              <w:fldChar w:fldCharType="begin"/>
            </w:r>
            <w:r>
              <w:rPr>
                <w:noProof/>
              </w:rPr>
              <w:instrText>PAGEREF _Toc2114180247 \h</w:instrText>
            </w:r>
            <w:r>
              <w:rPr>
                <w:noProof/>
              </w:rPr>
            </w:r>
            <w:r>
              <w:rPr>
                <w:noProof/>
              </w:rPr>
              <w:fldChar w:fldCharType="separate"/>
            </w:r>
            <w:r w:rsidR="00D40328">
              <w:rPr>
                <w:noProof/>
              </w:rPr>
              <w:t>18</w:t>
            </w:r>
            <w:r>
              <w:rPr>
                <w:noProof/>
              </w:rPr>
              <w:fldChar w:fldCharType="end"/>
            </w:r>
          </w:hyperlink>
        </w:p>
        <w:p w:rsidR="001372AE" w:rsidP="001372AE" w:rsidRDefault="001372AE" w14:paraId="7057AFF1" w14:textId="56E5C819">
          <w:pPr>
            <w:pStyle w:val="TOC3"/>
            <w:tabs>
              <w:tab w:val="left" w:pos="1560"/>
              <w:tab w:val="right" w:leader="dot" w:pos="9345"/>
            </w:tabs>
            <w:rPr>
              <w:rStyle w:val="Hyperlink"/>
              <w:noProof/>
              <w:kern w:val="2"/>
              <w14:ligatures w14:val="standardContextual"/>
            </w:rPr>
          </w:pPr>
          <w:hyperlink w:anchor="_Toc1463401618">
            <w:r w:rsidRPr="2EC8422F">
              <w:rPr>
                <w:rStyle w:val="Hyperlink"/>
                <w:noProof/>
              </w:rPr>
              <w:t>5.3.1.</w:t>
            </w:r>
            <w:r>
              <w:rPr>
                <w:noProof/>
              </w:rPr>
              <w:tab/>
            </w:r>
            <w:r w:rsidRPr="2EC8422F">
              <w:rPr>
                <w:rStyle w:val="Hyperlink"/>
                <w:noProof/>
              </w:rPr>
              <w:t>Staff Proposal</w:t>
            </w:r>
            <w:r>
              <w:rPr>
                <w:noProof/>
              </w:rPr>
              <w:tab/>
            </w:r>
            <w:r>
              <w:rPr>
                <w:noProof/>
              </w:rPr>
              <w:fldChar w:fldCharType="begin"/>
            </w:r>
            <w:r>
              <w:rPr>
                <w:noProof/>
              </w:rPr>
              <w:instrText>PAGEREF _Toc1463401618 \h</w:instrText>
            </w:r>
            <w:r>
              <w:rPr>
                <w:noProof/>
              </w:rPr>
            </w:r>
            <w:r>
              <w:rPr>
                <w:noProof/>
              </w:rPr>
              <w:fldChar w:fldCharType="separate"/>
            </w:r>
            <w:r w:rsidR="00D40328">
              <w:rPr>
                <w:noProof/>
              </w:rPr>
              <w:t>18</w:t>
            </w:r>
            <w:r>
              <w:rPr>
                <w:noProof/>
              </w:rPr>
              <w:fldChar w:fldCharType="end"/>
            </w:r>
          </w:hyperlink>
        </w:p>
        <w:p w:rsidR="001372AE" w:rsidP="001372AE" w:rsidRDefault="001372AE" w14:paraId="6F05A01E" w14:textId="7EA86617">
          <w:pPr>
            <w:pStyle w:val="TOC3"/>
            <w:tabs>
              <w:tab w:val="left" w:pos="1560"/>
              <w:tab w:val="right" w:leader="dot" w:pos="9345"/>
            </w:tabs>
            <w:rPr>
              <w:rStyle w:val="Hyperlink"/>
              <w:noProof/>
              <w:kern w:val="2"/>
              <w14:ligatures w14:val="standardContextual"/>
            </w:rPr>
          </w:pPr>
          <w:hyperlink w:anchor="_Toc2027678849">
            <w:r w:rsidRPr="2EC8422F">
              <w:rPr>
                <w:rStyle w:val="Hyperlink"/>
                <w:noProof/>
              </w:rPr>
              <w:t>5.3.2.</w:t>
            </w:r>
            <w:r>
              <w:rPr>
                <w:noProof/>
              </w:rPr>
              <w:tab/>
            </w:r>
            <w:r w:rsidRPr="2EC8422F">
              <w:rPr>
                <w:rStyle w:val="Hyperlink"/>
                <w:noProof/>
              </w:rPr>
              <w:t>Party Comments</w:t>
            </w:r>
            <w:r>
              <w:rPr>
                <w:noProof/>
              </w:rPr>
              <w:tab/>
            </w:r>
            <w:r>
              <w:rPr>
                <w:noProof/>
              </w:rPr>
              <w:fldChar w:fldCharType="begin"/>
            </w:r>
            <w:r>
              <w:rPr>
                <w:noProof/>
              </w:rPr>
              <w:instrText>PAGEREF _Toc2027678849 \h</w:instrText>
            </w:r>
            <w:r>
              <w:rPr>
                <w:noProof/>
              </w:rPr>
            </w:r>
            <w:r>
              <w:rPr>
                <w:noProof/>
              </w:rPr>
              <w:fldChar w:fldCharType="separate"/>
            </w:r>
            <w:r w:rsidR="00D40328">
              <w:rPr>
                <w:noProof/>
              </w:rPr>
              <w:t>18</w:t>
            </w:r>
            <w:r>
              <w:rPr>
                <w:noProof/>
              </w:rPr>
              <w:fldChar w:fldCharType="end"/>
            </w:r>
          </w:hyperlink>
        </w:p>
        <w:p w:rsidR="001372AE" w:rsidP="001372AE" w:rsidRDefault="001372AE" w14:paraId="45DC8A92" w14:textId="42036EE2">
          <w:pPr>
            <w:pStyle w:val="TOC3"/>
            <w:tabs>
              <w:tab w:val="left" w:pos="1560"/>
              <w:tab w:val="right" w:leader="dot" w:pos="9345"/>
            </w:tabs>
            <w:rPr>
              <w:rStyle w:val="Hyperlink"/>
              <w:noProof/>
              <w:kern w:val="2"/>
              <w14:ligatures w14:val="standardContextual"/>
            </w:rPr>
          </w:pPr>
          <w:hyperlink w:anchor="_Toc1562249049">
            <w:r w:rsidRPr="2EC8422F">
              <w:rPr>
                <w:rStyle w:val="Hyperlink"/>
                <w:noProof/>
              </w:rPr>
              <w:t>5.3.3.</w:t>
            </w:r>
            <w:r>
              <w:rPr>
                <w:noProof/>
              </w:rPr>
              <w:tab/>
            </w:r>
            <w:r w:rsidRPr="2EC8422F">
              <w:rPr>
                <w:rStyle w:val="Hyperlink"/>
                <w:noProof/>
              </w:rPr>
              <w:t>Outreach and Education Discussion</w:t>
            </w:r>
            <w:r>
              <w:rPr>
                <w:noProof/>
              </w:rPr>
              <w:tab/>
            </w:r>
            <w:r>
              <w:rPr>
                <w:noProof/>
              </w:rPr>
              <w:fldChar w:fldCharType="begin"/>
            </w:r>
            <w:r>
              <w:rPr>
                <w:noProof/>
              </w:rPr>
              <w:instrText>PAGEREF _Toc1562249049 \h</w:instrText>
            </w:r>
            <w:r>
              <w:rPr>
                <w:noProof/>
              </w:rPr>
            </w:r>
            <w:r>
              <w:rPr>
                <w:noProof/>
              </w:rPr>
              <w:fldChar w:fldCharType="separate"/>
            </w:r>
            <w:r w:rsidR="00D40328">
              <w:rPr>
                <w:noProof/>
              </w:rPr>
              <w:t>19</w:t>
            </w:r>
            <w:r>
              <w:rPr>
                <w:noProof/>
              </w:rPr>
              <w:fldChar w:fldCharType="end"/>
            </w:r>
          </w:hyperlink>
        </w:p>
        <w:p w:rsidR="001372AE" w:rsidP="001372AE" w:rsidRDefault="001372AE" w14:paraId="38BCDDA1" w14:textId="5A689AA4">
          <w:pPr>
            <w:pStyle w:val="TOC2"/>
            <w:tabs>
              <w:tab w:val="left" w:pos="780"/>
              <w:tab w:val="right" w:leader="dot" w:pos="9345"/>
            </w:tabs>
            <w:rPr>
              <w:rStyle w:val="Hyperlink"/>
              <w:noProof/>
              <w:kern w:val="2"/>
              <w14:ligatures w14:val="standardContextual"/>
            </w:rPr>
          </w:pPr>
          <w:hyperlink w:anchor="_Toc254414353">
            <w:r w:rsidRPr="2EC8422F">
              <w:rPr>
                <w:rStyle w:val="Hyperlink"/>
                <w:noProof/>
              </w:rPr>
              <w:t>5.4.</w:t>
            </w:r>
            <w:r>
              <w:rPr>
                <w:noProof/>
              </w:rPr>
              <w:tab/>
            </w:r>
            <w:r w:rsidRPr="2EC8422F">
              <w:rPr>
                <w:rStyle w:val="Hyperlink"/>
                <w:noProof/>
              </w:rPr>
              <w:t>Installation and Remediation</w:t>
            </w:r>
            <w:r>
              <w:rPr>
                <w:noProof/>
              </w:rPr>
              <w:tab/>
            </w:r>
            <w:r>
              <w:rPr>
                <w:noProof/>
              </w:rPr>
              <w:fldChar w:fldCharType="begin"/>
            </w:r>
            <w:r>
              <w:rPr>
                <w:noProof/>
              </w:rPr>
              <w:instrText>PAGEREF _Toc254414353 \h</w:instrText>
            </w:r>
            <w:r>
              <w:rPr>
                <w:noProof/>
              </w:rPr>
            </w:r>
            <w:r>
              <w:rPr>
                <w:noProof/>
              </w:rPr>
              <w:fldChar w:fldCharType="separate"/>
            </w:r>
            <w:r w:rsidR="00D40328">
              <w:rPr>
                <w:noProof/>
              </w:rPr>
              <w:t>20</w:t>
            </w:r>
            <w:r>
              <w:rPr>
                <w:noProof/>
              </w:rPr>
              <w:fldChar w:fldCharType="end"/>
            </w:r>
          </w:hyperlink>
        </w:p>
        <w:p w:rsidR="001372AE" w:rsidP="001372AE" w:rsidRDefault="001372AE" w14:paraId="408F341E" w14:textId="25C9CE99">
          <w:pPr>
            <w:pStyle w:val="TOC3"/>
            <w:tabs>
              <w:tab w:val="left" w:pos="1560"/>
              <w:tab w:val="right" w:leader="dot" w:pos="9345"/>
            </w:tabs>
            <w:rPr>
              <w:rStyle w:val="Hyperlink"/>
              <w:noProof/>
              <w:kern w:val="2"/>
              <w14:ligatures w14:val="standardContextual"/>
            </w:rPr>
          </w:pPr>
          <w:hyperlink w:anchor="_Toc1408306570">
            <w:r w:rsidRPr="2EC8422F">
              <w:rPr>
                <w:rStyle w:val="Hyperlink"/>
                <w:noProof/>
              </w:rPr>
              <w:t>5.4.1.</w:t>
            </w:r>
            <w:r>
              <w:rPr>
                <w:noProof/>
              </w:rPr>
              <w:tab/>
            </w:r>
            <w:r w:rsidRPr="2EC8422F">
              <w:rPr>
                <w:rStyle w:val="Hyperlink"/>
                <w:noProof/>
              </w:rPr>
              <w:t>Staff Proposal</w:t>
            </w:r>
            <w:r>
              <w:rPr>
                <w:noProof/>
              </w:rPr>
              <w:tab/>
            </w:r>
            <w:r>
              <w:rPr>
                <w:noProof/>
              </w:rPr>
              <w:fldChar w:fldCharType="begin"/>
            </w:r>
            <w:r>
              <w:rPr>
                <w:noProof/>
              </w:rPr>
              <w:instrText>PAGEREF _Toc1408306570 \h</w:instrText>
            </w:r>
            <w:r>
              <w:rPr>
                <w:noProof/>
              </w:rPr>
            </w:r>
            <w:r>
              <w:rPr>
                <w:noProof/>
              </w:rPr>
              <w:fldChar w:fldCharType="separate"/>
            </w:r>
            <w:r w:rsidR="00D40328">
              <w:rPr>
                <w:noProof/>
              </w:rPr>
              <w:t>20</w:t>
            </w:r>
            <w:r>
              <w:rPr>
                <w:noProof/>
              </w:rPr>
              <w:fldChar w:fldCharType="end"/>
            </w:r>
          </w:hyperlink>
        </w:p>
        <w:p w:rsidR="001372AE" w:rsidP="001372AE" w:rsidRDefault="001372AE" w14:paraId="50CF3971" w14:textId="21294A2B">
          <w:pPr>
            <w:pStyle w:val="TOC3"/>
            <w:tabs>
              <w:tab w:val="left" w:pos="1560"/>
              <w:tab w:val="right" w:leader="dot" w:pos="9345"/>
            </w:tabs>
            <w:rPr>
              <w:rStyle w:val="Hyperlink"/>
              <w:noProof/>
              <w:kern w:val="2"/>
              <w14:ligatures w14:val="standardContextual"/>
            </w:rPr>
          </w:pPr>
          <w:hyperlink w:anchor="_Toc912785918">
            <w:r w:rsidRPr="2EC8422F">
              <w:rPr>
                <w:rStyle w:val="Hyperlink"/>
                <w:noProof/>
              </w:rPr>
              <w:t>5.4.2.</w:t>
            </w:r>
            <w:r>
              <w:rPr>
                <w:noProof/>
              </w:rPr>
              <w:tab/>
            </w:r>
            <w:r w:rsidRPr="2EC8422F">
              <w:rPr>
                <w:rStyle w:val="Hyperlink"/>
                <w:noProof/>
              </w:rPr>
              <w:t>Party Comments</w:t>
            </w:r>
            <w:r>
              <w:rPr>
                <w:noProof/>
              </w:rPr>
              <w:tab/>
            </w:r>
            <w:r>
              <w:rPr>
                <w:noProof/>
              </w:rPr>
              <w:fldChar w:fldCharType="begin"/>
            </w:r>
            <w:r>
              <w:rPr>
                <w:noProof/>
              </w:rPr>
              <w:instrText>PAGEREF _Toc912785918 \h</w:instrText>
            </w:r>
            <w:r>
              <w:rPr>
                <w:noProof/>
              </w:rPr>
            </w:r>
            <w:r>
              <w:rPr>
                <w:noProof/>
              </w:rPr>
              <w:fldChar w:fldCharType="separate"/>
            </w:r>
            <w:r w:rsidR="00D40328">
              <w:rPr>
                <w:noProof/>
              </w:rPr>
              <w:t>22</w:t>
            </w:r>
            <w:r>
              <w:rPr>
                <w:noProof/>
              </w:rPr>
              <w:fldChar w:fldCharType="end"/>
            </w:r>
          </w:hyperlink>
        </w:p>
        <w:p w:rsidR="001372AE" w:rsidP="001372AE" w:rsidRDefault="001372AE" w14:paraId="38DB7606" w14:textId="04BB0E4F">
          <w:pPr>
            <w:pStyle w:val="TOC3"/>
            <w:tabs>
              <w:tab w:val="left" w:pos="1560"/>
              <w:tab w:val="right" w:leader="dot" w:pos="9345"/>
            </w:tabs>
            <w:rPr>
              <w:rStyle w:val="Hyperlink"/>
              <w:noProof/>
              <w:kern w:val="2"/>
              <w14:ligatures w14:val="standardContextual"/>
            </w:rPr>
          </w:pPr>
          <w:hyperlink w:anchor="_Toc2044834056">
            <w:r w:rsidRPr="2EC8422F">
              <w:rPr>
                <w:rStyle w:val="Hyperlink"/>
                <w:noProof/>
              </w:rPr>
              <w:t>5.4.3.</w:t>
            </w:r>
            <w:r>
              <w:rPr>
                <w:noProof/>
              </w:rPr>
              <w:tab/>
            </w:r>
            <w:r w:rsidRPr="2EC8422F">
              <w:rPr>
                <w:rStyle w:val="Hyperlink"/>
                <w:noProof/>
              </w:rPr>
              <w:t>Installation and Remediation Discussion</w:t>
            </w:r>
            <w:r>
              <w:rPr>
                <w:noProof/>
              </w:rPr>
              <w:tab/>
            </w:r>
            <w:r>
              <w:rPr>
                <w:noProof/>
              </w:rPr>
              <w:fldChar w:fldCharType="begin"/>
            </w:r>
            <w:r>
              <w:rPr>
                <w:noProof/>
              </w:rPr>
              <w:instrText>PAGEREF _Toc2044834056 \h</w:instrText>
            </w:r>
            <w:r>
              <w:rPr>
                <w:noProof/>
              </w:rPr>
            </w:r>
            <w:r>
              <w:rPr>
                <w:noProof/>
              </w:rPr>
              <w:fldChar w:fldCharType="separate"/>
            </w:r>
            <w:r w:rsidR="00D40328">
              <w:rPr>
                <w:noProof/>
              </w:rPr>
              <w:t>24</w:t>
            </w:r>
            <w:r>
              <w:rPr>
                <w:noProof/>
              </w:rPr>
              <w:fldChar w:fldCharType="end"/>
            </w:r>
          </w:hyperlink>
        </w:p>
        <w:p w:rsidR="001372AE" w:rsidP="001372AE" w:rsidRDefault="001372AE" w14:paraId="564B9314" w14:textId="589F7C2D">
          <w:pPr>
            <w:pStyle w:val="TOC2"/>
            <w:tabs>
              <w:tab w:val="left" w:pos="780"/>
              <w:tab w:val="right" w:leader="dot" w:pos="9345"/>
            </w:tabs>
            <w:rPr>
              <w:rStyle w:val="Hyperlink"/>
              <w:noProof/>
              <w:kern w:val="2"/>
              <w14:ligatures w14:val="standardContextual"/>
            </w:rPr>
          </w:pPr>
          <w:hyperlink w:anchor="_Toc215488616">
            <w:r w:rsidRPr="2EC8422F">
              <w:rPr>
                <w:rStyle w:val="Hyperlink"/>
                <w:noProof/>
              </w:rPr>
              <w:t>5.5.</w:t>
            </w:r>
            <w:r>
              <w:rPr>
                <w:noProof/>
              </w:rPr>
              <w:tab/>
            </w:r>
            <w:r w:rsidRPr="2EC8422F">
              <w:rPr>
                <w:rStyle w:val="Hyperlink"/>
                <w:noProof/>
              </w:rPr>
              <w:t>Funding and Cost Recovery</w:t>
            </w:r>
            <w:r>
              <w:rPr>
                <w:noProof/>
              </w:rPr>
              <w:tab/>
            </w:r>
            <w:r>
              <w:rPr>
                <w:noProof/>
              </w:rPr>
              <w:fldChar w:fldCharType="begin"/>
            </w:r>
            <w:r>
              <w:rPr>
                <w:noProof/>
              </w:rPr>
              <w:instrText>PAGEREF _Toc215488616 \h</w:instrText>
            </w:r>
            <w:r>
              <w:rPr>
                <w:noProof/>
              </w:rPr>
            </w:r>
            <w:r>
              <w:rPr>
                <w:noProof/>
              </w:rPr>
              <w:fldChar w:fldCharType="separate"/>
            </w:r>
            <w:r w:rsidR="00D40328">
              <w:rPr>
                <w:noProof/>
              </w:rPr>
              <w:t>27</w:t>
            </w:r>
            <w:r>
              <w:rPr>
                <w:noProof/>
              </w:rPr>
              <w:fldChar w:fldCharType="end"/>
            </w:r>
          </w:hyperlink>
        </w:p>
        <w:p w:rsidR="001372AE" w:rsidP="001372AE" w:rsidRDefault="001372AE" w14:paraId="2C564A5F" w14:textId="3205116C">
          <w:pPr>
            <w:pStyle w:val="TOC3"/>
            <w:tabs>
              <w:tab w:val="left" w:pos="1560"/>
              <w:tab w:val="right" w:leader="dot" w:pos="9345"/>
            </w:tabs>
            <w:rPr>
              <w:rStyle w:val="Hyperlink"/>
              <w:noProof/>
              <w:kern w:val="2"/>
              <w14:ligatures w14:val="standardContextual"/>
            </w:rPr>
          </w:pPr>
          <w:hyperlink w:anchor="_Toc791162311">
            <w:r w:rsidRPr="2EC8422F">
              <w:rPr>
                <w:rStyle w:val="Hyperlink"/>
                <w:noProof/>
              </w:rPr>
              <w:t>5.5.1.</w:t>
            </w:r>
            <w:r>
              <w:rPr>
                <w:noProof/>
              </w:rPr>
              <w:tab/>
            </w:r>
            <w:r w:rsidRPr="2EC8422F">
              <w:rPr>
                <w:rStyle w:val="Hyperlink"/>
                <w:noProof/>
              </w:rPr>
              <w:t>Staff Proposal</w:t>
            </w:r>
            <w:r>
              <w:rPr>
                <w:noProof/>
              </w:rPr>
              <w:tab/>
            </w:r>
            <w:r>
              <w:rPr>
                <w:noProof/>
              </w:rPr>
              <w:fldChar w:fldCharType="begin"/>
            </w:r>
            <w:r>
              <w:rPr>
                <w:noProof/>
              </w:rPr>
              <w:instrText>PAGEREF _Toc791162311 \h</w:instrText>
            </w:r>
            <w:r>
              <w:rPr>
                <w:noProof/>
              </w:rPr>
            </w:r>
            <w:r>
              <w:rPr>
                <w:noProof/>
              </w:rPr>
              <w:fldChar w:fldCharType="separate"/>
            </w:r>
            <w:r w:rsidR="00D40328">
              <w:rPr>
                <w:noProof/>
              </w:rPr>
              <w:t>27</w:t>
            </w:r>
            <w:r>
              <w:rPr>
                <w:noProof/>
              </w:rPr>
              <w:fldChar w:fldCharType="end"/>
            </w:r>
          </w:hyperlink>
        </w:p>
        <w:p w:rsidR="001372AE" w:rsidP="001372AE" w:rsidRDefault="001372AE" w14:paraId="056FEBC4" w14:textId="72407933">
          <w:pPr>
            <w:pStyle w:val="TOC3"/>
            <w:tabs>
              <w:tab w:val="left" w:pos="1560"/>
              <w:tab w:val="right" w:leader="dot" w:pos="9345"/>
            </w:tabs>
            <w:rPr>
              <w:rStyle w:val="Hyperlink"/>
              <w:noProof/>
              <w:kern w:val="2"/>
              <w14:ligatures w14:val="standardContextual"/>
            </w:rPr>
          </w:pPr>
          <w:hyperlink w:anchor="_Toc1578366054">
            <w:r w:rsidRPr="2EC8422F">
              <w:rPr>
                <w:rStyle w:val="Hyperlink"/>
                <w:noProof/>
              </w:rPr>
              <w:t>5.5.2.</w:t>
            </w:r>
            <w:r>
              <w:rPr>
                <w:noProof/>
              </w:rPr>
              <w:tab/>
            </w:r>
            <w:r w:rsidRPr="2EC8422F">
              <w:rPr>
                <w:rStyle w:val="Hyperlink"/>
                <w:noProof/>
              </w:rPr>
              <w:t>Party Comments</w:t>
            </w:r>
            <w:r>
              <w:rPr>
                <w:noProof/>
              </w:rPr>
              <w:tab/>
            </w:r>
            <w:r>
              <w:rPr>
                <w:noProof/>
              </w:rPr>
              <w:fldChar w:fldCharType="begin"/>
            </w:r>
            <w:r>
              <w:rPr>
                <w:noProof/>
              </w:rPr>
              <w:instrText>PAGEREF _Toc1578366054 \h</w:instrText>
            </w:r>
            <w:r>
              <w:rPr>
                <w:noProof/>
              </w:rPr>
            </w:r>
            <w:r>
              <w:rPr>
                <w:noProof/>
              </w:rPr>
              <w:fldChar w:fldCharType="separate"/>
            </w:r>
            <w:r w:rsidR="00D40328">
              <w:rPr>
                <w:noProof/>
              </w:rPr>
              <w:t>28</w:t>
            </w:r>
            <w:r>
              <w:rPr>
                <w:noProof/>
              </w:rPr>
              <w:fldChar w:fldCharType="end"/>
            </w:r>
          </w:hyperlink>
        </w:p>
        <w:p w:rsidR="001372AE" w:rsidP="001372AE" w:rsidRDefault="001372AE" w14:paraId="31B47C18" w14:textId="136255CF">
          <w:pPr>
            <w:pStyle w:val="TOC3"/>
            <w:tabs>
              <w:tab w:val="left" w:pos="1560"/>
              <w:tab w:val="right" w:leader="dot" w:pos="9345"/>
            </w:tabs>
            <w:rPr>
              <w:rStyle w:val="Hyperlink"/>
              <w:noProof/>
              <w:kern w:val="2"/>
              <w14:ligatures w14:val="standardContextual"/>
            </w:rPr>
          </w:pPr>
          <w:hyperlink w:anchor="_Toc235120240">
            <w:r w:rsidRPr="2EC8422F">
              <w:rPr>
                <w:rStyle w:val="Hyperlink"/>
                <w:noProof/>
              </w:rPr>
              <w:t>5.5.3.</w:t>
            </w:r>
            <w:r>
              <w:rPr>
                <w:noProof/>
              </w:rPr>
              <w:tab/>
            </w:r>
            <w:r w:rsidRPr="2EC8422F">
              <w:rPr>
                <w:rStyle w:val="Hyperlink"/>
                <w:noProof/>
              </w:rPr>
              <w:t>Funding and Cost Recovery Discussion</w:t>
            </w:r>
            <w:r>
              <w:rPr>
                <w:noProof/>
              </w:rPr>
              <w:tab/>
            </w:r>
            <w:r>
              <w:rPr>
                <w:noProof/>
              </w:rPr>
              <w:fldChar w:fldCharType="begin"/>
            </w:r>
            <w:r>
              <w:rPr>
                <w:noProof/>
              </w:rPr>
              <w:instrText>PAGEREF _Toc235120240 \h</w:instrText>
            </w:r>
            <w:r>
              <w:rPr>
                <w:noProof/>
              </w:rPr>
            </w:r>
            <w:r>
              <w:rPr>
                <w:noProof/>
              </w:rPr>
              <w:fldChar w:fldCharType="separate"/>
            </w:r>
            <w:r w:rsidR="00D40328">
              <w:rPr>
                <w:noProof/>
              </w:rPr>
              <w:t>29</w:t>
            </w:r>
            <w:r>
              <w:rPr>
                <w:noProof/>
              </w:rPr>
              <w:fldChar w:fldCharType="end"/>
            </w:r>
          </w:hyperlink>
        </w:p>
        <w:p w:rsidR="001372AE" w:rsidP="001372AE" w:rsidRDefault="001372AE" w14:paraId="74097FE7" w14:textId="35341DAA">
          <w:pPr>
            <w:pStyle w:val="TOC2"/>
            <w:tabs>
              <w:tab w:val="left" w:pos="780"/>
              <w:tab w:val="right" w:leader="dot" w:pos="9345"/>
            </w:tabs>
            <w:rPr>
              <w:rStyle w:val="Hyperlink"/>
              <w:noProof/>
              <w:kern w:val="2"/>
              <w14:ligatures w14:val="standardContextual"/>
            </w:rPr>
          </w:pPr>
          <w:hyperlink w:anchor="_Toc104658488">
            <w:r w:rsidRPr="2EC8422F">
              <w:rPr>
                <w:rStyle w:val="Hyperlink"/>
                <w:noProof/>
              </w:rPr>
              <w:t>5.6.</w:t>
            </w:r>
            <w:r>
              <w:rPr>
                <w:noProof/>
              </w:rPr>
              <w:tab/>
            </w:r>
            <w:r w:rsidRPr="2EC8422F">
              <w:rPr>
                <w:rStyle w:val="Hyperlink"/>
                <w:noProof/>
              </w:rPr>
              <w:t>Tenant Protections</w:t>
            </w:r>
            <w:r>
              <w:rPr>
                <w:noProof/>
              </w:rPr>
              <w:tab/>
            </w:r>
            <w:r>
              <w:rPr>
                <w:noProof/>
              </w:rPr>
              <w:fldChar w:fldCharType="begin"/>
            </w:r>
            <w:r>
              <w:rPr>
                <w:noProof/>
              </w:rPr>
              <w:instrText>PAGEREF _Toc104658488 \h</w:instrText>
            </w:r>
            <w:r>
              <w:rPr>
                <w:noProof/>
              </w:rPr>
            </w:r>
            <w:r>
              <w:rPr>
                <w:noProof/>
              </w:rPr>
              <w:fldChar w:fldCharType="separate"/>
            </w:r>
            <w:r w:rsidR="00D40328">
              <w:rPr>
                <w:noProof/>
              </w:rPr>
              <w:t>31</w:t>
            </w:r>
            <w:r>
              <w:rPr>
                <w:noProof/>
              </w:rPr>
              <w:fldChar w:fldCharType="end"/>
            </w:r>
          </w:hyperlink>
        </w:p>
        <w:p w:rsidR="001372AE" w:rsidP="001372AE" w:rsidRDefault="001372AE" w14:paraId="2B7CC34B" w14:textId="09C15640">
          <w:pPr>
            <w:pStyle w:val="TOC3"/>
            <w:tabs>
              <w:tab w:val="left" w:pos="1560"/>
              <w:tab w:val="right" w:leader="dot" w:pos="9345"/>
            </w:tabs>
            <w:rPr>
              <w:rStyle w:val="Hyperlink"/>
              <w:noProof/>
              <w:kern w:val="2"/>
              <w14:ligatures w14:val="standardContextual"/>
            </w:rPr>
          </w:pPr>
          <w:hyperlink w:anchor="_Toc886804257">
            <w:r w:rsidRPr="2EC8422F">
              <w:rPr>
                <w:rStyle w:val="Hyperlink"/>
                <w:noProof/>
              </w:rPr>
              <w:t>5.6.1.</w:t>
            </w:r>
            <w:r>
              <w:rPr>
                <w:noProof/>
              </w:rPr>
              <w:tab/>
            </w:r>
            <w:r w:rsidRPr="2EC8422F">
              <w:rPr>
                <w:rStyle w:val="Hyperlink"/>
                <w:noProof/>
              </w:rPr>
              <w:t>Staff Proposal</w:t>
            </w:r>
            <w:r>
              <w:rPr>
                <w:noProof/>
              </w:rPr>
              <w:tab/>
            </w:r>
            <w:r>
              <w:rPr>
                <w:noProof/>
              </w:rPr>
              <w:fldChar w:fldCharType="begin"/>
            </w:r>
            <w:r>
              <w:rPr>
                <w:noProof/>
              </w:rPr>
              <w:instrText>PAGEREF _Toc886804257 \h</w:instrText>
            </w:r>
            <w:r>
              <w:rPr>
                <w:noProof/>
              </w:rPr>
            </w:r>
            <w:r>
              <w:rPr>
                <w:noProof/>
              </w:rPr>
              <w:fldChar w:fldCharType="separate"/>
            </w:r>
            <w:r w:rsidR="00D40328">
              <w:rPr>
                <w:noProof/>
              </w:rPr>
              <w:t>31</w:t>
            </w:r>
            <w:r>
              <w:rPr>
                <w:noProof/>
              </w:rPr>
              <w:fldChar w:fldCharType="end"/>
            </w:r>
          </w:hyperlink>
        </w:p>
        <w:p w:rsidR="001372AE" w:rsidP="001372AE" w:rsidRDefault="001372AE" w14:paraId="6C5CF02E" w14:textId="5137715A">
          <w:pPr>
            <w:pStyle w:val="TOC3"/>
            <w:tabs>
              <w:tab w:val="left" w:pos="1560"/>
              <w:tab w:val="right" w:leader="dot" w:pos="9345"/>
            </w:tabs>
            <w:rPr>
              <w:rStyle w:val="Hyperlink"/>
              <w:noProof/>
              <w:kern w:val="2"/>
              <w14:ligatures w14:val="standardContextual"/>
            </w:rPr>
          </w:pPr>
          <w:hyperlink w:anchor="_Toc1574528823">
            <w:r w:rsidRPr="2EC8422F">
              <w:rPr>
                <w:rStyle w:val="Hyperlink"/>
                <w:noProof/>
              </w:rPr>
              <w:t>5.6.2.</w:t>
            </w:r>
            <w:r>
              <w:rPr>
                <w:noProof/>
              </w:rPr>
              <w:tab/>
            </w:r>
            <w:r w:rsidRPr="2EC8422F">
              <w:rPr>
                <w:rStyle w:val="Hyperlink"/>
                <w:noProof/>
              </w:rPr>
              <w:t>Party Comments</w:t>
            </w:r>
            <w:r>
              <w:rPr>
                <w:noProof/>
              </w:rPr>
              <w:tab/>
            </w:r>
            <w:r>
              <w:rPr>
                <w:noProof/>
              </w:rPr>
              <w:fldChar w:fldCharType="begin"/>
            </w:r>
            <w:r>
              <w:rPr>
                <w:noProof/>
              </w:rPr>
              <w:instrText>PAGEREF _Toc1574528823 \h</w:instrText>
            </w:r>
            <w:r>
              <w:rPr>
                <w:noProof/>
              </w:rPr>
            </w:r>
            <w:r>
              <w:rPr>
                <w:noProof/>
              </w:rPr>
              <w:fldChar w:fldCharType="separate"/>
            </w:r>
            <w:r w:rsidR="00D40328">
              <w:rPr>
                <w:noProof/>
              </w:rPr>
              <w:t>32</w:t>
            </w:r>
            <w:r>
              <w:rPr>
                <w:noProof/>
              </w:rPr>
              <w:fldChar w:fldCharType="end"/>
            </w:r>
          </w:hyperlink>
        </w:p>
        <w:p w:rsidR="001372AE" w:rsidP="001372AE" w:rsidRDefault="001372AE" w14:paraId="4477100B" w14:textId="60EC539A">
          <w:pPr>
            <w:pStyle w:val="TOC3"/>
            <w:tabs>
              <w:tab w:val="left" w:pos="1560"/>
              <w:tab w:val="right" w:leader="dot" w:pos="9345"/>
            </w:tabs>
            <w:rPr>
              <w:rStyle w:val="Hyperlink"/>
              <w:noProof/>
              <w:kern w:val="2"/>
              <w14:ligatures w14:val="standardContextual"/>
            </w:rPr>
          </w:pPr>
          <w:hyperlink w:anchor="_Toc684122297">
            <w:r w:rsidRPr="2EC8422F">
              <w:rPr>
                <w:rStyle w:val="Hyperlink"/>
                <w:noProof/>
              </w:rPr>
              <w:t>5.6.3.</w:t>
            </w:r>
            <w:r>
              <w:rPr>
                <w:noProof/>
              </w:rPr>
              <w:tab/>
            </w:r>
            <w:r w:rsidRPr="2EC8422F">
              <w:rPr>
                <w:rStyle w:val="Hyperlink"/>
                <w:noProof/>
              </w:rPr>
              <w:t>Tenant Protections Discussion</w:t>
            </w:r>
            <w:r>
              <w:rPr>
                <w:noProof/>
              </w:rPr>
              <w:tab/>
            </w:r>
            <w:r>
              <w:rPr>
                <w:noProof/>
              </w:rPr>
              <w:fldChar w:fldCharType="begin"/>
            </w:r>
            <w:r>
              <w:rPr>
                <w:noProof/>
              </w:rPr>
              <w:instrText>PAGEREF _Toc684122297 \h</w:instrText>
            </w:r>
            <w:r>
              <w:rPr>
                <w:noProof/>
              </w:rPr>
            </w:r>
            <w:r>
              <w:rPr>
                <w:noProof/>
              </w:rPr>
              <w:fldChar w:fldCharType="separate"/>
            </w:r>
            <w:r w:rsidR="00D40328">
              <w:rPr>
                <w:noProof/>
              </w:rPr>
              <w:t>32</w:t>
            </w:r>
            <w:r>
              <w:rPr>
                <w:noProof/>
              </w:rPr>
              <w:fldChar w:fldCharType="end"/>
            </w:r>
          </w:hyperlink>
        </w:p>
        <w:p w:rsidR="001372AE" w:rsidP="001372AE" w:rsidRDefault="001372AE" w14:paraId="26AF4F3D" w14:textId="4C6B127E">
          <w:pPr>
            <w:pStyle w:val="TOC2"/>
            <w:tabs>
              <w:tab w:val="left" w:pos="780"/>
              <w:tab w:val="right" w:leader="dot" w:pos="9345"/>
            </w:tabs>
            <w:rPr>
              <w:rStyle w:val="Hyperlink"/>
              <w:noProof/>
              <w:kern w:val="2"/>
              <w14:ligatures w14:val="standardContextual"/>
            </w:rPr>
          </w:pPr>
          <w:hyperlink w:anchor="_Toc400296575">
            <w:r w:rsidRPr="2EC8422F">
              <w:rPr>
                <w:rStyle w:val="Hyperlink"/>
                <w:noProof/>
              </w:rPr>
              <w:t>5.7.</w:t>
            </w:r>
            <w:r>
              <w:rPr>
                <w:noProof/>
              </w:rPr>
              <w:tab/>
            </w:r>
            <w:r w:rsidRPr="2EC8422F">
              <w:rPr>
                <w:rStyle w:val="Hyperlink"/>
                <w:noProof/>
              </w:rPr>
              <w:t>Bill Protection</w:t>
            </w:r>
            <w:r>
              <w:rPr>
                <w:noProof/>
              </w:rPr>
              <w:tab/>
            </w:r>
            <w:r>
              <w:rPr>
                <w:noProof/>
              </w:rPr>
              <w:fldChar w:fldCharType="begin"/>
            </w:r>
            <w:r>
              <w:rPr>
                <w:noProof/>
              </w:rPr>
              <w:instrText>PAGEREF _Toc400296575 \h</w:instrText>
            </w:r>
            <w:r>
              <w:rPr>
                <w:noProof/>
              </w:rPr>
            </w:r>
            <w:r>
              <w:rPr>
                <w:noProof/>
              </w:rPr>
              <w:fldChar w:fldCharType="separate"/>
            </w:r>
            <w:r w:rsidR="00D40328">
              <w:rPr>
                <w:noProof/>
              </w:rPr>
              <w:t>33</w:t>
            </w:r>
            <w:r>
              <w:rPr>
                <w:noProof/>
              </w:rPr>
              <w:fldChar w:fldCharType="end"/>
            </w:r>
          </w:hyperlink>
        </w:p>
        <w:p w:rsidR="001372AE" w:rsidP="001372AE" w:rsidRDefault="001372AE" w14:paraId="2E7F9773" w14:textId="26B6FEFA">
          <w:pPr>
            <w:pStyle w:val="TOC3"/>
            <w:tabs>
              <w:tab w:val="left" w:pos="1560"/>
              <w:tab w:val="right" w:leader="dot" w:pos="9345"/>
            </w:tabs>
            <w:rPr>
              <w:rStyle w:val="Hyperlink"/>
              <w:noProof/>
              <w:kern w:val="2"/>
              <w14:ligatures w14:val="standardContextual"/>
            </w:rPr>
          </w:pPr>
          <w:hyperlink w:anchor="_Toc1081949782">
            <w:r w:rsidRPr="2EC8422F">
              <w:rPr>
                <w:rStyle w:val="Hyperlink"/>
                <w:noProof/>
              </w:rPr>
              <w:t>5.7.1.</w:t>
            </w:r>
            <w:r>
              <w:rPr>
                <w:noProof/>
              </w:rPr>
              <w:tab/>
            </w:r>
            <w:r w:rsidRPr="2EC8422F">
              <w:rPr>
                <w:rStyle w:val="Hyperlink"/>
                <w:noProof/>
              </w:rPr>
              <w:t>Staff Proposal</w:t>
            </w:r>
            <w:r>
              <w:rPr>
                <w:noProof/>
              </w:rPr>
              <w:tab/>
            </w:r>
            <w:r>
              <w:rPr>
                <w:noProof/>
              </w:rPr>
              <w:fldChar w:fldCharType="begin"/>
            </w:r>
            <w:r>
              <w:rPr>
                <w:noProof/>
              </w:rPr>
              <w:instrText>PAGEREF _Toc1081949782 \h</w:instrText>
            </w:r>
            <w:r>
              <w:rPr>
                <w:noProof/>
              </w:rPr>
            </w:r>
            <w:r>
              <w:rPr>
                <w:noProof/>
              </w:rPr>
              <w:fldChar w:fldCharType="separate"/>
            </w:r>
            <w:r w:rsidR="00D40328">
              <w:rPr>
                <w:noProof/>
              </w:rPr>
              <w:t>33</w:t>
            </w:r>
            <w:r>
              <w:rPr>
                <w:noProof/>
              </w:rPr>
              <w:fldChar w:fldCharType="end"/>
            </w:r>
          </w:hyperlink>
        </w:p>
        <w:p w:rsidR="001372AE" w:rsidP="001372AE" w:rsidRDefault="001372AE" w14:paraId="6FE1EAC5" w14:textId="702B407E">
          <w:pPr>
            <w:pStyle w:val="TOC3"/>
            <w:tabs>
              <w:tab w:val="left" w:pos="1560"/>
              <w:tab w:val="right" w:leader="dot" w:pos="9345"/>
            </w:tabs>
            <w:rPr>
              <w:rStyle w:val="Hyperlink"/>
              <w:noProof/>
              <w:kern w:val="2"/>
              <w14:ligatures w14:val="standardContextual"/>
            </w:rPr>
          </w:pPr>
          <w:hyperlink w:anchor="_Toc326059849">
            <w:r w:rsidRPr="2EC8422F">
              <w:rPr>
                <w:rStyle w:val="Hyperlink"/>
                <w:noProof/>
              </w:rPr>
              <w:t>5.7.2.</w:t>
            </w:r>
            <w:r>
              <w:rPr>
                <w:noProof/>
              </w:rPr>
              <w:tab/>
            </w:r>
            <w:r w:rsidRPr="2EC8422F">
              <w:rPr>
                <w:rStyle w:val="Hyperlink"/>
                <w:noProof/>
              </w:rPr>
              <w:t>Party Comments</w:t>
            </w:r>
            <w:r>
              <w:rPr>
                <w:noProof/>
              </w:rPr>
              <w:tab/>
            </w:r>
            <w:r>
              <w:rPr>
                <w:noProof/>
              </w:rPr>
              <w:fldChar w:fldCharType="begin"/>
            </w:r>
            <w:r>
              <w:rPr>
                <w:noProof/>
              </w:rPr>
              <w:instrText>PAGEREF _Toc326059849 \h</w:instrText>
            </w:r>
            <w:r>
              <w:rPr>
                <w:noProof/>
              </w:rPr>
            </w:r>
            <w:r>
              <w:rPr>
                <w:noProof/>
              </w:rPr>
              <w:fldChar w:fldCharType="separate"/>
            </w:r>
            <w:r w:rsidR="00D40328">
              <w:rPr>
                <w:noProof/>
              </w:rPr>
              <w:t>35</w:t>
            </w:r>
            <w:r>
              <w:rPr>
                <w:noProof/>
              </w:rPr>
              <w:fldChar w:fldCharType="end"/>
            </w:r>
          </w:hyperlink>
        </w:p>
        <w:p w:rsidR="001372AE" w:rsidP="001372AE" w:rsidRDefault="001372AE" w14:paraId="48F87928" w14:textId="717664BC">
          <w:pPr>
            <w:pStyle w:val="TOC3"/>
            <w:tabs>
              <w:tab w:val="left" w:pos="1560"/>
              <w:tab w:val="right" w:leader="dot" w:pos="9345"/>
            </w:tabs>
            <w:rPr>
              <w:rStyle w:val="Hyperlink"/>
              <w:noProof/>
              <w:kern w:val="2"/>
              <w14:ligatures w14:val="standardContextual"/>
            </w:rPr>
          </w:pPr>
          <w:hyperlink w:anchor="_Toc920637514">
            <w:r w:rsidRPr="2EC8422F">
              <w:rPr>
                <w:rStyle w:val="Hyperlink"/>
                <w:noProof/>
              </w:rPr>
              <w:t>5.7.3.</w:t>
            </w:r>
            <w:r>
              <w:rPr>
                <w:noProof/>
              </w:rPr>
              <w:tab/>
            </w:r>
            <w:r w:rsidRPr="2EC8422F">
              <w:rPr>
                <w:rStyle w:val="Hyperlink"/>
                <w:noProof/>
              </w:rPr>
              <w:t>Bill Protection Discussion</w:t>
            </w:r>
            <w:r>
              <w:rPr>
                <w:noProof/>
              </w:rPr>
              <w:tab/>
            </w:r>
            <w:r>
              <w:rPr>
                <w:noProof/>
              </w:rPr>
              <w:fldChar w:fldCharType="begin"/>
            </w:r>
            <w:r>
              <w:rPr>
                <w:noProof/>
              </w:rPr>
              <w:instrText>PAGEREF _Toc920637514 \h</w:instrText>
            </w:r>
            <w:r>
              <w:rPr>
                <w:noProof/>
              </w:rPr>
            </w:r>
            <w:r>
              <w:rPr>
                <w:noProof/>
              </w:rPr>
              <w:fldChar w:fldCharType="separate"/>
            </w:r>
            <w:r w:rsidR="00D40328">
              <w:rPr>
                <w:noProof/>
              </w:rPr>
              <w:t>36</w:t>
            </w:r>
            <w:r>
              <w:rPr>
                <w:noProof/>
              </w:rPr>
              <w:fldChar w:fldCharType="end"/>
            </w:r>
          </w:hyperlink>
        </w:p>
        <w:p w:rsidR="001372AE" w:rsidP="001372AE" w:rsidRDefault="001372AE" w14:paraId="7F4CDB74" w14:textId="2D183AD6">
          <w:pPr>
            <w:pStyle w:val="TOC2"/>
            <w:tabs>
              <w:tab w:val="left" w:pos="780"/>
              <w:tab w:val="right" w:leader="dot" w:pos="9345"/>
            </w:tabs>
            <w:rPr>
              <w:rStyle w:val="Hyperlink"/>
              <w:noProof/>
              <w:kern w:val="2"/>
              <w14:ligatures w14:val="standardContextual"/>
            </w:rPr>
          </w:pPr>
          <w:hyperlink w:anchor="_Toc663313006">
            <w:r w:rsidRPr="2EC8422F">
              <w:rPr>
                <w:rStyle w:val="Hyperlink"/>
                <w:noProof/>
              </w:rPr>
              <w:t>5.8.</w:t>
            </w:r>
            <w:r>
              <w:rPr>
                <w:noProof/>
              </w:rPr>
              <w:tab/>
            </w:r>
            <w:r w:rsidRPr="2EC8422F">
              <w:rPr>
                <w:rStyle w:val="Hyperlink"/>
                <w:noProof/>
              </w:rPr>
              <w:t>Reporting and Evaluation</w:t>
            </w:r>
            <w:r>
              <w:rPr>
                <w:noProof/>
              </w:rPr>
              <w:tab/>
            </w:r>
            <w:r>
              <w:rPr>
                <w:noProof/>
              </w:rPr>
              <w:fldChar w:fldCharType="begin"/>
            </w:r>
            <w:r>
              <w:rPr>
                <w:noProof/>
              </w:rPr>
              <w:instrText>PAGEREF _Toc663313006 \h</w:instrText>
            </w:r>
            <w:r>
              <w:rPr>
                <w:noProof/>
              </w:rPr>
            </w:r>
            <w:r>
              <w:rPr>
                <w:noProof/>
              </w:rPr>
              <w:fldChar w:fldCharType="separate"/>
            </w:r>
            <w:r w:rsidR="00D40328">
              <w:rPr>
                <w:noProof/>
              </w:rPr>
              <w:t>37</w:t>
            </w:r>
            <w:r>
              <w:rPr>
                <w:noProof/>
              </w:rPr>
              <w:fldChar w:fldCharType="end"/>
            </w:r>
          </w:hyperlink>
        </w:p>
        <w:p w:rsidR="001372AE" w:rsidP="001372AE" w:rsidRDefault="001372AE" w14:paraId="428BEEDF" w14:textId="32935851">
          <w:pPr>
            <w:pStyle w:val="TOC3"/>
            <w:tabs>
              <w:tab w:val="left" w:pos="1560"/>
              <w:tab w:val="right" w:leader="dot" w:pos="9345"/>
            </w:tabs>
            <w:rPr>
              <w:rStyle w:val="Hyperlink"/>
              <w:noProof/>
              <w:kern w:val="2"/>
              <w14:ligatures w14:val="standardContextual"/>
            </w:rPr>
          </w:pPr>
          <w:hyperlink w:anchor="_Toc101404052">
            <w:r w:rsidRPr="2EC8422F">
              <w:rPr>
                <w:rStyle w:val="Hyperlink"/>
                <w:noProof/>
              </w:rPr>
              <w:t>5.8.1.</w:t>
            </w:r>
            <w:r>
              <w:rPr>
                <w:noProof/>
              </w:rPr>
              <w:tab/>
            </w:r>
            <w:r w:rsidRPr="2EC8422F">
              <w:rPr>
                <w:rStyle w:val="Hyperlink"/>
                <w:noProof/>
              </w:rPr>
              <w:t>Staff Proposal</w:t>
            </w:r>
            <w:r>
              <w:rPr>
                <w:noProof/>
              </w:rPr>
              <w:tab/>
            </w:r>
            <w:r>
              <w:rPr>
                <w:noProof/>
              </w:rPr>
              <w:fldChar w:fldCharType="begin"/>
            </w:r>
            <w:r>
              <w:rPr>
                <w:noProof/>
              </w:rPr>
              <w:instrText>PAGEREF _Toc101404052 \h</w:instrText>
            </w:r>
            <w:r>
              <w:rPr>
                <w:noProof/>
              </w:rPr>
            </w:r>
            <w:r>
              <w:rPr>
                <w:noProof/>
              </w:rPr>
              <w:fldChar w:fldCharType="separate"/>
            </w:r>
            <w:r w:rsidR="00D40328">
              <w:rPr>
                <w:noProof/>
              </w:rPr>
              <w:t>37</w:t>
            </w:r>
            <w:r>
              <w:rPr>
                <w:noProof/>
              </w:rPr>
              <w:fldChar w:fldCharType="end"/>
            </w:r>
          </w:hyperlink>
        </w:p>
        <w:p w:rsidR="001372AE" w:rsidP="001372AE" w:rsidRDefault="001372AE" w14:paraId="0D57B310" w14:textId="4B56066C">
          <w:pPr>
            <w:pStyle w:val="TOC3"/>
            <w:tabs>
              <w:tab w:val="left" w:pos="1560"/>
              <w:tab w:val="right" w:leader="dot" w:pos="9345"/>
            </w:tabs>
            <w:rPr>
              <w:rStyle w:val="Hyperlink"/>
              <w:noProof/>
              <w:kern w:val="2"/>
              <w14:ligatures w14:val="standardContextual"/>
            </w:rPr>
          </w:pPr>
          <w:hyperlink w:anchor="_Toc1212615712">
            <w:r w:rsidRPr="2EC8422F">
              <w:rPr>
                <w:rStyle w:val="Hyperlink"/>
                <w:noProof/>
              </w:rPr>
              <w:t>5.8.2.</w:t>
            </w:r>
            <w:r>
              <w:rPr>
                <w:noProof/>
              </w:rPr>
              <w:tab/>
            </w:r>
            <w:r w:rsidRPr="2EC8422F">
              <w:rPr>
                <w:rStyle w:val="Hyperlink"/>
                <w:noProof/>
              </w:rPr>
              <w:t>Party Comments</w:t>
            </w:r>
            <w:r>
              <w:rPr>
                <w:noProof/>
              </w:rPr>
              <w:tab/>
            </w:r>
            <w:r>
              <w:rPr>
                <w:noProof/>
              </w:rPr>
              <w:fldChar w:fldCharType="begin"/>
            </w:r>
            <w:r>
              <w:rPr>
                <w:noProof/>
              </w:rPr>
              <w:instrText>PAGEREF _Toc1212615712 \h</w:instrText>
            </w:r>
            <w:r>
              <w:rPr>
                <w:noProof/>
              </w:rPr>
            </w:r>
            <w:r>
              <w:rPr>
                <w:noProof/>
              </w:rPr>
              <w:fldChar w:fldCharType="separate"/>
            </w:r>
            <w:r w:rsidR="00D40328">
              <w:rPr>
                <w:noProof/>
              </w:rPr>
              <w:t>37</w:t>
            </w:r>
            <w:r>
              <w:rPr>
                <w:noProof/>
              </w:rPr>
              <w:fldChar w:fldCharType="end"/>
            </w:r>
          </w:hyperlink>
        </w:p>
        <w:p w:rsidR="001372AE" w:rsidP="001372AE" w:rsidRDefault="001372AE" w14:paraId="787D1C50" w14:textId="677D3EFA">
          <w:pPr>
            <w:pStyle w:val="TOC3"/>
            <w:tabs>
              <w:tab w:val="left" w:pos="1560"/>
              <w:tab w:val="right" w:leader="dot" w:pos="9345"/>
            </w:tabs>
            <w:rPr>
              <w:rStyle w:val="Hyperlink"/>
              <w:noProof/>
              <w:kern w:val="2"/>
              <w14:ligatures w14:val="standardContextual"/>
            </w:rPr>
          </w:pPr>
          <w:hyperlink w:anchor="_Toc656766448">
            <w:r w:rsidRPr="2EC8422F">
              <w:rPr>
                <w:rStyle w:val="Hyperlink"/>
                <w:noProof/>
              </w:rPr>
              <w:t>5.8.3.</w:t>
            </w:r>
            <w:r>
              <w:rPr>
                <w:noProof/>
              </w:rPr>
              <w:tab/>
            </w:r>
            <w:r w:rsidRPr="2EC8422F">
              <w:rPr>
                <w:rStyle w:val="Hyperlink"/>
                <w:noProof/>
              </w:rPr>
              <w:t>Comments on September 15, 2025 Amended Scoping Ruling</w:t>
            </w:r>
            <w:r>
              <w:rPr>
                <w:noProof/>
              </w:rPr>
              <w:tab/>
            </w:r>
            <w:r>
              <w:rPr>
                <w:noProof/>
              </w:rPr>
              <w:fldChar w:fldCharType="begin"/>
            </w:r>
            <w:r>
              <w:rPr>
                <w:noProof/>
              </w:rPr>
              <w:instrText>PAGEREF _Toc656766448 \h</w:instrText>
            </w:r>
            <w:r>
              <w:rPr>
                <w:noProof/>
              </w:rPr>
            </w:r>
            <w:r>
              <w:rPr>
                <w:noProof/>
              </w:rPr>
              <w:fldChar w:fldCharType="separate"/>
            </w:r>
            <w:r w:rsidR="00D40328">
              <w:rPr>
                <w:noProof/>
              </w:rPr>
              <w:t>37</w:t>
            </w:r>
            <w:r>
              <w:rPr>
                <w:noProof/>
              </w:rPr>
              <w:fldChar w:fldCharType="end"/>
            </w:r>
          </w:hyperlink>
        </w:p>
        <w:p w:rsidR="001372AE" w:rsidP="001372AE" w:rsidRDefault="001372AE" w14:paraId="72B42F68" w14:textId="7157214F">
          <w:pPr>
            <w:pStyle w:val="TOC3"/>
            <w:tabs>
              <w:tab w:val="left" w:pos="1560"/>
              <w:tab w:val="right" w:leader="dot" w:pos="9345"/>
            </w:tabs>
            <w:rPr>
              <w:rStyle w:val="Hyperlink"/>
              <w:noProof/>
              <w:kern w:val="2"/>
              <w14:ligatures w14:val="standardContextual"/>
            </w:rPr>
          </w:pPr>
          <w:hyperlink w:anchor="_Toc860954661">
            <w:r w:rsidRPr="2EC8422F">
              <w:rPr>
                <w:rStyle w:val="Hyperlink"/>
                <w:noProof/>
              </w:rPr>
              <w:t>5.8.4.</w:t>
            </w:r>
            <w:r>
              <w:rPr>
                <w:noProof/>
              </w:rPr>
              <w:tab/>
            </w:r>
            <w:r w:rsidRPr="2EC8422F">
              <w:rPr>
                <w:rStyle w:val="Hyperlink"/>
                <w:noProof/>
              </w:rPr>
              <w:t>Reporting and Evaluation Discussion</w:t>
            </w:r>
            <w:r>
              <w:rPr>
                <w:noProof/>
              </w:rPr>
              <w:tab/>
            </w:r>
            <w:r>
              <w:rPr>
                <w:noProof/>
              </w:rPr>
              <w:fldChar w:fldCharType="begin"/>
            </w:r>
            <w:r>
              <w:rPr>
                <w:noProof/>
              </w:rPr>
              <w:instrText>PAGEREF _Toc860954661 \h</w:instrText>
            </w:r>
            <w:r>
              <w:rPr>
                <w:noProof/>
              </w:rPr>
            </w:r>
            <w:r>
              <w:rPr>
                <w:noProof/>
              </w:rPr>
              <w:fldChar w:fldCharType="separate"/>
            </w:r>
            <w:r w:rsidR="00D40328">
              <w:rPr>
                <w:noProof/>
              </w:rPr>
              <w:t>39</w:t>
            </w:r>
            <w:r>
              <w:rPr>
                <w:noProof/>
              </w:rPr>
              <w:fldChar w:fldCharType="end"/>
            </w:r>
          </w:hyperlink>
        </w:p>
        <w:p w:rsidR="001372AE" w:rsidP="001372AE" w:rsidRDefault="001372AE" w14:paraId="058B9CD9" w14:textId="127739FA">
          <w:pPr>
            <w:pStyle w:val="TOC1"/>
            <w:tabs>
              <w:tab w:val="left" w:pos="510"/>
              <w:tab w:val="right" w:leader="dot" w:pos="9345"/>
            </w:tabs>
            <w:rPr>
              <w:rStyle w:val="Hyperlink"/>
              <w:noProof/>
              <w:kern w:val="2"/>
              <w14:ligatures w14:val="standardContextual"/>
            </w:rPr>
          </w:pPr>
          <w:hyperlink w:anchor="_Toc466339165">
            <w:r w:rsidRPr="2EC8422F">
              <w:rPr>
                <w:rStyle w:val="Hyperlink"/>
                <w:noProof/>
              </w:rPr>
              <w:t>6.</w:t>
            </w:r>
            <w:r>
              <w:rPr>
                <w:noProof/>
              </w:rPr>
              <w:tab/>
            </w:r>
            <w:r w:rsidRPr="2EC8422F">
              <w:rPr>
                <w:rStyle w:val="Hyperlink"/>
                <w:noProof/>
              </w:rPr>
              <w:t>Summary of Public Comments</w:t>
            </w:r>
            <w:r>
              <w:rPr>
                <w:noProof/>
              </w:rPr>
              <w:tab/>
            </w:r>
            <w:r>
              <w:rPr>
                <w:noProof/>
              </w:rPr>
              <w:fldChar w:fldCharType="begin"/>
            </w:r>
            <w:r>
              <w:rPr>
                <w:noProof/>
              </w:rPr>
              <w:instrText>PAGEREF _Toc466339165 \h</w:instrText>
            </w:r>
            <w:r>
              <w:rPr>
                <w:noProof/>
              </w:rPr>
            </w:r>
            <w:r>
              <w:rPr>
                <w:noProof/>
              </w:rPr>
              <w:fldChar w:fldCharType="separate"/>
            </w:r>
            <w:r w:rsidR="00D40328">
              <w:rPr>
                <w:noProof/>
              </w:rPr>
              <w:t>42</w:t>
            </w:r>
            <w:r>
              <w:rPr>
                <w:noProof/>
              </w:rPr>
              <w:fldChar w:fldCharType="end"/>
            </w:r>
          </w:hyperlink>
        </w:p>
        <w:p w:rsidRPr="000D00FE" w:rsidR="001372AE" w:rsidP="001372AE" w:rsidRDefault="001372AE" w14:paraId="580CF23E" w14:textId="7A74D5D2">
          <w:pPr>
            <w:pStyle w:val="TOC1"/>
            <w:tabs>
              <w:tab w:val="left" w:pos="510"/>
              <w:tab w:val="right" w:leader="dot" w:pos="9345"/>
            </w:tabs>
            <w:rPr>
              <w:rStyle w:val="Hyperlink"/>
              <w:noProof/>
              <w:kern w:val="2"/>
              <w14:ligatures w14:val="standardContextual"/>
            </w:rPr>
          </w:pPr>
          <w:hyperlink w:anchor="_Toc719449366">
            <w:r w:rsidRPr="2EC8422F">
              <w:rPr>
                <w:rStyle w:val="Hyperlink"/>
                <w:noProof/>
              </w:rPr>
              <w:t>7.</w:t>
            </w:r>
            <w:r>
              <w:rPr>
                <w:noProof/>
              </w:rPr>
              <w:tab/>
            </w:r>
            <w:r w:rsidRPr="2EC8422F">
              <w:rPr>
                <w:rStyle w:val="Hyperlink"/>
                <w:noProof/>
              </w:rPr>
              <w:t>Procedural Matters</w:t>
            </w:r>
            <w:r>
              <w:rPr>
                <w:noProof/>
              </w:rPr>
              <w:tab/>
            </w:r>
            <w:r>
              <w:rPr>
                <w:noProof/>
              </w:rPr>
              <w:fldChar w:fldCharType="begin"/>
            </w:r>
            <w:r>
              <w:rPr>
                <w:noProof/>
              </w:rPr>
              <w:instrText>PAGEREF _Toc719449366 \h</w:instrText>
            </w:r>
            <w:r>
              <w:rPr>
                <w:noProof/>
              </w:rPr>
            </w:r>
            <w:r>
              <w:rPr>
                <w:noProof/>
              </w:rPr>
              <w:fldChar w:fldCharType="separate"/>
            </w:r>
            <w:r w:rsidR="00D40328">
              <w:rPr>
                <w:noProof/>
              </w:rPr>
              <w:t>42</w:t>
            </w:r>
            <w:r>
              <w:rPr>
                <w:noProof/>
              </w:rPr>
              <w:fldChar w:fldCharType="end"/>
            </w:r>
          </w:hyperlink>
        </w:p>
        <w:p w:rsidRPr="000D00FE" w:rsidR="001372AE" w:rsidP="001372AE" w:rsidRDefault="001372AE" w14:paraId="03B62452" w14:textId="65C60303">
          <w:pPr>
            <w:pStyle w:val="TOC1"/>
            <w:tabs>
              <w:tab w:val="left" w:pos="510"/>
              <w:tab w:val="right" w:leader="dot" w:pos="9345"/>
            </w:tabs>
            <w:rPr>
              <w:rStyle w:val="Hyperlink"/>
              <w:noProof/>
              <w:kern w:val="2"/>
              <w14:ligatures w14:val="standardContextual"/>
            </w:rPr>
          </w:pPr>
          <w:hyperlink w:anchor="_Toc1611257316">
            <w:r w:rsidRPr="2EC8422F">
              <w:rPr>
                <w:rStyle w:val="Hyperlink"/>
                <w:noProof/>
              </w:rPr>
              <w:t>8.</w:t>
            </w:r>
            <w:r>
              <w:rPr>
                <w:noProof/>
              </w:rPr>
              <w:tab/>
            </w:r>
            <w:r w:rsidRPr="2EC8422F">
              <w:rPr>
                <w:rStyle w:val="Hyperlink"/>
                <w:noProof/>
              </w:rPr>
              <w:t>Comments on Proposed Decision</w:t>
            </w:r>
            <w:r>
              <w:rPr>
                <w:noProof/>
              </w:rPr>
              <w:tab/>
            </w:r>
            <w:r>
              <w:rPr>
                <w:noProof/>
              </w:rPr>
              <w:fldChar w:fldCharType="begin"/>
            </w:r>
            <w:r>
              <w:rPr>
                <w:noProof/>
              </w:rPr>
              <w:instrText>PAGEREF _Toc1611257316 \h</w:instrText>
            </w:r>
            <w:r>
              <w:rPr>
                <w:noProof/>
              </w:rPr>
            </w:r>
            <w:r>
              <w:rPr>
                <w:noProof/>
              </w:rPr>
              <w:fldChar w:fldCharType="separate"/>
            </w:r>
            <w:r w:rsidR="00D40328">
              <w:rPr>
                <w:noProof/>
              </w:rPr>
              <w:t>42</w:t>
            </w:r>
            <w:r>
              <w:rPr>
                <w:noProof/>
              </w:rPr>
              <w:fldChar w:fldCharType="end"/>
            </w:r>
          </w:hyperlink>
        </w:p>
        <w:p w:rsidRPr="000D00FE" w:rsidR="001372AE" w:rsidP="001372AE" w:rsidRDefault="001372AE" w14:paraId="7D9C1190" w14:textId="42CABBC8">
          <w:pPr>
            <w:pStyle w:val="TOC1"/>
            <w:tabs>
              <w:tab w:val="left" w:pos="510"/>
              <w:tab w:val="right" w:leader="dot" w:pos="9345"/>
            </w:tabs>
            <w:rPr>
              <w:rStyle w:val="Hyperlink"/>
              <w:noProof/>
              <w:kern w:val="2"/>
              <w14:ligatures w14:val="standardContextual"/>
            </w:rPr>
          </w:pPr>
          <w:hyperlink w:anchor="_Toc1951971399">
            <w:r w:rsidRPr="2EC8422F">
              <w:rPr>
                <w:rStyle w:val="Hyperlink"/>
                <w:noProof/>
              </w:rPr>
              <w:t>9.</w:t>
            </w:r>
            <w:r>
              <w:rPr>
                <w:noProof/>
              </w:rPr>
              <w:tab/>
            </w:r>
            <w:r w:rsidRPr="2EC8422F">
              <w:rPr>
                <w:rStyle w:val="Hyperlink"/>
                <w:noProof/>
              </w:rPr>
              <w:t>Assignment of Proceeding</w:t>
            </w:r>
            <w:r>
              <w:rPr>
                <w:noProof/>
              </w:rPr>
              <w:tab/>
            </w:r>
            <w:r>
              <w:rPr>
                <w:noProof/>
              </w:rPr>
              <w:fldChar w:fldCharType="begin"/>
            </w:r>
            <w:r>
              <w:rPr>
                <w:noProof/>
              </w:rPr>
              <w:instrText>PAGEREF _Toc1951971399 \h</w:instrText>
            </w:r>
            <w:r>
              <w:rPr>
                <w:noProof/>
              </w:rPr>
            </w:r>
            <w:r>
              <w:rPr>
                <w:noProof/>
              </w:rPr>
              <w:fldChar w:fldCharType="separate"/>
            </w:r>
            <w:r w:rsidR="00D40328">
              <w:rPr>
                <w:noProof/>
              </w:rPr>
              <w:t>48</w:t>
            </w:r>
            <w:r>
              <w:rPr>
                <w:noProof/>
              </w:rPr>
              <w:fldChar w:fldCharType="end"/>
            </w:r>
          </w:hyperlink>
        </w:p>
        <w:p w:rsidR="001372AE" w:rsidP="001372AE" w:rsidRDefault="001372AE" w14:paraId="675AAEDB" w14:textId="772CF5C5">
          <w:pPr>
            <w:pStyle w:val="TOC1"/>
            <w:tabs>
              <w:tab w:val="right" w:leader="dot" w:pos="9345"/>
            </w:tabs>
            <w:rPr>
              <w:rStyle w:val="Hyperlink"/>
              <w:noProof/>
            </w:rPr>
          </w:pPr>
          <w:hyperlink w:anchor="_Toc1863353914">
            <w:r w:rsidRPr="2EC8422F">
              <w:rPr>
                <w:rStyle w:val="Hyperlink"/>
                <w:noProof/>
              </w:rPr>
              <w:t>Findings of Fact</w:t>
            </w:r>
            <w:r>
              <w:rPr>
                <w:noProof/>
              </w:rPr>
              <w:tab/>
            </w:r>
            <w:r>
              <w:rPr>
                <w:noProof/>
              </w:rPr>
              <w:fldChar w:fldCharType="begin"/>
            </w:r>
            <w:r>
              <w:rPr>
                <w:noProof/>
              </w:rPr>
              <w:instrText>PAGEREF _Toc1863353914 \h</w:instrText>
            </w:r>
            <w:r>
              <w:rPr>
                <w:noProof/>
              </w:rPr>
            </w:r>
            <w:r>
              <w:rPr>
                <w:noProof/>
              </w:rPr>
              <w:fldChar w:fldCharType="separate"/>
            </w:r>
            <w:r w:rsidR="00D40328">
              <w:rPr>
                <w:noProof/>
              </w:rPr>
              <w:t>48</w:t>
            </w:r>
            <w:r>
              <w:rPr>
                <w:noProof/>
              </w:rPr>
              <w:fldChar w:fldCharType="end"/>
            </w:r>
          </w:hyperlink>
        </w:p>
        <w:p w:rsidR="001372AE" w:rsidP="001372AE" w:rsidRDefault="001372AE" w14:paraId="1CF2F6FB" w14:textId="584B7C85">
          <w:pPr>
            <w:pStyle w:val="TOC1"/>
            <w:tabs>
              <w:tab w:val="right" w:leader="dot" w:pos="9345"/>
            </w:tabs>
            <w:rPr>
              <w:rStyle w:val="Hyperlink"/>
              <w:noProof/>
            </w:rPr>
          </w:pPr>
          <w:hyperlink w:anchor="_Toc203687241">
            <w:r w:rsidRPr="2EC8422F">
              <w:rPr>
                <w:rStyle w:val="Hyperlink"/>
                <w:noProof/>
              </w:rPr>
              <w:t>Conclusions of Law</w:t>
            </w:r>
            <w:r>
              <w:rPr>
                <w:noProof/>
              </w:rPr>
              <w:tab/>
            </w:r>
            <w:r>
              <w:rPr>
                <w:noProof/>
              </w:rPr>
              <w:fldChar w:fldCharType="begin"/>
            </w:r>
            <w:r>
              <w:rPr>
                <w:noProof/>
              </w:rPr>
              <w:instrText>PAGEREF _Toc203687241 \h</w:instrText>
            </w:r>
            <w:r>
              <w:rPr>
                <w:noProof/>
              </w:rPr>
            </w:r>
            <w:r>
              <w:rPr>
                <w:noProof/>
              </w:rPr>
              <w:fldChar w:fldCharType="separate"/>
            </w:r>
            <w:r w:rsidR="00D40328">
              <w:rPr>
                <w:noProof/>
              </w:rPr>
              <w:t>50</w:t>
            </w:r>
            <w:r>
              <w:rPr>
                <w:noProof/>
              </w:rPr>
              <w:fldChar w:fldCharType="end"/>
            </w:r>
          </w:hyperlink>
        </w:p>
        <w:p w:rsidR="001372AE" w:rsidP="001372AE" w:rsidRDefault="001372AE" w14:paraId="2FF9B27B" w14:textId="64B57D20">
          <w:pPr>
            <w:pStyle w:val="TOC1"/>
            <w:tabs>
              <w:tab w:val="right" w:leader="dot" w:pos="9345"/>
            </w:tabs>
            <w:rPr>
              <w:rStyle w:val="Hyperlink"/>
            </w:rPr>
          </w:pPr>
          <w:hyperlink w:anchor="_Toc2121595442">
            <w:r w:rsidRPr="2EC8422F">
              <w:rPr>
                <w:rStyle w:val="Hyperlink"/>
                <w:noProof/>
              </w:rPr>
              <w:t>ORDER</w:t>
            </w:r>
            <w:r>
              <w:rPr>
                <w:noProof/>
              </w:rPr>
              <w:tab/>
            </w:r>
            <w:r>
              <w:rPr>
                <w:noProof/>
              </w:rPr>
              <w:fldChar w:fldCharType="begin"/>
            </w:r>
            <w:r>
              <w:rPr>
                <w:noProof/>
              </w:rPr>
              <w:instrText>PAGEREF _Toc2121595442 \h</w:instrText>
            </w:r>
            <w:r>
              <w:rPr>
                <w:noProof/>
              </w:rPr>
            </w:r>
            <w:r>
              <w:rPr>
                <w:noProof/>
              </w:rPr>
              <w:fldChar w:fldCharType="separate"/>
            </w:r>
            <w:r w:rsidR="00D40328">
              <w:rPr>
                <w:noProof/>
              </w:rPr>
              <w:t>51</w:t>
            </w:r>
            <w:r>
              <w:rPr>
                <w:noProof/>
              </w:rPr>
              <w:fldChar w:fldCharType="end"/>
            </w:r>
          </w:hyperlink>
          <w:r>
            <w:fldChar w:fldCharType="end"/>
          </w:r>
        </w:p>
      </w:sdtContent>
    </w:sdt>
    <w:p w:rsidRPr="00717482" w:rsidR="001372AE" w:rsidP="001372AE" w:rsidRDefault="001372AE" w14:paraId="1940F479" w14:textId="77777777">
      <w:pPr>
        <w:pStyle w:val="TOC1"/>
        <w:tabs>
          <w:tab w:val="right" w:leader="dot" w:pos="9350"/>
        </w:tabs>
      </w:pPr>
    </w:p>
    <w:p w:rsidRPr="00D44DB6" w:rsidR="001372AE" w:rsidP="001372AE" w:rsidRDefault="001372AE" w14:paraId="6BEF8CFD" w14:textId="77777777">
      <w:pPr>
        <w:spacing w:line="240" w:lineRule="auto"/>
        <w:ind w:firstLine="0"/>
        <w:rPr>
          <w:rFonts w:cs="Arial"/>
          <w:i/>
          <w:szCs w:val="26"/>
        </w:rPr>
        <w:sectPr w:rsidRPr="00D44DB6" w:rsidR="001372AE" w:rsidSect="001372AE">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1372AE" w:rsidP="001372AE" w:rsidRDefault="001372AE" w14:paraId="6000A73E" w14:textId="77777777">
      <w:pPr>
        <w:pStyle w:val="Dummy"/>
        <w:jc w:val="center"/>
      </w:pPr>
      <w:bookmarkStart w:name="_Toc272941746" w:id="1"/>
      <w:bookmarkStart w:name="_Toc887465578" w:id="2"/>
      <w:bookmarkStart w:name="_Toc8123714" w:id="3"/>
      <w:r w:rsidRPr="2EC8422F">
        <w:rPr>
          <w:rFonts w:eastAsiaTheme="majorEastAsia" w:cstheme="majorBidi"/>
          <w:caps/>
        </w:rPr>
        <w:lastRenderedPageBreak/>
        <w:t>DECISION ESTABLISHING AN ELECTRIFICATION INITIATIVE FOR MOBILEHOME PARKS</w:t>
      </w:r>
      <w:bookmarkEnd w:id="1"/>
      <w:bookmarkEnd w:id="2"/>
      <w:r w:rsidRPr="2EC8422F">
        <w:rPr>
          <w:rFonts w:eastAsiaTheme="majorEastAsia" w:cstheme="majorBidi"/>
          <w:caps/>
        </w:rPr>
        <w:t xml:space="preserve"> </w:t>
      </w:r>
      <w:bookmarkEnd w:id="3"/>
    </w:p>
    <w:p w:rsidRPr="00ED4E1B" w:rsidR="001372AE" w:rsidP="001372AE" w:rsidRDefault="001372AE" w14:paraId="141CCD91" w14:textId="77777777">
      <w:pPr>
        <w:keepNext/>
        <w:keepLines/>
        <w:spacing w:after="120" w:line="240" w:lineRule="auto"/>
        <w:ind w:left="360" w:right="2160" w:hanging="360"/>
        <w:outlineLvl w:val="0"/>
        <w:rPr>
          <w:rFonts w:ascii="Arial" w:hAnsi="Arial" w:eastAsiaTheme="majorEastAsia" w:cstheme="majorBidi"/>
          <w:b/>
        </w:rPr>
      </w:pPr>
      <w:bookmarkStart w:name="_Toc204269581" w:id="4"/>
      <w:bookmarkStart w:name="_Toc1540025756" w:id="5"/>
      <w:bookmarkStart w:name="_Toc1731838527" w:id="6"/>
      <w:r w:rsidRPr="2EC8422F">
        <w:rPr>
          <w:rFonts w:ascii="Arial" w:hAnsi="Arial" w:eastAsiaTheme="majorEastAsia" w:cstheme="majorBidi"/>
          <w:b/>
        </w:rPr>
        <w:t>Summary</w:t>
      </w:r>
      <w:bookmarkEnd w:id="4"/>
      <w:bookmarkEnd w:id="5"/>
      <w:bookmarkEnd w:id="6"/>
    </w:p>
    <w:p w:rsidRPr="00ED4E1B" w:rsidR="001372AE" w:rsidP="001372AE" w:rsidRDefault="001372AE" w14:paraId="3006F790" w14:textId="63877AB9">
      <w:pPr>
        <w:rPr>
          <w:rFonts w:eastAsiaTheme="minorEastAsia"/>
          <w:szCs w:val="26"/>
        </w:rPr>
      </w:pPr>
      <w:r w:rsidRPr="00ED4E1B">
        <w:rPr>
          <w:rFonts w:eastAsiaTheme="minorEastAsia"/>
          <w:szCs w:val="26"/>
        </w:rPr>
        <w:t>This decision directs Pacific Gas &amp; Electric, Southern California Edison, San Diego Gas &amp; Electric</w:t>
      </w:r>
      <w:r>
        <w:rPr>
          <w:rFonts w:eastAsiaTheme="minorEastAsia"/>
          <w:szCs w:val="26"/>
        </w:rPr>
        <w:t>, Southern California Gas, and Southwest Gas</w:t>
      </w:r>
      <w:r w:rsidRPr="00ED4E1B">
        <w:rPr>
          <w:rFonts w:eastAsiaTheme="minorEastAsia"/>
          <w:szCs w:val="26"/>
        </w:rPr>
        <w:t xml:space="preserve"> to work with the California Energy Commission’s </w:t>
      </w:r>
      <w:r>
        <w:rPr>
          <w:rFonts w:eastAsiaTheme="minorEastAsia"/>
          <w:szCs w:val="26"/>
        </w:rPr>
        <w:t xml:space="preserve">(CEC) </w:t>
      </w:r>
      <w:r w:rsidRPr="00ED4E1B">
        <w:rPr>
          <w:rFonts w:eastAsiaTheme="minorEastAsia"/>
          <w:szCs w:val="26"/>
        </w:rPr>
        <w:t xml:space="preserve">Equitable Building Decarbonization program staff and administrators to fully electrify select </w:t>
      </w:r>
      <w:proofErr w:type="spellStart"/>
      <w:r w:rsidRPr="00ED4E1B">
        <w:rPr>
          <w:rFonts w:eastAsiaTheme="minorEastAsia"/>
          <w:szCs w:val="26"/>
        </w:rPr>
        <w:t>mobilehome</w:t>
      </w:r>
      <w:proofErr w:type="spellEnd"/>
      <w:r w:rsidRPr="00ED4E1B">
        <w:rPr>
          <w:rFonts w:eastAsiaTheme="minorEastAsia"/>
          <w:szCs w:val="26"/>
        </w:rPr>
        <w:t xml:space="preserve"> parks across the state</w:t>
      </w:r>
      <w:r>
        <w:rPr>
          <w:rFonts w:eastAsiaTheme="minorEastAsia"/>
          <w:szCs w:val="26"/>
        </w:rPr>
        <w:t xml:space="preserve">, as part of a joint California Public Utilities Commission (Commission) and CEC </w:t>
      </w:r>
      <w:proofErr w:type="spellStart"/>
      <w:r>
        <w:rPr>
          <w:rFonts w:eastAsiaTheme="minorEastAsia"/>
          <w:szCs w:val="26"/>
        </w:rPr>
        <w:t>mobilehome</w:t>
      </w:r>
      <w:proofErr w:type="spellEnd"/>
      <w:r>
        <w:rPr>
          <w:rFonts w:eastAsiaTheme="minorEastAsia"/>
          <w:szCs w:val="26"/>
        </w:rPr>
        <w:t xml:space="preserve"> electrification pilot initiative. Through the pilot initiative, </w:t>
      </w:r>
      <w:r w:rsidRPr="00ED4E1B">
        <w:rPr>
          <w:rFonts w:eastAsiaTheme="minorEastAsia"/>
          <w:szCs w:val="26"/>
        </w:rPr>
        <w:t xml:space="preserve">selected </w:t>
      </w:r>
      <w:proofErr w:type="spellStart"/>
      <w:r>
        <w:rPr>
          <w:rFonts w:eastAsiaTheme="minorEastAsia"/>
          <w:szCs w:val="26"/>
        </w:rPr>
        <w:t>m</w:t>
      </w:r>
      <w:r w:rsidRPr="00ED4E1B">
        <w:rPr>
          <w:rFonts w:eastAsiaTheme="minorEastAsia"/>
          <w:szCs w:val="26"/>
        </w:rPr>
        <w:t>obilehome</w:t>
      </w:r>
      <w:proofErr w:type="spellEnd"/>
      <w:r w:rsidRPr="00ED4E1B">
        <w:rPr>
          <w:rFonts w:eastAsiaTheme="minorEastAsia"/>
          <w:szCs w:val="26"/>
        </w:rPr>
        <w:t xml:space="preserve"> </w:t>
      </w:r>
      <w:r>
        <w:rPr>
          <w:rFonts w:eastAsiaTheme="minorEastAsia"/>
          <w:szCs w:val="26"/>
        </w:rPr>
        <w:t>p</w:t>
      </w:r>
      <w:r w:rsidRPr="00ED4E1B">
        <w:rPr>
          <w:rFonts w:eastAsiaTheme="minorEastAsia"/>
          <w:szCs w:val="26"/>
        </w:rPr>
        <w:t>arks (MHPs)</w:t>
      </w:r>
      <w:r>
        <w:rPr>
          <w:rFonts w:eastAsiaTheme="minorEastAsia"/>
          <w:szCs w:val="26"/>
        </w:rPr>
        <w:t xml:space="preserve"> will also be enrolled in</w:t>
      </w:r>
      <w:r w:rsidRPr="00ED4E1B">
        <w:rPr>
          <w:rFonts w:eastAsiaTheme="minorEastAsia"/>
          <w:szCs w:val="26"/>
        </w:rPr>
        <w:t xml:space="preserve"> the</w:t>
      </w:r>
      <w:r>
        <w:rPr>
          <w:rFonts w:eastAsiaTheme="minorEastAsia"/>
          <w:szCs w:val="26"/>
        </w:rPr>
        <w:t xml:space="preserve"> Commission’s</w:t>
      </w:r>
      <w:r w:rsidRPr="00ED4E1B">
        <w:rPr>
          <w:rFonts w:eastAsiaTheme="minorEastAsia"/>
          <w:szCs w:val="26"/>
        </w:rPr>
        <w:t xml:space="preserve"> existing </w:t>
      </w:r>
      <w:proofErr w:type="spellStart"/>
      <w:r w:rsidRPr="00ED4E1B">
        <w:rPr>
          <w:rFonts w:eastAsiaTheme="minorEastAsia"/>
          <w:szCs w:val="26"/>
        </w:rPr>
        <w:t>Mobilehome</w:t>
      </w:r>
      <w:proofErr w:type="spellEnd"/>
      <w:r w:rsidRPr="00ED4E1B">
        <w:rPr>
          <w:rFonts w:eastAsiaTheme="minorEastAsia"/>
          <w:szCs w:val="26"/>
        </w:rPr>
        <w:t xml:space="preserve"> Park Utility Conversion Program (MHP UCP) to have their </w:t>
      </w:r>
      <w:proofErr w:type="spellStart"/>
      <w:r w:rsidRPr="00ED4E1B">
        <w:rPr>
          <w:rFonts w:eastAsiaTheme="minorEastAsia"/>
          <w:szCs w:val="26"/>
        </w:rPr>
        <w:t>submetered</w:t>
      </w:r>
      <w:proofErr w:type="spellEnd"/>
      <w:r w:rsidRPr="00ED4E1B">
        <w:rPr>
          <w:rFonts w:eastAsiaTheme="minorEastAsia"/>
          <w:szCs w:val="26"/>
        </w:rPr>
        <w:t xml:space="preserve"> electrical systems converted to direct-metered, utility-owned systems. The purpose of this joint electrification </w:t>
      </w:r>
      <w:r>
        <w:rPr>
          <w:rFonts w:eastAsiaTheme="minorEastAsia"/>
          <w:szCs w:val="26"/>
        </w:rPr>
        <w:t>pilot i</w:t>
      </w:r>
      <w:r w:rsidRPr="00ED4E1B">
        <w:rPr>
          <w:rFonts w:eastAsiaTheme="minorEastAsia"/>
          <w:szCs w:val="26"/>
        </w:rPr>
        <w:t xml:space="preserve">nitiative is to better understand technical, legal, and policy concerns related to full </w:t>
      </w:r>
      <w:proofErr w:type="spellStart"/>
      <w:r w:rsidRPr="00ED4E1B">
        <w:rPr>
          <w:rFonts w:eastAsiaTheme="minorEastAsia"/>
          <w:szCs w:val="26"/>
        </w:rPr>
        <w:t>mobilehome</w:t>
      </w:r>
      <w:proofErr w:type="spellEnd"/>
      <w:r w:rsidRPr="00ED4E1B">
        <w:rPr>
          <w:rFonts w:eastAsiaTheme="minorEastAsia"/>
          <w:szCs w:val="26"/>
        </w:rPr>
        <w:t xml:space="preserve"> park electrification and to inform </w:t>
      </w:r>
      <w:r>
        <w:rPr>
          <w:rFonts w:eastAsiaTheme="minorEastAsia"/>
          <w:szCs w:val="26"/>
        </w:rPr>
        <w:t>potential changes to the MHP UCP in the future</w:t>
      </w:r>
      <w:r w:rsidRPr="00ED4E1B">
        <w:rPr>
          <w:rFonts w:eastAsiaTheme="minorEastAsia"/>
          <w:szCs w:val="26"/>
        </w:rPr>
        <w:t xml:space="preserve">. </w:t>
      </w:r>
    </w:p>
    <w:p w:rsidRPr="00ED4E1B" w:rsidR="001372AE" w:rsidP="001372AE" w:rsidRDefault="001372AE" w14:paraId="16541885" w14:textId="77777777">
      <w:pPr>
        <w:rPr>
          <w:rFonts w:eastAsiaTheme="minorEastAsia"/>
          <w:szCs w:val="26"/>
        </w:rPr>
      </w:pPr>
      <w:r w:rsidRPr="00ED4E1B">
        <w:rPr>
          <w:rFonts w:eastAsiaTheme="minorEastAsia"/>
          <w:szCs w:val="26"/>
        </w:rPr>
        <w:t xml:space="preserve">Rulemaking 18-04-018 </w:t>
      </w:r>
      <w:r>
        <w:rPr>
          <w:rFonts w:eastAsiaTheme="minorEastAsia"/>
          <w:szCs w:val="26"/>
        </w:rPr>
        <w:t>is closed</w:t>
      </w:r>
      <w:r w:rsidRPr="00ED4E1B">
        <w:rPr>
          <w:rFonts w:eastAsiaTheme="minorEastAsia"/>
          <w:szCs w:val="26"/>
        </w:rPr>
        <w:t>.</w:t>
      </w:r>
    </w:p>
    <w:p w:rsidRPr="00ED4E1B" w:rsidR="001372AE" w:rsidP="001372AE" w:rsidRDefault="001372AE" w14:paraId="333D6B8D" w14:textId="77777777">
      <w:pPr>
        <w:pStyle w:val="Heading1"/>
      </w:pPr>
      <w:bookmarkStart w:name="_Toc8123715" w:id="7"/>
      <w:bookmarkStart w:name="_Toc204269582" w:id="8"/>
      <w:bookmarkStart w:name="_Toc1101243713" w:id="9"/>
      <w:bookmarkStart w:name="_Toc33912008" w:id="10"/>
      <w:r w:rsidRPr="00ED4E1B">
        <w:t>Background</w:t>
      </w:r>
      <w:bookmarkEnd w:id="7"/>
      <w:bookmarkEnd w:id="8"/>
      <w:bookmarkEnd w:id="9"/>
      <w:bookmarkEnd w:id="10"/>
    </w:p>
    <w:p w:rsidR="001372AE" w:rsidP="001372AE" w:rsidRDefault="001372AE" w14:paraId="5653D3C4" w14:textId="4683DB34">
      <w:pPr>
        <w:rPr>
          <w:rFonts w:eastAsiaTheme="minorEastAsia"/>
          <w:szCs w:val="26"/>
        </w:rPr>
      </w:pPr>
      <w:r w:rsidRPr="00ED4E1B">
        <w:rPr>
          <w:rFonts w:eastAsiaTheme="minorEastAsia"/>
          <w:szCs w:val="26"/>
        </w:rPr>
        <w:t xml:space="preserve">The California Public Utilities Commission (Commission) opened </w:t>
      </w:r>
      <w:r>
        <w:rPr>
          <w:rFonts w:eastAsiaTheme="minorEastAsia"/>
          <w:szCs w:val="26"/>
        </w:rPr>
        <w:t>Rulemaking (</w:t>
      </w:r>
      <w:r w:rsidRPr="00ED4E1B">
        <w:rPr>
          <w:rFonts w:eastAsiaTheme="minorEastAsia"/>
          <w:szCs w:val="26"/>
        </w:rPr>
        <w:t>R.</w:t>
      </w:r>
      <w:r>
        <w:rPr>
          <w:rFonts w:eastAsiaTheme="minorEastAsia"/>
          <w:szCs w:val="26"/>
        </w:rPr>
        <w:t xml:space="preserve">) </w:t>
      </w:r>
      <w:r w:rsidRPr="00ED4E1B">
        <w:rPr>
          <w:rFonts w:eastAsiaTheme="minorEastAsia"/>
          <w:szCs w:val="26"/>
        </w:rPr>
        <w:t xml:space="preserve">18-04-018 to evaluate the </w:t>
      </w:r>
      <w:proofErr w:type="spellStart"/>
      <w:r w:rsidRPr="00ED4E1B">
        <w:rPr>
          <w:rFonts w:eastAsiaTheme="minorEastAsia"/>
          <w:szCs w:val="26"/>
        </w:rPr>
        <w:t>Mobile</w:t>
      </w:r>
      <w:r>
        <w:rPr>
          <w:rFonts w:eastAsiaTheme="minorEastAsia"/>
          <w:szCs w:val="26"/>
        </w:rPr>
        <w:t>home</w:t>
      </w:r>
      <w:proofErr w:type="spellEnd"/>
      <w:r w:rsidRPr="00ED4E1B">
        <w:rPr>
          <w:rFonts w:eastAsiaTheme="minorEastAsia"/>
          <w:szCs w:val="26"/>
        </w:rPr>
        <w:t xml:space="preserve"> Park (MHP) Pilot Program</w:t>
      </w:r>
      <w:r>
        <w:rPr>
          <w:rFonts w:eastAsiaTheme="minorEastAsia"/>
          <w:szCs w:val="26"/>
        </w:rPr>
        <w:t xml:space="preserve"> (MHP Pilot Program)</w:t>
      </w:r>
      <w:r w:rsidRPr="00ED4E1B">
        <w:rPr>
          <w:rFonts w:eastAsiaTheme="minorEastAsia"/>
          <w:szCs w:val="26"/>
        </w:rPr>
        <w:t>, which was established in Decision (D.) 14-03-021 to incentivize MHPs with master-metered natural gas and electricity systems to convert to direct utility service. The Commission later adopted D.20-04-004 to establish a 10-year MHP Utility Conversion Program (UCP) to run from 2021 through 2030, with rules and targets based on evaluation results from the MHP Pilot Program. The investor-owned utilities or IOUs participating in th</w:t>
      </w:r>
      <w:r>
        <w:rPr>
          <w:rFonts w:eastAsiaTheme="minorEastAsia"/>
          <w:szCs w:val="26"/>
        </w:rPr>
        <w:t>e MHP UCP</w:t>
      </w:r>
      <w:r w:rsidRPr="00ED4E1B">
        <w:rPr>
          <w:rFonts w:eastAsiaTheme="minorEastAsia"/>
          <w:szCs w:val="26"/>
        </w:rPr>
        <w:t xml:space="preserve"> are Pacific Gas and Electric Company (PG&amp;E), Southern California Gas </w:t>
      </w:r>
      <w:r w:rsidRPr="00ED4E1B">
        <w:rPr>
          <w:rFonts w:eastAsiaTheme="minorEastAsia"/>
          <w:szCs w:val="26"/>
        </w:rPr>
        <w:lastRenderedPageBreak/>
        <w:t xml:space="preserve">Company (SoCalGas), Southern California Edison Company (SCE), Southwest Gas Corporation (SWG), San Diego Gas </w:t>
      </w:r>
      <w:r>
        <w:rPr>
          <w:rFonts w:eastAsiaTheme="minorEastAsia"/>
          <w:szCs w:val="26"/>
        </w:rPr>
        <w:t>&amp;</w:t>
      </w:r>
      <w:r w:rsidRPr="00ED4E1B">
        <w:rPr>
          <w:rFonts w:eastAsiaTheme="minorEastAsia"/>
          <w:szCs w:val="26"/>
        </w:rPr>
        <w:t xml:space="preserve"> Electric Company (SDG&amp;E), Pacifi</w:t>
      </w:r>
      <w:r>
        <w:rPr>
          <w:rFonts w:eastAsiaTheme="minorEastAsia"/>
          <w:szCs w:val="26"/>
        </w:rPr>
        <w:t>Corp</w:t>
      </w:r>
      <w:r w:rsidRPr="00ED4E1B">
        <w:rPr>
          <w:rFonts w:eastAsiaTheme="minorEastAsia"/>
          <w:szCs w:val="26"/>
        </w:rPr>
        <w:t>, Bear Valley Electric Service Company</w:t>
      </w:r>
      <w:r>
        <w:rPr>
          <w:rFonts w:eastAsiaTheme="minorEastAsia"/>
          <w:szCs w:val="26"/>
        </w:rPr>
        <w:t>, Inc.</w:t>
      </w:r>
      <w:r w:rsidRPr="00ED4E1B">
        <w:rPr>
          <w:rFonts w:eastAsiaTheme="minorEastAsia"/>
          <w:szCs w:val="26"/>
        </w:rPr>
        <w:t xml:space="preserve"> (BVES), and Liberty </w:t>
      </w:r>
      <w:r>
        <w:rPr>
          <w:rFonts w:eastAsiaTheme="minorEastAsia"/>
          <w:szCs w:val="26"/>
        </w:rPr>
        <w:t>Utilities</w:t>
      </w:r>
      <w:r w:rsidRPr="00ED4E1B">
        <w:rPr>
          <w:rFonts w:eastAsiaTheme="minorEastAsia"/>
          <w:szCs w:val="26"/>
        </w:rPr>
        <w:t>.</w:t>
      </w:r>
    </w:p>
    <w:p w:rsidRPr="00ED4E1B" w:rsidR="001372AE" w:rsidP="001372AE" w:rsidRDefault="001372AE" w14:paraId="68EFF458" w14:textId="77777777">
      <w:pPr>
        <w:pStyle w:val="Heading1"/>
      </w:pPr>
      <w:bookmarkStart w:name="_Toc204269583" w:id="11"/>
      <w:bookmarkStart w:name="_Toc1763425584" w:id="12"/>
      <w:bookmarkStart w:name="_Toc479422631" w:id="13"/>
      <w:r w:rsidRPr="00ED4E1B">
        <w:t>Jurisdiction</w:t>
      </w:r>
      <w:bookmarkEnd w:id="11"/>
      <w:bookmarkEnd w:id="12"/>
      <w:bookmarkEnd w:id="13"/>
    </w:p>
    <w:p w:rsidRPr="00ED4E1B" w:rsidR="001372AE" w:rsidP="001372AE" w:rsidRDefault="001372AE" w14:paraId="587DD49F" w14:textId="77777777">
      <w:r w:rsidRPr="00ED4E1B">
        <w:t>The Commission shares jurisdiction over MHPs with the California Department of Housing and Community Development (HCD). HCD oversees the permitting for most of the gas and electric infrastructure in existing MHPs. California Public Utilities</w:t>
      </w:r>
      <w:r>
        <w:t xml:space="preserve"> Code</w:t>
      </w:r>
      <w:r w:rsidRPr="00ED4E1B">
        <w:t xml:space="preserve"> (Pub. Util. Code</w:t>
      </w:r>
      <w:r>
        <w:t>)</w:t>
      </w:r>
      <w:r w:rsidRPr="00ED4E1B">
        <w:t xml:space="preserve"> §§ 4351 through 4361 </w:t>
      </w:r>
      <w:proofErr w:type="gramStart"/>
      <w:r w:rsidRPr="00ED4E1B">
        <w:t>give</w:t>
      </w:r>
      <w:proofErr w:type="gramEnd"/>
      <w:r w:rsidRPr="00ED4E1B">
        <w:t xml:space="preserve"> the Commission jurisdiction over the safety of master-metered natural gas systems in MHPs. Assembly Bill (AB) 766 (Hauser, Chapter 388, Statutes of 1994) adopted Pub. Util. Code §§ 4451 through 4465, giving the Commission</w:t>
      </w:r>
      <w:r w:rsidRPr="00ED4E1B" w:rsidDel="00055992">
        <w:t xml:space="preserve"> </w:t>
      </w:r>
      <w:r w:rsidRPr="00ED4E1B">
        <w:t xml:space="preserve">jurisdiction over the safety of propane master tank distribution systems serving two or more customers within a MHP, or 10 or more customers outside of </w:t>
      </w:r>
      <w:proofErr w:type="gramStart"/>
      <w:r w:rsidRPr="00ED4E1B">
        <w:t>a</w:t>
      </w:r>
      <w:proofErr w:type="gramEnd"/>
      <w:r w:rsidRPr="00ED4E1B">
        <w:t xml:space="preserve"> MHP.</w:t>
      </w:r>
    </w:p>
    <w:p w:rsidRPr="00ED4E1B" w:rsidR="001372AE" w:rsidP="001372AE" w:rsidRDefault="001372AE" w14:paraId="6E52ACE1" w14:textId="77777777">
      <w:pPr>
        <w:rPr>
          <w:rFonts w:eastAsia="Times New Roman" w:cs="Times New Roman"/>
          <w:color w:val="000000"/>
          <w:szCs w:val="26"/>
        </w:rPr>
      </w:pPr>
      <w:r w:rsidRPr="00ED4E1B">
        <w:rPr>
          <w:rFonts w:eastAsia="Times New Roman" w:cs="Times New Roman"/>
          <w:color w:val="000000"/>
          <w:szCs w:val="26"/>
        </w:rPr>
        <w:t xml:space="preserve">The Gas Safety and Reliability Branch (GSRB) of the Commission </w:t>
      </w:r>
      <w:proofErr w:type="gramStart"/>
      <w:r w:rsidRPr="00ED4E1B">
        <w:rPr>
          <w:rFonts w:eastAsia="Times New Roman" w:cs="Times New Roman"/>
          <w:color w:val="000000"/>
          <w:szCs w:val="26"/>
        </w:rPr>
        <w:t>enforces</w:t>
      </w:r>
      <w:proofErr w:type="gramEnd"/>
      <w:r w:rsidRPr="00ED4E1B">
        <w:rPr>
          <w:rFonts w:eastAsia="Times New Roman" w:cs="Times New Roman"/>
          <w:color w:val="000000"/>
          <w:szCs w:val="26"/>
        </w:rPr>
        <w:t xml:space="preserve"> Federal Pipeline Safety Regulations through audits of jurisdictional MHP and propane master tank systems. Audits consist of reviewing operation and maintenance records, evaluating emergency procedures, and performing field inspections of the gas distribution facilities. If violations are found, GSRB suggests corrective measures to be taken within a specified time. If the operator fails to comply, a citation and fine may result.</w:t>
      </w:r>
      <w:r w:rsidRPr="00ED4E1B">
        <w:rPr>
          <w:rFonts w:eastAsia="Times New Roman" w:cs="Times New Roman"/>
          <w:color w:val="000000"/>
          <w:szCs w:val="26"/>
          <w:vertAlign w:val="superscript"/>
        </w:rPr>
        <w:footnoteReference w:id="2"/>
      </w:r>
    </w:p>
    <w:p w:rsidR="001372AE" w:rsidP="001372AE" w:rsidRDefault="001372AE" w14:paraId="74BF1AC3" w14:textId="17A7B02A">
      <w:pPr>
        <w:rPr>
          <w:rFonts w:eastAsia="Book Antiqua" w:cs="Book Antiqua"/>
          <w:szCs w:val="26"/>
        </w:rPr>
      </w:pPr>
      <w:r w:rsidRPr="3368DB04">
        <w:rPr>
          <w:rFonts w:eastAsia="Times New Roman" w:cs="Times New Roman"/>
          <w:color w:val="000000" w:themeColor="text1"/>
        </w:rPr>
        <w:t xml:space="preserve">The MHP UCP is a Commission-initiated program that applies to IOUs. Non-jurisdictional entities like </w:t>
      </w:r>
      <w:proofErr w:type="gramStart"/>
      <w:r w:rsidRPr="3368DB04">
        <w:rPr>
          <w:rFonts w:eastAsia="Times New Roman" w:cs="Times New Roman"/>
          <w:color w:val="000000" w:themeColor="text1"/>
        </w:rPr>
        <w:t>publicly-owned</w:t>
      </w:r>
      <w:proofErr w:type="gramEnd"/>
      <w:r w:rsidRPr="3368DB04">
        <w:rPr>
          <w:rFonts w:eastAsia="Times New Roman" w:cs="Times New Roman"/>
          <w:color w:val="000000" w:themeColor="text1"/>
        </w:rPr>
        <w:t xml:space="preserve"> utilities (POUs) do not participate. However, there may be some MHPs that receive gas or electric </w:t>
      </w:r>
      <w:r w:rsidRPr="3368DB04">
        <w:rPr>
          <w:rFonts w:eastAsia="Times New Roman" w:cs="Times New Roman"/>
          <w:color w:val="000000" w:themeColor="text1"/>
        </w:rPr>
        <w:lastRenderedPageBreak/>
        <w:t xml:space="preserve">service from a POU and receive master-metered electric or gas service from an IOU (via the MHP owner). These parks, though served in part by a POU, are eligible to participate, as they have a master-metered gas or electric system that can be converted to direct IOU service. Although the Commission has the sole responsibility to inspect jurisdictional propane systems and the authority to issue citations, it does not have the same ratemaking jurisdiction over propane companies that it has with IOUs providing electric and/or gas service. Therefore, propane systems in MHPs are not eligible for replacement through the MHP UCP. However, MHPs with propane systems can still be eligible for electric system replacement through the MHP UCP so long as they are master-metered and served electricity by an IOU participating in the MHP UCP. In </w:t>
      </w:r>
      <w:r w:rsidRPr="3368DB04">
        <w:rPr>
          <w:rFonts w:eastAsia="Book Antiqua" w:cs="Book Antiqua"/>
          <w:color w:val="000000" w:themeColor="text1"/>
          <w:sz w:val="25"/>
          <w:szCs w:val="25"/>
        </w:rPr>
        <w:t>compliance with the National Electrical Code (NEC) and applicable HCD requirements, the electric IOUs participating in the MHP UCP are responsible for (</w:t>
      </w:r>
      <w:proofErr w:type="spellStart"/>
      <w:r w:rsidRPr="3368DB04">
        <w:rPr>
          <w:rFonts w:eastAsia="Book Antiqua" w:cs="Book Antiqua"/>
          <w:color w:val="000000" w:themeColor="text1"/>
          <w:sz w:val="25"/>
          <w:szCs w:val="25"/>
        </w:rPr>
        <w:t>i</w:t>
      </w:r>
      <w:proofErr w:type="spellEnd"/>
      <w:r w:rsidRPr="3368DB04">
        <w:rPr>
          <w:rFonts w:eastAsia="Book Antiqua" w:cs="Book Antiqua"/>
          <w:color w:val="000000" w:themeColor="text1"/>
          <w:sz w:val="25"/>
          <w:szCs w:val="25"/>
        </w:rPr>
        <w:t>) “to-the-meter” (TTM) electrical infrastructure to support 200-amp electrical service, and (ii) “behind-the-meter” (BTM) components up to and including the point of connection to the manufactured home.</w:t>
      </w:r>
    </w:p>
    <w:p w:rsidR="001372AE" w:rsidP="001372AE" w:rsidRDefault="001372AE" w14:paraId="6272A1C0" w14:textId="75870F7F">
      <w:pPr>
        <w:rPr>
          <w:rFonts w:eastAsia="Times New Roman" w:cs="Times New Roman"/>
          <w:color w:val="000000" w:themeColor="text1"/>
        </w:rPr>
      </w:pPr>
      <w:r w:rsidRPr="3368DB04">
        <w:rPr>
          <w:rFonts w:eastAsia="Times New Roman" w:cs="Times New Roman"/>
          <w:color w:val="000000" w:themeColor="text1"/>
        </w:rPr>
        <w:t xml:space="preserve">The California Energy Commission (CEC) oversees the Equitable Building Decarbonization (EBD) program, which was authorized by Assembly Bill 206 (Committee on Budget, Chapter 251, Statutes of 2022). The EBD program includes a direct install program for low-income households, which provides and installs energy efficiency measures, electric appliances, and associated upgrades to accommodate these measures at little or no cost to customers. The program currently is funded at </w:t>
      </w:r>
      <w:r w:rsidRPr="00045187">
        <w:rPr>
          <w:rFonts w:eastAsia="Times New Roman" w:cs="Times New Roman"/>
          <w:color w:val="000000" w:themeColor="text1"/>
        </w:rPr>
        <w:t>$339.25 million</w:t>
      </w:r>
      <w:r w:rsidRPr="3368DB04">
        <w:rPr>
          <w:rFonts w:eastAsia="Times New Roman" w:cs="Times New Roman"/>
          <w:color w:val="000000" w:themeColor="text1"/>
        </w:rPr>
        <w:t>.</w:t>
      </w:r>
      <w:bookmarkStart w:name="_Ref214215771" w:id="14"/>
      <w:r>
        <w:rPr>
          <w:rStyle w:val="FootnoteReference"/>
          <w:rFonts w:eastAsia="Times New Roman" w:cs="Times New Roman"/>
          <w:color w:val="000000" w:themeColor="text1"/>
          <w:szCs w:val="26"/>
        </w:rPr>
        <w:footnoteReference w:id="3"/>
      </w:r>
      <w:bookmarkEnd w:id="14"/>
    </w:p>
    <w:p w:rsidRPr="005A0C20" w:rsidR="001372AE" w:rsidP="001372AE" w:rsidRDefault="001372AE" w14:paraId="62B426C7" w14:textId="77777777">
      <w:pPr>
        <w:pStyle w:val="Heading1"/>
      </w:pPr>
      <w:r w:rsidRPr="005A0C20">
        <w:lastRenderedPageBreak/>
        <w:t> </w:t>
      </w:r>
      <w:bookmarkStart w:name="_Toc589996590" w:id="15"/>
      <w:bookmarkStart w:name="_Toc39417530" w:id="16"/>
      <w:r w:rsidRPr="005A0C20">
        <w:t>Procedural Background</w:t>
      </w:r>
      <w:bookmarkEnd w:id="15"/>
      <w:bookmarkEnd w:id="16"/>
    </w:p>
    <w:p w:rsidRPr="00ED4E1B" w:rsidR="001372AE" w:rsidP="001372AE" w:rsidRDefault="001372AE" w14:paraId="34408CF1" w14:textId="77777777">
      <w:r w:rsidRPr="00ED4E1B">
        <w:t>Effective January 1, 1997, state law required the direct metering of electric and/or natural gas service in MHPs constructed within electric or gas corporation franchises.</w:t>
      </w:r>
      <w:r w:rsidRPr="00ED4E1B">
        <w:rPr>
          <w:vertAlign w:val="superscript"/>
        </w:rPr>
        <w:footnoteReference w:id="4"/>
      </w:r>
      <w:r w:rsidRPr="00ED4E1B">
        <w:t xml:space="preserve"> </w:t>
      </w:r>
      <w:r>
        <w:t>P</w:t>
      </w:r>
      <w:r w:rsidRPr="00ED4E1B">
        <w:t>ursuant to Pub. Util. Code § 1708.5</w:t>
      </w:r>
      <w:r>
        <w:t>, o</w:t>
      </w:r>
      <w:r w:rsidRPr="00ED4E1B">
        <w:t>n August 20, 2010, the Western Manufactured Housing Communities Association (WMA) filed a petition to adopt, amend, or repeal a regulation</w:t>
      </w:r>
      <w:r>
        <w:t xml:space="preserve"> related to this state law</w:t>
      </w:r>
      <w:r w:rsidRPr="00ED4E1B">
        <w:t>. On February 24, 2011, the Commission initiated R.11-02-018 for the transfer of Master-Meter/Submeter Systems at MHPs and manufactured home communities to direct metering from electric and gas corporations. On March 13, 2014, the Commission adopted D.14-03-021 approving a three-year pilot program for master-meter conversion. On September 28, 2017, Resolution E-4878 extended the pilot program until December 31, 2019.</w:t>
      </w:r>
    </w:p>
    <w:p w:rsidRPr="00ED4E1B" w:rsidR="001372AE" w:rsidP="001372AE" w:rsidRDefault="001372AE" w14:paraId="2B6BBB90" w14:textId="77777777">
      <w:r w:rsidRPr="00ED4E1B">
        <w:t xml:space="preserve">On April 26, 2018, the Commission initiated R.18-04-018 to evaluate the </w:t>
      </w:r>
      <w:r w:rsidRPr="00ED4E1B" w:rsidDel="004F094E">
        <w:t>MHP Pilot Program</w:t>
      </w:r>
      <w:r w:rsidRPr="00ED4E1B">
        <w:t xml:space="preserve">. On March 14, 2019, Resolution E-4958 extended the MHP Pilot Program to December 31, 2021, </w:t>
      </w:r>
      <w:proofErr w:type="gramStart"/>
      <w:r w:rsidRPr="00ED4E1B">
        <w:t>in order to</w:t>
      </w:r>
      <w:proofErr w:type="gramEnd"/>
      <w:r w:rsidRPr="00ED4E1B">
        <w:t xml:space="preserve"> give the Commission time to adopt a decision in R.18-04-018 prior to formally closing the pilot program. On April 16, 2020, the Commission adopted D.20-04-004 establishing a permanent MHP Pilot Program.</w:t>
      </w:r>
    </w:p>
    <w:p w:rsidRPr="00ED4E1B" w:rsidR="001372AE" w:rsidP="001372AE" w:rsidRDefault="001372AE" w14:paraId="5F075E20" w14:textId="77777777">
      <w:r w:rsidRPr="00ED4E1B">
        <w:t xml:space="preserve">On December 23, 2020, the Commission issued a Scoping Memo for Phase 2 of R.18-04-018 to (1) address consumer protections, (2) establish an electric service standard for electrification readiness, and (3) develop a pilot exploring the full electrification of selected MHPs. On February 12, 2021, the assigned Administrative Law Judge issued a ruling on consumer protections with an accompanying staff proposal. On August 19, 2021, the Commission approved </w:t>
      </w:r>
      <w:r w:rsidRPr="00ED4E1B">
        <w:lastRenderedPageBreak/>
        <w:t xml:space="preserve">D.21-08-025 adopting consumer protection measures for MHP residents. On July 31, 2023, the assigned Administrative Law Judge issued a ruling on all remaining Phase 2 issues along with another accompanying staff proposal (Phase 2B Staff Proposal or Staff Proposal), which explored an electrification-readiness electric service standard and potential MHP electrification pilot. Parties filed opening comments to the ruling and Staff Proposal on August 25, </w:t>
      </w:r>
      <w:proofErr w:type="gramStart"/>
      <w:r w:rsidRPr="00ED4E1B">
        <w:t>2023</w:t>
      </w:r>
      <w:proofErr w:type="gramEnd"/>
      <w:r w:rsidRPr="00ED4E1B">
        <w:t xml:space="preserve"> and reply comments on September 22, 2023. </w:t>
      </w:r>
    </w:p>
    <w:p w:rsidRPr="00ED4E1B" w:rsidR="001372AE" w:rsidP="001372AE" w:rsidRDefault="001372AE" w14:paraId="38B2D129" w14:textId="77777777">
      <w:r w:rsidRPr="00ED4E1B">
        <w:t xml:space="preserve">A follow-up ruling was issued on September 10, </w:t>
      </w:r>
      <w:proofErr w:type="gramStart"/>
      <w:r w:rsidRPr="00ED4E1B">
        <w:t>2024</w:t>
      </w:r>
      <w:proofErr w:type="gramEnd"/>
      <w:r w:rsidRPr="00ED4E1B">
        <w:t xml:space="preserve"> directing parties to file comments on proposed MHP Pilot Program Evaluation Criteria. On December 19, 2024, the Commission approved D.24-12-037 adopting a 200-amp service standard for future MHP conversions and final MHP Pilot Program Evaluation Criteria. D.24-12-037 stated that “The Commission will consider establishing and </w:t>
      </w:r>
      <w:proofErr w:type="spellStart"/>
      <w:r w:rsidRPr="00ED4E1B">
        <w:t>Mobilehome</w:t>
      </w:r>
      <w:proofErr w:type="spellEnd"/>
      <w:r w:rsidRPr="00ED4E1B">
        <w:t xml:space="preserve"> Park electrification pilot in a future </w:t>
      </w:r>
      <w:proofErr w:type="gramStart"/>
      <w:r w:rsidRPr="00ED4E1B">
        <w:t>decision.“</w:t>
      </w:r>
      <w:proofErr w:type="gramEnd"/>
      <w:r w:rsidRPr="00ED4E1B">
        <w:rPr>
          <w:vertAlign w:val="superscript"/>
        </w:rPr>
        <w:footnoteReference w:id="5"/>
      </w:r>
    </w:p>
    <w:p w:rsidRPr="00ED4E1B" w:rsidR="001372AE" w:rsidP="001372AE" w:rsidRDefault="001372AE" w14:paraId="3F0EDC13" w14:textId="77777777">
      <w:pPr>
        <w:pStyle w:val="Heading1"/>
      </w:pPr>
      <w:bookmarkStart w:name="_Toc204269584" w:id="17"/>
      <w:bookmarkStart w:name="_Toc1981379888" w:id="18"/>
      <w:bookmarkStart w:name="_Toc1040972760" w:id="19"/>
      <w:r w:rsidRPr="00ED4E1B">
        <w:t>Issues Before the Commission</w:t>
      </w:r>
      <w:bookmarkEnd w:id="17"/>
      <w:bookmarkEnd w:id="18"/>
      <w:bookmarkEnd w:id="19"/>
    </w:p>
    <w:p w:rsidR="001372AE" w:rsidP="001372AE" w:rsidRDefault="001372AE" w14:paraId="381D9800" w14:textId="77777777">
      <w:pPr>
        <w:spacing w:after="120"/>
        <w:rPr>
          <w:rFonts w:eastAsia="Book Antiqua" w:cs="Book Antiqua"/>
          <w:szCs w:val="26"/>
        </w:rPr>
      </w:pPr>
      <w:r>
        <w:rPr>
          <w:rFonts w:eastAsia="Book Antiqua" w:cs="Book Antiqua"/>
          <w:szCs w:val="26"/>
        </w:rPr>
        <w:t xml:space="preserve">In accordance with the Phase 2 scoping ruling for this proceeding, the issues before the Commission are as </w:t>
      </w:r>
      <w:proofErr w:type="gramStart"/>
      <w:r>
        <w:rPr>
          <w:rFonts w:eastAsia="Book Antiqua" w:cs="Book Antiqua"/>
          <w:szCs w:val="26"/>
        </w:rPr>
        <w:t>follows;</w:t>
      </w:r>
      <w:proofErr w:type="gramEnd"/>
    </w:p>
    <w:p w:rsidR="001372AE" w:rsidP="001372AE" w:rsidRDefault="001372AE" w14:paraId="625CFC55" w14:textId="77777777">
      <w:pPr>
        <w:pStyle w:val="ListAlpha"/>
      </w:pPr>
      <w:r>
        <w:t>Whether to establish a statewide pilot initiative to explore the full electrification of selected MHPs; and,</w:t>
      </w:r>
    </w:p>
    <w:p w:rsidR="001372AE" w:rsidP="001372AE" w:rsidRDefault="001372AE" w14:paraId="24493BE5" w14:textId="236A7987">
      <w:pPr>
        <w:pStyle w:val="ListAlpha"/>
      </w:pPr>
      <w:r>
        <w:t>Whether to modify the direction set forth in D.20-04-004 regarding the MHP UCP mid-cycle evaluation.</w:t>
      </w:r>
    </w:p>
    <w:p w:rsidRPr="00ED4E1B" w:rsidR="001372AE" w:rsidP="001372AE" w:rsidRDefault="001372AE" w14:paraId="288B9310" w14:textId="46C4F5BA">
      <w:pPr>
        <w:pStyle w:val="Heading1"/>
      </w:pPr>
      <w:bookmarkStart w:name="_Toc204269585" w:id="20"/>
      <w:bookmarkStart w:name="_Toc1583769675" w:id="21"/>
      <w:bookmarkStart w:name="_Toc512838650" w:id="22"/>
      <w:proofErr w:type="spellStart"/>
      <w:r w:rsidRPr="00E57EB1">
        <w:t>Mobilehome</w:t>
      </w:r>
      <w:proofErr w:type="spellEnd"/>
      <w:r w:rsidRPr="00ED4E1B">
        <w:t xml:space="preserve"> Park Electrification Initiative</w:t>
      </w:r>
      <w:bookmarkEnd w:id="20"/>
      <w:bookmarkEnd w:id="21"/>
      <w:bookmarkEnd w:id="22"/>
    </w:p>
    <w:p w:rsidRPr="00ED4E1B" w:rsidR="001372AE" w:rsidP="001372AE" w:rsidRDefault="001372AE" w14:paraId="0D95A29C" w14:textId="77777777">
      <w:pPr>
        <w:pStyle w:val="Heading2"/>
      </w:pPr>
      <w:bookmarkStart w:name="_Toc1516703913" w:id="23"/>
      <w:bookmarkStart w:name="_Toc1871414221" w:id="24"/>
      <w:r w:rsidRPr="00E57EB1">
        <w:t>Considering</w:t>
      </w:r>
      <w:r>
        <w:t xml:space="preserve"> an Electrification</w:t>
      </w:r>
      <w:bookmarkEnd w:id="23"/>
      <w:bookmarkEnd w:id="24"/>
      <w:r>
        <w:t xml:space="preserve"> Initiative</w:t>
      </w:r>
    </w:p>
    <w:p w:rsidR="001372AE" w:rsidP="001372AE" w:rsidRDefault="001372AE" w14:paraId="408BED53" w14:textId="77777777">
      <w:pPr>
        <w:rPr>
          <w:rFonts w:eastAsiaTheme="minorEastAsia"/>
          <w:szCs w:val="26"/>
        </w:rPr>
      </w:pPr>
      <w:r>
        <w:rPr>
          <w:rFonts w:eastAsiaTheme="minorEastAsia"/>
          <w:szCs w:val="26"/>
        </w:rPr>
        <w:t xml:space="preserve">The Commission has a long-standing commitment to equitable decarbonization, which has been formalized in multiple proceedings, including but not limited to Building Decarbonization (R.19-01-011), Long-term Gas </w:t>
      </w:r>
      <w:r>
        <w:rPr>
          <w:rFonts w:eastAsiaTheme="minorEastAsia"/>
          <w:szCs w:val="26"/>
        </w:rPr>
        <w:lastRenderedPageBreak/>
        <w:t>Planning (R.24-09-012), Energy Efficiency (R.25-04-010), and Transportation Electrification (R.23-12-008). Building electrification, in alignment with statewide policies, is considered a key strategy towards decarbonization because it reduces and/or eliminates reliance on fossil fuels like natural gas.</w:t>
      </w:r>
      <w:r>
        <w:rPr>
          <w:rStyle w:val="FootnoteReference"/>
          <w:rFonts w:eastAsiaTheme="minorEastAsia"/>
          <w:szCs w:val="26"/>
        </w:rPr>
        <w:footnoteReference w:id="6"/>
      </w:r>
      <w:r>
        <w:rPr>
          <w:rFonts w:eastAsiaTheme="minorEastAsia"/>
          <w:szCs w:val="26"/>
        </w:rPr>
        <w:t xml:space="preserve"> A 2024 Joint Agency White Paper emphasized the need for thoughtful planning to transition away from fossil fuel based natural gas, especially in disadvantaged communities. The report also stressed the importance of minimizing new investments in gas infrastructure that would become stranded assets in the future and specifically pointed to the use of pilots as a strategy to assess investment needs.</w:t>
      </w:r>
      <w:r>
        <w:rPr>
          <w:rStyle w:val="FootnoteReference"/>
          <w:rFonts w:eastAsiaTheme="minorEastAsia"/>
          <w:szCs w:val="26"/>
        </w:rPr>
        <w:footnoteReference w:id="7"/>
      </w:r>
    </w:p>
    <w:p w:rsidRPr="00ED4E1B" w:rsidR="001372AE" w:rsidP="001372AE" w:rsidRDefault="001372AE" w14:paraId="531C5AE6" w14:textId="39BB5A40">
      <w:pPr>
        <w:pStyle w:val="Heading3"/>
      </w:pPr>
      <w:bookmarkStart w:name="_Toc92357172" w:id="25"/>
      <w:bookmarkStart w:name="_Toc669948126" w:id="26"/>
      <w:r>
        <w:t>Staff Electrification Initiative Proposal</w:t>
      </w:r>
      <w:bookmarkEnd w:id="25"/>
      <w:bookmarkEnd w:id="26"/>
    </w:p>
    <w:p w:rsidRPr="00ED4E1B" w:rsidR="001372AE" w:rsidP="001372AE" w:rsidRDefault="001372AE" w14:paraId="01D809EB" w14:textId="77777777">
      <w:pPr>
        <w:rPr>
          <w:rFonts w:eastAsiaTheme="minorEastAsia"/>
          <w:szCs w:val="26"/>
        </w:rPr>
      </w:pPr>
      <w:r w:rsidRPr="00ED4E1B">
        <w:rPr>
          <w:rFonts w:eastAsiaTheme="minorEastAsia"/>
          <w:szCs w:val="26"/>
        </w:rPr>
        <w:t xml:space="preserve">Commission Staff released a Staff Proposal </w:t>
      </w:r>
      <w:r>
        <w:rPr>
          <w:rFonts w:eastAsiaTheme="minorEastAsia"/>
          <w:szCs w:val="26"/>
        </w:rPr>
        <w:t>on</w:t>
      </w:r>
      <w:r w:rsidRPr="00ED4E1B">
        <w:rPr>
          <w:rFonts w:eastAsiaTheme="minorEastAsia"/>
          <w:szCs w:val="26"/>
        </w:rPr>
        <w:t xml:space="preserve"> July 31, </w:t>
      </w:r>
      <w:proofErr w:type="gramStart"/>
      <w:r w:rsidRPr="00ED4E1B">
        <w:rPr>
          <w:rFonts w:eastAsiaTheme="minorEastAsia"/>
          <w:szCs w:val="26"/>
        </w:rPr>
        <w:t>2023</w:t>
      </w:r>
      <w:proofErr w:type="gramEnd"/>
      <w:r>
        <w:rPr>
          <w:rFonts w:eastAsiaTheme="minorEastAsia"/>
          <w:szCs w:val="26"/>
        </w:rPr>
        <w:t xml:space="preserve"> which cited various state legislations, climate goals and decarbonization program adopted to date,</w:t>
      </w:r>
      <w:r>
        <w:rPr>
          <w:rStyle w:val="FootnoteReference"/>
          <w:rFonts w:eastAsiaTheme="minorEastAsia"/>
          <w:szCs w:val="26"/>
        </w:rPr>
        <w:footnoteReference w:id="8"/>
      </w:r>
      <w:r>
        <w:rPr>
          <w:rFonts w:eastAsiaTheme="minorEastAsia"/>
          <w:szCs w:val="26"/>
        </w:rPr>
        <w:t xml:space="preserve"> as the impetus for the proposed </w:t>
      </w:r>
      <w:proofErr w:type="spellStart"/>
      <w:r>
        <w:rPr>
          <w:rFonts w:eastAsiaTheme="minorEastAsia"/>
          <w:szCs w:val="26"/>
        </w:rPr>
        <w:t>mobilehome</w:t>
      </w:r>
      <w:proofErr w:type="spellEnd"/>
      <w:r>
        <w:rPr>
          <w:rFonts w:eastAsiaTheme="minorEastAsia"/>
          <w:szCs w:val="26"/>
        </w:rPr>
        <w:t xml:space="preserve"> electrification pilot</w:t>
      </w:r>
      <w:r w:rsidRPr="00ED4E1B">
        <w:rPr>
          <w:rFonts w:eastAsiaTheme="minorEastAsia"/>
          <w:szCs w:val="26"/>
        </w:rPr>
        <w:t xml:space="preserve"> </w:t>
      </w:r>
      <w:r>
        <w:rPr>
          <w:rFonts w:eastAsiaTheme="minorEastAsia"/>
          <w:szCs w:val="26"/>
        </w:rPr>
        <w:t>initiative (“Electrification Initiative”)</w:t>
      </w:r>
      <w:r w:rsidRPr="00ED4E1B">
        <w:rPr>
          <w:rFonts w:eastAsiaTheme="minorEastAsia"/>
          <w:szCs w:val="26"/>
        </w:rPr>
        <w:t xml:space="preserve"> for MHPs</w:t>
      </w:r>
      <w:r>
        <w:rPr>
          <w:rFonts w:eastAsiaTheme="minorEastAsia"/>
          <w:szCs w:val="26"/>
        </w:rPr>
        <w:t xml:space="preserve"> participating</w:t>
      </w:r>
      <w:r w:rsidRPr="00ED4E1B">
        <w:rPr>
          <w:rFonts w:eastAsiaTheme="minorEastAsia"/>
          <w:szCs w:val="26"/>
        </w:rPr>
        <w:t xml:space="preserve"> within the existing MHP UCP. The </w:t>
      </w:r>
      <w:r>
        <w:rPr>
          <w:rFonts w:eastAsiaTheme="minorEastAsia"/>
          <w:szCs w:val="26"/>
        </w:rPr>
        <w:t xml:space="preserve">Electrification </w:t>
      </w:r>
      <w:r w:rsidRPr="00ED4E1B">
        <w:rPr>
          <w:rFonts w:eastAsiaTheme="minorEastAsia"/>
          <w:szCs w:val="26"/>
        </w:rPr>
        <w:t xml:space="preserve">Initiative would select a few MHPs and fully electrify all the manufactured homes in the park at no cost to residents and permanently retire existing natural gas infrastructure if present. Only MHPs served by PG&amp;E, SDG&amp;E, and SCE would be eligible for this </w:t>
      </w:r>
      <w:r>
        <w:rPr>
          <w:rFonts w:eastAsiaTheme="minorEastAsia"/>
          <w:szCs w:val="26"/>
        </w:rPr>
        <w:t>pilot</w:t>
      </w:r>
      <w:r w:rsidRPr="00ED4E1B">
        <w:rPr>
          <w:rFonts w:eastAsiaTheme="minorEastAsia"/>
          <w:szCs w:val="26"/>
        </w:rPr>
        <w:t xml:space="preserve">. </w:t>
      </w:r>
    </w:p>
    <w:p w:rsidR="001372AE" w:rsidP="001372AE" w:rsidRDefault="001372AE" w14:paraId="5801201C" w14:textId="77777777">
      <w:pPr>
        <w:rPr>
          <w:rFonts w:eastAsiaTheme="minorEastAsia"/>
          <w:szCs w:val="26"/>
        </w:rPr>
      </w:pPr>
      <w:r w:rsidRPr="00ED4E1B">
        <w:rPr>
          <w:rFonts w:eastAsiaTheme="minorEastAsia"/>
          <w:szCs w:val="26"/>
        </w:rPr>
        <w:t xml:space="preserve">This </w:t>
      </w:r>
      <w:r>
        <w:rPr>
          <w:rFonts w:eastAsiaTheme="minorEastAsia"/>
          <w:szCs w:val="26"/>
        </w:rPr>
        <w:t>E</w:t>
      </w:r>
      <w:r w:rsidRPr="00ED4E1B">
        <w:rPr>
          <w:rFonts w:eastAsiaTheme="minorEastAsia"/>
          <w:szCs w:val="26"/>
        </w:rPr>
        <w:t xml:space="preserve">lectrification Initiative would test expanding the scope of the existing behind-the-meter (BTM) work in the current MHP UCP to add replacement of existing gas appliances with new, efficient electric appliances and </w:t>
      </w:r>
      <w:r w:rsidRPr="00ED4E1B">
        <w:rPr>
          <w:rFonts w:eastAsiaTheme="minorEastAsia"/>
          <w:szCs w:val="26"/>
        </w:rPr>
        <w:lastRenderedPageBreak/>
        <w:t>would include in-home remediation activities such as rewiring and updating the</w:t>
      </w:r>
      <w:r w:rsidRPr="00ED4E1B" w:rsidDel="00701A48">
        <w:rPr>
          <w:rFonts w:eastAsiaTheme="minorEastAsia"/>
          <w:szCs w:val="26"/>
        </w:rPr>
        <w:t xml:space="preserve"> </w:t>
      </w:r>
      <w:r w:rsidRPr="00ED4E1B">
        <w:rPr>
          <w:rFonts w:eastAsiaTheme="minorEastAsia"/>
          <w:szCs w:val="26"/>
        </w:rPr>
        <w:t>manufactured home’s in</w:t>
      </w:r>
      <w:r>
        <w:rPr>
          <w:rFonts w:eastAsiaTheme="minorEastAsia"/>
          <w:szCs w:val="26"/>
        </w:rPr>
        <w:t>-home</w:t>
      </w:r>
      <w:r w:rsidRPr="00ED4E1B">
        <w:rPr>
          <w:rFonts w:eastAsiaTheme="minorEastAsia"/>
          <w:szCs w:val="26"/>
        </w:rPr>
        <w:t xml:space="preserve"> </w:t>
      </w:r>
      <w:r>
        <w:rPr>
          <w:rFonts w:eastAsiaTheme="minorEastAsia"/>
          <w:szCs w:val="26"/>
        </w:rPr>
        <w:t xml:space="preserve">electric </w:t>
      </w:r>
      <w:r w:rsidRPr="00ED4E1B">
        <w:rPr>
          <w:rFonts w:eastAsiaTheme="minorEastAsia"/>
          <w:szCs w:val="26"/>
        </w:rPr>
        <w:t xml:space="preserve">panel. </w:t>
      </w:r>
    </w:p>
    <w:p w:rsidR="001372AE" w:rsidP="001372AE" w:rsidRDefault="001372AE" w14:paraId="3E39C4AA" w14:textId="77777777">
      <w:pPr>
        <w:rPr>
          <w:rFonts w:eastAsiaTheme="minorEastAsia"/>
          <w:szCs w:val="26"/>
        </w:rPr>
      </w:pPr>
      <w:r w:rsidRPr="00ED4E1B">
        <w:rPr>
          <w:rFonts w:eastAsiaTheme="minorEastAsia"/>
          <w:szCs w:val="26"/>
        </w:rPr>
        <w:t xml:space="preserve">The </w:t>
      </w:r>
      <w:r>
        <w:rPr>
          <w:rFonts w:eastAsiaTheme="minorEastAsia"/>
          <w:szCs w:val="26"/>
        </w:rPr>
        <w:t xml:space="preserve">Electrification </w:t>
      </w:r>
      <w:r w:rsidRPr="00ED4E1B">
        <w:rPr>
          <w:rFonts w:eastAsiaTheme="minorEastAsia"/>
          <w:szCs w:val="26"/>
        </w:rPr>
        <w:t xml:space="preserve">Initiative would keep most of the elements of the current </w:t>
      </w:r>
      <w:proofErr w:type="gramStart"/>
      <w:r w:rsidRPr="00ED4E1B">
        <w:rPr>
          <w:rFonts w:eastAsiaTheme="minorEastAsia"/>
          <w:szCs w:val="26"/>
        </w:rPr>
        <w:t>MHP UCP, but</w:t>
      </w:r>
      <w:proofErr w:type="gramEnd"/>
      <w:r w:rsidRPr="00ED4E1B">
        <w:rPr>
          <w:rFonts w:eastAsiaTheme="minorEastAsia"/>
          <w:szCs w:val="26"/>
        </w:rPr>
        <w:t xml:space="preserve"> would not install new gas infrastructure. Instead</w:t>
      </w:r>
      <w:r w:rsidRPr="00ED4E1B" w:rsidDel="00D1253E">
        <w:rPr>
          <w:rFonts w:eastAsiaTheme="minorEastAsia"/>
          <w:szCs w:val="26"/>
        </w:rPr>
        <w:t>,</w:t>
      </w:r>
      <w:r w:rsidRPr="00ED4E1B">
        <w:rPr>
          <w:rFonts w:eastAsiaTheme="minorEastAsia"/>
          <w:szCs w:val="26"/>
        </w:rPr>
        <w:t xml:space="preserve"> new electric appliances, including a heat pump space conditioning system, heat pump clothes dryer, heat pump water heater (HPWH), and induction cooking equipment, would be installed if not already present.</w:t>
      </w:r>
      <w:r w:rsidRPr="00ED4E1B">
        <w:rPr>
          <w:rFonts w:eastAsiaTheme="minorEastAsia"/>
          <w:szCs w:val="26"/>
          <w:vertAlign w:val="superscript"/>
        </w:rPr>
        <w:footnoteReference w:id="9"/>
      </w:r>
      <w:r w:rsidRPr="00ED4E1B">
        <w:rPr>
          <w:rFonts w:eastAsiaTheme="minorEastAsia"/>
          <w:szCs w:val="26"/>
          <w:vertAlign w:val="superscript"/>
        </w:rPr>
        <w:t xml:space="preserve"> </w:t>
      </w:r>
      <w:r w:rsidRPr="00ED4E1B">
        <w:rPr>
          <w:rFonts w:eastAsiaTheme="minorEastAsia"/>
          <w:szCs w:val="26"/>
        </w:rPr>
        <w:t xml:space="preserve">All homes in the </w:t>
      </w:r>
      <w:r>
        <w:rPr>
          <w:rFonts w:eastAsiaTheme="minorEastAsia"/>
          <w:szCs w:val="26"/>
        </w:rPr>
        <w:t xml:space="preserve">Electrification </w:t>
      </w:r>
      <w:r w:rsidRPr="00ED4E1B">
        <w:rPr>
          <w:rFonts w:eastAsiaTheme="minorEastAsia"/>
          <w:szCs w:val="26"/>
        </w:rPr>
        <w:t xml:space="preserve">Initiative would receive necessary in-home remediation measures, including any  rewiring, </w:t>
      </w:r>
      <w:r>
        <w:rPr>
          <w:rFonts w:eastAsiaTheme="minorEastAsia"/>
          <w:szCs w:val="26"/>
        </w:rPr>
        <w:t xml:space="preserve">electric </w:t>
      </w:r>
      <w:r w:rsidRPr="00ED4E1B">
        <w:rPr>
          <w:rFonts w:eastAsiaTheme="minorEastAsia"/>
          <w:szCs w:val="26"/>
        </w:rPr>
        <w:t xml:space="preserve">panel </w:t>
      </w:r>
      <w:r>
        <w:rPr>
          <w:rFonts w:eastAsiaTheme="minorEastAsia"/>
          <w:szCs w:val="26"/>
        </w:rPr>
        <w:t xml:space="preserve">reconfiguration or </w:t>
      </w:r>
      <w:r w:rsidRPr="00ED4E1B">
        <w:rPr>
          <w:rFonts w:eastAsiaTheme="minorEastAsia"/>
          <w:szCs w:val="26"/>
        </w:rPr>
        <w:t>upgrades, and</w:t>
      </w:r>
      <w:r>
        <w:rPr>
          <w:rFonts w:eastAsiaTheme="minorEastAsia"/>
          <w:szCs w:val="26"/>
        </w:rPr>
        <w:t>/or other</w:t>
      </w:r>
      <w:r w:rsidRPr="00ED4E1B">
        <w:rPr>
          <w:rFonts w:eastAsiaTheme="minorEastAsia"/>
          <w:szCs w:val="26"/>
        </w:rPr>
        <w:t xml:space="preserve"> general in-home repair</w:t>
      </w:r>
      <w:r>
        <w:rPr>
          <w:rFonts w:eastAsiaTheme="minorEastAsia"/>
          <w:szCs w:val="26"/>
        </w:rPr>
        <w:t xml:space="preserve"> necessary</w:t>
      </w:r>
      <w:r w:rsidRPr="00ED4E1B">
        <w:rPr>
          <w:rFonts w:eastAsiaTheme="minorEastAsia"/>
          <w:szCs w:val="26"/>
        </w:rPr>
        <w:t xml:space="preserve"> to accommodate the new appliances and comply with all applicable codes and permits related to the in-home electrification measures. </w:t>
      </w:r>
    </w:p>
    <w:p w:rsidR="001372AE" w:rsidP="001372AE" w:rsidRDefault="001372AE" w14:paraId="493A8D37" w14:textId="77777777">
      <w:pPr>
        <w:rPr>
          <w:rFonts w:eastAsiaTheme="minorEastAsia"/>
          <w:szCs w:val="26"/>
          <w:vertAlign w:val="superscript"/>
        </w:rPr>
      </w:pPr>
      <w:r w:rsidRPr="00ED4E1B">
        <w:rPr>
          <w:rFonts w:eastAsiaTheme="minorEastAsia"/>
          <w:szCs w:val="26"/>
        </w:rPr>
        <w:t xml:space="preserve">All participants in the </w:t>
      </w:r>
      <w:r>
        <w:rPr>
          <w:rFonts w:eastAsiaTheme="minorEastAsia"/>
          <w:szCs w:val="26"/>
        </w:rPr>
        <w:t xml:space="preserve">Electrification </w:t>
      </w:r>
      <w:r w:rsidRPr="00ED4E1B">
        <w:rPr>
          <w:rFonts w:eastAsiaTheme="minorEastAsia"/>
          <w:szCs w:val="26"/>
        </w:rPr>
        <w:t xml:space="preserve">Initiative would be placed on the all-electric baseline </w:t>
      </w:r>
      <w:r>
        <w:rPr>
          <w:rFonts w:eastAsiaTheme="minorEastAsia"/>
          <w:szCs w:val="26"/>
        </w:rPr>
        <w:t>rate option</w:t>
      </w:r>
      <w:r w:rsidRPr="00ED4E1B">
        <w:rPr>
          <w:rFonts w:eastAsiaTheme="minorEastAsia"/>
          <w:szCs w:val="26"/>
        </w:rPr>
        <w:t xml:space="preserve"> offered by their respective utility service providers. </w:t>
      </w:r>
      <w:proofErr w:type="gramStart"/>
      <w:r w:rsidRPr="00ED4E1B">
        <w:rPr>
          <w:rFonts w:eastAsiaTheme="minorEastAsia"/>
          <w:szCs w:val="26"/>
        </w:rPr>
        <w:t>Participating</w:t>
      </w:r>
      <w:proofErr w:type="gramEnd"/>
      <w:r w:rsidRPr="00ED4E1B">
        <w:rPr>
          <w:rFonts w:eastAsiaTheme="minorEastAsia"/>
          <w:szCs w:val="26"/>
        </w:rPr>
        <w:t xml:space="preserve"> homes would also be evaluated to receive infrastructure necessary to accommodate Level 2 EV charging and solar PV system installation, if desired.</w:t>
      </w:r>
      <w:r w:rsidRPr="00ED4E1B">
        <w:rPr>
          <w:rFonts w:eastAsiaTheme="minorEastAsia"/>
          <w:szCs w:val="26"/>
          <w:vertAlign w:val="superscript"/>
        </w:rPr>
        <w:footnoteReference w:id="10"/>
      </w:r>
      <w:r w:rsidRPr="00ED4E1B">
        <w:rPr>
          <w:rFonts w:eastAsiaTheme="minorEastAsia"/>
          <w:szCs w:val="26"/>
          <w:vertAlign w:val="superscript"/>
        </w:rPr>
        <w:t xml:space="preserve"> </w:t>
      </w:r>
    </w:p>
    <w:p w:rsidR="001372AE" w:rsidP="001372AE" w:rsidRDefault="001372AE" w14:paraId="6648608D" w14:textId="77777777">
      <w:pPr>
        <w:pStyle w:val="Heading3"/>
      </w:pPr>
      <w:bookmarkStart w:name="_Toc1396095185" w:id="27"/>
      <w:bookmarkStart w:name="_Toc772314269" w:id="28"/>
      <w:r>
        <w:t>Party Comments</w:t>
      </w:r>
      <w:bookmarkEnd w:id="27"/>
      <w:bookmarkEnd w:id="28"/>
    </w:p>
    <w:p w:rsidR="001372AE" w:rsidP="001372AE" w:rsidRDefault="001372AE" w14:paraId="01ACFECE" w14:textId="77777777">
      <w:pPr>
        <w:pStyle w:val="Standard"/>
      </w:pPr>
      <w:r>
        <w:t xml:space="preserve">Opening Comments (August 25, 2023) and Reply Comments (September 22, 2023) were submitted by parties in response to the July 31, </w:t>
      </w:r>
      <w:proofErr w:type="gramStart"/>
      <w:r>
        <w:t>2023</w:t>
      </w:r>
      <w:proofErr w:type="gramEnd"/>
      <w:r>
        <w:t xml:space="preserve"> Ruling and Staff Proposal. The following parties submitted Opening Comments: Sonoma Clean Power Authority (SCP) and Peninsula Clean Energy Authority (PCE) collective comments (Joint CCAs), Natural Resource Defense Council (NRDC), </w:t>
      </w:r>
      <w:r>
        <w:lastRenderedPageBreak/>
        <w:t>Pacific Gas and Electric Company (PG&amp;E), Southern California Energy Company (SCE), Southern California Gas Company and Southwest Gas Corporation (Joint Gas IOUs), San Diego Gas &amp; Electric Company (SDG&amp;E), and Western Manufactured Housing Communities Association (WMA).</w:t>
      </w:r>
    </w:p>
    <w:p w:rsidRPr="005A0C20" w:rsidR="001372AE" w:rsidP="001372AE" w:rsidRDefault="001372AE" w14:paraId="64B7E8CB" w14:textId="77777777">
      <w:pPr>
        <w:pStyle w:val="Standard"/>
      </w:pPr>
      <w:r>
        <w:t>Reply Comments were submitted by the following parties: Joint CCAs, PG&amp;E, SCE and SDG&amp;E. Six parties, Joint CCAs, NRDC, PG&amp;E, SCE, SDG&amp;E and WMA, generally supported the Staff Proposal to implement a limited statewide full-</w:t>
      </w:r>
      <w:proofErr w:type="spellStart"/>
      <w:r>
        <w:t>mobilehome</w:t>
      </w:r>
      <w:proofErr w:type="spellEnd"/>
      <w:r>
        <w:t xml:space="preserve"> electrification initiative for a selected sample of MHPs. The Joint Gas IOUs recommended that the Commission should wait for the Santa Nella pilot program to conclude before starting the Electrification Initiative. The concerns of other parties that did not support an electrification initiative are described in the sections below.</w:t>
      </w:r>
    </w:p>
    <w:p w:rsidR="001372AE" w:rsidP="001372AE" w:rsidRDefault="001372AE" w14:paraId="7E6AAA48" w14:textId="77777777">
      <w:pPr>
        <w:rPr>
          <w:rFonts w:eastAsiaTheme="minorEastAsia"/>
          <w:szCs w:val="26"/>
        </w:rPr>
      </w:pPr>
      <w:r w:rsidRPr="00ED4E1B">
        <w:rPr>
          <w:rFonts w:eastAsiaTheme="minorEastAsia"/>
          <w:szCs w:val="26"/>
        </w:rPr>
        <w:t xml:space="preserve">The following sections review components of the </w:t>
      </w:r>
      <w:r>
        <w:rPr>
          <w:rFonts w:eastAsiaTheme="minorEastAsia"/>
          <w:szCs w:val="26"/>
        </w:rPr>
        <w:t>E</w:t>
      </w:r>
      <w:r w:rsidRPr="00ED4E1B">
        <w:rPr>
          <w:rFonts w:eastAsiaTheme="minorEastAsia"/>
          <w:szCs w:val="26"/>
        </w:rPr>
        <w:t xml:space="preserve">lectrification Initiative in the Staff Proposal covering selection criteria, outreach and education, installation and remediation, funding and cost recovery, tenant protection, bill protection, and </w:t>
      </w:r>
      <w:r>
        <w:rPr>
          <w:rFonts w:eastAsiaTheme="minorEastAsia"/>
          <w:szCs w:val="26"/>
        </w:rPr>
        <w:t xml:space="preserve">reporting and </w:t>
      </w:r>
      <w:r w:rsidRPr="00ED4E1B">
        <w:rPr>
          <w:rFonts w:eastAsiaTheme="minorEastAsia"/>
          <w:szCs w:val="26"/>
        </w:rPr>
        <w:t>evaluation.</w:t>
      </w:r>
    </w:p>
    <w:p w:rsidRPr="00ED4E1B" w:rsidR="001372AE" w:rsidP="001372AE" w:rsidRDefault="001372AE" w14:paraId="5D138AA2" w14:textId="14AEB3C4">
      <w:pPr>
        <w:pStyle w:val="Heading3"/>
      </w:pPr>
      <w:bookmarkStart w:name="_Toc739358778" w:id="29"/>
      <w:bookmarkStart w:name="_Toc1876158423" w:id="30"/>
      <w:r>
        <w:t xml:space="preserve">Considering an </w:t>
      </w:r>
      <w:r w:rsidRPr="00E57EB1">
        <w:t>Electrification</w:t>
      </w:r>
      <w:r>
        <w:t xml:space="preserve"> </w:t>
      </w:r>
      <w:proofErr w:type="spellStart"/>
      <w:r>
        <w:t>InitiativeDiscussion</w:t>
      </w:r>
      <w:bookmarkEnd w:id="29"/>
      <w:bookmarkEnd w:id="30"/>
      <w:proofErr w:type="spellEnd"/>
    </w:p>
    <w:p w:rsidR="001372AE" w:rsidP="001372AE" w:rsidRDefault="001372AE" w14:paraId="51BA5A11" w14:textId="77777777">
      <w:pPr>
        <w:textAlignment w:val="baseline"/>
        <w:rPr>
          <w:rFonts w:eastAsia="Times New Roman" w:cs="Segoe UI"/>
          <w:szCs w:val="26"/>
        </w:rPr>
      </w:pPr>
      <w:r>
        <w:rPr>
          <w:rFonts w:eastAsia="Times New Roman" w:cs="Segoe UI"/>
          <w:szCs w:val="26"/>
        </w:rPr>
        <w:t>Based on parties’ support for the Staff Proposal recommending an Electrification Initiative and the fact that the proposed Electrification Initiative aligns with both the Commission’s and the State’s decarbonization goals, we authorize the implementation of a joint Electrification Initiative pilot with the CEC.</w:t>
      </w:r>
    </w:p>
    <w:p w:rsidRPr="00ED4E1B" w:rsidR="001372AE" w:rsidP="001372AE" w:rsidRDefault="001372AE" w14:paraId="751E299F" w14:textId="77777777">
      <w:pPr>
        <w:textAlignment w:val="baseline"/>
        <w:rPr>
          <w:rFonts w:ascii="Segoe UI" w:hAnsi="Segoe UI" w:eastAsia="Times New Roman" w:cs="Segoe UI"/>
          <w:sz w:val="18"/>
          <w:szCs w:val="18"/>
        </w:rPr>
      </w:pPr>
      <w:r w:rsidRPr="00ED4E1B">
        <w:rPr>
          <w:rFonts w:eastAsia="Times New Roman" w:cs="Segoe UI"/>
          <w:szCs w:val="26"/>
        </w:rPr>
        <w:t xml:space="preserve">The </w:t>
      </w:r>
      <w:r>
        <w:rPr>
          <w:rFonts w:eastAsia="Times New Roman" w:cs="Segoe UI"/>
          <w:szCs w:val="26"/>
        </w:rPr>
        <w:t>E</w:t>
      </w:r>
      <w:r w:rsidRPr="00ED4E1B">
        <w:rPr>
          <w:rFonts w:eastAsia="Times New Roman" w:cs="Segoe UI"/>
          <w:szCs w:val="26"/>
        </w:rPr>
        <w:t xml:space="preserve">lectrification Initiative is an opportunity to help gather more information on the technical, legal, policy, and cost considerations of fully electrifying an MHP. The lessons learned from this Initiative will help inform the </w:t>
      </w:r>
      <w:r w:rsidRPr="00ED4E1B">
        <w:rPr>
          <w:rFonts w:eastAsia="Times New Roman" w:cs="Segoe UI"/>
          <w:szCs w:val="26"/>
        </w:rPr>
        <w:lastRenderedPageBreak/>
        <w:t xml:space="preserve">future direction for the MHP UCP, especially as the Commission continues to </w:t>
      </w:r>
      <w:r>
        <w:rPr>
          <w:rFonts w:eastAsia="Times New Roman" w:cs="Segoe UI"/>
          <w:szCs w:val="26"/>
        </w:rPr>
        <w:t xml:space="preserve">advance </w:t>
      </w:r>
      <w:r w:rsidRPr="00ED4E1B">
        <w:rPr>
          <w:rFonts w:eastAsia="Times New Roman" w:cs="Segoe UI"/>
          <w:szCs w:val="26"/>
        </w:rPr>
        <w:t xml:space="preserve">building electrification policies in lieu of investing in new natural gas infrastructure. </w:t>
      </w:r>
      <w:r w:rsidRPr="00ED4E1B">
        <w:rPr>
          <w:rFonts w:cs="Segoe UI" w:eastAsiaTheme="majorEastAsia"/>
          <w:sz w:val="24"/>
          <w:szCs w:val="26"/>
        </w:rPr>
        <w:t> </w:t>
      </w:r>
    </w:p>
    <w:p w:rsidRPr="00ED4E1B" w:rsidR="001372AE" w:rsidP="001372AE" w:rsidRDefault="001372AE" w14:paraId="212FA4BC" w14:textId="77777777">
      <w:pPr>
        <w:textAlignment w:val="baseline"/>
        <w:rPr>
          <w:rFonts w:ascii="Segoe UI" w:hAnsi="Segoe UI" w:eastAsia="Times New Roman" w:cs="Segoe UI"/>
          <w:sz w:val="18"/>
          <w:szCs w:val="18"/>
        </w:rPr>
      </w:pPr>
      <w:r w:rsidRPr="382A5A15">
        <w:rPr>
          <w:rFonts w:eastAsia="Times New Roman" w:cs="Segoe UI"/>
        </w:rPr>
        <w:t>As identified in the Staff Proposal and emphasized in party comments, a full electrification initiative should aim to reduce ratepayer burden and leverage sources of non-ratepayer funding to cover the costs of BTM electrification, including the costs of new electric appliances and associated remediation costs. Parties did not identify additional sources of non-ratepayer funding outside of those listed in the staff proposal. Additionally, parties expressed hesitation at the potential cost of ratepayer funded BTM electrification measures, given the potentially high costs of remediation to accommodate electrification measures in homes that are in severe states of disrepair. The Commission explored non-ratepayer funding for the Electrification Initiative.</w:t>
      </w:r>
      <w:r w:rsidRPr="382A5A15">
        <w:rPr>
          <w:rFonts w:cs="Segoe UI" w:eastAsiaTheme="majorEastAsia"/>
          <w:sz w:val="24"/>
          <w:szCs w:val="24"/>
        </w:rPr>
        <w:t> </w:t>
      </w:r>
    </w:p>
    <w:p w:rsidRPr="00ED4E1B" w:rsidR="001372AE" w:rsidP="001372AE" w:rsidRDefault="001372AE" w14:paraId="3BCF9065" w14:textId="77777777">
      <w:pPr>
        <w:textAlignment w:val="baseline"/>
        <w:rPr>
          <w:rFonts w:ascii="Segoe UI" w:hAnsi="Segoe UI" w:eastAsia="Times New Roman" w:cs="Segoe UI"/>
          <w:sz w:val="18"/>
          <w:szCs w:val="18"/>
        </w:rPr>
      </w:pPr>
      <w:r w:rsidRPr="00ED4E1B">
        <w:rPr>
          <w:rFonts w:eastAsia="Times New Roman" w:cs="Segoe UI"/>
          <w:szCs w:val="26"/>
        </w:rPr>
        <w:t xml:space="preserve">As mentioned above, AB 209 (Committee on Budget, Chapter 251, Statutes of 2022) directed the CEC to establish the EBD program, which comprises several types of programs, including a Direct Install Program for low-income households. This </w:t>
      </w:r>
      <w:proofErr w:type="gramStart"/>
      <w:r w:rsidRPr="00ED4E1B">
        <w:rPr>
          <w:rFonts w:eastAsia="Times New Roman" w:cs="Segoe UI"/>
          <w:szCs w:val="26"/>
        </w:rPr>
        <w:t>particular program</w:t>
      </w:r>
      <w:proofErr w:type="gramEnd"/>
      <w:r w:rsidRPr="00ED4E1B">
        <w:rPr>
          <w:rFonts w:eastAsia="Times New Roman" w:cs="Segoe UI"/>
          <w:szCs w:val="26"/>
        </w:rPr>
        <w:t xml:space="preserve"> “provides and installs energy-efficient electric appliances, energy efficiency measures, and related upgrades directly to consumers at minimal or no costs.”</w:t>
      </w:r>
      <w:r>
        <w:rPr>
          <w:rStyle w:val="FootnoteReference"/>
          <w:rFonts w:eastAsia="Times New Roman" w:cs="Segoe UI"/>
          <w:szCs w:val="26"/>
        </w:rPr>
        <w:footnoteReference w:id="11"/>
      </w:r>
      <w:r w:rsidRPr="00ED4E1B">
        <w:rPr>
          <w:rFonts w:eastAsia="Times New Roman" w:cs="Segoe UI"/>
          <w:szCs w:val="26"/>
        </w:rPr>
        <w:t xml:space="preserve"> The Staff Proposal identified the CEC’s EBD Direct Install Program as a potential source of non-ratepayer funding </w:t>
      </w:r>
      <w:r>
        <w:rPr>
          <w:rFonts w:eastAsia="Times New Roman" w:cs="Segoe UI"/>
          <w:szCs w:val="26"/>
        </w:rPr>
        <w:t xml:space="preserve">as that program is required to </w:t>
      </w:r>
      <w:r w:rsidRPr="00ED4E1B">
        <w:rPr>
          <w:rFonts w:eastAsia="Times New Roman" w:cs="Segoe UI"/>
          <w:szCs w:val="26"/>
        </w:rPr>
        <w:t>spend five percent of its funding toward electrifying manufactured homes.</w:t>
      </w:r>
      <w:r w:rsidRPr="00ED4E1B">
        <w:rPr>
          <w:rFonts w:cs="Segoe UI" w:eastAsiaTheme="majorEastAsia"/>
          <w:sz w:val="24"/>
          <w:szCs w:val="26"/>
        </w:rPr>
        <w:t> </w:t>
      </w:r>
    </w:p>
    <w:p w:rsidR="001372AE" w:rsidP="001372AE" w:rsidRDefault="001372AE" w14:paraId="24E35333" w14:textId="5707FA24">
      <w:pPr>
        <w:textAlignment w:val="baseline"/>
        <w:rPr>
          <w:rFonts w:ascii="Calibri" w:hAnsi="Calibri" w:cs="Calibri" w:eastAsiaTheme="majorEastAsia"/>
          <w:sz w:val="24"/>
          <w:szCs w:val="24"/>
        </w:rPr>
      </w:pPr>
      <w:r w:rsidRPr="00ED4E1B">
        <w:rPr>
          <w:rFonts w:eastAsia="Times New Roman" w:cs="Segoe UI"/>
          <w:szCs w:val="26"/>
        </w:rPr>
        <w:t> The EBD Direct Install program budget is currently</w:t>
      </w:r>
      <w:r>
        <w:rPr>
          <w:rFonts w:eastAsia="Times New Roman" w:cs="Segoe UI"/>
          <w:szCs w:val="26"/>
        </w:rPr>
        <w:t xml:space="preserve"> $493.5 million, consisting of</w:t>
      </w:r>
      <w:r w:rsidRPr="00ED4E1B">
        <w:rPr>
          <w:rFonts w:eastAsia="Times New Roman" w:cs="Segoe UI"/>
          <w:szCs w:val="26"/>
        </w:rPr>
        <w:t xml:space="preserve"> $</w:t>
      </w:r>
      <w:r>
        <w:rPr>
          <w:rFonts w:eastAsia="Times New Roman" w:cs="Segoe UI"/>
          <w:szCs w:val="26"/>
        </w:rPr>
        <w:t>339.25</w:t>
      </w:r>
      <w:r w:rsidRPr="00ED4E1B">
        <w:rPr>
          <w:rFonts w:eastAsia="Times New Roman" w:cs="Segoe UI"/>
          <w:szCs w:val="26"/>
        </w:rPr>
        <w:t xml:space="preserve"> million</w:t>
      </w:r>
      <w:r>
        <w:rPr>
          <w:rFonts w:eastAsia="Times New Roman" w:cs="Segoe UI"/>
          <w:szCs w:val="26"/>
        </w:rPr>
        <w:t xml:space="preserve"> in state funds. </w:t>
      </w:r>
      <w:r w:rsidRPr="00ED4E1B">
        <w:rPr>
          <w:rFonts w:eastAsia="Times New Roman" w:cs="Segoe UI"/>
          <w:szCs w:val="26"/>
        </w:rPr>
        <w:t>At least $</w:t>
      </w:r>
      <w:r>
        <w:rPr>
          <w:rFonts w:eastAsia="Times New Roman" w:cs="Segoe UI"/>
          <w:szCs w:val="26"/>
        </w:rPr>
        <w:t>15.3</w:t>
      </w:r>
      <w:r w:rsidRPr="00ED4E1B">
        <w:rPr>
          <w:rFonts w:eastAsia="Times New Roman" w:cs="Segoe UI"/>
          <w:szCs w:val="26"/>
        </w:rPr>
        <w:t xml:space="preserve"> million of the </w:t>
      </w:r>
      <w:r>
        <w:rPr>
          <w:rFonts w:eastAsia="Times New Roman" w:cs="Segoe UI"/>
          <w:szCs w:val="26"/>
        </w:rPr>
        <w:t xml:space="preserve">available </w:t>
      </w:r>
      <w:r>
        <w:rPr>
          <w:rFonts w:eastAsia="Times New Roman" w:cs="Segoe UI"/>
          <w:szCs w:val="26"/>
        </w:rPr>
        <w:lastRenderedPageBreak/>
        <w:t xml:space="preserve">state </w:t>
      </w:r>
      <w:r w:rsidRPr="00ED4E1B">
        <w:rPr>
          <w:rFonts w:eastAsia="Times New Roman" w:cs="Segoe UI"/>
          <w:szCs w:val="26"/>
        </w:rPr>
        <w:t>funding would be allocated for manufactured housing.</w:t>
      </w:r>
      <w:r w:rsidRPr="00045187">
        <w:rPr>
          <w:rFonts w:eastAsia="Times New Roman" w:cs="Segoe UI"/>
          <w:szCs w:val="26"/>
          <w:vertAlign w:val="superscript"/>
        </w:rPr>
        <w:fldChar w:fldCharType="begin"/>
      </w:r>
      <w:r w:rsidRPr="00045187">
        <w:rPr>
          <w:rFonts w:eastAsia="Times New Roman" w:cs="Segoe UI"/>
          <w:szCs w:val="26"/>
          <w:vertAlign w:val="superscript"/>
        </w:rPr>
        <w:instrText xml:space="preserve"> NOTEREF _Ref214215771 \h </w:instrText>
      </w:r>
      <w:r>
        <w:rPr>
          <w:rFonts w:eastAsia="Times New Roman" w:cs="Segoe UI"/>
          <w:szCs w:val="26"/>
          <w:vertAlign w:val="superscript"/>
        </w:rPr>
        <w:instrText xml:space="preserve"> \* MERGEFORMAT</w:instrText>
      </w:r>
      <w:r w:rsidRPr="00A613FA">
        <w:rPr>
          <w:rFonts w:eastAsia="Times New Roman" w:cs="Segoe UI"/>
          <w:szCs w:val="26"/>
          <w:vertAlign w:val="superscript"/>
        </w:rPr>
        <w:instrText xml:space="preserve"> </w:instrText>
      </w:r>
      <w:r w:rsidRPr="00045187">
        <w:rPr>
          <w:rFonts w:eastAsia="Times New Roman" w:cs="Segoe UI"/>
          <w:szCs w:val="26"/>
          <w:vertAlign w:val="superscript"/>
        </w:rPr>
      </w:r>
      <w:r w:rsidRPr="00045187">
        <w:rPr>
          <w:rFonts w:eastAsia="Times New Roman" w:cs="Segoe UI"/>
          <w:szCs w:val="26"/>
          <w:vertAlign w:val="superscript"/>
        </w:rPr>
        <w:fldChar w:fldCharType="separate"/>
      </w:r>
      <w:r>
        <w:rPr>
          <w:rFonts w:eastAsia="Times New Roman" w:cs="Segoe UI"/>
          <w:szCs w:val="26"/>
          <w:vertAlign w:val="superscript"/>
        </w:rPr>
        <w:t>2</w:t>
      </w:r>
      <w:r w:rsidRPr="00045187">
        <w:rPr>
          <w:rFonts w:eastAsia="Times New Roman" w:cs="Segoe UI"/>
          <w:szCs w:val="26"/>
          <w:vertAlign w:val="superscript"/>
        </w:rPr>
        <w:fldChar w:fldCharType="end"/>
      </w:r>
      <w:r w:rsidRPr="00ED4E1B">
        <w:rPr>
          <w:rFonts w:eastAsia="Times New Roman" w:cs="Segoe UI"/>
          <w:szCs w:val="26"/>
        </w:rPr>
        <w:t xml:space="preserve"> The EBD program guidelines specifies that the funding covers in-home BTM efficiency and electrification measures and does not cover </w:t>
      </w:r>
      <w:r>
        <w:rPr>
          <w:rFonts w:eastAsia="Times New Roman" w:cs="Segoe UI"/>
          <w:szCs w:val="26"/>
        </w:rPr>
        <w:t xml:space="preserve">any </w:t>
      </w:r>
      <w:r w:rsidRPr="00ED4E1B">
        <w:rPr>
          <w:rFonts w:eastAsia="Times New Roman" w:cs="Segoe UI"/>
          <w:szCs w:val="26"/>
        </w:rPr>
        <w:t>TTM electrical system work</w:t>
      </w:r>
      <w:r>
        <w:rPr>
          <w:rFonts w:eastAsia="Times New Roman" w:cs="Segoe UI"/>
          <w:szCs w:val="26"/>
        </w:rPr>
        <w:t xml:space="preserve"> such as electric service line or distribution system upgrades,</w:t>
      </w:r>
      <w:r>
        <w:rPr>
          <w:rStyle w:val="FootnoteReference"/>
          <w:rFonts w:eastAsia="Times New Roman" w:cs="Segoe UI"/>
          <w:szCs w:val="26"/>
        </w:rPr>
        <w:footnoteReference w:id="12"/>
      </w:r>
      <w:r w:rsidRPr="00ED4E1B">
        <w:rPr>
          <w:rFonts w:eastAsia="Times New Roman" w:cs="Segoe UI"/>
          <w:szCs w:val="26"/>
        </w:rPr>
        <w:t xml:space="preserve">. Because the Commission’s MHP UCP covers these types of TTM and limited BTM electrical system upgrades, an opportunity exists for leveraging both the MHP UCP and EBD programs to implement full electrification of identified MHPs and gather information to inform any future electrification efforts that would be integrated into a future version of the Commission’s MHP UCP or CEC building decarbonization efforts. </w:t>
      </w:r>
    </w:p>
    <w:p w:rsidRPr="00ED4E1B" w:rsidR="001372AE" w:rsidP="001372AE" w:rsidRDefault="001372AE" w14:paraId="3FFBA392" w14:textId="77777777">
      <w:pPr>
        <w:textAlignment w:val="baseline"/>
        <w:rPr>
          <w:rFonts w:ascii="Segoe UI" w:hAnsi="Segoe UI" w:eastAsia="Times New Roman" w:cs="Segoe UI"/>
          <w:sz w:val="18"/>
          <w:szCs w:val="18"/>
        </w:rPr>
      </w:pPr>
      <w:r w:rsidRPr="00ED4E1B">
        <w:rPr>
          <w:rFonts w:eastAsia="Times New Roman" w:cs="Segoe UI"/>
          <w:szCs w:val="26"/>
        </w:rPr>
        <w:t xml:space="preserve">After reviewing the R.18-04-014 Phase 2B Staff Proposal, dated July 31, 2023, </w:t>
      </w:r>
      <w:r>
        <w:rPr>
          <w:rFonts w:eastAsia="Times New Roman" w:cs="Segoe UI"/>
          <w:szCs w:val="26"/>
        </w:rPr>
        <w:t>p</w:t>
      </w:r>
      <w:r w:rsidRPr="00ED4E1B">
        <w:rPr>
          <w:rFonts w:eastAsia="Times New Roman" w:cs="Segoe UI"/>
          <w:szCs w:val="26"/>
        </w:rPr>
        <w:t>arties’ comments above, and the EBD Direct Install Program Guidelines, the Commission directs PG&amp;E, SCE, and SDG&amp;E to work cooperatively with CEC’s EBD Program staff and Administrators to implement a</w:t>
      </w:r>
      <w:r>
        <w:rPr>
          <w:rFonts w:eastAsia="Times New Roman" w:cs="Segoe UI"/>
          <w:szCs w:val="26"/>
        </w:rPr>
        <w:t>n</w:t>
      </w:r>
      <w:r w:rsidRPr="00ED4E1B">
        <w:rPr>
          <w:rFonts w:eastAsia="Times New Roman" w:cs="Segoe UI"/>
          <w:szCs w:val="26"/>
        </w:rPr>
        <w:t xml:space="preserve"> </w:t>
      </w:r>
      <w:r>
        <w:rPr>
          <w:rFonts w:eastAsia="Times New Roman" w:cs="Segoe UI"/>
          <w:szCs w:val="26"/>
        </w:rPr>
        <w:t>E</w:t>
      </w:r>
      <w:r w:rsidRPr="00ED4E1B">
        <w:rPr>
          <w:rFonts w:eastAsia="Times New Roman" w:cs="Segoe UI"/>
          <w:szCs w:val="26"/>
        </w:rPr>
        <w:t xml:space="preserve">lectrification Initiative. This </w:t>
      </w:r>
      <w:r>
        <w:rPr>
          <w:rFonts w:eastAsia="Times New Roman" w:cs="Segoe UI"/>
          <w:szCs w:val="26"/>
        </w:rPr>
        <w:t xml:space="preserve">Electrification </w:t>
      </w:r>
      <w:r w:rsidRPr="00ED4E1B">
        <w:rPr>
          <w:rFonts w:eastAsia="Times New Roman" w:cs="Segoe UI"/>
          <w:szCs w:val="26"/>
        </w:rPr>
        <w:t xml:space="preserve">Initiative will be a joint effort between the large electric IOUs, who will install new electric TTM infrastructure per </w:t>
      </w:r>
      <w:r>
        <w:rPr>
          <w:rFonts w:eastAsia="Times New Roman" w:cs="Segoe UI"/>
          <w:szCs w:val="26"/>
        </w:rPr>
        <w:t xml:space="preserve">the </w:t>
      </w:r>
      <w:r w:rsidRPr="00ED4E1B">
        <w:rPr>
          <w:rFonts w:eastAsia="Times New Roman" w:cs="Segoe UI"/>
          <w:szCs w:val="26"/>
        </w:rPr>
        <w:t>current MHP UCP guidelines, and the CEC EBD Program, which will install BTM electrification measures, in select MHPs across the state.</w:t>
      </w:r>
      <w:r w:rsidRPr="00ED4E1B">
        <w:rPr>
          <w:rFonts w:cs="Segoe UI" w:eastAsiaTheme="majorEastAsia"/>
          <w:sz w:val="24"/>
          <w:szCs w:val="26"/>
        </w:rPr>
        <w:t> </w:t>
      </w:r>
    </w:p>
    <w:p w:rsidR="001372AE" w:rsidP="001372AE" w:rsidRDefault="001372AE" w14:paraId="33BEDBED" w14:textId="77777777">
      <w:pPr>
        <w:textAlignment w:val="baseline"/>
        <w:rPr>
          <w:rFonts w:cs="Segoe UI" w:eastAsiaTheme="majorEastAsia"/>
          <w:sz w:val="24"/>
          <w:szCs w:val="26"/>
        </w:rPr>
      </w:pPr>
      <w:r w:rsidRPr="00ED4E1B">
        <w:rPr>
          <w:rFonts w:eastAsia="Times New Roman" w:cs="Segoe UI"/>
          <w:szCs w:val="26"/>
        </w:rPr>
        <w:t xml:space="preserve">To assist with reaching the state’s electrification goals, and to reduce ratepayer burden, we direct PG&amp;E, SCE, and SDG&amp;E (i.e., the large electric IOUs) to partner with the CEC EBD program staff and Program Administrators to engage in a joint MHP Electrification Initiative. This </w:t>
      </w:r>
      <w:r>
        <w:rPr>
          <w:rFonts w:eastAsia="Times New Roman" w:cs="Segoe UI"/>
          <w:szCs w:val="26"/>
        </w:rPr>
        <w:t xml:space="preserve">Electrification </w:t>
      </w:r>
      <w:r w:rsidRPr="00ED4E1B">
        <w:rPr>
          <w:rFonts w:eastAsia="Times New Roman" w:cs="Segoe UI"/>
          <w:szCs w:val="26"/>
        </w:rPr>
        <w:t xml:space="preserve">Initiative would consist of the large electric IOUs continuing to conduct the </w:t>
      </w:r>
      <w:proofErr w:type="gramStart"/>
      <w:r w:rsidRPr="00ED4E1B">
        <w:rPr>
          <w:rFonts w:eastAsia="Times New Roman" w:cs="Segoe UI"/>
          <w:szCs w:val="26"/>
        </w:rPr>
        <w:t>TTM  MHP</w:t>
      </w:r>
      <w:proofErr w:type="gramEnd"/>
      <w:r w:rsidRPr="00ED4E1B">
        <w:rPr>
          <w:rFonts w:eastAsia="Times New Roman" w:cs="Segoe UI"/>
          <w:szCs w:val="26"/>
        </w:rPr>
        <w:t xml:space="preserve"> UCP work for electrical systems only, with the EBD program conducting all in-</w:t>
      </w:r>
      <w:r w:rsidRPr="00ED4E1B">
        <w:rPr>
          <w:rFonts w:eastAsia="Times New Roman" w:cs="Segoe UI"/>
          <w:szCs w:val="26"/>
        </w:rPr>
        <w:lastRenderedPageBreak/>
        <w:t xml:space="preserve">home BTM electrification work at the same MHP location, as part of its ongoing EBD Direct Install program implementation. The MHPs participating in this joint </w:t>
      </w:r>
      <w:r>
        <w:rPr>
          <w:rFonts w:eastAsia="Times New Roman" w:cs="Segoe UI"/>
          <w:szCs w:val="26"/>
        </w:rPr>
        <w:t xml:space="preserve">Electrification </w:t>
      </w:r>
      <w:r w:rsidRPr="00ED4E1B">
        <w:rPr>
          <w:rFonts w:eastAsia="Times New Roman" w:cs="Segoe UI"/>
          <w:szCs w:val="26"/>
        </w:rPr>
        <w:t xml:space="preserve">Initiative would be selected by the CEC EBD staff and Program Administrators, and such MHPs must meet the criteria of both the MHP UCP program and the EBD Direct Install program Guidelines, including that the MHP </w:t>
      </w:r>
      <w:proofErr w:type="gramStart"/>
      <w:r w:rsidRPr="00ED4E1B">
        <w:rPr>
          <w:rFonts w:eastAsia="Times New Roman" w:cs="Segoe UI"/>
          <w:szCs w:val="26"/>
        </w:rPr>
        <w:t>is located in</w:t>
      </w:r>
      <w:proofErr w:type="gramEnd"/>
      <w:r w:rsidRPr="00ED4E1B">
        <w:rPr>
          <w:rFonts w:eastAsia="Times New Roman" w:cs="Segoe UI"/>
          <w:szCs w:val="26"/>
        </w:rPr>
        <w:t xml:space="preserve"> an under-resourced community. The large electric IOUs must not install any new natural gas infrastructure in these MHPs and these MHPs must cease using natural gas to qualify for this joint MHP </w:t>
      </w:r>
      <w:r>
        <w:rPr>
          <w:rFonts w:eastAsia="Times New Roman" w:cs="Segoe UI"/>
          <w:szCs w:val="26"/>
        </w:rPr>
        <w:t>E</w:t>
      </w:r>
      <w:r w:rsidRPr="00ED4E1B">
        <w:rPr>
          <w:rFonts w:eastAsia="Times New Roman" w:cs="Segoe UI"/>
          <w:szCs w:val="26"/>
        </w:rPr>
        <w:t xml:space="preserve">lectrification Initiative. This </w:t>
      </w:r>
      <w:r>
        <w:rPr>
          <w:rFonts w:eastAsia="Times New Roman" w:cs="Segoe UI"/>
          <w:szCs w:val="26"/>
        </w:rPr>
        <w:t xml:space="preserve">Electrification </w:t>
      </w:r>
      <w:r w:rsidRPr="00ED4E1B">
        <w:rPr>
          <w:rFonts w:eastAsia="Times New Roman" w:cs="Segoe UI"/>
          <w:szCs w:val="26"/>
        </w:rPr>
        <w:t>Initiative shall commence on the same day of the issuance of this decision and conclude when the EBD Direct Install program concludes.</w:t>
      </w:r>
      <w:r w:rsidRPr="00ED4E1B">
        <w:rPr>
          <w:rFonts w:cs="Segoe UI" w:eastAsiaTheme="majorEastAsia"/>
          <w:sz w:val="24"/>
          <w:szCs w:val="26"/>
        </w:rPr>
        <w:t> </w:t>
      </w:r>
    </w:p>
    <w:p w:rsidR="001372AE" w:rsidP="001372AE" w:rsidRDefault="001372AE" w14:paraId="3C07DC4E" w14:textId="77777777">
      <w:pPr>
        <w:pStyle w:val="Standard"/>
      </w:pPr>
      <w:r w:rsidRPr="00276B4E">
        <w:t xml:space="preserve">If a situation </w:t>
      </w:r>
      <w:r>
        <w:t>arises in which the EBD program does not have sufficient funding to conduct electrification work on manufactured homes or MHPs, and alternative non-ratepayer sources of funding are not available, then the large electric IOUs will not be obligated to participate in this Electrification Initiative until sufficient funding for BTM electrification measures becomes available. If such a situation emerges, the large electric IOUs may submit a Tier 2 Advice Letter to the Commission to request approval to cease work on the Electrification Initiative due to lack of non-ratepayer funding.</w:t>
      </w:r>
    </w:p>
    <w:p w:rsidRPr="00ED4E1B" w:rsidR="001372AE" w:rsidP="001372AE" w:rsidRDefault="001372AE" w14:paraId="149B6193" w14:textId="77777777">
      <w:pPr>
        <w:pStyle w:val="Heading2"/>
      </w:pPr>
      <w:bookmarkStart w:name="_Toc2105987986" w:id="31"/>
      <w:bookmarkStart w:name="_Toc1239937320" w:id="32"/>
      <w:r>
        <w:t>Selection Criteria</w:t>
      </w:r>
      <w:bookmarkEnd w:id="31"/>
      <w:bookmarkEnd w:id="32"/>
    </w:p>
    <w:p w:rsidRPr="00ED4E1B" w:rsidR="001372AE" w:rsidP="001372AE" w:rsidRDefault="001372AE" w14:paraId="27FAF196" w14:textId="77777777">
      <w:pPr>
        <w:pStyle w:val="Heading3"/>
      </w:pPr>
      <w:bookmarkStart w:name="_Toc204269588" w:id="33"/>
      <w:bookmarkStart w:name="_Toc975830282" w:id="34"/>
      <w:bookmarkStart w:name="_Toc366225691" w:id="35"/>
      <w:r w:rsidRPr="00ED4E1B">
        <w:t>Staff Proposal</w:t>
      </w:r>
      <w:bookmarkEnd w:id="33"/>
      <w:bookmarkEnd w:id="34"/>
      <w:bookmarkEnd w:id="35"/>
    </w:p>
    <w:p w:rsidRPr="00ED4E1B" w:rsidR="001372AE" w:rsidP="001372AE" w:rsidRDefault="001372AE" w14:paraId="6112CF46" w14:textId="77777777">
      <w:pPr>
        <w:rPr>
          <w:rFonts w:eastAsia="Book Antiqua" w:cs="Book Antiqua"/>
          <w:szCs w:val="26"/>
        </w:rPr>
      </w:pPr>
      <w:r w:rsidRPr="00ED4E1B">
        <w:rPr>
          <w:rFonts w:eastAsia="Book Antiqua" w:cs="Book Antiqua"/>
          <w:szCs w:val="26"/>
        </w:rPr>
        <w:t>The Staff Proposal</w:t>
      </w:r>
      <w:r w:rsidRPr="00ED4E1B">
        <w:rPr>
          <w:rFonts w:eastAsia="Book Antiqua" w:cs="Book Antiqua"/>
          <w:szCs w:val="26"/>
          <w:vertAlign w:val="superscript"/>
        </w:rPr>
        <w:footnoteReference w:id="13"/>
      </w:r>
      <w:r w:rsidRPr="00ED4E1B">
        <w:rPr>
          <w:rFonts w:eastAsia="Book Antiqua" w:cs="Book Antiqua"/>
          <w:szCs w:val="26"/>
        </w:rPr>
        <w:t xml:space="preserve"> recommends that the following criteria be met to identify and select MHPs to be included in a list for the </w:t>
      </w:r>
      <w:r>
        <w:rPr>
          <w:rFonts w:eastAsia="Book Antiqua" w:cs="Book Antiqua"/>
          <w:szCs w:val="26"/>
        </w:rPr>
        <w:t>E</w:t>
      </w:r>
      <w:r w:rsidRPr="00ED4E1B">
        <w:rPr>
          <w:rFonts w:eastAsia="Book Antiqua" w:cs="Book Antiqua"/>
          <w:szCs w:val="26"/>
        </w:rPr>
        <w:t>lectrification Initiative:</w:t>
      </w:r>
    </w:p>
    <w:p w:rsidRPr="00ED4E1B" w:rsidR="001372AE" w:rsidP="001372AE" w:rsidRDefault="001372AE" w14:paraId="29A68AB8" w14:textId="77777777">
      <w:pPr>
        <w:pStyle w:val="ListBullet"/>
        <w:ind w:right="1440"/>
      </w:pPr>
      <w:r w:rsidRPr="00ED4E1B">
        <w:rPr>
          <w:b/>
          <w:bCs/>
        </w:rPr>
        <w:t>MHPs with sub-metered natural gas and electrical systems.</w:t>
      </w:r>
      <w:r w:rsidRPr="00ED4E1B">
        <w:t xml:space="preserve"> MHPs with propane systems should be avoided. These MHPs represent a minority of parks and are also usually located in high wildfire risk areas and may be </w:t>
      </w:r>
      <w:r w:rsidRPr="00ED4E1B">
        <w:lastRenderedPageBreak/>
        <w:t>subject to public safety power shutoff events and other reliability issues.</w:t>
      </w:r>
    </w:p>
    <w:p w:rsidRPr="00ED4E1B" w:rsidR="001372AE" w:rsidP="001372AE" w:rsidRDefault="001372AE" w14:paraId="752489F6" w14:textId="77777777">
      <w:pPr>
        <w:pStyle w:val="ListBullet"/>
        <w:ind w:right="1440"/>
      </w:pPr>
      <w:r w:rsidRPr="00ED4E1B">
        <w:rPr>
          <w:b/>
          <w:bCs/>
        </w:rPr>
        <w:t>MHPs that result in a mix</w:t>
      </w:r>
      <w:r w:rsidRPr="00ED4E1B" w:rsidDel="0097332A">
        <w:rPr>
          <w:b/>
          <w:bCs/>
        </w:rPr>
        <w:t xml:space="preserve"> </w:t>
      </w:r>
      <w:r w:rsidRPr="00ED4E1B">
        <w:rPr>
          <w:b/>
          <w:bCs/>
        </w:rPr>
        <w:t>of large and small parks.</w:t>
      </w:r>
      <w:r w:rsidRPr="00ED4E1B">
        <w:t xml:space="preserve"> The average park has around 80 spaces. Staff recommend choosing a mix of parks with fewer than 80 spaces and more than 80 spaces. </w:t>
      </w:r>
    </w:p>
    <w:p w:rsidRPr="00ED4E1B" w:rsidR="001372AE" w:rsidP="001372AE" w:rsidRDefault="001372AE" w14:paraId="15CD8966" w14:textId="77777777">
      <w:pPr>
        <w:pStyle w:val="ListBullet"/>
        <w:ind w:right="1440"/>
      </w:pPr>
      <w:r w:rsidRPr="00ED4E1B">
        <w:rPr>
          <w:b/>
          <w:bCs/>
        </w:rPr>
        <w:t>MHPs with a mix of different home vintages.</w:t>
      </w:r>
      <w:r w:rsidRPr="00ED4E1B">
        <w:t xml:space="preserve"> Some of the parks should comprise </w:t>
      </w:r>
      <w:proofErr w:type="gramStart"/>
      <w:r w:rsidRPr="00ED4E1B">
        <w:t>a majority of</w:t>
      </w:r>
      <w:proofErr w:type="gramEnd"/>
      <w:r w:rsidRPr="00ED4E1B">
        <w:t xml:space="preserve"> homes built before 1976 and some should comprise homes with </w:t>
      </w:r>
      <w:proofErr w:type="gramStart"/>
      <w:r w:rsidRPr="00ED4E1B">
        <w:t>the majority of</w:t>
      </w:r>
      <w:proofErr w:type="gramEnd"/>
      <w:r w:rsidRPr="00ED4E1B">
        <w:t xml:space="preserve"> homes built after 1976, which is the year federal standards for manufactured home construction were first enforced</w:t>
      </w:r>
      <w:r w:rsidRPr="00ED4E1B" w:rsidDel="00811406">
        <w:t>.</w:t>
      </w:r>
    </w:p>
    <w:p w:rsidRPr="00ED4E1B" w:rsidR="001372AE" w:rsidP="001372AE" w:rsidRDefault="001372AE" w14:paraId="091CB83E" w14:textId="77777777">
      <w:pPr>
        <w:pStyle w:val="ListBullet"/>
        <w:ind w:right="1440"/>
      </w:pPr>
      <w:r w:rsidRPr="00ED4E1B">
        <w:rPr>
          <w:b/>
          <w:bCs/>
        </w:rPr>
        <w:t xml:space="preserve">MHPs where the owner and all the resident mobile </w:t>
      </w:r>
      <w:r>
        <w:rPr>
          <w:b/>
          <w:bCs/>
        </w:rPr>
        <w:t>home resident</w:t>
      </w:r>
      <w:r w:rsidRPr="00ED4E1B">
        <w:rPr>
          <w:b/>
          <w:bCs/>
        </w:rPr>
        <w:t xml:space="preserve"> agree to full electrification.</w:t>
      </w:r>
      <w:r w:rsidRPr="00ED4E1B">
        <w:t xml:space="preserve"> The Staff Proposal is agnostic to ownership structure, but Staff predict that parks where MHP owners own both the land and the manufactured home structures may more easily reach consensus for </w:t>
      </w:r>
      <w:proofErr w:type="gramStart"/>
      <w:r w:rsidRPr="00ED4E1B">
        <w:t>full-electrification</w:t>
      </w:r>
      <w:proofErr w:type="gramEnd"/>
      <w:r w:rsidRPr="00ED4E1B">
        <w:t xml:space="preserve">, since this will require fewer parties to fully agree to electrification. </w:t>
      </w:r>
    </w:p>
    <w:p w:rsidRPr="00ED4E1B" w:rsidR="001372AE" w:rsidP="001372AE" w:rsidRDefault="001372AE" w14:paraId="2DD4E01E" w14:textId="77777777">
      <w:pPr>
        <w:rPr>
          <w:rFonts w:eastAsia="Book Antiqua" w:cs="Book Antiqua"/>
          <w:szCs w:val="26"/>
        </w:rPr>
      </w:pPr>
      <w:r w:rsidRPr="00ED4E1B">
        <w:rPr>
          <w:rFonts w:eastAsia="Book Antiqua" w:cs="Book Antiqua"/>
          <w:szCs w:val="26"/>
        </w:rPr>
        <w:t xml:space="preserve">Staff recommend limiting the </w:t>
      </w:r>
      <w:r>
        <w:rPr>
          <w:rFonts w:eastAsia="Book Antiqua" w:cs="Book Antiqua"/>
          <w:szCs w:val="26"/>
        </w:rPr>
        <w:t xml:space="preserve">Electrification </w:t>
      </w:r>
      <w:r w:rsidRPr="00ED4E1B">
        <w:rPr>
          <w:rFonts w:eastAsia="Book Antiqua" w:cs="Book Antiqua"/>
          <w:szCs w:val="26"/>
        </w:rPr>
        <w:t xml:space="preserve">Initiative to only parks with existing access to natural gas and electricity and excluding MHPs that rely on propane, noting that electric-only or electric and propane-reliant parks tend to be situated in high-wildfire threat areas prone to public safety power shutoff events. These MHPs could face reliability concerns unless additional measures like on-site generation and/or storage are implemented, which would be outside the scope of this Initiative. </w:t>
      </w:r>
    </w:p>
    <w:p w:rsidRPr="00ED4E1B" w:rsidR="001372AE" w:rsidP="001372AE" w:rsidRDefault="001372AE" w14:paraId="5AA69E36" w14:textId="77777777">
      <w:pPr>
        <w:rPr>
          <w:rFonts w:eastAsia="Book Antiqua" w:cs="Book Antiqua"/>
          <w:szCs w:val="26"/>
        </w:rPr>
      </w:pPr>
      <w:r w:rsidRPr="00ED4E1B">
        <w:rPr>
          <w:rFonts w:eastAsia="Book Antiqua" w:cs="Book Antiqua"/>
          <w:szCs w:val="26"/>
        </w:rPr>
        <w:t xml:space="preserve">Staff recommend that all eligible MHPs, regardless of ownership structure, be allowed to participate in the Initiative, so long as there is 100% participation. in </w:t>
      </w:r>
      <w:r>
        <w:rPr>
          <w:rFonts w:eastAsia="Book Antiqua" w:cs="Book Antiqua"/>
          <w:szCs w:val="26"/>
        </w:rPr>
        <w:t>the</w:t>
      </w:r>
      <w:r w:rsidRPr="00ED4E1B">
        <w:rPr>
          <w:rFonts w:eastAsia="Book Antiqua" w:cs="Book Antiqua"/>
          <w:szCs w:val="26"/>
        </w:rPr>
        <w:t xml:space="preserve"> </w:t>
      </w:r>
      <w:r>
        <w:rPr>
          <w:rFonts w:eastAsia="Book Antiqua" w:cs="Book Antiqua"/>
          <w:szCs w:val="26"/>
        </w:rPr>
        <w:t>E</w:t>
      </w:r>
      <w:r w:rsidRPr="00ED4E1B">
        <w:rPr>
          <w:rFonts w:eastAsia="Book Antiqua" w:cs="Book Antiqua"/>
          <w:szCs w:val="26"/>
        </w:rPr>
        <w:t xml:space="preserve">lectrification Initiative. </w:t>
      </w:r>
    </w:p>
    <w:p w:rsidRPr="00ED4E1B" w:rsidR="001372AE" w:rsidP="001372AE" w:rsidRDefault="001372AE" w14:paraId="45106A1D" w14:textId="77777777">
      <w:pPr>
        <w:rPr>
          <w:rFonts w:eastAsia="Book Antiqua" w:cs="Book Antiqua"/>
          <w:szCs w:val="26"/>
        </w:rPr>
      </w:pPr>
      <w:r w:rsidRPr="00ED4E1B">
        <w:rPr>
          <w:rFonts w:eastAsia="Book Antiqua" w:cs="Book Antiqua"/>
          <w:szCs w:val="26"/>
        </w:rPr>
        <w:t xml:space="preserve">Given the low probability that all MHPs at the top of the prioritization list will all agree to participating in the </w:t>
      </w:r>
      <w:r>
        <w:rPr>
          <w:rFonts w:eastAsia="Book Antiqua" w:cs="Book Antiqua"/>
          <w:szCs w:val="26"/>
        </w:rPr>
        <w:t>E</w:t>
      </w:r>
      <w:r w:rsidRPr="00ED4E1B">
        <w:rPr>
          <w:rFonts w:eastAsia="Book Antiqua" w:cs="Book Antiqua"/>
          <w:szCs w:val="26"/>
        </w:rPr>
        <w:t xml:space="preserve">lectrification Initiative, Staff advise that </w:t>
      </w:r>
      <w:r w:rsidRPr="00ED4E1B">
        <w:rPr>
          <w:rFonts w:eastAsia="Book Antiqua" w:cs="Book Antiqua"/>
          <w:szCs w:val="26"/>
        </w:rPr>
        <w:lastRenderedPageBreak/>
        <w:t>IOUs be allowed to choose MHPs across both the Category 1 and 2 lists</w:t>
      </w:r>
      <w:r w:rsidRPr="00ED4E1B">
        <w:rPr>
          <w:rFonts w:eastAsia="Book Antiqua" w:cs="Book Antiqua"/>
          <w:szCs w:val="26"/>
          <w:vertAlign w:val="superscript"/>
        </w:rPr>
        <w:footnoteReference w:id="14"/>
      </w:r>
      <w:r w:rsidRPr="00ED4E1B">
        <w:rPr>
          <w:rFonts w:eastAsia="Book Antiqua" w:cs="Book Antiqua"/>
          <w:szCs w:val="26"/>
        </w:rPr>
        <w:t xml:space="preserve"> for participation in the </w:t>
      </w:r>
      <w:r>
        <w:rPr>
          <w:rFonts w:eastAsia="Book Antiqua" w:cs="Book Antiqua"/>
          <w:szCs w:val="26"/>
        </w:rPr>
        <w:t xml:space="preserve">Electrification </w:t>
      </w:r>
      <w:r w:rsidRPr="00ED4E1B">
        <w:rPr>
          <w:rFonts w:eastAsia="Book Antiqua" w:cs="Book Antiqua"/>
          <w:szCs w:val="26"/>
        </w:rPr>
        <w:t xml:space="preserve">Initiative. These chosen MHPs would </w:t>
      </w:r>
      <w:r>
        <w:rPr>
          <w:rFonts w:eastAsia="Book Antiqua" w:cs="Book Antiqua"/>
          <w:szCs w:val="26"/>
        </w:rPr>
        <w:t xml:space="preserve">be </w:t>
      </w:r>
      <w:r w:rsidRPr="00ED4E1B">
        <w:rPr>
          <w:rFonts w:eastAsia="Book Antiqua" w:cs="Book Antiqua"/>
          <w:szCs w:val="26"/>
        </w:rPr>
        <w:t>prioritized for conversion alongside the MHPs at the top of the Category 1 lists.</w:t>
      </w:r>
    </w:p>
    <w:p w:rsidRPr="00ED4E1B" w:rsidR="001372AE" w:rsidP="001372AE" w:rsidRDefault="001372AE" w14:paraId="21C3B4FA" w14:textId="77777777">
      <w:pPr>
        <w:rPr>
          <w:rFonts w:eastAsia="Book Antiqua" w:cs="Book Antiqua"/>
          <w:szCs w:val="26"/>
        </w:rPr>
      </w:pPr>
      <w:r w:rsidRPr="00ED4E1B">
        <w:rPr>
          <w:rFonts w:eastAsia="Book Antiqua" w:cs="Book Antiqua"/>
          <w:szCs w:val="26"/>
        </w:rPr>
        <w:t xml:space="preserve">The Staff Proposal also suggests that PG&amp;E, SDG&amp;E, and SCE should </w:t>
      </w:r>
      <w:proofErr w:type="gramStart"/>
      <w:r w:rsidRPr="00ED4E1B">
        <w:rPr>
          <w:rFonts w:eastAsia="Book Antiqua" w:cs="Book Antiqua"/>
          <w:szCs w:val="26"/>
        </w:rPr>
        <w:t>each</w:t>
      </w:r>
      <w:proofErr w:type="gramEnd"/>
      <w:r w:rsidRPr="00ED4E1B">
        <w:rPr>
          <w:rFonts w:eastAsia="Book Antiqua" w:cs="Book Antiqua"/>
          <w:szCs w:val="26"/>
        </w:rPr>
        <w:t xml:space="preserve"> target, at </w:t>
      </w:r>
      <w:r>
        <w:rPr>
          <w:rFonts w:eastAsia="Book Antiqua" w:cs="Book Antiqua"/>
          <w:szCs w:val="26"/>
        </w:rPr>
        <w:t xml:space="preserve">a </w:t>
      </w:r>
      <w:r w:rsidRPr="00ED4E1B">
        <w:rPr>
          <w:rFonts w:eastAsia="Book Antiqua" w:cs="Book Antiqua"/>
          <w:szCs w:val="26"/>
        </w:rPr>
        <w:t xml:space="preserve">minimum, four parks in their respective service areas, for a minimum of 12 parks across the largest three large electric IOUs. The </w:t>
      </w:r>
      <w:r w:rsidRPr="00ED4E1B">
        <w:rPr>
          <w:rFonts w:eastAsia="Book Antiqua" w:cs="Book Antiqua"/>
        </w:rPr>
        <w:t>three</w:t>
      </w:r>
      <w:r w:rsidRPr="00ED4E1B">
        <w:rPr>
          <w:rFonts w:eastAsia="Book Antiqua" w:cs="Book Antiqua"/>
          <w:szCs w:val="26"/>
        </w:rPr>
        <w:t xml:space="preserve"> IOUs should be allowed to choose parks across the Category 1 and Category 2 lists created by Safety and Enforcement Division (SED) staff for the MHP UCP. </w:t>
      </w:r>
    </w:p>
    <w:p w:rsidRPr="00ED4E1B" w:rsidR="001372AE" w:rsidP="001372AE" w:rsidRDefault="001372AE" w14:paraId="6C029783" w14:textId="77777777">
      <w:pPr>
        <w:rPr>
          <w:rFonts w:eastAsia="Book Antiqua" w:cs="Book Antiqua"/>
          <w:szCs w:val="26"/>
        </w:rPr>
      </w:pPr>
      <w:r w:rsidRPr="00ED4E1B">
        <w:rPr>
          <w:rFonts w:eastAsia="Book Antiqua" w:cs="Book Antiqua"/>
          <w:szCs w:val="26"/>
        </w:rPr>
        <w:t>Staff recommend that if there is ample interest in the program, MHPs with the following characteristics should be prioritized:</w:t>
      </w:r>
    </w:p>
    <w:p w:rsidRPr="00ED4E1B" w:rsidR="001372AE" w:rsidP="001372AE" w:rsidRDefault="001372AE" w14:paraId="3A7B5B60" w14:textId="77777777">
      <w:pPr>
        <w:pStyle w:val="ListBullet"/>
        <w:ind w:right="1440"/>
      </w:pPr>
      <w:r w:rsidRPr="00ED4E1B">
        <w:t>MHPs located in under-resourced communities</w:t>
      </w:r>
      <w:r w:rsidRPr="00ED4E1B">
        <w:rPr>
          <w:vertAlign w:val="superscript"/>
        </w:rPr>
        <w:footnoteReference w:id="15"/>
      </w:r>
      <w:r w:rsidRPr="00ED4E1B">
        <w:t>, as listed in the EBD guidelines.</w:t>
      </w:r>
    </w:p>
    <w:p w:rsidRPr="00ED4E1B" w:rsidR="001372AE" w:rsidP="001372AE" w:rsidRDefault="001372AE" w14:paraId="296D432D" w14:textId="77777777">
      <w:pPr>
        <w:pStyle w:val="ListBullet"/>
        <w:ind w:right="1440"/>
      </w:pPr>
      <w:r w:rsidRPr="00ED4E1B">
        <w:t xml:space="preserve">MHPs that can demonstrate that the municipality in which it is located is willing and able to provide additional funding for BTM work. </w:t>
      </w:r>
    </w:p>
    <w:p w:rsidRPr="00ED4E1B" w:rsidR="001372AE" w:rsidP="001372AE" w:rsidRDefault="001372AE" w14:paraId="5FB6CBE5" w14:textId="77777777">
      <w:pPr>
        <w:pStyle w:val="ListBullet"/>
        <w:ind w:right="1440"/>
      </w:pPr>
      <w:r w:rsidRPr="00ED4E1B">
        <w:t>MHPs that are best able to advance the goals of the long-term natural gas planning process (R.20-01-007) and strategic decommissioning of natural gas distribution infrastructure.</w:t>
      </w:r>
    </w:p>
    <w:p w:rsidRPr="00ED4E1B" w:rsidR="001372AE" w:rsidP="001372AE" w:rsidRDefault="001372AE" w14:paraId="02B8F307" w14:textId="77777777">
      <w:pPr>
        <w:pStyle w:val="Heading3"/>
      </w:pPr>
      <w:bookmarkStart w:name="_Toc204269589" w:id="36"/>
      <w:bookmarkStart w:name="_Toc1694471354" w:id="37"/>
      <w:bookmarkStart w:name="_Toc901409154" w:id="38"/>
      <w:r w:rsidRPr="00ED4E1B">
        <w:t xml:space="preserve">Party </w:t>
      </w:r>
      <w:r w:rsidRPr="00E57EB1">
        <w:t>Comments</w:t>
      </w:r>
      <w:bookmarkEnd w:id="36"/>
      <w:bookmarkEnd w:id="37"/>
      <w:bookmarkEnd w:id="38"/>
    </w:p>
    <w:p w:rsidRPr="00ED4E1B" w:rsidR="001372AE" w:rsidP="001372AE" w:rsidRDefault="001372AE" w14:paraId="0C4FF710" w14:textId="77777777">
      <w:pPr>
        <w:rPr>
          <w:rFonts w:eastAsia="Book Antiqua" w:cs="Book Antiqua"/>
          <w:szCs w:val="26"/>
        </w:rPr>
      </w:pPr>
      <w:r w:rsidRPr="00ED4E1B">
        <w:rPr>
          <w:rFonts w:eastAsia="Book Antiqua" w:cs="Book Antiqua"/>
          <w:szCs w:val="26"/>
        </w:rPr>
        <w:t xml:space="preserve">NRDC agrees that the Commission should select MHPs that are “as diverse as possible to enable learning” from the </w:t>
      </w:r>
      <w:r>
        <w:rPr>
          <w:rFonts w:eastAsia="Book Antiqua" w:cs="Book Antiqua"/>
          <w:szCs w:val="26"/>
        </w:rPr>
        <w:t xml:space="preserve">Electrification </w:t>
      </w:r>
      <w:r w:rsidRPr="00ED4E1B">
        <w:rPr>
          <w:rFonts w:eastAsia="Book Antiqua" w:cs="Book Antiqua"/>
          <w:szCs w:val="26"/>
        </w:rPr>
        <w:t>Initiative.</w:t>
      </w:r>
      <w:r w:rsidRPr="00ED4E1B">
        <w:rPr>
          <w:vertAlign w:val="superscript"/>
        </w:rPr>
        <w:footnoteReference w:id="16"/>
      </w:r>
      <w:r w:rsidRPr="00ED4E1B">
        <w:rPr>
          <w:rFonts w:eastAsia="Book Antiqua" w:cs="Book Antiqua"/>
          <w:szCs w:val="26"/>
        </w:rPr>
        <w:t xml:space="preserve"> NRDC </w:t>
      </w:r>
      <w:r w:rsidRPr="00ED4E1B">
        <w:rPr>
          <w:rFonts w:eastAsia="Book Antiqua" w:cs="Book Antiqua"/>
          <w:szCs w:val="26"/>
        </w:rPr>
        <w:lastRenderedPageBreak/>
        <w:t xml:space="preserve">urges the Commission to expand the eligibility requirements to be as broad as possible, including allowing for MHPs that have already been converted, and informal or unpermitted MHPs to participate, such as “Polanco </w:t>
      </w:r>
      <w:proofErr w:type="spellStart"/>
      <w:r w:rsidRPr="00ED4E1B">
        <w:rPr>
          <w:rFonts w:eastAsia="Book Antiqua" w:cs="Book Antiqua"/>
          <w:szCs w:val="26"/>
        </w:rPr>
        <w:t>Mobilehome</w:t>
      </w:r>
      <w:proofErr w:type="spellEnd"/>
      <w:r w:rsidRPr="00ED4E1B">
        <w:rPr>
          <w:rFonts w:eastAsia="Book Antiqua" w:cs="Book Antiqua"/>
          <w:szCs w:val="26"/>
        </w:rPr>
        <w:t xml:space="preserve"> Parks.”</w:t>
      </w:r>
      <w:r w:rsidRPr="00ED4E1B">
        <w:rPr>
          <w:vertAlign w:val="superscript"/>
        </w:rPr>
        <w:footnoteReference w:id="17"/>
      </w:r>
      <w:r w:rsidRPr="00ED4E1B">
        <w:rPr>
          <w:rFonts w:eastAsia="Book Antiqua" w:cs="Book Antiqua"/>
          <w:szCs w:val="26"/>
        </w:rPr>
        <w:t xml:space="preserve">  NRDC recommends that participating MHPs not be limited to those where the MHP owner owns the land and the coaches. NRDC further urges the Commission to “offer a pathway for residents who are interested in electrification even if the owner of the land is not interested in the program.”</w:t>
      </w:r>
      <w:r w:rsidRPr="00ED4E1B">
        <w:rPr>
          <w:vertAlign w:val="superscript"/>
        </w:rPr>
        <w:footnoteReference w:id="18"/>
      </w:r>
    </w:p>
    <w:p w:rsidRPr="00ED4E1B" w:rsidR="001372AE" w:rsidP="001372AE" w:rsidRDefault="001372AE" w14:paraId="72C5D809" w14:textId="77777777">
      <w:pPr>
        <w:rPr>
          <w:rFonts w:eastAsia="Book Antiqua" w:cs="Book Antiqua"/>
          <w:szCs w:val="26"/>
        </w:rPr>
      </w:pPr>
      <w:r w:rsidRPr="00ED4E1B">
        <w:rPr>
          <w:rFonts w:eastAsia="Book Antiqua" w:cs="Book Antiqua"/>
          <w:szCs w:val="26"/>
        </w:rPr>
        <w:t>SDG&amp;E agrees with the Staff Proposal that MHPs outside of P</w:t>
      </w:r>
      <w:r>
        <w:rPr>
          <w:rFonts w:eastAsia="Book Antiqua" w:cs="Book Antiqua"/>
          <w:szCs w:val="26"/>
        </w:rPr>
        <w:t>ublic</w:t>
      </w:r>
      <w:r w:rsidRPr="00ED4E1B">
        <w:rPr>
          <w:rFonts w:eastAsia="Book Antiqua" w:cs="Book Antiqua"/>
          <w:szCs w:val="26"/>
        </w:rPr>
        <w:t xml:space="preserve"> Safety Power Shutoff (PSPS) areas be prioritized at this time to avoid concerns associated with electric power shutoffs.”</w:t>
      </w:r>
      <w:r w:rsidRPr="00ED4E1B">
        <w:rPr>
          <w:vertAlign w:val="superscript"/>
        </w:rPr>
        <w:footnoteReference w:id="19"/>
      </w:r>
    </w:p>
    <w:p w:rsidRPr="00ED4E1B" w:rsidR="001372AE" w:rsidP="001372AE" w:rsidRDefault="001372AE" w14:paraId="2AFDBD15" w14:textId="77777777">
      <w:pPr>
        <w:rPr>
          <w:rFonts w:eastAsia="Book Antiqua" w:cs="Book Antiqua"/>
          <w:szCs w:val="26"/>
        </w:rPr>
      </w:pPr>
      <w:r w:rsidRPr="00ED4E1B">
        <w:rPr>
          <w:rFonts w:eastAsia="Book Antiqua" w:cs="Book Antiqua"/>
          <w:szCs w:val="26"/>
        </w:rPr>
        <w:t>PG&amp;E and SCE request that SED, who maintains the current MHP UCP prioritization list, also lead the development of a prioritization list for MHPs interested in the Initiative.</w:t>
      </w:r>
      <w:r w:rsidRPr="00ED4E1B">
        <w:rPr>
          <w:vertAlign w:val="superscript"/>
        </w:rPr>
        <w:footnoteReference w:id="20"/>
      </w:r>
      <w:r w:rsidRPr="00ED4E1B">
        <w:rPr>
          <w:rFonts w:eastAsia="Book Antiqua" w:cs="Book Antiqua"/>
          <w:szCs w:val="26"/>
        </w:rPr>
        <w:t xml:space="preserve"> They argue that SED can leverage its current prioritization tools and inspection records, thus allowing the IOUs to continue focusing on the MHP UCP work.</w:t>
      </w:r>
      <w:r w:rsidRPr="00ED4E1B">
        <w:rPr>
          <w:vertAlign w:val="superscript"/>
        </w:rPr>
        <w:footnoteReference w:id="21"/>
      </w:r>
      <w:r w:rsidRPr="00ED4E1B">
        <w:rPr>
          <w:rFonts w:eastAsia="Book Antiqua" w:cs="Book Antiqua"/>
          <w:szCs w:val="26"/>
        </w:rPr>
        <w:t xml:space="preserve"> They also suggest that SED open a new </w:t>
      </w:r>
      <w:r w:rsidRPr="00ED4E1B">
        <w:rPr>
          <w:rFonts w:eastAsia="Book Antiqua" w:cs="Book Antiqua"/>
          <w:szCs w:val="26"/>
        </w:rPr>
        <w:lastRenderedPageBreak/>
        <w:t>application window and screen MHPs based on the selection and prioritization criteria chosen by the Commission.</w:t>
      </w:r>
      <w:r w:rsidRPr="00ED4E1B">
        <w:rPr>
          <w:vertAlign w:val="superscript"/>
        </w:rPr>
        <w:footnoteReference w:id="22"/>
      </w:r>
    </w:p>
    <w:p w:rsidR="001372AE" w:rsidP="001372AE" w:rsidRDefault="001372AE" w14:paraId="634BA7DE" w14:textId="77777777">
      <w:pPr>
        <w:rPr>
          <w:rFonts w:eastAsia="Book Antiqua" w:cs="Book Antiqua"/>
          <w:szCs w:val="26"/>
        </w:rPr>
      </w:pPr>
      <w:r w:rsidRPr="00ED4E1B">
        <w:rPr>
          <w:rFonts w:eastAsia="Book Antiqua" w:cs="Book Antiqua"/>
          <w:szCs w:val="26"/>
        </w:rPr>
        <w:t>PG&amp;E, SDG&amp;E, the Joint CCAs, and WMA express concerns about MHPs where there are manufactured homes in states of disrepair, which would require extensive resources to remediate and fully electrify.</w:t>
      </w:r>
      <w:r w:rsidRPr="00ED4E1B">
        <w:rPr>
          <w:vertAlign w:val="superscript"/>
        </w:rPr>
        <w:footnoteReference w:id="23"/>
      </w:r>
      <w:r w:rsidRPr="00ED4E1B">
        <w:rPr>
          <w:rFonts w:eastAsia="Book Antiqua" w:cs="Book Antiqua"/>
          <w:szCs w:val="26"/>
        </w:rPr>
        <w:t xml:space="preserve"> This concern is discussed in greater detail below in Section 5.4.2.  </w:t>
      </w:r>
    </w:p>
    <w:p w:rsidRPr="00ED4E1B" w:rsidR="001372AE" w:rsidP="001372AE" w:rsidRDefault="001372AE" w14:paraId="6873D64C" w14:textId="77777777">
      <w:pPr>
        <w:pStyle w:val="Heading3"/>
      </w:pPr>
      <w:bookmarkStart w:name="_Toc736135953" w:id="39"/>
      <w:bookmarkStart w:name="_Toc1697327775" w:id="40"/>
      <w:r>
        <w:t>Selection Criteria Discussion</w:t>
      </w:r>
      <w:bookmarkEnd w:id="39"/>
      <w:bookmarkEnd w:id="40"/>
    </w:p>
    <w:p w:rsidR="001372AE" w:rsidP="00045187" w:rsidRDefault="001372AE" w14:paraId="3EF11BF8" w14:textId="77777777">
      <w:r w:rsidRPr="00ED4E1B">
        <w:t xml:space="preserve">While we agree with NRDC that the selected MHPs should be as diverse as possible to ensure broad learnings from the </w:t>
      </w:r>
      <w:r>
        <w:t xml:space="preserve">Electrification </w:t>
      </w:r>
      <w:r w:rsidRPr="00ED4E1B">
        <w:t xml:space="preserve">Initiative, we do not place any additional requirements on the </w:t>
      </w:r>
      <w:r>
        <w:t>minimum</w:t>
      </w:r>
      <w:r w:rsidRPr="00ED4E1B">
        <w:t xml:space="preserve"> criteria as suggested by the Staff Proposal and parties, as we do not want to further narrow the list of eligible MHPs that can </w:t>
      </w:r>
      <w:r>
        <w:t>qualify</w:t>
      </w:r>
      <w:r w:rsidRPr="00ED4E1B">
        <w:t xml:space="preserve">. Ultimately, we direct the IOUs to defer to CEC and EBD Regional Administrators to make the final selection of parks, </w:t>
      </w:r>
      <w:proofErr w:type="gramStart"/>
      <w:r w:rsidRPr="00ED4E1B">
        <w:t>as long as</w:t>
      </w:r>
      <w:proofErr w:type="gramEnd"/>
      <w:r w:rsidRPr="00ED4E1B">
        <w:t xml:space="preserve"> they qualify for the MHP UCP, since the EBD Direct Install program has additional and more specific eligibility and targeting criteria for participation. </w:t>
      </w:r>
    </w:p>
    <w:p w:rsidR="001372AE" w:rsidP="001372AE" w:rsidRDefault="001372AE" w14:paraId="42CAC452" w14:textId="7F055B6F">
      <w:r>
        <w:t>ED staff will share the MHP prioritization list maintained by the CPUC Safety and Enforcement Division with CEC.</w:t>
      </w:r>
      <w:r>
        <w:rPr>
          <w:rStyle w:val="FootnoteReference"/>
        </w:rPr>
        <w:footnoteReference w:id="24"/>
      </w:r>
      <w:r>
        <w:t xml:space="preserve"> </w:t>
      </w:r>
      <w:r w:rsidRPr="00ED4E1B">
        <w:t xml:space="preserve">CEC </w:t>
      </w:r>
      <w:r>
        <w:t xml:space="preserve">and EBD program administrator </w:t>
      </w:r>
      <w:r w:rsidRPr="00ED4E1B">
        <w:t xml:space="preserve">will </w:t>
      </w:r>
      <w:r>
        <w:t>shortlist</w:t>
      </w:r>
      <w:r w:rsidRPr="00ED4E1B">
        <w:t xml:space="preserve"> MHPs </w:t>
      </w:r>
      <w:r>
        <w:t>that</w:t>
      </w:r>
      <w:r w:rsidRPr="00ED4E1B">
        <w:t xml:space="preserve"> align with EBD program requirements.</w:t>
      </w:r>
      <w:r>
        <w:t xml:space="preserve"> We agree with the Staff Proposal recommendations that selected MHPs should not have existing propane distribution systems, given that these MHPs represent </w:t>
      </w:r>
      <w:r>
        <w:lastRenderedPageBreak/>
        <w:t xml:space="preserve">a minority of parks and are often located in </w:t>
      </w:r>
      <w:proofErr w:type="gramStart"/>
      <w:r>
        <w:t>high wildfire</w:t>
      </w:r>
      <w:proofErr w:type="gramEnd"/>
      <w:r>
        <w:t xml:space="preserve"> risk </w:t>
      </w:r>
      <w:proofErr w:type="gramStart"/>
      <w:r>
        <w:t>areas, and</w:t>
      </w:r>
      <w:proofErr w:type="gramEnd"/>
      <w:r>
        <w:t xml:space="preserve"> may therefore experience more frequent electric reliability issues. The selected MHPs must have existing piped natural gas (either master-metered or individually metered), grid-connected electrical systems, and must receive electric service from PG&amp;E, SCE or SDG&amp;E and gas service from PG&amp;E, SDG&amp;E, SoCalGas, or SWG. However, only the electrical system of the MHP needs to be </w:t>
      </w:r>
      <w:proofErr w:type="gramStart"/>
      <w:r>
        <w:t>master-metered</w:t>
      </w:r>
      <w:proofErr w:type="gramEnd"/>
      <w:r>
        <w:t xml:space="preserve"> to qualify. This is because in this Electrification Initiative, only the electrical system would need to be converted through the MHP UCP. The existing gas system, regardless of whether it is master-metered or not, would be required to be abandoned in place, and the gas service provider (i.e. the MHP owner, owner’s agent, the gas IOU, or both, whichever the case may be) would be responsible for removal, permitting, decommissioning, and environmental remediation related to the legacy system.</w:t>
      </w:r>
    </w:p>
    <w:p w:rsidRPr="00ED4E1B" w:rsidR="001372AE" w:rsidP="001372AE" w:rsidRDefault="001372AE" w14:paraId="77DA65B6" w14:textId="32A038C7">
      <w:r>
        <w:t xml:space="preserve">We adopt the following minimum </w:t>
      </w:r>
      <w:r w:rsidRPr="00ED4E1B">
        <w:t xml:space="preserve">criteria for the </w:t>
      </w:r>
      <w:r>
        <w:t>E</w:t>
      </w:r>
      <w:r w:rsidRPr="00ED4E1B">
        <w:t>lectrification Initiative:</w:t>
      </w:r>
    </w:p>
    <w:p w:rsidRPr="00ED4E1B" w:rsidR="001372AE" w:rsidP="001372AE" w:rsidRDefault="001372AE" w14:paraId="107CF4DA" w14:textId="202FFEAC">
      <w:pPr>
        <w:pStyle w:val="ListBullet"/>
        <w:ind w:right="1440"/>
      </w:pPr>
      <w:r w:rsidRPr="00ED4E1B">
        <w:t>MHPs should have</w:t>
      </w:r>
      <w:r>
        <w:t>,</w:t>
      </w:r>
      <w:r w:rsidRPr="00ED4E1B">
        <w:t xml:space="preserve"> at </w:t>
      </w:r>
      <w:r>
        <w:t xml:space="preserve">a </w:t>
      </w:r>
      <w:r w:rsidRPr="00ED4E1B">
        <w:t xml:space="preserve">minimum, an existing master-metered/sub-metered electrical system and </w:t>
      </w:r>
      <w:r>
        <w:t xml:space="preserve">should </w:t>
      </w:r>
      <w:proofErr w:type="gramStart"/>
      <w:r>
        <w:t>be located</w:t>
      </w:r>
      <w:r w:rsidRPr="00ED4E1B">
        <w:t xml:space="preserve"> in</w:t>
      </w:r>
      <w:proofErr w:type="gramEnd"/>
      <w:r w:rsidRPr="00ED4E1B">
        <w:t xml:space="preserve"> one of the large electric IOU’s service </w:t>
      </w:r>
      <w:proofErr w:type="gramStart"/>
      <w:r w:rsidRPr="00ED4E1B">
        <w:t>territory</w:t>
      </w:r>
      <w:proofErr w:type="gramEnd"/>
      <w:r w:rsidRPr="00ED4E1B">
        <w:t>.</w:t>
      </w:r>
    </w:p>
    <w:p w:rsidRPr="00ED4E1B" w:rsidR="001372AE" w:rsidP="001372AE" w:rsidRDefault="001372AE" w14:paraId="24C9FAE1" w14:textId="675B4F40">
      <w:pPr>
        <w:pStyle w:val="ListBullet"/>
        <w:ind w:right="1440"/>
      </w:pPr>
      <w:r w:rsidRPr="00ED4E1B">
        <w:t xml:space="preserve">Any MHP can </w:t>
      </w:r>
      <w:r>
        <w:t>apply</w:t>
      </w:r>
      <w:r w:rsidRPr="00ED4E1B">
        <w:t>, regardless of their enrollment status in the current MHP UCP</w:t>
      </w:r>
      <w:r>
        <w:t>.</w:t>
      </w:r>
    </w:p>
    <w:p w:rsidR="001372AE" w:rsidP="001372AE" w:rsidRDefault="001372AE" w14:paraId="73AA5F9A" w14:textId="493B6830">
      <w:pPr>
        <w:pStyle w:val="ListBullet"/>
        <w:ind w:right="1440"/>
      </w:pPr>
      <w:r w:rsidRPr="00ED4E1B">
        <w:t xml:space="preserve">MHPs </w:t>
      </w:r>
      <w:r>
        <w:t>in</w:t>
      </w:r>
      <w:r w:rsidRPr="00ED4E1B">
        <w:t xml:space="preserve"> both the Category 1 and Category 2 lists</w:t>
      </w:r>
      <w:r w:rsidRPr="001B0388">
        <w:t xml:space="preserve"> </w:t>
      </w:r>
      <w:r>
        <w:t xml:space="preserve">are eligible. </w:t>
      </w:r>
    </w:p>
    <w:p w:rsidR="001372AE" w:rsidP="001372AE" w:rsidRDefault="001372AE" w14:paraId="6A229D4A" w14:textId="77777777">
      <w:pPr>
        <w:pStyle w:val="ListBullet"/>
        <w:ind w:right="1440"/>
      </w:pPr>
      <w:r>
        <w:t>Applicant</w:t>
      </w:r>
      <w:r w:rsidRPr="00ED4E1B">
        <w:t xml:space="preserve"> MHPs need not be limited to those where the MHP owner owns </w:t>
      </w:r>
      <w:r>
        <w:t xml:space="preserve">both </w:t>
      </w:r>
      <w:r w:rsidRPr="00ED4E1B">
        <w:t>the land and the coaches</w:t>
      </w:r>
      <w:r>
        <w:t>.</w:t>
      </w:r>
    </w:p>
    <w:p w:rsidRPr="00ED4E1B" w:rsidR="001372AE" w:rsidP="001372AE" w:rsidRDefault="001372AE" w14:paraId="0A7F129E" w14:textId="391CF2BA">
      <w:pPr>
        <w:pStyle w:val="ListBullet"/>
        <w:ind w:right="1440"/>
      </w:pPr>
      <w:r w:rsidRPr="00ED4E1B">
        <w:t xml:space="preserve">If an MHP has mobile or manufactured homes that decide to use unregulated fuels like propane </w:t>
      </w:r>
      <w:r>
        <w:t xml:space="preserve">or </w:t>
      </w:r>
      <w:r w:rsidRPr="00ED4E1B">
        <w:t xml:space="preserve">wood in lieu of receiving in-home electrification measures, this </w:t>
      </w:r>
      <w:r>
        <w:t>need</w:t>
      </w:r>
      <w:r w:rsidRPr="00ED4E1B">
        <w:t xml:space="preserve"> not preclude the MHP from </w:t>
      </w:r>
      <w:r>
        <w:t>applying for</w:t>
      </w:r>
      <w:r w:rsidRPr="00ED4E1B">
        <w:t xml:space="preserve"> the </w:t>
      </w:r>
      <w:r>
        <w:t xml:space="preserve">Electrification </w:t>
      </w:r>
      <w:r w:rsidRPr="00ED4E1B">
        <w:lastRenderedPageBreak/>
        <w:t>Initiative.</w:t>
      </w:r>
      <w:r>
        <w:rPr>
          <w:rStyle w:val="FootnoteReference"/>
        </w:rPr>
        <w:footnoteReference w:id="25"/>
      </w:r>
      <w:r>
        <w:t>MHPs should meet the EBD program requirements.</w:t>
      </w:r>
    </w:p>
    <w:p w:rsidR="001372AE" w:rsidP="00045187" w:rsidRDefault="001372AE" w14:paraId="47F9F9DC" w14:textId="77777777">
      <w:pPr>
        <w:pStyle w:val="ListBullet"/>
        <w:numPr>
          <w:ilvl w:val="0"/>
          <w:numId w:val="0"/>
        </w:numPr>
        <w:ind w:right="1440"/>
      </w:pPr>
      <w:r>
        <w:t>We adopt the following participation requirements:</w:t>
      </w:r>
    </w:p>
    <w:p w:rsidR="001372AE" w:rsidP="001372AE" w:rsidRDefault="001372AE" w14:paraId="1F9810E2" w14:textId="465E18F4">
      <w:pPr>
        <w:pStyle w:val="ListBullet"/>
        <w:ind w:right="1440"/>
      </w:pPr>
      <w:r w:rsidRPr="00ED4E1B">
        <w:t>MHPs participating in th</w:t>
      </w:r>
      <w:r>
        <w:t>e</w:t>
      </w:r>
      <w:r w:rsidRPr="00ED4E1B">
        <w:t xml:space="preserve"> </w:t>
      </w:r>
      <w:r>
        <w:t xml:space="preserve">Electrification </w:t>
      </w:r>
      <w:r w:rsidRPr="00ED4E1B">
        <w:t xml:space="preserve">Initiative must </w:t>
      </w:r>
      <w:r>
        <w:t xml:space="preserve">agree to </w:t>
      </w:r>
      <w:r w:rsidRPr="00ED4E1B">
        <w:t>be fully electrified</w:t>
      </w:r>
      <w:r>
        <w:t xml:space="preserve"> for 100 percent of </w:t>
      </w:r>
      <w:proofErr w:type="spellStart"/>
      <w:proofErr w:type="gramStart"/>
      <w:r>
        <w:t>mobilehomes</w:t>
      </w:r>
      <w:proofErr w:type="spellEnd"/>
      <w:proofErr w:type="gramEnd"/>
      <w:r>
        <w:t xml:space="preserve"> within the park</w:t>
      </w:r>
      <w:r w:rsidRPr="00ED4E1B">
        <w:t xml:space="preserve">. This means </w:t>
      </w:r>
      <w:r>
        <w:t xml:space="preserve">MHP owner(s) and/or MHP residents must agree to </w:t>
      </w:r>
      <w:r w:rsidRPr="00ED4E1B">
        <w:t xml:space="preserve">not </w:t>
      </w:r>
      <w:r>
        <w:t xml:space="preserve">have </w:t>
      </w:r>
      <w:r w:rsidRPr="00ED4E1B">
        <w:t xml:space="preserve">any new natural gas infrastructure </w:t>
      </w:r>
      <w:proofErr w:type="gramStart"/>
      <w:r w:rsidRPr="00ED4E1B">
        <w:t>installed, and</w:t>
      </w:r>
      <w:proofErr w:type="gramEnd"/>
      <w:r w:rsidRPr="00ED4E1B">
        <w:t xml:space="preserve"> not </w:t>
      </w:r>
      <w:r>
        <w:t>require</w:t>
      </w:r>
      <w:r w:rsidRPr="00ED4E1B">
        <w:t xml:space="preserve"> </w:t>
      </w:r>
      <w:r>
        <w:t xml:space="preserve">piped </w:t>
      </w:r>
      <w:r w:rsidRPr="00ED4E1B">
        <w:t xml:space="preserve">natural gas for </w:t>
      </w:r>
      <w:r>
        <w:t xml:space="preserve">any residential end uses including </w:t>
      </w:r>
      <w:r w:rsidRPr="00ED4E1B">
        <w:t>water heating, space heating, cooking, and clothes drying.</w:t>
      </w:r>
    </w:p>
    <w:p w:rsidR="001372AE" w:rsidP="001372AE" w:rsidRDefault="001372AE" w14:paraId="27CC7A88" w14:textId="65A3FF11">
      <w:pPr>
        <w:pStyle w:val="ListBullet"/>
        <w:ind w:right="1440"/>
      </w:pPr>
    </w:p>
    <w:p w:rsidR="001372AE" w:rsidP="001372AE" w:rsidRDefault="001372AE" w14:paraId="6A85715F" w14:textId="77777777">
      <w:pPr>
        <w:pStyle w:val="ListBullet"/>
        <w:ind w:right="1440"/>
      </w:pPr>
      <w:r>
        <w:t xml:space="preserve">The MHP owner(s) and/or the owner(s) of the land on which the </w:t>
      </w:r>
      <w:proofErr w:type="spellStart"/>
      <w:proofErr w:type="gramStart"/>
      <w:r>
        <w:t>mobilehome</w:t>
      </w:r>
      <w:proofErr w:type="spellEnd"/>
      <w:proofErr w:type="gramEnd"/>
      <w:r>
        <w:t xml:space="preserve">(s) are installed must agree to file a restrictive covenant with the local Authority Having Jurisdiction (AHJ) restricting the land from building new gas infrastructure for at least 20 years from the date that the existing gas system is fully decommissioned. </w:t>
      </w:r>
    </w:p>
    <w:p w:rsidRPr="00045187" w:rsidR="001372AE" w:rsidP="001372AE" w:rsidRDefault="001372AE" w14:paraId="1C5B2BAC" w14:textId="77777777">
      <w:pPr>
        <w:pStyle w:val="ListBullet"/>
        <w:ind w:right="1440"/>
      </w:pPr>
      <w:r>
        <w:rPr>
          <w:rFonts w:eastAsia="Book Antiqua" w:cs="Book Antiqua"/>
        </w:rPr>
        <w:t>The MHP owner and/or the gas customer of record must submit a copy of the recorded deed restriction to the gas IOU in whose service territory the MHP is located prior to the start of any site modifications to implement the Electrification Initiative.</w:t>
      </w:r>
    </w:p>
    <w:p w:rsidRPr="00ED4E1B" w:rsidR="001372AE" w:rsidP="00045187" w:rsidRDefault="001372AE" w14:paraId="70A71702" w14:textId="77777777">
      <w:pPr>
        <w:pStyle w:val="Standard"/>
      </w:pPr>
      <w:r>
        <w:t>Finally, we establish that r</w:t>
      </w:r>
      <w:r w:rsidRPr="00ED4E1B">
        <w:t xml:space="preserve">egardless of where </w:t>
      </w:r>
      <w:r>
        <w:t xml:space="preserve">the applicant </w:t>
      </w:r>
      <w:r w:rsidRPr="00ED4E1B">
        <w:t xml:space="preserve">MHPs fall on the existing priority list for the MHP UCP, once </w:t>
      </w:r>
      <w:r>
        <w:t>selected</w:t>
      </w:r>
      <w:r w:rsidRPr="00ED4E1B">
        <w:t xml:space="preserve"> for the </w:t>
      </w:r>
      <w:r>
        <w:t xml:space="preserve">Electrification </w:t>
      </w:r>
      <w:r w:rsidRPr="00ED4E1B">
        <w:t xml:space="preserve">Initiative, they should be brought to the </w:t>
      </w:r>
      <w:r>
        <w:t xml:space="preserve">very </w:t>
      </w:r>
      <w:r w:rsidRPr="00ED4E1B">
        <w:t xml:space="preserve">top of the list to ensure timely </w:t>
      </w:r>
      <w:r>
        <w:t>implementation of the Electrification Initiative.</w:t>
      </w:r>
    </w:p>
    <w:p w:rsidRPr="003A7E24" w:rsidR="001372AE" w:rsidP="001372AE" w:rsidRDefault="001372AE" w14:paraId="60D802DD" w14:textId="1C89EF09">
      <w:r w:rsidRPr="00ED4E1B">
        <w:t xml:space="preserve">Each of the large electric </w:t>
      </w:r>
      <w:r>
        <w:t xml:space="preserve">and gas </w:t>
      </w:r>
      <w:r w:rsidRPr="00ED4E1B">
        <w:t xml:space="preserve">IOUs shall </w:t>
      </w:r>
      <w:r>
        <w:t xml:space="preserve">include the list </w:t>
      </w:r>
      <w:proofErr w:type="gramStart"/>
      <w:r>
        <w:t xml:space="preserve">of </w:t>
      </w:r>
      <w:r w:rsidRPr="00ED4E1B">
        <w:t xml:space="preserve"> MHPs</w:t>
      </w:r>
      <w:proofErr w:type="gramEnd"/>
      <w:r w:rsidRPr="00ED4E1B">
        <w:t xml:space="preserve">  </w:t>
      </w:r>
      <w:r>
        <w:t>selected for the E</w:t>
      </w:r>
      <w:r w:rsidRPr="00ED4E1B">
        <w:t>lectrification Initiative</w:t>
      </w:r>
      <w:r>
        <w:t xml:space="preserve"> in their February 1 annual report to the Commission</w:t>
      </w:r>
      <w:r w:rsidRPr="00ED4E1B">
        <w:t xml:space="preserve">. </w:t>
      </w:r>
    </w:p>
    <w:p w:rsidRPr="00ED4E1B" w:rsidR="001372AE" w:rsidP="001372AE" w:rsidRDefault="001372AE" w14:paraId="59F2C322" w14:textId="77777777">
      <w:pPr>
        <w:pStyle w:val="Heading2"/>
      </w:pPr>
      <w:bookmarkStart w:name="_Toc204269590" w:id="41"/>
      <w:bookmarkStart w:name="_Toc795470056" w:id="42"/>
      <w:bookmarkStart w:name="_Toc2114180247" w:id="43"/>
      <w:r w:rsidRPr="00E57EB1">
        <w:lastRenderedPageBreak/>
        <w:t>Outreach</w:t>
      </w:r>
      <w:r w:rsidRPr="00ED4E1B">
        <w:t xml:space="preserve"> and Education</w:t>
      </w:r>
      <w:bookmarkEnd w:id="41"/>
      <w:bookmarkEnd w:id="42"/>
      <w:bookmarkEnd w:id="43"/>
    </w:p>
    <w:p w:rsidRPr="00ED4E1B" w:rsidR="001372AE" w:rsidP="001372AE" w:rsidRDefault="001372AE" w14:paraId="5134C9F0" w14:textId="77777777">
      <w:pPr>
        <w:pStyle w:val="Heading3"/>
      </w:pPr>
      <w:bookmarkStart w:name="_Toc204269591" w:id="44"/>
      <w:bookmarkStart w:name="_Toc159398224" w:id="45"/>
      <w:bookmarkStart w:name="_Toc1463401618" w:id="46"/>
      <w:r>
        <w:t xml:space="preserve">Staff </w:t>
      </w:r>
      <w:r w:rsidRPr="00ED4E1B">
        <w:t>Proposal</w:t>
      </w:r>
      <w:bookmarkEnd w:id="44"/>
      <w:bookmarkEnd w:id="45"/>
      <w:bookmarkEnd w:id="46"/>
    </w:p>
    <w:p w:rsidRPr="00ED4E1B" w:rsidR="001372AE" w:rsidP="001372AE" w:rsidRDefault="001372AE" w14:paraId="7133ED2D" w14:textId="77777777">
      <w:pPr>
        <w:rPr>
          <w:rFonts w:eastAsia="Book Antiqua" w:cs="Book Antiqua"/>
          <w:szCs w:val="26"/>
        </w:rPr>
      </w:pPr>
      <w:r w:rsidRPr="00ED4E1B">
        <w:rPr>
          <w:rFonts w:eastAsia="Book Antiqua" w:cs="Book Antiqua"/>
          <w:szCs w:val="26"/>
        </w:rPr>
        <w:t xml:space="preserve">The Staff Proposal does not specify how IOUs should conduct outreach and education related to this </w:t>
      </w:r>
      <w:r>
        <w:rPr>
          <w:rFonts w:eastAsia="Book Antiqua" w:cs="Book Antiqua"/>
          <w:szCs w:val="26"/>
        </w:rPr>
        <w:t>Electrification I</w:t>
      </w:r>
      <w:r w:rsidRPr="00ED4E1B">
        <w:rPr>
          <w:rFonts w:eastAsia="Book Antiqua" w:cs="Book Antiqua"/>
          <w:szCs w:val="26"/>
        </w:rPr>
        <w:t>nitiative beyond recommending that they partner with “other institutions, such as POUs, community choice aggregators, or local governments, who express interest in electrifying MHPs in their respective service areas.”</w:t>
      </w:r>
      <w:r w:rsidRPr="00ED4E1B">
        <w:rPr>
          <w:vertAlign w:val="superscript"/>
        </w:rPr>
        <w:footnoteReference w:id="26"/>
      </w:r>
    </w:p>
    <w:p w:rsidRPr="00ED4E1B" w:rsidR="001372AE" w:rsidP="001372AE" w:rsidRDefault="001372AE" w14:paraId="701ED440" w14:textId="77777777">
      <w:pPr>
        <w:pStyle w:val="Heading3"/>
      </w:pPr>
      <w:bookmarkStart w:name="_Toc204269592" w:id="47"/>
      <w:bookmarkStart w:name="_Toc122227266" w:id="48"/>
      <w:bookmarkStart w:name="_Toc2027678849" w:id="49"/>
      <w:r w:rsidRPr="00ED4E1B">
        <w:t xml:space="preserve">Party </w:t>
      </w:r>
      <w:r w:rsidRPr="00E57EB1">
        <w:t>Comments</w:t>
      </w:r>
      <w:bookmarkEnd w:id="47"/>
      <w:bookmarkEnd w:id="48"/>
      <w:bookmarkEnd w:id="49"/>
    </w:p>
    <w:p w:rsidRPr="00ED4E1B" w:rsidR="001372AE" w:rsidP="001372AE" w:rsidRDefault="001372AE" w14:paraId="69C193A8" w14:textId="77777777">
      <w:pPr>
        <w:rPr>
          <w:rFonts w:eastAsia="Book Antiqua" w:cs="Book Antiqua"/>
          <w:szCs w:val="26"/>
        </w:rPr>
      </w:pPr>
      <w:r w:rsidRPr="00ED4E1B">
        <w:rPr>
          <w:rFonts w:eastAsia="Book Antiqua" w:cs="Book Antiqua"/>
          <w:szCs w:val="26"/>
        </w:rPr>
        <w:t xml:space="preserve">NRDC </w:t>
      </w:r>
      <w:proofErr w:type="gramStart"/>
      <w:r w:rsidRPr="00ED4E1B">
        <w:rPr>
          <w:rFonts w:eastAsia="Book Antiqua" w:cs="Book Antiqua"/>
          <w:szCs w:val="26"/>
        </w:rPr>
        <w:t>in particular stressed</w:t>
      </w:r>
      <w:proofErr w:type="gramEnd"/>
      <w:r w:rsidRPr="00ED4E1B">
        <w:rPr>
          <w:rFonts w:eastAsia="Book Antiqua" w:cs="Book Antiqua"/>
          <w:szCs w:val="26"/>
        </w:rPr>
        <w:t xml:space="preserve"> the need to engage in thoughtful outreach efforts to MHPs that are identified and selected for the </w:t>
      </w:r>
      <w:r>
        <w:rPr>
          <w:rFonts w:eastAsia="Book Antiqua" w:cs="Book Antiqua"/>
          <w:szCs w:val="26"/>
        </w:rPr>
        <w:t>E</w:t>
      </w:r>
      <w:r w:rsidRPr="00ED4E1B">
        <w:rPr>
          <w:rFonts w:eastAsia="Book Antiqua" w:cs="Book Antiqua"/>
          <w:szCs w:val="26"/>
        </w:rPr>
        <w:t>lectrification Initiative. NRDC highlighted community meetings and communicating an established timeline of events. According to NRDC, public meetings would allow MHP residents to get information about the program, encourage rapport among participants, and build trust and transparency with tenants.</w:t>
      </w:r>
      <w:r w:rsidRPr="00ED4E1B">
        <w:rPr>
          <w:vertAlign w:val="superscript"/>
        </w:rPr>
        <w:footnoteReference w:id="27"/>
      </w:r>
    </w:p>
    <w:p w:rsidRPr="00ED4E1B" w:rsidR="001372AE" w:rsidP="001372AE" w:rsidRDefault="001372AE" w14:paraId="424A9056" w14:textId="77777777">
      <w:pPr>
        <w:ind w:firstLine="540"/>
        <w:rPr>
          <w:rFonts w:eastAsia="Book Antiqua" w:cs="Book Antiqua"/>
          <w:szCs w:val="26"/>
        </w:rPr>
      </w:pPr>
      <w:r w:rsidRPr="00ED4E1B">
        <w:rPr>
          <w:rFonts w:eastAsia="Book Antiqua" w:cs="Book Antiqua"/>
          <w:szCs w:val="26"/>
        </w:rPr>
        <w:t xml:space="preserve">Regarding education, NRDC’s comments suggested that the </w:t>
      </w:r>
      <w:r>
        <w:rPr>
          <w:rFonts w:eastAsia="Book Antiqua" w:cs="Book Antiqua"/>
          <w:szCs w:val="26"/>
        </w:rPr>
        <w:t>E</w:t>
      </w:r>
      <w:r w:rsidRPr="00ED4E1B">
        <w:rPr>
          <w:rFonts w:eastAsia="Book Antiqua" w:cs="Book Antiqua"/>
          <w:szCs w:val="26"/>
        </w:rPr>
        <w:t xml:space="preserve">lectrification Initiative must offer clear, concise, readily accessible, and digestible education to be successful. NRDC’s comments mentioned that participants in the </w:t>
      </w:r>
      <w:r>
        <w:rPr>
          <w:rFonts w:eastAsia="Book Antiqua" w:cs="Book Antiqua"/>
          <w:szCs w:val="26"/>
        </w:rPr>
        <w:t xml:space="preserve">Electrification </w:t>
      </w:r>
      <w:r w:rsidRPr="00ED4E1B">
        <w:rPr>
          <w:rFonts w:eastAsia="Book Antiqua" w:cs="Book Antiqua"/>
          <w:szCs w:val="26"/>
        </w:rPr>
        <w:t>Initiative should receive written, virtual, and in-person education about the impacts of gas usage, the benefits of electrification, and a timeline for the conversion process. In addition, education should be provided in the languages of the participants commonly spoken within the identified MHP community. Education sessions should take place at different hours and days to allow for attendance flexibility.</w:t>
      </w:r>
      <w:r w:rsidRPr="00ED4E1B">
        <w:rPr>
          <w:vertAlign w:val="superscript"/>
        </w:rPr>
        <w:footnoteReference w:id="28"/>
      </w:r>
    </w:p>
    <w:p w:rsidRPr="00ED4E1B" w:rsidR="001372AE" w:rsidP="001372AE" w:rsidRDefault="001372AE" w14:paraId="41901A32" w14:textId="77777777">
      <w:pPr>
        <w:ind w:firstLine="540"/>
        <w:rPr>
          <w:rFonts w:eastAsia="Book Antiqua" w:cs="Book Antiqua"/>
          <w:szCs w:val="26"/>
        </w:rPr>
      </w:pPr>
      <w:r w:rsidRPr="00ED4E1B">
        <w:rPr>
          <w:rFonts w:eastAsia="Book Antiqua" w:cs="Book Antiqua"/>
          <w:szCs w:val="26"/>
        </w:rPr>
        <w:lastRenderedPageBreak/>
        <w:t xml:space="preserve">NRDC’s comments also emphasized the need for a community energy navigator (CEN) with expertise in </w:t>
      </w:r>
      <w:proofErr w:type="spellStart"/>
      <w:r w:rsidRPr="00ED4E1B">
        <w:rPr>
          <w:rFonts w:eastAsia="Book Antiqua" w:cs="Book Antiqua"/>
          <w:szCs w:val="26"/>
        </w:rPr>
        <w:t>mobilehomes</w:t>
      </w:r>
      <w:proofErr w:type="spellEnd"/>
      <w:r w:rsidRPr="00ED4E1B">
        <w:rPr>
          <w:rFonts w:eastAsia="Book Antiqua" w:cs="Book Antiqua"/>
          <w:szCs w:val="26"/>
        </w:rPr>
        <w:t>.</w:t>
      </w:r>
      <w:r w:rsidRPr="00ED4E1B">
        <w:rPr>
          <w:rFonts w:eastAsia="Book Antiqua" w:cs="Book Antiqua"/>
          <w:szCs w:val="26"/>
          <w:vertAlign w:val="superscript"/>
        </w:rPr>
        <w:footnoteReference w:id="29"/>
      </w:r>
      <w:r w:rsidRPr="00ED4E1B">
        <w:rPr>
          <w:rFonts w:eastAsia="Book Antiqua" w:cs="Book Antiqua"/>
          <w:szCs w:val="26"/>
        </w:rPr>
        <w:t xml:space="preserve"> According to NRDC, sufficient funding should be provided for a CEN to act as a trusted mediator for the MHP communities selected for the </w:t>
      </w:r>
      <w:r>
        <w:rPr>
          <w:rFonts w:eastAsia="Book Antiqua" w:cs="Book Antiqua"/>
          <w:szCs w:val="26"/>
        </w:rPr>
        <w:t xml:space="preserve">Electrification </w:t>
      </w:r>
      <w:r w:rsidRPr="00ED4E1B">
        <w:rPr>
          <w:rFonts w:eastAsia="Book Antiqua" w:cs="Book Antiqua"/>
          <w:szCs w:val="26"/>
        </w:rPr>
        <w:t>Initiative.</w:t>
      </w:r>
    </w:p>
    <w:p w:rsidR="001372AE" w:rsidP="001372AE" w:rsidRDefault="001372AE" w14:paraId="5049B9AB" w14:textId="77777777">
      <w:pPr>
        <w:ind w:firstLine="540"/>
        <w:rPr>
          <w:rFonts w:eastAsia="Book Antiqua" w:cs="Book Antiqua"/>
          <w:szCs w:val="26"/>
        </w:rPr>
      </w:pPr>
      <w:r w:rsidRPr="00ED4E1B">
        <w:rPr>
          <w:rFonts w:eastAsia="Book Antiqua" w:cs="Book Antiqua"/>
          <w:szCs w:val="26"/>
        </w:rPr>
        <w:t>SCE requests that the IOUs be “authorized to use Initiative funding to engage Community Based Organizations (CBOs) to develop marketing materials and conduct targeted outreach to interested MHP communities, including MHP owners/tenants on pilot designs, implementation, and after-conversion electrification education.”</w:t>
      </w:r>
      <w:r w:rsidRPr="00ED4E1B">
        <w:rPr>
          <w:rFonts w:eastAsia="Book Antiqua" w:cs="Book Antiqua"/>
          <w:szCs w:val="26"/>
          <w:vertAlign w:val="superscript"/>
        </w:rPr>
        <w:footnoteReference w:id="30"/>
      </w:r>
    </w:p>
    <w:p w:rsidRPr="00ED4E1B" w:rsidR="001372AE" w:rsidP="001372AE" w:rsidRDefault="001372AE" w14:paraId="3764B63B" w14:textId="77777777">
      <w:pPr>
        <w:pStyle w:val="Heading3"/>
      </w:pPr>
      <w:bookmarkStart w:name="_Toc1631965305" w:id="50"/>
      <w:bookmarkStart w:name="_Toc1562249049" w:id="51"/>
      <w:r>
        <w:t xml:space="preserve">Outreach </w:t>
      </w:r>
      <w:r w:rsidRPr="00E57EB1">
        <w:t>and</w:t>
      </w:r>
      <w:r>
        <w:t xml:space="preserve"> Education Discussion</w:t>
      </w:r>
      <w:bookmarkEnd w:id="50"/>
      <w:bookmarkEnd w:id="51"/>
    </w:p>
    <w:p w:rsidRPr="00A14DDA" w:rsidR="001372AE" w:rsidP="001372AE" w:rsidRDefault="001372AE" w14:paraId="2DAFB87F" w14:textId="6E376B4B">
      <w:r w:rsidRPr="00ED4E1B">
        <w:t xml:space="preserve">The IOUs shall work with the CEC staff and EBD program administrators to coordinate outreach to potential candidate parks to inform </w:t>
      </w:r>
      <w:r>
        <w:t>MHP owners</w:t>
      </w:r>
      <w:r w:rsidRPr="00ED4E1B">
        <w:t xml:space="preserve"> about th</w:t>
      </w:r>
      <w:r>
        <w:t>e</w:t>
      </w:r>
      <w:r w:rsidRPr="00ED4E1B">
        <w:t xml:space="preserve"> </w:t>
      </w:r>
      <w:r>
        <w:t>Electrification</w:t>
      </w:r>
      <w:r w:rsidRPr="00ED4E1B">
        <w:t xml:space="preserve"> Initiative. NRDC suggests robust, concise, accessible, and digestible education for participants in response to the Staff Proposal’s initial proposal. We agree with NRDC and believe that the EBD program will provide appropriate outreach to MHPs. The EBD program has selected three regional program administrators, with a requirement that they partner with CBOs “to develop or customize outreach materials and conduct culturally appropriate outreach and engagement in participating communities.”</w:t>
      </w:r>
      <w:r w:rsidRPr="00ED4E1B">
        <w:rPr>
          <w:vertAlign w:val="superscript"/>
        </w:rPr>
        <w:footnoteReference w:id="31"/>
      </w:r>
      <w:r w:rsidRPr="00ED4E1B">
        <w:t xml:space="preserve"> We believe this aligns with the Staff Proposal’s recommendation to partner with third-party institutions </w:t>
      </w:r>
      <w:r w:rsidRPr="00ED4E1B">
        <w:lastRenderedPageBreak/>
        <w:t xml:space="preserve">to ensure robust outreach. Ultimately, we defer to the CEC EBD program to lead outreach and engagement </w:t>
      </w:r>
      <w:r>
        <w:t>with MHP owners and residents</w:t>
      </w:r>
      <w:r w:rsidRPr="00ED4E1B">
        <w:t xml:space="preserve">. The large electric </w:t>
      </w:r>
      <w:r>
        <w:t xml:space="preserve">and gas </w:t>
      </w:r>
      <w:r w:rsidRPr="00ED4E1B">
        <w:t xml:space="preserve">IOUs shall continue to maintain regular communication with the MHPs </w:t>
      </w:r>
      <w:proofErr w:type="gramStart"/>
      <w:r>
        <w:t>similar to</w:t>
      </w:r>
      <w:proofErr w:type="gramEnd"/>
      <w:r>
        <w:t xml:space="preserve"> what is done for </w:t>
      </w:r>
      <w:r w:rsidRPr="00ED4E1B">
        <w:t>MHP UCP</w:t>
      </w:r>
      <w:r>
        <w:t>.</w:t>
      </w:r>
    </w:p>
    <w:p w:rsidRPr="00ED4E1B" w:rsidR="001372AE" w:rsidP="001372AE" w:rsidRDefault="001372AE" w14:paraId="4945A96B" w14:textId="77777777">
      <w:pPr>
        <w:pStyle w:val="Heading2"/>
      </w:pPr>
      <w:bookmarkStart w:name="_Toc204269593" w:id="52"/>
      <w:bookmarkStart w:name="_Toc1730910628" w:id="53"/>
      <w:bookmarkStart w:name="_Toc254414353" w:id="54"/>
      <w:r w:rsidRPr="00ED4E1B">
        <w:t xml:space="preserve">Installation and </w:t>
      </w:r>
      <w:r w:rsidRPr="00E57EB1">
        <w:t>Remediation</w:t>
      </w:r>
      <w:bookmarkEnd w:id="52"/>
      <w:bookmarkEnd w:id="53"/>
      <w:bookmarkEnd w:id="54"/>
    </w:p>
    <w:p w:rsidRPr="00ED4E1B" w:rsidR="001372AE" w:rsidP="001372AE" w:rsidRDefault="001372AE" w14:paraId="10813A14" w14:textId="77777777">
      <w:pPr>
        <w:pStyle w:val="Heading3"/>
      </w:pPr>
      <w:bookmarkStart w:name="_Toc204269594" w:id="55"/>
      <w:bookmarkStart w:name="_Toc415524512" w:id="56"/>
      <w:bookmarkStart w:name="_Toc1408306570" w:id="57"/>
      <w:r w:rsidRPr="00ED4E1B">
        <w:t xml:space="preserve">Staff </w:t>
      </w:r>
      <w:r w:rsidRPr="00E57EB1">
        <w:t>Proposal</w:t>
      </w:r>
      <w:bookmarkEnd w:id="55"/>
      <w:bookmarkEnd w:id="56"/>
      <w:bookmarkEnd w:id="57"/>
    </w:p>
    <w:p w:rsidRPr="00ED4E1B" w:rsidR="001372AE" w:rsidP="001372AE" w:rsidRDefault="001372AE" w14:paraId="489DBA53" w14:textId="77777777">
      <w:pPr>
        <w:ind w:firstLine="540"/>
        <w:rPr>
          <w:rFonts w:eastAsia="Book Antiqua" w:cs="Book Antiqua"/>
          <w:szCs w:val="26"/>
        </w:rPr>
      </w:pPr>
      <w:r w:rsidRPr="00ED4E1B">
        <w:rPr>
          <w:rFonts w:eastAsia="Book Antiqua" w:cs="Book Antiqua"/>
          <w:szCs w:val="26"/>
        </w:rPr>
        <w:t>The Staff Proposal recommends that all MHP lots and common areas receive:</w:t>
      </w:r>
    </w:p>
    <w:p w:rsidRPr="00ED4E1B" w:rsidR="001372AE" w:rsidP="001372AE" w:rsidRDefault="001372AE" w14:paraId="6601F0AB" w14:textId="77777777">
      <w:pPr>
        <w:pStyle w:val="ListBullet"/>
        <w:ind w:right="1440"/>
      </w:pPr>
      <w:r w:rsidRPr="00ED4E1B">
        <w:t xml:space="preserve">Updated, 200-amp TTM and BTM electrical infrastructure, as part of the MHP </w:t>
      </w:r>
      <w:proofErr w:type="gramStart"/>
      <w:r w:rsidRPr="00ED4E1B">
        <w:t>UCP;</w:t>
      </w:r>
      <w:proofErr w:type="gramEnd"/>
    </w:p>
    <w:p w:rsidRPr="00ED4E1B" w:rsidR="001372AE" w:rsidP="001372AE" w:rsidRDefault="001372AE" w14:paraId="737ACD40" w14:textId="77777777">
      <w:pPr>
        <w:pStyle w:val="ListBullet"/>
        <w:ind w:right="1440"/>
      </w:pPr>
      <w:r w:rsidRPr="00ED4E1B">
        <w:t xml:space="preserve">No new natural gas infrastructure (all existing gas lines should be capped. For </w:t>
      </w:r>
      <w:proofErr w:type="spellStart"/>
      <w:r>
        <w:t>mobilehomes</w:t>
      </w:r>
      <w:proofErr w:type="spellEnd"/>
      <w:r>
        <w:t xml:space="preserve"> that use propane</w:t>
      </w:r>
      <w:r w:rsidRPr="00ED4E1B">
        <w:t xml:space="preserve">, all measures should be taken to remove the tanks and safely retire the old </w:t>
      </w:r>
      <w:r>
        <w:t xml:space="preserve">propane </w:t>
      </w:r>
      <w:r w:rsidRPr="00ED4E1B">
        <w:t>system</w:t>
      </w:r>
      <w:proofErr w:type="gramStart"/>
      <w:r w:rsidRPr="00ED4E1B">
        <w:t>);</w:t>
      </w:r>
      <w:proofErr w:type="gramEnd"/>
    </w:p>
    <w:p w:rsidRPr="00ED4E1B" w:rsidR="001372AE" w:rsidP="001372AE" w:rsidRDefault="001372AE" w14:paraId="4920F720" w14:textId="77777777">
      <w:pPr>
        <w:pStyle w:val="ListBullet"/>
        <w:ind w:right="1440"/>
      </w:pPr>
      <w:r w:rsidRPr="00ED4E1B">
        <w:t>Installation of new, efficient electric appliances to replace existing gas and/or propane appliances (e.g., heat pump space conditioning system, heat pump water heater, heat pump clothes dryer, and induction ranges</w:t>
      </w:r>
      <w:proofErr w:type="gramStart"/>
      <w:r w:rsidRPr="00ED4E1B">
        <w:t>);</w:t>
      </w:r>
      <w:proofErr w:type="gramEnd"/>
      <w:r w:rsidRPr="00ED4E1B">
        <w:t xml:space="preserve"> </w:t>
      </w:r>
    </w:p>
    <w:p w:rsidRPr="00ED4E1B" w:rsidR="001372AE" w:rsidP="001372AE" w:rsidRDefault="001372AE" w14:paraId="10B56F9A" w14:textId="77777777">
      <w:pPr>
        <w:pStyle w:val="ListBullet"/>
        <w:ind w:right="1440"/>
      </w:pPr>
      <w:r w:rsidRPr="00ED4E1B">
        <w:t>In-home remediation measures to accommodate the electrification measures listed above, including rewiring and electrical work; and</w:t>
      </w:r>
    </w:p>
    <w:p w:rsidRPr="00ED4E1B" w:rsidR="001372AE" w:rsidP="001372AE" w:rsidRDefault="001372AE" w14:paraId="1B872CC8" w14:textId="77777777">
      <w:pPr>
        <w:pStyle w:val="ListBullet"/>
        <w:ind w:right="1440"/>
      </w:pPr>
      <w:r w:rsidRPr="00ED4E1B">
        <w:t>Technologies that allow customers to smartly manage their loads, such as smart circuit sharing devices.</w:t>
      </w:r>
      <w:r w:rsidRPr="00ED4E1B">
        <w:rPr>
          <w:vertAlign w:val="superscript"/>
        </w:rPr>
        <w:footnoteReference w:id="32"/>
      </w:r>
    </w:p>
    <w:p w:rsidRPr="00ED4E1B" w:rsidR="001372AE" w:rsidP="001372AE" w:rsidRDefault="001372AE" w14:paraId="2BCDB339" w14:textId="77777777">
      <w:pPr>
        <w:rPr>
          <w:rFonts w:eastAsia="Book Antiqua" w:cs="Book Antiqua"/>
          <w:szCs w:val="26"/>
        </w:rPr>
      </w:pPr>
      <w:r w:rsidRPr="00ED4E1B">
        <w:rPr>
          <w:rFonts w:eastAsia="Book Antiqua" w:cs="Book Antiqua"/>
          <w:szCs w:val="26"/>
        </w:rPr>
        <w:t xml:space="preserve">The Staff Proposal recommends that the Initiative install 200-amp services to common </w:t>
      </w:r>
      <w:proofErr w:type="gramStart"/>
      <w:r w:rsidRPr="00ED4E1B">
        <w:rPr>
          <w:rFonts w:eastAsia="Book Antiqua" w:cs="Book Antiqua"/>
          <w:szCs w:val="26"/>
        </w:rPr>
        <w:t>areas, but</w:t>
      </w:r>
      <w:proofErr w:type="gramEnd"/>
      <w:r w:rsidRPr="00ED4E1B">
        <w:rPr>
          <w:rFonts w:eastAsia="Book Antiqua" w:cs="Book Antiqua"/>
          <w:szCs w:val="26"/>
        </w:rPr>
        <w:t xml:space="preserve"> not provide any BTM electrification measures for common area facilities that go beyond the external point of connection to the facility.</w:t>
      </w:r>
      <w:r w:rsidRPr="00ED4E1B">
        <w:rPr>
          <w:rFonts w:eastAsia="Book Antiqua" w:cs="Book Antiqua"/>
          <w:szCs w:val="26"/>
          <w:vertAlign w:val="superscript"/>
        </w:rPr>
        <w:footnoteReference w:id="33"/>
      </w:r>
      <w:r w:rsidRPr="00ED4E1B">
        <w:rPr>
          <w:rFonts w:eastAsia="Book Antiqua" w:cs="Book Antiqua"/>
          <w:szCs w:val="26"/>
        </w:rPr>
        <w:t xml:space="preserve"> </w:t>
      </w:r>
    </w:p>
    <w:p w:rsidRPr="00ED4E1B" w:rsidR="001372AE" w:rsidP="001372AE" w:rsidRDefault="001372AE" w14:paraId="0D615EE3" w14:textId="77777777">
      <w:pPr>
        <w:rPr>
          <w:rFonts w:eastAsia="Book Antiqua" w:cs="Book Antiqua"/>
        </w:rPr>
      </w:pPr>
      <w:r w:rsidRPr="382A5A15">
        <w:rPr>
          <w:rFonts w:eastAsia="Book Antiqua" w:cs="Book Antiqua"/>
        </w:rPr>
        <w:lastRenderedPageBreak/>
        <w:t xml:space="preserve">The Staff Proposal also recommended that participants be encouraged to utilize existing Commission programs, such as the Energy Savings Assistance (ESA) Program, the Disadvantaged Communities—Single Family Solar Homes (DAC-SASH) program, the Technology and Equipment for Clean Heating (TECH) Initiative, and the Self-Generation Incentive Program (SGIP) for both battery storage systems and HPWHs. These programs complement the electrification efforts of the proposed MHP Electrification </w:t>
      </w:r>
      <w:proofErr w:type="gramStart"/>
      <w:r w:rsidRPr="382A5A15">
        <w:rPr>
          <w:rFonts w:eastAsia="Book Antiqua" w:cs="Book Antiqua"/>
        </w:rPr>
        <w:t>Initiative</w:t>
      </w:r>
      <w:proofErr w:type="gramEnd"/>
      <w:r w:rsidRPr="382A5A15">
        <w:rPr>
          <w:rFonts w:eastAsia="Book Antiqua" w:cs="Book Antiqua"/>
        </w:rPr>
        <w:t xml:space="preserve"> and some can help to potentially offset energy costs.</w:t>
      </w:r>
      <w:r w:rsidRPr="382A5A15">
        <w:rPr>
          <w:rFonts w:eastAsia="Book Antiqua" w:cs="Book Antiqua"/>
          <w:vertAlign w:val="superscript"/>
        </w:rPr>
        <w:footnoteReference w:id="34"/>
      </w:r>
    </w:p>
    <w:p w:rsidRPr="00ED4E1B" w:rsidR="001372AE" w:rsidP="001372AE" w:rsidRDefault="001372AE" w14:paraId="6B81E163" w14:textId="77777777">
      <w:pPr>
        <w:rPr>
          <w:rFonts w:eastAsia="Book Antiqua" w:cs="Book Antiqua"/>
          <w:szCs w:val="26"/>
        </w:rPr>
      </w:pPr>
      <w:r w:rsidRPr="00ED4E1B">
        <w:rPr>
          <w:rFonts w:eastAsia="Book Antiqua" w:cs="Book Antiqua"/>
          <w:szCs w:val="26"/>
        </w:rPr>
        <w:t xml:space="preserve">The Staff Proposal advises that the IOUs maintain the responsibility for finding and managing the contractors necessary to complete the additional BTM full electrification work required in the proposed </w:t>
      </w:r>
      <w:r>
        <w:rPr>
          <w:rFonts w:eastAsia="Book Antiqua" w:cs="Book Antiqua"/>
          <w:szCs w:val="26"/>
        </w:rPr>
        <w:t>E</w:t>
      </w:r>
      <w:r w:rsidRPr="00ED4E1B">
        <w:rPr>
          <w:rFonts w:eastAsia="Book Antiqua" w:cs="Book Antiqua"/>
          <w:szCs w:val="26"/>
        </w:rPr>
        <w:t xml:space="preserve">lectrification Initiative. The IOUs have existing knowledge about implementing electrification measures from the San Joaquin Valley (SJV) pilots approved in R.15-03-010. The IOUs are encouraged to use their networks from the SJV pilots to implement the </w:t>
      </w:r>
      <w:r>
        <w:rPr>
          <w:rFonts w:eastAsia="Book Antiqua" w:cs="Book Antiqua"/>
          <w:szCs w:val="26"/>
        </w:rPr>
        <w:t xml:space="preserve">Electrification </w:t>
      </w:r>
      <w:r w:rsidRPr="00ED4E1B">
        <w:rPr>
          <w:rFonts w:eastAsia="Book Antiqua" w:cs="Book Antiqua"/>
          <w:szCs w:val="26"/>
        </w:rPr>
        <w:t xml:space="preserve">Initiative. Staff recommend that contractor work </w:t>
      </w:r>
      <w:proofErr w:type="gramStart"/>
      <w:r w:rsidRPr="00ED4E1B">
        <w:rPr>
          <w:rFonts w:eastAsia="Book Antiqua" w:cs="Book Antiqua"/>
          <w:szCs w:val="26"/>
        </w:rPr>
        <w:t>conducted</w:t>
      </w:r>
      <w:proofErr w:type="gramEnd"/>
      <w:r w:rsidRPr="00ED4E1B">
        <w:rPr>
          <w:rFonts w:eastAsia="Book Antiqua" w:cs="Book Antiqua"/>
          <w:szCs w:val="26"/>
        </w:rPr>
        <w:t xml:space="preserve"> as part of the proposed MHP electrification Initiative must use a competitive bidding process for contractor selection. In addition, all workers performing BTM electrification installations should be paid the prevailing wage. As the Initiative develops, the Staff Proposal recommends that implementers refer to the final EBD guidelines developed by the CEC for wages and workforce practices.</w:t>
      </w:r>
      <w:r w:rsidRPr="00ED4E1B">
        <w:rPr>
          <w:rFonts w:eastAsia="Book Antiqua" w:cs="Book Antiqua"/>
          <w:szCs w:val="26"/>
          <w:vertAlign w:val="superscript"/>
        </w:rPr>
        <w:footnoteReference w:id="35"/>
      </w:r>
    </w:p>
    <w:p w:rsidRPr="00ED4E1B" w:rsidR="001372AE" w:rsidP="001372AE" w:rsidRDefault="001372AE" w14:paraId="70B07245" w14:textId="77777777">
      <w:pPr>
        <w:rPr>
          <w:rFonts w:eastAsia="Book Antiqua" w:cs="Book Antiqua"/>
          <w:szCs w:val="26"/>
        </w:rPr>
      </w:pPr>
      <w:r w:rsidRPr="00ED4E1B">
        <w:rPr>
          <w:rFonts w:eastAsia="Book Antiqua" w:cs="Book Antiqua"/>
          <w:szCs w:val="26"/>
        </w:rPr>
        <w:t xml:space="preserve">Staff also recommend that IOUs partner with </w:t>
      </w:r>
      <w:proofErr w:type="gramStart"/>
      <w:r w:rsidRPr="00ED4E1B">
        <w:rPr>
          <w:rFonts w:eastAsia="Book Antiqua" w:cs="Book Antiqua"/>
          <w:szCs w:val="26"/>
        </w:rPr>
        <w:t xml:space="preserve">local </w:t>
      </w:r>
      <w:r>
        <w:rPr>
          <w:rFonts w:eastAsia="Book Antiqua" w:cs="Book Antiqua"/>
          <w:szCs w:val="26"/>
        </w:rPr>
        <w:t xml:space="preserve"> entities</w:t>
      </w:r>
      <w:proofErr w:type="gramEnd"/>
      <w:r w:rsidRPr="00ED4E1B">
        <w:rPr>
          <w:rFonts w:eastAsia="Book Antiqua" w:cs="Book Antiqua"/>
          <w:szCs w:val="26"/>
        </w:rPr>
        <w:t>, such as publicly owned utilities, community choice aggregators, and local governments, to coordinate on MHP electrification implementation.</w:t>
      </w:r>
    </w:p>
    <w:p w:rsidRPr="00ED4E1B" w:rsidR="001372AE" w:rsidP="001372AE" w:rsidRDefault="001372AE" w14:paraId="3C1CC311" w14:textId="77777777">
      <w:pPr>
        <w:pStyle w:val="Heading3"/>
      </w:pPr>
      <w:bookmarkStart w:name="_Toc204269595" w:id="58"/>
      <w:bookmarkStart w:name="_Toc1363553004" w:id="59"/>
      <w:bookmarkStart w:name="_Toc912785918" w:id="60"/>
      <w:r w:rsidRPr="00ED4E1B">
        <w:lastRenderedPageBreak/>
        <w:t>Party Comments</w:t>
      </w:r>
      <w:bookmarkEnd w:id="58"/>
      <w:bookmarkEnd w:id="59"/>
      <w:bookmarkEnd w:id="60"/>
    </w:p>
    <w:p w:rsidRPr="00ED4E1B" w:rsidR="001372AE" w:rsidP="001372AE" w:rsidRDefault="001372AE" w14:paraId="367442B6" w14:textId="77777777">
      <w:pPr>
        <w:rPr>
          <w:rFonts w:eastAsia="Book Antiqua" w:cs="Book Antiqua"/>
          <w:szCs w:val="26"/>
        </w:rPr>
      </w:pPr>
      <w:r w:rsidRPr="00ED4E1B">
        <w:rPr>
          <w:rFonts w:eastAsia="Book Antiqua" w:cs="Book Antiqua"/>
          <w:szCs w:val="26"/>
        </w:rPr>
        <w:t xml:space="preserve">Parties expressed concern that many manufactured homes may be past their useful life and in significant states of disrepair. This would either make the cost of remediation to accommodate electrification very high or potentially completely infeasible. </w:t>
      </w:r>
    </w:p>
    <w:p w:rsidRPr="00ED4E1B" w:rsidR="001372AE" w:rsidP="001372AE" w:rsidRDefault="001372AE" w14:paraId="25300A4C" w14:textId="77777777">
      <w:pPr>
        <w:rPr>
          <w:rFonts w:eastAsia="Book Antiqua" w:cs="Book Antiqua"/>
          <w:szCs w:val="26"/>
        </w:rPr>
      </w:pPr>
      <w:r w:rsidRPr="00ED4E1B">
        <w:rPr>
          <w:rFonts w:eastAsia="Book Antiqua" w:cs="Book Antiqua"/>
          <w:szCs w:val="26"/>
        </w:rPr>
        <w:t>The Joint CCAs “have concerns about making large electrification investments in older MHs [manufactured homes] which have significantly depreciated in value and will likely need to be replaced in coming years. This concern is compounded by the significant additional cost of upgrading older MHs.”</w:t>
      </w:r>
      <w:r w:rsidRPr="00ED4E1B">
        <w:rPr>
          <w:vertAlign w:val="superscript"/>
        </w:rPr>
        <w:footnoteReference w:id="36"/>
      </w:r>
      <w:r w:rsidRPr="00ED4E1B">
        <w:rPr>
          <w:rFonts w:eastAsia="Book Antiqua" w:cs="Book Antiqua"/>
          <w:szCs w:val="26"/>
        </w:rPr>
        <w:t xml:space="preserve"> PG&amp;E expresses a similar concern and “asks the Commission to reconsider the Staff Proposal to invest heavily to electrify MHs past their useful life. This may lead to largely underutilized remediation and installation.”</w:t>
      </w:r>
      <w:r w:rsidRPr="00ED4E1B">
        <w:rPr>
          <w:vertAlign w:val="superscript"/>
        </w:rPr>
        <w:footnoteReference w:id="37"/>
      </w:r>
      <w:r w:rsidRPr="00ED4E1B">
        <w:rPr>
          <w:rFonts w:eastAsia="Book Antiqua" w:cs="Book Antiqua"/>
          <w:szCs w:val="26"/>
        </w:rPr>
        <w:t xml:space="preserve"> PG&amp;E further writes that “the Commission consider the useful life of existing MHs when determining the criteria for MHPs that qualify for full electrification.”</w:t>
      </w:r>
      <w:r w:rsidRPr="00ED4E1B">
        <w:rPr>
          <w:vertAlign w:val="superscript"/>
        </w:rPr>
        <w:footnoteReference w:id="38"/>
      </w:r>
      <w:r w:rsidRPr="00ED4E1B">
        <w:rPr>
          <w:rFonts w:eastAsia="Book Antiqua" w:cs="Book Antiqua"/>
          <w:szCs w:val="26"/>
        </w:rPr>
        <w:t xml:space="preserve"> SDG&amp;E’s comments echo PG&amp;E’s concerns, and SoCalGas and SWG also recommend that the Commission “thoroughly assess the feasibility and safety implications of rewiring older homes before mandating such installations.”</w:t>
      </w:r>
      <w:r w:rsidRPr="00ED4E1B">
        <w:rPr>
          <w:rFonts w:eastAsia="Book Antiqua" w:cs="Book Antiqua"/>
          <w:szCs w:val="26"/>
          <w:vertAlign w:val="superscript"/>
        </w:rPr>
        <w:footnoteReference w:id="39"/>
      </w:r>
      <w:r w:rsidRPr="00ED4E1B">
        <w:rPr>
          <w:rFonts w:eastAsia="Book Antiqua" w:cs="Book Antiqua"/>
          <w:szCs w:val="26"/>
        </w:rPr>
        <w:t xml:space="preserve"> WMA writes that “55% of </w:t>
      </w:r>
      <w:proofErr w:type="spellStart"/>
      <w:r w:rsidRPr="00ED4E1B">
        <w:rPr>
          <w:rFonts w:eastAsia="Book Antiqua" w:cs="Book Antiqua"/>
          <w:szCs w:val="26"/>
        </w:rPr>
        <w:t>mobilehomes</w:t>
      </w:r>
      <w:proofErr w:type="spellEnd"/>
      <w:r w:rsidRPr="00ED4E1B">
        <w:rPr>
          <w:rFonts w:eastAsia="Book Antiqua" w:cs="Book Antiqua"/>
          <w:szCs w:val="26"/>
        </w:rPr>
        <w:t xml:space="preserve"> were built prior to 1980…and are largely constructed in a manner that may make such upgrading infeasible without destroying the home.”</w:t>
      </w:r>
      <w:r w:rsidRPr="00ED4E1B">
        <w:rPr>
          <w:rFonts w:eastAsia="Book Antiqua" w:cs="Book Antiqua"/>
          <w:szCs w:val="26"/>
          <w:vertAlign w:val="superscript"/>
        </w:rPr>
        <w:footnoteReference w:id="40"/>
      </w:r>
      <w:r w:rsidRPr="00ED4E1B">
        <w:rPr>
          <w:rFonts w:eastAsia="Book Antiqua" w:cs="Book Antiqua"/>
          <w:szCs w:val="26"/>
        </w:rPr>
        <w:t xml:space="preserve"> WMA also advises that the </w:t>
      </w:r>
      <w:r w:rsidRPr="00ED4E1B">
        <w:rPr>
          <w:rFonts w:eastAsia="Book Antiqua" w:cs="Book Antiqua"/>
          <w:szCs w:val="26"/>
        </w:rPr>
        <w:lastRenderedPageBreak/>
        <w:t>Commission ensure manufactured homes have the space to include new appliances.</w:t>
      </w:r>
      <w:r w:rsidRPr="00ED4E1B">
        <w:rPr>
          <w:rFonts w:eastAsia="Book Antiqua" w:cs="Book Antiqua"/>
          <w:szCs w:val="26"/>
          <w:vertAlign w:val="superscript"/>
        </w:rPr>
        <w:footnoteReference w:id="41"/>
      </w:r>
    </w:p>
    <w:p w:rsidRPr="00ED4E1B" w:rsidR="001372AE" w:rsidP="001372AE" w:rsidRDefault="001372AE" w14:paraId="3F07D8B5" w14:textId="77777777">
      <w:pPr>
        <w:rPr>
          <w:rFonts w:eastAsia="Book Antiqua" w:cs="Book Antiqua"/>
          <w:szCs w:val="26"/>
        </w:rPr>
      </w:pPr>
      <w:r w:rsidRPr="00ED4E1B">
        <w:rPr>
          <w:rFonts w:eastAsia="Book Antiqua" w:cs="Book Antiqua"/>
          <w:szCs w:val="26"/>
        </w:rPr>
        <w:t>As for remediation cost caps, NRDC recommends that there be no cost cap per home for remediation. The Joint CCAs recommend that if a “MH cannot be rewired, the MH should be offered alternative forms of program participation, including, potentially, financial assistance to purchase a new all-electric MH.”</w:t>
      </w:r>
      <w:r w:rsidRPr="00ED4E1B">
        <w:rPr>
          <w:vertAlign w:val="superscript"/>
        </w:rPr>
        <w:footnoteReference w:id="42"/>
      </w:r>
    </w:p>
    <w:p w:rsidRPr="00ED4E1B" w:rsidR="001372AE" w:rsidP="001372AE" w:rsidRDefault="001372AE" w14:paraId="2B115C17" w14:textId="77777777">
      <w:pPr>
        <w:rPr>
          <w:rFonts w:eastAsia="Book Antiqua" w:cs="Book Antiqua"/>
          <w:szCs w:val="26"/>
        </w:rPr>
      </w:pPr>
      <w:r w:rsidRPr="00ED4E1B">
        <w:rPr>
          <w:rFonts w:eastAsia="Book Antiqua" w:cs="Book Antiqua"/>
          <w:szCs w:val="26"/>
        </w:rPr>
        <w:t xml:space="preserve">PG&amp;E points out that the SJV pilots may not be an appropriate comparison for costs, since the homes remediated in the SJV pilots were not located in MHPs. They also note that requiring prevailing wage would drive up costs for the proposed MHP electrification initiative. </w:t>
      </w:r>
    </w:p>
    <w:p w:rsidRPr="00ED4E1B" w:rsidR="001372AE" w:rsidP="001372AE" w:rsidRDefault="001372AE" w14:paraId="5406AB02" w14:textId="77777777">
      <w:pPr>
        <w:rPr>
          <w:rFonts w:eastAsia="Book Antiqua" w:cs="Book Antiqua"/>
          <w:szCs w:val="26"/>
        </w:rPr>
      </w:pPr>
      <w:r w:rsidRPr="00ED4E1B">
        <w:rPr>
          <w:rFonts w:eastAsia="Book Antiqua" w:cs="Book Antiqua"/>
          <w:szCs w:val="26"/>
        </w:rPr>
        <w:t xml:space="preserve">As for the implementation process, NRDC recommends that </w:t>
      </w:r>
      <w:r>
        <w:rPr>
          <w:rFonts w:eastAsia="Book Antiqua" w:cs="Book Antiqua"/>
          <w:szCs w:val="26"/>
        </w:rPr>
        <w:t>the program</w:t>
      </w:r>
      <w:r w:rsidRPr="00ED4E1B">
        <w:rPr>
          <w:rFonts w:eastAsia="Book Antiqua" w:cs="Book Antiqua"/>
          <w:szCs w:val="26"/>
        </w:rPr>
        <w:t xml:space="preserve"> </w:t>
      </w:r>
      <w:proofErr w:type="gramStart"/>
      <w:r w:rsidRPr="00ED4E1B">
        <w:rPr>
          <w:rFonts w:eastAsia="Book Antiqua" w:cs="Book Antiqua"/>
          <w:szCs w:val="26"/>
        </w:rPr>
        <w:t>use</w:t>
      </w:r>
      <w:proofErr w:type="gramEnd"/>
      <w:r w:rsidRPr="00ED4E1B">
        <w:rPr>
          <w:rFonts w:eastAsia="Book Antiqua" w:cs="Book Antiqua"/>
          <w:szCs w:val="26"/>
        </w:rPr>
        <w:t xml:space="preserve"> materials that do not endanger the health and safety of residents, such as materials that pose fire or respiratory illness risks. NRDC also recommends that the in-home construction work happen in one instance, so as to avoid disruption to residents.</w:t>
      </w:r>
      <w:r w:rsidRPr="00ED4E1B">
        <w:rPr>
          <w:vertAlign w:val="superscript"/>
        </w:rPr>
        <w:footnoteReference w:id="43"/>
      </w:r>
      <w:r w:rsidRPr="00ED4E1B">
        <w:rPr>
          <w:rFonts w:eastAsia="Book Antiqua" w:cs="Book Antiqua"/>
          <w:szCs w:val="26"/>
        </w:rPr>
        <w:t xml:space="preserve"> Joint CCAs request that IOUs coordinate closely with CCAs, which have already developed similar electrification programs; SCP has already offered to provide financial incentives for these measures, and PCE would like to also provide support for MHPs in its service area.</w:t>
      </w:r>
      <w:r w:rsidRPr="00ED4E1B">
        <w:rPr>
          <w:rFonts w:eastAsia="Book Antiqua" w:cs="Book Antiqua"/>
          <w:szCs w:val="26"/>
          <w:vertAlign w:val="superscript"/>
        </w:rPr>
        <w:footnoteReference w:id="44"/>
      </w:r>
    </w:p>
    <w:p w:rsidRPr="00ED4E1B" w:rsidR="001372AE" w:rsidP="001372AE" w:rsidRDefault="001372AE" w14:paraId="1EDB3E99" w14:textId="77777777">
      <w:pPr>
        <w:rPr>
          <w:rFonts w:eastAsia="Book Antiqua" w:cs="Book Antiqua"/>
          <w:szCs w:val="26"/>
        </w:rPr>
      </w:pPr>
      <w:r w:rsidRPr="00ED4E1B">
        <w:rPr>
          <w:rFonts w:eastAsia="Book Antiqua" w:cs="Book Antiqua"/>
          <w:szCs w:val="26"/>
        </w:rPr>
        <w:t xml:space="preserve">PG&amp;E and SDG&amp;E recommend against IOU oversight of BTM contractors for in-home electrification work, citing the fact that in the current MHP UCP, the MHP owner oversees the BTM electrification contractor and work. PG&amp;E </w:t>
      </w:r>
      <w:r w:rsidRPr="00ED4E1B">
        <w:rPr>
          <w:rFonts w:eastAsia="Book Antiqua" w:cs="Book Antiqua"/>
          <w:szCs w:val="26"/>
        </w:rPr>
        <w:lastRenderedPageBreak/>
        <w:t>expresses concern that their staff do not have the expertise to oversee this work,</w:t>
      </w:r>
      <w:r w:rsidRPr="00ED4E1B">
        <w:rPr>
          <w:vertAlign w:val="superscript"/>
        </w:rPr>
        <w:footnoteReference w:id="45"/>
      </w:r>
      <w:r w:rsidRPr="00ED4E1B">
        <w:rPr>
          <w:rFonts w:eastAsia="Book Antiqua" w:cs="Book Antiqua"/>
          <w:szCs w:val="26"/>
        </w:rPr>
        <w:t xml:space="preserve"> and SDG&amp;E says that their current oversight of BTM work is not subject to a formal contract.</w:t>
      </w:r>
      <w:r w:rsidRPr="00ED4E1B">
        <w:rPr>
          <w:vertAlign w:val="superscript"/>
        </w:rPr>
        <w:footnoteReference w:id="46"/>
      </w:r>
    </w:p>
    <w:p w:rsidR="001372AE" w:rsidP="001372AE" w:rsidRDefault="001372AE" w14:paraId="5BFD4960" w14:textId="77777777">
      <w:pPr>
        <w:rPr>
          <w:rFonts w:eastAsia="Book Antiqua" w:cs="Book Antiqua"/>
          <w:szCs w:val="26"/>
        </w:rPr>
      </w:pPr>
      <w:r w:rsidRPr="00ED4E1B">
        <w:rPr>
          <w:rFonts w:eastAsia="Book Antiqua" w:cs="Book Antiqua"/>
          <w:szCs w:val="26"/>
        </w:rPr>
        <w:t>As to the transition period, PG&amp;E requested at least a year for finalizing implementation details.</w:t>
      </w:r>
      <w:r w:rsidRPr="00ED4E1B">
        <w:rPr>
          <w:rFonts w:eastAsia="Book Antiqua" w:cs="Book Antiqua"/>
          <w:szCs w:val="26"/>
          <w:vertAlign w:val="superscript"/>
        </w:rPr>
        <w:footnoteReference w:id="47"/>
      </w:r>
      <w:r w:rsidRPr="00ED4E1B">
        <w:rPr>
          <w:rFonts w:eastAsia="Book Antiqua" w:cs="Book Antiqua"/>
          <w:szCs w:val="26"/>
        </w:rPr>
        <w:t xml:space="preserve"> SDG&amp;E requested a year to prepare for implementing the Initiative given the number of details that would need to be ironed out in advance.</w:t>
      </w:r>
      <w:r w:rsidRPr="00ED4E1B">
        <w:rPr>
          <w:rFonts w:eastAsia="Book Antiqua" w:cs="Book Antiqua"/>
          <w:szCs w:val="26"/>
          <w:vertAlign w:val="superscript"/>
        </w:rPr>
        <w:footnoteReference w:id="48"/>
      </w:r>
    </w:p>
    <w:p w:rsidR="001372AE" w:rsidP="001372AE" w:rsidRDefault="001372AE" w14:paraId="1EF4C0E4" w14:textId="77777777">
      <w:pPr>
        <w:pStyle w:val="Heading3"/>
      </w:pPr>
      <w:bookmarkStart w:name="_Toc930697617" w:id="61"/>
      <w:bookmarkStart w:name="_Toc2044834056" w:id="62"/>
      <w:r w:rsidRPr="00E57EB1">
        <w:t>Installation</w:t>
      </w:r>
      <w:r>
        <w:t xml:space="preserve"> and Remediation Discussion</w:t>
      </w:r>
      <w:bookmarkEnd w:id="61"/>
      <w:bookmarkEnd w:id="62"/>
    </w:p>
    <w:p w:rsidR="001372AE" w:rsidP="001372AE" w:rsidRDefault="001372AE" w14:paraId="2E98BC94" w14:textId="77DA32A3">
      <w:r w:rsidRPr="00ED4E1B">
        <w:t>We agree with the Staff Proposal</w:t>
      </w:r>
      <w:r>
        <w:t xml:space="preserve"> and affirm</w:t>
      </w:r>
      <w:r w:rsidRPr="00ED4E1B">
        <w:t xml:space="preserve"> that the large electric IOUs shall install new, direct-metered electric infrastructure capable of delivering 200-amp service to each home in the MHPs selected for the joint </w:t>
      </w:r>
      <w:r>
        <w:t>E</w:t>
      </w:r>
      <w:r w:rsidRPr="00ED4E1B">
        <w:t>lectrification Initiative</w:t>
      </w:r>
      <w:r>
        <w:t xml:space="preserve"> consistent with D.24-12-037. The selected </w:t>
      </w:r>
      <w:r w:rsidRPr="00ED4E1B">
        <w:t xml:space="preserve">MHPs </w:t>
      </w:r>
      <w:r>
        <w:t>will</w:t>
      </w:r>
      <w:r w:rsidRPr="00ED4E1B">
        <w:t xml:space="preserve"> be considered participants in the MHP UCP and all MHP UCP program guidelines shall apply to these parks, as it relates to electric infrastructure installations. However, these MHPs </w:t>
      </w:r>
      <w:r>
        <w:t>will</w:t>
      </w:r>
      <w:r w:rsidRPr="00ED4E1B">
        <w:t xml:space="preserve"> not receive any new natural gas infrastructure and </w:t>
      </w:r>
      <w:r>
        <w:t>must</w:t>
      </w:r>
      <w:r w:rsidRPr="00ED4E1B">
        <w:t xml:space="preserve"> </w:t>
      </w:r>
      <w:r>
        <w:rPr>
          <w:rFonts w:eastAsia="Book Antiqua" w:cs="Book Antiqua"/>
        </w:rPr>
        <w:t>agree to not receive any piped gas until the natural end of life of the equipment incentivized by the EBD program, or 20 years, whichever is later</w:t>
      </w:r>
      <w:r>
        <w:t>.</w:t>
      </w:r>
      <w:r w:rsidRPr="00ED4E1B">
        <w:t xml:space="preserve"> </w:t>
      </w:r>
      <w:r>
        <w:t xml:space="preserve">The treatment and responsibility for the legacy gas system in the Electrification Initiative shall adhere to what is outlined in the existing MHP UCP agreement: the legacy gas system shall be abandoned in place, and the MHP gas service provider (i.e. the MHP owner, owner’s agent, or the gas IOU, whichever the case may be) retains </w:t>
      </w:r>
      <w:r>
        <w:lastRenderedPageBreak/>
        <w:t>responsibility for removal, permitting, decommissioning, and environmental remediation related to the legacy natural gas system.</w:t>
      </w:r>
      <w:r>
        <w:rPr>
          <w:rStyle w:val="FootnoteReference"/>
        </w:rPr>
        <w:footnoteReference w:id="49"/>
      </w:r>
    </w:p>
    <w:p w:rsidRPr="00ED4E1B" w:rsidR="001372AE" w:rsidP="001372AE" w:rsidRDefault="001372AE" w14:paraId="348733C3" w14:textId="77777777">
      <w:r w:rsidRPr="00ED4E1B">
        <w:t>For common areas, such as laundry facilities, the IOUs should work with the CEC EBD program to determine the appropriate electric infrastructure needs and install the appropriately sized electric service to meet the common area needs, even if this service size exceeds 200 amps.</w:t>
      </w:r>
    </w:p>
    <w:p w:rsidRPr="00ED4E1B" w:rsidR="001372AE" w:rsidP="001372AE" w:rsidRDefault="001372AE" w14:paraId="41D989F2" w14:textId="13B8C56C">
      <w:r w:rsidRPr="00ED4E1B">
        <w:t xml:space="preserve">We depart from the Staff Proposal recommendation that the IOUs implement BTM electrification measures for the </w:t>
      </w:r>
      <w:r>
        <w:t xml:space="preserve">Electrification </w:t>
      </w:r>
      <w:r w:rsidRPr="00ED4E1B">
        <w:t xml:space="preserve">Initiative. Instead, we direct the </w:t>
      </w:r>
      <w:r>
        <w:t xml:space="preserve">large electric </w:t>
      </w:r>
      <w:r w:rsidRPr="00ED4E1B">
        <w:t xml:space="preserve">IOUs to conduct the </w:t>
      </w:r>
      <w:r>
        <w:t xml:space="preserve">TTM and BTM </w:t>
      </w:r>
      <w:r w:rsidRPr="00ED4E1B">
        <w:t>work as required by the MHP UCP</w:t>
      </w:r>
      <w:r>
        <w:t xml:space="preserve"> to support full-home electrification</w:t>
      </w:r>
      <w:r w:rsidRPr="00ED4E1B">
        <w:t xml:space="preserve">, </w:t>
      </w:r>
      <w:r>
        <w:t xml:space="preserve">for the large gas IOUs to decommission existing gas infrastructure in selected MHPs (for gas IOU-operated portions), </w:t>
      </w:r>
      <w:r w:rsidRPr="00ED4E1B">
        <w:t xml:space="preserve">and to work cooperatively with the EBD program, which will perform all in-home BTM electrification work for the manufactured/mobile homes and common areas outside of the existing BTM work that the MHP UCP already performs. The IOUs must also coordinate with the CEC about any in-home panel capacity upgrades the EBD program anticipates making to accommodate electrification measures, and the IOUs must ensure the BTM infrastructure </w:t>
      </w:r>
      <w:r>
        <w:t xml:space="preserve">that the IOUs are responsible for under the MHP UCP and that is </w:t>
      </w:r>
      <w:r w:rsidRPr="00ED4E1B">
        <w:t xml:space="preserve">installed </w:t>
      </w:r>
      <w:r>
        <w:t>under the Electrification Initiative</w:t>
      </w:r>
      <w:r w:rsidRPr="00ED4E1B">
        <w:t xml:space="preserve"> is sufficient to meet the anticipated new panel capacity required for the co</w:t>
      </w:r>
      <w:r>
        <w:t>n</w:t>
      </w:r>
      <w:r w:rsidRPr="00ED4E1B">
        <w:t>verted MHPs or common areas. The prescribed measures</w:t>
      </w:r>
      <w:r>
        <w:t xml:space="preserve"> of the EBD guidelines</w:t>
      </w:r>
      <w:r w:rsidRPr="00ED4E1B">
        <w:t xml:space="preserve"> align with the Staff Proposal’s recommended implementation measures: namely, that the </w:t>
      </w:r>
      <w:r>
        <w:t xml:space="preserve">Electrification </w:t>
      </w:r>
      <w:r w:rsidRPr="00ED4E1B">
        <w:t xml:space="preserve">Initiative install new, efficient electric appliances to replace existing natural gas </w:t>
      </w:r>
      <w:r>
        <w:t>or</w:t>
      </w:r>
      <w:r w:rsidRPr="00ED4E1B">
        <w:t xml:space="preserve"> </w:t>
      </w:r>
      <w:r>
        <w:t xml:space="preserve">inefficient, electric resistance electric appliances; </w:t>
      </w:r>
      <w:r w:rsidRPr="00ED4E1B">
        <w:t xml:space="preserve">include remediation </w:t>
      </w:r>
      <w:r w:rsidRPr="00ED4E1B">
        <w:lastRenderedPageBreak/>
        <w:t>measures to accommodate electrification measures; and include load management technology. Additionally, the EBD guidelines align with Staff recommendations to leverage existing programs, such as the MHP UCP, that support electrification efforts, stating that “complementary funding sources should be applied to a project prior to Equitable Building Decarbonization Program funds wherever possible.”</w:t>
      </w:r>
      <w:r w:rsidRPr="00ED4E1B">
        <w:rPr>
          <w:vertAlign w:val="superscript"/>
        </w:rPr>
        <w:footnoteReference w:id="50"/>
      </w:r>
    </w:p>
    <w:p w:rsidR="001372AE" w:rsidP="001372AE" w:rsidRDefault="001372AE" w14:paraId="518DD50A" w14:textId="327A6B52">
      <w:r w:rsidRPr="00ED4E1B">
        <w:t xml:space="preserve">We acknowledge the concerns raised by parties about potentially high remediation costs for older manufactured homes that may need significant repairs and the feasibility of rewiring homes to accommodate electrification. However, the purpose of this </w:t>
      </w:r>
      <w:r>
        <w:t xml:space="preserve">Electrification </w:t>
      </w:r>
      <w:r w:rsidRPr="00ED4E1B">
        <w:t xml:space="preserve">Initiative is to better understand the challenges and barriers manufactured homes face when trying to fully electrify. Although NRDC’s comments recommend there be no cost cap, we defer to the EBD program guidelines that </w:t>
      </w:r>
      <w:r>
        <w:t xml:space="preserve">currently </w:t>
      </w:r>
      <w:r w:rsidRPr="00ED4E1B">
        <w:t>specify a $7,200 maximum average cost per manufactured or mobile home for electrical and remediation measures, which allows for flexibility to serve homes with diverse remediation needs.</w:t>
      </w:r>
      <w:r w:rsidRPr="00ED4E1B">
        <w:rPr>
          <w:vertAlign w:val="superscript"/>
        </w:rPr>
        <w:footnoteReference w:id="51"/>
      </w:r>
      <w:r w:rsidRPr="00ED4E1B">
        <w:t xml:space="preserve"> </w:t>
      </w:r>
    </w:p>
    <w:p w:rsidRPr="00ED4E1B" w:rsidR="001372AE" w:rsidP="001372AE" w:rsidRDefault="001372AE" w14:paraId="4932CF74" w14:textId="77777777">
      <w:r>
        <w:t xml:space="preserve">If in the future, CEC updates the EBD program guidelines, the Electrification Initiative will implement the newly updated guidelines.  </w:t>
      </w:r>
      <w:r w:rsidRPr="00ED4E1B">
        <w:t xml:space="preserve"> </w:t>
      </w:r>
    </w:p>
    <w:p w:rsidRPr="00E57EB1" w:rsidR="001372AE" w:rsidP="001372AE" w:rsidRDefault="001372AE" w14:paraId="3D4D616B" w14:textId="72969771">
      <w:r w:rsidRPr="00ED4E1B">
        <w:t xml:space="preserve">The large electric </w:t>
      </w:r>
      <w:r>
        <w:t xml:space="preserve">and gas </w:t>
      </w:r>
      <w:r w:rsidRPr="00ED4E1B">
        <w:t xml:space="preserve">IOUs </w:t>
      </w:r>
      <w:r w:rsidRPr="00AA5F4E">
        <w:t>will</w:t>
      </w:r>
      <w:r>
        <w:t xml:space="preserve"> work</w:t>
      </w:r>
      <w:r w:rsidRPr="00ED4E1B">
        <w:t xml:space="preserve"> with </w:t>
      </w:r>
      <w:r>
        <w:t xml:space="preserve">ED and </w:t>
      </w:r>
      <w:r w:rsidRPr="00ED4E1B">
        <w:t xml:space="preserve">CEC EBD program staff </w:t>
      </w:r>
      <w:r w:rsidRPr="00AA5F4E">
        <w:t>after this decision is adopted and the IOUs will</w:t>
      </w:r>
      <w:r w:rsidRPr="00ED4E1B">
        <w:t xml:space="preserve"> </w:t>
      </w:r>
      <w:r>
        <w:t xml:space="preserve">serve a joint compliance report to the service list of this proceeding and the Building Decarbonization proceeding </w:t>
      </w:r>
      <w:r w:rsidRPr="00ED4E1B">
        <w:t xml:space="preserve">within 180 days of the issuance of this decision detailing how </w:t>
      </w:r>
      <w:r>
        <w:t xml:space="preserve">the large electric and gas </w:t>
      </w:r>
      <w:r w:rsidRPr="00ED4E1B">
        <w:t xml:space="preserve">IOUs plan to work with Energy Division staff, EBD program staff, and EBD administrators to ensure the MHP UCP work is done in </w:t>
      </w:r>
      <w:r w:rsidRPr="00ED4E1B">
        <w:lastRenderedPageBreak/>
        <w:t xml:space="preserve">a coordinated and efficient manner. </w:t>
      </w:r>
      <w:r>
        <w:t>The large electric and gas IOUs shall also submit the joint compliance report to the CEC docket for the EBD program.</w:t>
      </w:r>
    </w:p>
    <w:p w:rsidRPr="00ED4E1B" w:rsidR="001372AE" w:rsidP="001372AE" w:rsidRDefault="001372AE" w14:paraId="5C9F1C43" w14:textId="77777777">
      <w:pPr>
        <w:pStyle w:val="Heading2"/>
      </w:pPr>
      <w:bookmarkStart w:name="_Toc204269596" w:id="63"/>
      <w:bookmarkStart w:name="_Toc1803883518" w:id="64"/>
      <w:bookmarkStart w:name="_Toc215488616" w:id="65"/>
      <w:r w:rsidRPr="00ED4E1B">
        <w:t>Funding and Cost Recovery</w:t>
      </w:r>
      <w:bookmarkEnd w:id="63"/>
      <w:bookmarkEnd w:id="64"/>
      <w:bookmarkEnd w:id="65"/>
    </w:p>
    <w:p w:rsidRPr="00ED4E1B" w:rsidR="001372AE" w:rsidP="001372AE" w:rsidRDefault="001372AE" w14:paraId="5F0C20BD" w14:textId="77777777">
      <w:pPr>
        <w:pStyle w:val="Heading3"/>
      </w:pPr>
      <w:bookmarkStart w:name="_Toc204269597" w:id="66"/>
      <w:bookmarkStart w:name="_Toc1144672023" w:id="67"/>
      <w:bookmarkStart w:name="_Toc791162311" w:id="68"/>
      <w:r w:rsidRPr="00ED4E1B">
        <w:t>Staff Proposal</w:t>
      </w:r>
      <w:bookmarkEnd w:id="66"/>
      <w:bookmarkEnd w:id="67"/>
      <w:bookmarkEnd w:id="68"/>
    </w:p>
    <w:p w:rsidRPr="00ED4E1B" w:rsidR="001372AE" w:rsidP="001372AE" w:rsidRDefault="001372AE" w14:paraId="6F50C9CD" w14:textId="77777777">
      <w:pPr>
        <w:rPr>
          <w:rFonts w:eastAsia="Book Antiqua" w:cs="Book Antiqua"/>
          <w:szCs w:val="26"/>
        </w:rPr>
      </w:pPr>
      <w:r w:rsidRPr="00ED4E1B">
        <w:rPr>
          <w:rFonts w:eastAsia="Book Antiqua" w:cs="Book Antiqua"/>
          <w:szCs w:val="26"/>
        </w:rPr>
        <w:t xml:space="preserve">The Staff Proposal proposes a $50 million budget for the Initiative from electric public purpose funds (PPP) supported by ratepayers. Staff recommend that funding for this program prioritize non-ratepayer funding first before drawing from ratepayer funds. Sources of non-ratepayer funding include: </w:t>
      </w:r>
    </w:p>
    <w:p w:rsidRPr="00622BF6" w:rsidR="001372AE" w:rsidP="001372AE" w:rsidRDefault="001372AE" w14:paraId="095AA0D5" w14:textId="77777777">
      <w:pPr>
        <w:pStyle w:val="ListBullet"/>
        <w:rPr>
          <w:rFonts w:eastAsia="Times New Roman"/>
        </w:rPr>
      </w:pPr>
      <w:r w:rsidRPr="00ED4E1B">
        <w:t xml:space="preserve">The CEC’s EBD Program for both direct installation retrofits and incentives for electric </w:t>
      </w:r>
      <w:proofErr w:type="gramStart"/>
      <w:r w:rsidRPr="00ED4E1B">
        <w:t>appliances;</w:t>
      </w:r>
      <w:proofErr w:type="gramEnd"/>
      <w:r w:rsidRPr="00ED4E1B">
        <w:rPr>
          <w:rFonts w:eastAsia="Times New Roman"/>
        </w:rPr>
        <w:t> </w:t>
      </w:r>
    </w:p>
    <w:p w:rsidRPr="00505509" w:rsidR="001372AE" w:rsidP="001372AE" w:rsidRDefault="001372AE" w14:paraId="74D8B975" w14:textId="77777777">
      <w:pPr>
        <w:pStyle w:val="ListBullet"/>
        <w:ind w:right="1440"/>
        <w:rPr>
          <w:rFonts w:eastAsia="Times New Roman"/>
        </w:rPr>
      </w:pPr>
      <w:r w:rsidRPr="00ED4E1B">
        <w:t>The Commission’s existing programs, such as the Self-Generation Incentive Program (SGIP) providing heat pump appliance incentives, the SGIP HPWH Program, the Disadvantaged Communities – Single-Family Solar Homes (DAC-SASH)</w:t>
      </w:r>
      <w:r>
        <w:t xml:space="preserve"> program</w:t>
      </w:r>
      <w:r w:rsidRPr="00ED4E1B">
        <w:t xml:space="preserve">, the Technology and Equipment for Clean Housing (TECH) Initiative, and energy efficiency fuel substitution programs that promote electrification </w:t>
      </w:r>
      <w:proofErr w:type="gramStart"/>
      <w:r w:rsidRPr="00ED4E1B">
        <w:t>technologies;</w:t>
      </w:r>
      <w:proofErr w:type="gramEnd"/>
      <w:r w:rsidRPr="00ED4E1B">
        <w:rPr>
          <w:rFonts w:eastAsia="Times New Roman"/>
        </w:rPr>
        <w:t> </w:t>
      </w:r>
    </w:p>
    <w:p w:rsidRPr="00622BF6" w:rsidR="001372AE" w:rsidP="001372AE" w:rsidRDefault="001372AE" w14:paraId="394FB28B" w14:textId="77777777">
      <w:pPr>
        <w:pStyle w:val="ListBullet"/>
        <w:ind w:right="1440"/>
        <w:rPr>
          <w:rFonts w:eastAsia="Times New Roman"/>
        </w:rPr>
      </w:pPr>
      <w:r w:rsidRPr="00ED4E1B">
        <w:t xml:space="preserve">State and federal weatherization programs, including California’s Energy </w:t>
      </w:r>
      <w:r w:rsidRPr="00622BF6">
        <w:t>Savings</w:t>
      </w:r>
      <w:r w:rsidRPr="00ED4E1B">
        <w:t xml:space="preserve"> Assistance (ESA) Program and the federal Weatherization Assistance Program and Low-Income Home Energy Assistance Program (LIHEAP), to make homes more energy efficient and reduce overall energy </w:t>
      </w:r>
      <w:proofErr w:type="gramStart"/>
      <w:r w:rsidRPr="00ED4E1B">
        <w:t>costs;</w:t>
      </w:r>
      <w:proofErr w:type="gramEnd"/>
      <w:r w:rsidRPr="00ED4E1B">
        <w:rPr>
          <w:rFonts w:eastAsia="Times New Roman"/>
        </w:rPr>
        <w:t> </w:t>
      </w:r>
    </w:p>
    <w:p w:rsidRPr="00622BF6" w:rsidR="001372AE" w:rsidP="001372AE" w:rsidRDefault="001372AE" w14:paraId="41814DD8" w14:textId="77777777">
      <w:pPr>
        <w:pStyle w:val="ListBullet"/>
        <w:ind w:right="1440"/>
        <w:rPr>
          <w:rFonts w:eastAsia="Times New Roman"/>
        </w:rPr>
      </w:pPr>
      <w:r w:rsidRPr="00ED4E1B">
        <w:t xml:space="preserve">Federal </w:t>
      </w:r>
      <w:r w:rsidRPr="00622BF6">
        <w:t>incentives</w:t>
      </w:r>
      <w:r w:rsidRPr="00ED4E1B">
        <w:t>, primarily Inflation Reduction Act (IRA) incentives outlined in the High Efficiency Electric Home Rebate Act (HEEHRA), which will provide up to $14,000 for low-income households for rewiring, panel upgrades, weatherization, and appliances;</w:t>
      </w:r>
      <w:r w:rsidRPr="00ED4E1B">
        <w:rPr>
          <w:vertAlign w:val="superscript"/>
        </w:rPr>
        <w:footnoteReference w:id="52"/>
      </w:r>
      <w:r w:rsidRPr="00ED4E1B">
        <w:t xml:space="preserve"> and</w:t>
      </w:r>
      <w:r w:rsidRPr="00ED4E1B">
        <w:rPr>
          <w:rFonts w:eastAsia="Times New Roman"/>
        </w:rPr>
        <w:t> </w:t>
      </w:r>
    </w:p>
    <w:p w:rsidRPr="00622BF6" w:rsidR="001372AE" w:rsidP="001372AE" w:rsidRDefault="001372AE" w14:paraId="18943F06" w14:textId="77777777">
      <w:pPr>
        <w:pStyle w:val="ListBullet"/>
        <w:ind w:right="1440"/>
        <w:rPr>
          <w:rFonts w:eastAsia="Times New Roman"/>
        </w:rPr>
      </w:pPr>
      <w:r w:rsidRPr="00ED4E1B">
        <w:lastRenderedPageBreak/>
        <w:t>HCD programs aimed at rehabilitating manufactured housing.</w:t>
      </w:r>
      <w:r w:rsidRPr="00ED4E1B">
        <w:rPr>
          <w:rFonts w:eastAsia="Times New Roman"/>
        </w:rPr>
        <w:t> </w:t>
      </w:r>
    </w:p>
    <w:p w:rsidRPr="00ED4E1B" w:rsidR="001372AE" w:rsidP="001372AE" w:rsidRDefault="001372AE" w14:paraId="0A427DB5" w14:textId="77777777">
      <w:pPr>
        <w:rPr>
          <w:rFonts w:eastAsia="Book Antiqua" w:cs="Book Antiqua"/>
          <w:szCs w:val="26"/>
        </w:rPr>
      </w:pPr>
      <w:r w:rsidRPr="00ED4E1B">
        <w:rPr>
          <w:rFonts w:eastAsia="Book Antiqua" w:cs="Book Antiqua"/>
          <w:szCs w:val="26"/>
        </w:rPr>
        <w:t xml:space="preserve">The Staff Proposal estimates that a $50 million budget combined with other sources of funding has the potential to fully electrify </w:t>
      </w:r>
      <w:r>
        <w:rPr>
          <w:rFonts w:eastAsia="Book Antiqua" w:cs="Book Antiqua"/>
          <w:szCs w:val="26"/>
        </w:rPr>
        <w:t xml:space="preserve">appliances in </w:t>
      </w:r>
      <w:r w:rsidRPr="00ED4E1B">
        <w:rPr>
          <w:rFonts w:eastAsia="Book Antiqua" w:cs="Book Antiqua"/>
          <w:szCs w:val="26"/>
        </w:rPr>
        <w:t xml:space="preserve">1,405 </w:t>
      </w:r>
      <w:proofErr w:type="spellStart"/>
      <w:r w:rsidRPr="00ED4E1B">
        <w:rPr>
          <w:rFonts w:eastAsia="Book Antiqua" w:cs="Book Antiqua"/>
          <w:szCs w:val="26"/>
        </w:rPr>
        <w:t>M</w:t>
      </w:r>
      <w:r>
        <w:rPr>
          <w:rFonts w:eastAsia="Book Antiqua" w:cs="Book Antiqua"/>
          <w:szCs w:val="26"/>
        </w:rPr>
        <w:t>obilehomes</w:t>
      </w:r>
      <w:proofErr w:type="spellEnd"/>
      <w:r w:rsidRPr="00ED4E1B">
        <w:rPr>
          <w:rFonts w:eastAsia="Book Antiqua" w:cs="Book Antiqua"/>
          <w:szCs w:val="26"/>
        </w:rPr>
        <w:t>.</w:t>
      </w:r>
      <w:r w:rsidRPr="00ED4E1B">
        <w:rPr>
          <w:rFonts w:eastAsia="Book Antiqua" w:cs="Book Antiqua"/>
          <w:szCs w:val="26"/>
          <w:vertAlign w:val="superscript"/>
        </w:rPr>
        <w:footnoteReference w:id="53"/>
      </w:r>
      <w:r w:rsidRPr="00ED4E1B">
        <w:rPr>
          <w:rFonts w:eastAsia="Book Antiqua" w:cs="Book Antiqua"/>
          <w:szCs w:val="26"/>
        </w:rPr>
        <w:t xml:space="preserve"> The potential ratepayer impacts (using 2023 estimates) were predicted as listed below:</w:t>
      </w:r>
      <w:r w:rsidRPr="00ED4E1B">
        <w:rPr>
          <w:rFonts w:eastAsia="Book Antiqua" w:cs="Book Antiqua"/>
          <w:szCs w:val="26"/>
          <w:vertAlign w:val="superscript"/>
        </w:rPr>
        <w:footnoteReference w:id="54"/>
      </w:r>
    </w:p>
    <w:p w:rsidRPr="00ED4E1B" w:rsidR="001372AE" w:rsidP="001372AE" w:rsidRDefault="001372AE" w14:paraId="33DD48E5" w14:textId="77777777">
      <w:pPr>
        <w:ind w:firstLine="0"/>
      </w:pPr>
    </w:p>
    <w:tbl>
      <w:tblPr>
        <w:tblStyle w:val="TableGrid"/>
        <w:tblW w:w="8005" w:type="dxa"/>
        <w:jc w:val="center"/>
        <w:tblLook w:val="04A0" w:firstRow="1" w:lastRow="0" w:firstColumn="1" w:lastColumn="0" w:noHBand="0" w:noVBand="1"/>
      </w:tblPr>
      <w:tblGrid>
        <w:gridCol w:w="2489"/>
        <w:gridCol w:w="5516"/>
      </w:tblGrid>
      <w:tr w:rsidRPr="00ED4E1B" w:rsidR="001372AE" w:rsidTr="006175DF" w14:paraId="468F7305" w14:textId="77777777">
        <w:trPr>
          <w:trHeight w:val="467"/>
          <w:jc w:val="center"/>
        </w:trPr>
        <w:tc>
          <w:tcPr>
            <w:tcW w:w="2489" w:type="dxa"/>
          </w:tcPr>
          <w:p w:rsidRPr="00ED4E1B" w:rsidR="001372AE" w:rsidP="006175DF" w:rsidRDefault="001372AE" w14:paraId="4B423F40" w14:textId="77777777">
            <w:pPr>
              <w:ind w:firstLine="0"/>
              <w:jc w:val="center"/>
              <w:rPr>
                <w:b/>
                <w:bCs/>
              </w:rPr>
            </w:pPr>
            <w:r w:rsidRPr="00ED4E1B">
              <w:rPr>
                <w:b/>
                <w:bCs/>
                <w:i/>
                <w:iCs/>
              </w:rPr>
              <w:t>IOU</w:t>
            </w:r>
          </w:p>
        </w:tc>
        <w:tc>
          <w:tcPr>
            <w:tcW w:w="5516" w:type="dxa"/>
          </w:tcPr>
          <w:p w:rsidRPr="00ED4E1B" w:rsidR="001372AE" w:rsidP="006175DF" w:rsidRDefault="001372AE" w14:paraId="47814DB8" w14:textId="77777777">
            <w:pPr>
              <w:ind w:firstLine="0"/>
              <w:jc w:val="center"/>
              <w:rPr>
                <w:b/>
                <w:bCs/>
                <w:i/>
                <w:iCs/>
              </w:rPr>
            </w:pPr>
            <w:r w:rsidRPr="00ED4E1B">
              <w:rPr>
                <w:b/>
                <w:bCs/>
                <w:i/>
                <w:iCs/>
              </w:rPr>
              <w:t>Annual Bill Increase for Electric Ratepayers</w:t>
            </w:r>
            <w:r w:rsidRPr="00ED4E1B">
              <w:rPr>
                <w:b/>
                <w:bCs/>
                <w:i/>
                <w:iCs/>
                <w:vertAlign w:val="superscript"/>
              </w:rPr>
              <w:footnoteReference w:id="55"/>
            </w:r>
          </w:p>
        </w:tc>
      </w:tr>
      <w:tr w:rsidRPr="00ED4E1B" w:rsidR="001372AE" w:rsidTr="006175DF" w14:paraId="0CB7B41D" w14:textId="77777777">
        <w:trPr>
          <w:trHeight w:val="343"/>
          <w:jc w:val="center"/>
        </w:trPr>
        <w:tc>
          <w:tcPr>
            <w:tcW w:w="2489" w:type="dxa"/>
          </w:tcPr>
          <w:p w:rsidRPr="00ED4E1B" w:rsidR="001372AE" w:rsidP="006175DF" w:rsidRDefault="001372AE" w14:paraId="083C653B" w14:textId="77777777">
            <w:pPr>
              <w:ind w:firstLine="0"/>
              <w:jc w:val="center"/>
            </w:pPr>
            <w:r w:rsidRPr="00ED4E1B">
              <w:t>PG&amp;E</w:t>
            </w:r>
          </w:p>
        </w:tc>
        <w:tc>
          <w:tcPr>
            <w:tcW w:w="5516" w:type="dxa"/>
          </w:tcPr>
          <w:p w:rsidRPr="00ED4E1B" w:rsidR="001372AE" w:rsidP="006175DF" w:rsidRDefault="001372AE" w14:paraId="100436D1" w14:textId="77777777">
            <w:pPr>
              <w:ind w:firstLine="0"/>
              <w:jc w:val="center"/>
            </w:pPr>
            <w:r w:rsidRPr="00ED4E1B">
              <w:t>$1.71</w:t>
            </w:r>
          </w:p>
        </w:tc>
      </w:tr>
      <w:tr w:rsidRPr="00ED4E1B" w:rsidR="001372AE" w:rsidTr="006175DF" w14:paraId="6ECAC1D4" w14:textId="77777777">
        <w:trPr>
          <w:trHeight w:val="336"/>
          <w:jc w:val="center"/>
        </w:trPr>
        <w:tc>
          <w:tcPr>
            <w:tcW w:w="2489" w:type="dxa"/>
          </w:tcPr>
          <w:p w:rsidRPr="00ED4E1B" w:rsidR="001372AE" w:rsidP="006175DF" w:rsidRDefault="001372AE" w14:paraId="7E857B3F" w14:textId="77777777">
            <w:pPr>
              <w:ind w:firstLine="0"/>
              <w:jc w:val="center"/>
            </w:pPr>
            <w:r w:rsidRPr="00ED4E1B">
              <w:t>SDG&amp;E</w:t>
            </w:r>
          </w:p>
        </w:tc>
        <w:tc>
          <w:tcPr>
            <w:tcW w:w="5516" w:type="dxa"/>
          </w:tcPr>
          <w:p w:rsidRPr="00ED4E1B" w:rsidR="001372AE" w:rsidP="006175DF" w:rsidRDefault="001372AE" w14:paraId="61D6215C" w14:textId="77777777">
            <w:pPr>
              <w:ind w:firstLine="0"/>
              <w:jc w:val="center"/>
            </w:pPr>
            <w:r w:rsidRPr="00ED4E1B">
              <w:t>$1.98</w:t>
            </w:r>
          </w:p>
        </w:tc>
      </w:tr>
      <w:tr w:rsidRPr="00ED4E1B" w:rsidR="001372AE" w:rsidTr="006175DF" w14:paraId="4E21CF90" w14:textId="77777777">
        <w:trPr>
          <w:trHeight w:val="336"/>
          <w:jc w:val="center"/>
        </w:trPr>
        <w:tc>
          <w:tcPr>
            <w:tcW w:w="2489" w:type="dxa"/>
          </w:tcPr>
          <w:p w:rsidRPr="00ED4E1B" w:rsidR="001372AE" w:rsidP="006175DF" w:rsidRDefault="001372AE" w14:paraId="737AC212" w14:textId="77777777">
            <w:pPr>
              <w:ind w:firstLine="0"/>
              <w:jc w:val="center"/>
            </w:pPr>
            <w:r w:rsidRPr="00ED4E1B">
              <w:t>SCE</w:t>
            </w:r>
          </w:p>
        </w:tc>
        <w:tc>
          <w:tcPr>
            <w:tcW w:w="5516" w:type="dxa"/>
          </w:tcPr>
          <w:p w:rsidRPr="00ED4E1B" w:rsidR="001372AE" w:rsidP="006175DF" w:rsidRDefault="001372AE" w14:paraId="477427A5" w14:textId="77777777">
            <w:pPr>
              <w:ind w:firstLine="0"/>
              <w:jc w:val="center"/>
            </w:pPr>
            <w:r w:rsidRPr="00ED4E1B">
              <w:t>$2.95</w:t>
            </w:r>
          </w:p>
        </w:tc>
      </w:tr>
    </w:tbl>
    <w:p w:rsidRPr="00ED4E1B" w:rsidR="001372AE" w:rsidP="001372AE" w:rsidRDefault="001372AE" w14:paraId="0224B35D" w14:textId="77777777">
      <w:pPr>
        <w:ind w:firstLine="0"/>
      </w:pPr>
    </w:p>
    <w:p w:rsidRPr="00ED4E1B" w:rsidR="001372AE" w:rsidP="001372AE" w:rsidRDefault="001372AE" w14:paraId="5501A76A" w14:textId="77777777">
      <w:pPr>
        <w:ind w:firstLine="0"/>
        <w:rPr>
          <w:rFonts w:eastAsia="Book Antiqua" w:cs="Book Antiqua"/>
        </w:rPr>
      </w:pPr>
      <w:r w:rsidRPr="00ED4E1B">
        <w:tab/>
      </w:r>
      <w:r w:rsidRPr="00ED4E1B">
        <w:rPr>
          <w:rFonts w:eastAsia="Book Antiqua" w:cs="Book Antiqua"/>
          <w:szCs w:val="26"/>
        </w:rPr>
        <w:t xml:space="preserve">The Staff Proposal recommends that any ratepayer funds used for the proposed </w:t>
      </w:r>
      <w:r>
        <w:rPr>
          <w:rFonts w:eastAsia="Book Antiqua" w:cs="Book Antiqua"/>
          <w:szCs w:val="26"/>
        </w:rPr>
        <w:t>E</w:t>
      </w:r>
      <w:r w:rsidRPr="00ED4E1B">
        <w:rPr>
          <w:rFonts w:eastAsia="Book Antiqua" w:cs="Book Antiqua"/>
          <w:szCs w:val="26"/>
        </w:rPr>
        <w:t>lectrification Initiative that are not already covered by the MHP UCP be recorded in a one-way balancing account.</w:t>
      </w:r>
    </w:p>
    <w:p w:rsidRPr="00ED4E1B" w:rsidR="001372AE" w:rsidP="001372AE" w:rsidRDefault="001372AE" w14:paraId="3B8062EE" w14:textId="77777777">
      <w:pPr>
        <w:pStyle w:val="Heading3"/>
      </w:pPr>
      <w:bookmarkStart w:name="_Toc204269598" w:id="69"/>
      <w:bookmarkStart w:name="_Toc700154630" w:id="70"/>
      <w:bookmarkStart w:name="_Toc1578366054" w:id="71"/>
      <w:r w:rsidRPr="00ED4E1B">
        <w:t>Party Comments</w:t>
      </w:r>
      <w:bookmarkEnd w:id="69"/>
      <w:bookmarkEnd w:id="70"/>
      <w:bookmarkEnd w:id="71"/>
    </w:p>
    <w:p w:rsidRPr="00ED4E1B" w:rsidR="001372AE" w:rsidP="001372AE" w:rsidRDefault="001372AE" w14:paraId="476011A3" w14:textId="77777777">
      <w:pPr>
        <w:rPr>
          <w:rFonts w:eastAsia="Book Antiqua" w:cs="Book Antiqua"/>
          <w:szCs w:val="26"/>
        </w:rPr>
      </w:pPr>
      <w:r w:rsidRPr="00ED4E1B">
        <w:rPr>
          <w:rFonts w:eastAsia="Book Antiqua" w:cs="Book Antiqua"/>
          <w:szCs w:val="26"/>
        </w:rPr>
        <w:t>NRDC supports the Staff Proposal’s recommendation of leveraging non-ratepayer sources of funding, including Inflation Reduction Act incentives and EBD funding. They also suggest the Commission consider federal funding opportunities, such as grants and loan programs dedicated to weatherization and energy efficiency retrofits, manufactured housing preservation and revitalization, and affordable housing improvements.</w:t>
      </w:r>
      <w:r w:rsidRPr="00ED4E1B">
        <w:rPr>
          <w:rFonts w:eastAsia="Book Antiqua" w:cs="Book Antiqua"/>
          <w:szCs w:val="26"/>
          <w:vertAlign w:val="superscript"/>
        </w:rPr>
        <w:footnoteReference w:id="56"/>
      </w:r>
      <w:r w:rsidRPr="00ED4E1B">
        <w:rPr>
          <w:rFonts w:eastAsia="Book Antiqua" w:cs="Book Antiqua"/>
          <w:szCs w:val="26"/>
        </w:rPr>
        <w:t xml:space="preserve"> </w:t>
      </w:r>
    </w:p>
    <w:p w:rsidRPr="00ED4E1B" w:rsidR="001372AE" w:rsidP="001372AE" w:rsidRDefault="001372AE" w14:paraId="4B917780" w14:textId="77777777">
      <w:pPr>
        <w:rPr>
          <w:rFonts w:eastAsia="Book Antiqua" w:cs="Book Antiqua"/>
          <w:szCs w:val="26"/>
        </w:rPr>
      </w:pPr>
      <w:r w:rsidRPr="00ED4E1B">
        <w:rPr>
          <w:rFonts w:eastAsia="Book Antiqua" w:cs="Book Antiqua"/>
          <w:szCs w:val="26"/>
        </w:rPr>
        <w:lastRenderedPageBreak/>
        <w:t>Regarding capitalization of BTM costs related to the initiative, the Joint CCAs recommend not allowing any BTM assets to be capitalized.</w:t>
      </w:r>
      <w:r w:rsidRPr="00ED4E1B">
        <w:rPr>
          <w:rFonts w:eastAsia="Book Antiqua" w:cs="Book Antiqua"/>
          <w:szCs w:val="26"/>
          <w:vertAlign w:val="superscript"/>
        </w:rPr>
        <w:footnoteReference w:id="57"/>
      </w:r>
      <w:r w:rsidRPr="00ED4E1B">
        <w:rPr>
          <w:rFonts w:eastAsia="Book Antiqua" w:cs="Book Antiqua"/>
          <w:szCs w:val="26"/>
        </w:rPr>
        <w:t xml:space="preserve"> On the other hand, PG&amp;E requests that BTM costs related to the initiative also be capitalized, in the same manner as the limited BTM work for the MHP UCP.</w:t>
      </w:r>
      <w:r w:rsidRPr="00ED4E1B">
        <w:rPr>
          <w:rFonts w:eastAsia="Book Antiqua" w:cs="Book Antiqua"/>
          <w:szCs w:val="26"/>
          <w:vertAlign w:val="superscript"/>
        </w:rPr>
        <w:footnoteReference w:id="58"/>
      </w:r>
      <w:r w:rsidRPr="00ED4E1B">
        <w:rPr>
          <w:rFonts w:eastAsia="Book Antiqua" w:cs="Book Antiqua"/>
          <w:szCs w:val="26"/>
        </w:rPr>
        <w:t xml:space="preserve"> SCE requests that non-ratepayer funding </w:t>
      </w:r>
      <w:r w:rsidRPr="00ED4E1B">
        <w:rPr>
          <w:rFonts w:eastAsia="Book Antiqua" w:cs="Book Antiqua"/>
          <w:i/>
          <w:szCs w:val="26"/>
        </w:rPr>
        <w:t>not</w:t>
      </w:r>
      <w:r w:rsidRPr="00ED4E1B">
        <w:rPr>
          <w:rFonts w:eastAsia="Book Antiqua" w:cs="Book Antiqua"/>
          <w:szCs w:val="26"/>
        </w:rPr>
        <w:t xml:space="preserve"> be used to offset the costs already covered by the MHP UCP.</w:t>
      </w:r>
      <w:r w:rsidRPr="00ED4E1B">
        <w:rPr>
          <w:rFonts w:eastAsia="Book Antiqua" w:cs="Book Antiqua"/>
          <w:szCs w:val="26"/>
          <w:vertAlign w:val="superscript"/>
        </w:rPr>
        <w:footnoteReference w:id="59"/>
      </w:r>
    </w:p>
    <w:p w:rsidR="001372AE" w:rsidP="001372AE" w:rsidRDefault="001372AE" w14:paraId="26A248D0" w14:textId="77777777">
      <w:pPr>
        <w:rPr>
          <w:rFonts w:eastAsia="Book Antiqua" w:cs="Book Antiqua"/>
          <w:szCs w:val="26"/>
        </w:rPr>
      </w:pPr>
      <w:r w:rsidRPr="00ED4E1B">
        <w:rPr>
          <w:rFonts w:eastAsia="Book Antiqua" w:cs="Book Antiqua"/>
          <w:szCs w:val="26"/>
        </w:rPr>
        <w:t xml:space="preserve">As to the balancing account for cost recovery, SCE and SDG&amp;E both request that the balancing account be a two-way balancing account, as opposed to the one-way balancing account recommended by Staff. They argue that the costs of this </w:t>
      </w:r>
      <w:r>
        <w:rPr>
          <w:rFonts w:eastAsia="Book Antiqua" w:cs="Book Antiqua"/>
          <w:szCs w:val="26"/>
        </w:rPr>
        <w:t xml:space="preserve">Electrification </w:t>
      </w:r>
      <w:r w:rsidRPr="00ED4E1B">
        <w:rPr>
          <w:rFonts w:eastAsia="Book Antiqua" w:cs="Book Antiqua"/>
          <w:szCs w:val="26"/>
        </w:rPr>
        <w:t>Initiative are highly uncertain and place high risk on the utilities, since the IOUs would not be able to recover any under-collections in a one-way balancing account.</w:t>
      </w:r>
      <w:r w:rsidRPr="00ED4E1B">
        <w:rPr>
          <w:rFonts w:eastAsia="Book Antiqua" w:cs="Book Antiqua"/>
          <w:szCs w:val="26"/>
          <w:vertAlign w:val="superscript"/>
        </w:rPr>
        <w:footnoteReference w:id="60"/>
      </w:r>
      <w:r w:rsidRPr="00ED4E1B">
        <w:rPr>
          <w:rFonts w:eastAsia="Book Antiqua" w:cs="Book Antiqua"/>
          <w:szCs w:val="26"/>
        </w:rPr>
        <w:t xml:space="preserve"> SDG&amp;E recommends that if the Commission does not authorize establishment of a two-way balancing account, that the Commission allow the IOUs to file an advice letter, application, or alternative regulatory filing to ensure full cost recovery of the relevant costs of this </w:t>
      </w:r>
      <w:r>
        <w:rPr>
          <w:rFonts w:eastAsia="Book Antiqua" w:cs="Book Antiqua"/>
          <w:szCs w:val="26"/>
        </w:rPr>
        <w:t xml:space="preserve">Electrification </w:t>
      </w:r>
      <w:r w:rsidRPr="00ED4E1B">
        <w:rPr>
          <w:rFonts w:eastAsia="Book Antiqua" w:cs="Book Antiqua"/>
          <w:szCs w:val="26"/>
        </w:rPr>
        <w:t>Initiative.</w:t>
      </w:r>
      <w:r w:rsidRPr="00ED4E1B">
        <w:rPr>
          <w:rFonts w:eastAsia="Book Antiqua" w:cs="Book Antiqua"/>
          <w:szCs w:val="26"/>
          <w:vertAlign w:val="superscript"/>
        </w:rPr>
        <w:footnoteReference w:id="61"/>
      </w:r>
    </w:p>
    <w:p w:rsidR="001372AE" w:rsidP="001372AE" w:rsidRDefault="001372AE" w14:paraId="3AD008D6" w14:textId="77777777">
      <w:pPr>
        <w:pStyle w:val="Heading3"/>
      </w:pPr>
      <w:bookmarkStart w:name="_Toc226921117" w:id="72"/>
      <w:bookmarkStart w:name="_Toc235120240" w:id="73"/>
      <w:r>
        <w:t>Funding and Cost Recovery Discussion</w:t>
      </w:r>
      <w:bookmarkEnd w:id="72"/>
      <w:bookmarkEnd w:id="73"/>
    </w:p>
    <w:p w:rsidRPr="00ED4E1B" w:rsidR="001372AE" w:rsidP="001372AE" w:rsidRDefault="001372AE" w14:paraId="59EFD933" w14:textId="77777777">
      <w:r w:rsidRPr="00ED4E1B">
        <w:t xml:space="preserve">We </w:t>
      </w:r>
      <w:r>
        <w:t>agree with</w:t>
      </w:r>
      <w:r w:rsidRPr="00ED4E1B">
        <w:t xml:space="preserve"> the Staff Proposal’s recommendation to </w:t>
      </w:r>
      <w:r>
        <w:t xml:space="preserve">prioritize non-ratepayer funding for BTM electrification measures before drawing from ratepayer funds. We decline to adopt the Staff Proposal’s recommendation to </w:t>
      </w:r>
      <w:r w:rsidRPr="00ED4E1B">
        <w:t xml:space="preserve">use </w:t>
      </w:r>
      <w:r w:rsidRPr="00ED4E1B">
        <w:lastRenderedPageBreak/>
        <w:t xml:space="preserve">$50 million in PPP funds for this </w:t>
      </w:r>
      <w:r>
        <w:t>E</w:t>
      </w:r>
      <w:r w:rsidRPr="00ED4E1B">
        <w:t xml:space="preserve">lectrification Initiative and instead </w:t>
      </w:r>
      <w:r>
        <w:t xml:space="preserve">seek to leverage </w:t>
      </w:r>
      <w:r w:rsidRPr="00ED4E1B">
        <w:t>existing EBD funds</w:t>
      </w:r>
      <w:r>
        <w:t xml:space="preserve"> to cover the cost of pursuing electrification measures</w:t>
      </w:r>
      <w:r w:rsidRPr="00ED4E1B">
        <w:t>.</w:t>
      </w:r>
      <w:r>
        <w:t xml:space="preserve"> The Electrification Initiative is not precluded from leveraging additional sources of funding, such as existing incentives and rebates, for in-home BTM electrification measures. However, this decision does not authorize any additional ratepayer funding for the Electrification Initiative.</w:t>
      </w:r>
      <w:r w:rsidRPr="00ED4E1B">
        <w:t xml:space="preserve"> </w:t>
      </w:r>
    </w:p>
    <w:p w:rsidRPr="00ED4E1B" w:rsidR="001372AE" w:rsidP="001372AE" w:rsidRDefault="001372AE" w14:paraId="616C6319" w14:textId="77777777">
      <w:r w:rsidRPr="00ED4E1B">
        <w:t xml:space="preserve"> This approach supports the importance of finding alternatives to ratepayer funding, to avoid adding additional upward pressure on electric rates, which can discourage customers from pursuing electrification. The EBD program presents a clear alternative source of funding for BTM electrification measures, as well as an opportunity for the MHP UCP and EBD programs to work synergistically.  Partnering with the CEC EBD Direct Install program is the best path forward for exploring full electrification for MHPs and manufactured homes.</w:t>
      </w:r>
    </w:p>
    <w:p w:rsidRPr="00ED4E1B" w:rsidR="001372AE" w:rsidP="001372AE" w:rsidRDefault="001372AE" w14:paraId="1622B3AA" w14:textId="163CC6F6">
      <w:r w:rsidRPr="00ED4E1B">
        <w:t xml:space="preserve">Since the selected MHPs are still participants in the MHP UCP, the large electric IOUs shall record and </w:t>
      </w:r>
      <w:r>
        <w:t>re</w:t>
      </w:r>
      <w:r w:rsidRPr="00ED4E1B">
        <w:t xml:space="preserve">cover costs for TTM and BTM electrical system work, as they do for all other parks in the MHP UCP. </w:t>
      </w:r>
      <w:r>
        <w:t xml:space="preserve">The large gas IOUs will record and recover costs for gas system decommissioning in MHPs selected by the Electrification Initiative with IOU-operated gas service as they do for all other parks in the MHP UCP. </w:t>
      </w:r>
      <w:r w:rsidRPr="00ED4E1B">
        <w:t>The large electric IOUs are not responsible for any in-home or common area BTM electrification work beyond the existing limited BTM electric system work already</w:t>
      </w:r>
      <w:r>
        <w:t xml:space="preserve"> conducted in </w:t>
      </w:r>
      <w:r w:rsidRPr="00ED4E1B">
        <w:t xml:space="preserve">the MHP UCP. Therefore, the large electric IOUs shall not recover any additional costs for BTM electrification work outside of the normal scope of the MHP UCP program. Any additional administrative costs </w:t>
      </w:r>
      <w:r>
        <w:t xml:space="preserve">incurred by the large electric or gas IOUs </w:t>
      </w:r>
      <w:r w:rsidRPr="00ED4E1B">
        <w:t xml:space="preserve">for coordination with CEC and EBD program administrators </w:t>
      </w:r>
      <w:r>
        <w:t>for the Electrification</w:t>
      </w:r>
      <w:r w:rsidRPr="00ED4E1B">
        <w:t xml:space="preserve"> Initiative shall </w:t>
      </w:r>
      <w:r w:rsidRPr="00ED4E1B">
        <w:lastRenderedPageBreak/>
        <w:t xml:space="preserve">be recorded and </w:t>
      </w:r>
      <w:proofErr w:type="gramStart"/>
      <w:r w:rsidRPr="00ED4E1B">
        <w:t>expensed</w:t>
      </w:r>
      <w:proofErr w:type="gramEnd"/>
      <w:r w:rsidRPr="00ED4E1B">
        <w:t xml:space="preserve"> to the MHP UCP as administrative costs. These costs shall be recorded and reported explicitly as costs associated with the </w:t>
      </w:r>
      <w:r>
        <w:t>E</w:t>
      </w:r>
      <w:r w:rsidRPr="00ED4E1B">
        <w:t xml:space="preserve">lectrification Initiative.  </w:t>
      </w:r>
    </w:p>
    <w:p w:rsidRPr="00EE3CC1" w:rsidR="001372AE" w:rsidP="001372AE" w:rsidRDefault="001372AE" w14:paraId="4C5344B8" w14:textId="242E72C7">
      <w:r w:rsidRPr="00EE3CC1">
        <w:t xml:space="preserve">The number of parks converted through this </w:t>
      </w:r>
      <w:r>
        <w:t>Electrification I</w:t>
      </w:r>
      <w:r w:rsidRPr="00EE3CC1">
        <w:t>nitiative will be added to the total conversions completed through the standard MHP UCP annually</w:t>
      </w:r>
      <w:r>
        <w:t xml:space="preserve"> for each large electric and gas IOU. The conversions</w:t>
      </w:r>
      <w:r w:rsidRPr="00EE3CC1">
        <w:t xml:space="preserve"> shall stay within the same annual soft targets established </w:t>
      </w:r>
      <w:proofErr w:type="gramStart"/>
      <w:r w:rsidRPr="00EE3CC1">
        <w:t>in</w:t>
      </w:r>
      <w:proofErr w:type="gramEnd"/>
      <w:r w:rsidRPr="00EE3CC1">
        <w:t xml:space="preserve"> D.20-04-004: SCE</w:t>
      </w:r>
      <w:r>
        <w:t>,</w:t>
      </w:r>
      <w:r w:rsidRPr="00EE3CC1">
        <w:t xml:space="preserve"> SDG&amp;E and</w:t>
      </w:r>
      <w:r>
        <w:t xml:space="preserve"> SoCalGas</w:t>
      </w:r>
      <w:r w:rsidRPr="00EE3CC1">
        <w:t xml:space="preserve"> are allowed 3.33 percent each, PG&amp;E is allowed to convert 2.5</w:t>
      </w:r>
      <w:r>
        <w:t xml:space="preserve"> percent</w:t>
      </w:r>
      <w:r w:rsidRPr="00EE3CC1">
        <w:t xml:space="preserve"> of its total spaces</w:t>
      </w:r>
      <w:r>
        <w:t>, and SWG is allowed 450 spaces</w:t>
      </w:r>
      <w:r w:rsidRPr="00EE3CC1">
        <w:t xml:space="preserve"> on an annual basis. The large electric </w:t>
      </w:r>
      <w:r>
        <w:t xml:space="preserve">and gas </w:t>
      </w:r>
      <w:r w:rsidRPr="00EE3CC1">
        <w:t xml:space="preserve">IOUs shall count the spaces converted </w:t>
      </w:r>
      <w:r>
        <w:t>through</w:t>
      </w:r>
      <w:r w:rsidRPr="00EE3CC1">
        <w:t xml:space="preserve"> th</w:t>
      </w:r>
      <w:r>
        <w:t>e</w:t>
      </w:r>
      <w:r w:rsidRPr="00EE3CC1">
        <w:t xml:space="preserve"> </w:t>
      </w:r>
      <w:r>
        <w:t xml:space="preserve">Electrification </w:t>
      </w:r>
      <w:r w:rsidRPr="00EE3CC1">
        <w:t>Initiative toward their total program conversion goals. </w:t>
      </w:r>
    </w:p>
    <w:p w:rsidRPr="00ED4E1B" w:rsidR="001372AE" w:rsidP="001372AE" w:rsidRDefault="001372AE" w14:paraId="31801705" w14:textId="77777777">
      <w:pPr>
        <w:pStyle w:val="Heading2"/>
      </w:pPr>
      <w:bookmarkStart w:name="_Toc204269599" w:id="74"/>
      <w:bookmarkStart w:name="_Toc1407075013" w:id="75"/>
      <w:bookmarkStart w:name="_Toc104658488" w:id="76"/>
      <w:r w:rsidRPr="00E57EB1">
        <w:t>Tenant</w:t>
      </w:r>
      <w:r w:rsidRPr="00ED4E1B">
        <w:t xml:space="preserve"> Protections</w:t>
      </w:r>
      <w:bookmarkEnd w:id="74"/>
      <w:bookmarkEnd w:id="75"/>
      <w:bookmarkEnd w:id="76"/>
    </w:p>
    <w:p w:rsidRPr="00ED4E1B" w:rsidR="001372AE" w:rsidP="001372AE" w:rsidRDefault="001372AE" w14:paraId="19FFDBEF" w14:textId="77777777">
      <w:pPr>
        <w:pStyle w:val="Heading3"/>
      </w:pPr>
      <w:bookmarkStart w:name="_Toc204269600" w:id="77"/>
      <w:bookmarkStart w:name="_Toc2040184885" w:id="78"/>
      <w:bookmarkStart w:name="_Toc886804257" w:id="79"/>
      <w:r w:rsidRPr="00ED4E1B">
        <w:t>Staff Proposal</w:t>
      </w:r>
      <w:bookmarkEnd w:id="77"/>
      <w:bookmarkEnd w:id="78"/>
      <w:bookmarkEnd w:id="79"/>
    </w:p>
    <w:p w:rsidRPr="00ED4E1B" w:rsidR="001372AE" w:rsidP="001372AE" w:rsidRDefault="001372AE" w14:paraId="07A50D62" w14:textId="77777777">
      <w:pPr>
        <w:textAlignment w:val="baseline"/>
        <w:rPr>
          <w:rFonts w:eastAsiaTheme="minorEastAsia"/>
          <w:szCs w:val="26"/>
        </w:rPr>
      </w:pPr>
      <w:r w:rsidRPr="00ED4E1B">
        <w:rPr>
          <w:rFonts w:eastAsiaTheme="minorEastAsia"/>
          <w:szCs w:val="26"/>
        </w:rPr>
        <w:t xml:space="preserve">The Staff Proposal recommends that the </w:t>
      </w:r>
      <w:r>
        <w:rPr>
          <w:rFonts w:eastAsiaTheme="minorEastAsia"/>
          <w:szCs w:val="26"/>
        </w:rPr>
        <w:t>E</w:t>
      </w:r>
      <w:r w:rsidRPr="00ED4E1B">
        <w:rPr>
          <w:rFonts w:eastAsiaTheme="minorEastAsia"/>
          <w:szCs w:val="26"/>
        </w:rPr>
        <w:t>lectrification Initiative require tenant protections, in line with final EBD guidelines.</w:t>
      </w:r>
      <w:r w:rsidRPr="00ED4E1B">
        <w:rPr>
          <w:rFonts w:eastAsiaTheme="minorEastAsia"/>
          <w:szCs w:val="26"/>
          <w:vertAlign w:val="superscript"/>
        </w:rPr>
        <w:footnoteReference w:id="62"/>
      </w:r>
      <w:r w:rsidRPr="00ED4E1B">
        <w:rPr>
          <w:rFonts w:eastAsiaTheme="minorEastAsia"/>
          <w:szCs w:val="26"/>
        </w:rPr>
        <w:t xml:space="preserve"> Those guidelines stipulate that "property owners shall be subject to all applicable state and local laws regarding tenant displacement, eviction, and rent increases."</w:t>
      </w:r>
      <w:r w:rsidRPr="00ED4E1B">
        <w:rPr>
          <w:rFonts w:eastAsiaTheme="minorEastAsia"/>
          <w:szCs w:val="26"/>
          <w:vertAlign w:val="superscript"/>
        </w:rPr>
        <w:footnoteReference w:id="63"/>
      </w:r>
      <w:r w:rsidRPr="00ED4E1B">
        <w:rPr>
          <w:rFonts w:eastAsiaTheme="minorEastAsia"/>
          <w:szCs w:val="26"/>
        </w:rPr>
        <w:t xml:space="preserve"> Additionally, tenants should be given clear and complete information in the predominant language spoken in the MHP regarding:  </w:t>
      </w:r>
    </w:p>
    <w:p w:rsidRPr="00ED4E1B" w:rsidR="001372AE" w:rsidP="001372AE" w:rsidRDefault="001372AE" w14:paraId="61FF2CDC" w14:textId="77777777">
      <w:pPr>
        <w:pStyle w:val="ListBullet"/>
        <w:ind w:right="1440"/>
      </w:pPr>
      <w:r w:rsidRPr="00ED4E1B">
        <w:t xml:space="preserve">Measures that will be </w:t>
      </w:r>
      <w:proofErr w:type="gramStart"/>
      <w:r w:rsidRPr="00ED4E1B">
        <w:t>installed;</w:t>
      </w:r>
      <w:proofErr w:type="gramEnd"/>
      <w:r w:rsidRPr="00ED4E1B">
        <w:t> </w:t>
      </w:r>
    </w:p>
    <w:p w:rsidRPr="00ED4E1B" w:rsidR="001372AE" w:rsidP="001372AE" w:rsidRDefault="001372AE" w14:paraId="1568DFF9" w14:textId="77777777">
      <w:pPr>
        <w:pStyle w:val="ListBullet"/>
        <w:ind w:right="1440"/>
      </w:pPr>
      <w:r w:rsidRPr="00ED4E1B">
        <w:t xml:space="preserve">Estimated duration of construction and hours of </w:t>
      </w:r>
      <w:proofErr w:type="gramStart"/>
      <w:r w:rsidRPr="00ED4E1B">
        <w:t>construction;</w:t>
      </w:r>
      <w:proofErr w:type="gramEnd"/>
      <w:r w:rsidRPr="00ED4E1B">
        <w:t> </w:t>
      </w:r>
    </w:p>
    <w:p w:rsidRPr="00ED4E1B" w:rsidR="001372AE" w:rsidP="001372AE" w:rsidRDefault="001372AE" w14:paraId="73650415" w14:textId="77777777">
      <w:pPr>
        <w:pStyle w:val="ListBullet"/>
        <w:ind w:right="1440"/>
      </w:pPr>
      <w:r w:rsidRPr="00ED4E1B">
        <w:t>Whether the tenant will need to be temporarily displaced; and </w:t>
      </w:r>
    </w:p>
    <w:p w:rsidRPr="00622BF6" w:rsidR="001372AE" w:rsidP="001372AE" w:rsidRDefault="001372AE" w14:paraId="055A956A" w14:textId="77777777">
      <w:pPr>
        <w:pStyle w:val="ListBullet"/>
        <w:ind w:right="1440"/>
      </w:pPr>
      <w:r w:rsidRPr="00ED4E1B">
        <w:lastRenderedPageBreak/>
        <w:t>Tenant rights regarding displacement, rent increase, and eviction. </w:t>
      </w:r>
    </w:p>
    <w:p w:rsidRPr="00ED4E1B" w:rsidR="001372AE" w:rsidP="001372AE" w:rsidRDefault="001372AE" w14:paraId="7F22B9AD" w14:textId="77777777">
      <w:pPr>
        <w:textAlignment w:val="baseline"/>
        <w:rPr>
          <w:rFonts w:eastAsiaTheme="minorEastAsia"/>
          <w:szCs w:val="26"/>
        </w:rPr>
      </w:pPr>
      <w:r w:rsidRPr="00ED4E1B">
        <w:rPr>
          <w:rFonts w:eastAsiaTheme="minorEastAsia"/>
          <w:szCs w:val="26"/>
        </w:rPr>
        <w:t xml:space="preserve">Projects for the </w:t>
      </w:r>
      <w:r>
        <w:rPr>
          <w:rFonts w:eastAsiaTheme="minorEastAsia"/>
          <w:szCs w:val="26"/>
        </w:rPr>
        <w:t xml:space="preserve">Electrification </w:t>
      </w:r>
      <w:r w:rsidRPr="00ED4E1B">
        <w:rPr>
          <w:rFonts w:eastAsiaTheme="minorEastAsia"/>
          <w:szCs w:val="26"/>
        </w:rPr>
        <w:t>Initiative should try to avoid temporary displacement of tenants. If tenants must temporarily move, they shall be given the right of return to the same unit after all construction is finished. Property owners should also commit in writing that tenants are protected from eviction “before, during, or after the project and all just cause protections, as defined in California Civil Code Section 1946.2, are in force” and that the measures installed should not be the reason for just cause eviction or rent increases.</w:t>
      </w:r>
    </w:p>
    <w:p w:rsidRPr="00ED4E1B" w:rsidR="001372AE" w:rsidP="001372AE" w:rsidRDefault="001372AE" w14:paraId="723A2E8F" w14:textId="77777777">
      <w:pPr>
        <w:pStyle w:val="Heading3"/>
      </w:pPr>
      <w:bookmarkStart w:name="_Toc204269601" w:id="80"/>
      <w:bookmarkStart w:name="_Toc1793617972" w:id="81"/>
      <w:bookmarkStart w:name="_Toc1574528823" w:id="82"/>
      <w:r w:rsidRPr="00ED4E1B">
        <w:t xml:space="preserve">Party </w:t>
      </w:r>
      <w:r w:rsidRPr="00E57EB1">
        <w:t>Comments</w:t>
      </w:r>
      <w:bookmarkEnd w:id="80"/>
      <w:bookmarkEnd w:id="81"/>
      <w:bookmarkEnd w:id="82"/>
    </w:p>
    <w:p w:rsidRPr="00ED4E1B" w:rsidR="001372AE" w:rsidP="001372AE" w:rsidRDefault="001372AE" w14:paraId="3D1928F3" w14:textId="77777777">
      <w:pPr>
        <w:ind w:firstLine="540"/>
        <w:rPr>
          <w:rFonts w:eastAsia="Book Antiqua" w:cs="Book Antiqua"/>
          <w:szCs w:val="26"/>
        </w:rPr>
      </w:pPr>
      <w:r w:rsidRPr="00ED4E1B">
        <w:rPr>
          <w:rFonts w:eastAsia="Book Antiqua" w:cs="Book Antiqua"/>
          <w:szCs w:val="26"/>
        </w:rPr>
        <w:t xml:space="preserve">SDG&amp;E comments that tenants should be educated on the </w:t>
      </w:r>
      <w:r>
        <w:rPr>
          <w:rFonts w:eastAsia="Book Antiqua" w:cs="Book Antiqua"/>
          <w:szCs w:val="26"/>
        </w:rPr>
        <w:t xml:space="preserve">Electrification </w:t>
      </w:r>
      <w:r w:rsidRPr="00ED4E1B">
        <w:rPr>
          <w:rFonts w:eastAsia="Book Antiqua" w:cs="Book Antiqua"/>
          <w:szCs w:val="26"/>
        </w:rPr>
        <w:t>Initiative, and that tenant protection should be enforced for impacted residents. SDG&amp;E also notes that “if work performed inside the home will require temporary displacement of the residents, it seems appropriate to provide temporary housing for residents.”</w:t>
      </w:r>
      <w:r w:rsidRPr="00ED4E1B">
        <w:rPr>
          <w:rFonts w:eastAsia="Book Antiqua" w:cs="Book Antiqua"/>
          <w:szCs w:val="26"/>
          <w:vertAlign w:val="superscript"/>
        </w:rPr>
        <w:footnoteReference w:id="64"/>
      </w:r>
    </w:p>
    <w:p w:rsidR="001372AE" w:rsidP="001372AE" w:rsidRDefault="001372AE" w14:paraId="0944B5A4" w14:textId="77777777">
      <w:pPr>
        <w:ind w:firstLine="540"/>
        <w:rPr>
          <w:rFonts w:eastAsia="Book Antiqua" w:cs="Book Antiqua"/>
          <w:szCs w:val="26"/>
        </w:rPr>
      </w:pPr>
      <w:r w:rsidRPr="00ED4E1B">
        <w:rPr>
          <w:rFonts w:eastAsia="Book Antiqua" w:cs="Book Antiqua"/>
          <w:szCs w:val="26"/>
        </w:rPr>
        <w:t xml:space="preserve">SCE requests that the IOUs coordinate with the Commission about tenant protections, as outlined in the EBD guidelines, prior to </w:t>
      </w:r>
      <w:r>
        <w:rPr>
          <w:rFonts w:eastAsia="Book Antiqua" w:cs="Book Antiqua"/>
          <w:szCs w:val="26"/>
        </w:rPr>
        <w:t xml:space="preserve">Electrification </w:t>
      </w:r>
      <w:r w:rsidRPr="00ED4E1B">
        <w:rPr>
          <w:rFonts w:eastAsia="Book Antiqua" w:cs="Book Antiqua"/>
          <w:szCs w:val="26"/>
        </w:rPr>
        <w:t>Initiative implementation.</w:t>
      </w:r>
      <w:r w:rsidRPr="00ED4E1B">
        <w:rPr>
          <w:rFonts w:eastAsia="Book Antiqua" w:cs="Book Antiqua"/>
          <w:szCs w:val="26"/>
          <w:vertAlign w:val="superscript"/>
        </w:rPr>
        <w:footnoteReference w:id="65"/>
      </w:r>
    </w:p>
    <w:p w:rsidRPr="00ED4E1B" w:rsidR="001372AE" w:rsidP="001372AE" w:rsidRDefault="001372AE" w14:paraId="2BF9135F" w14:textId="77777777">
      <w:pPr>
        <w:pStyle w:val="Heading3"/>
      </w:pPr>
      <w:bookmarkStart w:name="_Toc1121521219" w:id="83"/>
      <w:bookmarkStart w:name="_Toc684122297" w:id="84"/>
      <w:r>
        <w:t xml:space="preserve">Tenant </w:t>
      </w:r>
      <w:r w:rsidRPr="00E57EB1">
        <w:t>Protections</w:t>
      </w:r>
      <w:r>
        <w:t xml:space="preserve"> Discussion</w:t>
      </w:r>
      <w:bookmarkEnd w:id="83"/>
      <w:bookmarkEnd w:id="84"/>
    </w:p>
    <w:p w:rsidRPr="00EE3CC1" w:rsidR="001372AE" w:rsidP="001372AE" w:rsidRDefault="001372AE" w14:paraId="0D68DF3C" w14:textId="77777777">
      <w:r w:rsidRPr="00ED4E1B">
        <w:t xml:space="preserve">As recommended by the Staff Proposal, we </w:t>
      </w:r>
      <w:r>
        <w:t>adopt the</w:t>
      </w:r>
      <w:r w:rsidRPr="00ED4E1B">
        <w:t xml:space="preserve"> EBD program</w:t>
      </w:r>
      <w:r>
        <w:t xml:space="preserve"> guidelines</w:t>
      </w:r>
      <w:r w:rsidRPr="00ED4E1B">
        <w:t xml:space="preserve"> for implementing and enforcing tenant protection measures related to any BTM electrification work performed in the MHP as part of EBD Direct Install retrofits. The MHPs participating in this joint Initiative must still sign the existing MHP UCP agreement, which contains consumer protection provisions and binds </w:t>
      </w:r>
      <w:r w:rsidRPr="00ED4E1B">
        <w:lastRenderedPageBreak/>
        <w:t>the property owners/residents of the MHPs to certain conditions for raising rents; notably, the agreement states that rent cannot be raised “because of the increased value of the unit due solely to infrastructure improvements” provided by the MHP UCP.</w:t>
      </w:r>
      <w:r w:rsidRPr="00ED4E1B">
        <w:rPr>
          <w:vertAlign w:val="superscript"/>
        </w:rPr>
        <w:footnoteReference w:id="66"/>
      </w:r>
    </w:p>
    <w:p w:rsidRPr="00ED4E1B" w:rsidR="001372AE" w:rsidP="001372AE" w:rsidRDefault="001372AE" w14:paraId="0B48AB5C" w14:textId="77777777">
      <w:pPr>
        <w:pStyle w:val="Heading2"/>
      </w:pPr>
      <w:bookmarkStart w:name="_Toc204269602" w:id="85"/>
      <w:bookmarkStart w:name="_Toc341322486" w:id="86"/>
      <w:bookmarkStart w:name="_Toc400296575" w:id="87"/>
      <w:r w:rsidRPr="00ED4E1B">
        <w:t xml:space="preserve">Bill </w:t>
      </w:r>
      <w:r w:rsidRPr="00E57EB1">
        <w:t>Protection</w:t>
      </w:r>
      <w:bookmarkEnd w:id="85"/>
      <w:bookmarkEnd w:id="86"/>
      <w:bookmarkEnd w:id="87"/>
    </w:p>
    <w:p w:rsidRPr="00ED4E1B" w:rsidR="001372AE" w:rsidP="001372AE" w:rsidRDefault="001372AE" w14:paraId="7DE2A27D" w14:textId="77777777">
      <w:pPr>
        <w:pStyle w:val="Heading3"/>
      </w:pPr>
      <w:bookmarkStart w:name="_Toc204269603" w:id="88"/>
      <w:bookmarkStart w:name="_Toc1571744184" w:id="89"/>
      <w:bookmarkStart w:name="_Toc1081949782" w:id="90"/>
      <w:r w:rsidRPr="00ED4E1B">
        <w:t xml:space="preserve">Staff </w:t>
      </w:r>
      <w:r w:rsidRPr="00E57EB1">
        <w:t>Proposal</w:t>
      </w:r>
      <w:bookmarkEnd w:id="88"/>
      <w:bookmarkEnd w:id="89"/>
      <w:bookmarkEnd w:id="90"/>
      <w:r w:rsidRPr="00ED4E1B">
        <w:t xml:space="preserve"> </w:t>
      </w:r>
    </w:p>
    <w:p w:rsidRPr="00ED4E1B" w:rsidR="001372AE" w:rsidP="001372AE" w:rsidRDefault="001372AE" w14:paraId="7A808CD8" w14:textId="77777777">
      <w:pPr>
        <w:rPr>
          <w:rFonts w:eastAsia="Book Antiqua" w:cs="Book Antiqua"/>
          <w:szCs w:val="26"/>
        </w:rPr>
      </w:pPr>
      <w:r w:rsidRPr="00ED4E1B">
        <w:rPr>
          <w:rFonts w:eastAsia="Book Antiqua" w:cs="Book Antiqua"/>
          <w:szCs w:val="26"/>
        </w:rPr>
        <w:t>Staff recommend that customers</w:t>
      </w:r>
      <w:r w:rsidRPr="00ED4E1B" w:rsidDel="00762AA6">
        <w:rPr>
          <w:rFonts w:eastAsia="Book Antiqua" w:cs="Book Antiqua"/>
          <w:szCs w:val="26"/>
        </w:rPr>
        <w:t xml:space="preserve"> </w:t>
      </w:r>
      <w:r w:rsidRPr="00ED4E1B">
        <w:rPr>
          <w:rFonts w:eastAsia="Book Antiqua" w:cs="Book Antiqua"/>
          <w:szCs w:val="26"/>
        </w:rPr>
        <w:t xml:space="preserve">who participate in the </w:t>
      </w:r>
      <w:r>
        <w:rPr>
          <w:rFonts w:eastAsia="Book Antiqua" w:cs="Book Antiqua"/>
          <w:szCs w:val="26"/>
        </w:rPr>
        <w:t xml:space="preserve">Electrification </w:t>
      </w:r>
      <w:r w:rsidRPr="00ED4E1B">
        <w:rPr>
          <w:rFonts w:eastAsia="Book Antiqua" w:cs="Book Antiqua"/>
          <w:szCs w:val="26"/>
        </w:rPr>
        <w:t>Initiative should enroll in programs that will ensure insulation from high utility bills. The Commission has several programs that customers can enroll in to maximize savings and reduce their utility bills, including the following:</w:t>
      </w:r>
    </w:p>
    <w:p w:rsidRPr="00ED4E1B" w:rsidR="001372AE" w:rsidP="001372AE" w:rsidRDefault="001372AE" w14:paraId="30A828FD" w14:textId="77777777">
      <w:pPr>
        <w:pStyle w:val="ListBullet"/>
        <w:ind w:right="1440"/>
      </w:pPr>
      <w:r w:rsidRPr="00ED4E1B">
        <w:t xml:space="preserve">California Alternative Rates for Energy (CARE), which offers low-income customers a minimum 20 percent discount on their </w:t>
      </w:r>
      <w:proofErr w:type="gramStart"/>
      <w:r w:rsidRPr="00ED4E1B">
        <w:t>electric</w:t>
      </w:r>
      <w:proofErr w:type="gramEnd"/>
      <w:r w:rsidRPr="00ED4E1B">
        <w:t xml:space="preserve"> </w:t>
      </w:r>
      <w:proofErr w:type="gramStart"/>
      <w:r w:rsidRPr="00ED4E1B">
        <w:t>rates;</w:t>
      </w:r>
      <w:proofErr w:type="gramEnd"/>
    </w:p>
    <w:p w:rsidRPr="00ED4E1B" w:rsidR="001372AE" w:rsidP="001372AE" w:rsidRDefault="001372AE" w14:paraId="3E3948C1" w14:textId="77777777">
      <w:pPr>
        <w:spacing w:line="240" w:lineRule="auto"/>
        <w:ind w:right="1440" w:firstLine="0"/>
        <w:textAlignment w:val="baseline"/>
      </w:pPr>
    </w:p>
    <w:p w:rsidRPr="00ED4E1B" w:rsidR="001372AE" w:rsidP="001372AE" w:rsidRDefault="001372AE" w14:paraId="36A8DB99" w14:textId="77777777">
      <w:pPr>
        <w:pStyle w:val="ListBullet"/>
        <w:ind w:right="1440"/>
      </w:pPr>
      <w:r w:rsidRPr="00ED4E1B">
        <w:t xml:space="preserve">Family Electric Rate Assistance (FERA), which allows households with three more people, who also meet income guidelines, to receive an 18 percent discount on electric </w:t>
      </w:r>
      <w:proofErr w:type="gramStart"/>
      <w:r w:rsidRPr="00ED4E1B">
        <w:t>rates;</w:t>
      </w:r>
      <w:proofErr w:type="gramEnd"/>
    </w:p>
    <w:p w:rsidRPr="00ED4E1B" w:rsidR="001372AE" w:rsidP="001372AE" w:rsidRDefault="001372AE" w14:paraId="06FD3B00" w14:textId="77777777">
      <w:pPr>
        <w:pStyle w:val="ListBullet"/>
        <w:ind w:right="1440"/>
      </w:pPr>
      <w:r w:rsidRPr="00ED4E1B">
        <w:t xml:space="preserve">HPWH demand response programs, including PG&amp;E’s </w:t>
      </w:r>
      <w:proofErr w:type="spellStart"/>
      <w:r w:rsidRPr="00ED4E1B">
        <w:t>WatterSaver</w:t>
      </w:r>
      <w:proofErr w:type="spellEnd"/>
      <w:r w:rsidRPr="00ED4E1B">
        <w:t xml:space="preserve"> program, any similar programs established in the future, which will allow customers to install “smart,” grid-connected heat pump water heaters and optimize water heating during times when energy costs are </w:t>
      </w:r>
      <w:proofErr w:type="gramStart"/>
      <w:r w:rsidRPr="00ED4E1B">
        <w:t>lowest;</w:t>
      </w:r>
      <w:proofErr w:type="gramEnd"/>
      <w:r w:rsidRPr="00ED4E1B">
        <w:t> </w:t>
      </w:r>
    </w:p>
    <w:p w:rsidRPr="00ED4E1B" w:rsidR="001372AE" w:rsidP="001372AE" w:rsidRDefault="001372AE" w14:paraId="3BCD2E3D" w14:textId="77777777">
      <w:pPr>
        <w:pStyle w:val="ListBullet"/>
        <w:ind w:right="1440"/>
      </w:pPr>
      <w:r w:rsidRPr="00ED4E1B">
        <w:t>Disadvantaged Communities Green Tariff (DAC-GT) program offers customers in disadvantaged communities the opportunity to use utility-scale clean energy and receive 20% off their electric bill; and </w:t>
      </w:r>
    </w:p>
    <w:p w:rsidRPr="00ED4E1B" w:rsidR="001372AE" w:rsidP="001372AE" w:rsidRDefault="001372AE" w14:paraId="4973BFB0" w14:textId="77777777">
      <w:pPr>
        <w:pStyle w:val="ListBullet"/>
        <w:ind w:right="1440"/>
      </w:pPr>
      <w:r w:rsidRPr="00ED4E1B">
        <w:t xml:space="preserve">Community Solar Green Tariff (CSGT) programs offer customers 20% off their electric bill if they live in a </w:t>
      </w:r>
      <w:r w:rsidRPr="00ED4E1B">
        <w:lastRenderedPageBreak/>
        <w:t>disadvantaged community and are located within five miles of a community solar project. </w:t>
      </w:r>
    </w:p>
    <w:p w:rsidRPr="00ED4E1B" w:rsidR="001372AE" w:rsidP="001372AE" w:rsidRDefault="001372AE" w14:paraId="788DA17E" w14:textId="77777777">
      <w:pPr>
        <w:ind w:left="720" w:firstLine="0"/>
        <w:textAlignment w:val="baseline"/>
      </w:pPr>
      <w:r w:rsidRPr="00ED4E1B">
        <w:t xml:space="preserve">The Staff Proposal recommends that </w:t>
      </w:r>
      <w:proofErr w:type="gramStart"/>
      <w:r w:rsidRPr="00ED4E1B">
        <w:t>the full</w:t>
      </w:r>
      <w:proofErr w:type="gramEnd"/>
      <w:r w:rsidRPr="00ED4E1B">
        <w:t xml:space="preserve"> </w:t>
      </w:r>
      <w:r>
        <w:t>E</w:t>
      </w:r>
      <w:r w:rsidRPr="00ED4E1B">
        <w:t>lectrification</w:t>
      </w:r>
    </w:p>
    <w:p w:rsidRPr="00ED4E1B" w:rsidR="001372AE" w:rsidP="001372AE" w:rsidRDefault="001372AE" w14:paraId="6C7967D1" w14:textId="77777777">
      <w:pPr>
        <w:ind w:firstLine="0"/>
        <w:textAlignment w:val="baseline"/>
        <w:rPr>
          <w:rFonts w:eastAsiaTheme="minorEastAsia"/>
          <w:szCs w:val="26"/>
        </w:rPr>
      </w:pPr>
      <w:r w:rsidRPr="00ED4E1B">
        <w:rPr>
          <w:rFonts w:eastAsiaTheme="minorEastAsia"/>
          <w:szCs w:val="26"/>
        </w:rPr>
        <w:t xml:space="preserve">Initiative </w:t>
      </w:r>
      <w:proofErr w:type="gramStart"/>
      <w:r w:rsidRPr="00ED4E1B">
        <w:rPr>
          <w:rFonts w:eastAsiaTheme="minorEastAsia"/>
          <w:szCs w:val="26"/>
        </w:rPr>
        <w:t>provide</w:t>
      </w:r>
      <w:proofErr w:type="gramEnd"/>
      <w:r w:rsidRPr="00ED4E1B">
        <w:rPr>
          <w:rFonts w:eastAsiaTheme="minorEastAsia"/>
          <w:szCs w:val="26"/>
        </w:rPr>
        <w:t xml:space="preserve"> time-limited bill protection for participating manufactured home residents. Because cost impacts are uncertain, the Staff Proposal asserts that participants should be supported to successfully manage their post-electrification energy costs.</w:t>
      </w:r>
    </w:p>
    <w:p w:rsidRPr="00ED4E1B" w:rsidR="001372AE" w:rsidP="001372AE" w:rsidRDefault="001372AE" w14:paraId="08909F4F" w14:textId="77777777">
      <w:pPr>
        <w:textAlignment w:val="baseline"/>
        <w:rPr>
          <w:rFonts w:eastAsiaTheme="minorEastAsia"/>
          <w:szCs w:val="26"/>
        </w:rPr>
      </w:pPr>
      <w:r>
        <w:rPr>
          <w:rFonts w:eastAsiaTheme="minorEastAsia"/>
          <w:szCs w:val="26"/>
        </w:rPr>
        <w:t>The</w:t>
      </w:r>
      <w:r w:rsidRPr="00ED4E1B">
        <w:t xml:space="preserve"> Staff Proposal</w:t>
      </w:r>
      <w:r>
        <w:rPr>
          <w:rFonts w:eastAsiaTheme="minorEastAsia"/>
          <w:szCs w:val="26"/>
        </w:rPr>
        <w:t xml:space="preserve"> </w:t>
      </w:r>
      <w:r w:rsidRPr="00ED4E1B">
        <w:rPr>
          <w:rFonts w:eastAsiaTheme="minorEastAsia"/>
          <w:szCs w:val="26"/>
        </w:rPr>
        <w:t>describe</w:t>
      </w:r>
      <w:r>
        <w:rPr>
          <w:rFonts w:eastAsiaTheme="minorEastAsia"/>
          <w:szCs w:val="26"/>
        </w:rPr>
        <w:t>s</w:t>
      </w:r>
      <w:r w:rsidRPr="00ED4E1B">
        <w:rPr>
          <w:rFonts w:eastAsiaTheme="minorEastAsia"/>
          <w:szCs w:val="26"/>
        </w:rPr>
        <w:t xml:space="preserve"> bill protection measures in the </w:t>
      </w:r>
      <w:r w:rsidRPr="007D299D">
        <w:rPr>
          <w:rFonts w:eastAsiaTheme="minorEastAsia"/>
          <w:szCs w:val="26"/>
        </w:rPr>
        <w:t>SJV</w:t>
      </w:r>
      <w:r w:rsidRPr="00ED4E1B">
        <w:rPr>
          <w:rFonts w:eastAsiaTheme="minorEastAsia"/>
          <w:szCs w:val="26"/>
        </w:rPr>
        <w:t xml:space="preserve"> pilots for program participants. These customers were offered a 20 </w:t>
      </w:r>
      <w:proofErr w:type="gramStart"/>
      <w:r w:rsidRPr="00ED4E1B">
        <w:rPr>
          <w:rFonts w:eastAsiaTheme="minorEastAsia"/>
          <w:szCs w:val="26"/>
        </w:rPr>
        <w:t>percent bill</w:t>
      </w:r>
      <w:proofErr w:type="gramEnd"/>
      <w:r w:rsidRPr="00ED4E1B">
        <w:rPr>
          <w:rFonts w:eastAsiaTheme="minorEastAsia"/>
          <w:szCs w:val="26"/>
        </w:rPr>
        <w:t xml:space="preserve"> discount over a 10-year period. This </w:t>
      </w:r>
      <w:proofErr w:type="gramStart"/>
      <w:r w:rsidRPr="00ED4E1B">
        <w:rPr>
          <w:rFonts w:eastAsiaTheme="minorEastAsia"/>
          <w:szCs w:val="26"/>
        </w:rPr>
        <w:t>bill discount</w:t>
      </w:r>
      <w:proofErr w:type="gramEnd"/>
      <w:r w:rsidRPr="00ED4E1B">
        <w:rPr>
          <w:rFonts w:eastAsiaTheme="minorEastAsia"/>
          <w:szCs w:val="26"/>
        </w:rPr>
        <w:t xml:space="preserve"> was layered with additional 20% </w:t>
      </w:r>
      <w:proofErr w:type="gramStart"/>
      <w:r w:rsidRPr="00ED4E1B">
        <w:rPr>
          <w:rFonts w:eastAsiaTheme="minorEastAsia"/>
          <w:szCs w:val="26"/>
        </w:rPr>
        <w:t>bill discounts</w:t>
      </w:r>
      <w:proofErr w:type="gramEnd"/>
      <w:r w:rsidRPr="00ED4E1B">
        <w:rPr>
          <w:rFonts w:eastAsiaTheme="minorEastAsia"/>
          <w:szCs w:val="26"/>
        </w:rPr>
        <w:t xml:space="preserve"> for participation in green tariff or community solar programs. The SJV pilots will undergo a bill impact evaluation in 2025; if most of the homes experienced cost savings, the 20 percent bill discount will be reduced to 10 percent for an additional five years. If, however, the evaluation finds that energy costs for the participants </w:t>
      </w:r>
      <w:proofErr w:type="gramStart"/>
      <w:r w:rsidRPr="00ED4E1B">
        <w:rPr>
          <w:rFonts w:eastAsiaTheme="minorEastAsia"/>
          <w:szCs w:val="26"/>
        </w:rPr>
        <w:t>increased</w:t>
      </w:r>
      <w:proofErr w:type="gramEnd"/>
      <w:r w:rsidRPr="00ED4E1B">
        <w:rPr>
          <w:rFonts w:eastAsiaTheme="minorEastAsia"/>
          <w:szCs w:val="26"/>
        </w:rPr>
        <w:t xml:space="preserve">, the 20 percent bill discount will continue for an additional five years after which those discounts </w:t>
      </w:r>
      <w:proofErr w:type="gramStart"/>
      <w:r w:rsidRPr="00ED4E1B">
        <w:rPr>
          <w:rFonts w:eastAsiaTheme="minorEastAsia"/>
          <w:szCs w:val="26"/>
        </w:rPr>
        <w:t>would</w:t>
      </w:r>
      <w:proofErr w:type="gramEnd"/>
      <w:r w:rsidRPr="00ED4E1B">
        <w:rPr>
          <w:rFonts w:eastAsiaTheme="minorEastAsia"/>
          <w:szCs w:val="26"/>
        </w:rPr>
        <w:t xml:space="preserve"> cease to be provided. Similar treatment for bill protection is recommended by Staff for participants in the proposed </w:t>
      </w:r>
      <w:r>
        <w:rPr>
          <w:rFonts w:eastAsiaTheme="minorEastAsia"/>
          <w:szCs w:val="26"/>
        </w:rPr>
        <w:t>E</w:t>
      </w:r>
      <w:r w:rsidRPr="00ED4E1B">
        <w:rPr>
          <w:rFonts w:eastAsiaTheme="minorEastAsia"/>
          <w:szCs w:val="26"/>
        </w:rPr>
        <w:t>lectrification Initiative.</w:t>
      </w:r>
    </w:p>
    <w:p w:rsidRPr="00ED4E1B" w:rsidR="001372AE" w:rsidP="001372AE" w:rsidRDefault="001372AE" w14:paraId="2F3C6035" w14:textId="77777777">
      <w:pPr>
        <w:textAlignment w:val="baseline"/>
        <w:rPr>
          <w:rFonts w:eastAsiaTheme="minorEastAsia"/>
          <w:szCs w:val="26"/>
        </w:rPr>
      </w:pPr>
      <w:r w:rsidRPr="00ED4E1B">
        <w:rPr>
          <w:rFonts w:eastAsiaTheme="minorEastAsia"/>
          <w:szCs w:val="26"/>
        </w:rPr>
        <w:t>Staff recommended that bill protection measures should be based on analysis performed by the IOUs, which “should factor in a MH-specific fuel substitution bill analysis provided by the IOUs using the estimated average gas usage in the top 20</w:t>
      </w:r>
      <w:r w:rsidRPr="00ED4E1B">
        <w:rPr>
          <w:rFonts w:eastAsiaTheme="minorEastAsia"/>
          <w:szCs w:val="26"/>
          <w:vertAlign w:val="superscript"/>
        </w:rPr>
        <w:t>th</w:t>
      </w:r>
      <w:r w:rsidRPr="00ED4E1B">
        <w:rPr>
          <w:rFonts w:eastAsiaTheme="minorEastAsia"/>
          <w:szCs w:val="26"/>
        </w:rPr>
        <w:t xml:space="preserve"> percentile of MHPs.”</w:t>
      </w:r>
      <w:r w:rsidRPr="00ED4E1B">
        <w:rPr>
          <w:vertAlign w:val="superscript"/>
        </w:rPr>
        <w:footnoteReference w:id="67"/>
      </w:r>
      <w:r w:rsidRPr="00ED4E1B">
        <w:rPr>
          <w:rFonts w:eastAsiaTheme="minorEastAsia"/>
          <w:szCs w:val="26"/>
        </w:rPr>
        <w:t xml:space="preserve"> Furthermore, this analysis should “model post-electrification electric loads and usage, and factor in current electric </w:t>
      </w:r>
      <w:r w:rsidRPr="00ED4E1B">
        <w:rPr>
          <w:rFonts w:eastAsiaTheme="minorEastAsia"/>
          <w:szCs w:val="26"/>
        </w:rPr>
        <w:lastRenderedPageBreak/>
        <w:t>rates to derive the potential bill impacts that MH residents may experience after switching from gas to all-electric end uses.”</w:t>
      </w:r>
      <w:r w:rsidRPr="00ED4E1B">
        <w:rPr>
          <w:vertAlign w:val="superscript"/>
        </w:rPr>
        <w:footnoteReference w:id="68"/>
      </w:r>
    </w:p>
    <w:p w:rsidRPr="00ED4E1B" w:rsidR="001372AE" w:rsidP="001372AE" w:rsidRDefault="001372AE" w14:paraId="3A43A82C" w14:textId="77777777">
      <w:pPr>
        <w:textAlignment w:val="baseline"/>
        <w:rPr>
          <w:rFonts w:eastAsiaTheme="minorEastAsia"/>
          <w:szCs w:val="26"/>
        </w:rPr>
      </w:pPr>
      <w:r w:rsidRPr="00ED4E1B">
        <w:rPr>
          <w:rFonts w:eastAsiaTheme="minorEastAsia"/>
          <w:szCs w:val="26"/>
        </w:rPr>
        <w:t>Finally, Staff recommend that expenses for bill protection measures be treated as expenses collected through electric PPP surcharges.</w:t>
      </w:r>
      <w:r w:rsidRPr="00ED4E1B">
        <w:rPr>
          <w:vertAlign w:val="superscript"/>
        </w:rPr>
        <w:footnoteReference w:id="69"/>
      </w:r>
    </w:p>
    <w:p w:rsidRPr="00ED4E1B" w:rsidR="001372AE" w:rsidP="001372AE" w:rsidRDefault="001372AE" w14:paraId="50976E6F" w14:textId="77777777">
      <w:pPr>
        <w:pStyle w:val="Heading3"/>
      </w:pPr>
      <w:bookmarkStart w:name="_Toc204269604" w:id="91"/>
      <w:bookmarkStart w:name="_Toc153174912" w:id="92"/>
      <w:bookmarkStart w:name="_Toc326059849" w:id="93"/>
      <w:r w:rsidRPr="00ED4E1B">
        <w:t>Party Comments</w:t>
      </w:r>
      <w:bookmarkEnd w:id="91"/>
      <w:bookmarkEnd w:id="92"/>
      <w:bookmarkEnd w:id="93"/>
    </w:p>
    <w:p w:rsidRPr="00ED4E1B" w:rsidR="001372AE" w:rsidP="001372AE" w:rsidRDefault="001372AE" w14:paraId="5C7478FB" w14:textId="77777777">
      <w:pPr>
        <w:rPr>
          <w:rFonts w:eastAsia="Book Antiqua" w:cs="Book Antiqua"/>
          <w:szCs w:val="26"/>
        </w:rPr>
      </w:pPr>
      <w:r w:rsidRPr="00ED4E1B">
        <w:rPr>
          <w:rFonts w:eastAsia="Book Antiqua" w:cs="Book Antiqua"/>
          <w:szCs w:val="26"/>
        </w:rPr>
        <w:t xml:space="preserve">Two parties support offering bill protections as part of the </w:t>
      </w:r>
      <w:r>
        <w:rPr>
          <w:rFonts w:eastAsia="Book Antiqua" w:cs="Book Antiqua"/>
          <w:szCs w:val="26"/>
        </w:rPr>
        <w:t xml:space="preserve">Electrification </w:t>
      </w:r>
      <w:r w:rsidRPr="00ED4E1B">
        <w:rPr>
          <w:rFonts w:eastAsia="Book Antiqua" w:cs="Book Antiqua"/>
          <w:szCs w:val="26"/>
        </w:rPr>
        <w:t>Initiative. NRDC remarks that because “electric rates in California are high and rising, it is crucial that the program include bill protection measures to make sure residents experience economic benefits.”</w:t>
      </w:r>
      <w:r w:rsidRPr="00ED4E1B">
        <w:rPr>
          <w:vertAlign w:val="superscript"/>
        </w:rPr>
        <w:footnoteReference w:id="70"/>
      </w:r>
      <w:r w:rsidRPr="00ED4E1B">
        <w:rPr>
          <w:rFonts w:eastAsia="Book Antiqua" w:cs="Book Antiqua"/>
          <w:szCs w:val="26"/>
        </w:rPr>
        <w:t xml:space="preserve"> WMA similarly agrees that the Initiative should target “under-resourced communities” and that such customers should be given bill protection given the uncertain costs of switching to full-home electrification.</w:t>
      </w:r>
      <w:r w:rsidRPr="00ED4E1B">
        <w:rPr>
          <w:vertAlign w:val="superscript"/>
        </w:rPr>
        <w:footnoteReference w:id="71"/>
      </w:r>
    </w:p>
    <w:p w:rsidRPr="00ED4E1B" w:rsidR="001372AE" w:rsidP="001372AE" w:rsidRDefault="001372AE" w14:paraId="7B521B28" w14:textId="77777777">
      <w:pPr>
        <w:rPr>
          <w:rFonts w:eastAsia="Book Antiqua" w:cs="Book Antiqua"/>
          <w:szCs w:val="26"/>
        </w:rPr>
      </w:pPr>
      <w:r w:rsidRPr="00ED4E1B">
        <w:rPr>
          <w:rFonts w:eastAsia="Book Antiqua" w:cs="Book Antiqua"/>
          <w:szCs w:val="26"/>
        </w:rPr>
        <w:t xml:space="preserve">SDG&amp;E opposes bill protection measures, stating that it is unknown if customers will </w:t>
      </w:r>
      <w:proofErr w:type="gramStart"/>
      <w:r w:rsidRPr="00ED4E1B">
        <w:rPr>
          <w:rFonts w:eastAsia="Book Antiqua" w:cs="Book Antiqua"/>
          <w:szCs w:val="26"/>
        </w:rPr>
        <w:t>actually experience</w:t>
      </w:r>
      <w:proofErr w:type="gramEnd"/>
      <w:r w:rsidRPr="00ED4E1B">
        <w:rPr>
          <w:rFonts w:eastAsia="Book Antiqua" w:cs="Book Antiqua"/>
          <w:szCs w:val="26"/>
        </w:rPr>
        <w:t xml:space="preserve"> bill increases due to electrification. They state that the SJV pilot data used to justify bill protections is </w:t>
      </w:r>
      <w:r>
        <w:rPr>
          <w:rFonts w:eastAsia="Book Antiqua" w:cs="Book Antiqua"/>
          <w:szCs w:val="26"/>
        </w:rPr>
        <w:t>out</w:t>
      </w:r>
      <w:r w:rsidRPr="00ED4E1B">
        <w:rPr>
          <w:rFonts w:eastAsia="Book Antiqua" w:cs="Book Antiqua"/>
          <w:szCs w:val="26"/>
        </w:rPr>
        <w:t xml:space="preserve">dated and may not be relevant to SDG&amp;E customers, who have different usage profiles than SCE and PG&amp;E customers. They also state that low-income customers enrolled in CARE could see </w:t>
      </w:r>
      <w:proofErr w:type="gramStart"/>
      <w:r w:rsidRPr="00ED4E1B">
        <w:rPr>
          <w:rFonts w:eastAsia="Book Antiqua" w:cs="Book Antiqua"/>
          <w:szCs w:val="26"/>
        </w:rPr>
        <w:t>a net</w:t>
      </w:r>
      <w:proofErr w:type="gramEnd"/>
      <w:r w:rsidRPr="00ED4E1B">
        <w:rPr>
          <w:rFonts w:eastAsia="Book Antiqua" w:cs="Book Antiqua"/>
          <w:szCs w:val="26"/>
        </w:rPr>
        <w:t xml:space="preserve"> savings due to higher discounts on electric bills than on gas bills. If the Commission approves bill protection measures, SDG&amp;E requests that the bill credit be limited to one year, not 10 years.</w:t>
      </w:r>
    </w:p>
    <w:p w:rsidR="001372AE" w:rsidP="001372AE" w:rsidRDefault="001372AE" w14:paraId="17E8D5E7" w14:textId="77777777">
      <w:pPr>
        <w:rPr>
          <w:rFonts w:eastAsia="Book Antiqua" w:cs="Book Antiqua"/>
          <w:szCs w:val="26"/>
        </w:rPr>
      </w:pPr>
      <w:r w:rsidRPr="00ED4E1B">
        <w:rPr>
          <w:rFonts w:eastAsia="Book Antiqua" w:cs="Book Antiqua"/>
          <w:szCs w:val="26"/>
        </w:rPr>
        <w:lastRenderedPageBreak/>
        <w:t>PG&amp;E agrees that bill protection should be time-limited and only used in certain cases.</w:t>
      </w:r>
      <w:r w:rsidRPr="00ED4E1B">
        <w:rPr>
          <w:vertAlign w:val="superscript"/>
        </w:rPr>
        <w:footnoteReference w:id="72"/>
      </w:r>
    </w:p>
    <w:p w:rsidRPr="00ED4E1B" w:rsidR="001372AE" w:rsidP="001372AE" w:rsidRDefault="001372AE" w14:paraId="5A62C8DF" w14:textId="77777777">
      <w:pPr>
        <w:pStyle w:val="Heading3"/>
      </w:pPr>
      <w:bookmarkStart w:name="_Toc760684244" w:id="94"/>
      <w:bookmarkStart w:name="_Toc920637514" w:id="95"/>
      <w:r>
        <w:t xml:space="preserve">Bill </w:t>
      </w:r>
      <w:r w:rsidRPr="00E57EB1">
        <w:t>Protection</w:t>
      </w:r>
      <w:r>
        <w:t xml:space="preserve"> Discussion</w:t>
      </w:r>
      <w:bookmarkEnd w:id="94"/>
      <w:bookmarkEnd w:id="95"/>
    </w:p>
    <w:p w:rsidR="001372AE" w:rsidP="001372AE" w:rsidRDefault="001372AE" w14:paraId="1AC0F791" w14:textId="77777777">
      <w:r w:rsidRPr="00ED4E1B">
        <w:t xml:space="preserve">We do not adopt the Staff Proposal’s recommendation that the </w:t>
      </w:r>
      <w:r>
        <w:t>E</w:t>
      </w:r>
      <w:r w:rsidRPr="00ED4E1B">
        <w:t>lectrification Initiative establish time-limited bill protection for participants</w:t>
      </w:r>
      <w:r>
        <w:t xml:space="preserve">. </w:t>
      </w:r>
    </w:p>
    <w:p w:rsidRPr="00ED4E1B" w:rsidR="001372AE" w:rsidP="001372AE" w:rsidRDefault="001372AE" w14:paraId="77E6465F" w14:textId="77777777">
      <w:r>
        <w:t xml:space="preserve">In May 2024, the Commission approved the Income Graduated Fixed Charges </w:t>
      </w:r>
      <w:proofErr w:type="gramStart"/>
      <w:r>
        <w:t>in</w:t>
      </w:r>
      <w:proofErr w:type="gramEnd"/>
      <w:r>
        <w:t xml:space="preserve"> D.24-05-028, as required by AB 205 (Committee on Budget, Chapter 61, Statutes of 2022). We agree with SDG&amp;E’s comment that these new rate structures may change the economics of electrification. As such, the new rate structures have lowered volumetric charges for electricity use to make electrification more favorable.</w:t>
      </w:r>
    </w:p>
    <w:p w:rsidRPr="00EE3CC1" w:rsidR="001372AE" w:rsidP="001372AE" w:rsidRDefault="001372AE" w14:paraId="58269C67" w14:textId="77777777">
      <w:r w:rsidRPr="00ED4E1B">
        <w:t>Instead, the EBD program will be responsible for strategically selecting MHPs to target. They will use modeling analysis to project bill impact outcomes across building types, rate structures, retrofit packages, and climate zones to predict which households will most benefit from electrification, including which households will have a high likelihood of seeing bill savings from decarbonization measures.  While the program prioritizes candidates with high savings potential, bill savings are not necessarily guaranteed. Nonetheless, we believe that these evaluation tools, along with the EBD program requirement that estimated bill impacts be communicated to potential participants, will help residents understand bill impacts prior to participation and mitigate the need for bill protections at this time. The IOUs shall work with CEC EBD staff and program administrators, in their outreach efforts, to ensure that bill impacts are communicated to participating MHP owners and residents.</w:t>
      </w:r>
    </w:p>
    <w:p w:rsidRPr="00ED4E1B" w:rsidR="001372AE" w:rsidP="001372AE" w:rsidRDefault="001372AE" w14:paraId="5C4AF8DA" w14:textId="77777777">
      <w:pPr>
        <w:pStyle w:val="Heading2"/>
      </w:pPr>
      <w:bookmarkStart w:name="_Toc204269605" w:id="96"/>
      <w:bookmarkStart w:name="_Toc376105768" w:id="97"/>
      <w:bookmarkStart w:name="_Toc663313006" w:id="98"/>
      <w:r>
        <w:lastRenderedPageBreak/>
        <w:t xml:space="preserve">Reporting </w:t>
      </w:r>
      <w:r w:rsidRPr="00E57EB1">
        <w:t>and</w:t>
      </w:r>
      <w:r>
        <w:t xml:space="preserve"> </w:t>
      </w:r>
      <w:r w:rsidRPr="00ED4E1B">
        <w:t>Evaluation</w:t>
      </w:r>
      <w:bookmarkEnd w:id="96"/>
      <w:bookmarkEnd w:id="97"/>
      <w:bookmarkEnd w:id="98"/>
    </w:p>
    <w:p w:rsidRPr="00ED4E1B" w:rsidR="001372AE" w:rsidP="001372AE" w:rsidRDefault="001372AE" w14:paraId="4339B071" w14:textId="77777777">
      <w:pPr>
        <w:pStyle w:val="Heading3"/>
      </w:pPr>
      <w:bookmarkStart w:name="_Toc204269606" w:id="99"/>
      <w:bookmarkStart w:name="_Toc945394166" w:id="100"/>
      <w:bookmarkStart w:name="_Toc101404052" w:id="101"/>
      <w:r w:rsidRPr="00ED4E1B">
        <w:t xml:space="preserve">Staff </w:t>
      </w:r>
      <w:r w:rsidRPr="00E57EB1">
        <w:t>Proposal</w:t>
      </w:r>
      <w:bookmarkEnd w:id="99"/>
      <w:bookmarkEnd w:id="100"/>
      <w:bookmarkEnd w:id="101"/>
    </w:p>
    <w:p w:rsidRPr="00ED4E1B" w:rsidR="001372AE" w:rsidP="001372AE" w:rsidRDefault="001372AE" w14:paraId="1732B273" w14:textId="77777777">
      <w:pPr>
        <w:rPr>
          <w:rFonts w:eastAsia="Book Antiqua" w:cs="Book Antiqua"/>
          <w:szCs w:val="26"/>
        </w:rPr>
      </w:pPr>
      <w:r w:rsidRPr="00ED4E1B">
        <w:rPr>
          <w:rFonts w:eastAsia="Book Antiqua" w:cs="Book Antiqua"/>
          <w:szCs w:val="26"/>
        </w:rPr>
        <w:t xml:space="preserve">The Staff Proposal recommends aligning data collection with EBD program metrics to explore if MHP electrification can be a feasible option for the permanent MHP UCP. The </w:t>
      </w:r>
      <w:r>
        <w:rPr>
          <w:rFonts w:eastAsia="Book Antiqua" w:cs="Book Antiqua"/>
          <w:szCs w:val="26"/>
        </w:rPr>
        <w:t xml:space="preserve">Electrification </w:t>
      </w:r>
      <w:r w:rsidRPr="00ED4E1B">
        <w:rPr>
          <w:rFonts w:eastAsia="Book Antiqua" w:cs="Book Antiqua"/>
          <w:szCs w:val="26"/>
        </w:rPr>
        <w:t xml:space="preserve">Initiative should, at minimum, collect information on energy costs, energy usage, remediation costs and barriers, demographic information, basic home information (such as vintage), and number of converted spaces. </w:t>
      </w:r>
    </w:p>
    <w:p w:rsidRPr="00ED4E1B" w:rsidR="001372AE" w:rsidP="001372AE" w:rsidRDefault="001372AE" w14:paraId="0EF49FA0" w14:textId="77777777">
      <w:pPr>
        <w:pStyle w:val="Heading3"/>
      </w:pPr>
      <w:bookmarkStart w:name="_Toc204269607" w:id="102"/>
      <w:bookmarkStart w:name="_Toc1335418120" w:id="103"/>
      <w:bookmarkStart w:name="_Toc1212615712" w:id="104"/>
      <w:r w:rsidRPr="00ED4E1B">
        <w:t>Party Comments</w:t>
      </w:r>
      <w:bookmarkEnd w:id="102"/>
      <w:bookmarkEnd w:id="103"/>
      <w:bookmarkEnd w:id="104"/>
    </w:p>
    <w:p w:rsidR="001372AE" w:rsidP="001372AE" w:rsidRDefault="001372AE" w14:paraId="599C794B" w14:textId="77777777">
      <w:pPr>
        <w:rPr>
          <w:rFonts w:eastAsia="Book Antiqua" w:cs="Book Antiqua"/>
          <w:szCs w:val="26"/>
        </w:rPr>
      </w:pPr>
      <w:r w:rsidRPr="00ED4E1B">
        <w:rPr>
          <w:rFonts w:eastAsia="Book Antiqua" w:cs="Book Antiqua"/>
          <w:szCs w:val="26"/>
        </w:rPr>
        <w:t>Only SCE commented on this topic, recommending that “the Commission coordinate with SCE (and other IOUs) prior to implementing additional metrics established in the EBD program.”</w:t>
      </w:r>
      <w:r w:rsidRPr="00ED4E1B">
        <w:rPr>
          <w:vertAlign w:val="superscript"/>
        </w:rPr>
        <w:footnoteReference w:id="73"/>
      </w:r>
      <w:r w:rsidRPr="00ED4E1B">
        <w:rPr>
          <w:rFonts w:eastAsia="Book Antiqua" w:cs="Book Antiqua"/>
          <w:szCs w:val="26"/>
        </w:rPr>
        <w:t xml:space="preserve"> SCE also notes that the </w:t>
      </w:r>
      <w:r>
        <w:rPr>
          <w:rFonts w:eastAsia="Book Antiqua" w:cs="Book Antiqua"/>
          <w:szCs w:val="26"/>
        </w:rPr>
        <w:t xml:space="preserve">Electrification </w:t>
      </w:r>
      <w:r w:rsidRPr="00ED4E1B">
        <w:rPr>
          <w:rFonts w:eastAsia="Book Antiqua" w:cs="Book Antiqua"/>
          <w:szCs w:val="26"/>
        </w:rPr>
        <w:t>Initiative should be evaluated to ensure that it meets the goals of benefiting MHPs “at a reasonable cost for all ratepayers” and should “further the overall objectives of this proceeding and California’s climate and air quality goals.”</w:t>
      </w:r>
      <w:r w:rsidRPr="00ED4E1B">
        <w:rPr>
          <w:vertAlign w:val="superscript"/>
        </w:rPr>
        <w:footnoteReference w:id="74"/>
      </w:r>
    </w:p>
    <w:p w:rsidRPr="00ED4E1B" w:rsidR="001372AE" w:rsidP="001372AE" w:rsidRDefault="001372AE" w14:paraId="62E6069D" w14:textId="77777777">
      <w:pPr>
        <w:pStyle w:val="Heading3"/>
      </w:pPr>
      <w:bookmarkStart w:name="_Toc148076431" w:id="105"/>
      <w:bookmarkStart w:name="_Toc656766448" w:id="106"/>
      <w:r w:rsidRPr="00E57EB1">
        <w:t>Comments</w:t>
      </w:r>
      <w:r>
        <w:t xml:space="preserve"> on September 15, </w:t>
      </w:r>
      <w:proofErr w:type="gramStart"/>
      <w:r>
        <w:t>2025</w:t>
      </w:r>
      <w:proofErr w:type="gramEnd"/>
      <w:r>
        <w:t xml:space="preserve"> Amended Scoping Ruling</w:t>
      </w:r>
      <w:bookmarkEnd w:id="105"/>
      <w:bookmarkEnd w:id="106"/>
    </w:p>
    <w:p w:rsidRPr="000C0447" w:rsidR="001372AE" w:rsidP="001372AE" w:rsidRDefault="001372AE" w14:paraId="2D98A31B" w14:textId="77777777">
      <w:pPr>
        <w:pStyle w:val="Standard"/>
      </w:pPr>
      <w:r>
        <w:t xml:space="preserve">On September 15, 2025, the Commission issued an amended scoping memo asking parties to comment on the following questions; whether to </w:t>
      </w:r>
      <w:r w:rsidRPr="000C0447">
        <w:t>modify the requirements in Ordering Paragraph 16 of D.20-04-004 to consider a single combined evaluation of the MHP UCP and any future full electrification effort? and, whether to change the timing for the MHP UCP mid-cycle evaluation from 2025 to a future date to align with evaluation any future MHP full electrification effort?</w:t>
      </w:r>
    </w:p>
    <w:p w:rsidRPr="000C0447" w:rsidR="001372AE" w:rsidP="001372AE" w:rsidRDefault="001372AE" w14:paraId="53B61621" w14:textId="77777777">
      <w:pPr>
        <w:pStyle w:val="Standard"/>
      </w:pPr>
      <w:r w:rsidRPr="000C0447">
        <w:lastRenderedPageBreak/>
        <w:t xml:space="preserve">Three parties filed comments on </w:t>
      </w:r>
      <w:proofErr w:type="gramStart"/>
      <w:r w:rsidRPr="000C0447">
        <w:t>the September</w:t>
      </w:r>
      <w:proofErr w:type="gramEnd"/>
      <w:r w:rsidRPr="000C0447">
        <w:t xml:space="preserve"> 15, </w:t>
      </w:r>
      <w:proofErr w:type="gramStart"/>
      <w:r w:rsidRPr="000C0447">
        <w:t>2025</w:t>
      </w:r>
      <w:proofErr w:type="gramEnd"/>
      <w:r w:rsidRPr="000C0447">
        <w:t xml:space="preserve"> Amended Assigned Commissioner’s Phase 2 Scoping Memo and Ruling: PG&amp;E, Gas IOUs (SoCalGas, SWG and SDG&amp;E), and SCE. PG&amp;E commented that OP 16 of D.20-04-004 should be changed to consider a single combined evaluation of the MHP UCP and any future full electrification effort, but that the combined evaluation should ensure that three distinct cost categories are considered- TTM, BTM, and </w:t>
      </w:r>
      <w:r>
        <w:t>e</w:t>
      </w:r>
      <w:r w:rsidRPr="000C0447">
        <w:t xml:space="preserve">lectrification </w:t>
      </w:r>
      <w:r>
        <w:t xml:space="preserve">- </w:t>
      </w:r>
      <w:r w:rsidRPr="000C0447">
        <w:t>to allow for a clearer picture of BTM electrification costs going forward. PG&amp;E did not recommend that the MHP UCP 2025 mid-cycle evaluation be changed, citing the uncertainty and timing of electrification efforts. PG&amp;E comments also emphasized that issues such as service/ stub work for vacant MHP spaces, MHP ownership responsibilities and enforcement of MHP agreements, revaluating soft cap and annual space conversion goals, and examining additional requirements and scope of the electrification effort should be promptly addressed. </w:t>
      </w:r>
    </w:p>
    <w:p w:rsidRPr="000C0447" w:rsidR="001372AE" w:rsidP="001372AE" w:rsidRDefault="001372AE" w14:paraId="0B7BC93B" w14:textId="77777777">
      <w:pPr>
        <w:pStyle w:val="Standard"/>
      </w:pPr>
      <w:r w:rsidRPr="000C0447">
        <w:t xml:space="preserve">The </w:t>
      </w:r>
      <w:r>
        <w:t>g</w:t>
      </w:r>
      <w:r w:rsidRPr="000C0447">
        <w:t>as IOUs were “not opposed to” conducting the mid program evaluation as originally required by OP 16 of D.20-04-004 for MHP UCP but</w:t>
      </w:r>
      <w:r w:rsidRPr="000D0966">
        <w:rPr>
          <w:u w:val="single"/>
        </w:rPr>
        <w:t xml:space="preserve"> </w:t>
      </w:r>
      <w:r w:rsidRPr="000C0447">
        <w:t>recognized that there may be efficiencies in a joint evaluation of MHP UCP and the Electrification Initiative. They also stated that postponing the second evaluation would further allow for additional data to be collected for consideration. They recommended that if the program evaluation is pushed back in connection with the full electrification effort, that the Commission schedule public participation hearings throughout the state to hear firsthand from MHP residents impacted by these programs, and considered this feedback before making future determination for the MHP UCP. </w:t>
      </w:r>
    </w:p>
    <w:p w:rsidRPr="000C0447" w:rsidR="001372AE" w:rsidP="001372AE" w:rsidRDefault="001372AE" w14:paraId="26E39CB9" w14:textId="77777777">
      <w:pPr>
        <w:pStyle w:val="Standard"/>
        <w:ind w:left="720" w:firstLine="0"/>
      </w:pPr>
      <w:r w:rsidRPr="000C0447">
        <w:t xml:space="preserve">SCE deferred to the Commission’s judgement on the first question but acknowledged that there may be efficiencies as well as helpful </w:t>
      </w:r>
      <w:r w:rsidRPr="000C0447">
        <w:lastRenderedPageBreak/>
        <w:t xml:space="preserve">standardization in combining the evaluations. For the second question, SCE stated that if a combined evaluation is done, then a 2025 deadline would not be feasible and should be modified.  Section </w:t>
      </w:r>
      <w:r>
        <w:t xml:space="preserve">5.8.4 </w:t>
      </w:r>
      <w:r w:rsidRPr="000C0447">
        <w:t>has been modified to reflect parties’ comments. </w:t>
      </w:r>
    </w:p>
    <w:p w:rsidRPr="00ED4E1B" w:rsidR="001372AE" w:rsidP="001372AE" w:rsidRDefault="001372AE" w14:paraId="05003935" w14:textId="77777777">
      <w:pPr>
        <w:pStyle w:val="Heading3"/>
      </w:pPr>
      <w:bookmarkStart w:name="_Toc1828510354" w:id="107"/>
      <w:bookmarkStart w:name="_Toc860954661" w:id="108"/>
      <w:r>
        <w:t xml:space="preserve">Reporting </w:t>
      </w:r>
      <w:r w:rsidRPr="00E57EB1">
        <w:t>and</w:t>
      </w:r>
      <w:r>
        <w:t xml:space="preserve"> Evaluation Discussion</w:t>
      </w:r>
      <w:bookmarkEnd w:id="107"/>
      <w:bookmarkEnd w:id="108"/>
    </w:p>
    <w:p w:rsidR="001372AE" w:rsidP="001372AE" w:rsidRDefault="001372AE" w14:paraId="749F4B1E" w14:textId="77777777">
      <w:r>
        <w:t xml:space="preserve">We agree with SCE’s comment that the Electrification Initiative should be evaluated to ensure that it meets the goals of </w:t>
      </w:r>
      <w:proofErr w:type="gramStart"/>
      <w:r>
        <w:t>benefitting</w:t>
      </w:r>
      <w:proofErr w:type="gramEnd"/>
      <w:r>
        <w:t xml:space="preserve"> MHPs with an eye on costs to California’s broader climate goals. It is reasonable to require an evaluation of the Electrification Initiative. The evaluation should assess actual bill impacts of electrification in addition to qualitative impacts on resident health, safety and comfort.</w:t>
      </w:r>
    </w:p>
    <w:p w:rsidR="001372AE" w:rsidP="001372AE" w:rsidRDefault="001372AE" w14:paraId="1E11A5D4" w14:textId="77777777">
      <w:r>
        <w:t>Over the two phases of this proceeding, the Commission has adopted various reporting requirements for the electric and gas IOUs. In this section, we review these previous requirements for their relevance and utility to the current circumstances of the programs and revise them as necessary.</w:t>
      </w:r>
    </w:p>
    <w:p w:rsidR="001372AE" w:rsidP="001372AE" w:rsidRDefault="001372AE" w14:paraId="26136718" w14:textId="33AAC699">
      <w:r>
        <w:t xml:space="preserve">Ordering Paragraph (OP) 10 of D.20-04-004 requires each electric and gas corporation to submit annual reports for the MHP UCP by February 1 of each year. For the Electrification Initiative, we require the large IOUs to include a new section in this report that documents </w:t>
      </w:r>
      <w:proofErr w:type="gramStart"/>
      <w:r>
        <w:t>the,</w:t>
      </w:r>
      <w:proofErr w:type="gramEnd"/>
      <w:r>
        <w:t xml:space="preserve"> list of selected MHPs, conversion costs, and information regarding barriers and challenges faced by the IOUs in implementing the Electrification Initiative.</w:t>
      </w:r>
    </w:p>
    <w:p w:rsidRPr="00ED4E1B" w:rsidR="001372AE" w:rsidP="001372AE" w:rsidRDefault="001372AE" w14:paraId="5166DC95" w14:textId="39919979">
      <w:r w:rsidRPr="00ED4E1B">
        <w:t xml:space="preserve">The large electric </w:t>
      </w:r>
      <w:r>
        <w:t xml:space="preserve">and gas </w:t>
      </w:r>
      <w:r w:rsidRPr="00ED4E1B">
        <w:t>IOUs shall work with SED and Energy Division staff to dev</w:t>
      </w:r>
      <w:r>
        <w:t>elop</w:t>
      </w:r>
      <w:r w:rsidRPr="00ED4E1B">
        <w:t xml:space="preserve"> a new, uniform template and will file this new template in a Tier 1 Advice Letter within 90 days of the issuance of this decision. Creating separate reporting of the TTM</w:t>
      </w:r>
      <w:r>
        <w:t>,</w:t>
      </w:r>
      <w:r w:rsidRPr="00ED4E1B">
        <w:t xml:space="preserve"> BTM</w:t>
      </w:r>
      <w:r>
        <w:t xml:space="preserve">, and decommissioning </w:t>
      </w:r>
      <w:r w:rsidRPr="00ED4E1B">
        <w:t xml:space="preserve">costs for MHPs participating in this joint </w:t>
      </w:r>
      <w:r>
        <w:t xml:space="preserve">Electrification </w:t>
      </w:r>
      <w:r w:rsidRPr="00ED4E1B">
        <w:t xml:space="preserve">Initiative will help with understanding the total costs </w:t>
      </w:r>
      <w:r w:rsidRPr="00ED4E1B">
        <w:lastRenderedPageBreak/>
        <w:t xml:space="preserve">of fully electrifying MHPs, since we expect that the electric utilities will bear the full cost of trenching, as part of their MHP UCP, and since no new natural gas infrastructure will be installed in these </w:t>
      </w:r>
      <w:r>
        <w:t>MHPs</w:t>
      </w:r>
      <w:r w:rsidRPr="00ED4E1B">
        <w:t>. We also direct that IOUs share these annual reports with the CEC staff within two business days of when the information is shared with the distribution service list for this proceeding.</w:t>
      </w:r>
    </w:p>
    <w:p w:rsidR="001372AE" w:rsidP="001372AE" w:rsidRDefault="001372AE" w14:paraId="72292A4D" w14:textId="21B99226">
      <w:r w:rsidRPr="00ED4E1B">
        <w:t xml:space="preserve">We also </w:t>
      </w:r>
      <w:r>
        <w:t>require</w:t>
      </w:r>
      <w:r w:rsidRPr="00ED4E1B">
        <w:t xml:space="preserve"> the </w:t>
      </w:r>
      <w:r>
        <w:t xml:space="preserve">large electric and gas </w:t>
      </w:r>
      <w:r w:rsidRPr="00ED4E1B">
        <w:t xml:space="preserve">IOUs to coordinate </w:t>
      </w:r>
      <w:r>
        <w:t xml:space="preserve">and cooperate </w:t>
      </w:r>
      <w:r w:rsidRPr="00ED4E1B">
        <w:t xml:space="preserve">with the CEC EBD program to </w:t>
      </w:r>
      <w:r>
        <w:t>support</w:t>
      </w:r>
      <w:r w:rsidRPr="00ED4E1B">
        <w:t xml:space="preserve"> any data collection on these MHPs</w:t>
      </w:r>
      <w:r>
        <w:t xml:space="preserve">, both before and after electrification. If requested by the EBD program administrators, the large IOUs shall </w:t>
      </w:r>
      <w:proofErr w:type="gramStart"/>
      <w:r>
        <w:t>enter into</w:t>
      </w:r>
      <w:proofErr w:type="gramEnd"/>
      <w:r>
        <w:t xml:space="preserve"> NDAs with them to facilitate sharing of customer(s)’ covered information</w:t>
      </w:r>
      <w:r>
        <w:rPr>
          <w:rStyle w:val="FootnoteReference"/>
        </w:rPr>
        <w:footnoteReference w:id="75"/>
      </w:r>
      <w:r>
        <w:t xml:space="preserve"> and energy-related data, that may be necessary for the program administrators to assess the fitness of potential MHPs for the Electrification Initiative</w:t>
      </w:r>
      <w:r w:rsidRPr="00ED4E1B">
        <w:t>. Energy Division staff will coordinate with the large electric IOUs and CEC staff to ensure that all relevant data and metrics, including cost, barriers, and cost impacts on residents, will be entered into the record of this proceeding or a successor proceeding, either in the form of a report or evaluation, to help inform future policy decisions about the direction of the MHP UCP. These lessons must also be shared with the CEC staff within two business days from when they are entered into the record of this proceeding or a successor proceeding.</w:t>
      </w:r>
    </w:p>
    <w:p w:rsidR="001372AE" w:rsidP="001372AE" w:rsidRDefault="001372AE" w14:paraId="3048B493" w14:textId="77777777">
      <w:r>
        <w:t xml:space="preserve">OP 6 of D.24-012-037 requires electric and gas IOUs to develop a report at the conclusion of the MHP UCP in 2030 in consultation with the Commission’s </w:t>
      </w:r>
      <w:r>
        <w:lastRenderedPageBreak/>
        <w:t>Energy Division staff. The report will assess the appropriateness of the 200-amp standard and any technological developments that may warrant a change to the electric service standard offered in any future iteration of the MHP UCP. However, if the Commission considers extending the MHP UCP before it ends in 2030 and assesses the future of the Electrification Initiative, then the findings from this report will be needed before 2030. We also expect that the cost information from the Electrification Initiative in the IOU annual reports will have significant implications for determining whether to continue and/or how to modify the MHP UCP beyond 2030.</w:t>
      </w:r>
    </w:p>
    <w:p w:rsidR="001372AE" w:rsidP="001372AE" w:rsidRDefault="001372AE" w14:paraId="704434C1" w14:textId="77777777">
      <w:r>
        <w:t xml:space="preserve">Because the MHP UCP and the Electrification Initiative operate in parallel, their interactions will impact the assessment of each program. Therefore, it is reasonable to consider a single independent, comprehensive evaluation of both programs. Moreover, a formal independent evaluation would allow for examining the qualitative and quantitative aspects of each program. Using a professional evaluator would be a reasonable approach for such a joint evaluation. Therefore, we modify OP 16 of D.20-04-004 to require that the Commission hire an independent professional evaluator to conduct a joint evaluation of the MHP UCP and Electrification Initiative, which should be completed no later than December 31, 2029. </w:t>
      </w:r>
    </w:p>
    <w:p w:rsidR="001372AE" w:rsidP="001372AE" w:rsidRDefault="001372AE" w14:paraId="03A8C9A7" w14:textId="67287174">
      <w:pPr>
        <w:pStyle w:val="Standard"/>
      </w:pPr>
      <w:proofErr w:type="gramStart"/>
      <w:r>
        <w:t>In order to</w:t>
      </w:r>
      <w:proofErr w:type="gramEnd"/>
      <w:r>
        <w:t xml:space="preserve"> execute a professional statewide evaluation of both programs, it is reasonable to approve a budget not to exceed $250,000. The large IOUs (PG&amp;E, SDG&amp;E, SCE, SoCalGas and SWG) should proportionately reimburse the Commission for the total contract costs of the evaluation. For administrative simplicity and contracting flexibility, the total amount shall be reimbursed in a single year instead of being dispersed annually. Because Commission authorization for contracting practices </w:t>
      </w:r>
      <w:proofErr w:type="gramStart"/>
      <w:r>
        <w:t>are</w:t>
      </w:r>
      <w:proofErr w:type="gramEnd"/>
      <w:r>
        <w:t xml:space="preserve"> based on a fiscal year (FY) budget, we </w:t>
      </w:r>
      <w:r>
        <w:lastRenderedPageBreak/>
        <w:t xml:space="preserve">designate FY 2026-2027 as the year when the large IOUs should reimburse the Commission for the evaluation. Any remaining funds from the evaluation should be returned to ratepayers. </w:t>
      </w:r>
      <w:r w:rsidRPr="00523FF2">
        <w:t>Evaluation expenses sh</w:t>
      </w:r>
      <w:r>
        <w:t>ould</w:t>
      </w:r>
      <w:r w:rsidRPr="00523FF2">
        <w:t xml:space="preserve"> be split equally between gas and electric IOUs participating in the MHP UCP based on their proportional share of completed projects through the end of Calendar Year 2024</w:t>
      </w:r>
      <w:r>
        <w:t>.</w:t>
      </w:r>
      <w:bookmarkStart w:name="_Toc204269616" w:id="109"/>
      <w:r>
        <w:t xml:space="preserve"> The large electric and gas IOUs may record and recover their proportional costs for the evaluation as administrative costs through the existing MHP UCP balancing accounts.</w:t>
      </w:r>
    </w:p>
    <w:p w:rsidRPr="00ED4E1B" w:rsidR="001372AE" w:rsidDel="005C2116" w:rsidP="001372AE" w:rsidRDefault="001372AE" w14:paraId="7D4CB0C1" w14:textId="77777777">
      <w:pPr>
        <w:pStyle w:val="Heading1"/>
      </w:pPr>
      <w:bookmarkStart w:name="_Toc1427532348" w:id="110"/>
      <w:bookmarkStart w:name="_Toc466339165" w:id="111"/>
      <w:r w:rsidRPr="00ED4E1B">
        <w:t>Summary of Public Comments</w:t>
      </w:r>
      <w:bookmarkEnd w:id="109"/>
      <w:bookmarkEnd w:id="110"/>
      <w:bookmarkEnd w:id="111"/>
    </w:p>
    <w:p w:rsidR="001372AE" w:rsidP="001372AE" w:rsidRDefault="001372AE" w14:paraId="0225D8F3" w14:textId="77777777">
      <w:pPr>
        <w:pStyle w:val="Standard"/>
      </w:pPr>
      <w:r w:rsidRPr="005A5E07">
        <w:t>Rule 1.18 of the Commission’s Rules of Practice and Procedure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There were no relevant public comments on the docket card for this proceeding.  </w:t>
      </w:r>
      <w:bookmarkStart w:name="_Toc204269617" w:id="112"/>
      <w:bookmarkStart w:name="_Toc8123723" w:id="113"/>
    </w:p>
    <w:p w:rsidRPr="00ED4E1B" w:rsidR="001372AE" w:rsidP="001372AE" w:rsidRDefault="001372AE" w14:paraId="01008712" w14:textId="77777777">
      <w:pPr>
        <w:pStyle w:val="Heading1"/>
      </w:pPr>
      <w:bookmarkStart w:name="_Toc325887995" w:id="114"/>
      <w:bookmarkStart w:name="_Toc719449366" w:id="115"/>
      <w:r w:rsidRPr="00ED4E1B">
        <w:t>Procedural Matters</w:t>
      </w:r>
      <w:bookmarkEnd w:id="112"/>
      <w:bookmarkEnd w:id="114"/>
      <w:bookmarkEnd w:id="115"/>
      <w:r w:rsidRPr="00ED4E1B">
        <w:rPr>
          <w:bCs/>
        </w:rPr>
        <w:t xml:space="preserve"> </w:t>
      </w:r>
    </w:p>
    <w:p w:rsidRPr="00DE52E2" w:rsidR="001372AE" w:rsidP="001372AE" w:rsidRDefault="001372AE" w14:paraId="0C4A7824" w14:textId="77777777">
      <w:pPr>
        <w:rPr>
          <w:rFonts w:eastAsia="Book Antiqua" w:cs="Book Antiqua"/>
        </w:rPr>
      </w:pPr>
      <w:r w:rsidRPr="382A5A15">
        <w:rPr>
          <w:rFonts w:eastAsia="Book Antiqua" w:cs="Book Antiqua"/>
        </w:rPr>
        <w:t>All pending motions not affirmatively ruled on in this proceeding are denied.</w:t>
      </w:r>
      <w:bookmarkEnd w:id="113"/>
    </w:p>
    <w:p w:rsidRPr="00721685" w:rsidR="001372AE" w:rsidP="001372AE" w:rsidRDefault="001372AE" w14:paraId="1FEFA2D7" w14:textId="77777777">
      <w:pPr>
        <w:pStyle w:val="Heading1"/>
      </w:pPr>
      <w:bookmarkStart w:name="_Toc366927168" w:id="116"/>
      <w:bookmarkStart w:name="_Toc1611257316" w:id="117"/>
      <w:r w:rsidRPr="00ED4E1B">
        <w:t xml:space="preserve">Comments on </w:t>
      </w:r>
      <w:r w:rsidRPr="00E57EB1">
        <w:t>Proposed</w:t>
      </w:r>
      <w:r w:rsidRPr="00ED4E1B">
        <w:t xml:space="preserve"> Decision</w:t>
      </w:r>
      <w:bookmarkEnd w:id="116"/>
      <w:bookmarkEnd w:id="117"/>
      <w:r>
        <w:t xml:space="preserve"> </w:t>
      </w:r>
    </w:p>
    <w:p w:rsidRPr="00ED4E1B" w:rsidR="001372AE" w:rsidP="001372AE" w:rsidRDefault="001372AE" w14:paraId="4746C770" w14:textId="15954B15">
      <w:pPr>
        <w:ind w:firstLine="0"/>
        <w:rPr>
          <w:rFonts w:eastAsia="Book Antiqua" w:cs="Book Antiqua"/>
        </w:rPr>
      </w:pPr>
      <w:r w:rsidRPr="6E31872B">
        <w:rPr>
          <w:rFonts w:eastAsia="Book Antiqua" w:cs="Book Antiqua"/>
        </w:rPr>
        <w:t xml:space="preserve">   </w:t>
      </w:r>
      <w:r>
        <w:tab/>
      </w:r>
      <w:r w:rsidRPr="6E31872B">
        <w:rPr>
          <w:rFonts w:eastAsia="Book Antiqua" w:cs="Book Antiqua"/>
        </w:rPr>
        <w:t xml:space="preserve">The proposed decision of Commissioner Karen Douglas in this matter was mailed to the parties in accordance with Section 311 of the Public Utilities Code and comments were allowed under Rule 14.3 of the Commission’s Rules of Practice and Procedure. Opening comments were filed on November 6, </w:t>
      </w:r>
      <w:proofErr w:type="gramStart"/>
      <w:r w:rsidRPr="6E31872B">
        <w:rPr>
          <w:rFonts w:eastAsia="Book Antiqua" w:cs="Book Antiqua"/>
        </w:rPr>
        <w:t>2025</w:t>
      </w:r>
      <w:proofErr w:type="gramEnd"/>
      <w:r w:rsidRPr="6E31872B">
        <w:rPr>
          <w:rFonts w:eastAsia="Book Antiqua" w:cs="Book Antiqua"/>
        </w:rPr>
        <w:t xml:space="preserve"> by PG&amp;E, SCE, SoCalGas, and Vermont Energy Investment Corporation (VEIC), </w:t>
      </w:r>
      <w:r w:rsidRPr="6E31872B">
        <w:rPr>
          <w:rFonts w:eastAsia="Book Antiqua" w:cs="Book Antiqua"/>
        </w:rPr>
        <w:lastRenderedPageBreak/>
        <w:t xml:space="preserve">and reply comments were filed on November 11, </w:t>
      </w:r>
      <w:proofErr w:type="gramStart"/>
      <w:r w:rsidRPr="6E31872B">
        <w:rPr>
          <w:rFonts w:eastAsia="Book Antiqua" w:cs="Book Antiqua"/>
        </w:rPr>
        <w:t>2025</w:t>
      </w:r>
      <w:proofErr w:type="gramEnd"/>
      <w:r w:rsidRPr="6E31872B">
        <w:rPr>
          <w:rFonts w:eastAsia="Book Antiqua" w:cs="Book Antiqua"/>
        </w:rPr>
        <w:t xml:space="preserve"> by PG&amp;</w:t>
      </w:r>
      <w:proofErr w:type="gramStart"/>
      <w:r w:rsidRPr="6E31872B">
        <w:rPr>
          <w:rFonts w:eastAsia="Book Antiqua" w:cs="Book Antiqua"/>
        </w:rPr>
        <w:t>E, SCE</w:t>
      </w:r>
      <w:proofErr w:type="gramEnd"/>
      <w:r w:rsidRPr="6E31872B">
        <w:rPr>
          <w:rFonts w:eastAsia="Book Antiqua" w:cs="Book Antiqua"/>
        </w:rPr>
        <w:t xml:space="preserve">, SDG&amp;E, and VEIC. </w:t>
      </w:r>
    </w:p>
    <w:p w:rsidR="001372AE" w:rsidP="001372AE" w:rsidRDefault="001372AE" w14:paraId="015DDB9F" w14:textId="3130BAA2">
      <w:r w:rsidRPr="0F991AC1">
        <w:rPr>
          <w:rFonts w:eastAsia="Book Antiqua" w:cs="Book Antiqua"/>
        </w:rPr>
        <w:t>The Commission reviewed parties’ comments and has updated the PD to reflect changes that it determined were appropriate. Other minor clarifications and typographical errors have also been addressed. Updated changes to the PD include, for example, PG&amp;E’s Opening Comments which sought clarification that the final decision will allow the IOUs to record and recover their proportional expenses as administrative costs.</w:t>
      </w:r>
      <w:r w:rsidRPr="11434CFB">
        <w:rPr>
          <w:rFonts w:eastAsia="Book Antiqua" w:cs="Book Antiqua"/>
          <w:vertAlign w:val="superscript"/>
        </w:rPr>
        <w:footnoteReference w:id="76"/>
      </w:r>
      <w:r w:rsidRPr="0F991AC1">
        <w:rPr>
          <w:rFonts w:eastAsia="Book Antiqua" w:cs="Book Antiqua"/>
          <w:vertAlign w:val="superscript"/>
        </w:rPr>
        <w:t xml:space="preserve">  </w:t>
      </w:r>
      <w:r>
        <w:t>The Commission agrees that the IOUs should be able to recover t</w:t>
      </w:r>
      <w:r w:rsidRPr="0F991AC1">
        <w:rPr>
          <w:rFonts w:eastAsia="Book Antiqua" w:cs="Book Antiqua"/>
        </w:rPr>
        <w:t>heir proportional expenses as administrative costs</w:t>
      </w:r>
      <w:r>
        <w:t>. Section 5.8.4 and OP 24 have been updated to clarify this change. PG&amp;E’s comments also requested that the Commission postpone determining the maximum average cost for electrical/remediation until completion of the Santa Nella Pilot ordered in D.23-04-057.</w:t>
      </w:r>
      <w:r w:rsidRPr="60EE7320">
        <w:rPr>
          <w:vertAlign w:val="superscript"/>
        </w:rPr>
        <w:footnoteReference w:id="77"/>
      </w:r>
      <w:r>
        <w:t xml:space="preserve"> The Commission has considered this issue and clarifies at Section 5.4.3 that we defer to the EBD program guidelines that currently specify a $7,200 maximum average cost per manufactured or mobile home for electrical and remediation measures. If in the future, the CEC updates the EBD program guidelines to change the maximum average cost per manufactured or </w:t>
      </w:r>
      <w:proofErr w:type="spellStart"/>
      <w:r>
        <w:t>mobilehome</w:t>
      </w:r>
      <w:proofErr w:type="spellEnd"/>
      <w:r>
        <w:t xml:space="preserve"> for electrical and remediation measures, the Electrification Initiative will implement the newly updated guidelines.   </w:t>
      </w:r>
    </w:p>
    <w:p w:rsidR="001372AE" w:rsidP="001372AE" w:rsidRDefault="001372AE" w14:paraId="08BF24A1" w14:textId="08368A76">
      <w:pPr>
        <w:rPr>
          <w:highlight w:val="yellow"/>
        </w:rPr>
      </w:pPr>
      <w:r>
        <w:t xml:space="preserve">SCE’s Opening Comments requested adding Southern California Gas Company and Southwest Gas Corporation as Electrification Initiative </w:t>
      </w:r>
      <w:r>
        <w:lastRenderedPageBreak/>
        <w:t>participants.</w:t>
      </w:r>
      <w:r w:rsidRPr="51E5DED1">
        <w:rPr>
          <w:vertAlign w:val="superscript"/>
        </w:rPr>
        <w:footnoteReference w:id="78"/>
      </w:r>
      <w:r w:rsidRPr="3368DB04">
        <w:rPr>
          <w:vertAlign w:val="superscript"/>
        </w:rPr>
        <w:t xml:space="preserve"> </w:t>
      </w:r>
      <w:r>
        <w:t>SCE’s comments further explain that the Electrification Initiative would entail significant work relating to gas infrastructure and services, including by requiring that participating parks discontinue using natural gas and have existing gas lines capped.</w:t>
      </w:r>
      <w:r w:rsidRPr="19AD4F20">
        <w:rPr>
          <w:vertAlign w:val="superscript"/>
        </w:rPr>
        <w:footnoteReference w:id="79"/>
      </w:r>
      <w:r w:rsidRPr="3368DB04">
        <w:rPr>
          <w:vertAlign w:val="superscript"/>
        </w:rPr>
        <w:t xml:space="preserve">  </w:t>
      </w:r>
      <w:r>
        <w:t xml:space="preserve">The Commission has considered SCE’s comments and agree that to address instances where a MHP has individually metered gas infrastructure, or IOU-piped gas to a master-meter, the relevant gas company should be involved for decommissioning or capping existing gas lines as well as communication with customers. Therefore, Southern California Gas Company and Southwest Gas Corporation should be identified as Electrification Initiative participants. The PD has been updated at the following Sections: Background, 5.4.3 Installation and Remediation, 5.5.3 Funding and Cost Recovery, 5.8.4 Reporting and Evaluation, and Ordering Paragraphs 1, 2, 3, 4, 17, 20, 22, 24, 26, 27 as well as addition of </w:t>
      </w:r>
      <w:r w:rsidRPr="00EF4997">
        <w:t xml:space="preserve">two new Ordering Paragraphs </w:t>
      </w:r>
      <w:r>
        <w:t>8</w:t>
      </w:r>
      <w:r w:rsidRPr="00EF4997">
        <w:t xml:space="preserve"> and </w:t>
      </w:r>
      <w:r w:rsidRPr="00045187">
        <w:t>1</w:t>
      </w:r>
      <w:r>
        <w:t>9</w:t>
      </w:r>
      <w:r w:rsidRPr="00EF4997">
        <w:t xml:space="preserve"> that address this issue.</w:t>
      </w:r>
    </w:p>
    <w:p w:rsidR="001372AE" w:rsidP="00045187" w:rsidRDefault="001372AE" w14:paraId="27ECDB01" w14:textId="5171B9A2">
      <w:pPr>
        <w:spacing w:after="120"/>
        <w:rPr>
          <w:rFonts w:eastAsia="Book Antiqua" w:cs="Book Antiqua"/>
          <w:color w:val="000000" w:themeColor="text1"/>
          <w:sz w:val="25"/>
          <w:szCs w:val="25"/>
        </w:rPr>
      </w:pPr>
      <w:r w:rsidRPr="00045187">
        <w:rPr>
          <w:rFonts w:eastAsia="Book Antiqua" w:cs="Book Antiqua"/>
        </w:rPr>
        <w:t>VEIC</w:t>
      </w:r>
      <w:r w:rsidRPr="24821C12">
        <w:rPr>
          <w:rFonts w:eastAsia="Book Antiqua" w:cs="Book Antiqua"/>
        </w:rPr>
        <w:t>,</w:t>
      </w:r>
      <w:r w:rsidRPr="00045187">
        <w:rPr>
          <w:rFonts w:eastAsia="Book Antiqua" w:cs="Book Antiqua"/>
        </w:rPr>
        <w:t xml:space="preserve"> in their </w:t>
      </w:r>
      <w:r w:rsidRPr="24821C12">
        <w:rPr>
          <w:rFonts w:eastAsia="Book Antiqua" w:cs="Book Antiqua"/>
        </w:rPr>
        <w:t>November 6, 2025</w:t>
      </w:r>
      <w:r>
        <w:rPr>
          <w:rFonts w:eastAsia="Book Antiqua" w:cs="Book Antiqua"/>
        </w:rPr>
        <w:t xml:space="preserve">, </w:t>
      </w:r>
      <w:r w:rsidRPr="00045187">
        <w:rPr>
          <w:rFonts w:eastAsia="Book Antiqua" w:cs="Book Antiqua"/>
        </w:rPr>
        <w:t>comments</w:t>
      </w:r>
      <w:r w:rsidRPr="24821C12">
        <w:rPr>
          <w:rFonts w:eastAsia="Book Antiqua" w:cs="Book Antiqua"/>
        </w:rPr>
        <w:t>,</w:t>
      </w:r>
      <w:r w:rsidRPr="00045187">
        <w:rPr>
          <w:rFonts w:eastAsia="Book Antiqua" w:cs="Book Antiqua"/>
        </w:rPr>
        <w:t xml:space="preserve"> request that the Commission consider specifying that MHP Electrification Pilot and EBD-eligible MHPs, once identified and vetted by the EBD program, move to the front of the UCP queue for service.</w:t>
      </w:r>
      <w:r w:rsidRPr="7A8D0D46">
        <w:rPr>
          <w:rFonts w:eastAsia="Book Antiqua" w:cs="Book Antiqua"/>
          <w:vertAlign w:val="superscript"/>
        </w:rPr>
        <w:footnoteReference w:id="80"/>
      </w:r>
      <w:r w:rsidRPr="00045187">
        <w:rPr>
          <w:rFonts w:eastAsia="Book Antiqua" w:cs="Book Antiqua"/>
        </w:rPr>
        <w:t xml:space="preserve">  The Commission agrees that it is important to act quickly to fast track MHPs that are eligible</w:t>
      </w:r>
      <w:r w:rsidRPr="3368DB04">
        <w:rPr>
          <w:rFonts w:eastAsia="Book Antiqua" w:cs="Book Antiqua"/>
        </w:rPr>
        <w:t xml:space="preserve"> for and want to participate in the MHP Electrification Initiative</w:t>
      </w:r>
      <w:r w:rsidRPr="00045187">
        <w:rPr>
          <w:rFonts w:eastAsia="Book Antiqua" w:cs="Book Antiqua"/>
        </w:rPr>
        <w:t xml:space="preserve">. The PD at Section 5.2.3 has been updated to clarify that the CPUC will share with CEC the MHP prioritization list that the CPUC Safety </w:t>
      </w:r>
      <w:r w:rsidRPr="00045187">
        <w:rPr>
          <w:rFonts w:eastAsia="Book Antiqua" w:cs="Book Antiqua"/>
        </w:rPr>
        <w:lastRenderedPageBreak/>
        <w:t xml:space="preserve">and Enforcement Division maintains. Section 5.2.3 also lists within the final criteria for selection list that, </w:t>
      </w:r>
      <w:r w:rsidRPr="3368DB04">
        <w:rPr>
          <w:rFonts w:eastAsia="Book Antiqua" w:cs="Book Antiqua"/>
        </w:rPr>
        <w:t>r</w:t>
      </w:r>
      <w:r w:rsidRPr="00045187">
        <w:rPr>
          <w:rFonts w:eastAsia="Book Antiqua" w:cs="Book Antiqua"/>
        </w:rPr>
        <w:t>egardless of where these MHPs fall on the existing priority list for the MHP UCP, once identified for the Electrification Initiative, they should be brought to the very top of the list to ensure timely conversion of the MHPs that want to participate.</w:t>
      </w:r>
      <w:r w:rsidRPr="3368DB04">
        <w:rPr>
          <w:rFonts w:eastAsia="Book Antiqua" w:cs="Book Antiqua"/>
        </w:rPr>
        <w:t xml:space="preserve"> Also, in their November 6, 2025 comments, VEIC asks the Commission to clarify the responsibilities of UCP and EBP program contractors.</w:t>
      </w:r>
      <w:r w:rsidRPr="3368DB04">
        <w:rPr>
          <w:rFonts w:eastAsia="Book Antiqua" w:cs="Book Antiqua"/>
          <w:vertAlign w:val="superscript"/>
        </w:rPr>
        <w:footnoteReference w:id="81"/>
      </w:r>
      <w:r w:rsidRPr="3368DB04">
        <w:rPr>
          <w:rFonts w:eastAsia="Book Antiqua" w:cs="Book Antiqua"/>
        </w:rPr>
        <w:t xml:space="preserve">  The Commission add</w:t>
      </w:r>
      <w:r>
        <w:rPr>
          <w:rFonts w:eastAsia="Book Antiqua" w:cs="Book Antiqua"/>
        </w:rPr>
        <w:t>s</w:t>
      </w:r>
      <w:r w:rsidRPr="3368DB04">
        <w:rPr>
          <w:rFonts w:eastAsia="Book Antiqua" w:cs="Book Antiqua"/>
        </w:rPr>
        <w:t xml:space="preserve"> text to Section 2 to clarify that in </w:t>
      </w:r>
      <w:r w:rsidRPr="3368DB04">
        <w:rPr>
          <w:rFonts w:eastAsia="Book Antiqua" w:cs="Book Antiqua"/>
          <w:color w:val="000000" w:themeColor="text1"/>
          <w:sz w:val="25"/>
          <w:szCs w:val="25"/>
        </w:rPr>
        <w:t>compliance with the National Electrical Code (NEC) and applicable HCD requirements, the electric IOUs participating in the MHP UCP are responsible for (</w:t>
      </w:r>
      <w:proofErr w:type="spellStart"/>
      <w:r w:rsidRPr="3368DB04">
        <w:rPr>
          <w:rFonts w:eastAsia="Book Antiqua" w:cs="Book Antiqua"/>
          <w:color w:val="000000" w:themeColor="text1"/>
          <w:sz w:val="25"/>
          <w:szCs w:val="25"/>
        </w:rPr>
        <w:t>i</w:t>
      </w:r>
      <w:proofErr w:type="spellEnd"/>
      <w:r w:rsidRPr="3368DB04">
        <w:rPr>
          <w:rFonts w:eastAsia="Book Antiqua" w:cs="Book Antiqua"/>
          <w:color w:val="000000" w:themeColor="text1"/>
          <w:sz w:val="25"/>
          <w:szCs w:val="25"/>
        </w:rPr>
        <w:t xml:space="preserve">) “to-the-meter” (TTM) electrical infrastructure to support 200-amp electrical service, and (ii) “behind-the-meter” (BTM) components up to and including the point of connection to the manufactured home. </w:t>
      </w:r>
      <w:r>
        <w:rPr>
          <w:rFonts w:eastAsia="Book Antiqua" w:cs="Book Antiqua"/>
          <w:color w:val="000000" w:themeColor="text1"/>
          <w:sz w:val="25"/>
          <w:szCs w:val="25"/>
        </w:rPr>
        <w:t xml:space="preserve">We also </w:t>
      </w:r>
      <w:proofErr w:type="gramStart"/>
      <w:r>
        <w:rPr>
          <w:rFonts w:eastAsia="Book Antiqua" w:cs="Book Antiqua"/>
          <w:color w:val="000000" w:themeColor="text1"/>
          <w:sz w:val="25"/>
          <w:szCs w:val="25"/>
        </w:rPr>
        <w:t>add</w:t>
      </w:r>
      <w:proofErr w:type="gramEnd"/>
      <w:r>
        <w:rPr>
          <w:rFonts w:eastAsia="Book Antiqua" w:cs="Book Antiqua"/>
          <w:color w:val="000000" w:themeColor="text1"/>
          <w:sz w:val="25"/>
          <w:szCs w:val="25"/>
        </w:rPr>
        <w:t xml:space="preserve"> Ordering Paragraph 9 to clarify the large electric IOUs electrical infrastructure responsibilities for the Electrification Initiative.  </w:t>
      </w:r>
    </w:p>
    <w:p w:rsidR="001372AE" w:rsidP="00045187" w:rsidRDefault="001372AE" w14:paraId="449A8247" w14:textId="39DFA12F">
      <w:pPr>
        <w:spacing w:after="120"/>
        <w:rPr>
          <w:rFonts w:eastAsia="Book Antiqua" w:cs="Book Antiqua"/>
        </w:rPr>
      </w:pPr>
      <w:r>
        <w:rPr>
          <w:rFonts w:eastAsia="Book Antiqua" w:cs="Book Antiqua"/>
        </w:rPr>
        <w:t xml:space="preserve">SoCalGas comments requested that the Commission recognize the role of gas IOUs in the Electrification Initiative, specifically for </w:t>
      </w:r>
      <w:r w:rsidRPr="003E242F">
        <w:rPr>
          <w:rFonts w:eastAsia="Book Antiqua" w:cs="Book Antiqua"/>
        </w:rPr>
        <w:t>capping the existing gas lines (main and/or service) to</w:t>
      </w:r>
      <w:r>
        <w:rPr>
          <w:rFonts w:eastAsia="Book Antiqua" w:cs="Book Antiqua"/>
        </w:rPr>
        <w:t xml:space="preserve"> </w:t>
      </w:r>
      <w:r w:rsidRPr="003E242F">
        <w:rPr>
          <w:rFonts w:eastAsia="Book Antiqua" w:cs="Book Antiqua"/>
        </w:rPr>
        <w:t>safely isolate the system, verifying that no downstream customers are impacted, and conducting</w:t>
      </w:r>
      <w:r>
        <w:rPr>
          <w:rFonts w:eastAsia="Book Antiqua" w:cs="Book Antiqua"/>
        </w:rPr>
        <w:t xml:space="preserve"> </w:t>
      </w:r>
      <w:r w:rsidRPr="003E242F">
        <w:rPr>
          <w:rFonts w:eastAsia="Book Antiqua" w:cs="Book Antiqua"/>
        </w:rPr>
        <w:t>technical and land evaluations to assess rerouting needs or easement relinquishments</w:t>
      </w:r>
      <w:r>
        <w:rPr>
          <w:rFonts w:eastAsia="Book Antiqua" w:cs="Book Antiqua"/>
        </w:rPr>
        <w:t>, even for situations where the MHP was originally master-metered for gas and operated by the MHP owner.</w:t>
      </w:r>
      <w:r>
        <w:rPr>
          <w:rStyle w:val="FootnoteReference"/>
          <w:rFonts w:eastAsia="Book Antiqua" w:cs="Book Antiqua"/>
        </w:rPr>
        <w:footnoteReference w:id="82"/>
      </w:r>
      <w:r>
        <w:rPr>
          <w:rFonts w:eastAsia="Book Antiqua" w:cs="Book Antiqua"/>
        </w:rPr>
        <w:t xml:space="preserve"> SoCalGas’s comments further request </w:t>
      </w:r>
      <w:r w:rsidRPr="00AF4977">
        <w:rPr>
          <w:rFonts w:eastAsia="Book Antiqua" w:cs="Book Antiqua"/>
        </w:rPr>
        <w:t xml:space="preserve">that gas IOUs be allowed to book costs associated with decommissioning gas systems to the existing Master Meter Balancing Account (MMBA) established for the MHP </w:t>
      </w:r>
      <w:r w:rsidRPr="00AF4977">
        <w:rPr>
          <w:rFonts w:eastAsia="Book Antiqua" w:cs="Book Antiqua"/>
        </w:rPr>
        <w:lastRenderedPageBreak/>
        <w:t>UCP</w:t>
      </w:r>
      <w:r>
        <w:rPr>
          <w:rFonts w:eastAsia="Book Antiqua" w:cs="Book Antiqua"/>
        </w:rPr>
        <w:t xml:space="preserve">, and that </w:t>
      </w:r>
      <w:r w:rsidRPr="00E70B97">
        <w:rPr>
          <w:rFonts w:eastAsia="Book Antiqua" w:cs="Book Antiqua"/>
        </w:rPr>
        <w:t>gas IOUs, too, report this cost information in their annual reporting to the CPUC.</w:t>
      </w:r>
      <w:r w:rsidRPr="00E70B97">
        <w:rPr>
          <w:rStyle w:val="FootnoteReference"/>
          <w:rFonts w:eastAsia="Book Antiqua" w:cs="Book Antiqua"/>
        </w:rPr>
        <w:footnoteReference w:id="83"/>
      </w:r>
      <w:r>
        <w:rPr>
          <w:rFonts w:eastAsia="Book Antiqua" w:cs="Book Antiqua"/>
        </w:rPr>
        <w:t xml:space="preserve"> We agree with these recommendations and modify the PD to recognize the role, cost implications and reporting requirements for the large gas IOUs.</w:t>
      </w:r>
    </w:p>
    <w:p w:rsidR="001372AE" w:rsidP="00045187" w:rsidRDefault="001372AE" w14:paraId="7684B5DE" w14:textId="0CADB604">
      <w:pPr>
        <w:spacing w:after="120"/>
        <w:rPr>
          <w:rFonts w:eastAsia="Book Antiqua" w:cs="Book Antiqua"/>
        </w:rPr>
      </w:pPr>
      <w:r w:rsidRPr="2B7E8CA0">
        <w:rPr>
          <w:rFonts w:eastAsia="Book Antiqua" w:cs="Book Antiqua"/>
        </w:rPr>
        <w:t xml:space="preserve">SoCalGas’s comments also assert that requiring MHPs participating in the Electrification </w:t>
      </w:r>
      <w:proofErr w:type="gramStart"/>
      <w:r w:rsidRPr="2B7E8CA0">
        <w:rPr>
          <w:rFonts w:eastAsia="Book Antiqua" w:cs="Book Antiqua"/>
        </w:rPr>
        <w:t>Initiative  to</w:t>
      </w:r>
      <w:proofErr w:type="gramEnd"/>
      <w:r w:rsidRPr="2B7E8CA0">
        <w:rPr>
          <w:rFonts w:eastAsia="Book Antiqua" w:cs="Book Antiqua"/>
        </w:rPr>
        <w:t xml:space="preserve"> “cease use of natural gas in perpetuity” establishes a one-way contract which lacks mutuality of </w:t>
      </w:r>
      <w:proofErr w:type="gramStart"/>
      <w:r w:rsidRPr="2B7E8CA0">
        <w:rPr>
          <w:rFonts w:eastAsia="Book Antiqua" w:cs="Book Antiqua"/>
        </w:rPr>
        <w:t>obligation, and</w:t>
      </w:r>
      <w:proofErr w:type="gramEnd"/>
      <w:r w:rsidRPr="2B7E8CA0">
        <w:rPr>
          <w:rFonts w:eastAsia="Book Antiqua" w:cs="Book Antiqua"/>
        </w:rPr>
        <w:t xml:space="preserve"> is therefore unenforceable. Further, SoCalGas asserts that the PD language purports to be a covenant that runs with the land, which would need to be recorded against the MHP real property and follow Cal. Civ. Code §§1462 and 1468 regarding covenants running with the land and the rule against perpetuities.  According to SoCalGas’s comments, this language purports to unilaterally sever a gas utility’s obligation to serve its customers and would be contrary to the Legislature’s statutory establishment of gas as an essential service that core customers have the right to receive. Moreover, the comments cite Public Utilities code section 963(b)(1) and section 328(a) that reinforce the customer’s right to basic gas service. Lastly, SoCalGas’s comments explain the three components of the regulatory compact, for gas companies: the gas utilities’ obligation to serve the public, the public’s right to be served at regulated rates, and a utility’s opportunity to earn a reasonable rate of return.</w:t>
      </w:r>
      <w:r>
        <w:rPr>
          <w:rStyle w:val="FootnoteReference"/>
          <w:rFonts w:eastAsia="Book Antiqua" w:cs="Book Antiqua"/>
        </w:rPr>
        <w:footnoteReference w:id="84"/>
      </w:r>
      <w:r w:rsidRPr="2B7E8CA0">
        <w:rPr>
          <w:rFonts w:eastAsia="Book Antiqua" w:cs="Book Antiqua"/>
        </w:rPr>
        <w:t xml:space="preserve"> </w:t>
      </w:r>
    </w:p>
    <w:p w:rsidR="001372AE" w:rsidP="00045187" w:rsidRDefault="001372AE" w14:paraId="5C420686" w14:textId="2A5CDF74">
      <w:pPr>
        <w:spacing w:after="120"/>
        <w:rPr>
          <w:rFonts w:eastAsia="Book Antiqua" w:cs="Book Antiqua"/>
        </w:rPr>
      </w:pPr>
      <w:r>
        <w:rPr>
          <w:rFonts w:eastAsia="Book Antiqua" w:cs="Book Antiqua"/>
        </w:rPr>
        <w:t xml:space="preserve">The Commission agrees with SoCalGas’ comments that covenants running with the land should </w:t>
      </w:r>
      <w:r w:rsidRPr="004F64C9">
        <w:rPr>
          <w:rFonts w:eastAsia="Book Antiqua" w:cs="Book Antiqua"/>
        </w:rPr>
        <w:t xml:space="preserve">generally </w:t>
      </w:r>
      <w:r>
        <w:rPr>
          <w:rFonts w:eastAsia="Book Antiqua" w:cs="Book Antiqua"/>
        </w:rPr>
        <w:t>not be in perpetuity.</w:t>
      </w:r>
      <w:r>
        <w:rPr>
          <w:rStyle w:val="FootnoteReference"/>
          <w:rFonts w:eastAsia="Book Antiqua" w:cs="Book Antiqua"/>
        </w:rPr>
        <w:footnoteReference w:id="85"/>
      </w:r>
      <w:r>
        <w:rPr>
          <w:rFonts w:eastAsia="Book Antiqua" w:cs="Book Antiqua"/>
        </w:rPr>
        <w:t xml:space="preserve"> However, simply striking </w:t>
      </w:r>
      <w:r>
        <w:rPr>
          <w:rFonts w:eastAsia="Book Antiqua" w:cs="Book Antiqua"/>
        </w:rPr>
        <w:lastRenderedPageBreak/>
        <w:t xml:space="preserve">out the phrase “and shall cease to use natural gas in perpetuity”, as the comments requested, while retaining the core requirement of “no new gas infrastructure” would leave the question of how long the requirement will be in effect unanswered and ambiguous. The Commission also acknowledges that the PD does not clarify that </w:t>
      </w:r>
      <w:r w:rsidRPr="001C1DD9">
        <w:rPr>
          <w:rFonts w:eastAsia="Book Antiqua" w:cs="Book Antiqua"/>
        </w:rPr>
        <w:t>when participating MHPs agree to no new gas infrastructure, this would place a covenant on the land</w:t>
      </w:r>
      <w:r>
        <w:rPr>
          <w:rFonts w:eastAsia="Book Antiqua" w:cs="Book Antiqua"/>
        </w:rPr>
        <w:t xml:space="preserve">, nor does it specify who would be required to put the covenant in place, or how it would be enforced. Additionally, the Commission recognizes that the PD does not distinguish between the various scenarios effectuating rights and responsibilities when the MHP </w:t>
      </w:r>
      <w:proofErr w:type="gramStart"/>
      <w:r>
        <w:rPr>
          <w:rFonts w:eastAsia="Book Antiqua" w:cs="Book Antiqua"/>
        </w:rPr>
        <w:t>land owner</w:t>
      </w:r>
      <w:proofErr w:type="gramEnd"/>
      <w:r>
        <w:rPr>
          <w:rFonts w:eastAsia="Book Antiqua" w:cs="Book Antiqua"/>
        </w:rPr>
        <w:t xml:space="preserve">(s) (common area land), the </w:t>
      </w:r>
      <w:proofErr w:type="spellStart"/>
      <w:r>
        <w:rPr>
          <w:rFonts w:eastAsia="Book Antiqua" w:cs="Book Antiqua"/>
        </w:rPr>
        <w:t>mobilehome</w:t>
      </w:r>
      <w:proofErr w:type="spellEnd"/>
      <w:r>
        <w:rPr>
          <w:rFonts w:eastAsia="Book Antiqua" w:cs="Book Antiqua"/>
        </w:rPr>
        <w:t xml:space="preserve"> </w:t>
      </w:r>
      <w:proofErr w:type="gramStart"/>
      <w:r>
        <w:rPr>
          <w:rFonts w:eastAsia="Book Antiqua" w:cs="Book Antiqua"/>
        </w:rPr>
        <w:t>land owner</w:t>
      </w:r>
      <w:proofErr w:type="gramEnd"/>
      <w:r>
        <w:rPr>
          <w:rFonts w:eastAsia="Book Antiqua" w:cs="Book Antiqua"/>
        </w:rPr>
        <w:t xml:space="preserve">(s) (land under the coach), the </w:t>
      </w:r>
      <w:proofErr w:type="spellStart"/>
      <w:proofErr w:type="gramStart"/>
      <w:r>
        <w:rPr>
          <w:rFonts w:eastAsia="Book Antiqua" w:cs="Book Antiqua"/>
        </w:rPr>
        <w:t>mobilehome</w:t>
      </w:r>
      <w:proofErr w:type="spellEnd"/>
      <w:proofErr w:type="gramEnd"/>
      <w:r>
        <w:rPr>
          <w:rFonts w:eastAsia="Book Antiqua" w:cs="Book Antiqua"/>
        </w:rPr>
        <w:t xml:space="preserve"> (coach) owner(s), and the </w:t>
      </w:r>
      <w:proofErr w:type="spellStart"/>
      <w:r>
        <w:rPr>
          <w:rFonts w:eastAsia="Book Antiqua" w:cs="Book Antiqua"/>
        </w:rPr>
        <w:t>mobilehome</w:t>
      </w:r>
      <w:proofErr w:type="spellEnd"/>
      <w:r>
        <w:rPr>
          <w:rFonts w:eastAsia="Book Antiqua" w:cs="Book Antiqua"/>
        </w:rPr>
        <w:t xml:space="preserve"> resident(s) are not the same entity. Therefore, the Commission revises the PD to correct these omissions. </w:t>
      </w:r>
    </w:p>
    <w:p w:rsidR="001372AE" w:rsidP="001372AE" w:rsidRDefault="001372AE" w14:paraId="6C012CB3" w14:textId="67240930">
      <w:pPr>
        <w:pStyle w:val="FoF"/>
        <w:numPr>
          <w:ilvl w:val="0"/>
          <w:numId w:val="0"/>
        </w:numPr>
        <w:ind w:firstLine="547"/>
        <w:rPr>
          <w:rFonts w:eastAsia="Book Antiqua" w:cs="Book Antiqua"/>
        </w:rPr>
      </w:pPr>
      <w:r w:rsidRPr="1CA7F716">
        <w:rPr>
          <w:rFonts w:eastAsia="Book Antiqua" w:cs="Book Antiqua"/>
          <w:szCs w:val="26"/>
        </w:rPr>
        <w:t xml:space="preserve">A customer may choose to participate in a voluntary program such as the Electrification Initiative. When a gas customer makes that choice the customer </w:t>
      </w:r>
      <w:proofErr w:type="gramStart"/>
      <w:r w:rsidRPr="1CA7F716">
        <w:rPr>
          <w:rFonts w:eastAsia="Book Antiqua" w:cs="Book Antiqua"/>
          <w:szCs w:val="26"/>
        </w:rPr>
        <w:t>is deciding</w:t>
      </w:r>
      <w:proofErr w:type="gramEnd"/>
      <w:r w:rsidRPr="1CA7F716">
        <w:rPr>
          <w:rFonts w:eastAsia="Book Antiqua" w:cs="Book Antiqua"/>
          <w:szCs w:val="26"/>
        </w:rPr>
        <w:t xml:space="preserve"> not to receive gas service. However, uncertainty about how long customers will not receive gas service does not serve the goals of the Electrification Initiative.</w:t>
      </w:r>
      <w:r>
        <w:rPr>
          <w:rFonts w:eastAsia="Book Antiqua" w:cs="Book Antiqua"/>
          <w:szCs w:val="26"/>
        </w:rPr>
        <w:t xml:space="preserve"> </w:t>
      </w:r>
      <w:r w:rsidRPr="1CA7F716">
        <w:rPr>
          <w:rFonts w:eastAsia="Book Antiqua" w:cs="Book Antiqua"/>
        </w:rPr>
        <w:t xml:space="preserve">Therefore, we modify the PD text from Section 5.4.3: “…these MHPs shall not receive any new natural gas infrastructure and shall cease to use natural gas in perpetuity” to “…the MHP owner(s), and/or the customer(s) of record receiving gas from a regulated utility prior to participation in the Electrification Initiative shall agree to not receive any piped gas until the natural end of life of the equipment incentivized by the EBD program, or 20 years, whichever is later.” This is also reflected in a new Ordering Paragraph 12.  </w:t>
      </w:r>
    </w:p>
    <w:p w:rsidRPr="00ED4E1B" w:rsidR="001372AE" w:rsidP="001372AE" w:rsidRDefault="001372AE" w14:paraId="041CD00F" w14:textId="0DB0EE52">
      <w:pPr>
        <w:pStyle w:val="FoF"/>
        <w:numPr>
          <w:ilvl w:val="0"/>
          <w:numId w:val="0"/>
        </w:numPr>
        <w:ind w:firstLine="547"/>
        <w:rPr>
          <w:rFonts w:eastAsia="Book Antiqua" w:cs="Book Antiqua"/>
          <w:szCs w:val="26"/>
        </w:rPr>
      </w:pPr>
      <w:r w:rsidRPr="1CA7F716">
        <w:rPr>
          <w:rFonts w:eastAsia="Book Antiqua" w:cs="Book Antiqua"/>
        </w:rPr>
        <w:t xml:space="preserve">We also add the following requirements to Section 5.2.3: The MHP owner(s) and/or the owner(s) of the land where the </w:t>
      </w:r>
      <w:proofErr w:type="spellStart"/>
      <w:r w:rsidRPr="1CA7F716">
        <w:rPr>
          <w:rFonts w:eastAsia="Book Antiqua" w:cs="Book Antiqua"/>
        </w:rPr>
        <w:t>mobilehome</w:t>
      </w:r>
      <w:proofErr w:type="spellEnd"/>
      <w:r w:rsidRPr="1CA7F716">
        <w:rPr>
          <w:rFonts w:eastAsia="Book Antiqua" w:cs="Book Antiqua"/>
        </w:rPr>
        <w:t xml:space="preserve"> is located must agree to </w:t>
      </w:r>
      <w:r w:rsidRPr="1CA7F716">
        <w:rPr>
          <w:rFonts w:eastAsia="Book Antiqua" w:cs="Book Antiqua"/>
        </w:rPr>
        <w:lastRenderedPageBreak/>
        <w:t xml:space="preserve">file a restrictive covenant with the local Authority Having Jurisdiction (AHJ) as a condition for participating in the Electrification Initiative  such that future owners are restricted from seeking new gas infrastructure for at least 20 years from the date that the existing gas system is fully decommissioned. We </w:t>
      </w:r>
      <w:proofErr w:type="gramStart"/>
      <w:r w:rsidRPr="1CA7F716">
        <w:rPr>
          <w:rFonts w:eastAsia="Book Antiqua" w:cs="Book Antiqua"/>
        </w:rPr>
        <w:t>add</w:t>
      </w:r>
      <w:proofErr w:type="gramEnd"/>
      <w:r w:rsidRPr="1CA7F716">
        <w:rPr>
          <w:rFonts w:eastAsia="Book Antiqua" w:cs="Book Antiqua"/>
        </w:rPr>
        <w:t xml:space="preserve"> a new Ordering Paragraph 13 requiring the MHP owner and/or the gas customer of record to submit a copy of the recorded deed restriction to the gas IOU in whose service territory the MHP is located. For tracking and enforcement, we add Ordering Paragraph 14 and 15: For service territories where the electric and gas IOU is not the same company (e.g. SCE and SoCalGas), the gas IOU </w:t>
      </w:r>
      <w:r w:rsidRPr="00045187">
        <w:rPr>
          <w:rFonts w:eastAsia="Book Antiqua" w:cs="Book Antiqua"/>
        </w:rPr>
        <w:t>must</w:t>
      </w:r>
      <w:r w:rsidRPr="1CA7F716">
        <w:rPr>
          <w:rFonts w:eastAsia="Book Antiqua" w:cs="Book Antiqua"/>
        </w:rPr>
        <w:t xml:space="preserve"> notify the electric IOU of the receipt of the deed recording. Any installations and/or modifications to the MHP site for implementing the Electrification Initiative must only begin once the deed recording has been received by the gas IOU and communicated to the electric IOU.  </w:t>
      </w:r>
      <w:r>
        <w:t xml:space="preserve">The gas IOU must adhere to the restrictive covenant on the land(s) and ensure that no new gas infrastructure is constructed on it until after the date specified in the covenant.    </w:t>
      </w:r>
    </w:p>
    <w:p w:rsidRPr="00ED4E1B" w:rsidR="001372AE" w:rsidP="001372AE" w:rsidRDefault="001372AE" w14:paraId="60667AD5" w14:textId="77777777">
      <w:pPr>
        <w:pStyle w:val="Heading1"/>
      </w:pPr>
      <w:bookmarkStart w:name="_Toc204269619" w:id="118"/>
      <w:bookmarkStart w:name="_Toc526944214" w:id="119"/>
      <w:bookmarkStart w:name="_Toc1951971399" w:id="120"/>
      <w:r w:rsidRPr="00717482">
        <w:t>Assignment</w:t>
      </w:r>
      <w:r w:rsidRPr="00ED4E1B">
        <w:t xml:space="preserve"> of Proceeding</w:t>
      </w:r>
      <w:bookmarkEnd w:id="118"/>
      <w:bookmarkEnd w:id="119"/>
      <w:bookmarkEnd w:id="120"/>
      <w:r w:rsidRPr="00ED4E1B">
        <w:rPr>
          <w:bCs/>
        </w:rPr>
        <w:t xml:space="preserve"> </w:t>
      </w:r>
      <w:r>
        <w:t xml:space="preserve"> </w:t>
      </w:r>
    </w:p>
    <w:p w:rsidR="001372AE" w:rsidP="001372AE" w:rsidRDefault="001372AE" w14:paraId="56831DBC" w14:textId="77777777">
      <w:pPr>
        <w:rPr>
          <w:rFonts w:eastAsia="Book Antiqua" w:cs="Book Antiqua"/>
          <w:szCs w:val="26"/>
        </w:rPr>
      </w:pPr>
      <w:r w:rsidRPr="00ED4E1B">
        <w:rPr>
          <w:rFonts w:eastAsia="Book Antiqua" w:cs="Book Antiqua"/>
          <w:szCs w:val="26"/>
        </w:rPr>
        <w:t>Karen Douglas is the assigned Commissioner and Hazlyn Fortune is the assigned Administrative Law Judge in this proceeding.</w:t>
      </w:r>
    </w:p>
    <w:p w:rsidRPr="00ED4E1B" w:rsidR="001372AE" w:rsidP="001372AE" w:rsidRDefault="001372AE" w14:paraId="7F18A5C3" w14:textId="77777777">
      <w:pPr>
        <w:keepNext/>
        <w:keepLines/>
        <w:spacing w:after="120" w:line="240" w:lineRule="auto"/>
        <w:ind w:firstLine="0"/>
        <w:outlineLvl w:val="0"/>
        <w:rPr>
          <w:rFonts w:ascii="Arial" w:hAnsi="Arial" w:cs="Arial"/>
          <w:b/>
        </w:rPr>
      </w:pPr>
      <w:bookmarkStart w:name="_Toc8123725" w:id="121"/>
      <w:bookmarkStart w:name="_Toc204269620" w:id="122"/>
      <w:bookmarkStart w:name="_Toc1188937628" w:id="123"/>
      <w:bookmarkStart w:name="_Toc1863353914" w:id="124"/>
      <w:r w:rsidRPr="2EC8422F">
        <w:rPr>
          <w:rFonts w:ascii="Arial" w:hAnsi="Arial" w:cs="Arial"/>
          <w:b/>
        </w:rPr>
        <w:t>Findings of Fact</w:t>
      </w:r>
      <w:bookmarkEnd w:id="121"/>
      <w:bookmarkEnd w:id="122"/>
      <w:bookmarkEnd w:id="123"/>
      <w:bookmarkEnd w:id="124"/>
    </w:p>
    <w:p w:rsidRPr="00ED4E1B" w:rsidR="001372AE" w:rsidP="001372AE" w:rsidRDefault="001372AE" w14:paraId="6F9C1C54" w14:textId="77777777">
      <w:pPr>
        <w:pStyle w:val="FoF"/>
      </w:pPr>
      <w:r w:rsidRPr="00ED4E1B">
        <w:t xml:space="preserve">The </w:t>
      </w:r>
      <w:r w:rsidRPr="00717482">
        <w:t>Commission</w:t>
      </w:r>
      <w:r w:rsidRPr="00ED4E1B">
        <w:t xml:space="preserve"> opened R.19-01-011 to investigate alternatives that lead to </w:t>
      </w:r>
    </w:p>
    <w:p w:rsidRPr="00ED4E1B" w:rsidR="001372AE" w:rsidP="001372AE" w:rsidRDefault="001372AE" w14:paraId="52F7B155" w14:textId="77777777">
      <w:pPr>
        <w:pStyle w:val="FoF"/>
        <w:numPr>
          <w:ilvl w:val="0"/>
          <w:numId w:val="0"/>
        </w:numPr>
      </w:pPr>
      <w:r w:rsidRPr="00ED4E1B">
        <w:t>the reduction of greenhouse gas emissions associated</w:t>
      </w:r>
      <w:r>
        <w:t xml:space="preserve"> with </w:t>
      </w:r>
      <w:r w:rsidRPr="00ED4E1B">
        <w:t xml:space="preserve"> </w:t>
      </w:r>
      <w:r>
        <w:t xml:space="preserve"> e</w:t>
      </w:r>
      <w:r w:rsidRPr="00ED4E1B">
        <w:t>nergy use in buildings.</w:t>
      </w:r>
    </w:p>
    <w:p w:rsidRPr="00ED4E1B" w:rsidR="001372AE" w:rsidP="001372AE" w:rsidRDefault="001372AE" w14:paraId="035AFC99" w14:textId="77777777">
      <w:pPr>
        <w:pStyle w:val="FoF"/>
      </w:pPr>
      <w:r w:rsidRPr="00ED4E1B">
        <w:t xml:space="preserve">D.20-04-004 established a 10-year MHP </w:t>
      </w:r>
      <w:r>
        <w:t>UCP</w:t>
      </w:r>
      <w:r w:rsidRPr="00ED4E1B">
        <w:t xml:space="preserve"> to run from 2021 through 2030.</w:t>
      </w:r>
    </w:p>
    <w:p w:rsidRPr="00ED4E1B" w:rsidR="001372AE" w:rsidP="001372AE" w:rsidRDefault="001372AE" w14:paraId="54993094" w14:textId="77777777">
      <w:pPr>
        <w:pStyle w:val="FoF"/>
      </w:pPr>
      <w:r w:rsidRPr="00ED4E1B">
        <w:t xml:space="preserve">R.18-04-010 included modifications to the existing programs like the MHP </w:t>
      </w:r>
      <w:r>
        <w:t>UCP</w:t>
      </w:r>
      <w:r w:rsidRPr="00ED4E1B">
        <w:t>.</w:t>
      </w:r>
    </w:p>
    <w:p w:rsidRPr="00ED4E1B" w:rsidR="001372AE" w:rsidP="001372AE" w:rsidRDefault="001372AE" w14:paraId="13E9840C" w14:textId="77777777">
      <w:pPr>
        <w:pStyle w:val="FoF"/>
      </w:pPr>
      <w:r w:rsidRPr="00ED4E1B">
        <w:lastRenderedPageBreak/>
        <w:t>D.21-</w:t>
      </w:r>
      <w:r w:rsidRPr="00717482">
        <w:t>08</w:t>
      </w:r>
      <w:r w:rsidRPr="00ED4E1B">
        <w:t xml:space="preserve">-025 established consumer protection measures for residents of </w:t>
      </w:r>
      <w:proofErr w:type="spellStart"/>
      <w:r w:rsidRPr="00ED4E1B">
        <w:t>Mobilehome</w:t>
      </w:r>
      <w:proofErr w:type="spellEnd"/>
      <w:r w:rsidRPr="00ED4E1B">
        <w:t xml:space="preserve"> Parks participating in the </w:t>
      </w:r>
      <w:r>
        <w:t>MHP UCP</w:t>
      </w:r>
      <w:r w:rsidRPr="00ED4E1B">
        <w:t>.</w:t>
      </w:r>
    </w:p>
    <w:p w:rsidRPr="00ED4E1B" w:rsidR="001372AE" w:rsidP="001372AE" w:rsidRDefault="001372AE" w14:paraId="007B7184" w14:textId="77777777">
      <w:pPr>
        <w:pStyle w:val="FoF"/>
        <w:rPr>
          <w:rFonts w:eastAsia="Book Antiqua" w:cs="Book Antiqua"/>
          <w:szCs w:val="26"/>
        </w:rPr>
      </w:pPr>
      <w:r w:rsidRPr="00ED4E1B">
        <w:t xml:space="preserve">Pub. Util. Code § 2791(c) implements state law requiring the direct metering of electric and/or natural gas </w:t>
      </w:r>
      <w:proofErr w:type="gramStart"/>
      <w:r w:rsidRPr="00ED4E1B">
        <w:t>service</w:t>
      </w:r>
      <w:proofErr w:type="gramEnd"/>
      <w:r w:rsidRPr="00ED4E1B">
        <w:t xml:space="preserve"> in MHPs constructed within electric or gas corporation franchises.</w:t>
      </w:r>
    </w:p>
    <w:p w:rsidRPr="00ED4E1B" w:rsidR="001372AE" w:rsidP="001372AE" w:rsidRDefault="001372AE" w14:paraId="1ABE8E6D" w14:textId="77777777">
      <w:pPr>
        <w:pStyle w:val="FoF"/>
        <w:rPr>
          <w:rFonts w:eastAsia="Book Antiqua" w:cs="Book Antiqua"/>
        </w:rPr>
      </w:pPr>
      <w:r>
        <w:t>ED</w:t>
      </w:r>
      <w:r w:rsidRPr="00ED4E1B">
        <w:t xml:space="preserve"> Staff Proposal released </w:t>
      </w:r>
      <w:r>
        <w:t xml:space="preserve">on </w:t>
      </w:r>
      <w:r w:rsidRPr="00ED4E1B">
        <w:t xml:space="preserve">July 31, </w:t>
      </w:r>
      <w:proofErr w:type="gramStart"/>
      <w:r w:rsidRPr="00ED4E1B">
        <w:t>2023</w:t>
      </w:r>
      <w:proofErr w:type="gramEnd"/>
      <w:r w:rsidRPr="00ED4E1B">
        <w:t xml:space="preserve"> included a recommendation to examine a limited full-home electrification initiative for MHPs within the existing MHP UCP.</w:t>
      </w:r>
    </w:p>
    <w:p w:rsidRPr="00216ADC" w:rsidR="001372AE" w:rsidP="001372AE" w:rsidRDefault="001372AE" w14:paraId="1B6AAB4A" w14:textId="77777777">
      <w:pPr>
        <w:pStyle w:val="FoF"/>
        <w:rPr>
          <w:rFonts w:eastAsia="Book Antiqua" w:cs="Book Antiqua"/>
          <w:szCs w:val="26"/>
        </w:rPr>
      </w:pPr>
      <w:r w:rsidRPr="00ED4E1B">
        <w:t>AB 209 (</w:t>
      </w:r>
      <w:r w:rsidRPr="00717482">
        <w:t>Committee</w:t>
      </w:r>
      <w:r w:rsidRPr="00ED4E1B">
        <w:t xml:space="preserve"> on Budget, Chapter 251, Statutes of 2022) directed the CEC to establish the EBD program, a Direct Install Program for low-income households that “provides and installs energy-efficient electric appliances, energy efficiency measures, and related upgrades directly to consumers at minimal or no costs.</w:t>
      </w:r>
    </w:p>
    <w:p w:rsidRPr="00216ADC" w:rsidR="001372AE" w:rsidP="001372AE" w:rsidRDefault="001372AE" w14:paraId="663A03FE" w14:textId="77777777">
      <w:pPr>
        <w:pStyle w:val="FoF"/>
        <w:rPr>
          <w:rFonts w:eastAsia="Book Antiqua" w:cs="Book Antiqua"/>
          <w:szCs w:val="26"/>
        </w:rPr>
      </w:pPr>
      <w:r>
        <w:t>D.20-04-004 directs the current MHP UCP to sunset at the end of 2030, unless extended by the Commission.</w:t>
      </w:r>
    </w:p>
    <w:p w:rsidRPr="00216ADC" w:rsidR="001372AE" w:rsidP="001372AE" w:rsidRDefault="001372AE" w14:paraId="5AB8221E" w14:textId="77777777">
      <w:pPr>
        <w:pStyle w:val="FoF"/>
        <w:rPr>
          <w:rFonts w:eastAsia="Book Antiqua" w:cs="Book Antiqua"/>
          <w:szCs w:val="26"/>
        </w:rPr>
      </w:pPr>
      <w:r>
        <w:t>OP 16 of D.20-04-004 required Commission staff to conduct a mid-cycle evaluation of the MHP UCP in 2025, after first four-year application cycle.</w:t>
      </w:r>
    </w:p>
    <w:p w:rsidR="001372AE" w:rsidP="001372AE" w:rsidRDefault="001372AE" w14:paraId="6501BE33" w14:textId="77777777">
      <w:pPr>
        <w:pStyle w:val="FoF"/>
      </w:pPr>
      <w:r>
        <w:t xml:space="preserve">OP 6 of D.24-12-037 requires electric and gas IOUs, in consultation with ED staff, to develop a report at the end of the MHP UCP in 2030 to evaluate the appropriateness of the 200-amp standard. </w:t>
      </w:r>
    </w:p>
    <w:p w:rsidRPr="00C84675" w:rsidR="001372AE" w:rsidP="001372AE" w:rsidRDefault="001372AE" w14:paraId="0EEA9A8C" w14:textId="77777777">
      <w:pPr>
        <w:pStyle w:val="FoF"/>
      </w:pPr>
      <w:r>
        <w:t xml:space="preserve">In </w:t>
      </w:r>
      <w:r w:rsidRPr="00E40465">
        <w:t>compliance with the National Electrical Code (NEC) and applicable HCD requirements, the electric IOUs participating in the MHP UCP are responsible for (</w:t>
      </w:r>
      <w:proofErr w:type="spellStart"/>
      <w:r w:rsidRPr="00E40465">
        <w:t>i</w:t>
      </w:r>
      <w:proofErr w:type="spellEnd"/>
      <w:r w:rsidRPr="00E40465">
        <w:t>) “to-the-meter” (TTM) electrical infrastructure to support 200-amp electrical service, and (ii) “behind-the-meter” (BTM) components up to and including the point of connection to the manufactured home.</w:t>
      </w:r>
    </w:p>
    <w:p w:rsidR="001372AE" w:rsidP="001372AE" w:rsidRDefault="001372AE" w14:paraId="5937B58A" w14:textId="77777777">
      <w:pPr>
        <w:pStyle w:val="FoF"/>
        <w:rPr>
          <w:rFonts w:eastAsia="Book Antiqua" w:cs="Book Antiqua"/>
          <w:szCs w:val="26"/>
        </w:rPr>
      </w:pPr>
      <w:r>
        <w:rPr>
          <w:rFonts w:eastAsia="Book Antiqua" w:cs="Book Antiqua"/>
          <w:szCs w:val="26"/>
        </w:rPr>
        <w:lastRenderedPageBreak/>
        <w:t xml:space="preserve">Certain MHPs have master-metered electrical infrastructure owned by the MHP owner but </w:t>
      </w:r>
      <w:proofErr w:type="gramStart"/>
      <w:r>
        <w:rPr>
          <w:rFonts w:eastAsia="Book Antiqua" w:cs="Book Antiqua"/>
          <w:szCs w:val="26"/>
        </w:rPr>
        <w:t>individually-metered</w:t>
      </w:r>
      <w:proofErr w:type="gramEnd"/>
      <w:r>
        <w:rPr>
          <w:rFonts w:eastAsia="Book Antiqua" w:cs="Book Antiqua"/>
          <w:szCs w:val="26"/>
        </w:rPr>
        <w:t xml:space="preserve"> gas through the gas IOU.</w:t>
      </w:r>
    </w:p>
    <w:p w:rsidRPr="00060D4E" w:rsidR="001372AE" w:rsidP="001372AE" w:rsidRDefault="001372AE" w14:paraId="493C5051" w14:textId="4042409C">
      <w:pPr>
        <w:pStyle w:val="FoF"/>
        <w:rPr>
          <w:rFonts w:eastAsia="Book Antiqua" w:cs="Book Antiqua"/>
          <w:szCs w:val="26"/>
        </w:rPr>
      </w:pPr>
      <w:r>
        <w:rPr>
          <w:rFonts w:eastAsia="Book Antiqua" w:cs="Book Antiqua"/>
          <w:szCs w:val="26"/>
        </w:rPr>
        <w:t xml:space="preserve">A restrictive covenant on the land will be necessary for an MHP to agree to not </w:t>
      </w:r>
      <w:proofErr w:type="gramStart"/>
      <w:r>
        <w:rPr>
          <w:rFonts w:eastAsia="Book Antiqua" w:cs="Book Antiqua"/>
          <w:szCs w:val="26"/>
        </w:rPr>
        <w:t>installing</w:t>
      </w:r>
      <w:proofErr w:type="gramEnd"/>
      <w:r>
        <w:rPr>
          <w:rFonts w:eastAsia="Book Antiqua" w:cs="Book Antiqua"/>
          <w:szCs w:val="26"/>
        </w:rPr>
        <w:t xml:space="preserve"> any new gas infrastructure in the future. </w:t>
      </w:r>
    </w:p>
    <w:p w:rsidRPr="00ED4E1B" w:rsidR="001372AE" w:rsidP="001372AE" w:rsidRDefault="001372AE" w14:paraId="29E1FD75" w14:textId="77777777">
      <w:pPr>
        <w:keepNext/>
        <w:keepLines/>
        <w:spacing w:after="120" w:line="240" w:lineRule="auto"/>
        <w:ind w:firstLine="0"/>
        <w:outlineLvl w:val="0"/>
        <w:rPr>
          <w:rFonts w:ascii="Arial" w:hAnsi="Arial" w:cs="Arial"/>
          <w:b/>
        </w:rPr>
      </w:pPr>
      <w:bookmarkStart w:name="_Toc8123726" w:id="125"/>
      <w:bookmarkStart w:name="_Toc204269621" w:id="126"/>
      <w:bookmarkStart w:name="_Toc1622436064" w:id="127"/>
      <w:bookmarkStart w:name="_Toc203687241" w:id="128"/>
      <w:r w:rsidRPr="2EC8422F">
        <w:rPr>
          <w:rFonts w:ascii="Arial" w:hAnsi="Arial" w:cs="Arial"/>
          <w:b/>
        </w:rPr>
        <w:t>Conclusions of Law</w:t>
      </w:r>
      <w:bookmarkEnd w:id="125"/>
      <w:bookmarkEnd w:id="126"/>
      <w:bookmarkEnd w:id="127"/>
      <w:bookmarkEnd w:id="128"/>
    </w:p>
    <w:p w:rsidRPr="00ED4E1B" w:rsidR="001372AE" w:rsidP="001372AE" w:rsidRDefault="001372AE" w14:paraId="5DC536A9" w14:textId="77777777">
      <w:pPr>
        <w:pStyle w:val="FoF"/>
        <w:numPr>
          <w:ilvl w:val="0"/>
          <w:numId w:val="26"/>
        </w:numPr>
      </w:pPr>
      <w:r>
        <w:t xml:space="preserve">It is reasonable to establish the Electrification Initiative to explore the full electrification of MHPs. </w:t>
      </w:r>
    </w:p>
    <w:p w:rsidRPr="00622BF6" w:rsidR="001372AE" w:rsidP="001372AE" w:rsidRDefault="001372AE" w14:paraId="71CEE455" w14:textId="77777777">
      <w:pPr>
        <w:pStyle w:val="FoF"/>
        <w:numPr>
          <w:ilvl w:val="0"/>
          <w:numId w:val="26"/>
        </w:numPr>
        <w:rPr>
          <w:rFonts w:eastAsia="Book Antiqua" w:cs="Book Antiqua"/>
          <w:szCs w:val="26"/>
        </w:rPr>
      </w:pPr>
      <w:r w:rsidRPr="00622BF6">
        <w:rPr>
          <w:rFonts w:eastAsia="Book Antiqua" w:cs="Book Antiqua"/>
          <w:szCs w:val="26"/>
        </w:rPr>
        <w:t xml:space="preserve">It is reasonable </w:t>
      </w:r>
      <w:r>
        <w:rPr>
          <w:rFonts w:eastAsia="Book Antiqua" w:cs="Book Antiqua"/>
          <w:szCs w:val="26"/>
        </w:rPr>
        <w:t>for</w:t>
      </w:r>
      <w:r w:rsidRPr="00622BF6">
        <w:rPr>
          <w:rFonts w:eastAsia="Book Antiqua" w:cs="Book Antiqua"/>
          <w:szCs w:val="26"/>
        </w:rPr>
        <w:t xml:space="preserve"> the </w:t>
      </w:r>
      <w:r>
        <w:rPr>
          <w:rFonts w:eastAsia="Book Antiqua" w:cs="Book Antiqua"/>
          <w:szCs w:val="26"/>
        </w:rPr>
        <w:t xml:space="preserve">Electrification Initiative to leverage the funding and resources of the CEC’s EBD program. </w:t>
      </w:r>
    </w:p>
    <w:p w:rsidRPr="00ED4E1B" w:rsidR="001372AE" w:rsidP="001372AE" w:rsidRDefault="001372AE" w14:paraId="291A8325" w14:textId="77777777">
      <w:pPr>
        <w:pStyle w:val="FoF"/>
        <w:rPr>
          <w:rFonts w:eastAsia="Book Antiqua" w:cs="Book Antiqua"/>
          <w:szCs w:val="26"/>
        </w:rPr>
      </w:pPr>
      <w:r w:rsidRPr="00ED4E1B">
        <w:rPr>
          <w:rFonts w:eastAsia="Book Antiqua" w:cs="Book Antiqua"/>
          <w:szCs w:val="26"/>
        </w:rPr>
        <w:t xml:space="preserve">The </w:t>
      </w:r>
      <w:r>
        <w:rPr>
          <w:rFonts w:eastAsia="Book Antiqua" w:cs="Book Antiqua"/>
          <w:szCs w:val="26"/>
        </w:rPr>
        <w:t>E</w:t>
      </w:r>
      <w:r w:rsidRPr="00ED4E1B">
        <w:rPr>
          <w:rFonts w:eastAsia="Book Antiqua" w:cs="Book Antiqua"/>
          <w:szCs w:val="26"/>
        </w:rPr>
        <w:t>lectrification Initiative should explore the feasibility, implementation and other cost impacts to ratepayers and electricity customers to support greenhouse gas reduction through electrification.</w:t>
      </w:r>
    </w:p>
    <w:p w:rsidR="001372AE" w:rsidP="001372AE" w:rsidRDefault="001372AE" w14:paraId="7925FC6D" w14:textId="77777777">
      <w:pPr>
        <w:pStyle w:val="FoF"/>
      </w:pPr>
      <w:r w:rsidRPr="00ED4E1B">
        <w:t xml:space="preserve">The </w:t>
      </w:r>
      <w:r>
        <w:t xml:space="preserve">Commission’s MHP UCP should </w:t>
      </w:r>
      <w:r w:rsidRPr="00ED4E1B">
        <w:t xml:space="preserve">partner with the </w:t>
      </w:r>
      <w:r>
        <w:t>CEC’s EBP Direct Install Program</w:t>
      </w:r>
      <w:r w:rsidRPr="00ED4E1B">
        <w:t xml:space="preserve"> to explore and analyze electrification in </w:t>
      </w:r>
      <w:r>
        <w:t>MHPs</w:t>
      </w:r>
      <w:r w:rsidRPr="00ED4E1B">
        <w:t>.</w:t>
      </w:r>
    </w:p>
    <w:p w:rsidR="001372AE" w:rsidP="001372AE" w:rsidRDefault="001372AE" w14:paraId="4151E792" w14:textId="77777777">
      <w:pPr>
        <w:pStyle w:val="FoF"/>
      </w:pPr>
      <w:r>
        <w:t>Combining the evaluation of the MHP UCP program with the evaluation of the Electrification Initiative is efficient and reasonable.</w:t>
      </w:r>
    </w:p>
    <w:p w:rsidR="001372AE" w:rsidP="001372AE" w:rsidRDefault="001372AE" w14:paraId="7E2D9D2F" w14:textId="77777777">
      <w:pPr>
        <w:pStyle w:val="FoF"/>
      </w:pPr>
      <w:r>
        <w:t>It is reasonable for the Commission to hire an independent evaluator to conduct a joint evaluation of the MHP UCP and Electrification Initiative.</w:t>
      </w:r>
    </w:p>
    <w:p w:rsidR="001372AE" w:rsidP="001372AE" w:rsidRDefault="001372AE" w14:paraId="36F4096A" w14:textId="77777777">
      <w:pPr>
        <w:pStyle w:val="FoF"/>
      </w:pPr>
      <w:r>
        <w:t>It is reasonable to modify OP 6 of D.24-12-037 and accelerate the deadline for the electric and gas IOUs to report on the appropriateness of the 200-amp standard before the conclusion of the program in 2030.</w:t>
      </w:r>
    </w:p>
    <w:p w:rsidR="001372AE" w:rsidP="001372AE" w:rsidRDefault="001372AE" w14:paraId="4B19EC5E" w14:textId="77777777">
      <w:pPr>
        <w:pStyle w:val="FoF"/>
      </w:pPr>
      <w:r>
        <w:t>Following customary practices for evaluation consultant services, it is reasonable for the large electric and gas IOUs to reimburse the Commission proportionately using the rate recovery mechanism.</w:t>
      </w:r>
    </w:p>
    <w:p w:rsidRPr="00045187" w:rsidR="001372AE" w:rsidP="001372AE" w:rsidRDefault="001372AE" w14:paraId="3C8DA937" w14:textId="5FB796E5">
      <w:pPr>
        <w:pStyle w:val="FoF"/>
      </w:pPr>
      <w:r>
        <w:rPr>
          <w:rFonts w:eastAsia="Book Antiqua" w:cs="Book Antiqua"/>
          <w:szCs w:val="26"/>
        </w:rPr>
        <w:lastRenderedPageBreak/>
        <w:t>If the MHPs selected for the Electrification Initiative</w:t>
      </w:r>
      <w:r w:rsidDel="00691358">
        <w:rPr>
          <w:rFonts w:eastAsia="Book Antiqua" w:cs="Book Antiqua"/>
          <w:szCs w:val="26"/>
        </w:rPr>
        <w:t xml:space="preserve"> </w:t>
      </w:r>
      <w:r>
        <w:rPr>
          <w:rFonts w:eastAsia="Book Antiqua" w:cs="Book Antiqua"/>
          <w:szCs w:val="26"/>
        </w:rPr>
        <w:t>have piped gas delivered by a gas IOU then the gas IOUs should participate in terminating gas service, planning, and communication with the customer(s) of record.</w:t>
      </w:r>
    </w:p>
    <w:p w:rsidRPr="00045187" w:rsidR="001372AE" w:rsidP="001372AE" w:rsidRDefault="001372AE" w14:paraId="21A17F5F" w14:textId="77777777">
      <w:pPr>
        <w:pStyle w:val="FoF"/>
      </w:pPr>
      <w:r>
        <w:rPr>
          <w:rFonts w:eastAsia="Book Antiqua" w:cs="Book Antiqua"/>
          <w:szCs w:val="26"/>
        </w:rPr>
        <w:t>It is reasonable to allow large gas IOUs to record and recover costs associated with decommissioning gas systems as part of the Electrification Initiative to the existing Master Meter Balancing Account established for the MHP UCP.</w:t>
      </w:r>
    </w:p>
    <w:p w:rsidRPr="00ED4E1B" w:rsidR="001372AE" w:rsidP="001372AE" w:rsidRDefault="001372AE" w14:paraId="4BA01190" w14:textId="77777777">
      <w:pPr>
        <w:pStyle w:val="FoF"/>
      </w:pPr>
      <w:r>
        <w:t>It is reasonable to close this proceeding.</w:t>
      </w:r>
    </w:p>
    <w:p w:rsidRPr="00ED4E1B" w:rsidR="001372AE" w:rsidP="001372AE" w:rsidRDefault="001372AE" w14:paraId="56CEA80A" w14:textId="77777777">
      <w:pPr>
        <w:keepNext/>
        <w:ind w:firstLine="0"/>
        <w:jc w:val="center"/>
        <w:outlineLvl w:val="0"/>
        <w:rPr>
          <w:rFonts w:ascii="Arial" w:hAnsi="Arial" w:eastAsia="Arial" w:cs="Arial"/>
          <w:b/>
          <w:caps/>
          <w:spacing w:val="120"/>
        </w:rPr>
      </w:pPr>
      <w:bookmarkStart w:name="_Toc204269622" w:id="129"/>
      <w:bookmarkStart w:name="_Toc181498397" w:id="130"/>
      <w:bookmarkStart w:name="_Toc2121595442" w:id="131"/>
      <w:r w:rsidRPr="2EC8422F">
        <w:rPr>
          <w:rFonts w:ascii="Arial" w:hAnsi="Arial" w:eastAsia="Arial" w:cs="Arial"/>
          <w:b/>
          <w:caps/>
          <w:spacing w:val="120"/>
        </w:rPr>
        <w:t>ORDER</w:t>
      </w:r>
      <w:bookmarkEnd w:id="129"/>
      <w:bookmarkEnd w:id="130"/>
      <w:bookmarkEnd w:id="131"/>
    </w:p>
    <w:p w:rsidRPr="00ED4E1B" w:rsidR="001372AE" w:rsidP="001372AE" w:rsidRDefault="001372AE" w14:paraId="51116298" w14:textId="77777777">
      <w:pPr>
        <w:keepNext/>
      </w:pPr>
      <w:r w:rsidRPr="00ED4E1B">
        <w:rPr>
          <w:b/>
        </w:rPr>
        <w:t>IT IS ORDERED</w:t>
      </w:r>
      <w:r w:rsidRPr="00ED4E1B">
        <w:t xml:space="preserve"> that:</w:t>
      </w:r>
    </w:p>
    <w:p w:rsidRPr="00ED4E1B" w:rsidR="001372AE" w:rsidP="001372AE" w:rsidRDefault="001372AE" w14:paraId="23004EB1" w14:textId="4CA79769">
      <w:pPr>
        <w:pStyle w:val="FoF"/>
        <w:numPr>
          <w:ilvl w:val="0"/>
          <w:numId w:val="27"/>
        </w:numPr>
      </w:pPr>
      <w:r w:rsidRPr="00622BF6">
        <w:t>Pacific</w:t>
      </w:r>
      <w:r w:rsidRPr="00ED4E1B">
        <w:t xml:space="preserve"> Gas and Electric Company, San Diego Gas </w:t>
      </w:r>
      <w:r>
        <w:t>&amp;</w:t>
      </w:r>
      <w:r w:rsidRPr="00ED4E1B">
        <w:t xml:space="preserve"> Electric Company and Southern California Edison Company, </w:t>
      </w:r>
      <w:r>
        <w:t xml:space="preserve">Southern California Gas Company, and Southwest Gas Corporation </w:t>
      </w:r>
      <w:r w:rsidRPr="00ED4E1B">
        <w:t xml:space="preserve">shall work cooperatively with </w:t>
      </w:r>
      <w:r>
        <w:t>California Energy Commission</w:t>
      </w:r>
      <w:r w:rsidRPr="00ED4E1B">
        <w:t xml:space="preserve">’s </w:t>
      </w:r>
      <w:r w:rsidRPr="00ED4E1B">
        <w:rPr>
          <w:rFonts w:eastAsia="Times New Roman" w:cs="Times New Roman"/>
          <w:color w:val="000000" w:themeColor="text1"/>
          <w:szCs w:val="26"/>
        </w:rPr>
        <w:t>Equitable Building Decarbonization</w:t>
      </w:r>
      <w:r w:rsidRPr="00ED4E1B">
        <w:t xml:space="preserve"> Program staff, Energy Division Staff, Safety Enforcement Division Staff, and E</w:t>
      </w:r>
      <w:r>
        <w:t>quitable Building Decarbonization</w:t>
      </w:r>
      <w:r w:rsidRPr="00ED4E1B">
        <w:t xml:space="preserve"> </w:t>
      </w:r>
      <w:r>
        <w:t>program’s R</w:t>
      </w:r>
      <w:r w:rsidRPr="00ED4E1B">
        <w:t xml:space="preserve">egional Administrators to implement a limited term </w:t>
      </w:r>
      <w:proofErr w:type="spellStart"/>
      <w:r w:rsidRPr="00ED4E1B">
        <w:t>M</w:t>
      </w:r>
      <w:r>
        <w:t>obilehome</w:t>
      </w:r>
      <w:proofErr w:type="spellEnd"/>
      <w:r>
        <w:t xml:space="preserve"> Park</w:t>
      </w:r>
      <w:r w:rsidRPr="00ED4E1B">
        <w:t xml:space="preserve"> Electrification</w:t>
      </w:r>
      <w:r>
        <w:t xml:space="preserve"> </w:t>
      </w:r>
      <w:r w:rsidRPr="00ED4E1B">
        <w:t>Initiative.</w:t>
      </w:r>
    </w:p>
    <w:p w:rsidRPr="00ED4E1B" w:rsidR="001372AE" w:rsidP="001372AE" w:rsidRDefault="001372AE" w14:paraId="5DD79E3C" w14:textId="474D1380">
      <w:pPr>
        <w:pStyle w:val="FoF"/>
        <w:numPr>
          <w:ilvl w:val="0"/>
          <w:numId w:val="27"/>
        </w:numPr>
      </w:pPr>
      <w:r w:rsidRPr="00ED4E1B">
        <w:t xml:space="preserve">Pacific Gas and Electric Company, San Diego Gas </w:t>
      </w:r>
      <w:r>
        <w:t>&amp;</w:t>
      </w:r>
      <w:r w:rsidRPr="00ED4E1B">
        <w:t xml:space="preserve"> Electric Company</w:t>
      </w:r>
      <w:r>
        <w:t>,</w:t>
      </w:r>
      <w:r w:rsidRPr="00ED4E1B">
        <w:t xml:space="preserve"> and Southern California Edison Company shall coordinate with </w:t>
      </w:r>
      <w:r>
        <w:t>the California Energy Commission</w:t>
      </w:r>
      <w:r w:rsidRPr="00ED4E1B">
        <w:t xml:space="preserve"> </w:t>
      </w:r>
      <w:r w:rsidRPr="00ED4E1B">
        <w:rPr>
          <w:rFonts w:eastAsia="Times New Roman" w:cs="Times New Roman"/>
          <w:color w:val="000000" w:themeColor="text1"/>
          <w:szCs w:val="26"/>
        </w:rPr>
        <w:t>Equitable Building Decarbonization</w:t>
      </w:r>
      <w:r>
        <w:rPr>
          <w:rFonts w:eastAsia="Times New Roman" w:cs="Times New Roman"/>
          <w:color w:val="000000" w:themeColor="text1"/>
          <w:szCs w:val="26"/>
        </w:rPr>
        <w:t xml:space="preserve"> (EBD)</w:t>
      </w:r>
      <w:r w:rsidRPr="00ED4E1B">
        <w:t xml:space="preserve"> staff </w:t>
      </w:r>
      <w:r>
        <w:t xml:space="preserve">and EBD Regional Administrators to facilitate </w:t>
      </w:r>
      <w:r w:rsidRPr="00ED4E1B">
        <w:t xml:space="preserve">outreach to potential candidate </w:t>
      </w:r>
      <w:proofErr w:type="spellStart"/>
      <w:r w:rsidRPr="00ED4E1B">
        <w:t>mobilehome</w:t>
      </w:r>
      <w:proofErr w:type="spellEnd"/>
      <w:r w:rsidRPr="00ED4E1B">
        <w:t xml:space="preserve"> park</w:t>
      </w:r>
      <w:r>
        <w:t xml:space="preserve"> owners</w:t>
      </w:r>
      <w:r w:rsidRPr="00ED4E1B">
        <w:t xml:space="preserve"> to assess their eligibility</w:t>
      </w:r>
      <w:r>
        <w:t xml:space="preserve"> and interest</w:t>
      </w:r>
      <w:r w:rsidRPr="00ED4E1B">
        <w:t xml:space="preserve"> for the </w:t>
      </w:r>
      <w:r>
        <w:t>E</w:t>
      </w:r>
      <w:r w:rsidRPr="00ED4E1B">
        <w:t>lectrification Initiative.</w:t>
      </w:r>
    </w:p>
    <w:p w:rsidRPr="00ED4E1B" w:rsidR="001372AE" w:rsidP="001372AE" w:rsidRDefault="001372AE" w14:paraId="33DE5E02" w14:textId="59790085">
      <w:pPr>
        <w:pStyle w:val="FoF"/>
      </w:pPr>
      <w:r w:rsidRPr="00ED4E1B">
        <w:t xml:space="preserve">Pacific Gas and Electric Company, San Diego Gas </w:t>
      </w:r>
      <w:r>
        <w:t>&amp;</w:t>
      </w:r>
      <w:r w:rsidRPr="00ED4E1B">
        <w:t xml:space="preserve"> Electric Company</w:t>
      </w:r>
      <w:r>
        <w:t>,</w:t>
      </w:r>
      <w:r w:rsidRPr="00ED4E1B">
        <w:t xml:space="preserve"> Southern California Edison Company</w:t>
      </w:r>
      <w:r>
        <w:t>, Southern California Gas Company, and Southwest Gas Corporation</w:t>
      </w:r>
      <w:r w:rsidRPr="00ED4E1B">
        <w:t xml:space="preserve"> shall </w:t>
      </w:r>
      <w:r>
        <w:t xml:space="preserve">include a new section in their annual report that documents the list of MHPs selected for the Electrification Initiative, </w:t>
      </w:r>
      <w:r>
        <w:lastRenderedPageBreak/>
        <w:t xml:space="preserve">conversion and/or decommissioning costs, and information regarding barriers and challenges faced by the utilities in implementing </w:t>
      </w:r>
      <w:r w:rsidRPr="00ED4E1B">
        <w:t xml:space="preserve">the </w:t>
      </w:r>
      <w:r>
        <w:t>E</w:t>
      </w:r>
      <w:r w:rsidRPr="00ED4E1B">
        <w:t>lectrification Initiative.</w:t>
      </w:r>
    </w:p>
    <w:p w:rsidRPr="00ED4E1B" w:rsidR="001372AE" w:rsidP="001372AE" w:rsidRDefault="001372AE" w14:paraId="74C93004" w14:textId="55A151F7">
      <w:pPr>
        <w:pStyle w:val="FoF"/>
      </w:pPr>
      <w:r w:rsidRPr="00ED4E1B">
        <w:t xml:space="preserve">Pacific Gas and Electric Company, San Diego Gas </w:t>
      </w:r>
      <w:r>
        <w:t>&amp;</w:t>
      </w:r>
      <w:r w:rsidRPr="00ED4E1B">
        <w:t xml:space="preserve"> Electric Company</w:t>
      </w:r>
      <w:r>
        <w:t>,</w:t>
      </w:r>
      <w:r w:rsidRPr="002B0398">
        <w:t xml:space="preserve"> </w:t>
      </w:r>
      <w:r>
        <w:t>Southern California Gas Company, and Southwest Gas Corporation</w:t>
      </w:r>
      <w:r w:rsidRPr="00ED4E1B">
        <w:t>, shall work cooperatively with C</w:t>
      </w:r>
      <w:r>
        <w:t xml:space="preserve">alifornia </w:t>
      </w:r>
      <w:r w:rsidRPr="00ED4E1B">
        <w:t>E</w:t>
      </w:r>
      <w:r>
        <w:t xml:space="preserve">nergy </w:t>
      </w:r>
      <w:r w:rsidRPr="00ED4E1B">
        <w:t>C</w:t>
      </w:r>
      <w:r>
        <w:t>ommission</w:t>
      </w:r>
      <w:r w:rsidRPr="00ED4E1B">
        <w:t xml:space="preserve">’s </w:t>
      </w:r>
      <w:r w:rsidRPr="00ED4E1B">
        <w:rPr>
          <w:rFonts w:eastAsia="Times New Roman" w:cs="Times New Roman"/>
          <w:color w:val="000000" w:themeColor="text1"/>
          <w:szCs w:val="26"/>
        </w:rPr>
        <w:t>Equitable Building Decarbonization</w:t>
      </w:r>
      <w:r w:rsidRPr="00ED4E1B">
        <w:t xml:space="preserve"> Program staff and Administrators to </w:t>
      </w:r>
      <w:r>
        <w:t>cease</w:t>
      </w:r>
      <w:r w:rsidRPr="00ED4E1B">
        <w:t xml:space="preserve"> natural gas </w:t>
      </w:r>
      <w:r>
        <w:t>service</w:t>
      </w:r>
      <w:r w:rsidRPr="00ED4E1B">
        <w:t xml:space="preserve"> </w:t>
      </w:r>
      <w:r>
        <w:t>to</w:t>
      </w:r>
      <w:r w:rsidRPr="00ED4E1B">
        <w:t xml:space="preserve"> </w:t>
      </w:r>
      <w:proofErr w:type="spellStart"/>
      <w:r w:rsidRPr="00ED4E1B">
        <w:t>mobilehome</w:t>
      </w:r>
      <w:proofErr w:type="spellEnd"/>
      <w:r w:rsidRPr="00ED4E1B">
        <w:t xml:space="preserve"> parks participating in the </w:t>
      </w:r>
      <w:r>
        <w:t>E</w:t>
      </w:r>
      <w:r w:rsidRPr="00ED4E1B">
        <w:t>lectrification Initiative.</w:t>
      </w:r>
    </w:p>
    <w:p w:rsidRPr="00ED4E1B" w:rsidR="001372AE" w:rsidP="001372AE" w:rsidRDefault="001372AE" w14:paraId="6543F99E" w14:textId="5026A721">
      <w:pPr>
        <w:pStyle w:val="FoF"/>
      </w:pPr>
      <w:r w:rsidRPr="00ED4E1B">
        <w:t xml:space="preserve">Any </w:t>
      </w:r>
      <w:proofErr w:type="spellStart"/>
      <w:r w:rsidRPr="00ED4E1B">
        <w:t>mobilehome</w:t>
      </w:r>
      <w:proofErr w:type="spellEnd"/>
      <w:r w:rsidRPr="00ED4E1B">
        <w:t xml:space="preserve"> park in </w:t>
      </w:r>
      <w:r>
        <w:t xml:space="preserve">the </w:t>
      </w:r>
      <w:r w:rsidRPr="00ED4E1B">
        <w:t xml:space="preserve">service territory </w:t>
      </w:r>
      <w:r>
        <w:t xml:space="preserve">of </w:t>
      </w:r>
      <w:r w:rsidRPr="00ED4E1B">
        <w:t xml:space="preserve">Pacific Gas and Electric Company, San Diego Gas </w:t>
      </w:r>
      <w:r>
        <w:t xml:space="preserve">&amp; </w:t>
      </w:r>
      <w:r w:rsidRPr="00ED4E1B">
        <w:t>Electric Company</w:t>
      </w:r>
      <w:r>
        <w:t xml:space="preserve"> or </w:t>
      </w:r>
      <w:r w:rsidRPr="00ED4E1B">
        <w:t xml:space="preserve">Southern California Edison Company that meets the minimum criteria </w:t>
      </w:r>
      <w:r>
        <w:t>established in Section 5.2.3 of this decision</w:t>
      </w:r>
      <w:r w:rsidRPr="00ED4E1B">
        <w:t xml:space="preserve"> is eligible to participate in the </w:t>
      </w:r>
      <w:r>
        <w:t>E</w:t>
      </w:r>
      <w:r w:rsidRPr="00ED4E1B">
        <w:t xml:space="preserve">lectrification Initiative. Parks that have previously been converted through the </w:t>
      </w:r>
      <w:proofErr w:type="spellStart"/>
      <w:r w:rsidRPr="00ED4E1B">
        <w:t>M</w:t>
      </w:r>
      <w:r>
        <w:t>obilehome</w:t>
      </w:r>
      <w:proofErr w:type="spellEnd"/>
      <w:r>
        <w:t xml:space="preserve"> Park</w:t>
      </w:r>
      <w:r w:rsidRPr="00ED4E1B">
        <w:t xml:space="preserve"> U</w:t>
      </w:r>
      <w:r>
        <w:t xml:space="preserve">tility </w:t>
      </w:r>
      <w:r w:rsidRPr="00ED4E1B">
        <w:t>C</w:t>
      </w:r>
      <w:r>
        <w:t xml:space="preserve">onversion </w:t>
      </w:r>
      <w:r w:rsidRPr="00ED4E1B">
        <w:t>P</w:t>
      </w:r>
      <w:r>
        <w:t>rogram</w:t>
      </w:r>
      <w:r w:rsidRPr="00ED4E1B">
        <w:t xml:space="preserve"> are not eligible for the </w:t>
      </w:r>
      <w:r>
        <w:t>E</w:t>
      </w:r>
      <w:r w:rsidRPr="00ED4E1B">
        <w:t>lectrification Initiative.</w:t>
      </w:r>
    </w:p>
    <w:p w:rsidRPr="00ED4E1B" w:rsidR="001372AE" w:rsidP="001372AE" w:rsidRDefault="001372AE" w14:paraId="7BCC1F73" w14:textId="77777777">
      <w:pPr>
        <w:pStyle w:val="FoF"/>
      </w:pPr>
      <w:r w:rsidRPr="00ED4E1B">
        <w:t xml:space="preserve">Pacific Gas and Electric Company, San Diego Gas </w:t>
      </w:r>
      <w:r>
        <w:t xml:space="preserve">&amp; </w:t>
      </w:r>
      <w:r w:rsidRPr="00ED4E1B">
        <w:t>Electric Company and Southern California Edison Company shall</w:t>
      </w:r>
      <w:r>
        <w:t>,</w:t>
      </w:r>
      <w:r w:rsidRPr="00ED4E1B">
        <w:t xml:space="preserve"> as part of the existing </w:t>
      </w:r>
      <w:proofErr w:type="spellStart"/>
      <w:r w:rsidRPr="00ED4E1B">
        <w:t>Mobile</w:t>
      </w:r>
      <w:r>
        <w:t>h</w:t>
      </w:r>
      <w:r w:rsidRPr="00ED4E1B">
        <w:t>ome</w:t>
      </w:r>
      <w:proofErr w:type="spellEnd"/>
      <w:r w:rsidRPr="00ED4E1B">
        <w:t xml:space="preserve"> Park Utility Conversion </w:t>
      </w:r>
      <w:r>
        <w:t>P</w:t>
      </w:r>
      <w:r w:rsidRPr="00ED4E1B">
        <w:t>rogram</w:t>
      </w:r>
      <w:r>
        <w:t>,</w:t>
      </w:r>
      <w:r w:rsidRPr="00ED4E1B">
        <w:t xml:space="preserve"> continue to install new direct-metered electric infrastructure capable of delivering 200-amp service to mobile homes selected to participate in the </w:t>
      </w:r>
      <w:r>
        <w:t>E</w:t>
      </w:r>
      <w:r w:rsidRPr="00ED4E1B">
        <w:t>lectrification Initiative.</w:t>
      </w:r>
    </w:p>
    <w:p w:rsidR="001372AE" w:rsidP="001372AE" w:rsidRDefault="001372AE" w14:paraId="60DF850C" w14:textId="75E68FB3">
      <w:pPr>
        <w:pStyle w:val="FoF"/>
      </w:pPr>
      <w:r w:rsidRPr="00ED4E1B">
        <w:t>Pacific Gas and Electric Company, San Diego Gas and Electric Company and Southern California Edison Company shall work with the C</w:t>
      </w:r>
      <w:r>
        <w:t xml:space="preserve">alifornia </w:t>
      </w:r>
      <w:r w:rsidRPr="00ED4E1B">
        <w:t>E</w:t>
      </w:r>
      <w:r>
        <w:t xml:space="preserve">nergy </w:t>
      </w:r>
      <w:r w:rsidRPr="00ED4E1B">
        <w:t>C</w:t>
      </w:r>
      <w:r>
        <w:t>ommission</w:t>
      </w:r>
      <w:r w:rsidRPr="00ED4E1B">
        <w:t xml:space="preserve"> </w:t>
      </w:r>
      <w:r w:rsidRPr="00ED4E1B">
        <w:rPr>
          <w:rFonts w:eastAsia="Times New Roman" w:cs="Times New Roman"/>
          <w:color w:val="000000" w:themeColor="text1"/>
          <w:szCs w:val="26"/>
        </w:rPr>
        <w:t>Equitable Building Decarbonization</w:t>
      </w:r>
      <w:r w:rsidRPr="00ED4E1B">
        <w:t xml:space="preserve"> program to determine the appropriate electric infrastructure ne</w:t>
      </w:r>
      <w:r>
        <w:t>cessary</w:t>
      </w:r>
      <w:r w:rsidRPr="00ED4E1B">
        <w:t xml:space="preserve"> to meet common area needs in </w:t>
      </w:r>
      <w:proofErr w:type="spellStart"/>
      <w:r w:rsidRPr="00ED4E1B">
        <w:t>mobilehome</w:t>
      </w:r>
      <w:proofErr w:type="spellEnd"/>
      <w:r w:rsidRPr="00ED4E1B">
        <w:t xml:space="preserve"> parks selected to participate in the </w:t>
      </w:r>
      <w:r>
        <w:t>E</w:t>
      </w:r>
      <w:r w:rsidRPr="00ED4E1B">
        <w:t>lectrification Initiative, even if this service size exceeds 200 amps.</w:t>
      </w:r>
    </w:p>
    <w:p w:rsidRPr="00ED4E1B" w:rsidR="001372AE" w:rsidP="001372AE" w:rsidRDefault="001372AE" w14:paraId="7A000A60" w14:textId="77777777">
      <w:pPr>
        <w:pStyle w:val="FoF"/>
      </w:pPr>
      <w:r>
        <w:t xml:space="preserve">Southern California Gas Company and Southwest Gas Corporation shall work with the </w:t>
      </w:r>
      <w:r w:rsidRPr="00ED4E1B">
        <w:t>C</w:t>
      </w:r>
      <w:r>
        <w:t xml:space="preserve">alifornia </w:t>
      </w:r>
      <w:r w:rsidRPr="00ED4E1B">
        <w:t>E</w:t>
      </w:r>
      <w:r>
        <w:t xml:space="preserve">nergy </w:t>
      </w:r>
      <w:r w:rsidRPr="00ED4E1B">
        <w:t>C</w:t>
      </w:r>
      <w:r>
        <w:t>ommission</w:t>
      </w:r>
      <w:r w:rsidRPr="00ED4E1B">
        <w:t xml:space="preserve"> </w:t>
      </w:r>
      <w:r w:rsidRPr="00ED4E1B">
        <w:rPr>
          <w:rFonts w:eastAsia="Times New Roman" w:cs="Times New Roman"/>
          <w:color w:val="000000" w:themeColor="text1"/>
          <w:szCs w:val="26"/>
        </w:rPr>
        <w:t>Equitable Building</w:t>
      </w:r>
      <w:r>
        <w:rPr>
          <w:rFonts w:eastAsia="Times New Roman" w:cs="Times New Roman"/>
          <w:color w:val="000000" w:themeColor="text1"/>
          <w:szCs w:val="26"/>
        </w:rPr>
        <w:t xml:space="preserve"> </w:t>
      </w:r>
      <w:r w:rsidRPr="00ED4E1B">
        <w:rPr>
          <w:rFonts w:eastAsia="Times New Roman" w:cs="Times New Roman"/>
          <w:color w:val="000000" w:themeColor="text1"/>
          <w:szCs w:val="26"/>
        </w:rPr>
        <w:lastRenderedPageBreak/>
        <w:t>Decarbonization</w:t>
      </w:r>
      <w:r w:rsidRPr="00ED4E1B">
        <w:t xml:space="preserve"> program</w:t>
      </w:r>
      <w:r>
        <w:t xml:space="preserve"> administrators and </w:t>
      </w:r>
      <w:proofErr w:type="spellStart"/>
      <w:r>
        <w:t>mobilehome</w:t>
      </w:r>
      <w:proofErr w:type="spellEnd"/>
      <w:r>
        <w:t xml:space="preserve"> park (MHP) owners and residents selected for the Electrification Initiative to coordinate timing, communication and other work necessary to terminate gas service to and/or within the MHP.   </w:t>
      </w:r>
    </w:p>
    <w:p w:rsidR="001372AE" w:rsidP="001372AE" w:rsidRDefault="001372AE" w14:paraId="6E9B1017" w14:textId="77777777">
      <w:pPr>
        <w:pStyle w:val="FoF"/>
      </w:pPr>
      <w:r>
        <w:t xml:space="preserve">In implementing the Electrification Initiative, </w:t>
      </w:r>
      <w:r w:rsidRPr="00ED4E1B">
        <w:t xml:space="preserve">Pacific Gas and Electric Company, San Diego Gas </w:t>
      </w:r>
      <w:r>
        <w:t>&amp;</w:t>
      </w:r>
      <w:r w:rsidRPr="00ED4E1B">
        <w:t xml:space="preserve"> Electric Company and Southern California Edison Company</w:t>
      </w:r>
      <w:r>
        <w:t xml:space="preserve"> shall be responsible for </w:t>
      </w:r>
      <w:r w:rsidRPr="00E40465">
        <w:t>(</w:t>
      </w:r>
      <w:proofErr w:type="spellStart"/>
      <w:r w:rsidRPr="00E40465">
        <w:t>i</w:t>
      </w:r>
      <w:proofErr w:type="spellEnd"/>
      <w:r w:rsidRPr="00E40465">
        <w:t>) “to-the-meter” (TTM) electrical infrastructure to support 200-amp electrical service, and (ii) “behind-the-meter” (BTM) components up to and including the point of connection to the manufactured home</w:t>
      </w:r>
      <w:r>
        <w:t xml:space="preserve"> needed to support full-home electrification.</w:t>
      </w:r>
    </w:p>
    <w:p w:rsidR="001372AE" w:rsidP="001372AE" w:rsidRDefault="001372AE" w14:paraId="4DC52F13" w14:textId="5CFFB12D">
      <w:pPr>
        <w:pStyle w:val="FoF"/>
      </w:pPr>
      <w:r w:rsidRPr="00ED4E1B">
        <w:t>The C</w:t>
      </w:r>
      <w:r>
        <w:t xml:space="preserve">alifornia </w:t>
      </w:r>
      <w:r w:rsidRPr="00ED4E1B">
        <w:t>E</w:t>
      </w:r>
      <w:r>
        <w:t xml:space="preserve">nergy </w:t>
      </w:r>
      <w:r w:rsidRPr="00ED4E1B">
        <w:t>C</w:t>
      </w:r>
      <w:r>
        <w:t>ommission</w:t>
      </w:r>
      <w:r w:rsidRPr="00ED4E1B">
        <w:t xml:space="preserve"> </w:t>
      </w:r>
      <w:r w:rsidRPr="00ED4E1B">
        <w:rPr>
          <w:rFonts w:eastAsia="Times New Roman" w:cs="Times New Roman"/>
          <w:color w:val="000000" w:themeColor="text1"/>
          <w:szCs w:val="26"/>
        </w:rPr>
        <w:t>Equitable Building Decarbonization</w:t>
      </w:r>
      <w:r w:rsidRPr="00ED4E1B">
        <w:t xml:space="preserve"> Direct Install program </w:t>
      </w:r>
      <w:r>
        <w:t>will</w:t>
      </w:r>
      <w:r w:rsidRPr="00ED4E1B">
        <w:t xml:space="preserve"> perform behind</w:t>
      </w:r>
      <w:r>
        <w:t>-</w:t>
      </w:r>
      <w:r w:rsidRPr="00ED4E1B">
        <w:t>the</w:t>
      </w:r>
      <w:r>
        <w:t>-</w:t>
      </w:r>
      <w:r w:rsidRPr="00ED4E1B">
        <w:t xml:space="preserve">meter electrification work for the manufactured and mobile homes and common areas not covered by the </w:t>
      </w:r>
      <w:proofErr w:type="spellStart"/>
      <w:r>
        <w:t>M</w:t>
      </w:r>
      <w:r w:rsidRPr="00ED4E1B">
        <w:t>obilehome</w:t>
      </w:r>
      <w:proofErr w:type="spellEnd"/>
      <w:r w:rsidRPr="00ED4E1B">
        <w:t xml:space="preserve"> </w:t>
      </w:r>
      <w:r>
        <w:t>P</w:t>
      </w:r>
      <w:r w:rsidRPr="00ED4E1B">
        <w:t xml:space="preserve">ark </w:t>
      </w:r>
      <w:r>
        <w:t>U</w:t>
      </w:r>
      <w:r w:rsidRPr="00ED4E1B">
        <w:t xml:space="preserve">tility </w:t>
      </w:r>
      <w:r>
        <w:t>C</w:t>
      </w:r>
      <w:r w:rsidRPr="00ED4E1B">
        <w:t xml:space="preserve">onversion </w:t>
      </w:r>
      <w:r>
        <w:t>P</w:t>
      </w:r>
      <w:r w:rsidRPr="00ED4E1B">
        <w:t xml:space="preserve">rogram offered by Pacific Gas and Electric Company, San Diego Gas </w:t>
      </w:r>
      <w:r>
        <w:t>&amp;</w:t>
      </w:r>
      <w:r w:rsidRPr="00ED4E1B">
        <w:t xml:space="preserve"> Electric Company and Southern California Edison Company. </w:t>
      </w:r>
    </w:p>
    <w:p w:rsidR="001372AE" w:rsidP="001372AE" w:rsidRDefault="001372AE" w14:paraId="20ABDB53" w14:textId="77777777">
      <w:pPr>
        <w:pStyle w:val="FoF"/>
      </w:pPr>
      <w:r w:rsidRPr="00ED4E1B">
        <w:t xml:space="preserve">Nothing shall preclude this </w:t>
      </w:r>
      <w:r>
        <w:t xml:space="preserve">Electrification </w:t>
      </w:r>
      <w:r w:rsidRPr="00ED4E1B">
        <w:t xml:space="preserve">Initiative from leveraging additional sources of funding in addition to the funds from the Equitable Building </w:t>
      </w:r>
      <w:r>
        <w:t xml:space="preserve">Decarbonization </w:t>
      </w:r>
      <w:r w:rsidRPr="00ED4E1B">
        <w:t>Program funds.</w:t>
      </w:r>
    </w:p>
    <w:p w:rsidR="001372AE" w:rsidP="001372AE" w:rsidRDefault="001372AE" w14:paraId="7C09B672" w14:textId="77777777">
      <w:pPr>
        <w:pStyle w:val="FoF"/>
      </w:pPr>
      <w:r>
        <w:t>To participate</w:t>
      </w:r>
      <w:r w:rsidRPr="00625570">
        <w:t xml:space="preserve"> in the Electrification Initiative</w:t>
      </w:r>
      <w:r>
        <w:t>,</w:t>
      </w:r>
      <w:r w:rsidRPr="00625570">
        <w:t xml:space="preserve"> the </w:t>
      </w:r>
      <w:proofErr w:type="spellStart"/>
      <w:r w:rsidRPr="00625570">
        <w:t>M</w:t>
      </w:r>
      <w:r>
        <w:t>obilehome</w:t>
      </w:r>
      <w:proofErr w:type="spellEnd"/>
      <w:r>
        <w:t xml:space="preserve"> Park</w:t>
      </w:r>
      <w:r w:rsidRPr="00625570">
        <w:t xml:space="preserve"> owner(s), and/or the customer(s) of record receiving gas from a regulated utility shall agree not to receive any piped gas until the natural end of life of the equipment incentivized by the EBD program, or </w:t>
      </w:r>
      <w:r>
        <w:t>20</w:t>
      </w:r>
      <w:r w:rsidRPr="00625570">
        <w:t xml:space="preserve"> years, whichever is later</w:t>
      </w:r>
      <w:r>
        <w:t>.</w:t>
      </w:r>
    </w:p>
    <w:p w:rsidR="001372AE" w:rsidP="001372AE" w:rsidRDefault="001372AE" w14:paraId="1BA93591" w14:textId="77777777">
      <w:pPr>
        <w:pStyle w:val="FoF"/>
      </w:pPr>
      <w:r w:rsidRPr="000C0B6D">
        <w:t xml:space="preserve">The </w:t>
      </w:r>
      <w:proofErr w:type="spellStart"/>
      <w:r w:rsidRPr="000C0B6D">
        <w:t>M</w:t>
      </w:r>
      <w:r>
        <w:t>obilehome</w:t>
      </w:r>
      <w:proofErr w:type="spellEnd"/>
      <w:r>
        <w:t xml:space="preserve"> Park</w:t>
      </w:r>
      <w:r w:rsidRPr="000C0B6D">
        <w:t xml:space="preserve"> owner and/or the gas customer</w:t>
      </w:r>
      <w:r>
        <w:t>(s)</w:t>
      </w:r>
      <w:r w:rsidRPr="000C0B6D">
        <w:t xml:space="preserve"> of record </w:t>
      </w:r>
      <w:r>
        <w:t>participating in the Electrification Initiative must</w:t>
      </w:r>
      <w:r w:rsidRPr="000C0B6D">
        <w:t xml:space="preserve"> submit a copy of the recorded </w:t>
      </w:r>
      <w:r w:rsidRPr="000C0B6D">
        <w:lastRenderedPageBreak/>
        <w:t xml:space="preserve">deed </w:t>
      </w:r>
      <w:r>
        <w:t xml:space="preserve">restricting the land from build-out of new gas infrastructure </w:t>
      </w:r>
      <w:r w:rsidRPr="000C0B6D">
        <w:t xml:space="preserve">to the gas </w:t>
      </w:r>
      <w:r>
        <w:t>utility</w:t>
      </w:r>
      <w:r w:rsidRPr="000C0B6D">
        <w:t xml:space="preserve"> in whose service territory the MHP is located</w:t>
      </w:r>
      <w:r>
        <w:t>.</w:t>
      </w:r>
    </w:p>
    <w:p w:rsidR="001372AE" w:rsidP="001372AE" w:rsidRDefault="001372AE" w14:paraId="4578C2C8" w14:textId="77777777">
      <w:pPr>
        <w:pStyle w:val="FoF"/>
      </w:pPr>
      <w:r>
        <w:t xml:space="preserve">For service territories where the electric and gas utility are not the same company, the gas utility shall notify the electric utility of receipt of </w:t>
      </w:r>
      <w:r w:rsidRPr="000C0B6D">
        <w:t xml:space="preserve">the recorded deed </w:t>
      </w:r>
      <w:r>
        <w:t xml:space="preserve">restricting the land from </w:t>
      </w:r>
      <w:proofErr w:type="gramStart"/>
      <w:r>
        <w:t>build</w:t>
      </w:r>
      <w:proofErr w:type="gramEnd"/>
      <w:r>
        <w:t>-out of new gas infrastructure.</w:t>
      </w:r>
    </w:p>
    <w:p w:rsidR="001372AE" w:rsidP="001372AE" w:rsidRDefault="001372AE" w14:paraId="44D55AF5" w14:textId="77777777">
      <w:pPr>
        <w:pStyle w:val="FoF"/>
      </w:pPr>
      <w:r w:rsidRPr="0072162C">
        <w:t xml:space="preserve">Any installations and/or modifications to the </w:t>
      </w:r>
      <w:proofErr w:type="spellStart"/>
      <w:r w:rsidRPr="0072162C">
        <w:t>M</w:t>
      </w:r>
      <w:r>
        <w:t>obilehome</w:t>
      </w:r>
      <w:proofErr w:type="spellEnd"/>
      <w:r>
        <w:t xml:space="preserve"> Park</w:t>
      </w:r>
      <w:r w:rsidRPr="0072162C">
        <w:t xml:space="preserve"> site for implementing the Electrification Initiative shall only begin once the deed recording has been received by the gas </w:t>
      </w:r>
      <w:r>
        <w:t>utility</w:t>
      </w:r>
      <w:r w:rsidRPr="0072162C">
        <w:t xml:space="preserve"> and communicated to the electric</w:t>
      </w:r>
      <w:r>
        <w:t xml:space="preserve"> utility</w:t>
      </w:r>
      <w:r w:rsidRPr="0072162C">
        <w:t>.</w:t>
      </w:r>
    </w:p>
    <w:p w:rsidRPr="00ED4E1B" w:rsidR="001372AE" w:rsidP="001372AE" w:rsidRDefault="001372AE" w14:paraId="480F3CD9" w14:textId="77777777">
      <w:pPr>
        <w:pStyle w:val="FoF"/>
      </w:pPr>
      <w:r>
        <w:t xml:space="preserve">The gas utility shall adhere to the restrictive covenant on the land(s) and ensure that no new gas infrastructure is constructed on it until after the date specified in the covenant.  </w:t>
      </w:r>
      <w:r w:rsidRPr="0072162C">
        <w:t xml:space="preserve">  </w:t>
      </w:r>
    </w:p>
    <w:p w:rsidRPr="00ED4E1B" w:rsidR="001372AE" w:rsidP="001372AE" w:rsidRDefault="001372AE" w14:paraId="0B9E347D" w14:textId="583CF0CD">
      <w:pPr>
        <w:pStyle w:val="FoF"/>
      </w:pPr>
      <w:r w:rsidRPr="00ED4E1B">
        <w:t xml:space="preserve">Pacific Gas and Electric Company, San Diego Gas </w:t>
      </w:r>
      <w:r>
        <w:t>&amp;</w:t>
      </w:r>
      <w:r w:rsidRPr="00ED4E1B">
        <w:t xml:space="preserve"> Electric Company</w:t>
      </w:r>
      <w:r>
        <w:t xml:space="preserve">, </w:t>
      </w:r>
      <w:r w:rsidRPr="00ED4E1B">
        <w:t>Southern California Edison Company</w:t>
      </w:r>
      <w:r>
        <w:t>,</w:t>
      </w:r>
      <w:r w:rsidRPr="009079C9">
        <w:t xml:space="preserve"> </w:t>
      </w:r>
      <w:r>
        <w:t>Southern California Gas Company and Southwest Gas Corporation</w:t>
      </w:r>
      <w:r w:rsidRPr="00ED4E1B">
        <w:t xml:space="preserve"> shall file a joint Tier 2 Advice Letter within 180 days of this decision detailing how coordination among all components for the </w:t>
      </w:r>
      <w:r>
        <w:t>E</w:t>
      </w:r>
      <w:r w:rsidRPr="00ED4E1B">
        <w:t>lectrification Initiative will proceed.</w:t>
      </w:r>
    </w:p>
    <w:p w:rsidR="001372AE" w:rsidP="001372AE" w:rsidRDefault="001372AE" w14:paraId="4F506937" w14:textId="482FC4F7">
      <w:pPr>
        <w:pStyle w:val="FoF"/>
      </w:pPr>
      <w:r w:rsidRPr="00ED4E1B">
        <w:t xml:space="preserve">Pacific Gas and Electric Company, San Diego Gas </w:t>
      </w:r>
      <w:r>
        <w:t>&amp;</w:t>
      </w:r>
      <w:r w:rsidRPr="00ED4E1B">
        <w:t xml:space="preserve"> Electric Company and Southern California Edison Company shall record and </w:t>
      </w:r>
      <w:r>
        <w:t>re</w:t>
      </w:r>
      <w:r w:rsidRPr="00ED4E1B">
        <w:t xml:space="preserve">cover costs for the To -The-Meter (TTM) and Behind </w:t>
      </w:r>
      <w:proofErr w:type="gramStart"/>
      <w:r w:rsidRPr="00ED4E1B">
        <w:t>The</w:t>
      </w:r>
      <w:proofErr w:type="gramEnd"/>
      <w:r w:rsidRPr="00ED4E1B">
        <w:t xml:space="preserve"> Meter (BTM) electrical system work</w:t>
      </w:r>
      <w:r>
        <w:t xml:space="preserve"> performed for the Electrification Initiative through the balancing accounts established for the </w:t>
      </w:r>
      <w:proofErr w:type="spellStart"/>
      <w:r>
        <w:t>M</w:t>
      </w:r>
      <w:r w:rsidRPr="00ED4E1B">
        <w:t>obilehome</w:t>
      </w:r>
      <w:proofErr w:type="spellEnd"/>
      <w:r w:rsidRPr="00ED4E1B">
        <w:t xml:space="preserve"> </w:t>
      </w:r>
      <w:r>
        <w:t>P</w:t>
      </w:r>
      <w:r w:rsidRPr="00ED4E1B">
        <w:t xml:space="preserve">ark </w:t>
      </w:r>
      <w:r>
        <w:t>U</w:t>
      </w:r>
      <w:r w:rsidRPr="00ED4E1B">
        <w:t xml:space="preserve">tility </w:t>
      </w:r>
      <w:r>
        <w:t>C</w:t>
      </w:r>
      <w:r w:rsidRPr="00ED4E1B">
        <w:t xml:space="preserve">onversion </w:t>
      </w:r>
      <w:r>
        <w:t>P</w:t>
      </w:r>
      <w:r w:rsidRPr="00ED4E1B">
        <w:t>rogram.</w:t>
      </w:r>
      <w:r>
        <w:t xml:space="preserve"> </w:t>
      </w:r>
    </w:p>
    <w:p w:rsidRPr="00ED4E1B" w:rsidR="001372AE" w:rsidP="001372AE" w:rsidRDefault="001372AE" w14:paraId="5AE13999" w14:textId="77777777">
      <w:pPr>
        <w:pStyle w:val="FoF"/>
      </w:pPr>
      <w:r>
        <w:t xml:space="preserve">Southern California Gas Company and Southwest Gas Corporation shall </w:t>
      </w:r>
      <w:r>
        <w:rPr>
          <w:rFonts w:eastAsia="Book Antiqua" w:cs="Book Antiqua"/>
        </w:rPr>
        <w:t xml:space="preserve">decommission those gas services and systems that are under their purview in support of the Electrification Initiative, and </w:t>
      </w:r>
      <w:r>
        <w:t xml:space="preserve">record and recover costs through </w:t>
      </w:r>
      <w:r>
        <w:lastRenderedPageBreak/>
        <w:t xml:space="preserve">their balancing accounts established for the </w:t>
      </w:r>
      <w:proofErr w:type="spellStart"/>
      <w:r>
        <w:t>Mobilehome</w:t>
      </w:r>
      <w:proofErr w:type="spellEnd"/>
      <w:r>
        <w:t xml:space="preserve"> Park Utility Conversion Program.</w:t>
      </w:r>
      <w:r>
        <w:rPr>
          <w:rFonts w:eastAsia="Book Antiqua" w:cs="Book Antiqua"/>
        </w:rPr>
        <w:t xml:space="preserve">  </w:t>
      </w:r>
    </w:p>
    <w:p w:rsidR="001372AE" w:rsidP="001372AE" w:rsidRDefault="001372AE" w14:paraId="0D6B7B86" w14:textId="6BA42114">
      <w:pPr>
        <w:pStyle w:val="FoF"/>
      </w:pPr>
      <w:r w:rsidRPr="00ED4E1B">
        <w:t xml:space="preserve">Pacific Gas and Electric Company, San Diego Gas </w:t>
      </w:r>
      <w:r>
        <w:t>&amp;</w:t>
      </w:r>
      <w:r w:rsidRPr="00ED4E1B">
        <w:t xml:space="preserve"> Electric Company</w:t>
      </w:r>
      <w:r>
        <w:t>,</w:t>
      </w:r>
      <w:r w:rsidRPr="00ED4E1B">
        <w:t xml:space="preserve"> Southern California Edison Company</w:t>
      </w:r>
      <w:r>
        <w:t>, Southern California Gas Company and Southwest Gas Corporation</w:t>
      </w:r>
      <w:r w:rsidRPr="00ED4E1B">
        <w:t xml:space="preserve"> shall count all conversions completed through this </w:t>
      </w:r>
      <w:r>
        <w:t xml:space="preserve">Electrification </w:t>
      </w:r>
      <w:r w:rsidRPr="00ED4E1B">
        <w:t>Initiative toward their total annual conversions.</w:t>
      </w:r>
    </w:p>
    <w:p w:rsidRPr="00216ADC" w:rsidR="001372AE" w:rsidP="001372AE" w:rsidRDefault="001372AE" w14:paraId="6F6E8E75" w14:textId="77777777">
      <w:pPr>
        <w:pStyle w:val="FoF"/>
        <w:rPr>
          <w:rFonts w:ascii="Aptos" w:hAnsi="Aptos"/>
        </w:rPr>
      </w:pPr>
      <w:r>
        <w:t xml:space="preserve">If non-ratepayer funding sources become unavailable to support the Electrification Initiative authorized by this decision, </w:t>
      </w:r>
      <w:proofErr w:type="gramStart"/>
      <w:r>
        <w:t>participating</w:t>
      </w:r>
      <w:proofErr w:type="gramEnd"/>
      <w:r>
        <w:t xml:space="preserve"> electric and gas investor-owned utilities may submit a Tier 2 Advice Letter to the Commission to request approval to cease work on the Electrification Initiative.</w:t>
      </w:r>
    </w:p>
    <w:p w:rsidRPr="00ED4E1B" w:rsidR="001372AE" w:rsidP="001372AE" w:rsidRDefault="001372AE" w14:paraId="7F5C02FB" w14:textId="1295E4F2">
      <w:pPr>
        <w:pStyle w:val="FoF"/>
      </w:pPr>
      <w:r w:rsidRPr="00ED4E1B">
        <w:t xml:space="preserve">Pacific Gas and Electric Company, San Diego Gas </w:t>
      </w:r>
      <w:r>
        <w:t>&amp;</w:t>
      </w:r>
      <w:r w:rsidRPr="00ED4E1B">
        <w:t xml:space="preserve"> Electric Company</w:t>
      </w:r>
      <w:r>
        <w:t>,</w:t>
      </w:r>
      <w:r w:rsidRPr="00ED4E1B">
        <w:t xml:space="preserve"> Southern California Edison Company</w:t>
      </w:r>
      <w:r>
        <w:t>, Southern California Gas Company and Southwest Gas Corporation</w:t>
      </w:r>
      <w:r w:rsidRPr="00ED4E1B">
        <w:t xml:space="preserve"> shall </w:t>
      </w:r>
      <w:r w:rsidRPr="00216ADC">
        <w:t>ensure that the total</w:t>
      </w:r>
      <w:r w:rsidRPr="00ED4E1B">
        <w:rPr>
          <w:u w:val="single"/>
        </w:rPr>
        <w:t xml:space="preserve"> </w:t>
      </w:r>
      <w:r w:rsidRPr="00ED4E1B">
        <w:t xml:space="preserve">number of spaces converted through this </w:t>
      </w:r>
      <w:r>
        <w:t xml:space="preserve">Electrification </w:t>
      </w:r>
      <w:r w:rsidRPr="00ED4E1B">
        <w:t xml:space="preserve">Initiative and the </w:t>
      </w:r>
      <w:proofErr w:type="spellStart"/>
      <w:r w:rsidRPr="00ED4E1B">
        <w:t>Mobilehome</w:t>
      </w:r>
      <w:proofErr w:type="spellEnd"/>
      <w:r w:rsidRPr="00ED4E1B">
        <w:t xml:space="preserve"> Park </w:t>
      </w:r>
      <w:r>
        <w:t xml:space="preserve">Utility </w:t>
      </w:r>
      <w:r w:rsidRPr="00ED4E1B">
        <w:t>Conversion Program activities do not exceed the annual soft target conversion targets established in Decision 20-04-</w:t>
      </w:r>
      <w:r w:rsidRPr="0088559F">
        <w:t>004. For Pacific Gas &amp; Electric Company, this annual target is 2.5%, and for Southern California Edison</w:t>
      </w:r>
      <w:r>
        <w:t>, Southern California Gas</w:t>
      </w:r>
      <w:r w:rsidRPr="0088559F">
        <w:t xml:space="preserve"> and San Diego Gas &amp; Electric this target is 3.3</w:t>
      </w:r>
      <w:r>
        <w:t>3</w:t>
      </w:r>
      <w:r w:rsidRPr="0088559F">
        <w:t xml:space="preserve">% of each respective utilities’ total </w:t>
      </w:r>
      <w:proofErr w:type="spellStart"/>
      <w:r w:rsidRPr="0088559F">
        <w:t>mobilehome</w:t>
      </w:r>
      <w:proofErr w:type="spellEnd"/>
      <w:r w:rsidRPr="0088559F">
        <w:t xml:space="preserve"> park spaces.</w:t>
      </w:r>
      <w:r w:rsidRPr="00ED4E1B">
        <w:t> </w:t>
      </w:r>
      <w:r>
        <w:t xml:space="preserve">Southwest Gas is </w:t>
      </w:r>
      <w:proofErr w:type="gramStart"/>
      <w:r>
        <w:t>allowed</w:t>
      </w:r>
      <w:proofErr w:type="gramEnd"/>
      <w:r>
        <w:t xml:space="preserve"> 450 spaces on an annual basis.</w:t>
      </w:r>
    </w:p>
    <w:p w:rsidRPr="00ED4E1B" w:rsidR="001372AE" w:rsidP="001372AE" w:rsidRDefault="001372AE" w14:paraId="07EB475B" w14:textId="02619700">
      <w:pPr>
        <w:pStyle w:val="FoF"/>
      </w:pPr>
      <w:r w:rsidRPr="00ED4E1B">
        <w:t xml:space="preserve">Pacific Gas and Electric Company, San Diego Gas </w:t>
      </w:r>
      <w:r>
        <w:t>&amp;</w:t>
      </w:r>
      <w:r w:rsidRPr="00ED4E1B">
        <w:t xml:space="preserve"> Electric Company and Southern California Edison Company shall not recover any additional costs for behind</w:t>
      </w:r>
      <w:r>
        <w:t>-</w:t>
      </w:r>
      <w:r w:rsidRPr="00ED4E1B">
        <w:t>the</w:t>
      </w:r>
      <w:r>
        <w:t>-</w:t>
      </w:r>
      <w:r w:rsidRPr="00ED4E1B">
        <w:t xml:space="preserve">meter electrification work outside of the normal scope of the </w:t>
      </w:r>
      <w:proofErr w:type="spellStart"/>
      <w:r>
        <w:t>M</w:t>
      </w:r>
      <w:r w:rsidRPr="00ED4E1B">
        <w:t>obilehome</w:t>
      </w:r>
      <w:proofErr w:type="spellEnd"/>
      <w:r w:rsidRPr="00ED4E1B">
        <w:t xml:space="preserve"> </w:t>
      </w:r>
      <w:r>
        <w:t>P</w:t>
      </w:r>
      <w:r w:rsidRPr="00ED4E1B">
        <w:t xml:space="preserve">ark </w:t>
      </w:r>
      <w:r>
        <w:t>U</w:t>
      </w:r>
      <w:r w:rsidRPr="00ED4E1B">
        <w:t xml:space="preserve">tility </w:t>
      </w:r>
      <w:r>
        <w:t>C</w:t>
      </w:r>
      <w:r w:rsidRPr="00ED4E1B">
        <w:t xml:space="preserve">onversion </w:t>
      </w:r>
      <w:r>
        <w:t>P</w:t>
      </w:r>
      <w:r w:rsidRPr="00ED4E1B">
        <w:t>rogram. </w:t>
      </w:r>
    </w:p>
    <w:p w:rsidRPr="00ED4E1B" w:rsidR="001372AE" w:rsidP="001372AE" w:rsidRDefault="001372AE" w14:paraId="681D1E63" w14:textId="638E6555">
      <w:pPr>
        <w:pStyle w:val="FoF"/>
      </w:pPr>
      <w:r w:rsidRPr="00ED4E1B">
        <w:t xml:space="preserve">Pacific Gas and Electric Company, San Diego Gas </w:t>
      </w:r>
      <w:r>
        <w:t>&amp;</w:t>
      </w:r>
      <w:r w:rsidRPr="00ED4E1B">
        <w:t xml:space="preserve"> Electric Company</w:t>
      </w:r>
      <w:r>
        <w:t xml:space="preserve">, </w:t>
      </w:r>
      <w:r w:rsidRPr="00ED4E1B">
        <w:t>Southern California Edison Company</w:t>
      </w:r>
      <w:r>
        <w:t xml:space="preserve">, Southern California Gas Company and </w:t>
      </w:r>
      <w:r>
        <w:lastRenderedPageBreak/>
        <w:t>Southwest Gas Corporation</w:t>
      </w:r>
      <w:r w:rsidRPr="00ED4E1B">
        <w:t xml:space="preserve"> shall record and </w:t>
      </w:r>
      <w:r>
        <w:t>recover</w:t>
      </w:r>
      <w:r w:rsidRPr="00ED4E1B">
        <w:t xml:space="preserve"> any additional administrative costs for coordination with the C</w:t>
      </w:r>
      <w:r>
        <w:t xml:space="preserve">alifornia </w:t>
      </w:r>
      <w:r w:rsidRPr="00ED4E1B">
        <w:t>E</w:t>
      </w:r>
      <w:r>
        <w:t xml:space="preserve">nergy </w:t>
      </w:r>
      <w:r w:rsidRPr="00ED4E1B">
        <w:t>C</w:t>
      </w:r>
      <w:r>
        <w:t>ommission’s</w:t>
      </w:r>
      <w:r w:rsidRPr="00ED4E1B">
        <w:t xml:space="preserve"> </w:t>
      </w:r>
      <w:r w:rsidRPr="00ED4E1B">
        <w:rPr>
          <w:rFonts w:eastAsia="Times New Roman" w:cs="Times New Roman"/>
          <w:color w:val="000000" w:themeColor="text1"/>
          <w:szCs w:val="26"/>
        </w:rPr>
        <w:t>Equitable Building Decarbonization</w:t>
      </w:r>
      <w:r w:rsidRPr="00ED4E1B">
        <w:t xml:space="preserve"> program, to the </w:t>
      </w:r>
      <w:proofErr w:type="spellStart"/>
      <w:r>
        <w:t>M</w:t>
      </w:r>
      <w:r w:rsidRPr="00ED4E1B">
        <w:t>obilehome</w:t>
      </w:r>
      <w:proofErr w:type="spellEnd"/>
      <w:r w:rsidRPr="00ED4E1B">
        <w:t xml:space="preserve"> </w:t>
      </w:r>
      <w:r>
        <w:t>P</w:t>
      </w:r>
      <w:r w:rsidRPr="00ED4E1B">
        <w:t xml:space="preserve">ark </w:t>
      </w:r>
      <w:r>
        <w:t>U</w:t>
      </w:r>
      <w:r w:rsidRPr="00ED4E1B">
        <w:t xml:space="preserve">tility </w:t>
      </w:r>
      <w:r>
        <w:t>C</w:t>
      </w:r>
      <w:r w:rsidRPr="00ED4E1B">
        <w:t xml:space="preserve">onversion </w:t>
      </w:r>
      <w:r>
        <w:t>P</w:t>
      </w:r>
      <w:r w:rsidRPr="00ED4E1B">
        <w:t xml:space="preserve">rogram as administrative costs and explicitly identify these costs as costs associated with the </w:t>
      </w:r>
      <w:r>
        <w:t>E</w:t>
      </w:r>
      <w:r w:rsidRPr="00ED4E1B">
        <w:t>lectrification Initiative. </w:t>
      </w:r>
    </w:p>
    <w:p w:rsidRPr="00ED4E1B" w:rsidR="001372AE" w:rsidP="001372AE" w:rsidRDefault="001372AE" w14:paraId="40239BE0" w14:textId="77777777">
      <w:pPr>
        <w:pStyle w:val="FoF"/>
      </w:pPr>
      <w:r w:rsidRPr="00ED4E1B">
        <w:t xml:space="preserve">Pacific Gas and Electric Company, San Diego Gas </w:t>
      </w:r>
      <w:r>
        <w:t>&amp;</w:t>
      </w:r>
      <w:r w:rsidRPr="00ED4E1B">
        <w:t xml:space="preserve"> Electric Company and Southern California Edison Company shall, as part of joint outreach efforts, work with C</w:t>
      </w:r>
      <w:r>
        <w:t xml:space="preserve">alifornia </w:t>
      </w:r>
      <w:r w:rsidRPr="00ED4E1B">
        <w:t>E</w:t>
      </w:r>
      <w:r>
        <w:t xml:space="preserve">nergy </w:t>
      </w:r>
      <w:r w:rsidRPr="00ED4E1B">
        <w:t>C</w:t>
      </w:r>
      <w:r>
        <w:t>ommission’s</w:t>
      </w:r>
      <w:r w:rsidRPr="00ED4E1B">
        <w:t xml:space="preserve"> </w:t>
      </w:r>
      <w:r w:rsidRPr="00ED4E1B">
        <w:rPr>
          <w:rFonts w:eastAsia="Times New Roman" w:cs="Times New Roman"/>
          <w:color w:val="000000" w:themeColor="text1"/>
          <w:szCs w:val="26"/>
        </w:rPr>
        <w:t>Equitable Building Decarbonization</w:t>
      </w:r>
      <w:r w:rsidRPr="00ED4E1B">
        <w:t xml:space="preserve"> staff to ensure that electric bill impacts </w:t>
      </w:r>
      <w:proofErr w:type="gramStart"/>
      <w:r w:rsidRPr="00ED4E1B">
        <w:t>as a result of</w:t>
      </w:r>
      <w:proofErr w:type="gramEnd"/>
      <w:r w:rsidRPr="00ED4E1B">
        <w:t xml:space="preserve"> the </w:t>
      </w:r>
      <w:r>
        <w:t>E</w:t>
      </w:r>
      <w:r w:rsidRPr="00ED4E1B">
        <w:t xml:space="preserve">lectrification Initiative are understood by participating </w:t>
      </w:r>
      <w:proofErr w:type="spellStart"/>
      <w:r w:rsidRPr="00ED4E1B">
        <w:t>mobilehome</w:t>
      </w:r>
      <w:proofErr w:type="spellEnd"/>
      <w:r w:rsidRPr="00ED4E1B">
        <w:t xml:space="preserve"> park owners and residents. </w:t>
      </w:r>
    </w:p>
    <w:p w:rsidRPr="00ED4E1B" w:rsidR="001372AE" w:rsidP="001372AE" w:rsidRDefault="001372AE" w14:paraId="311FA709" w14:textId="67E21AD2">
      <w:pPr>
        <w:pStyle w:val="FoF"/>
      </w:pPr>
      <w:r w:rsidRPr="00ED4E1B">
        <w:t xml:space="preserve">Pacific Gas and Electric Company, San Diego Gas </w:t>
      </w:r>
      <w:r>
        <w:t>&amp;</w:t>
      </w:r>
      <w:r w:rsidRPr="00ED4E1B">
        <w:t xml:space="preserve"> Electric Company</w:t>
      </w:r>
      <w:r>
        <w:t>,</w:t>
      </w:r>
      <w:r w:rsidRPr="00ED4E1B">
        <w:t xml:space="preserve"> Southern California Edison Company</w:t>
      </w:r>
      <w:r>
        <w:t>, Southern California Gas Company and Southwest Gas Corporation</w:t>
      </w:r>
      <w:r w:rsidRPr="00ED4E1B">
        <w:t xml:space="preserve"> shall add a separate section in their annual reports that denote the</w:t>
      </w:r>
      <w:r>
        <w:t>ir</w:t>
      </w:r>
      <w:r w:rsidRPr="00ED4E1B">
        <w:t xml:space="preserve"> costs </w:t>
      </w:r>
      <w:r>
        <w:t>for converting</w:t>
      </w:r>
      <w:r w:rsidRPr="00ED4E1B">
        <w:t xml:space="preserve"> </w:t>
      </w:r>
      <w:proofErr w:type="spellStart"/>
      <w:r w:rsidRPr="00ED4E1B">
        <w:t>mobilehome</w:t>
      </w:r>
      <w:proofErr w:type="spellEnd"/>
      <w:r w:rsidRPr="00ED4E1B">
        <w:t xml:space="preserve"> parks participating in the </w:t>
      </w:r>
      <w:r>
        <w:t>E</w:t>
      </w:r>
      <w:r w:rsidRPr="00ED4E1B">
        <w:t>lectrification Initiative. </w:t>
      </w:r>
    </w:p>
    <w:p w:rsidRPr="00ED4E1B" w:rsidR="001372AE" w:rsidP="001372AE" w:rsidRDefault="001372AE" w14:paraId="2657C2C3" w14:textId="76AA82A2">
      <w:pPr>
        <w:pStyle w:val="FoF"/>
      </w:pPr>
      <w:r w:rsidRPr="00ED4E1B">
        <w:t xml:space="preserve">Pacific Gas and Electric Company, San Diego Gas </w:t>
      </w:r>
      <w:r>
        <w:t>&amp;</w:t>
      </w:r>
      <w:r w:rsidRPr="00ED4E1B">
        <w:t>Electric Company</w:t>
      </w:r>
      <w:r>
        <w:t xml:space="preserve">, </w:t>
      </w:r>
      <w:r w:rsidRPr="00ED4E1B">
        <w:t>Southern California Edison Company</w:t>
      </w:r>
      <w:r>
        <w:t>, Southern California Gas Company and Southwest Gas Corporation</w:t>
      </w:r>
      <w:r w:rsidRPr="00ED4E1B">
        <w:t xml:space="preserve"> shall </w:t>
      </w:r>
      <w:r>
        <w:t xml:space="preserve">work with the </w:t>
      </w:r>
      <w:r w:rsidRPr="00ED4E1B">
        <w:t xml:space="preserve">Energy Division Staff and Safety Enforcement Division Staff to create a new uniform reporting template for the annual report and will file </w:t>
      </w:r>
      <w:r>
        <w:t xml:space="preserve">information using </w:t>
      </w:r>
      <w:r w:rsidRPr="00ED4E1B">
        <w:t xml:space="preserve">this new template </w:t>
      </w:r>
      <w:r>
        <w:t>starting February 1, 2027.</w:t>
      </w:r>
      <w:r w:rsidRPr="00ED4E1B">
        <w:t> </w:t>
      </w:r>
    </w:p>
    <w:p w:rsidR="001372AE" w:rsidP="001372AE" w:rsidRDefault="001372AE" w14:paraId="0FD7790D" w14:textId="123481CD">
      <w:pPr>
        <w:pStyle w:val="FoF"/>
      </w:pPr>
      <w:r w:rsidRPr="00ED4E1B">
        <w:t xml:space="preserve">Pacific Gas and Electric Company, San Diego Gas </w:t>
      </w:r>
      <w:r>
        <w:t>&amp;</w:t>
      </w:r>
      <w:r w:rsidRPr="00ED4E1B">
        <w:t xml:space="preserve"> Electric Company</w:t>
      </w:r>
      <w:r>
        <w:t>,</w:t>
      </w:r>
      <w:r w:rsidRPr="00ED4E1B">
        <w:t xml:space="preserve"> Southern California Edison Company</w:t>
      </w:r>
      <w:r>
        <w:t>, Southern California Gas Company and Southwest Gas Corporation</w:t>
      </w:r>
      <w:r w:rsidRPr="00ED4E1B">
        <w:t xml:space="preserve"> shall coordinate </w:t>
      </w:r>
      <w:r>
        <w:t xml:space="preserve">and cooperate </w:t>
      </w:r>
      <w:r w:rsidRPr="00ED4E1B">
        <w:t>with the C</w:t>
      </w:r>
      <w:r>
        <w:t xml:space="preserve">alifornia </w:t>
      </w:r>
      <w:r w:rsidRPr="00ED4E1B">
        <w:t>E</w:t>
      </w:r>
      <w:r>
        <w:t xml:space="preserve">nergy </w:t>
      </w:r>
      <w:r w:rsidRPr="00ED4E1B">
        <w:t>C</w:t>
      </w:r>
      <w:r>
        <w:t>ommission’s</w:t>
      </w:r>
      <w:r w:rsidRPr="00ED4E1B">
        <w:t xml:space="preserve"> </w:t>
      </w:r>
      <w:r w:rsidRPr="00ED4E1B">
        <w:rPr>
          <w:rFonts w:eastAsia="Times New Roman" w:cs="Times New Roman"/>
          <w:color w:val="000000" w:themeColor="text1"/>
          <w:szCs w:val="26"/>
        </w:rPr>
        <w:t>Equitable Building Decarbonization</w:t>
      </w:r>
      <w:r w:rsidRPr="00ED4E1B">
        <w:t xml:space="preserve"> Staff to assist with data collection </w:t>
      </w:r>
      <w:r>
        <w:t xml:space="preserve">both before and after full </w:t>
      </w:r>
      <w:r w:rsidRPr="00ED4E1B">
        <w:t>electrifi</w:t>
      </w:r>
      <w:r>
        <w:t>cation of</w:t>
      </w:r>
      <w:r w:rsidRPr="00ED4E1B">
        <w:t xml:space="preserve"> </w:t>
      </w:r>
      <w:proofErr w:type="spellStart"/>
      <w:r w:rsidRPr="00ED4E1B">
        <w:t>mobilehome</w:t>
      </w:r>
      <w:proofErr w:type="spellEnd"/>
      <w:r w:rsidRPr="00ED4E1B">
        <w:t xml:space="preserve"> park sites.</w:t>
      </w:r>
    </w:p>
    <w:p w:rsidR="001372AE" w:rsidP="001372AE" w:rsidRDefault="001372AE" w14:paraId="584BA2C4" w14:textId="77777777">
      <w:pPr>
        <w:pStyle w:val="FoF"/>
      </w:pPr>
      <w:r>
        <w:lastRenderedPageBreak/>
        <w:t xml:space="preserve">Ordering Paragraph 16 of D.20-04-004 is amended as follows: “The Commission shall hire an independent evaluator to conduct a joint evaluation of the </w:t>
      </w:r>
      <w:proofErr w:type="spellStart"/>
      <w:r>
        <w:t>Mobilehome</w:t>
      </w:r>
      <w:proofErr w:type="spellEnd"/>
      <w:r>
        <w:t xml:space="preserve"> Park Utility Conversion Program and the Electrification Initiative; the evaluation shall be completed no later than December 31, 2029. The final evaluation shall be published on the Commission website and noticed on the service list for this proceeding.”</w:t>
      </w:r>
      <w:r w:rsidRPr="00ED4E1B">
        <w:t> </w:t>
      </w:r>
    </w:p>
    <w:p w:rsidR="001372AE" w:rsidP="001372AE" w:rsidRDefault="001372AE" w14:paraId="68B01823" w14:textId="3B210F00">
      <w:pPr>
        <w:pStyle w:val="FoF"/>
      </w:pPr>
      <w:r>
        <w:t xml:space="preserve">Ordering Paragraph 6 of D.24-12-037 is amended as follows: “No later than July 31, 2029, </w:t>
      </w:r>
      <w:r w:rsidRPr="00ED4E1B">
        <w:t xml:space="preserve">Pacific Gas and Electric Company, San Diego Gas </w:t>
      </w:r>
      <w:r>
        <w:t>&amp;</w:t>
      </w:r>
      <w:r w:rsidRPr="00ED4E1B">
        <w:t xml:space="preserve"> Electric Company</w:t>
      </w:r>
      <w:r>
        <w:t>,</w:t>
      </w:r>
      <w:r w:rsidRPr="00ED4E1B">
        <w:t xml:space="preserve"> Southern California Edison Company</w:t>
      </w:r>
      <w:r>
        <w:t xml:space="preserve">, PacifiCorp, Bear Valley Electric Service Company, Inc., and Liberty Utilities, shall develop a report in coordination with the Commission’s Energy Division Staff to assess the appropriateness of the 200-amp standard and any technological developments that may warrant a change to the electric service standard offered in any future iteration of the </w:t>
      </w:r>
      <w:proofErr w:type="spellStart"/>
      <w:r>
        <w:t>Mobilehome</w:t>
      </w:r>
      <w:proofErr w:type="spellEnd"/>
      <w:r>
        <w:t xml:space="preserve"> Park Utility Conversion Program.”</w:t>
      </w:r>
    </w:p>
    <w:p w:rsidRPr="00ED4E1B" w:rsidR="001372AE" w:rsidP="001372AE" w:rsidRDefault="001372AE" w14:paraId="469AD5E0" w14:textId="77777777">
      <w:pPr>
        <w:pStyle w:val="FoF"/>
      </w:pPr>
      <w:r>
        <w:t xml:space="preserve">No later than June 30, 2027, Pacific Gas and Electric Company, Southern California Gas Company, Southern California Edison Company, and San Diego Gas &amp; Electric Company shall proportionally reimburse the Commission as described in Section 5.8.4 of this decision. </w:t>
      </w:r>
    </w:p>
    <w:p w:rsidRPr="00ED4E1B" w:rsidR="001372AE" w:rsidP="001372AE" w:rsidRDefault="001372AE" w14:paraId="3D0BC013" w14:textId="77777777">
      <w:pPr>
        <w:pStyle w:val="FoF"/>
      </w:pPr>
      <w:r w:rsidRPr="00ED4E1B">
        <w:t xml:space="preserve">Rulemaking 18-04-018 </w:t>
      </w:r>
      <w:r>
        <w:t>is closed</w:t>
      </w:r>
      <w:r w:rsidRPr="00ED4E1B">
        <w:t xml:space="preserve">. </w:t>
      </w:r>
    </w:p>
    <w:p w:rsidRPr="00ED4E1B" w:rsidR="001372AE" w:rsidP="001372AE" w:rsidRDefault="001372AE" w14:paraId="06D4809B" w14:textId="77777777">
      <w:r w:rsidRPr="00ED4E1B">
        <w:t>This order is effective today.</w:t>
      </w:r>
    </w:p>
    <w:p w:rsidRPr="00714CF2" w:rsidR="001372AE" w:rsidP="001372AE" w:rsidRDefault="001372AE" w14:paraId="21567CC6" w14:textId="77777777">
      <w:r w:rsidRPr="00ED4E1B">
        <w:t xml:space="preserve">Dated </w:t>
      </w:r>
      <w:r w:rsidRPr="00ED4E1B">
        <w:rPr>
          <w:u w:val="single"/>
        </w:rPr>
        <w:tab/>
      </w:r>
      <w:r w:rsidRPr="00ED4E1B">
        <w:t>, at San Francisco, California</w:t>
      </w:r>
    </w:p>
    <w:p w:rsidRPr="001372AE" w:rsidR="00714CF2" w:rsidP="001372AE" w:rsidRDefault="00714CF2" w14:paraId="3F6BE401" w14:textId="07B723DC">
      <w:pPr>
        <w:ind w:firstLine="0"/>
      </w:pPr>
    </w:p>
    <w:sectPr w:rsidRPr="001372AE" w:rsidR="00714CF2" w:rsidSect="00D44DB6">
      <w:headerReference w:type="default" r:id="rId15"/>
      <w:footerReference w:type="default" r:id="rId16"/>
      <w:pgSz w:w="12240" w:h="15840"/>
      <w:pgMar w:top="1728" w:right="1440" w:bottom="1440" w:left="1440" w:header="720" w:footer="720" w:gutter="0"/>
      <w:pgNumType w:start="1"/>
      <w:cols w:space="720"/>
      <w:docGrid w:linePitch="360"/>
    </w:sectPr>
    <w:p>
      <w:r>
        <w:t xml:space="preserve"/>
      </w:r>
    </w:p>
    <w:p>
      <w:r>
        <w:t xml:space="preserve">Attachment 1: </w:t>
      </w:r>
    </w:p>
    <w:p>
      <w:hyperlink w:history="true" r:id="Re9daaebe416244de">
        <w:r w:rsidRPr="00CB1292">
          <w:rPr>
            <w:rStyle w:val="Hyperlink"/>
            <w:color w:val="2E74B5" w:themeColor="accent1" w:themeShade="BF"/>
            <w:u w:val="single"/>
          </w:rPr>
          <w:t>Redline - [Rev. 1] R.18-04-018.pdf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4040" w14:textId="77777777" w:rsidR="000D049E" w:rsidRDefault="000D049E" w:rsidP="0098138E">
      <w:pPr>
        <w:spacing w:line="240" w:lineRule="auto"/>
      </w:pPr>
      <w:r>
        <w:separator/>
      </w:r>
    </w:p>
  </w:endnote>
  <w:endnote w:type="continuationSeparator" w:id="0">
    <w:p w14:paraId="6D6B848E" w14:textId="77777777" w:rsidR="000D049E" w:rsidRDefault="000D049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19AF" w14:textId="469111B7" w:rsidR="001372AE" w:rsidRDefault="001372AE" w:rsidP="009F205B">
    <w:pPr>
      <w:pStyle w:val="Footer"/>
      <w:ind w:firstLine="0"/>
    </w:pPr>
    <w:r w:rsidRPr="00346FD8">
      <w:rPr>
        <w:sz w:val="16"/>
        <w:szCs w:val="16"/>
      </w:rPr>
      <w:t>587925783</w:t>
    </w:r>
    <w:r>
      <w:tab/>
      <w:t>-</w:t>
    </w:r>
    <w:sdt>
      <w:sdtPr>
        <w:id w:val="8907001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310CFF0E" w14:textId="77777777" w:rsidR="001372AE" w:rsidRDefault="001372AE" w:rsidP="007E0FEE">
    <w:pPr>
      <w:tabs>
        <w:tab w:val="center" w:pos="468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918D" w14:textId="77777777" w:rsidR="001372AE" w:rsidRDefault="001372AE"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F47"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3DDF" w14:textId="77777777" w:rsidR="000D049E" w:rsidRDefault="000D049E" w:rsidP="00DF58E7">
      <w:pPr>
        <w:spacing w:line="240" w:lineRule="auto"/>
        <w:ind w:firstLine="0"/>
      </w:pPr>
      <w:r>
        <w:separator/>
      </w:r>
    </w:p>
  </w:footnote>
  <w:footnote w:type="continuationSeparator" w:id="0">
    <w:p w14:paraId="6F7731DB" w14:textId="77777777" w:rsidR="000D049E" w:rsidRDefault="000D049E" w:rsidP="00DF58E7">
      <w:pPr>
        <w:spacing w:line="240" w:lineRule="auto"/>
        <w:ind w:firstLine="0"/>
      </w:pPr>
      <w:r>
        <w:continuationSeparator/>
      </w:r>
    </w:p>
  </w:footnote>
  <w:footnote w:type="continuationNotice" w:id="1">
    <w:p w14:paraId="58A07E38" w14:textId="77777777" w:rsidR="000D049E" w:rsidRPr="00DF58E7" w:rsidRDefault="000D049E"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DFD6FD4" w14:textId="77777777" w:rsidR="001372AE" w:rsidRDefault="001372AE" w:rsidP="001372AE">
      <w:pPr>
        <w:pStyle w:val="FootnoteText"/>
      </w:pPr>
      <w:r>
        <w:rPr>
          <w:rStyle w:val="FootnoteReference"/>
        </w:rPr>
        <w:footnoteRef/>
      </w:r>
      <w:r>
        <w:t xml:space="preserve"> </w:t>
      </w:r>
      <w:r w:rsidRPr="00ED4E1B">
        <w:rPr>
          <w:i/>
          <w:iCs/>
        </w:rPr>
        <w:t xml:space="preserve">See </w:t>
      </w:r>
      <w:r>
        <w:t xml:space="preserve">Pub. Util. Code </w:t>
      </w:r>
      <w:r w:rsidRPr="0098298D">
        <w:t>§</w:t>
      </w:r>
      <w:r>
        <w:t xml:space="preserve"> 4357(b)(1). All future section and code references are to the Public Utilities Code unless otherwise stated.</w:t>
      </w:r>
    </w:p>
  </w:footnote>
  <w:footnote w:id="3">
    <w:p w14:paraId="4EB7DED3" w14:textId="77777777" w:rsidR="001372AE" w:rsidRDefault="001372AE" w:rsidP="001372AE">
      <w:pPr>
        <w:pStyle w:val="FootnoteText"/>
      </w:pPr>
      <w:r>
        <w:rPr>
          <w:rStyle w:val="FootnoteReference"/>
        </w:rPr>
        <w:footnoteRef/>
      </w:r>
      <w:r>
        <w:t xml:space="preserve"> Additional funding of approximately $154.25 million through the </w:t>
      </w:r>
      <w:r w:rsidRPr="004D12C1">
        <w:t>Inflation Reduction Act's Home Efficiency Rebates program</w:t>
      </w:r>
      <w:r>
        <w:t xml:space="preserve">, of which at least $7.1 million would be for manufactured/ mobile homes is contingent on U.S. Department of Energy (DOE) approval. </w:t>
      </w:r>
    </w:p>
  </w:footnote>
  <w:footnote w:id="4">
    <w:p w14:paraId="7EEC1113" w14:textId="77777777" w:rsidR="001372AE" w:rsidRDefault="001372AE" w:rsidP="001372AE">
      <w:pPr>
        <w:pStyle w:val="FootnoteText"/>
      </w:pPr>
      <w:r>
        <w:rPr>
          <w:rStyle w:val="FootnoteReference"/>
        </w:rPr>
        <w:footnoteRef/>
      </w:r>
      <w:r>
        <w:t xml:space="preserve"> </w:t>
      </w:r>
      <w:r w:rsidRPr="00717482">
        <w:rPr>
          <w:i/>
          <w:iCs/>
        </w:rPr>
        <w:t>See</w:t>
      </w:r>
      <w:r>
        <w:t xml:space="preserve"> Pub. Util. Code </w:t>
      </w:r>
      <w:r w:rsidRPr="0098298D">
        <w:t>§</w:t>
      </w:r>
      <w:r>
        <w:t xml:space="preserve"> 2791(c).</w:t>
      </w:r>
    </w:p>
  </w:footnote>
  <w:footnote w:id="5">
    <w:p w14:paraId="41581098" w14:textId="77777777" w:rsidR="001372AE" w:rsidRDefault="001372AE" w:rsidP="001372AE">
      <w:pPr>
        <w:pStyle w:val="FootnoteText"/>
      </w:pPr>
      <w:r>
        <w:rPr>
          <w:rStyle w:val="FootnoteReference"/>
        </w:rPr>
        <w:footnoteRef/>
      </w:r>
      <w:r>
        <w:t xml:space="preserve"> </w:t>
      </w:r>
      <w:r w:rsidRPr="000A62B7">
        <w:t>D.24-12-037</w:t>
      </w:r>
      <w:r>
        <w:t xml:space="preserve"> at 2.</w:t>
      </w:r>
    </w:p>
  </w:footnote>
  <w:footnote w:id="6">
    <w:p w14:paraId="6A817973" w14:textId="77777777" w:rsidR="001372AE" w:rsidRDefault="001372AE" w:rsidP="001372AE">
      <w:pPr>
        <w:pStyle w:val="FootnoteText"/>
      </w:pPr>
      <w:r>
        <w:rPr>
          <w:rStyle w:val="FootnoteReference"/>
        </w:rPr>
        <w:footnoteRef/>
      </w:r>
      <w:r>
        <w:t xml:space="preserve"> </w:t>
      </w:r>
      <w:r w:rsidRPr="00750CC5">
        <w:rPr>
          <w:u w:val="single"/>
        </w:rPr>
        <w:t>2022 California Air Resources Board Scoping Plan. https://ww2.arb.ca.gov/our-work/programs/ab-32-climate-change-scoping-plan/2022-scoping-plan-documents </w:t>
      </w:r>
    </w:p>
  </w:footnote>
  <w:footnote w:id="7">
    <w:p w14:paraId="041D0FA4" w14:textId="77777777" w:rsidR="001372AE" w:rsidRDefault="001372AE" w:rsidP="001372AE">
      <w:pPr>
        <w:pStyle w:val="FootnoteText"/>
      </w:pPr>
      <w:r>
        <w:rPr>
          <w:rStyle w:val="FootnoteReference"/>
        </w:rPr>
        <w:footnoteRef/>
      </w:r>
      <w:r>
        <w:t xml:space="preserve"> </w:t>
      </w:r>
      <w:r w:rsidRPr="00EF3F13">
        <w:rPr>
          <w:u w:val="single"/>
        </w:rPr>
        <w:t>R.20-01-007, 2024 Joint Agency Staff Paper: Progress Towards a Gas Transition. At 6, 34, 35. https://docs.cpuc.ca.gov/PublishedDocs/Efile/G000/M525/K660/525660391.PDF</w:t>
      </w:r>
      <w:r w:rsidRPr="00EF3F13">
        <w:t> </w:t>
      </w:r>
    </w:p>
  </w:footnote>
  <w:footnote w:id="8">
    <w:p w14:paraId="69EDB867" w14:textId="77777777" w:rsidR="001372AE" w:rsidRDefault="001372AE" w:rsidP="001372AE">
      <w:pPr>
        <w:pStyle w:val="FootnoteText"/>
      </w:pPr>
      <w:r>
        <w:rPr>
          <w:rStyle w:val="FootnoteReference"/>
        </w:rPr>
        <w:footnoteRef/>
      </w:r>
      <w:r>
        <w:t xml:space="preserve"> </w:t>
      </w:r>
      <w:r w:rsidRPr="00136C16">
        <w:rPr>
          <w:u w:val="single"/>
        </w:rPr>
        <w:t>Staff Proposal at 18 and 19.</w:t>
      </w:r>
      <w:r w:rsidRPr="00136C16">
        <w:t> </w:t>
      </w:r>
    </w:p>
  </w:footnote>
  <w:footnote w:id="9">
    <w:p w14:paraId="5FC83F9A" w14:textId="77777777" w:rsidR="001372AE" w:rsidRDefault="001372AE" w:rsidP="001372AE">
      <w:pPr>
        <w:pStyle w:val="FootnoteText"/>
      </w:pPr>
      <w:r>
        <w:rPr>
          <w:rStyle w:val="FootnoteReference"/>
        </w:rPr>
        <w:footnoteRef/>
      </w:r>
      <w:r>
        <w:t xml:space="preserve"> R.18-04-014 Phase 2B Staff Proposal, July 25, 2023 at 59.</w:t>
      </w:r>
    </w:p>
  </w:footnote>
  <w:footnote w:id="10">
    <w:p w14:paraId="203CDE46" w14:textId="77777777" w:rsidR="001372AE" w:rsidRDefault="001372AE" w:rsidP="001372AE">
      <w:pPr>
        <w:pStyle w:val="FootnoteText"/>
      </w:pPr>
      <w:r>
        <w:rPr>
          <w:rStyle w:val="FootnoteReference"/>
        </w:rPr>
        <w:footnoteRef/>
      </w:r>
      <w:r>
        <w:t xml:space="preserve"> </w:t>
      </w:r>
      <w:r w:rsidRPr="0000089E">
        <w:rPr>
          <w:i/>
          <w:iCs/>
        </w:rPr>
        <w:t>Ibid</w:t>
      </w:r>
      <w:r>
        <w:t>.</w:t>
      </w:r>
    </w:p>
  </w:footnote>
  <w:footnote w:id="11">
    <w:p w14:paraId="5A27E969" w14:textId="77777777" w:rsidR="001372AE" w:rsidRPr="003A6365" w:rsidRDefault="001372AE" w:rsidP="001372AE">
      <w:pPr>
        <w:pStyle w:val="FootnoteText"/>
      </w:pPr>
      <w:r w:rsidRPr="003A6365">
        <w:rPr>
          <w:rStyle w:val="FootnoteReference"/>
        </w:rPr>
        <w:footnoteRef/>
      </w:r>
      <w:r w:rsidRPr="003A6365">
        <w:t xml:space="preserve"> Maneta, Diana. 2023. Equitable Building Decarbonization Direct Install Program Guidelines. California Energy Commission. Publication Number: CEC-400-2023-003-CMF at iii. </w:t>
      </w:r>
    </w:p>
  </w:footnote>
  <w:footnote w:id="12">
    <w:p w14:paraId="48325402" w14:textId="77777777" w:rsidR="001372AE" w:rsidRDefault="001372AE" w:rsidP="001372AE">
      <w:pPr>
        <w:pStyle w:val="FootnoteText"/>
      </w:pPr>
      <w:r>
        <w:rPr>
          <w:rStyle w:val="FootnoteReference"/>
        </w:rPr>
        <w:footnoteRef/>
      </w:r>
      <w:r>
        <w:t xml:space="preserve"> </w:t>
      </w:r>
      <w:r w:rsidRPr="00276B4E">
        <w:rPr>
          <w:i/>
          <w:iCs/>
        </w:rPr>
        <w:t>Ibid</w:t>
      </w:r>
      <w:r>
        <w:t xml:space="preserve"> at 16.</w:t>
      </w:r>
    </w:p>
  </w:footnote>
  <w:footnote w:id="13">
    <w:p w14:paraId="4DCDBC06" w14:textId="77777777" w:rsidR="001372AE" w:rsidRDefault="001372AE" w:rsidP="001372AE">
      <w:pPr>
        <w:pStyle w:val="FootnoteText"/>
      </w:pPr>
      <w:r>
        <w:rPr>
          <w:rStyle w:val="FootnoteReference"/>
        </w:rPr>
        <w:footnoteRef/>
      </w:r>
      <w:r>
        <w:t xml:space="preserve"> </w:t>
      </w:r>
      <w:r w:rsidRPr="00220F40">
        <w:rPr>
          <w:i/>
          <w:iCs/>
        </w:rPr>
        <w:t>Id</w:t>
      </w:r>
      <w:r>
        <w:t>. at 56 to 58.</w:t>
      </w:r>
    </w:p>
  </w:footnote>
  <w:footnote w:id="14">
    <w:p w14:paraId="68B31036" w14:textId="77777777" w:rsidR="001372AE" w:rsidRDefault="001372AE" w:rsidP="001372AE">
      <w:pPr>
        <w:pStyle w:val="FootnoteText"/>
      </w:pPr>
      <w:r>
        <w:rPr>
          <w:rStyle w:val="FootnoteReference"/>
        </w:rPr>
        <w:footnoteRef/>
      </w:r>
      <w:r>
        <w:t xml:space="preserve"> Category 1 and Category 2 lists were created by the Commission’s Safety Enforcement Division (SED) to group and geographically designate areas with high wildfire risk.</w:t>
      </w:r>
    </w:p>
  </w:footnote>
  <w:footnote w:id="15">
    <w:p w14:paraId="3881E63F" w14:textId="77777777" w:rsidR="001372AE" w:rsidRDefault="001372AE" w:rsidP="001372AE">
      <w:pPr>
        <w:pStyle w:val="FootnoteText"/>
      </w:pPr>
      <w:r>
        <w:rPr>
          <w:rStyle w:val="FootnoteReference"/>
        </w:rPr>
        <w:footnoteRef/>
      </w:r>
      <w:r>
        <w:t xml:space="preserve"> An under-resourced community is one that meets one or more of the following criteria: A disadvantaged community as designated by the Environmental Protection Agency for the purposes of SB 535 (</w:t>
      </w:r>
      <w:r w:rsidRPr="007E6B6E">
        <w:t>De León, Chapter 830, Statutes of 2012</w:t>
      </w:r>
      <w:r>
        <w:t>); Census tracts with median household incomes at or below 80 percent of the statewide median income; Census tracts with median household incomes at or below the threshold designated as low-income by HCD.</w:t>
      </w:r>
    </w:p>
  </w:footnote>
  <w:footnote w:id="16">
    <w:p w14:paraId="6A6AD7AD" w14:textId="77777777" w:rsidR="001372AE" w:rsidRPr="000518B6" w:rsidRDefault="001372AE" w:rsidP="001372AE">
      <w:pPr>
        <w:pStyle w:val="FootnoteText"/>
        <w:rPr>
          <w:lang w:val="en-ZW"/>
        </w:rPr>
      </w:pPr>
      <w:r>
        <w:rPr>
          <w:rStyle w:val="FootnoteReference"/>
        </w:rPr>
        <w:footnoteRef/>
      </w:r>
      <w:r>
        <w:t xml:space="preserve"> </w:t>
      </w:r>
      <w:r>
        <w:rPr>
          <w:lang w:val="en-ZW"/>
        </w:rPr>
        <w:t>NRDC Opening Comments to ALJ’s Ruling Distributing Phase 2B Staff Proposal at 3.</w:t>
      </w:r>
    </w:p>
  </w:footnote>
  <w:footnote w:id="17">
    <w:p w14:paraId="1FE0EB0E" w14:textId="77777777" w:rsidR="001372AE" w:rsidRPr="000518B6" w:rsidRDefault="001372AE" w:rsidP="001372AE">
      <w:pPr>
        <w:pStyle w:val="FootnoteText"/>
        <w:rPr>
          <w:lang w:val="en-ZW"/>
        </w:rPr>
      </w:pPr>
      <w:r>
        <w:rPr>
          <w:rStyle w:val="FootnoteReference"/>
        </w:rPr>
        <w:footnoteRef/>
      </w:r>
      <w:r>
        <w:t xml:space="preserve"> </w:t>
      </w:r>
      <w:r>
        <w:rPr>
          <w:i/>
          <w:iCs/>
          <w:lang w:val="en-ZW"/>
        </w:rPr>
        <w:t>Id.</w:t>
      </w:r>
      <w:r>
        <w:rPr>
          <w:lang w:val="en-ZW"/>
        </w:rPr>
        <w:t xml:space="preserve"> at 3 and 4. Polanco</w:t>
      </w:r>
      <w:r w:rsidRPr="00246C01">
        <w:rPr>
          <w:lang w:val="en-ZW"/>
        </w:rPr>
        <w:t xml:space="preserve"> parks were authorized in 1992 under AB 3526</w:t>
      </w:r>
      <w:r>
        <w:rPr>
          <w:lang w:val="en-ZW"/>
        </w:rPr>
        <w:t xml:space="preserve">. The bill was intended to support the development of farmworker housing, and allowed agricultural landowners to form mobilehome parks with up to 12 units, and made them exempt from certain taxes, registration fees, and permits. While many Polanco parks are permitted, there are many that are not, and therefore may not qualify for the program. More info can be found here: </w:t>
      </w:r>
      <w:hyperlink r:id="rId1" w:history="1">
        <w:r w:rsidRPr="00724789">
          <w:rPr>
            <w:rStyle w:val="Hyperlink"/>
            <w:lang w:val="en-ZW"/>
          </w:rPr>
          <w:t>https://pucdc.org/wp-content/uploads/2022/05/California-Endowment-Housing-Reports.pdf at 3-4</w:t>
        </w:r>
      </w:hyperlink>
      <w:r>
        <w:rPr>
          <w:lang w:val="en-ZW"/>
        </w:rPr>
        <w:t xml:space="preserve">.  </w:t>
      </w:r>
    </w:p>
  </w:footnote>
  <w:footnote w:id="18">
    <w:p w14:paraId="12A63E72" w14:textId="77777777" w:rsidR="001372AE" w:rsidRPr="000518B6" w:rsidRDefault="001372AE" w:rsidP="001372AE">
      <w:pPr>
        <w:pStyle w:val="FootnoteText"/>
        <w:rPr>
          <w:lang w:val="en-ZW"/>
        </w:rPr>
      </w:pPr>
      <w:r>
        <w:rPr>
          <w:rStyle w:val="FootnoteReference"/>
        </w:rPr>
        <w:footnoteRef/>
      </w:r>
      <w:r>
        <w:t xml:space="preserve"> </w:t>
      </w:r>
      <w:r>
        <w:rPr>
          <w:i/>
          <w:iCs/>
          <w:lang w:val="en-ZW"/>
        </w:rPr>
        <w:t>Id.</w:t>
      </w:r>
      <w:r>
        <w:rPr>
          <w:lang w:val="en-ZW"/>
        </w:rPr>
        <w:t xml:space="preserve"> at 4. </w:t>
      </w:r>
    </w:p>
  </w:footnote>
  <w:footnote w:id="19">
    <w:p w14:paraId="0EB66466" w14:textId="77777777" w:rsidR="001372AE" w:rsidRPr="000518B6" w:rsidRDefault="001372AE" w:rsidP="001372AE">
      <w:pPr>
        <w:pStyle w:val="FootnoteText"/>
        <w:rPr>
          <w:lang w:val="en-ZW"/>
        </w:rPr>
      </w:pPr>
      <w:r>
        <w:rPr>
          <w:rStyle w:val="FootnoteReference"/>
        </w:rPr>
        <w:footnoteRef/>
      </w:r>
      <w:r>
        <w:t xml:space="preserve"> </w:t>
      </w:r>
      <w:r>
        <w:rPr>
          <w:lang w:val="en-ZW"/>
        </w:rPr>
        <w:t>SDG&amp;E Opening Comments to ALJ’s Ruling Distributing Phase 2B Staff Proposal at 11.</w:t>
      </w:r>
    </w:p>
  </w:footnote>
  <w:footnote w:id="20">
    <w:p w14:paraId="06364D63" w14:textId="77777777" w:rsidR="001372AE" w:rsidRPr="000518B6" w:rsidRDefault="001372AE" w:rsidP="001372AE">
      <w:pPr>
        <w:pStyle w:val="FootnoteText"/>
        <w:rPr>
          <w:lang w:val="en-ZW"/>
        </w:rPr>
      </w:pPr>
      <w:r>
        <w:rPr>
          <w:rStyle w:val="FootnoteReference"/>
        </w:rPr>
        <w:footnoteRef/>
      </w:r>
      <w:r>
        <w:t xml:space="preserve"> </w:t>
      </w:r>
      <w:r>
        <w:rPr>
          <w:lang w:val="en-ZW"/>
        </w:rPr>
        <w:t>PG&amp;E Opening Comments to ALJ’s Ruling Distributing Phase 2B Staff Proposal at 8 and SCE Opening Comments to ALJ’s Ruling Distributing Phase 2B Staff Proposal at 5.</w:t>
      </w:r>
    </w:p>
  </w:footnote>
  <w:footnote w:id="21">
    <w:p w14:paraId="6C438882" w14:textId="77777777" w:rsidR="001372AE" w:rsidRPr="000518B6" w:rsidRDefault="001372AE" w:rsidP="001372AE">
      <w:pPr>
        <w:pStyle w:val="FootnoteText"/>
        <w:rPr>
          <w:lang w:val="en-ZW"/>
        </w:rPr>
      </w:pPr>
      <w:r>
        <w:rPr>
          <w:rStyle w:val="FootnoteReference"/>
        </w:rPr>
        <w:footnoteRef/>
      </w:r>
      <w:r>
        <w:t xml:space="preserve"> </w:t>
      </w:r>
      <w:r>
        <w:rPr>
          <w:i/>
          <w:iCs/>
          <w:lang w:val="en-ZW"/>
        </w:rPr>
        <w:t>Ibid</w:t>
      </w:r>
      <w:r>
        <w:rPr>
          <w:lang w:val="en-ZW"/>
        </w:rPr>
        <w:t>.</w:t>
      </w:r>
    </w:p>
  </w:footnote>
  <w:footnote w:id="22">
    <w:p w14:paraId="75D8D03F" w14:textId="77777777" w:rsidR="001372AE" w:rsidRPr="000518B6" w:rsidRDefault="001372AE" w:rsidP="001372AE">
      <w:pPr>
        <w:pStyle w:val="FootnoteText"/>
        <w:rPr>
          <w:lang w:val="en-ZW"/>
        </w:rPr>
      </w:pPr>
      <w:r>
        <w:rPr>
          <w:rStyle w:val="FootnoteReference"/>
        </w:rPr>
        <w:footnoteRef/>
      </w:r>
      <w:r>
        <w:t xml:space="preserve"> </w:t>
      </w:r>
      <w:r>
        <w:rPr>
          <w:i/>
          <w:iCs/>
          <w:lang w:val="en-ZW"/>
        </w:rPr>
        <w:t>Ibid</w:t>
      </w:r>
      <w:r>
        <w:rPr>
          <w:lang w:val="en-ZW"/>
        </w:rPr>
        <w:t>.</w:t>
      </w:r>
    </w:p>
  </w:footnote>
  <w:footnote w:id="23">
    <w:p w14:paraId="19B9E5D1" w14:textId="77777777" w:rsidR="001372AE" w:rsidRPr="000518B6" w:rsidRDefault="001372AE" w:rsidP="001372AE">
      <w:pPr>
        <w:pStyle w:val="FootnoteText"/>
        <w:rPr>
          <w:lang w:val="en-ZW"/>
        </w:rPr>
      </w:pPr>
      <w:r>
        <w:rPr>
          <w:rStyle w:val="FootnoteReference"/>
        </w:rPr>
        <w:footnoteRef/>
      </w:r>
      <w:r>
        <w:t xml:space="preserve"> </w:t>
      </w:r>
      <w:r>
        <w:rPr>
          <w:lang w:val="en-ZW"/>
        </w:rPr>
        <w:t>PG&amp;E Opening Comments to ALJ’s Ruling Distributing Phase 2B Staff Proposal at 9, SDG&amp;E Opening Comments to ALJ’s Ruling Distributing Phase 2B Staff Proposal at 9-10, Joint CCAs Opening Comments to ALJ’s Ruling Distributing Phase 2B Staff Proposal at 4-5, and WMA Opening Comments to ALJ’s Ruling Distributing Phase 2B Staff Proposal at 3.</w:t>
      </w:r>
    </w:p>
  </w:footnote>
  <w:footnote w:id="24">
    <w:p w14:paraId="0BB2502E" w14:textId="77777777" w:rsidR="001372AE" w:rsidRDefault="001372AE" w:rsidP="001372AE">
      <w:pPr>
        <w:pStyle w:val="FootnoteText"/>
      </w:pPr>
      <w:r>
        <w:rPr>
          <w:rStyle w:val="FootnoteReference"/>
        </w:rPr>
        <w:footnoteRef/>
      </w:r>
      <w:r>
        <w:t xml:space="preserve"> CEC and CPUC may execute inter-agency Non-disclosure Agreement, as required, to share confidential information necessary for implementation of the Electrification Initiative.</w:t>
      </w:r>
    </w:p>
  </w:footnote>
  <w:footnote w:id="25">
    <w:p w14:paraId="52BAB29A" w14:textId="77777777" w:rsidR="001372AE" w:rsidRPr="003A7E24" w:rsidRDefault="001372AE" w:rsidP="001372AE">
      <w:pPr>
        <w:pStyle w:val="FootnoteText"/>
      </w:pPr>
      <w:r w:rsidRPr="003A7E24">
        <w:rPr>
          <w:rStyle w:val="FootnoteReference"/>
        </w:rPr>
        <w:footnoteRef/>
      </w:r>
      <w:r w:rsidRPr="003A7E24">
        <w:t xml:space="preserve"> </w:t>
      </w:r>
      <w:r w:rsidRPr="003A7E24">
        <w:rPr>
          <w:lang w:val="en-ZW"/>
        </w:rPr>
        <w:t>Because the Electrification Initiative does not allow MHPs with propane distribution systems to participate (i.e. where a central propane system, or systems, serves the entire MHP), presumably these manufactured homes would rely on propane tanks located on individual lots.</w:t>
      </w:r>
    </w:p>
  </w:footnote>
  <w:footnote w:id="26">
    <w:p w14:paraId="5F629922" w14:textId="77777777" w:rsidR="001372AE" w:rsidRPr="000518B6" w:rsidRDefault="001372AE" w:rsidP="001372AE">
      <w:pPr>
        <w:pStyle w:val="FootnoteText"/>
        <w:rPr>
          <w:lang w:val="en-ZW"/>
        </w:rPr>
      </w:pPr>
      <w:r>
        <w:rPr>
          <w:rStyle w:val="FootnoteReference"/>
        </w:rPr>
        <w:footnoteRef/>
      </w:r>
      <w:r>
        <w:t xml:space="preserve"> Phase 2B </w:t>
      </w:r>
      <w:r>
        <w:rPr>
          <w:lang w:val="en-ZW"/>
        </w:rPr>
        <w:t>Staff Proposal at 59.</w:t>
      </w:r>
    </w:p>
  </w:footnote>
  <w:footnote w:id="27">
    <w:p w14:paraId="6499895D" w14:textId="77777777" w:rsidR="001372AE" w:rsidRDefault="001372AE" w:rsidP="001372AE">
      <w:pPr>
        <w:pStyle w:val="FootnoteText"/>
      </w:pPr>
      <w:r>
        <w:rPr>
          <w:rStyle w:val="FootnoteReference"/>
        </w:rPr>
        <w:footnoteRef/>
      </w:r>
      <w:r>
        <w:t xml:space="preserve"> NRDC Opening Comments to </w:t>
      </w:r>
      <w:r>
        <w:rPr>
          <w:lang w:val="en-ZW"/>
        </w:rPr>
        <w:t xml:space="preserve">to ALJ’s Ruling Distributing Phase 2B Staff Proposal </w:t>
      </w:r>
      <w:r>
        <w:t>at 4.</w:t>
      </w:r>
    </w:p>
  </w:footnote>
  <w:footnote w:id="28">
    <w:p w14:paraId="713790B8" w14:textId="77777777" w:rsidR="001372AE" w:rsidRDefault="001372AE" w:rsidP="001372AE">
      <w:pPr>
        <w:pStyle w:val="FootnoteText"/>
      </w:pPr>
      <w:r>
        <w:rPr>
          <w:rStyle w:val="FootnoteReference"/>
        </w:rPr>
        <w:footnoteRef/>
      </w:r>
      <w:r>
        <w:t xml:space="preserve"> </w:t>
      </w:r>
      <w:r w:rsidRPr="003B7AAE">
        <w:rPr>
          <w:i/>
          <w:iCs/>
        </w:rPr>
        <w:t>Ibid</w:t>
      </w:r>
      <w:r>
        <w:t>.</w:t>
      </w:r>
    </w:p>
  </w:footnote>
  <w:footnote w:id="29">
    <w:p w14:paraId="7BB7DE2C" w14:textId="77777777" w:rsidR="001372AE" w:rsidRPr="005046DF" w:rsidRDefault="001372AE" w:rsidP="001372AE">
      <w:pPr>
        <w:pStyle w:val="FootnoteText"/>
        <w:rPr>
          <w:lang w:val="en-ZW"/>
        </w:rPr>
      </w:pPr>
      <w:r>
        <w:rPr>
          <w:rStyle w:val="FootnoteReference"/>
        </w:rPr>
        <w:footnoteRef/>
      </w:r>
      <w:r>
        <w:t xml:space="preserve"> </w:t>
      </w:r>
      <w:r w:rsidRPr="005046DF">
        <w:t>A community energy navigator is a</w:t>
      </w:r>
      <w:r>
        <w:t>n individual that can help serve as a facilitator between the program implementer/IOU and the community. In the San Joaquin Valley pilot program, CENs were managed by a Community Energy Navigator Program Manager (CPM), which was a</w:t>
      </w:r>
      <w:r w:rsidRPr="005046DF">
        <w:t xml:space="preserve"> community-based organization (CBO) that </w:t>
      </w:r>
      <w:r>
        <w:t>served</w:t>
      </w:r>
      <w:r w:rsidRPr="005046DF">
        <w:t xml:space="preserve"> as an intermediary between the </w:t>
      </w:r>
      <w:r>
        <w:t>Program Administrators and the community.</w:t>
      </w:r>
    </w:p>
  </w:footnote>
  <w:footnote w:id="30">
    <w:p w14:paraId="57D33D96" w14:textId="77777777" w:rsidR="001372AE" w:rsidRPr="00C0215C" w:rsidRDefault="001372AE" w:rsidP="001372AE">
      <w:pPr>
        <w:pStyle w:val="FootnoteText"/>
        <w:rPr>
          <w:lang w:val="en-ZW"/>
        </w:rPr>
      </w:pPr>
      <w:r>
        <w:rPr>
          <w:rStyle w:val="FootnoteReference"/>
        </w:rPr>
        <w:footnoteRef/>
      </w:r>
      <w:r>
        <w:t xml:space="preserve"> </w:t>
      </w:r>
      <w:r>
        <w:rPr>
          <w:lang w:val="en-ZW"/>
        </w:rPr>
        <w:t>SCE Opening Comments to ALJ’s Ruling Distributing Phase 2B Staff Proposal [redline edits to Staff Proposal], Appendix A, at A-64.</w:t>
      </w:r>
    </w:p>
  </w:footnote>
  <w:footnote w:id="31">
    <w:p w14:paraId="5DEE8A38" w14:textId="77777777" w:rsidR="001372AE" w:rsidRPr="0028003B" w:rsidRDefault="001372AE" w:rsidP="001372AE">
      <w:pPr>
        <w:pStyle w:val="FootnoteText"/>
        <w:rPr>
          <w:lang w:val="en-ZW"/>
        </w:rPr>
      </w:pPr>
      <w:r>
        <w:rPr>
          <w:rStyle w:val="FootnoteReference"/>
        </w:rPr>
        <w:footnoteRef/>
      </w:r>
      <w:r>
        <w:t xml:space="preserve"> </w:t>
      </w:r>
      <w:r>
        <w:rPr>
          <w:i/>
          <w:iCs/>
          <w:lang w:val="en-ZW"/>
        </w:rPr>
        <w:t>Ibid</w:t>
      </w:r>
      <w:r>
        <w:rPr>
          <w:lang w:val="en-ZW"/>
        </w:rPr>
        <w:t xml:space="preserve"> at 12. </w:t>
      </w:r>
    </w:p>
  </w:footnote>
  <w:footnote w:id="32">
    <w:p w14:paraId="2339614F" w14:textId="77777777" w:rsidR="001372AE" w:rsidRPr="00F7528F" w:rsidRDefault="001372AE" w:rsidP="001372AE">
      <w:pPr>
        <w:pStyle w:val="FootnoteText"/>
        <w:rPr>
          <w:lang w:val="en-ZW"/>
        </w:rPr>
      </w:pPr>
      <w:r>
        <w:rPr>
          <w:rStyle w:val="FootnoteReference"/>
        </w:rPr>
        <w:footnoteRef/>
      </w:r>
      <w:r>
        <w:t xml:space="preserve"> Phase 2B </w:t>
      </w:r>
      <w:r>
        <w:rPr>
          <w:lang w:val="en-ZW"/>
        </w:rPr>
        <w:t>Staff Proposal at 59.</w:t>
      </w:r>
    </w:p>
  </w:footnote>
  <w:footnote w:id="33">
    <w:p w14:paraId="6B56DACE" w14:textId="77777777" w:rsidR="001372AE" w:rsidRPr="006C1EDB" w:rsidRDefault="001372AE" w:rsidP="001372AE">
      <w:pPr>
        <w:pStyle w:val="FootnoteText"/>
        <w:rPr>
          <w:lang w:val="en-ZW"/>
        </w:rPr>
      </w:pPr>
      <w:r>
        <w:rPr>
          <w:rStyle w:val="FootnoteReference"/>
        </w:rPr>
        <w:footnoteRef/>
      </w:r>
      <w:r>
        <w:t xml:space="preserve"> </w:t>
      </w:r>
      <w:r>
        <w:rPr>
          <w:i/>
          <w:iCs/>
          <w:lang w:val="en-ZW"/>
        </w:rPr>
        <w:t>Ibid</w:t>
      </w:r>
      <w:r>
        <w:rPr>
          <w:lang w:val="en-ZW"/>
        </w:rPr>
        <w:t>.</w:t>
      </w:r>
    </w:p>
  </w:footnote>
  <w:footnote w:id="34">
    <w:p w14:paraId="7E14F922" w14:textId="77777777" w:rsidR="001372AE" w:rsidRPr="00B7139B" w:rsidRDefault="001372AE" w:rsidP="001372AE">
      <w:pPr>
        <w:pStyle w:val="FootnoteText"/>
        <w:rPr>
          <w:lang w:val="en-ZW"/>
        </w:rPr>
      </w:pPr>
      <w:r>
        <w:rPr>
          <w:rStyle w:val="FootnoteReference"/>
        </w:rPr>
        <w:footnoteRef/>
      </w:r>
      <w:r>
        <w:t xml:space="preserve"> Phase 2B Staff Proposal at 64-65.</w:t>
      </w:r>
    </w:p>
  </w:footnote>
  <w:footnote w:id="35">
    <w:p w14:paraId="05A68790" w14:textId="77777777" w:rsidR="001372AE" w:rsidRDefault="001372AE" w:rsidP="001372AE">
      <w:pPr>
        <w:pStyle w:val="FootnoteText"/>
      </w:pPr>
      <w:r>
        <w:rPr>
          <w:rStyle w:val="FootnoteReference"/>
        </w:rPr>
        <w:footnoteRef/>
      </w:r>
      <w:r>
        <w:t xml:space="preserve"> Phase 2B Staff Proposal at 59.</w:t>
      </w:r>
    </w:p>
  </w:footnote>
  <w:footnote w:id="36">
    <w:p w14:paraId="60AB5CAD" w14:textId="77777777" w:rsidR="001372AE" w:rsidRPr="000518B6" w:rsidRDefault="001372AE" w:rsidP="001372AE">
      <w:pPr>
        <w:pStyle w:val="FootnoteText"/>
        <w:rPr>
          <w:lang w:val="en-ZW"/>
        </w:rPr>
      </w:pPr>
      <w:r>
        <w:rPr>
          <w:rStyle w:val="FootnoteReference"/>
        </w:rPr>
        <w:footnoteRef/>
      </w:r>
      <w:r>
        <w:t xml:space="preserve"> </w:t>
      </w:r>
      <w:r>
        <w:rPr>
          <w:lang w:val="en-ZW"/>
        </w:rPr>
        <w:t>Joint CCAs Opening Comments to ALJ’s Ruling Distributing Phase 2B Staff Proposal at 4.</w:t>
      </w:r>
    </w:p>
  </w:footnote>
  <w:footnote w:id="37">
    <w:p w14:paraId="290F4FFC" w14:textId="77777777" w:rsidR="001372AE" w:rsidRPr="000518B6" w:rsidRDefault="001372AE" w:rsidP="001372AE">
      <w:pPr>
        <w:pStyle w:val="FootnoteText"/>
        <w:rPr>
          <w:lang w:val="en-ZW"/>
        </w:rPr>
      </w:pPr>
      <w:r>
        <w:rPr>
          <w:rStyle w:val="FootnoteReference"/>
        </w:rPr>
        <w:footnoteRef/>
      </w:r>
      <w:r>
        <w:t xml:space="preserve"> </w:t>
      </w:r>
      <w:r>
        <w:rPr>
          <w:lang w:val="en-ZW"/>
        </w:rPr>
        <w:t>PG&amp;E Opening Comments</w:t>
      </w:r>
      <w:r w:rsidRPr="00B44668">
        <w:rPr>
          <w:lang w:val="en-ZW"/>
        </w:rPr>
        <w:t xml:space="preserve"> </w:t>
      </w:r>
      <w:r>
        <w:rPr>
          <w:lang w:val="en-ZW"/>
        </w:rPr>
        <w:t>to ALJ’s Ruling Distributing Phase 2B Staff Proposal at 9.</w:t>
      </w:r>
    </w:p>
  </w:footnote>
  <w:footnote w:id="38">
    <w:p w14:paraId="4B7C490B" w14:textId="77777777" w:rsidR="001372AE" w:rsidRPr="000518B6" w:rsidRDefault="001372AE" w:rsidP="001372AE">
      <w:pPr>
        <w:pStyle w:val="FootnoteText"/>
        <w:rPr>
          <w:lang w:val="en-ZW"/>
        </w:rPr>
      </w:pPr>
      <w:r>
        <w:rPr>
          <w:rStyle w:val="FootnoteReference"/>
        </w:rPr>
        <w:footnoteRef/>
      </w:r>
      <w:r>
        <w:t xml:space="preserve"> </w:t>
      </w:r>
      <w:r>
        <w:rPr>
          <w:i/>
          <w:iCs/>
          <w:lang w:val="en-ZW"/>
        </w:rPr>
        <w:t>Ibid</w:t>
      </w:r>
      <w:r>
        <w:rPr>
          <w:lang w:val="en-ZW"/>
        </w:rPr>
        <w:t>.</w:t>
      </w:r>
    </w:p>
  </w:footnote>
  <w:footnote w:id="39">
    <w:p w14:paraId="7A0B044F" w14:textId="77777777" w:rsidR="001372AE" w:rsidRDefault="001372AE" w:rsidP="001372AE">
      <w:pPr>
        <w:pStyle w:val="FootnoteText"/>
      </w:pPr>
      <w:r>
        <w:rPr>
          <w:rStyle w:val="FootnoteReference"/>
        </w:rPr>
        <w:footnoteRef/>
      </w:r>
      <w:r>
        <w:t xml:space="preserve"> Southern California Gas Company and Southwest Gas Corporation Opening Comments </w:t>
      </w:r>
      <w:r>
        <w:rPr>
          <w:lang w:val="en-ZW"/>
        </w:rPr>
        <w:t>to ALJ’s Ruling Distributing Phase 2B Staff Proposal</w:t>
      </w:r>
      <w:r>
        <w:t xml:space="preserve"> at 4.</w:t>
      </w:r>
    </w:p>
  </w:footnote>
  <w:footnote w:id="40">
    <w:p w14:paraId="13B13853" w14:textId="77777777" w:rsidR="001372AE" w:rsidRPr="000518B6" w:rsidRDefault="001372AE" w:rsidP="001372AE">
      <w:pPr>
        <w:pStyle w:val="FootnoteText"/>
        <w:rPr>
          <w:lang w:val="en-ZW"/>
        </w:rPr>
      </w:pPr>
      <w:r>
        <w:rPr>
          <w:rStyle w:val="FootnoteReference"/>
        </w:rPr>
        <w:footnoteRef/>
      </w:r>
      <w:r>
        <w:t xml:space="preserve"> </w:t>
      </w:r>
      <w:r>
        <w:rPr>
          <w:lang w:val="en-ZW"/>
        </w:rPr>
        <w:t>WMA Opening Comments to ALJ’s Ruling Distributing Phase 2B Staff Proposal at 3.</w:t>
      </w:r>
    </w:p>
  </w:footnote>
  <w:footnote w:id="41">
    <w:p w14:paraId="10CA71BE" w14:textId="77777777" w:rsidR="001372AE" w:rsidRPr="000518B6" w:rsidRDefault="001372AE" w:rsidP="001372AE">
      <w:pPr>
        <w:pStyle w:val="FootnoteText"/>
        <w:rPr>
          <w:lang w:val="en-ZW"/>
        </w:rPr>
      </w:pPr>
      <w:r>
        <w:rPr>
          <w:rStyle w:val="FootnoteReference"/>
        </w:rPr>
        <w:footnoteRef/>
      </w:r>
      <w:r>
        <w:t xml:space="preserve"> </w:t>
      </w:r>
      <w:r>
        <w:rPr>
          <w:i/>
          <w:iCs/>
          <w:lang w:val="en-ZW"/>
        </w:rPr>
        <w:t>Ibid</w:t>
      </w:r>
      <w:r>
        <w:rPr>
          <w:lang w:val="en-ZW"/>
        </w:rPr>
        <w:t>.</w:t>
      </w:r>
    </w:p>
  </w:footnote>
  <w:footnote w:id="42">
    <w:p w14:paraId="417A323B" w14:textId="77777777" w:rsidR="001372AE" w:rsidRPr="000518B6" w:rsidRDefault="001372AE" w:rsidP="001372AE">
      <w:pPr>
        <w:pStyle w:val="FootnoteText"/>
        <w:rPr>
          <w:lang w:val="en-ZW"/>
        </w:rPr>
      </w:pPr>
      <w:r>
        <w:rPr>
          <w:rStyle w:val="FootnoteReference"/>
        </w:rPr>
        <w:footnoteRef/>
      </w:r>
      <w:r>
        <w:t xml:space="preserve"> </w:t>
      </w:r>
      <w:r>
        <w:rPr>
          <w:lang w:val="en-ZW"/>
        </w:rPr>
        <w:t xml:space="preserve">Joint CCAs Opening Comments to ALJ’s Ruling Distributing Phase 2B Staff Proposal at 5. </w:t>
      </w:r>
    </w:p>
  </w:footnote>
  <w:footnote w:id="43">
    <w:p w14:paraId="07E5E1B8" w14:textId="77777777" w:rsidR="001372AE" w:rsidRPr="000518B6" w:rsidRDefault="001372AE" w:rsidP="001372AE">
      <w:pPr>
        <w:pStyle w:val="FootnoteText"/>
        <w:rPr>
          <w:lang w:val="en-ZW"/>
        </w:rPr>
      </w:pPr>
      <w:r>
        <w:rPr>
          <w:rStyle w:val="FootnoteReference"/>
        </w:rPr>
        <w:footnoteRef/>
      </w:r>
      <w:r>
        <w:t xml:space="preserve"> </w:t>
      </w:r>
      <w:r>
        <w:rPr>
          <w:lang w:val="en-ZW"/>
        </w:rPr>
        <w:t xml:space="preserve">NRDC Opening comments to ALJ’s Ruling Distributing Phase 2B Staff Proposal at 4. </w:t>
      </w:r>
    </w:p>
  </w:footnote>
  <w:footnote w:id="44">
    <w:p w14:paraId="191112FB" w14:textId="77777777" w:rsidR="001372AE" w:rsidRPr="00D77BA0" w:rsidRDefault="001372AE" w:rsidP="001372AE">
      <w:pPr>
        <w:pStyle w:val="FootnoteText"/>
        <w:rPr>
          <w:lang w:val="en-ZW"/>
        </w:rPr>
      </w:pPr>
      <w:r>
        <w:rPr>
          <w:rStyle w:val="FootnoteReference"/>
        </w:rPr>
        <w:footnoteRef/>
      </w:r>
      <w:r>
        <w:t xml:space="preserve"> </w:t>
      </w:r>
      <w:r>
        <w:rPr>
          <w:lang w:val="en-ZW"/>
        </w:rPr>
        <w:t>Joint CCAs Opening Comments to ALJ’s Ruling Distributing Phase 2B Staff Proposal at 7.</w:t>
      </w:r>
    </w:p>
  </w:footnote>
  <w:footnote w:id="45">
    <w:p w14:paraId="3F11F76F" w14:textId="77777777" w:rsidR="001372AE" w:rsidRPr="000518B6" w:rsidRDefault="001372AE" w:rsidP="001372AE">
      <w:pPr>
        <w:pStyle w:val="FootnoteText"/>
        <w:rPr>
          <w:lang w:val="en-ZW"/>
        </w:rPr>
      </w:pPr>
      <w:r>
        <w:rPr>
          <w:rStyle w:val="FootnoteReference"/>
        </w:rPr>
        <w:footnoteRef/>
      </w:r>
      <w:r>
        <w:t xml:space="preserve"> </w:t>
      </w:r>
      <w:r>
        <w:rPr>
          <w:lang w:val="en-ZW"/>
        </w:rPr>
        <w:t>PG&amp;E Opening Comments to ALJ’s Ruling Distributing Phase 2B Staff Proposal at 7.</w:t>
      </w:r>
    </w:p>
  </w:footnote>
  <w:footnote w:id="46">
    <w:p w14:paraId="2F4E2568" w14:textId="77777777" w:rsidR="001372AE" w:rsidRPr="000518B6" w:rsidRDefault="001372AE" w:rsidP="001372AE">
      <w:pPr>
        <w:pStyle w:val="FootnoteText"/>
        <w:rPr>
          <w:lang w:val="en-ZW"/>
        </w:rPr>
      </w:pPr>
      <w:r>
        <w:rPr>
          <w:rStyle w:val="FootnoteReference"/>
        </w:rPr>
        <w:footnoteRef/>
      </w:r>
      <w:r>
        <w:t xml:space="preserve"> </w:t>
      </w:r>
      <w:r>
        <w:rPr>
          <w:lang w:val="en-ZW"/>
        </w:rPr>
        <w:t>SDG&amp;E Opening Comments to ALJ’s Ruling Distributing Phase 2B Staff Proposal at 4.</w:t>
      </w:r>
    </w:p>
  </w:footnote>
  <w:footnote w:id="47">
    <w:p w14:paraId="63FDD694" w14:textId="77777777" w:rsidR="001372AE" w:rsidRPr="00676793" w:rsidRDefault="001372AE" w:rsidP="001372AE">
      <w:pPr>
        <w:pStyle w:val="FootnoteText"/>
        <w:rPr>
          <w:lang w:val="en-ZW"/>
        </w:rPr>
      </w:pPr>
      <w:r>
        <w:rPr>
          <w:rStyle w:val="FootnoteReference"/>
        </w:rPr>
        <w:footnoteRef/>
      </w:r>
      <w:r>
        <w:t xml:space="preserve"> </w:t>
      </w:r>
      <w:r>
        <w:rPr>
          <w:lang w:val="en-ZW"/>
        </w:rPr>
        <w:t>PG&amp;E Opening Comments to ALJ’s Ruling Distributing Phase 2B Staff Proposal at 12.</w:t>
      </w:r>
    </w:p>
  </w:footnote>
  <w:footnote w:id="48">
    <w:p w14:paraId="1C1DD6C4" w14:textId="77777777" w:rsidR="001372AE" w:rsidRPr="001B5323" w:rsidRDefault="001372AE" w:rsidP="001372AE">
      <w:pPr>
        <w:pStyle w:val="FootnoteText"/>
        <w:rPr>
          <w:lang w:val="en-ZW"/>
        </w:rPr>
      </w:pPr>
      <w:r>
        <w:rPr>
          <w:rStyle w:val="FootnoteReference"/>
        </w:rPr>
        <w:footnoteRef/>
      </w:r>
      <w:r>
        <w:t xml:space="preserve"> </w:t>
      </w:r>
      <w:r>
        <w:rPr>
          <w:lang w:val="en-ZW"/>
        </w:rPr>
        <w:t>SDG&amp;E Opening Comments to ALJ’s Ruling Distributing Phase 2B Staff Proposal at 11.</w:t>
      </w:r>
    </w:p>
  </w:footnote>
  <w:footnote w:id="49">
    <w:p w14:paraId="3FC4DF5D" w14:textId="77777777" w:rsidR="001372AE" w:rsidRPr="00EE3CC1" w:rsidRDefault="001372AE" w:rsidP="001372AE">
      <w:pPr>
        <w:pStyle w:val="FootnoteText"/>
      </w:pPr>
      <w:r w:rsidRPr="00EE3CC1">
        <w:rPr>
          <w:rStyle w:val="FootnoteReference"/>
        </w:rPr>
        <w:footnoteRef/>
      </w:r>
      <w:r w:rsidRPr="00EE3CC1">
        <w:t xml:space="preserve"> </w:t>
      </w:r>
      <w:r w:rsidRPr="00EE3CC1">
        <w:rPr>
          <w:lang w:val="en-ZW"/>
        </w:rPr>
        <w:t>See D.20-04-004, Appendix C, “Proposed Revised Mobilehome Park Utility Upgrade Program Agreement,” Sections 5.6.1, 5.6.2, and 5.7.1, pgs. 7-8.</w:t>
      </w:r>
    </w:p>
  </w:footnote>
  <w:footnote w:id="50">
    <w:p w14:paraId="7EB9DB88" w14:textId="77777777" w:rsidR="001372AE" w:rsidRPr="000471D7" w:rsidRDefault="001372AE" w:rsidP="001372AE">
      <w:pPr>
        <w:pStyle w:val="FootnoteText"/>
        <w:rPr>
          <w:lang w:val="en-ZW"/>
        </w:rPr>
      </w:pPr>
      <w:r>
        <w:rPr>
          <w:rStyle w:val="FootnoteReference"/>
        </w:rPr>
        <w:footnoteRef/>
      </w:r>
      <w:r>
        <w:t xml:space="preserve"> </w:t>
      </w:r>
      <w:r w:rsidRPr="00622BF6">
        <w:rPr>
          <w:i/>
          <w:iCs/>
          <w:lang w:val="en-ZW"/>
        </w:rPr>
        <w:t>See</w:t>
      </w:r>
      <w:r>
        <w:rPr>
          <w:lang w:val="en-ZW"/>
        </w:rPr>
        <w:t xml:space="preserve"> EBD Direct Install Program Final Guidelines at 22.</w:t>
      </w:r>
    </w:p>
  </w:footnote>
  <w:footnote w:id="51">
    <w:p w14:paraId="3B27EE10" w14:textId="77777777" w:rsidR="001372AE" w:rsidRPr="000C3A46" w:rsidRDefault="001372AE" w:rsidP="001372AE">
      <w:pPr>
        <w:pStyle w:val="FootnoteText"/>
        <w:rPr>
          <w:lang w:val="en-ZW"/>
        </w:rPr>
      </w:pPr>
      <w:r>
        <w:rPr>
          <w:rStyle w:val="FootnoteReference"/>
        </w:rPr>
        <w:footnoteRef/>
      </w:r>
      <w:r>
        <w:t xml:space="preserve"> </w:t>
      </w:r>
      <w:r w:rsidRPr="00622BF6">
        <w:rPr>
          <w:i/>
          <w:iCs/>
          <w:lang w:val="en-ZW"/>
        </w:rPr>
        <w:t>See</w:t>
      </w:r>
      <w:r>
        <w:rPr>
          <w:lang w:val="en-ZW"/>
        </w:rPr>
        <w:t xml:space="preserve"> EBD Direct Install Program Final Guidelines at 19-20.</w:t>
      </w:r>
    </w:p>
  </w:footnote>
  <w:footnote w:id="52">
    <w:p w14:paraId="05E4A6D2" w14:textId="77777777" w:rsidR="001372AE" w:rsidRDefault="001372AE" w:rsidP="001372AE">
      <w:pPr>
        <w:pStyle w:val="FootnoteText"/>
      </w:pPr>
      <w:r>
        <w:rPr>
          <w:rStyle w:val="FootnoteReference"/>
        </w:rPr>
        <w:footnoteRef/>
      </w:r>
      <w:r>
        <w:t xml:space="preserve"> </w:t>
      </w:r>
      <w:r w:rsidRPr="00622BF6">
        <w:rPr>
          <w:rStyle w:val="normaltextrun"/>
          <w:i/>
          <w:iCs/>
          <w:szCs w:val="22"/>
          <w:shd w:val="clear" w:color="auto" w:fill="FFFFFF"/>
        </w:rPr>
        <w:t>See</w:t>
      </w:r>
      <w:r w:rsidRPr="00245F32">
        <w:rPr>
          <w:rStyle w:val="normaltextrun"/>
          <w:szCs w:val="22"/>
          <w:shd w:val="clear" w:color="auto" w:fill="FFFFFF"/>
        </w:rPr>
        <w:t>:</w:t>
      </w:r>
      <w:r>
        <w:rPr>
          <w:rStyle w:val="normaltextrun"/>
          <w:rFonts w:ascii="Garamond" w:hAnsi="Garamond"/>
          <w:sz w:val="20"/>
          <w:shd w:val="clear" w:color="auto" w:fill="FFFFFF"/>
        </w:rPr>
        <w:t> </w:t>
      </w:r>
      <w:hyperlink r:id="rId2" w:tgtFrame="_blank" w:history="1">
        <w:r w:rsidRPr="00245F32">
          <w:rPr>
            <w:rStyle w:val="normaltextrun"/>
            <w:rFonts w:cs="Segoe UI"/>
            <w:color w:val="0563C1"/>
            <w:szCs w:val="22"/>
            <w:u w:val="single"/>
            <w:shd w:val="clear" w:color="auto" w:fill="FFFFFF"/>
          </w:rPr>
          <w:t>https://www.energy.gov/articles/biden-harris-administration-announces-state-and-tribe-allocations-home-energy-rebate</w:t>
        </w:r>
      </w:hyperlink>
      <w:r w:rsidRPr="00245F32">
        <w:rPr>
          <w:rStyle w:val="normaltextrun"/>
          <w:color w:val="0563C1"/>
          <w:szCs w:val="22"/>
          <w:u w:val="single"/>
          <w:shd w:val="clear" w:color="auto" w:fill="FFFFFF"/>
        </w:rPr>
        <w:t>.</w:t>
      </w:r>
      <w:r>
        <w:rPr>
          <w:rStyle w:val="normaltextrun"/>
          <w:rFonts w:ascii="Garamond" w:hAnsi="Garamond"/>
          <w:sz w:val="20"/>
          <w:shd w:val="clear" w:color="auto" w:fill="FFFFFF"/>
        </w:rPr>
        <w:t> </w:t>
      </w:r>
    </w:p>
  </w:footnote>
  <w:footnote w:id="53">
    <w:p w14:paraId="2FE072F3" w14:textId="77777777" w:rsidR="001372AE" w:rsidRDefault="001372AE" w:rsidP="001372AE">
      <w:pPr>
        <w:pStyle w:val="FootnoteText"/>
      </w:pPr>
      <w:r>
        <w:rPr>
          <w:rStyle w:val="FootnoteReference"/>
        </w:rPr>
        <w:footnoteRef/>
      </w:r>
      <w:r>
        <w:t xml:space="preserve"> Phase 2B Staff Proposal at 68 to 69.</w:t>
      </w:r>
    </w:p>
  </w:footnote>
  <w:footnote w:id="54">
    <w:p w14:paraId="50A691A5" w14:textId="77777777" w:rsidR="001372AE" w:rsidRPr="00094AD3" w:rsidRDefault="001372AE" w:rsidP="001372AE">
      <w:pPr>
        <w:pStyle w:val="FootnoteText"/>
        <w:rPr>
          <w:lang w:val="en-ZW"/>
        </w:rPr>
      </w:pPr>
      <w:r>
        <w:rPr>
          <w:rStyle w:val="FootnoteReference"/>
        </w:rPr>
        <w:footnoteRef/>
      </w:r>
      <w:r>
        <w:t xml:space="preserve"> Phase 2B </w:t>
      </w:r>
      <w:r>
        <w:rPr>
          <w:lang w:val="en-ZW"/>
        </w:rPr>
        <w:t>Staff Proposal at 69.</w:t>
      </w:r>
    </w:p>
  </w:footnote>
  <w:footnote w:id="55">
    <w:p w14:paraId="212E37B7" w14:textId="77777777" w:rsidR="001372AE" w:rsidRPr="00F11F9A" w:rsidRDefault="001372AE" w:rsidP="001372AE">
      <w:pPr>
        <w:pStyle w:val="FootnoteText"/>
        <w:rPr>
          <w:lang w:val="en-ZW"/>
        </w:rPr>
      </w:pPr>
      <w:r>
        <w:rPr>
          <w:rStyle w:val="FootnoteReference"/>
        </w:rPr>
        <w:footnoteRef/>
      </w:r>
      <w:r>
        <w:t xml:space="preserve"> </w:t>
      </w:r>
      <w:r>
        <w:rPr>
          <w:lang w:val="en-ZW"/>
        </w:rPr>
        <w:t>Bundled, non-CARE customer.</w:t>
      </w:r>
    </w:p>
  </w:footnote>
  <w:footnote w:id="56">
    <w:p w14:paraId="051C39FB" w14:textId="77777777" w:rsidR="001372AE" w:rsidRPr="00A22C36" w:rsidRDefault="001372AE" w:rsidP="001372AE">
      <w:pPr>
        <w:pStyle w:val="FootnoteText"/>
        <w:rPr>
          <w:lang w:val="en-ZW"/>
        </w:rPr>
      </w:pPr>
      <w:r>
        <w:rPr>
          <w:rStyle w:val="FootnoteReference"/>
        </w:rPr>
        <w:footnoteRef/>
      </w:r>
      <w:r>
        <w:t xml:space="preserve"> </w:t>
      </w:r>
      <w:r>
        <w:rPr>
          <w:lang w:val="en-ZW"/>
        </w:rPr>
        <w:t>NRDC Opening Comments to ALJ’s Ruling Distributing Phase 2B Staff Proposal at 6.</w:t>
      </w:r>
    </w:p>
  </w:footnote>
  <w:footnote w:id="57">
    <w:p w14:paraId="26E90523" w14:textId="77777777" w:rsidR="001372AE" w:rsidRPr="009002A3" w:rsidRDefault="001372AE" w:rsidP="001372AE">
      <w:pPr>
        <w:pStyle w:val="FootnoteText"/>
        <w:rPr>
          <w:lang w:val="en-ZW"/>
        </w:rPr>
      </w:pPr>
      <w:r>
        <w:rPr>
          <w:rStyle w:val="FootnoteReference"/>
        </w:rPr>
        <w:footnoteRef/>
      </w:r>
      <w:r>
        <w:t xml:space="preserve"> </w:t>
      </w:r>
      <w:r>
        <w:rPr>
          <w:lang w:val="en-ZW"/>
        </w:rPr>
        <w:t xml:space="preserve">Joint CCAs Opening Comments to ALJ’s Ruling Distributing Phase 2B Staff Proposal at 6. </w:t>
      </w:r>
    </w:p>
  </w:footnote>
  <w:footnote w:id="58">
    <w:p w14:paraId="5476D6F9" w14:textId="77777777" w:rsidR="001372AE" w:rsidRPr="009002A3" w:rsidRDefault="001372AE" w:rsidP="001372AE">
      <w:pPr>
        <w:pStyle w:val="FootnoteText"/>
        <w:rPr>
          <w:lang w:val="en-ZW"/>
        </w:rPr>
      </w:pPr>
      <w:r>
        <w:rPr>
          <w:rStyle w:val="FootnoteReference"/>
        </w:rPr>
        <w:footnoteRef/>
      </w:r>
      <w:r>
        <w:t xml:space="preserve"> </w:t>
      </w:r>
      <w:r>
        <w:rPr>
          <w:lang w:val="en-ZW"/>
        </w:rPr>
        <w:t>PG&amp;E Opening Comments to ALJ’s Ruling Distributing Phase 2B Staff Proposal at 11.</w:t>
      </w:r>
    </w:p>
  </w:footnote>
  <w:footnote w:id="59">
    <w:p w14:paraId="6E21DE54" w14:textId="77777777" w:rsidR="001372AE" w:rsidRPr="009002A3" w:rsidRDefault="001372AE" w:rsidP="001372AE">
      <w:pPr>
        <w:pStyle w:val="FootnoteText"/>
        <w:rPr>
          <w:lang w:val="en-ZW"/>
        </w:rPr>
      </w:pPr>
      <w:r>
        <w:rPr>
          <w:rStyle w:val="FootnoteReference"/>
        </w:rPr>
        <w:footnoteRef/>
      </w:r>
      <w:r>
        <w:t xml:space="preserve"> </w:t>
      </w:r>
      <w:r>
        <w:rPr>
          <w:lang w:val="en-ZW"/>
        </w:rPr>
        <w:t>SCE Opening Comments</w:t>
      </w:r>
      <w:r w:rsidRPr="0031128D">
        <w:rPr>
          <w:lang w:val="en-ZW"/>
        </w:rPr>
        <w:t xml:space="preserve"> </w:t>
      </w:r>
      <w:r>
        <w:rPr>
          <w:lang w:val="en-ZW"/>
        </w:rPr>
        <w:t>to ALJ’s Ruling Distributing Phase 2B Staff Proposal at 5.</w:t>
      </w:r>
    </w:p>
  </w:footnote>
  <w:footnote w:id="60">
    <w:p w14:paraId="245B2E7C" w14:textId="77777777" w:rsidR="001372AE" w:rsidRPr="00802F5C" w:rsidRDefault="001372AE" w:rsidP="001372AE">
      <w:pPr>
        <w:pStyle w:val="FootnoteText"/>
        <w:rPr>
          <w:lang w:val="en-ZW"/>
        </w:rPr>
      </w:pPr>
      <w:r>
        <w:rPr>
          <w:rStyle w:val="FootnoteReference"/>
        </w:rPr>
        <w:footnoteRef/>
      </w:r>
      <w:r>
        <w:t xml:space="preserve"> </w:t>
      </w:r>
      <w:r>
        <w:rPr>
          <w:lang w:val="en-ZW"/>
        </w:rPr>
        <w:t>SCE Opening Comments to ALJ’s Ruling Distributing Phase 2B Staff Proposal at 7 and SDG&amp;E Opening Comments</w:t>
      </w:r>
      <w:r w:rsidRPr="0031128D">
        <w:rPr>
          <w:lang w:val="en-ZW"/>
        </w:rPr>
        <w:t xml:space="preserve"> </w:t>
      </w:r>
      <w:r>
        <w:rPr>
          <w:lang w:val="en-ZW"/>
        </w:rPr>
        <w:t>to ALJ’s Ruling Distributing Phase 2B Staff Proposal at 11.</w:t>
      </w:r>
    </w:p>
  </w:footnote>
  <w:footnote w:id="61">
    <w:p w14:paraId="59130929" w14:textId="77777777" w:rsidR="001372AE" w:rsidRPr="00473E2D" w:rsidRDefault="001372AE" w:rsidP="001372AE">
      <w:pPr>
        <w:pStyle w:val="FootnoteText"/>
        <w:rPr>
          <w:lang w:val="en-ZW"/>
        </w:rPr>
      </w:pPr>
      <w:r>
        <w:rPr>
          <w:rStyle w:val="FootnoteReference"/>
        </w:rPr>
        <w:footnoteRef/>
      </w:r>
      <w:r>
        <w:t xml:space="preserve"> </w:t>
      </w:r>
      <w:r>
        <w:rPr>
          <w:lang w:val="en-ZW"/>
        </w:rPr>
        <w:t>SDG&amp;E Opening Comments</w:t>
      </w:r>
      <w:r w:rsidRPr="0031128D">
        <w:rPr>
          <w:lang w:val="en-ZW"/>
        </w:rPr>
        <w:t xml:space="preserve"> </w:t>
      </w:r>
      <w:r>
        <w:rPr>
          <w:lang w:val="en-ZW"/>
        </w:rPr>
        <w:t>to ALJ’s Ruling Distributing Phase 2B Staff Proposal at 11.</w:t>
      </w:r>
    </w:p>
  </w:footnote>
  <w:footnote w:id="62">
    <w:p w14:paraId="4A5359FD" w14:textId="77777777" w:rsidR="001372AE" w:rsidRDefault="001372AE" w:rsidP="001372AE">
      <w:pPr>
        <w:pStyle w:val="FootnoteText"/>
      </w:pPr>
      <w:r>
        <w:rPr>
          <w:rStyle w:val="FootnoteReference"/>
        </w:rPr>
        <w:footnoteRef/>
      </w:r>
      <w:r>
        <w:t xml:space="preserve"> Phase 2B Staff Proposal at 67 to 68.</w:t>
      </w:r>
    </w:p>
  </w:footnote>
  <w:footnote w:id="63">
    <w:p w14:paraId="7AB00E8E" w14:textId="77777777" w:rsidR="001372AE" w:rsidRDefault="001372AE" w:rsidP="001372AE">
      <w:pPr>
        <w:pStyle w:val="FootnoteText"/>
      </w:pPr>
      <w:r>
        <w:rPr>
          <w:rStyle w:val="FootnoteReference"/>
        </w:rPr>
        <w:footnoteRef/>
      </w:r>
      <w:r>
        <w:t xml:space="preserve"> </w:t>
      </w:r>
      <w:r w:rsidRPr="00622BF6">
        <w:rPr>
          <w:i/>
          <w:iCs/>
        </w:rPr>
        <w:t>See </w:t>
      </w:r>
      <w:r w:rsidRPr="00AC0436">
        <w:t xml:space="preserve">EBD </w:t>
      </w:r>
      <w:r>
        <w:t>Direct Install Program Final</w:t>
      </w:r>
      <w:r w:rsidRPr="00AC0436">
        <w:t> Guidelines at 2</w:t>
      </w:r>
      <w:r>
        <w:t>6</w:t>
      </w:r>
      <w:r>
        <w:rPr>
          <w:rStyle w:val="normaltextrun"/>
          <w:rFonts w:ascii="Garamond" w:hAnsi="Garamond"/>
          <w:color w:val="000000"/>
          <w:sz w:val="20"/>
          <w:shd w:val="clear" w:color="auto" w:fill="FFFFFF"/>
        </w:rPr>
        <w:t>.</w:t>
      </w:r>
    </w:p>
  </w:footnote>
  <w:footnote w:id="64">
    <w:p w14:paraId="4F2B6102" w14:textId="77777777" w:rsidR="001372AE" w:rsidRPr="007216AB" w:rsidRDefault="001372AE" w:rsidP="001372AE">
      <w:pPr>
        <w:pStyle w:val="FootnoteText"/>
        <w:rPr>
          <w:lang w:val="en-ZW"/>
        </w:rPr>
      </w:pPr>
      <w:r>
        <w:rPr>
          <w:rStyle w:val="FootnoteReference"/>
        </w:rPr>
        <w:footnoteRef/>
      </w:r>
      <w:r>
        <w:t xml:space="preserve"> </w:t>
      </w:r>
      <w:r>
        <w:rPr>
          <w:lang w:val="en-ZW"/>
        </w:rPr>
        <w:t>SDG&amp;E Opening Comments to ALJ’s Ruling Distributing Phase 2B Staff Proposal at 6.</w:t>
      </w:r>
    </w:p>
  </w:footnote>
  <w:footnote w:id="65">
    <w:p w14:paraId="4E357AA5" w14:textId="77777777" w:rsidR="001372AE" w:rsidRPr="003257D2" w:rsidRDefault="001372AE" w:rsidP="001372AE">
      <w:pPr>
        <w:pStyle w:val="FootnoteText"/>
        <w:rPr>
          <w:lang w:val="en-ZW"/>
        </w:rPr>
      </w:pPr>
      <w:r>
        <w:rPr>
          <w:rStyle w:val="FootnoteReference"/>
        </w:rPr>
        <w:footnoteRef/>
      </w:r>
      <w:r>
        <w:t xml:space="preserve"> </w:t>
      </w:r>
      <w:r>
        <w:rPr>
          <w:lang w:val="en-ZW"/>
        </w:rPr>
        <w:t>SCE Opening Comments to ALJ’s Ruling Distributing Phase 2B Staff Proposal at 8.</w:t>
      </w:r>
    </w:p>
  </w:footnote>
  <w:footnote w:id="66">
    <w:p w14:paraId="74AEDB83" w14:textId="77777777" w:rsidR="001372AE" w:rsidRPr="005B7B93" w:rsidRDefault="001372AE" w:rsidP="001372AE">
      <w:pPr>
        <w:pStyle w:val="FootnoteText"/>
        <w:rPr>
          <w:lang w:val="en-ZW"/>
        </w:rPr>
      </w:pPr>
      <w:r>
        <w:rPr>
          <w:rStyle w:val="FootnoteReference"/>
        </w:rPr>
        <w:footnoteRef/>
      </w:r>
      <w:r>
        <w:t xml:space="preserve"> </w:t>
      </w:r>
      <w:r>
        <w:rPr>
          <w:lang w:val="en-ZW"/>
        </w:rPr>
        <w:t>D.21-08-025 established these consumer protection provisions and requires the MHP UCP agreement to contain specific language around allowable rent increases. See OP 2 at 33 for more information.</w:t>
      </w:r>
    </w:p>
  </w:footnote>
  <w:footnote w:id="67">
    <w:p w14:paraId="73282D0B" w14:textId="77777777" w:rsidR="001372AE" w:rsidRPr="000518B6" w:rsidRDefault="001372AE" w:rsidP="001372AE">
      <w:pPr>
        <w:pStyle w:val="FootnoteText"/>
        <w:rPr>
          <w:lang w:val="en-ZW"/>
        </w:rPr>
      </w:pPr>
      <w:r>
        <w:rPr>
          <w:rStyle w:val="FootnoteReference"/>
        </w:rPr>
        <w:footnoteRef/>
      </w:r>
      <w:r>
        <w:t xml:space="preserve"> Phase 2B </w:t>
      </w:r>
      <w:r>
        <w:rPr>
          <w:lang w:val="en-ZW"/>
        </w:rPr>
        <w:t>Staff Proposal at 67.</w:t>
      </w:r>
    </w:p>
  </w:footnote>
  <w:footnote w:id="68">
    <w:p w14:paraId="6754F3F5" w14:textId="77777777" w:rsidR="001372AE" w:rsidRPr="000518B6" w:rsidRDefault="001372AE" w:rsidP="001372AE">
      <w:pPr>
        <w:pStyle w:val="FootnoteText"/>
        <w:rPr>
          <w:lang w:val="en-ZW"/>
        </w:rPr>
      </w:pPr>
      <w:r>
        <w:rPr>
          <w:rStyle w:val="FootnoteReference"/>
        </w:rPr>
        <w:footnoteRef/>
      </w:r>
      <w:r>
        <w:t xml:space="preserve"> </w:t>
      </w:r>
      <w:r>
        <w:rPr>
          <w:i/>
          <w:iCs/>
          <w:lang w:val="en-ZW"/>
        </w:rPr>
        <w:t>Ibid</w:t>
      </w:r>
      <w:r>
        <w:rPr>
          <w:lang w:val="en-ZW"/>
        </w:rPr>
        <w:t>.</w:t>
      </w:r>
    </w:p>
  </w:footnote>
  <w:footnote w:id="69">
    <w:p w14:paraId="411FECAC" w14:textId="77777777" w:rsidR="001372AE" w:rsidRPr="000518B6" w:rsidRDefault="001372AE" w:rsidP="001372AE">
      <w:pPr>
        <w:pStyle w:val="FootnoteText"/>
        <w:rPr>
          <w:lang w:val="en-ZW"/>
        </w:rPr>
      </w:pPr>
      <w:r>
        <w:rPr>
          <w:rStyle w:val="FootnoteReference"/>
        </w:rPr>
        <w:footnoteRef/>
      </w:r>
      <w:r>
        <w:t xml:space="preserve"> </w:t>
      </w:r>
      <w:r>
        <w:rPr>
          <w:i/>
          <w:iCs/>
          <w:lang w:val="en-ZW"/>
        </w:rPr>
        <w:t>Ibid</w:t>
      </w:r>
      <w:r>
        <w:rPr>
          <w:lang w:val="en-ZW"/>
        </w:rPr>
        <w:t>.</w:t>
      </w:r>
    </w:p>
  </w:footnote>
  <w:footnote w:id="70">
    <w:p w14:paraId="00C76731" w14:textId="77777777" w:rsidR="001372AE" w:rsidRPr="000518B6" w:rsidRDefault="001372AE" w:rsidP="001372AE">
      <w:pPr>
        <w:pStyle w:val="FootnoteText"/>
        <w:rPr>
          <w:lang w:val="en-ZW"/>
        </w:rPr>
      </w:pPr>
      <w:r>
        <w:rPr>
          <w:rStyle w:val="FootnoteReference"/>
        </w:rPr>
        <w:footnoteRef/>
      </w:r>
      <w:r>
        <w:t xml:space="preserve"> </w:t>
      </w:r>
      <w:r>
        <w:rPr>
          <w:lang w:val="en-ZW"/>
        </w:rPr>
        <w:t xml:space="preserve">NRDC Opening Comments to ALJ’s Ruling Distributing Phase 2B Staff Proposal at 6. </w:t>
      </w:r>
    </w:p>
  </w:footnote>
  <w:footnote w:id="71">
    <w:p w14:paraId="7CCE7B12" w14:textId="77777777" w:rsidR="001372AE" w:rsidRPr="000518B6" w:rsidRDefault="001372AE" w:rsidP="001372AE">
      <w:pPr>
        <w:pStyle w:val="FootnoteText"/>
        <w:rPr>
          <w:lang w:val="en-ZW"/>
        </w:rPr>
      </w:pPr>
      <w:r>
        <w:rPr>
          <w:rStyle w:val="FootnoteReference"/>
        </w:rPr>
        <w:footnoteRef/>
      </w:r>
      <w:r>
        <w:t xml:space="preserve"> </w:t>
      </w:r>
      <w:r>
        <w:rPr>
          <w:lang w:val="en-ZW"/>
        </w:rPr>
        <w:t xml:space="preserve">WMA Opening Comments to ALJ’s Ruling Distributing Phase 2B Staff Proposal at 4. </w:t>
      </w:r>
    </w:p>
  </w:footnote>
  <w:footnote w:id="72">
    <w:p w14:paraId="18544B31" w14:textId="77777777" w:rsidR="001372AE" w:rsidRPr="000518B6" w:rsidRDefault="001372AE" w:rsidP="001372AE">
      <w:pPr>
        <w:pStyle w:val="FootnoteText"/>
        <w:rPr>
          <w:lang w:val="en-ZW"/>
        </w:rPr>
      </w:pPr>
      <w:r>
        <w:rPr>
          <w:rStyle w:val="FootnoteReference"/>
        </w:rPr>
        <w:footnoteRef/>
      </w:r>
      <w:r>
        <w:t xml:space="preserve"> </w:t>
      </w:r>
      <w:r>
        <w:rPr>
          <w:lang w:val="en-ZW"/>
        </w:rPr>
        <w:t>PG&amp;E Reply Comments to ALJ’s Ruling Distributing Phase 2B Staff Proposal at 2.</w:t>
      </w:r>
    </w:p>
  </w:footnote>
  <w:footnote w:id="73">
    <w:p w14:paraId="74D55A29" w14:textId="77777777" w:rsidR="001372AE" w:rsidRPr="000518B6" w:rsidRDefault="001372AE" w:rsidP="001372AE">
      <w:pPr>
        <w:pStyle w:val="FootnoteText"/>
        <w:rPr>
          <w:lang w:val="en-ZW"/>
        </w:rPr>
      </w:pPr>
      <w:r>
        <w:rPr>
          <w:rStyle w:val="FootnoteReference"/>
        </w:rPr>
        <w:footnoteRef/>
      </w:r>
      <w:r>
        <w:t xml:space="preserve"> </w:t>
      </w:r>
      <w:r>
        <w:rPr>
          <w:lang w:val="en-ZW"/>
        </w:rPr>
        <w:t xml:space="preserve">SCE Opening Comments to ALJ’s Ruling Distributing Phase 2B Staff Proposal at 8. </w:t>
      </w:r>
    </w:p>
  </w:footnote>
  <w:footnote w:id="74">
    <w:p w14:paraId="37F0BC0C" w14:textId="77777777" w:rsidR="001372AE" w:rsidRPr="000518B6" w:rsidRDefault="001372AE" w:rsidP="001372AE">
      <w:pPr>
        <w:pStyle w:val="FootnoteText"/>
        <w:rPr>
          <w:lang w:val="en-ZW"/>
        </w:rPr>
      </w:pPr>
      <w:r>
        <w:rPr>
          <w:rStyle w:val="FootnoteReference"/>
        </w:rPr>
        <w:footnoteRef/>
      </w:r>
      <w:r>
        <w:t xml:space="preserve"> </w:t>
      </w:r>
      <w:r>
        <w:rPr>
          <w:lang w:val="en-ZW"/>
        </w:rPr>
        <w:t>SCE Opening Comments to ALJ’s Ruling Distributing Phase 2B Staff Proposal at 9.</w:t>
      </w:r>
    </w:p>
  </w:footnote>
  <w:footnote w:id="75">
    <w:p w14:paraId="296AFA98" w14:textId="77777777" w:rsidR="001372AE" w:rsidRDefault="001372AE" w:rsidP="001372AE">
      <w:pPr>
        <w:pStyle w:val="FootnoteText"/>
      </w:pPr>
      <w:r>
        <w:rPr>
          <w:rStyle w:val="FootnoteReference"/>
        </w:rPr>
        <w:footnoteRef/>
      </w:r>
      <w:r>
        <w:t xml:space="preserve"> D.</w:t>
      </w:r>
      <w:r w:rsidRPr="00504D1B">
        <w:rPr>
          <w:rFonts w:ascii="Calibri" w:hAnsi="Calibri" w:cs="Calibri"/>
          <w:szCs w:val="22"/>
        </w:rPr>
        <w:t xml:space="preserve"> </w:t>
      </w:r>
      <w:r w:rsidRPr="00504D1B">
        <w:t>11-07-056</w:t>
      </w:r>
      <w:r>
        <w:t xml:space="preserve"> defines </w:t>
      </w:r>
      <w:r w:rsidRPr="00DD673D">
        <w:t xml:space="preserve">"Covered information" </w:t>
      </w:r>
      <w:r>
        <w:t>as</w:t>
      </w:r>
      <w:r w:rsidRPr="00DD673D">
        <w:t xml:space="preserve"> any electrical or gas usage information when associated with any information that can reasonably be used to identify an individual, family, household, or residence, or non-residential customer, except that covered information does not include electrical or gas usage information from which identifying information has been removed such that an individual, family, household, or residence or non-residential customer cannot reasonably be identified or re-identified.</w:t>
      </w:r>
      <w:r>
        <w:t xml:space="preserve"> </w:t>
      </w:r>
    </w:p>
  </w:footnote>
  <w:footnote w:id="76">
    <w:p w14:paraId="081C51B8" w14:textId="77777777" w:rsidR="001372AE" w:rsidRPr="00045187" w:rsidRDefault="001372AE" w:rsidP="00045187">
      <w:pPr>
        <w:pStyle w:val="FootnoteText"/>
        <w:rPr>
          <w:rStyle w:val="FootnoteReference"/>
        </w:rPr>
      </w:pPr>
      <w:r w:rsidRPr="00045187">
        <w:rPr>
          <w:rStyle w:val="FootnoteReference"/>
        </w:rPr>
        <w:footnoteRef/>
      </w:r>
      <w:r w:rsidRPr="00045187">
        <w:rPr>
          <w:rStyle w:val="FootnoteReference"/>
        </w:rPr>
        <w:t xml:space="preserve"> </w:t>
      </w:r>
      <w:r w:rsidRPr="000273E4">
        <w:t>Opening Comments of Pacific Gas and Electric Company to the Proposed Decision Establishing an Electrification Pilot Initiative for Mobilehome Parks, November 6, 2025, at 2.</w:t>
      </w:r>
    </w:p>
  </w:footnote>
  <w:footnote w:id="77">
    <w:p w14:paraId="4177B1AC" w14:textId="77777777" w:rsidR="001372AE" w:rsidRDefault="001372AE" w:rsidP="00045187">
      <w:pPr>
        <w:pStyle w:val="FootnoteText"/>
        <w:rPr>
          <w:rStyle w:val="FootnoteReference"/>
        </w:rPr>
      </w:pPr>
      <w:r w:rsidRPr="00045187">
        <w:rPr>
          <w:rStyle w:val="FootnoteReference"/>
        </w:rPr>
        <w:footnoteRef/>
      </w:r>
      <w:r w:rsidRPr="00045187">
        <w:rPr>
          <w:rStyle w:val="FootnoteReference"/>
        </w:rPr>
        <w:t xml:space="preserve"> </w:t>
      </w:r>
      <w:r w:rsidRPr="000273E4">
        <w:t xml:space="preserve"> Ibid.</w:t>
      </w:r>
    </w:p>
  </w:footnote>
  <w:footnote w:id="78">
    <w:p w14:paraId="27E7E54F" w14:textId="77777777" w:rsidR="001372AE" w:rsidRPr="00045187" w:rsidRDefault="001372AE" w:rsidP="00045187">
      <w:pPr>
        <w:pStyle w:val="FootnoteText"/>
        <w:rPr>
          <w:rStyle w:val="FootnoteReference"/>
        </w:rPr>
      </w:pPr>
      <w:r w:rsidRPr="0F1F7F44">
        <w:rPr>
          <w:rStyle w:val="FootnoteReference"/>
        </w:rPr>
        <w:footnoteRef/>
      </w:r>
      <w:r w:rsidRPr="00045187">
        <w:rPr>
          <w:rStyle w:val="FootnoteReference"/>
        </w:rPr>
        <w:t xml:space="preserve"> </w:t>
      </w:r>
      <w:r w:rsidRPr="00FB1E9D">
        <w:t xml:space="preserve">Comments of </w:t>
      </w:r>
      <w:r w:rsidRPr="00045187">
        <w:t>Southern California Edison Company on Proposed Decision Establishing an Electrification Pilot Initiative for Mobilehome Parks, November 6, 2025, at 2.</w:t>
      </w:r>
    </w:p>
  </w:footnote>
  <w:footnote w:id="79">
    <w:p w14:paraId="0654C8AA" w14:textId="77777777" w:rsidR="001372AE" w:rsidRDefault="001372AE" w:rsidP="00045187">
      <w:pPr>
        <w:pStyle w:val="FootnoteText"/>
        <w:rPr>
          <w:rStyle w:val="FootnoteReference"/>
        </w:rPr>
      </w:pPr>
      <w:r w:rsidRPr="2E8BAD89">
        <w:rPr>
          <w:rStyle w:val="FootnoteReference"/>
        </w:rPr>
        <w:footnoteRef/>
      </w:r>
      <w:r w:rsidRPr="00045187">
        <w:rPr>
          <w:rStyle w:val="FootnoteReference"/>
        </w:rPr>
        <w:t xml:space="preserve"> </w:t>
      </w:r>
      <w:r w:rsidRPr="00FB1E9D">
        <w:t>Id., at iii.</w:t>
      </w:r>
    </w:p>
  </w:footnote>
  <w:footnote w:id="80">
    <w:p w14:paraId="7DA2E7BD" w14:textId="77777777" w:rsidR="001372AE" w:rsidRDefault="001372AE" w:rsidP="00045187">
      <w:pPr>
        <w:pStyle w:val="FootnoteText"/>
        <w:rPr>
          <w:rStyle w:val="FootnoteReference"/>
        </w:rPr>
      </w:pPr>
      <w:r w:rsidRPr="00045187">
        <w:rPr>
          <w:rStyle w:val="FootnoteReference"/>
        </w:rPr>
        <w:footnoteRef/>
      </w:r>
      <w:r w:rsidRPr="00045187">
        <w:rPr>
          <w:rStyle w:val="FootnoteReference"/>
        </w:rPr>
        <w:t xml:space="preserve"> </w:t>
      </w:r>
      <w:r w:rsidRPr="00354B9C">
        <w:t>Reply Comments of Vermont Energy Investment Corporation to the Proposed Decision Establishing an Electrification Pilot Initiative for Mobile Home Parks, November 6, 2026, at 5.</w:t>
      </w:r>
    </w:p>
  </w:footnote>
  <w:footnote w:id="81">
    <w:p w14:paraId="6DA13086" w14:textId="77777777" w:rsidR="001372AE" w:rsidRDefault="001372AE" w:rsidP="00045187">
      <w:pPr>
        <w:pStyle w:val="FootnoteText"/>
        <w:rPr>
          <w:rStyle w:val="FootnoteReference"/>
        </w:rPr>
      </w:pPr>
      <w:r w:rsidRPr="3368DB04">
        <w:rPr>
          <w:rStyle w:val="FootnoteReference"/>
        </w:rPr>
        <w:footnoteRef/>
      </w:r>
      <w:r w:rsidRPr="00045187">
        <w:rPr>
          <w:rStyle w:val="FootnoteReference"/>
        </w:rPr>
        <w:t xml:space="preserve"> </w:t>
      </w:r>
      <w:r w:rsidRPr="00354B9C">
        <w:t>Ibid.</w:t>
      </w:r>
    </w:p>
  </w:footnote>
  <w:footnote w:id="82">
    <w:p w14:paraId="5BCF700D" w14:textId="33844E2B" w:rsidR="001372AE" w:rsidRDefault="001372AE" w:rsidP="001372AE">
      <w:pPr>
        <w:pStyle w:val="FootnoteText"/>
      </w:pPr>
      <w:r>
        <w:rPr>
          <w:rStyle w:val="FootnoteReference"/>
        </w:rPr>
        <w:footnoteRef/>
      </w:r>
      <w:r>
        <w:t xml:space="preserve"> SoCalGas Comments to the Proposed Decision, November 6, 2025,at 2.</w:t>
      </w:r>
    </w:p>
  </w:footnote>
  <w:footnote w:id="83">
    <w:p w14:paraId="400A87CD" w14:textId="5F7E1F1C" w:rsidR="001372AE" w:rsidRDefault="001372AE" w:rsidP="001372AE">
      <w:pPr>
        <w:pStyle w:val="FootnoteText"/>
      </w:pPr>
      <w:r>
        <w:rPr>
          <w:rStyle w:val="FootnoteReference"/>
        </w:rPr>
        <w:footnoteRef/>
      </w:r>
      <w:r>
        <w:t xml:space="preserve"> </w:t>
      </w:r>
      <w:r w:rsidRPr="00045187">
        <w:rPr>
          <w:i/>
          <w:iCs/>
        </w:rPr>
        <w:t>Ibid</w:t>
      </w:r>
      <w:r>
        <w:t>.</w:t>
      </w:r>
    </w:p>
  </w:footnote>
  <w:footnote w:id="84">
    <w:p w14:paraId="6F089E95" w14:textId="77777777" w:rsidR="001372AE" w:rsidRDefault="001372AE" w:rsidP="001372AE">
      <w:pPr>
        <w:pStyle w:val="FootnoteText"/>
      </w:pPr>
      <w:r>
        <w:rPr>
          <w:rStyle w:val="FootnoteReference"/>
        </w:rPr>
        <w:footnoteRef/>
      </w:r>
      <w:r>
        <w:t xml:space="preserve"> </w:t>
      </w:r>
      <w:r w:rsidRPr="00045187">
        <w:rPr>
          <w:i/>
          <w:iCs/>
        </w:rPr>
        <w:t>Id.,</w:t>
      </w:r>
      <w:r>
        <w:t xml:space="preserve"> at 3 and 4.</w:t>
      </w:r>
    </w:p>
  </w:footnote>
  <w:footnote w:id="85">
    <w:p w14:paraId="38B8B589" w14:textId="77777777" w:rsidR="001372AE" w:rsidRDefault="001372AE" w:rsidP="001372AE">
      <w:pPr>
        <w:pStyle w:val="FootnoteText"/>
      </w:pPr>
      <w:r>
        <w:rPr>
          <w:rStyle w:val="FootnoteReference"/>
        </w:rPr>
        <w:footnoteRef/>
      </w:r>
      <w:r>
        <w:t xml:space="preserve"> Uniform </w:t>
      </w:r>
      <w:r w:rsidRPr="00C20FD3">
        <w:rPr>
          <w:rFonts w:eastAsia="Book Antiqua" w:cs="Book Antiqua"/>
        </w:rPr>
        <w:t xml:space="preserve">Statutory Rule Against Perpetuities. Probate Code secs. 21205 </w:t>
      </w:r>
      <w:r>
        <w:rPr>
          <w:rFonts w:eastAsia="Book Antiqua" w:cs="Book Antiqua"/>
        </w:rPr>
        <w:t>–</w:t>
      </w:r>
      <w:r w:rsidRPr="00C20FD3">
        <w:rPr>
          <w:rFonts w:eastAsia="Book Antiqua" w:cs="Book Antiqua"/>
        </w:rPr>
        <w:t xml:space="preserve"> 21209</w:t>
      </w:r>
      <w:r>
        <w:rPr>
          <w:rFonts w:eastAsia="Book Antiqua" w:cs="Book Antiq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28E8" w14:textId="77777777" w:rsidR="001372AE" w:rsidRDefault="001372AE" w:rsidP="00F92385">
    <w:pPr>
      <w:pStyle w:val="Header"/>
      <w:ind w:firstLine="0"/>
      <w:rPr>
        <w:i/>
        <w:color w:val="FF0000"/>
      </w:rPr>
    </w:pPr>
  </w:p>
  <w:p w14:paraId="5D43017B" w14:textId="77777777" w:rsidR="001372AE" w:rsidRPr="00F92385" w:rsidRDefault="001372AE"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3675" w14:textId="77777777" w:rsidR="001372AE" w:rsidRDefault="001372AE" w:rsidP="00EE4315">
    <w:pPr>
      <w:pStyle w:val="Header"/>
      <w:tabs>
        <w:tab w:val="clear" w:pos="4680"/>
      </w:tabs>
      <w:ind w:firstLine="0"/>
      <w:rPr>
        <w:b/>
      </w:rPr>
    </w:pPr>
    <w:r>
      <w:t>R.18-04-</w:t>
    </w:r>
    <w:proofErr w:type="gramStart"/>
    <w:r>
      <w:t>018  ALJ</w:t>
    </w:r>
    <w:proofErr w:type="gramEnd"/>
    <w:r>
      <w:t>/HCF/</w:t>
    </w:r>
    <w:proofErr w:type="spellStart"/>
    <w:r>
      <w:t>asf</w:t>
    </w:r>
    <w:proofErr w:type="spellEnd"/>
    <w:r>
      <w:tab/>
    </w:r>
    <w:r>
      <w:rPr>
        <w:b/>
      </w:rPr>
      <w:t>PROPOSED DECISION (Rev. 1)</w:t>
    </w:r>
  </w:p>
  <w:p w14:paraId="3DD2E5BE" w14:textId="77777777" w:rsidR="001372AE" w:rsidRDefault="001372AE" w:rsidP="00B3087D">
    <w:pPr>
      <w:pStyle w:val="Header"/>
      <w:tabs>
        <w:tab w:val="clear" w:pos="4680"/>
      </w:tabs>
      <w:ind w:firstLine="0"/>
      <w:rPr>
        <w:i/>
        <w:color w:val="FF0000"/>
      </w:rPr>
    </w:pPr>
  </w:p>
  <w:p w14:paraId="5EC48F8D" w14:textId="77777777" w:rsidR="001372AE" w:rsidRPr="00B3087D" w:rsidRDefault="001372AE" w:rsidP="00B3087D">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5729" w14:textId="77777777" w:rsidR="00D40328" w:rsidRDefault="00D40328" w:rsidP="00D40328">
    <w:pPr>
      <w:pStyle w:val="Header"/>
      <w:tabs>
        <w:tab w:val="clear" w:pos="4680"/>
      </w:tabs>
      <w:ind w:firstLine="0"/>
      <w:rPr>
        <w:b/>
      </w:rPr>
    </w:pPr>
    <w:r>
      <w:t>R.18-04-</w:t>
    </w:r>
    <w:proofErr w:type="gramStart"/>
    <w:r>
      <w:t>018  ALJ</w:t>
    </w:r>
    <w:proofErr w:type="gramEnd"/>
    <w:r>
      <w:t>/HCF/</w:t>
    </w:r>
    <w:proofErr w:type="spellStart"/>
    <w:r>
      <w:t>asf</w:t>
    </w:r>
    <w:proofErr w:type="spellEnd"/>
    <w:r>
      <w:tab/>
    </w:r>
    <w:r>
      <w:rPr>
        <w:b/>
      </w:rPr>
      <w:t>PROPOSED DECISION (Rev. 1)</w:t>
    </w:r>
  </w:p>
  <w:p w14:paraId="757CC125" w14:textId="760F4619" w:rsidR="00FE2351" w:rsidRPr="00D40328" w:rsidRDefault="00FE2351" w:rsidP="00B3087D">
    <w:pPr>
      <w:pStyle w:val="Header"/>
      <w:tabs>
        <w:tab w:val="clear" w:pos="4680"/>
      </w:tabs>
      <w:ind w:firstLine="0"/>
      <w:rPr>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012394"/>
    <w:multiLevelType w:val="hybridMultilevel"/>
    <w:tmpl w:val="151C4E38"/>
    <w:lvl w:ilvl="0" w:tplc="53B0112C">
      <w:start w:val="1"/>
      <w:numFmt w:val="decimal"/>
      <w:lvlText w:val="%1."/>
      <w:lvlJc w:val="left"/>
      <w:pPr>
        <w:ind w:left="720" w:hanging="360"/>
      </w:pPr>
    </w:lvl>
    <w:lvl w:ilvl="1" w:tplc="06BA68AE">
      <w:start w:val="1"/>
      <w:numFmt w:val="lowerLetter"/>
      <w:lvlText w:val="%2."/>
      <w:lvlJc w:val="left"/>
      <w:pPr>
        <w:ind w:left="1440" w:hanging="360"/>
      </w:pPr>
    </w:lvl>
    <w:lvl w:ilvl="2" w:tplc="3B4C4284">
      <w:start w:val="1"/>
      <w:numFmt w:val="lowerRoman"/>
      <w:lvlText w:val="%3."/>
      <w:lvlJc w:val="right"/>
      <w:pPr>
        <w:ind w:left="2160" w:hanging="180"/>
      </w:pPr>
    </w:lvl>
    <w:lvl w:ilvl="3" w:tplc="49A6E91C">
      <w:start w:val="1"/>
      <w:numFmt w:val="decimal"/>
      <w:lvlText w:val="%4."/>
      <w:lvlJc w:val="left"/>
      <w:pPr>
        <w:ind w:left="2880" w:hanging="360"/>
      </w:pPr>
    </w:lvl>
    <w:lvl w:ilvl="4" w:tplc="85B26F90">
      <w:start w:val="1"/>
      <w:numFmt w:val="lowerLetter"/>
      <w:lvlText w:val="%5."/>
      <w:lvlJc w:val="left"/>
      <w:pPr>
        <w:ind w:left="3600" w:hanging="360"/>
      </w:pPr>
    </w:lvl>
    <w:lvl w:ilvl="5" w:tplc="45C64E12">
      <w:start w:val="1"/>
      <w:numFmt w:val="lowerRoman"/>
      <w:lvlText w:val="%6."/>
      <w:lvlJc w:val="right"/>
      <w:pPr>
        <w:ind w:left="4320" w:hanging="180"/>
      </w:pPr>
    </w:lvl>
    <w:lvl w:ilvl="6" w:tplc="875EA062">
      <w:start w:val="1"/>
      <w:numFmt w:val="decimal"/>
      <w:lvlText w:val="%7."/>
      <w:lvlJc w:val="left"/>
      <w:pPr>
        <w:ind w:left="5040" w:hanging="360"/>
      </w:pPr>
    </w:lvl>
    <w:lvl w:ilvl="7" w:tplc="699AC164">
      <w:start w:val="1"/>
      <w:numFmt w:val="lowerLetter"/>
      <w:lvlText w:val="%8."/>
      <w:lvlJc w:val="left"/>
      <w:pPr>
        <w:ind w:left="5760" w:hanging="360"/>
      </w:pPr>
    </w:lvl>
    <w:lvl w:ilvl="8" w:tplc="8F5C2700">
      <w:start w:val="1"/>
      <w:numFmt w:val="lowerRoman"/>
      <w:lvlText w:val="%9."/>
      <w:lvlJc w:val="right"/>
      <w:pPr>
        <w:ind w:left="6480" w:hanging="18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AF52D6F"/>
    <w:multiLevelType w:val="multilevel"/>
    <w:tmpl w:val="6ABAE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8124D7"/>
    <w:multiLevelType w:val="multilevel"/>
    <w:tmpl w:val="3C526EDE"/>
    <w:numStyleLink w:val="Headings"/>
  </w:abstractNum>
  <w:abstractNum w:abstractNumId="11"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34C075D9"/>
    <w:multiLevelType w:val="hybridMultilevel"/>
    <w:tmpl w:val="2D626C84"/>
    <w:lvl w:ilvl="0" w:tplc="6360E0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616B5"/>
    <w:multiLevelType w:val="multilevel"/>
    <w:tmpl w:val="6ABAE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3C526EDE"/>
    <w:numStyleLink w:val="Headings"/>
  </w:abstractNum>
  <w:abstractNum w:abstractNumId="16" w15:restartNumberingAfterBreak="0">
    <w:nsid w:val="5E400D8B"/>
    <w:multiLevelType w:val="hybridMultilevel"/>
    <w:tmpl w:val="03B6A46C"/>
    <w:lvl w:ilvl="0" w:tplc="7E7E13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25780"/>
    <w:multiLevelType w:val="multilevel"/>
    <w:tmpl w:val="3C526EDE"/>
    <w:numStyleLink w:val="Headings"/>
  </w:abstractNum>
  <w:abstractNum w:abstractNumId="18" w15:restartNumberingAfterBreak="0">
    <w:nsid w:val="644A3E6A"/>
    <w:multiLevelType w:val="hybridMultilevel"/>
    <w:tmpl w:val="EDF80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3979CB"/>
    <w:multiLevelType w:val="hybridMultilevel"/>
    <w:tmpl w:val="76B0E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9A0AFE"/>
    <w:multiLevelType w:val="multilevel"/>
    <w:tmpl w:val="18F4A5AC"/>
    <w:numStyleLink w:val="FoFCoLOP"/>
  </w:abstractNum>
  <w:abstractNum w:abstractNumId="22" w15:restartNumberingAfterBreak="0">
    <w:nsid w:val="7D4230A0"/>
    <w:multiLevelType w:val="hybridMultilevel"/>
    <w:tmpl w:val="697A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526949">
    <w:abstractNumId w:val="15"/>
  </w:num>
  <w:num w:numId="2" w16cid:durableId="140774137">
    <w:abstractNumId w:val="2"/>
  </w:num>
  <w:num w:numId="3" w16cid:durableId="1898543446">
    <w:abstractNumId w:val="14"/>
  </w:num>
  <w:num w:numId="4" w16cid:durableId="701521005">
    <w:abstractNumId w:val="3"/>
  </w:num>
  <w:num w:numId="5" w16cid:durableId="2017029027">
    <w:abstractNumId w:val="21"/>
  </w:num>
  <w:num w:numId="6" w16cid:durableId="973756952">
    <w:abstractNumId w:val="11"/>
  </w:num>
  <w:num w:numId="7" w16cid:durableId="827667741">
    <w:abstractNumId w:val="6"/>
  </w:num>
  <w:num w:numId="8" w16cid:durableId="1760327020">
    <w:abstractNumId w:val="19"/>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10"/>
  </w:num>
  <w:num w:numId="15" w16cid:durableId="1714382259">
    <w:abstractNumId w:val="17"/>
  </w:num>
  <w:num w:numId="16"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7"/>
  </w:num>
  <w:num w:numId="18" w16cid:durableId="836072118">
    <w:abstractNumId w:val="20"/>
  </w:num>
  <w:num w:numId="19" w16cid:durableId="1673410325">
    <w:abstractNumId w:val="18"/>
  </w:num>
  <w:num w:numId="20" w16cid:durableId="387730752">
    <w:abstractNumId w:val="13"/>
  </w:num>
  <w:num w:numId="21" w16cid:durableId="977959581">
    <w:abstractNumId w:val="9"/>
  </w:num>
  <w:num w:numId="22" w16cid:durableId="1687831070">
    <w:abstractNumId w:val="12"/>
  </w:num>
  <w:num w:numId="23" w16cid:durableId="1221401980">
    <w:abstractNumId w:val="16"/>
  </w:num>
  <w:num w:numId="24" w16cid:durableId="2076856007">
    <w:abstractNumId w:val="22"/>
  </w:num>
  <w:num w:numId="25" w16cid:durableId="1174302816">
    <w:abstractNumId w:val="1"/>
  </w:num>
  <w:num w:numId="26" w16cid:durableId="1765803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9141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3281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80663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3195883">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99"/>
    <w:rsid w:val="00000F6A"/>
    <w:rsid w:val="00045187"/>
    <w:rsid w:val="0007115A"/>
    <w:rsid w:val="000973C8"/>
    <w:rsid w:val="000A2AA9"/>
    <w:rsid w:val="000A56F2"/>
    <w:rsid w:val="000A6E05"/>
    <w:rsid w:val="000B12FA"/>
    <w:rsid w:val="000C08BF"/>
    <w:rsid w:val="000C3B9A"/>
    <w:rsid w:val="000D049E"/>
    <w:rsid w:val="000D25A8"/>
    <w:rsid w:val="000E270A"/>
    <w:rsid w:val="000E4C53"/>
    <w:rsid w:val="000F48C6"/>
    <w:rsid w:val="00121089"/>
    <w:rsid w:val="001372AE"/>
    <w:rsid w:val="00164C76"/>
    <w:rsid w:val="00184A8F"/>
    <w:rsid w:val="001C363F"/>
    <w:rsid w:val="001E2A62"/>
    <w:rsid w:val="001F2819"/>
    <w:rsid w:val="002043EC"/>
    <w:rsid w:val="00243DC0"/>
    <w:rsid w:val="00247477"/>
    <w:rsid w:val="00270440"/>
    <w:rsid w:val="00284D8D"/>
    <w:rsid w:val="00287BC5"/>
    <w:rsid w:val="00293DEE"/>
    <w:rsid w:val="002A0B5D"/>
    <w:rsid w:val="002C7FE9"/>
    <w:rsid w:val="002D0DC5"/>
    <w:rsid w:val="002D4EFD"/>
    <w:rsid w:val="00315A97"/>
    <w:rsid w:val="00316071"/>
    <w:rsid w:val="00343E5C"/>
    <w:rsid w:val="00344FB8"/>
    <w:rsid w:val="0036017B"/>
    <w:rsid w:val="00362755"/>
    <w:rsid w:val="00373B93"/>
    <w:rsid w:val="00380CD1"/>
    <w:rsid w:val="003A02CA"/>
    <w:rsid w:val="003A38F0"/>
    <w:rsid w:val="003F069A"/>
    <w:rsid w:val="003F2D23"/>
    <w:rsid w:val="003F4329"/>
    <w:rsid w:val="00412534"/>
    <w:rsid w:val="00412C83"/>
    <w:rsid w:val="00426014"/>
    <w:rsid w:val="0044617E"/>
    <w:rsid w:val="0046078B"/>
    <w:rsid w:val="00460B7D"/>
    <w:rsid w:val="00473E10"/>
    <w:rsid w:val="00480CB0"/>
    <w:rsid w:val="00483603"/>
    <w:rsid w:val="00490DB9"/>
    <w:rsid w:val="004A1EAD"/>
    <w:rsid w:val="004A47BE"/>
    <w:rsid w:val="004B34EA"/>
    <w:rsid w:val="004B5494"/>
    <w:rsid w:val="004C7A2B"/>
    <w:rsid w:val="004C7D3A"/>
    <w:rsid w:val="005018A8"/>
    <w:rsid w:val="00505A39"/>
    <w:rsid w:val="005240BF"/>
    <w:rsid w:val="00585390"/>
    <w:rsid w:val="005939A5"/>
    <w:rsid w:val="005A148C"/>
    <w:rsid w:val="005C58FA"/>
    <w:rsid w:val="00603238"/>
    <w:rsid w:val="00632207"/>
    <w:rsid w:val="0063491C"/>
    <w:rsid w:val="00641A5C"/>
    <w:rsid w:val="00661AFE"/>
    <w:rsid w:val="00680F19"/>
    <w:rsid w:val="00683986"/>
    <w:rsid w:val="00683B2C"/>
    <w:rsid w:val="006C1F10"/>
    <w:rsid w:val="006E5E28"/>
    <w:rsid w:val="006E6574"/>
    <w:rsid w:val="00714CF2"/>
    <w:rsid w:val="007156B9"/>
    <w:rsid w:val="00720817"/>
    <w:rsid w:val="00722850"/>
    <w:rsid w:val="0073353F"/>
    <w:rsid w:val="00735A91"/>
    <w:rsid w:val="00742E45"/>
    <w:rsid w:val="007447AF"/>
    <w:rsid w:val="00750816"/>
    <w:rsid w:val="007657C1"/>
    <w:rsid w:val="0077755F"/>
    <w:rsid w:val="007A406D"/>
    <w:rsid w:val="007A62B0"/>
    <w:rsid w:val="007C5A0C"/>
    <w:rsid w:val="007E0FEE"/>
    <w:rsid w:val="007F2017"/>
    <w:rsid w:val="0080390E"/>
    <w:rsid w:val="008159CF"/>
    <w:rsid w:val="00816E05"/>
    <w:rsid w:val="008339BB"/>
    <w:rsid w:val="0086419A"/>
    <w:rsid w:val="0087023B"/>
    <w:rsid w:val="008A08BF"/>
    <w:rsid w:val="008A179F"/>
    <w:rsid w:val="008B0864"/>
    <w:rsid w:val="008B175A"/>
    <w:rsid w:val="008C3CB7"/>
    <w:rsid w:val="008C7413"/>
    <w:rsid w:val="008D16B7"/>
    <w:rsid w:val="008E6AE6"/>
    <w:rsid w:val="008F0116"/>
    <w:rsid w:val="008F143D"/>
    <w:rsid w:val="00932865"/>
    <w:rsid w:val="0098138E"/>
    <w:rsid w:val="0098655A"/>
    <w:rsid w:val="009A6E36"/>
    <w:rsid w:val="009B2B6F"/>
    <w:rsid w:val="009E6052"/>
    <w:rsid w:val="009E7C7F"/>
    <w:rsid w:val="00A17CE0"/>
    <w:rsid w:val="00A21C42"/>
    <w:rsid w:val="00A23D48"/>
    <w:rsid w:val="00A42306"/>
    <w:rsid w:val="00A44E8D"/>
    <w:rsid w:val="00A46EA8"/>
    <w:rsid w:val="00A55ACD"/>
    <w:rsid w:val="00A85D27"/>
    <w:rsid w:val="00AB7875"/>
    <w:rsid w:val="00AC68EE"/>
    <w:rsid w:val="00B01F7E"/>
    <w:rsid w:val="00B16C2A"/>
    <w:rsid w:val="00B3087D"/>
    <w:rsid w:val="00B34794"/>
    <w:rsid w:val="00B60421"/>
    <w:rsid w:val="00B81EB6"/>
    <w:rsid w:val="00BB0243"/>
    <w:rsid w:val="00C10B5F"/>
    <w:rsid w:val="00C878D5"/>
    <w:rsid w:val="00C9033B"/>
    <w:rsid w:val="00C913A1"/>
    <w:rsid w:val="00CC6A99"/>
    <w:rsid w:val="00D00AA3"/>
    <w:rsid w:val="00D0504E"/>
    <w:rsid w:val="00D07F73"/>
    <w:rsid w:val="00D14844"/>
    <w:rsid w:val="00D2041C"/>
    <w:rsid w:val="00D25ADE"/>
    <w:rsid w:val="00D40328"/>
    <w:rsid w:val="00D43297"/>
    <w:rsid w:val="00D44DB6"/>
    <w:rsid w:val="00D50119"/>
    <w:rsid w:val="00D82A43"/>
    <w:rsid w:val="00D908A5"/>
    <w:rsid w:val="00DA7B5D"/>
    <w:rsid w:val="00DF58E7"/>
    <w:rsid w:val="00E11876"/>
    <w:rsid w:val="00E23CBB"/>
    <w:rsid w:val="00E37B59"/>
    <w:rsid w:val="00E47FF5"/>
    <w:rsid w:val="00E53438"/>
    <w:rsid w:val="00E725FC"/>
    <w:rsid w:val="00EA36C6"/>
    <w:rsid w:val="00EC30F9"/>
    <w:rsid w:val="00ED5725"/>
    <w:rsid w:val="00ED7031"/>
    <w:rsid w:val="00EE3060"/>
    <w:rsid w:val="00EE4315"/>
    <w:rsid w:val="00EF4F8B"/>
    <w:rsid w:val="00EF6925"/>
    <w:rsid w:val="00F12118"/>
    <w:rsid w:val="00F26ED3"/>
    <w:rsid w:val="00F62B7A"/>
    <w:rsid w:val="00F6397D"/>
    <w:rsid w:val="00F7293E"/>
    <w:rsid w:val="00F76650"/>
    <w:rsid w:val="00F9187B"/>
    <w:rsid w:val="00F92385"/>
    <w:rsid w:val="00FA1B4F"/>
    <w:rsid w:val="00FC47F9"/>
    <w:rsid w:val="00FE2351"/>
    <w:rsid w:val="00FE337D"/>
    <w:rsid w:val="00FE5580"/>
    <w:rsid w:val="00FF110C"/>
    <w:rsid w:val="00FF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5018"/>
  <w15:chartTrackingRefBased/>
  <w15:docId w15:val="{ACD1BBC6-2525-4FC4-9DA0-41ABFC0C63E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Char2 Cha"/>
    <w:basedOn w:val="Normal"/>
    <w:link w:val="FootnoteTextChar"/>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Char2 Cha Char"/>
    <w:basedOn w:val="DefaultParagraphFont"/>
    <w:link w:val="FootnoteText"/>
    <w:rsid w:val="007657C1"/>
    <w:rPr>
      <w:rFonts w:ascii="Book Antiqua" w:hAnsi="Book Antiqua"/>
      <w:szCs w:val="20"/>
    </w:rPr>
  </w:style>
  <w:style w:type="character" w:styleId="FootnoteReference">
    <w:name w:val="footnote reference"/>
    <w:aliases w:val="char,o,fr,o1,o2,o3,o4,o5,o6,o11,o21,o7 + Palati...,o7,Char Char Char Char"/>
    <w:basedOn w:val="DefaultParagraphFont"/>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NormalWeb">
    <w:name w:val="Normal (Web)"/>
    <w:basedOn w:val="Normal"/>
    <w:uiPriority w:val="99"/>
    <w:unhideWhenUsed/>
    <w:rsid w:val="001372AE"/>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1372AE"/>
    <w:pPr>
      <w:spacing w:after="160" w:line="259" w:lineRule="auto"/>
      <w:ind w:left="720" w:firstLine="0"/>
      <w:contextualSpacing/>
    </w:pPr>
    <w:rPr>
      <w:rFonts w:asciiTheme="minorHAnsi" w:hAnsiTheme="minorHAnsi"/>
      <w:kern w:val="2"/>
      <w:sz w:val="22"/>
      <w14:ligatures w14:val="standardContextual"/>
    </w:rPr>
  </w:style>
  <w:style w:type="paragraph" w:customStyle="1" w:styleId="paragraph">
    <w:name w:val="paragraph"/>
    <w:basedOn w:val="Normal"/>
    <w:rsid w:val="001372AE"/>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1372AE"/>
  </w:style>
  <w:style w:type="character" w:customStyle="1" w:styleId="eop">
    <w:name w:val="eop"/>
    <w:basedOn w:val="DefaultParagraphFont"/>
    <w:rsid w:val="001372AE"/>
  </w:style>
  <w:style w:type="character" w:customStyle="1" w:styleId="superscript">
    <w:name w:val="superscript"/>
    <w:basedOn w:val="DefaultParagraphFont"/>
    <w:rsid w:val="001372AE"/>
  </w:style>
  <w:style w:type="paragraph" w:styleId="Revision">
    <w:name w:val="Revision"/>
    <w:hidden/>
    <w:uiPriority w:val="99"/>
    <w:semiHidden/>
    <w:rsid w:val="001372AE"/>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1372AE"/>
    <w:rPr>
      <w:sz w:val="16"/>
      <w:szCs w:val="16"/>
    </w:rPr>
  </w:style>
  <w:style w:type="paragraph" w:styleId="CommentText">
    <w:name w:val="annotation text"/>
    <w:basedOn w:val="Normal"/>
    <w:link w:val="CommentTextChar"/>
    <w:uiPriority w:val="99"/>
    <w:unhideWhenUsed/>
    <w:rsid w:val="001372AE"/>
    <w:pPr>
      <w:spacing w:line="240" w:lineRule="auto"/>
    </w:pPr>
    <w:rPr>
      <w:sz w:val="20"/>
      <w:szCs w:val="20"/>
    </w:rPr>
  </w:style>
  <w:style w:type="character" w:customStyle="1" w:styleId="CommentTextChar">
    <w:name w:val="Comment Text Char"/>
    <w:basedOn w:val="DefaultParagraphFont"/>
    <w:link w:val="CommentText"/>
    <w:uiPriority w:val="99"/>
    <w:rsid w:val="001372AE"/>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1372AE"/>
    <w:rPr>
      <w:b/>
      <w:bCs/>
    </w:rPr>
  </w:style>
  <w:style w:type="character" w:customStyle="1" w:styleId="CommentSubjectChar">
    <w:name w:val="Comment Subject Char"/>
    <w:basedOn w:val="CommentTextChar"/>
    <w:link w:val="CommentSubject"/>
    <w:uiPriority w:val="99"/>
    <w:semiHidden/>
    <w:rsid w:val="001372AE"/>
    <w:rPr>
      <w:rFonts w:ascii="Book Antiqua" w:hAnsi="Book Antiqua"/>
      <w:b/>
      <w:bCs/>
      <w:sz w:val="20"/>
      <w:szCs w:val="20"/>
    </w:rPr>
  </w:style>
  <w:style w:type="paragraph" w:styleId="Caption">
    <w:name w:val="caption"/>
    <w:basedOn w:val="Normal"/>
    <w:next w:val="Normal"/>
    <w:uiPriority w:val="35"/>
    <w:unhideWhenUsed/>
    <w:qFormat/>
    <w:rsid w:val="001372AE"/>
    <w:pPr>
      <w:spacing w:before="120" w:after="240"/>
      <w:ind w:firstLine="0"/>
      <w:jc w:val="center"/>
    </w:pPr>
    <w:rPr>
      <w:rFonts w:ascii="Century Gothic" w:hAnsi="Century Gothic" w:cs="Times New Roman (Headings CS)"/>
      <w:iCs/>
      <w:noProof/>
      <w:kern w:val="24"/>
      <w:sz w:val="20"/>
      <w:szCs w:val="18"/>
      <w14:ligatures w14:val="standardContextual"/>
    </w:rPr>
  </w:style>
  <w:style w:type="character" w:styleId="Mention">
    <w:name w:val="Mention"/>
    <w:basedOn w:val="DefaultParagraphFont"/>
    <w:uiPriority w:val="99"/>
    <w:unhideWhenUsed/>
    <w:rsid w:val="001372AE"/>
    <w:rPr>
      <w:color w:val="2B579A"/>
      <w:shd w:val="clear" w:color="auto" w:fill="E1DFDD"/>
    </w:rPr>
  </w:style>
  <w:style w:type="character" w:styleId="UnresolvedMention">
    <w:name w:val="Unresolved Mention"/>
    <w:basedOn w:val="DefaultParagraphFont"/>
    <w:uiPriority w:val="99"/>
    <w:semiHidden/>
    <w:unhideWhenUsed/>
    <w:rsid w:val="001372AE"/>
    <w:rPr>
      <w:color w:val="605E5C"/>
      <w:shd w:val="clear" w:color="auto" w:fill="E1DFDD"/>
    </w:rPr>
  </w:style>
  <w:style w:type="character" w:styleId="FollowedHyperlink">
    <w:name w:val="FollowedHyperlink"/>
    <w:basedOn w:val="DefaultParagraphFont"/>
    <w:uiPriority w:val="99"/>
    <w:semiHidden/>
    <w:unhideWhenUsed/>
    <w:rsid w:val="001372AE"/>
    <w:rPr>
      <w:color w:val="954F72" w:themeColor="followedHyperlink"/>
      <w:u w:val="single"/>
    </w:rPr>
  </w:style>
  <w:style w:type="character" w:customStyle="1" w:styleId="tabchar">
    <w:name w:val="tabchar"/>
    <w:basedOn w:val="DefaultParagraphFont"/>
    <w:rsid w:val="00137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87/K925/587925028.pdf" TargetMode="External" Id="Re9daaebe416244de" /></Relationships>
</file>

<file path=word/_rels/footnotes.xml.rels><?xml version="1.0" encoding="UTF-8" standalone="yes"?>
<Relationships xmlns="http://schemas.openxmlformats.org/package/2006/relationships"><Relationship Id="rId2" Type="http://schemas.openxmlformats.org/officeDocument/2006/relationships/hyperlink" Target="https://www.energy.gov/articles/biden-harris-administration-announces-state-and-tribe-allocations-home-energy-rebate" TargetMode="External"/><Relationship Id="rId1" Type="http://schemas.openxmlformats.org/officeDocument/2006/relationships/hyperlink" Target="https://pucdc.org/wp-content/uploads/2022/05/California-Endowment-Housing-Reports.pdf%20at%2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60</ap:Pages>
  <ap:Words>14329</ap:Words>
  <ap:Characters>81676</ap:Characters>
  <ap:Application>Microsoft Office Word</ap:Application>
  <ap:DocSecurity>0</ap:DocSecurity>
  <ap:Lines>680</ap:Lines>
  <ap:Paragraphs>191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95814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2025-11-19T13:37:37Z</dcterms:created>
  <dcterms:modified xsi:type="dcterms:W3CDTF">2025-11-19T13:37:37Z</dcterms:modified>
</cp:coreProperties>
</file>