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F5F73" w:rsidR="00F705D0" w:rsidP="00890539" w:rsidRDefault="00F705D0" w14:paraId="336792F2" w14:textId="7F6E2797">
      <w:pPr>
        <w:spacing w:line="240" w:lineRule="auto"/>
        <w:ind w:right="-126" w:firstLine="0"/>
        <w:rPr>
          <w:rFonts w:eastAsia="Times New Roman" w:cs="Times New Roman"/>
          <w:bCs/>
          <w:szCs w:val="26"/>
        </w:rPr>
      </w:pPr>
      <w:r w:rsidRPr="008F5F73">
        <w:rPr>
          <w:szCs w:val="26"/>
        </w:rPr>
        <w:t>COM/KDL/cmf</w:t>
      </w:r>
      <w:r w:rsidRPr="008F5F73" w:rsidR="008F5F73">
        <w:rPr>
          <w:szCs w:val="26"/>
        </w:rPr>
        <w:tab/>
      </w:r>
      <w:r w:rsidRPr="008F5F73">
        <w:rPr>
          <w:szCs w:val="26"/>
        </w:rPr>
        <w:tab/>
      </w:r>
      <w:r w:rsidRPr="008F5F73">
        <w:rPr>
          <w:rFonts w:cs="Arial"/>
          <w:b/>
          <w:szCs w:val="26"/>
        </w:rPr>
        <w:t>PROPOSED DECISION</w:t>
      </w:r>
      <w:r w:rsidRPr="008F5F73" w:rsidR="008F5F73">
        <w:rPr>
          <w:rFonts w:cs="Arial"/>
          <w:b/>
          <w:szCs w:val="26"/>
        </w:rPr>
        <w:t xml:space="preserve">     </w:t>
      </w:r>
      <w:r w:rsidR="008F5F73">
        <w:rPr>
          <w:rFonts w:cs="Arial"/>
          <w:b/>
          <w:szCs w:val="26"/>
        </w:rPr>
        <w:t xml:space="preserve">   </w:t>
      </w:r>
      <w:r w:rsidRPr="008F5F73">
        <w:rPr>
          <w:bCs/>
          <w:szCs w:val="26"/>
        </w:rPr>
        <w:t>Agenda ID #</w:t>
      </w:r>
      <w:r w:rsidRPr="008F5F73" w:rsidR="000743C0">
        <w:rPr>
          <w:bCs/>
          <w:szCs w:val="26"/>
        </w:rPr>
        <w:t>23725</w:t>
      </w:r>
      <w:r w:rsidRPr="008F5F73" w:rsidR="008F5F73">
        <w:rPr>
          <w:bCs/>
          <w:szCs w:val="26"/>
        </w:rPr>
        <w:t xml:space="preserve"> (Rev. 1)</w:t>
      </w:r>
    </w:p>
    <w:p w:rsidRPr="008F5F73" w:rsidR="00F705D0" w:rsidP="00F705D0" w:rsidRDefault="00F705D0" w14:paraId="277D1E64" w14:textId="77777777">
      <w:pPr>
        <w:spacing w:line="240" w:lineRule="auto"/>
        <w:jc w:val="right"/>
        <w:rPr>
          <w:bCs/>
          <w:szCs w:val="26"/>
        </w:rPr>
      </w:pPr>
      <w:r w:rsidRPr="008F5F73">
        <w:rPr>
          <w:bCs/>
          <w:szCs w:val="26"/>
        </w:rPr>
        <w:t>Quasi-legislative</w:t>
      </w:r>
    </w:p>
    <w:p w:rsidRPr="008F5F73" w:rsidR="00F705D0" w:rsidP="00F705D0" w:rsidRDefault="000743C0" w14:paraId="6E5CBF0F" w14:textId="3755BFE5">
      <w:pPr>
        <w:spacing w:line="240" w:lineRule="auto"/>
        <w:jc w:val="right"/>
        <w:rPr>
          <w:bCs/>
          <w:szCs w:val="26"/>
        </w:rPr>
      </w:pPr>
      <w:r w:rsidRPr="008F5F73">
        <w:rPr>
          <w:bCs/>
          <w:szCs w:val="26"/>
        </w:rPr>
        <w:t>1</w:t>
      </w:r>
      <w:r w:rsidR="00217A4B">
        <w:rPr>
          <w:bCs/>
          <w:szCs w:val="26"/>
        </w:rPr>
        <w:t>1/20</w:t>
      </w:r>
      <w:r w:rsidRPr="008F5F73">
        <w:rPr>
          <w:bCs/>
          <w:szCs w:val="26"/>
        </w:rPr>
        <w:t>/2025 Item #</w:t>
      </w:r>
      <w:r w:rsidR="00217A4B">
        <w:rPr>
          <w:bCs/>
          <w:szCs w:val="26"/>
        </w:rPr>
        <w:t>2</w:t>
      </w:r>
    </w:p>
    <w:p w:rsidRPr="008F5F73" w:rsidR="000743C0" w:rsidP="008F5F73" w:rsidRDefault="000743C0" w14:paraId="636F6E0E" w14:textId="77777777">
      <w:pPr>
        <w:spacing w:line="240" w:lineRule="auto"/>
        <w:ind w:left="1080" w:hanging="1080"/>
        <w:rPr>
          <w:bCs/>
        </w:rPr>
      </w:pPr>
    </w:p>
    <w:p w:rsidR="00DA7B5D" w:rsidP="008F5F73" w:rsidRDefault="00840A0C" w14:paraId="79C390FE" w14:textId="2B1B1C82">
      <w:pPr>
        <w:spacing w:line="240" w:lineRule="auto"/>
        <w:ind w:left="1080" w:hanging="1080"/>
      </w:pPr>
      <w:r w:rsidRPr="00950006">
        <w:t xml:space="preserve">Decision </w:t>
      </w:r>
      <w:r w:rsidR="003803DC">
        <w:t>________</w:t>
      </w:r>
    </w:p>
    <w:p w:rsidR="008F5F73" w:rsidP="008F5F73" w:rsidRDefault="008F5F73" w14:paraId="66A3178F" w14:textId="77777777">
      <w:pPr>
        <w:spacing w:line="240" w:lineRule="auto"/>
        <w:ind w:left="1080" w:hanging="1080"/>
      </w:pPr>
    </w:p>
    <w:p w:rsidR="000743C0" w:rsidP="008F5F73" w:rsidRDefault="000743C0" w14:paraId="1F1AF78D" w14:textId="77777777">
      <w:pPr>
        <w:spacing w:line="240" w:lineRule="auto"/>
        <w:ind w:left="1080" w:hanging="1080"/>
        <w:rPr>
          <w:u w:val="single"/>
        </w:rPr>
      </w:pPr>
    </w:p>
    <w:p w:rsidR="00DA7B5D" w:rsidP="00BB0243" w:rsidRDefault="00DA7B5D" w14:paraId="5E9E481F"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7941C42B"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680"/>
        <w:gridCol w:w="4680"/>
      </w:tblGrid>
      <w:tr w:rsidR="00DA7B5D" w:rsidTr="00E725FC" w14:paraId="711F1D98" w14:textId="77777777">
        <w:trPr>
          <w:jc w:val="center"/>
        </w:trPr>
        <w:tc>
          <w:tcPr>
            <w:tcW w:w="5040" w:type="dxa"/>
            <w:tcBorders>
              <w:top w:val="nil"/>
              <w:left w:val="nil"/>
              <w:bottom w:val="single" w:color="auto" w:sz="4" w:space="0"/>
              <w:right w:val="single" w:color="auto" w:sz="4" w:space="0"/>
            </w:tcBorders>
          </w:tcPr>
          <w:p w:rsidR="00DA7B5D" w:rsidP="00C10B5F" w:rsidRDefault="00472C6B" w14:paraId="5E3BA30B" w14:textId="77777777">
            <w:pPr>
              <w:spacing w:line="240" w:lineRule="auto"/>
              <w:ind w:firstLine="0"/>
              <w:rPr>
                <w:rFonts w:cs="Arial"/>
                <w:szCs w:val="26"/>
              </w:rPr>
            </w:pPr>
            <w:r w:rsidRPr="00B801F5">
              <w:rPr>
                <w:rFonts w:cs="Arial"/>
                <w:szCs w:val="26"/>
              </w:rPr>
              <w:t>Order Instituting Rulemaking Regarding Policies, Procedures and Rules for the Self-Generation Incentive Program and Related Issues</w:t>
            </w:r>
            <w:r w:rsidR="003803DC">
              <w:rPr>
                <w:rFonts w:cs="Arial"/>
                <w:szCs w:val="26"/>
              </w:rPr>
              <w:t>.</w:t>
            </w:r>
          </w:p>
          <w:p w:rsidRPr="00DA7B5D" w:rsidR="003803DC" w:rsidP="00C10B5F" w:rsidRDefault="003803DC" w14:paraId="6B0FAFF0" w14:textId="0D3092C4">
            <w:pPr>
              <w:spacing w:line="240" w:lineRule="auto"/>
              <w:ind w:firstLine="0"/>
              <w:rPr>
                <w:rFonts w:cs="Arial"/>
                <w:szCs w:val="26"/>
              </w:rPr>
            </w:pPr>
          </w:p>
        </w:tc>
        <w:tc>
          <w:tcPr>
            <w:tcW w:w="5040" w:type="dxa"/>
            <w:tcBorders>
              <w:top w:val="nil"/>
              <w:left w:val="single" w:color="auto" w:sz="4" w:space="0"/>
              <w:bottom w:val="nil"/>
              <w:right w:val="nil"/>
            </w:tcBorders>
            <w:vAlign w:val="center"/>
          </w:tcPr>
          <w:p w:rsidRPr="00DA7B5D" w:rsidR="00DA7B5D" w:rsidP="00412C83" w:rsidRDefault="00BE6D61" w14:paraId="53DD7004" w14:textId="046AF31C">
            <w:pPr>
              <w:spacing w:line="240" w:lineRule="auto"/>
              <w:ind w:firstLine="0"/>
              <w:jc w:val="center"/>
              <w:rPr>
                <w:rFonts w:cs="Arial"/>
                <w:szCs w:val="26"/>
              </w:rPr>
            </w:pPr>
            <w:r w:rsidRPr="00B801F5">
              <w:rPr>
                <w:rFonts w:cs="Arial"/>
                <w:szCs w:val="26"/>
              </w:rPr>
              <w:t>Rulemaking 20-05-012</w:t>
            </w:r>
          </w:p>
        </w:tc>
      </w:tr>
    </w:tbl>
    <w:p w:rsidR="00DA7B5D" w:rsidP="008F0116" w:rsidRDefault="00DA7B5D" w14:paraId="51BF4FBF" w14:textId="77777777">
      <w:pPr>
        <w:spacing w:line="240" w:lineRule="auto"/>
        <w:ind w:firstLine="0"/>
        <w:rPr>
          <w:rFonts w:ascii="Arial" w:hAnsi="Arial" w:cs="Arial"/>
          <w:sz w:val="24"/>
          <w:szCs w:val="24"/>
        </w:rPr>
      </w:pPr>
    </w:p>
    <w:p w:rsidR="00DA7B5D" w:rsidP="008F0116" w:rsidRDefault="00DA7B5D" w14:paraId="33633239" w14:textId="77777777">
      <w:pPr>
        <w:spacing w:line="240" w:lineRule="auto"/>
        <w:ind w:firstLine="0"/>
        <w:rPr>
          <w:rFonts w:ascii="Arial" w:hAnsi="Arial" w:cs="Arial"/>
          <w:sz w:val="24"/>
          <w:szCs w:val="24"/>
        </w:rPr>
      </w:pPr>
    </w:p>
    <w:p w:rsidRPr="00847051" w:rsidR="00F92385" w:rsidP="00B3087D" w:rsidRDefault="00B81305" w14:paraId="7F8A7464" w14:textId="13378EC9">
      <w:pPr>
        <w:pStyle w:val="Dummy"/>
        <w:jc w:val="center"/>
        <w:sectPr w:rsidRPr="00847051" w:rsidR="00F92385" w:rsidSect="00F705D0">
          <w:headerReference w:type="first" r:id="rId11"/>
          <w:footerReference w:type="first" r:id="rId12"/>
          <w:pgSz w:w="12240" w:h="15840"/>
          <w:pgMar w:top="1440" w:right="1440" w:bottom="1440" w:left="1440" w:header="720" w:footer="720" w:gutter="0"/>
          <w:pgNumType w:start="1"/>
          <w:cols w:space="720"/>
          <w:titlePg/>
          <w:docGrid w:linePitch="360"/>
        </w:sectPr>
      </w:pPr>
      <w:bookmarkStart w:name="_Toc206771061" w:id="0"/>
      <w:r w:rsidRPr="00847051">
        <w:t xml:space="preserve">DECISION </w:t>
      </w:r>
      <w:r w:rsidR="73D56DAF">
        <w:t>RETURNING</w:t>
      </w:r>
      <w:r w:rsidR="408E42F4">
        <w:t xml:space="preserve"> </w:t>
      </w:r>
      <w:r w:rsidRPr="00847051">
        <w:t xml:space="preserve">SELF-GENERATION INCENTIVE PROGRAM </w:t>
      </w:r>
      <w:r w:rsidR="7B67CAE2">
        <w:t xml:space="preserve">FUNDS TO RATEPAYERS </w:t>
      </w:r>
      <w:r w:rsidRPr="00847051">
        <w:t>AND IMPLEMENTING THE GREENHOUSE GAS REDUCTION FUND SELF-GENERATION INCENTIVE PROGRAM AND OTHER PROGRAM MODIFICATIONS</w:t>
      </w:r>
      <w:bookmarkEnd w:id="0"/>
    </w:p>
    <w:p w:rsidRPr="001E2A62" w:rsidR="00D50119" w:rsidP="00F76650" w:rsidRDefault="00D50119" w14:paraId="7DA02FAA" w14:textId="77777777">
      <w:pPr>
        <w:pStyle w:val="Main"/>
        <w:rPr>
          <w:rFonts w:ascii="Book Antiqua" w:hAnsi="Book Antiqua"/>
        </w:rPr>
      </w:pPr>
      <w:r w:rsidRPr="001E2A62">
        <w:rPr>
          <w:rFonts w:ascii="Book Antiqua" w:hAnsi="Book Antiqua"/>
        </w:rPr>
        <w:lastRenderedPageBreak/>
        <w:t>TABLE OF CONTENTS</w:t>
      </w:r>
    </w:p>
    <w:p w:rsidRPr="00D50119" w:rsidR="00D50119" w:rsidP="007E0FEE" w:rsidRDefault="00D50119" w14:paraId="05517908" w14:textId="77777777">
      <w:pPr>
        <w:tabs>
          <w:tab w:val="right" w:pos="9360"/>
        </w:tabs>
        <w:ind w:firstLine="0"/>
      </w:pPr>
      <w:r w:rsidRPr="00D50119">
        <w:rPr>
          <w:b/>
        </w:rPr>
        <w:t>Title</w:t>
      </w:r>
      <w:r>
        <w:tab/>
      </w:r>
      <w:r w:rsidRPr="00D50119">
        <w:rPr>
          <w:b/>
        </w:rPr>
        <w:t>Page</w:t>
      </w:r>
    </w:p>
    <w:sdt>
      <w:sdtPr>
        <w:id w:val="1146406237"/>
        <w:docPartObj>
          <w:docPartGallery w:val="Table of Contents"/>
          <w:docPartUnique/>
        </w:docPartObj>
      </w:sdtPr>
      <w:sdtContent>
        <w:p w:rsidR="00250432" w:rsidRDefault="001A4649" w14:paraId="1F15F4D9" w14:textId="67570013">
          <w:pPr>
            <w:pStyle w:val="TOC1"/>
            <w:tabs>
              <w:tab w:val="right" w:leader="dot" w:pos="9350"/>
            </w:tabs>
            <w:rPr>
              <w:rFonts w:asciiTheme="minorHAnsi" w:hAnsiTheme="minorHAnsi" w:cstheme="minorBidi"/>
              <w:noProof/>
              <w:kern w:val="2"/>
              <w:sz w:val="24"/>
              <w:szCs w:val="24"/>
              <w14:ligatures w14:val="standardContextual"/>
            </w:rPr>
          </w:pPr>
          <w:r>
            <w:fldChar w:fldCharType="begin"/>
          </w:r>
          <w:r w:rsidR="008C7413">
            <w:instrText>TOC \o "1-6" \z \u \h</w:instrText>
          </w:r>
          <w:r>
            <w:fldChar w:fldCharType="separate"/>
          </w:r>
          <w:hyperlink w:history="1" w:anchor="_Toc206771061">
            <w:r w:rsidRPr="00AC1E94" w:rsidR="00250432">
              <w:rPr>
                <w:rStyle w:val="Hyperlink"/>
                <w:noProof/>
              </w:rPr>
              <w:t>DECISION RETURNING SELF-GENERATION INCENTIVE PROGRAM FUNDS TO RATEPAYERS AND IMPLEMENTING THE GREENHOUSE GAS REDUCTION FUND SELF-GENERATION INCENTIVE PROGRAM AND OTHER PROGRAM MODIFICATIONS</w:t>
            </w:r>
            <w:r w:rsidR="00250432">
              <w:rPr>
                <w:noProof/>
                <w:webHidden/>
              </w:rPr>
              <w:tab/>
            </w:r>
            <w:r w:rsidR="00250432">
              <w:rPr>
                <w:noProof/>
                <w:webHidden/>
              </w:rPr>
              <w:fldChar w:fldCharType="begin"/>
            </w:r>
            <w:r w:rsidR="00250432">
              <w:rPr>
                <w:noProof/>
                <w:webHidden/>
              </w:rPr>
              <w:instrText xml:space="preserve"> PAGEREF _Toc206771061 \h </w:instrText>
            </w:r>
            <w:r w:rsidR="00250432">
              <w:rPr>
                <w:noProof/>
                <w:webHidden/>
              </w:rPr>
            </w:r>
            <w:r w:rsidR="00250432">
              <w:rPr>
                <w:noProof/>
                <w:webHidden/>
              </w:rPr>
              <w:fldChar w:fldCharType="separate"/>
            </w:r>
            <w:r w:rsidR="00217A4B">
              <w:rPr>
                <w:noProof/>
                <w:webHidden/>
              </w:rPr>
              <w:t>1</w:t>
            </w:r>
            <w:r w:rsidR="00250432">
              <w:rPr>
                <w:noProof/>
                <w:webHidden/>
              </w:rPr>
              <w:fldChar w:fldCharType="end"/>
            </w:r>
          </w:hyperlink>
        </w:p>
        <w:p w:rsidR="00250432" w:rsidRDefault="00250432" w14:paraId="285EE560" w14:textId="3394A202">
          <w:pPr>
            <w:pStyle w:val="TOC1"/>
            <w:tabs>
              <w:tab w:val="right" w:leader="dot" w:pos="9350"/>
            </w:tabs>
            <w:rPr>
              <w:rFonts w:asciiTheme="minorHAnsi" w:hAnsiTheme="minorHAnsi" w:cstheme="minorBidi"/>
              <w:noProof/>
              <w:kern w:val="2"/>
              <w:sz w:val="24"/>
              <w:szCs w:val="24"/>
              <w14:ligatures w14:val="standardContextual"/>
            </w:rPr>
          </w:pPr>
          <w:hyperlink w:history="1" w:anchor="_Toc206771062">
            <w:r w:rsidRPr="00AC1E94">
              <w:rPr>
                <w:rStyle w:val="Hyperlink"/>
                <w:noProof/>
              </w:rPr>
              <w:t>Summary</w:t>
            </w:r>
            <w:r>
              <w:rPr>
                <w:noProof/>
                <w:webHidden/>
              </w:rPr>
              <w:tab/>
            </w:r>
            <w:r>
              <w:rPr>
                <w:noProof/>
                <w:webHidden/>
              </w:rPr>
              <w:fldChar w:fldCharType="begin"/>
            </w:r>
            <w:r>
              <w:rPr>
                <w:noProof/>
                <w:webHidden/>
              </w:rPr>
              <w:instrText xml:space="preserve"> PAGEREF _Toc206771062 \h </w:instrText>
            </w:r>
            <w:r>
              <w:rPr>
                <w:noProof/>
                <w:webHidden/>
              </w:rPr>
            </w:r>
            <w:r>
              <w:rPr>
                <w:noProof/>
                <w:webHidden/>
              </w:rPr>
              <w:fldChar w:fldCharType="separate"/>
            </w:r>
            <w:r w:rsidR="00217A4B">
              <w:rPr>
                <w:noProof/>
                <w:webHidden/>
              </w:rPr>
              <w:t>2</w:t>
            </w:r>
            <w:r>
              <w:rPr>
                <w:noProof/>
                <w:webHidden/>
              </w:rPr>
              <w:fldChar w:fldCharType="end"/>
            </w:r>
          </w:hyperlink>
        </w:p>
        <w:p w:rsidR="00250432" w:rsidRDefault="00250432" w14:paraId="5B9264B9" w14:textId="6818055C">
          <w:pPr>
            <w:pStyle w:val="TOC1"/>
            <w:tabs>
              <w:tab w:val="right" w:leader="dot" w:pos="9350"/>
            </w:tabs>
            <w:rPr>
              <w:rFonts w:asciiTheme="minorHAnsi" w:hAnsiTheme="minorHAnsi" w:cstheme="minorBidi"/>
              <w:noProof/>
              <w:kern w:val="2"/>
              <w:sz w:val="24"/>
              <w:szCs w:val="24"/>
              <w14:ligatures w14:val="standardContextual"/>
            </w:rPr>
          </w:pPr>
          <w:hyperlink w:history="1" w:anchor="_Toc206771063">
            <w:r w:rsidRPr="00AC1E94">
              <w:rPr>
                <w:rStyle w:val="Hyperlink"/>
                <w:noProof/>
              </w:rPr>
              <w:t>1.</w:t>
            </w:r>
            <w:r>
              <w:rPr>
                <w:rFonts w:asciiTheme="minorHAnsi" w:hAnsiTheme="minorHAnsi" w:cstheme="minorBidi"/>
                <w:noProof/>
                <w:kern w:val="2"/>
                <w:sz w:val="24"/>
                <w:szCs w:val="24"/>
                <w14:ligatures w14:val="standardContextual"/>
              </w:rPr>
              <w:tab/>
            </w:r>
            <w:r w:rsidRPr="00AC1E94">
              <w:rPr>
                <w:rStyle w:val="Hyperlink"/>
                <w:noProof/>
              </w:rPr>
              <w:t>Background</w:t>
            </w:r>
            <w:r>
              <w:rPr>
                <w:noProof/>
                <w:webHidden/>
              </w:rPr>
              <w:tab/>
            </w:r>
            <w:r>
              <w:rPr>
                <w:noProof/>
                <w:webHidden/>
              </w:rPr>
              <w:fldChar w:fldCharType="begin"/>
            </w:r>
            <w:r>
              <w:rPr>
                <w:noProof/>
                <w:webHidden/>
              </w:rPr>
              <w:instrText xml:space="preserve"> PAGEREF _Toc206771063 \h </w:instrText>
            </w:r>
            <w:r>
              <w:rPr>
                <w:noProof/>
                <w:webHidden/>
              </w:rPr>
            </w:r>
            <w:r>
              <w:rPr>
                <w:noProof/>
                <w:webHidden/>
              </w:rPr>
              <w:fldChar w:fldCharType="separate"/>
            </w:r>
            <w:r w:rsidR="00217A4B">
              <w:rPr>
                <w:noProof/>
                <w:webHidden/>
              </w:rPr>
              <w:t>2</w:t>
            </w:r>
            <w:r>
              <w:rPr>
                <w:noProof/>
                <w:webHidden/>
              </w:rPr>
              <w:fldChar w:fldCharType="end"/>
            </w:r>
          </w:hyperlink>
        </w:p>
        <w:p w:rsidR="00250432" w:rsidRDefault="00250432" w14:paraId="1A2EE6AD" w14:textId="7C928411">
          <w:pPr>
            <w:pStyle w:val="TOC2"/>
            <w:tabs>
              <w:tab w:val="right" w:leader="dot" w:pos="9350"/>
            </w:tabs>
            <w:rPr>
              <w:rFonts w:asciiTheme="minorHAnsi" w:hAnsiTheme="minorHAnsi" w:cstheme="minorBidi"/>
              <w:noProof/>
              <w:kern w:val="2"/>
              <w:sz w:val="24"/>
              <w:szCs w:val="24"/>
              <w14:ligatures w14:val="standardContextual"/>
            </w:rPr>
          </w:pPr>
          <w:hyperlink w:history="1" w:anchor="_Toc206771064">
            <w:r w:rsidRPr="00AC1E94">
              <w:rPr>
                <w:rStyle w:val="Hyperlink"/>
                <w:noProof/>
              </w:rPr>
              <w:t>1.1 Procedural Background</w:t>
            </w:r>
            <w:r>
              <w:rPr>
                <w:noProof/>
                <w:webHidden/>
              </w:rPr>
              <w:tab/>
            </w:r>
            <w:r>
              <w:rPr>
                <w:noProof/>
                <w:webHidden/>
              </w:rPr>
              <w:fldChar w:fldCharType="begin"/>
            </w:r>
            <w:r>
              <w:rPr>
                <w:noProof/>
                <w:webHidden/>
              </w:rPr>
              <w:instrText xml:space="preserve"> PAGEREF _Toc206771064 \h </w:instrText>
            </w:r>
            <w:r>
              <w:rPr>
                <w:noProof/>
                <w:webHidden/>
              </w:rPr>
            </w:r>
            <w:r>
              <w:rPr>
                <w:noProof/>
                <w:webHidden/>
              </w:rPr>
              <w:fldChar w:fldCharType="separate"/>
            </w:r>
            <w:r w:rsidR="00217A4B">
              <w:rPr>
                <w:noProof/>
                <w:webHidden/>
              </w:rPr>
              <w:t>3</w:t>
            </w:r>
            <w:r>
              <w:rPr>
                <w:noProof/>
                <w:webHidden/>
              </w:rPr>
              <w:fldChar w:fldCharType="end"/>
            </w:r>
          </w:hyperlink>
        </w:p>
        <w:p w:rsidR="00250432" w:rsidRDefault="00250432" w14:paraId="145429AE" w14:textId="1BE184BA">
          <w:pPr>
            <w:pStyle w:val="TOC1"/>
            <w:tabs>
              <w:tab w:val="right" w:leader="dot" w:pos="9350"/>
            </w:tabs>
            <w:rPr>
              <w:rFonts w:asciiTheme="minorHAnsi" w:hAnsiTheme="minorHAnsi" w:cstheme="minorBidi"/>
              <w:noProof/>
              <w:kern w:val="2"/>
              <w:sz w:val="24"/>
              <w:szCs w:val="24"/>
              <w14:ligatures w14:val="standardContextual"/>
            </w:rPr>
          </w:pPr>
          <w:hyperlink w:history="1" w:anchor="_Toc206771065">
            <w:r w:rsidRPr="00AC1E94">
              <w:rPr>
                <w:rStyle w:val="Hyperlink"/>
                <w:noProof/>
              </w:rPr>
              <w:t>2.</w:t>
            </w:r>
            <w:r>
              <w:rPr>
                <w:rFonts w:asciiTheme="minorHAnsi" w:hAnsiTheme="minorHAnsi" w:cstheme="minorBidi"/>
                <w:noProof/>
                <w:kern w:val="2"/>
                <w:sz w:val="24"/>
                <w:szCs w:val="24"/>
                <w14:ligatures w14:val="standardContextual"/>
              </w:rPr>
              <w:tab/>
            </w:r>
            <w:r w:rsidRPr="00AC1E94">
              <w:rPr>
                <w:rStyle w:val="Hyperlink"/>
                <w:noProof/>
              </w:rPr>
              <w:t>Issues Before the Commission</w:t>
            </w:r>
            <w:r>
              <w:rPr>
                <w:noProof/>
                <w:webHidden/>
              </w:rPr>
              <w:tab/>
            </w:r>
            <w:r>
              <w:rPr>
                <w:noProof/>
                <w:webHidden/>
              </w:rPr>
              <w:fldChar w:fldCharType="begin"/>
            </w:r>
            <w:r>
              <w:rPr>
                <w:noProof/>
                <w:webHidden/>
              </w:rPr>
              <w:instrText xml:space="preserve"> PAGEREF _Toc206771065 \h </w:instrText>
            </w:r>
            <w:r>
              <w:rPr>
                <w:noProof/>
                <w:webHidden/>
              </w:rPr>
            </w:r>
            <w:r>
              <w:rPr>
                <w:noProof/>
                <w:webHidden/>
              </w:rPr>
              <w:fldChar w:fldCharType="separate"/>
            </w:r>
            <w:r w:rsidR="00217A4B">
              <w:rPr>
                <w:noProof/>
                <w:webHidden/>
              </w:rPr>
              <w:t>5</w:t>
            </w:r>
            <w:r>
              <w:rPr>
                <w:noProof/>
                <w:webHidden/>
              </w:rPr>
              <w:fldChar w:fldCharType="end"/>
            </w:r>
          </w:hyperlink>
        </w:p>
        <w:p w:rsidR="00250432" w:rsidRDefault="00250432" w14:paraId="7BCFBFD7" w14:textId="35AD937C">
          <w:pPr>
            <w:pStyle w:val="TOC1"/>
            <w:tabs>
              <w:tab w:val="right" w:leader="dot" w:pos="9350"/>
            </w:tabs>
            <w:rPr>
              <w:rFonts w:asciiTheme="minorHAnsi" w:hAnsiTheme="minorHAnsi" w:cstheme="minorBidi"/>
              <w:noProof/>
              <w:kern w:val="2"/>
              <w:sz w:val="24"/>
              <w:szCs w:val="24"/>
              <w14:ligatures w14:val="standardContextual"/>
            </w:rPr>
          </w:pPr>
          <w:hyperlink w:history="1" w:anchor="_Toc206771066">
            <w:r w:rsidRPr="00AC1E94">
              <w:rPr>
                <w:rStyle w:val="Hyperlink"/>
                <w:noProof/>
              </w:rPr>
              <w:t>3.</w:t>
            </w:r>
            <w:r>
              <w:rPr>
                <w:rFonts w:asciiTheme="minorHAnsi" w:hAnsiTheme="minorHAnsi" w:cstheme="minorBidi"/>
                <w:noProof/>
                <w:kern w:val="2"/>
                <w:sz w:val="24"/>
                <w:szCs w:val="24"/>
                <w14:ligatures w14:val="standardContextual"/>
              </w:rPr>
              <w:tab/>
            </w:r>
            <w:r w:rsidRPr="00AC1E94">
              <w:rPr>
                <w:rStyle w:val="Hyperlink"/>
                <w:noProof/>
              </w:rPr>
              <w:t>Closeout Process for Return of Ratepayer Funds</w:t>
            </w:r>
            <w:r>
              <w:rPr>
                <w:noProof/>
                <w:webHidden/>
              </w:rPr>
              <w:tab/>
            </w:r>
            <w:r>
              <w:rPr>
                <w:noProof/>
                <w:webHidden/>
              </w:rPr>
              <w:fldChar w:fldCharType="begin"/>
            </w:r>
            <w:r>
              <w:rPr>
                <w:noProof/>
                <w:webHidden/>
              </w:rPr>
              <w:instrText xml:space="preserve"> PAGEREF _Toc206771066 \h </w:instrText>
            </w:r>
            <w:r>
              <w:rPr>
                <w:noProof/>
                <w:webHidden/>
              </w:rPr>
            </w:r>
            <w:r>
              <w:rPr>
                <w:noProof/>
                <w:webHidden/>
              </w:rPr>
              <w:fldChar w:fldCharType="separate"/>
            </w:r>
            <w:r w:rsidR="00217A4B">
              <w:rPr>
                <w:noProof/>
                <w:webHidden/>
              </w:rPr>
              <w:t>5</w:t>
            </w:r>
            <w:r>
              <w:rPr>
                <w:noProof/>
                <w:webHidden/>
              </w:rPr>
              <w:fldChar w:fldCharType="end"/>
            </w:r>
          </w:hyperlink>
        </w:p>
        <w:p w:rsidR="00250432" w:rsidRDefault="00250432" w14:paraId="6BFF8DD1" w14:textId="5EFFD390">
          <w:pPr>
            <w:pStyle w:val="TOC2"/>
            <w:tabs>
              <w:tab w:val="right" w:leader="dot" w:pos="9350"/>
            </w:tabs>
            <w:rPr>
              <w:rFonts w:asciiTheme="minorHAnsi" w:hAnsiTheme="minorHAnsi" w:cstheme="minorBidi"/>
              <w:noProof/>
              <w:kern w:val="2"/>
              <w:sz w:val="24"/>
              <w:szCs w:val="24"/>
              <w14:ligatures w14:val="standardContextual"/>
            </w:rPr>
          </w:pPr>
          <w:hyperlink w:history="1" w:anchor="_Toc206771067">
            <w:r w:rsidRPr="00AC1E94">
              <w:rPr>
                <w:rStyle w:val="Hyperlink"/>
                <w:noProof/>
              </w:rPr>
              <w:t>3.1 Deadline for New Ratepayer Applications and Waitlist</w:t>
            </w:r>
            <w:r>
              <w:rPr>
                <w:noProof/>
                <w:webHidden/>
              </w:rPr>
              <w:tab/>
            </w:r>
            <w:r>
              <w:rPr>
                <w:noProof/>
                <w:webHidden/>
              </w:rPr>
              <w:fldChar w:fldCharType="begin"/>
            </w:r>
            <w:r>
              <w:rPr>
                <w:noProof/>
                <w:webHidden/>
              </w:rPr>
              <w:instrText xml:space="preserve"> PAGEREF _Toc206771067 \h </w:instrText>
            </w:r>
            <w:r>
              <w:rPr>
                <w:noProof/>
                <w:webHidden/>
              </w:rPr>
            </w:r>
            <w:r>
              <w:rPr>
                <w:noProof/>
                <w:webHidden/>
              </w:rPr>
              <w:fldChar w:fldCharType="separate"/>
            </w:r>
            <w:r w:rsidR="00217A4B">
              <w:rPr>
                <w:noProof/>
                <w:webHidden/>
              </w:rPr>
              <w:t>7</w:t>
            </w:r>
            <w:r>
              <w:rPr>
                <w:noProof/>
                <w:webHidden/>
              </w:rPr>
              <w:fldChar w:fldCharType="end"/>
            </w:r>
          </w:hyperlink>
        </w:p>
        <w:p w:rsidR="00250432" w:rsidRDefault="00250432" w14:paraId="45F08EBA" w14:textId="17641B26">
          <w:pPr>
            <w:pStyle w:val="TOC3"/>
            <w:tabs>
              <w:tab w:val="right" w:leader="dot" w:pos="9350"/>
            </w:tabs>
            <w:rPr>
              <w:rFonts w:asciiTheme="minorHAnsi" w:hAnsiTheme="minorHAnsi" w:cstheme="minorBidi"/>
              <w:noProof/>
              <w:kern w:val="2"/>
              <w:sz w:val="24"/>
              <w:szCs w:val="24"/>
              <w14:ligatures w14:val="standardContextual"/>
            </w:rPr>
          </w:pPr>
          <w:hyperlink w:history="1" w:anchor="_Toc206771068">
            <w:r w:rsidRPr="00AC1E94">
              <w:rPr>
                <w:rStyle w:val="Hyperlink"/>
                <w:noProof/>
              </w:rPr>
              <w:t>3.1.1 Party Comments</w:t>
            </w:r>
            <w:r>
              <w:rPr>
                <w:noProof/>
                <w:webHidden/>
              </w:rPr>
              <w:tab/>
            </w:r>
            <w:r>
              <w:rPr>
                <w:noProof/>
                <w:webHidden/>
              </w:rPr>
              <w:fldChar w:fldCharType="begin"/>
            </w:r>
            <w:r>
              <w:rPr>
                <w:noProof/>
                <w:webHidden/>
              </w:rPr>
              <w:instrText xml:space="preserve"> PAGEREF _Toc206771068 \h </w:instrText>
            </w:r>
            <w:r>
              <w:rPr>
                <w:noProof/>
                <w:webHidden/>
              </w:rPr>
            </w:r>
            <w:r>
              <w:rPr>
                <w:noProof/>
                <w:webHidden/>
              </w:rPr>
              <w:fldChar w:fldCharType="separate"/>
            </w:r>
            <w:r w:rsidR="00217A4B">
              <w:rPr>
                <w:noProof/>
                <w:webHidden/>
              </w:rPr>
              <w:t>7</w:t>
            </w:r>
            <w:r>
              <w:rPr>
                <w:noProof/>
                <w:webHidden/>
              </w:rPr>
              <w:fldChar w:fldCharType="end"/>
            </w:r>
          </w:hyperlink>
        </w:p>
        <w:p w:rsidR="00250432" w:rsidRDefault="00250432" w14:paraId="38A03C87" w14:textId="7672407E">
          <w:pPr>
            <w:pStyle w:val="TOC3"/>
            <w:tabs>
              <w:tab w:val="right" w:leader="dot" w:pos="9350"/>
            </w:tabs>
            <w:rPr>
              <w:rFonts w:asciiTheme="minorHAnsi" w:hAnsiTheme="minorHAnsi" w:cstheme="minorBidi"/>
              <w:noProof/>
              <w:kern w:val="2"/>
              <w:sz w:val="24"/>
              <w:szCs w:val="24"/>
              <w14:ligatures w14:val="standardContextual"/>
            </w:rPr>
          </w:pPr>
          <w:hyperlink w:history="1" w:anchor="_Toc206771069">
            <w:r w:rsidRPr="00AC1E94">
              <w:rPr>
                <w:rStyle w:val="Hyperlink"/>
                <w:noProof/>
              </w:rPr>
              <w:t>3.1.2 Discussion and Analysis</w:t>
            </w:r>
            <w:r>
              <w:rPr>
                <w:noProof/>
                <w:webHidden/>
              </w:rPr>
              <w:tab/>
            </w:r>
            <w:r>
              <w:rPr>
                <w:noProof/>
                <w:webHidden/>
              </w:rPr>
              <w:fldChar w:fldCharType="begin"/>
            </w:r>
            <w:r>
              <w:rPr>
                <w:noProof/>
                <w:webHidden/>
              </w:rPr>
              <w:instrText xml:space="preserve"> PAGEREF _Toc206771069 \h </w:instrText>
            </w:r>
            <w:r>
              <w:rPr>
                <w:noProof/>
                <w:webHidden/>
              </w:rPr>
            </w:r>
            <w:r>
              <w:rPr>
                <w:noProof/>
                <w:webHidden/>
              </w:rPr>
              <w:fldChar w:fldCharType="separate"/>
            </w:r>
            <w:r w:rsidR="00217A4B">
              <w:rPr>
                <w:noProof/>
                <w:webHidden/>
              </w:rPr>
              <w:t>9</w:t>
            </w:r>
            <w:r>
              <w:rPr>
                <w:noProof/>
                <w:webHidden/>
              </w:rPr>
              <w:fldChar w:fldCharType="end"/>
            </w:r>
          </w:hyperlink>
        </w:p>
        <w:p w:rsidR="00250432" w:rsidRDefault="00250432" w14:paraId="763EE167" w14:textId="18210AC0">
          <w:pPr>
            <w:pStyle w:val="TOC3"/>
            <w:tabs>
              <w:tab w:val="right" w:leader="dot" w:pos="9350"/>
            </w:tabs>
            <w:rPr>
              <w:rFonts w:asciiTheme="minorHAnsi" w:hAnsiTheme="minorHAnsi" w:cstheme="minorBidi"/>
              <w:noProof/>
              <w:kern w:val="2"/>
              <w:sz w:val="24"/>
              <w:szCs w:val="24"/>
              <w14:ligatures w14:val="standardContextual"/>
            </w:rPr>
          </w:pPr>
          <w:hyperlink w:history="1" w:anchor="_Toc206771070">
            <w:r w:rsidRPr="00AC1E94">
              <w:rPr>
                <w:rStyle w:val="Hyperlink"/>
                <w:noProof/>
              </w:rPr>
              <w:t>3.2.1 Party Comments</w:t>
            </w:r>
            <w:r>
              <w:rPr>
                <w:noProof/>
                <w:webHidden/>
              </w:rPr>
              <w:tab/>
            </w:r>
            <w:r>
              <w:rPr>
                <w:noProof/>
                <w:webHidden/>
              </w:rPr>
              <w:fldChar w:fldCharType="begin"/>
            </w:r>
            <w:r>
              <w:rPr>
                <w:noProof/>
                <w:webHidden/>
              </w:rPr>
              <w:instrText xml:space="preserve"> PAGEREF _Toc206771070 \h </w:instrText>
            </w:r>
            <w:r>
              <w:rPr>
                <w:noProof/>
                <w:webHidden/>
              </w:rPr>
            </w:r>
            <w:r>
              <w:rPr>
                <w:noProof/>
                <w:webHidden/>
              </w:rPr>
              <w:fldChar w:fldCharType="separate"/>
            </w:r>
            <w:r w:rsidR="00217A4B">
              <w:rPr>
                <w:noProof/>
                <w:webHidden/>
              </w:rPr>
              <w:t>10</w:t>
            </w:r>
            <w:r>
              <w:rPr>
                <w:noProof/>
                <w:webHidden/>
              </w:rPr>
              <w:fldChar w:fldCharType="end"/>
            </w:r>
          </w:hyperlink>
        </w:p>
        <w:p w:rsidR="00250432" w:rsidRDefault="00250432" w14:paraId="655A2EDE" w14:textId="46A62DA8">
          <w:pPr>
            <w:pStyle w:val="TOC3"/>
            <w:tabs>
              <w:tab w:val="right" w:leader="dot" w:pos="9350"/>
            </w:tabs>
            <w:rPr>
              <w:rFonts w:asciiTheme="minorHAnsi" w:hAnsiTheme="minorHAnsi" w:cstheme="minorBidi"/>
              <w:noProof/>
              <w:kern w:val="2"/>
              <w:sz w:val="24"/>
              <w:szCs w:val="24"/>
              <w14:ligatures w14:val="standardContextual"/>
            </w:rPr>
          </w:pPr>
          <w:hyperlink w:history="1" w:anchor="_Toc206771071">
            <w:r w:rsidRPr="00AC1E94">
              <w:rPr>
                <w:rStyle w:val="Hyperlink"/>
                <w:noProof/>
              </w:rPr>
              <w:t>3.2.2 Discussion and Analysis</w:t>
            </w:r>
            <w:r>
              <w:rPr>
                <w:noProof/>
                <w:webHidden/>
              </w:rPr>
              <w:tab/>
            </w:r>
            <w:r>
              <w:rPr>
                <w:noProof/>
                <w:webHidden/>
              </w:rPr>
              <w:fldChar w:fldCharType="begin"/>
            </w:r>
            <w:r>
              <w:rPr>
                <w:noProof/>
                <w:webHidden/>
              </w:rPr>
              <w:instrText xml:space="preserve"> PAGEREF _Toc206771071 \h </w:instrText>
            </w:r>
            <w:r>
              <w:rPr>
                <w:noProof/>
                <w:webHidden/>
              </w:rPr>
            </w:r>
            <w:r>
              <w:rPr>
                <w:noProof/>
                <w:webHidden/>
              </w:rPr>
              <w:fldChar w:fldCharType="separate"/>
            </w:r>
            <w:r w:rsidR="00217A4B">
              <w:rPr>
                <w:noProof/>
                <w:webHidden/>
              </w:rPr>
              <w:t>11</w:t>
            </w:r>
            <w:r>
              <w:rPr>
                <w:noProof/>
                <w:webHidden/>
              </w:rPr>
              <w:fldChar w:fldCharType="end"/>
            </w:r>
          </w:hyperlink>
        </w:p>
        <w:p w:rsidR="00250432" w:rsidRDefault="00250432" w14:paraId="4FC4DDA1" w14:textId="703271ED">
          <w:pPr>
            <w:pStyle w:val="TOC2"/>
            <w:tabs>
              <w:tab w:val="right" w:leader="dot" w:pos="9350"/>
            </w:tabs>
            <w:rPr>
              <w:rFonts w:asciiTheme="minorHAnsi" w:hAnsiTheme="minorHAnsi" w:cstheme="minorBidi"/>
              <w:noProof/>
              <w:kern w:val="2"/>
              <w:sz w:val="24"/>
              <w:szCs w:val="24"/>
              <w14:ligatures w14:val="standardContextual"/>
            </w:rPr>
          </w:pPr>
          <w:hyperlink w:history="1" w:anchor="_Toc206771072">
            <w:r w:rsidRPr="00AC1E94">
              <w:rPr>
                <w:rStyle w:val="Hyperlink"/>
                <w:noProof/>
              </w:rPr>
              <w:t>3.3 Ratepayer Administrative Budget</w:t>
            </w:r>
            <w:r>
              <w:rPr>
                <w:noProof/>
                <w:webHidden/>
              </w:rPr>
              <w:tab/>
            </w:r>
            <w:r>
              <w:rPr>
                <w:noProof/>
                <w:webHidden/>
              </w:rPr>
              <w:fldChar w:fldCharType="begin"/>
            </w:r>
            <w:r>
              <w:rPr>
                <w:noProof/>
                <w:webHidden/>
              </w:rPr>
              <w:instrText xml:space="preserve"> PAGEREF _Toc206771072 \h </w:instrText>
            </w:r>
            <w:r>
              <w:rPr>
                <w:noProof/>
                <w:webHidden/>
              </w:rPr>
            </w:r>
            <w:r>
              <w:rPr>
                <w:noProof/>
                <w:webHidden/>
              </w:rPr>
              <w:fldChar w:fldCharType="separate"/>
            </w:r>
            <w:r w:rsidR="00217A4B">
              <w:rPr>
                <w:noProof/>
                <w:webHidden/>
              </w:rPr>
              <w:t>13</w:t>
            </w:r>
            <w:r>
              <w:rPr>
                <w:noProof/>
                <w:webHidden/>
              </w:rPr>
              <w:fldChar w:fldCharType="end"/>
            </w:r>
          </w:hyperlink>
        </w:p>
        <w:p w:rsidR="00250432" w:rsidRDefault="00250432" w14:paraId="4E77414E" w14:textId="5A498084">
          <w:pPr>
            <w:pStyle w:val="TOC3"/>
            <w:tabs>
              <w:tab w:val="right" w:leader="dot" w:pos="9350"/>
            </w:tabs>
            <w:rPr>
              <w:rFonts w:asciiTheme="minorHAnsi" w:hAnsiTheme="minorHAnsi" w:cstheme="minorBidi"/>
              <w:noProof/>
              <w:kern w:val="2"/>
              <w:sz w:val="24"/>
              <w:szCs w:val="24"/>
              <w14:ligatures w14:val="standardContextual"/>
            </w:rPr>
          </w:pPr>
          <w:hyperlink w:history="1" w:anchor="_Toc206771073">
            <w:r w:rsidRPr="00AC1E94">
              <w:rPr>
                <w:rStyle w:val="Hyperlink"/>
                <w:noProof/>
              </w:rPr>
              <w:t>3.3.1 Party Comments</w:t>
            </w:r>
            <w:r>
              <w:rPr>
                <w:noProof/>
                <w:webHidden/>
              </w:rPr>
              <w:tab/>
            </w:r>
            <w:r>
              <w:rPr>
                <w:noProof/>
                <w:webHidden/>
              </w:rPr>
              <w:fldChar w:fldCharType="begin"/>
            </w:r>
            <w:r>
              <w:rPr>
                <w:noProof/>
                <w:webHidden/>
              </w:rPr>
              <w:instrText xml:space="preserve"> PAGEREF _Toc206771073 \h </w:instrText>
            </w:r>
            <w:r>
              <w:rPr>
                <w:noProof/>
                <w:webHidden/>
              </w:rPr>
            </w:r>
            <w:r>
              <w:rPr>
                <w:noProof/>
                <w:webHidden/>
              </w:rPr>
              <w:fldChar w:fldCharType="separate"/>
            </w:r>
            <w:r w:rsidR="00217A4B">
              <w:rPr>
                <w:noProof/>
                <w:webHidden/>
              </w:rPr>
              <w:t>13</w:t>
            </w:r>
            <w:r>
              <w:rPr>
                <w:noProof/>
                <w:webHidden/>
              </w:rPr>
              <w:fldChar w:fldCharType="end"/>
            </w:r>
          </w:hyperlink>
        </w:p>
        <w:p w:rsidR="00250432" w:rsidRDefault="00250432" w14:paraId="501122AE" w14:textId="50D425B0">
          <w:pPr>
            <w:pStyle w:val="TOC3"/>
            <w:tabs>
              <w:tab w:val="right" w:leader="dot" w:pos="9350"/>
            </w:tabs>
            <w:rPr>
              <w:rFonts w:asciiTheme="minorHAnsi" w:hAnsiTheme="minorHAnsi" w:cstheme="minorBidi"/>
              <w:noProof/>
              <w:kern w:val="2"/>
              <w:sz w:val="24"/>
              <w:szCs w:val="24"/>
              <w14:ligatures w14:val="standardContextual"/>
            </w:rPr>
          </w:pPr>
          <w:hyperlink w:history="1" w:anchor="_Toc206771074">
            <w:r w:rsidRPr="00AC1E94">
              <w:rPr>
                <w:rStyle w:val="Hyperlink"/>
                <w:noProof/>
              </w:rPr>
              <w:t>3.3.2 Discussion and Analysis</w:t>
            </w:r>
            <w:r>
              <w:rPr>
                <w:noProof/>
                <w:webHidden/>
              </w:rPr>
              <w:tab/>
            </w:r>
            <w:r>
              <w:rPr>
                <w:noProof/>
                <w:webHidden/>
              </w:rPr>
              <w:fldChar w:fldCharType="begin"/>
            </w:r>
            <w:r>
              <w:rPr>
                <w:noProof/>
                <w:webHidden/>
              </w:rPr>
              <w:instrText xml:space="preserve"> PAGEREF _Toc206771074 \h </w:instrText>
            </w:r>
            <w:r>
              <w:rPr>
                <w:noProof/>
                <w:webHidden/>
              </w:rPr>
            </w:r>
            <w:r>
              <w:rPr>
                <w:noProof/>
                <w:webHidden/>
              </w:rPr>
              <w:fldChar w:fldCharType="separate"/>
            </w:r>
            <w:r w:rsidR="00217A4B">
              <w:rPr>
                <w:noProof/>
                <w:webHidden/>
              </w:rPr>
              <w:t>14</w:t>
            </w:r>
            <w:r>
              <w:rPr>
                <w:noProof/>
                <w:webHidden/>
              </w:rPr>
              <w:fldChar w:fldCharType="end"/>
            </w:r>
          </w:hyperlink>
        </w:p>
        <w:p w:rsidR="00250432" w:rsidRDefault="00250432" w14:paraId="3C6C42C8" w14:textId="75B6B3B1">
          <w:pPr>
            <w:pStyle w:val="TOC2"/>
            <w:tabs>
              <w:tab w:val="right" w:leader="dot" w:pos="9350"/>
            </w:tabs>
            <w:rPr>
              <w:rFonts w:asciiTheme="minorHAnsi" w:hAnsiTheme="minorHAnsi" w:cstheme="minorBidi"/>
              <w:noProof/>
              <w:kern w:val="2"/>
              <w:sz w:val="24"/>
              <w:szCs w:val="24"/>
              <w14:ligatures w14:val="standardContextual"/>
            </w:rPr>
          </w:pPr>
          <w:hyperlink w:history="1" w:anchor="_Toc206771075">
            <w:r w:rsidRPr="00AC1E94">
              <w:rPr>
                <w:rStyle w:val="Hyperlink"/>
                <w:noProof/>
              </w:rPr>
              <w:t>3.4 Performance Based Incentives</w:t>
            </w:r>
            <w:r>
              <w:rPr>
                <w:noProof/>
                <w:webHidden/>
              </w:rPr>
              <w:tab/>
            </w:r>
            <w:r>
              <w:rPr>
                <w:noProof/>
                <w:webHidden/>
              </w:rPr>
              <w:fldChar w:fldCharType="begin"/>
            </w:r>
            <w:r>
              <w:rPr>
                <w:noProof/>
                <w:webHidden/>
              </w:rPr>
              <w:instrText xml:space="preserve"> PAGEREF _Toc206771075 \h </w:instrText>
            </w:r>
            <w:r>
              <w:rPr>
                <w:noProof/>
                <w:webHidden/>
              </w:rPr>
            </w:r>
            <w:r>
              <w:rPr>
                <w:noProof/>
                <w:webHidden/>
              </w:rPr>
              <w:fldChar w:fldCharType="separate"/>
            </w:r>
            <w:r w:rsidR="00217A4B">
              <w:rPr>
                <w:noProof/>
                <w:webHidden/>
              </w:rPr>
              <w:t>14</w:t>
            </w:r>
            <w:r>
              <w:rPr>
                <w:noProof/>
                <w:webHidden/>
              </w:rPr>
              <w:fldChar w:fldCharType="end"/>
            </w:r>
          </w:hyperlink>
        </w:p>
        <w:p w:rsidR="00250432" w:rsidRDefault="00250432" w14:paraId="204AB6C5" w14:textId="7D187692">
          <w:pPr>
            <w:pStyle w:val="TOC3"/>
            <w:tabs>
              <w:tab w:val="right" w:leader="dot" w:pos="9350"/>
            </w:tabs>
            <w:rPr>
              <w:rFonts w:asciiTheme="minorHAnsi" w:hAnsiTheme="minorHAnsi" w:cstheme="minorBidi"/>
              <w:noProof/>
              <w:kern w:val="2"/>
              <w:sz w:val="24"/>
              <w:szCs w:val="24"/>
              <w14:ligatures w14:val="standardContextual"/>
            </w:rPr>
          </w:pPr>
          <w:hyperlink w:history="1" w:anchor="_Toc206771076">
            <w:r w:rsidRPr="00AC1E94">
              <w:rPr>
                <w:rStyle w:val="Hyperlink"/>
                <w:noProof/>
              </w:rPr>
              <w:t>3.4.1 Party Comments</w:t>
            </w:r>
            <w:r>
              <w:rPr>
                <w:noProof/>
                <w:webHidden/>
              </w:rPr>
              <w:tab/>
            </w:r>
            <w:r>
              <w:rPr>
                <w:noProof/>
                <w:webHidden/>
              </w:rPr>
              <w:fldChar w:fldCharType="begin"/>
            </w:r>
            <w:r>
              <w:rPr>
                <w:noProof/>
                <w:webHidden/>
              </w:rPr>
              <w:instrText xml:space="preserve"> PAGEREF _Toc206771076 \h </w:instrText>
            </w:r>
            <w:r>
              <w:rPr>
                <w:noProof/>
                <w:webHidden/>
              </w:rPr>
            </w:r>
            <w:r>
              <w:rPr>
                <w:noProof/>
                <w:webHidden/>
              </w:rPr>
              <w:fldChar w:fldCharType="separate"/>
            </w:r>
            <w:r w:rsidR="00217A4B">
              <w:rPr>
                <w:noProof/>
                <w:webHidden/>
              </w:rPr>
              <w:t>15</w:t>
            </w:r>
            <w:r>
              <w:rPr>
                <w:noProof/>
                <w:webHidden/>
              </w:rPr>
              <w:fldChar w:fldCharType="end"/>
            </w:r>
          </w:hyperlink>
        </w:p>
        <w:p w:rsidR="00250432" w:rsidRDefault="00250432" w14:paraId="6D525B50" w14:textId="2E89C72F">
          <w:pPr>
            <w:pStyle w:val="TOC3"/>
            <w:tabs>
              <w:tab w:val="right" w:leader="dot" w:pos="9350"/>
            </w:tabs>
            <w:rPr>
              <w:rFonts w:asciiTheme="minorHAnsi" w:hAnsiTheme="minorHAnsi" w:cstheme="minorBidi"/>
              <w:noProof/>
              <w:kern w:val="2"/>
              <w:sz w:val="24"/>
              <w:szCs w:val="24"/>
              <w14:ligatures w14:val="standardContextual"/>
            </w:rPr>
          </w:pPr>
          <w:hyperlink w:history="1" w:anchor="_Toc206771077">
            <w:r w:rsidRPr="00AC1E94">
              <w:rPr>
                <w:rStyle w:val="Hyperlink"/>
                <w:noProof/>
              </w:rPr>
              <w:t>3.4.2 Discussion and Analysis</w:t>
            </w:r>
            <w:r>
              <w:rPr>
                <w:noProof/>
                <w:webHidden/>
              </w:rPr>
              <w:tab/>
            </w:r>
            <w:r>
              <w:rPr>
                <w:noProof/>
                <w:webHidden/>
              </w:rPr>
              <w:fldChar w:fldCharType="begin"/>
            </w:r>
            <w:r>
              <w:rPr>
                <w:noProof/>
                <w:webHidden/>
              </w:rPr>
              <w:instrText xml:space="preserve"> PAGEREF _Toc206771077 \h </w:instrText>
            </w:r>
            <w:r>
              <w:rPr>
                <w:noProof/>
                <w:webHidden/>
              </w:rPr>
            </w:r>
            <w:r>
              <w:rPr>
                <w:noProof/>
                <w:webHidden/>
              </w:rPr>
              <w:fldChar w:fldCharType="separate"/>
            </w:r>
            <w:r w:rsidR="00217A4B">
              <w:rPr>
                <w:noProof/>
                <w:webHidden/>
              </w:rPr>
              <w:t>15</w:t>
            </w:r>
            <w:r>
              <w:rPr>
                <w:noProof/>
                <w:webHidden/>
              </w:rPr>
              <w:fldChar w:fldCharType="end"/>
            </w:r>
          </w:hyperlink>
        </w:p>
        <w:p w:rsidR="00250432" w:rsidRDefault="00250432" w14:paraId="0B85EB4D" w14:textId="76AB318F">
          <w:pPr>
            <w:pStyle w:val="TOC2"/>
            <w:tabs>
              <w:tab w:val="right" w:leader="dot" w:pos="9350"/>
            </w:tabs>
            <w:rPr>
              <w:rFonts w:asciiTheme="minorHAnsi" w:hAnsiTheme="minorHAnsi" w:cstheme="minorBidi"/>
              <w:noProof/>
              <w:kern w:val="2"/>
              <w:sz w:val="24"/>
              <w:szCs w:val="24"/>
              <w14:ligatures w14:val="standardContextual"/>
            </w:rPr>
          </w:pPr>
          <w:hyperlink w:history="1" w:anchor="_Toc206771078">
            <w:r w:rsidRPr="00AC1E94">
              <w:rPr>
                <w:rStyle w:val="Hyperlink"/>
                <w:noProof/>
              </w:rPr>
              <w:t>3.5 SGIP Project Extension Modifications</w:t>
            </w:r>
            <w:r>
              <w:rPr>
                <w:noProof/>
                <w:webHidden/>
              </w:rPr>
              <w:tab/>
            </w:r>
            <w:r>
              <w:rPr>
                <w:noProof/>
                <w:webHidden/>
              </w:rPr>
              <w:fldChar w:fldCharType="begin"/>
            </w:r>
            <w:r>
              <w:rPr>
                <w:noProof/>
                <w:webHidden/>
              </w:rPr>
              <w:instrText xml:space="preserve"> PAGEREF _Toc206771078 \h </w:instrText>
            </w:r>
            <w:r>
              <w:rPr>
                <w:noProof/>
                <w:webHidden/>
              </w:rPr>
            </w:r>
            <w:r>
              <w:rPr>
                <w:noProof/>
                <w:webHidden/>
              </w:rPr>
              <w:fldChar w:fldCharType="separate"/>
            </w:r>
            <w:r w:rsidR="00217A4B">
              <w:rPr>
                <w:noProof/>
                <w:webHidden/>
              </w:rPr>
              <w:t>16</w:t>
            </w:r>
            <w:r>
              <w:rPr>
                <w:noProof/>
                <w:webHidden/>
              </w:rPr>
              <w:fldChar w:fldCharType="end"/>
            </w:r>
          </w:hyperlink>
        </w:p>
        <w:p w:rsidR="00250432" w:rsidRDefault="00250432" w14:paraId="2BA0975B" w14:textId="209932D6">
          <w:pPr>
            <w:pStyle w:val="TOC3"/>
            <w:tabs>
              <w:tab w:val="right" w:leader="dot" w:pos="9350"/>
            </w:tabs>
            <w:rPr>
              <w:rFonts w:asciiTheme="minorHAnsi" w:hAnsiTheme="minorHAnsi" w:cstheme="minorBidi"/>
              <w:noProof/>
              <w:kern w:val="2"/>
              <w:sz w:val="24"/>
              <w:szCs w:val="24"/>
              <w14:ligatures w14:val="standardContextual"/>
            </w:rPr>
          </w:pPr>
          <w:hyperlink w:history="1" w:anchor="_Toc206771079">
            <w:r w:rsidRPr="00AC1E94">
              <w:rPr>
                <w:rStyle w:val="Hyperlink"/>
                <w:noProof/>
              </w:rPr>
              <w:t>3.5.1 Party Comments</w:t>
            </w:r>
            <w:r>
              <w:rPr>
                <w:noProof/>
                <w:webHidden/>
              </w:rPr>
              <w:tab/>
            </w:r>
            <w:r>
              <w:rPr>
                <w:noProof/>
                <w:webHidden/>
              </w:rPr>
              <w:fldChar w:fldCharType="begin"/>
            </w:r>
            <w:r>
              <w:rPr>
                <w:noProof/>
                <w:webHidden/>
              </w:rPr>
              <w:instrText xml:space="preserve"> PAGEREF _Toc206771079 \h </w:instrText>
            </w:r>
            <w:r>
              <w:rPr>
                <w:noProof/>
                <w:webHidden/>
              </w:rPr>
            </w:r>
            <w:r>
              <w:rPr>
                <w:noProof/>
                <w:webHidden/>
              </w:rPr>
              <w:fldChar w:fldCharType="separate"/>
            </w:r>
            <w:r w:rsidR="00217A4B">
              <w:rPr>
                <w:noProof/>
                <w:webHidden/>
              </w:rPr>
              <w:t>17</w:t>
            </w:r>
            <w:r>
              <w:rPr>
                <w:noProof/>
                <w:webHidden/>
              </w:rPr>
              <w:fldChar w:fldCharType="end"/>
            </w:r>
          </w:hyperlink>
        </w:p>
        <w:p w:rsidR="00250432" w:rsidRDefault="00250432" w14:paraId="4ADB423E" w14:textId="30400732">
          <w:pPr>
            <w:pStyle w:val="TOC3"/>
            <w:tabs>
              <w:tab w:val="right" w:leader="dot" w:pos="9350"/>
            </w:tabs>
            <w:rPr>
              <w:rFonts w:asciiTheme="minorHAnsi" w:hAnsiTheme="minorHAnsi" w:cstheme="minorBidi"/>
              <w:noProof/>
              <w:kern w:val="2"/>
              <w:sz w:val="24"/>
              <w:szCs w:val="24"/>
              <w14:ligatures w14:val="standardContextual"/>
            </w:rPr>
          </w:pPr>
          <w:hyperlink w:history="1" w:anchor="_Toc206771080">
            <w:r w:rsidRPr="00AC1E94">
              <w:rPr>
                <w:rStyle w:val="Hyperlink"/>
                <w:noProof/>
              </w:rPr>
              <w:t>3.5.2 Discussion and Analysis</w:t>
            </w:r>
            <w:r>
              <w:rPr>
                <w:noProof/>
                <w:webHidden/>
              </w:rPr>
              <w:tab/>
            </w:r>
            <w:r>
              <w:rPr>
                <w:noProof/>
                <w:webHidden/>
              </w:rPr>
              <w:fldChar w:fldCharType="begin"/>
            </w:r>
            <w:r>
              <w:rPr>
                <w:noProof/>
                <w:webHidden/>
              </w:rPr>
              <w:instrText xml:space="preserve"> PAGEREF _Toc206771080 \h </w:instrText>
            </w:r>
            <w:r>
              <w:rPr>
                <w:noProof/>
                <w:webHidden/>
              </w:rPr>
            </w:r>
            <w:r>
              <w:rPr>
                <w:noProof/>
                <w:webHidden/>
              </w:rPr>
              <w:fldChar w:fldCharType="separate"/>
            </w:r>
            <w:r w:rsidR="00217A4B">
              <w:rPr>
                <w:noProof/>
                <w:webHidden/>
              </w:rPr>
              <w:t>18</w:t>
            </w:r>
            <w:r>
              <w:rPr>
                <w:noProof/>
                <w:webHidden/>
              </w:rPr>
              <w:fldChar w:fldCharType="end"/>
            </w:r>
          </w:hyperlink>
        </w:p>
        <w:p w:rsidR="00250432" w:rsidRDefault="00250432" w14:paraId="5889299A" w14:textId="2360DFA2">
          <w:pPr>
            <w:pStyle w:val="TOC1"/>
            <w:tabs>
              <w:tab w:val="right" w:leader="dot" w:pos="9350"/>
            </w:tabs>
            <w:rPr>
              <w:rFonts w:asciiTheme="minorHAnsi" w:hAnsiTheme="minorHAnsi" w:cstheme="minorBidi"/>
              <w:noProof/>
              <w:kern w:val="2"/>
              <w:sz w:val="24"/>
              <w:szCs w:val="24"/>
              <w14:ligatures w14:val="standardContextual"/>
            </w:rPr>
          </w:pPr>
          <w:hyperlink w:history="1" w:anchor="_Toc206771081">
            <w:r w:rsidRPr="00AC1E94">
              <w:rPr>
                <w:rStyle w:val="Hyperlink"/>
                <w:noProof/>
              </w:rPr>
              <w:t>4.</w:t>
            </w:r>
            <w:r>
              <w:rPr>
                <w:rFonts w:asciiTheme="minorHAnsi" w:hAnsiTheme="minorHAnsi" w:cstheme="minorBidi"/>
                <w:noProof/>
                <w:kern w:val="2"/>
                <w:sz w:val="24"/>
                <w:szCs w:val="24"/>
                <w14:ligatures w14:val="standardContextual"/>
              </w:rPr>
              <w:tab/>
            </w:r>
            <w:r w:rsidRPr="00AC1E94">
              <w:rPr>
                <w:rStyle w:val="Hyperlink"/>
                <w:noProof/>
              </w:rPr>
              <w:t>Other SGIP Program Modifications</w:t>
            </w:r>
            <w:r>
              <w:rPr>
                <w:noProof/>
                <w:webHidden/>
              </w:rPr>
              <w:tab/>
            </w:r>
            <w:r>
              <w:rPr>
                <w:noProof/>
                <w:webHidden/>
              </w:rPr>
              <w:fldChar w:fldCharType="begin"/>
            </w:r>
            <w:r>
              <w:rPr>
                <w:noProof/>
                <w:webHidden/>
              </w:rPr>
              <w:instrText xml:space="preserve"> PAGEREF _Toc206771081 \h </w:instrText>
            </w:r>
            <w:r>
              <w:rPr>
                <w:noProof/>
                <w:webHidden/>
              </w:rPr>
            </w:r>
            <w:r>
              <w:rPr>
                <w:noProof/>
                <w:webHidden/>
              </w:rPr>
              <w:fldChar w:fldCharType="separate"/>
            </w:r>
            <w:r w:rsidR="00217A4B">
              <w:rPr>
                <w:noProof/>
                <w:webHidden/>
              </w:rPr>
              <w:t>21</w:t>
            </w:r>
            <w:r>
              <w:rPr>
                <w:noProof/>
                <w:webHidden/>
              </w:rPr>
              <w:fldChar w:fldCharType="end"/>
            </w:r>
          </w:hyperlink>
        </w:p>
        <w:p w:rsidR="00250432" w:rsidRDefault="00250432" w14:paraId="210DD40F" w14:textId="567014DB">
          <w:pPr>
            <w:pStyle w:val="TOC3"/>
            <w:tabs>
              <w:tab w:val="right" w:leader="dot" w:pos="9350"/>
            </w:tabs>
            <w:rPr>
              <w:rFonts w:asciiTheme="minorHAnsi" w:hAnsiTheme="minorHAnsi" w:cstheme="minorBidi"/>
              <w:noProof/>
              <w:kern w:val="2"/>
              <w:sz w:val="24"/>
              <w:szCs w:val="24"/>
              <w14:ligatures w14:val="standardContextual"/>
            </w:rPr>
          </w:pPr>
          <w:hyperlink w:history="1" w:anchor="_Toc206771082">
            <w:r w:rsidRPr="00AC1E94">
              <w:rPr>
                <w:rStyle w:val="Hyperlink"/>
                <w:noProof/>
              </w:rPr>
              <w:t>4.1 Demand Response Requirement in the Residential Solar and Storage Equity</w:t>
            </w:r>
            <w:r>
              <w:rPr>
                <w:noProof/>
                <w:webHidden/>
              </w:rPr>
              <w:tab/>
            </w:r>
            <w:r>
              <w:rPr>
                <w:noProof/>
                <w:webHidden/>
              </w:rPr>
              <w:fldChar w:fldCharType="begin"/>
            </w:r>
            <w:r>
              <w:rPr>
                <w:noProof/>
                <w:webHidden/>
              </w:rPr>
              <w:instrText xml:space="preserve"> PAGEREF _Toc206771082 \h </w:instrText>
            </w:r>
            <w:r>
              <w:rPr>
                <w:noProof/>
                <w:webHidden/>
              </w:rPr>
            </w:r>
            <w:r>
              <w:rPr>
                <w:noProof/>
                <w:webHidden/>
              </w:rPr>
              <w:fldChar w:fldCharType="separate"/>
            </w:r>
            <w:r w:rsidR="00217A4B">
              <w:rPr>
                <w:noProof/>
                <w:webHidden/>
              </w:rPr>
              <w:t>21</w:t>
            </w:r>
            <w:r>
              <w:rPr>
                <w:noProof/>
                <w:webHidden/>
              </w:rPr>
              <w:fldChar w:fldCharType="end"/>
            </w:r>
          </w:hyperlink>
        </w:p>
        <w:p w:rsidR="00250432" w:rsidRDefault="00250432" w14:paraId="2A8D187F" w14:textId="24DCE895">
          <w:pPr>
            <w:pStyle w:val="TOC4"/>
            <w:tabs>
              <w:tab w:val="right" w:leader="dot" w:pos="9350"/>
            </w:tabs>
            <w:rPr>
              <w:rFonts w:asciiTheme="minorHAnsi" w:hAnsiTheme="minorHAnsi" w:eastAsiaTheme="minorEastAsia"/>
              <w:noProof/>
              <w:kern w:val="2"/>
              <w:sz w:val="24"/>
              <w:szCs w:val="24"/>
              <w14:ligatures w14:val="standardContextual"/>
            </w:rPr>
          </w:pPr>
          <w:hyperlink w:history="1" w:anchor="_Toc206771083">
            <w:r w:rsidRPr="00AC1E94">
              <w:rPr>
                <w:rStyle w:val="Hyperlink"/>
                <w:noProof/>
              </w:rPr>
              <w:t>4.1.1 Party Comments</w:t>
            </w:r>
            <w:r>
              <w:rPr>
                <w:noProof/>
                <w:webHidden/>
              </w:rPr>
              <w:tab/>
            </w:r>
            <w:r>
              <w:rPr>
                <w:noProof/>
                <w:webHidden/>
              </w:rPr>
              <w:fldChar w:fldCharType="begin"/>
            </w:r>
            <w:r>
              <w:rPr>
                <w:noProof/>
                <w:webHidden/>
              </w:rPr>
              <w:instrText xml:space="preserve"> PAGEREF _Toc206771083 \h </w:instrText>
            </w:r>
            <w:r>
              <w:rPr>
                <w:noProof/>
                <w:webHidden/>
              </w:rPr>
            </w:r>
            <w:r>
              <w:rPr>
                <w:noProof/>
                <w:webHidden/>
              </w:rPr>
              <w:fldChar w:fldCharType="separate"/>
            </w:r>
            <w:r w:rsidR="00217A4B">
              <w:rPr>
                <w:noProof/>
                <w:webHidden/>
              </w:rPr>
              <w:t>21</w:t>
            </w:r>
            <w:r>
              <w:rPr>
                <w:noProof/>
                <w:webHidden/>
              </w:rPr>
              <w:fldChar w:fldCharType="end"/>
            </w:r>
          </w:hyperlink>
        </w:p>
        <w:p w:rsidR="00250432" w:rsidRDefault="00250432" w14:paraId="01F179D6" w14:textId="49D3597F">
          <w:pPr>
            <w:pStyle w:val="TOC4"/>
            <w:tabs>
              <w:tab w:val="right" w:leader="dot" w:pos="9350"/>
            </w:tabs>
            <w:rPr>
              <w:rFonts w:asciiTheme="minorHAnsi" w:hAnsiTheme="minorHAnsi" w:eastAsiaTheme="minorEastAsia"/>
              <w:noProof/>
              <w:kern w:val="2"/>
              <w:sz w:val="24"/>
              <w:szCs w:val="24"/>
              <w14:ligatures w14:val="standardContextual"/>
            </w:rPr>
          </w:pPr>
          <w:hyperlink w:history="1" w:anchor="_Toc206771084">
            <w:r w:rsidRPr="00AC1E94">
              <w:rPr>
                <w:rStyle w:val="Hyperlink"/>
                <w:noProof/>
              </w:rPr>
              <w:t>4.1.2 Discussion and Analysis</w:t>
            </w:r>
            <w:r>
              <w:rPr>
                <w:noProof/>
                <w:webHidden/>
              </w:rPr>
              <w:tab/>
            </w:r>
            <w:r>
              <w:rPr>
                <w:noProof/>
                <w:webHidden/>
              </w:rPr>
              <w:fldChar w:fldCharType="begin"/>
            </w:r>
            <w:r>
              <w:rPr>
                <w:noProof/>
                <w:webHidden/>
              </w:rPr>
              <w:instrText xml:space="preserve"> PAGEREF _Toc206771084 \h </w:instrText>
            </w:r>
            <w:r>
              <w:rPr>
                <w:noProof/>
                <w:webHidden/>
              </w:rPr>
            </w:r>
            <w:r>
              <w:rPr>
                <w:noProof/>
                <w:webHidden/>
              </w:rPr>
              <w:fldChar w:fldCharType="separate"/>
            </w:r>
            <w:r w:rsidR="00217A4B">
              <w:rPr>
                <w:noProof/>
                <w:webHidden/>
              </w:rPr>
              <w:t>23</w:t>
            </w:r>
            <w:r>
              <w:rPr>
                <w:noProof/>
                <w:webHidden/>
              </w:rPr>
              <w:fldChar w:fldCharType="end"/>
            </w:r>
          </w:hyperlink>
        </w:p>
        <w:p w:rsidR="00250432" w:rsidRDefault="00250432" w14:paraId="27DBB4FA" w14:textId="4C1D2DE9">
          <w:pPr>
            <w:pStyle w:val="TOC3"/>
            <w:tabs>
              <w:tab w:val="right" w:leader="dot" w:pos="9350"/>
            </w:tabs>
            <w:rPr>
              <w:rFonts w:asciiTheme="minorHAnsi" w:hAnsiTheme="minorHAnsi" w:cstheme="minorBidi"/>
              <w:noProof/>
              <w:kern w:val="2"/>
              <w:sz w:val="24"/>
              <w:szCs w:val="24"/>
              <w14:ligatures w14:val="standardContextual"/>
            </w:rPr>
          </w:pPr>
          <w:hyperlink w:history="1" w:anchor="_Toc206771085">
            <w:r w:rsidRPr="00AC1E94">
              <w:rPr>
                <w:rStyle w:val="Hyperlink"/>
                <w:noProof/>
              </w:rPr>
              <w:t>4.2 SGIP Handbook Modifications</w:t>
            </w:r>
            <w:r>
              <w:rPr>
                <w:noProof/>
                <w:webHidden/>
              </w:rPr>
              <w:tab/>
            </w:r>
            <w:r>
              <w:rPr>
                <w:noProof/>
                <w:webHidden/>
              </w:rPr>
              <w:fldChar w:fldCharType="begin"/>
            </w:r>
            <w:r>
              <w:rPr>
                <w:noProof/>
                <w:webHidden/>
              </w:rPr>
              <w:instrText xml:space="preserve"> PAGEREF _Toc206771085 \h </w:instrText>
            </w:r>
            <w:r>
              <w:rPr>
                <w:noProof/>
                <w:webHidden/>
              </w:rPr>
            </w:r>
            <w:r>
              <w:rPr>
                <w:noProof/>
                <w:webHidden/>
              </w:rPr>
              <w:fldChar w:fldCharType="separate"/>
            </w:r>
            <w:r w:rsidR="00217A4B">
              <w:rPr>
                <w:noProof/>
                <w:webHidden/>
              </w:rPr>
              <w:t>25</w:t>
            </w:r>
            <w:r>
              <w:rPr>
                <w:noProof/>
                <w:webHidden/>
              </w:rPr>
              <w:fldChar w:fldCharType="end"/>
            </w:r>
          </w:hyperlink>
        </w:p>
        <w:p w:rsidR="00250432" w:rsidRDefault="00250432" w14:paraId="32BA9112" w14:textId="16771625">
          <w:pPr>
            <w:pStyle w:val="TOC4"/>
            <w:tabs>
              <w:tab w:val="right" w:leader="dot" w:pos="9350"/>
            </w:tabs>
            <w:rPr>
              <w:rFonts w:asciiTheme="minorHAnsi" w:hAnsiTheme="minorHAnsi" w:eastAsiaTheme="minorEastAsia"/>
              <w:noProof/>
              <w:kern w:val="2"/>
              <w:sz w:val="24"/>
              <w:szCs w:val="24"/>
              <w14:ligatures w14:val="standardContextual"/>
            </w:rPr>
          </w:pPr>
          <w:hyperlink w:history="1" w:anchor="_Toc206771086">
            <w:r w:rsidRPr="00AC1E94">
              <w:rPr>
                <w:rStyle w:val="Hyperlink"/>
                <w:noProof/>
              </w:rPr>
              <w:t>4.2.1 Party Comments</w:t>
            </w:r>
            <w:r>
              <w:rPr>
                <w:noProof/>
                <w:webHidden/>
              </w:rPr>
              <w:tab/>
            </w:r>
            <w:r>
              <w:rPr>
                <w:noProof/>
                <w:webHidden/>
              </w:rPr>
              <w:fldChar w:fldCharType="begin"/>
            </w:r>
            <w:r>
              <w:rPr>
                <w:noProof/>
                <w:webHidden/>
              </w:rPr>
              <w:instrText xml:space="preserve"> PAGEREF _Toc206771086 \h </w:instrText>
            </w:r>
            <w:r>
              <w:rPr>
                <w:noProof/>
                <w:webHidden/>
              </w:rPr>
            </w:r>
            <w:r>
              <w:rPr>
                <w:noProof/>
                <w:webHidden/>
              </w:rPr>
              <w:fldChar w:fldCharType="separate"/>
            </w:r>
            <w:r w:rsidR="00217A4B">
              <w:rPr>
                <w:noProof/>
                <w:webHidden/>
              </w:rPr>
              <w:t>25</w:t>
            </w:r>
            <w:r>
              <w:rPr>
                <w:noProof/>
                <w:webHidden/>
              </w:rPr>
              <w:fldChar w:fldCharType="end"/>
            </w:r>
          </w:hyperlink>
        </w:p>
        <w:p w:rsidR="00250432" w:rsidRDefault="00250432" w14:paraId="3A5C3D80" w14:textId="71993C64">
          <w:pPr>
            <w:pStyle w:val="TOC4"/>
            <w:tabs>
              <w:tab w:val="right" w:leader="dot" w:pos="9350"/>
            </w:tabs>
            <w:rPr>
              <w:rFonts w:asciiTheme="minorHAnsi" w:hAnsiTheme="minorHAnsi" w:eastAsiaTheme="minorEastAsia"/>
              <w:noProof/>
              <w:kern w:val="2"/>
              <w:sz w:val="24"/>
              <w:szCs w:val="24"/>
              <w14:ligatures w14:val="standardContextual"/>
            </w:rPr>
          </w:pPr>
          <w:hyperlink w:history="1" w:anchor="_Toc206771087">
            <w:r w:rsidRPr="00AC1E94">
              <w:rPr>
                <w:rStyle w:val="Hyperlink"/>
                <w:noProof/>
              </w:rPr>
              <w:t>4.2.2 Discussion and Analysis</w:t>
            </w:r>
            <w:r>
              <w:rPr>
                <w:noProof/>
                <w:webHidden/>
              </w:rPr>
              <w:tab/>
            </w:r>
            <w:r>
              <w:rPr>
                <w:noProof/>
                <w:webHidden/>
              </w:rPr>
              <w:fldChar w:fldCharType="begin"/>
            </w:r>
            <w:r>
              <w:rPr>
                <w:noProof/>
                <w:webHidden/>
              </w:rPr>
              <w:instrText xml:space="preserve"> PAGEREF _Toc206771087 \h </w:instrText>
            </w:r>
            <w:r>
              <w:rPr>
                <w:noProof/>
                <w:webHidden/>
              </w:rPr>
            </w:r>
            <w:r>
              <w:rPr>
                <w:noProof/>
                <w:webHidden/>
              </w:rPr>
              <w:fldChar w:fldCharType="separate"/>
            </w:r>
            <w:r w:rsidR="00217A4B">
              <w:rPr>
                <w:noProof/>
                <w:webHidden/>
              </w:rPr>
              <w:t>26</w:t>
            </w:r>
            <w:r>
              <w:rPr>
                <w:noProof/>
                <w:webHidden/>
              </w:rPr>
              <w:fldChar w:fldCharType="end"/>
            </w:r>
          </w:hyperlink>
        </w:p>
        <w:p w:rsidR="00250432" w:rsidRDefault="00250432" w14:paraId="7FB028CB" w14:textId="1EAEB5F3">
          <w:pPr>
            <w:pStyle w:val="TOC2"/>
            <w:tabs>
              <w:tab w:val="right" w:leader="dot" w:pos="9350"/>
            </w:tabs>
            <w:rPr>
              <w:rFonts w:asciiTheme="minorHAnsi" w:hAnsiTheme="minorHAnsi" w:cstheme="minorBidi"/>
              <w:noProof/>
              <w:kern w:val="2"/>
              <w:sz w:val="24"/>
              <w:szCs w:val="24"/>
              <w14:ligatures w14:val="standardContextual"/>
            </w:rPr>
          </w:pPr>
          <w:hyperlink w:history="1" w:anchor="_Toc206771088">
            <w:r w:rsidRPr="00AC1E94">
              <w:rPr>
                <w:rStyle w:val="Hyperlink"/>
                <w:noProof/>
              </w:rPr>
              <w:t>4.3 Ratepayer and GGRF SGIP Measurement and Evaluation</w:t>
            </w:r>
            <w:r>
              <w:rPr>
                <w:noProof/>
                <w:webHidden/>
              </w:rPr>
              <w:tab/>
            </w:r>
            <w:r>
              <w:rPr>
                <w:noProof/>
                <w:webHidden/>
              </w:rPr>
              <w:fldChar w:fldCharType="begin"/>
            </w:r>
            <w:r>
              <w:rPr>
                <w:noProof/>
                <w:webHidden/>
              </w:rPr>
              <w:instrText xml:space="preserve"> PAGEREF _Toc206771088 \h </w:instrText>
            </w:r>
            <w:r>
              <w:rPr>
                <w:noProof/>
                <w:webHidden/>
              </w:rPr>
            </w:r>
            <w:r>
              <w:rPr>
                <w:noProof/>
                <w:webHidden/>
              </w:rPr>
              <w:fldChar w:fldCharType="separate"/>
            </w:r>
            <w:r w:rsidR="00217A4B">
              <w:rPr>
                <w:noProof/>
                <w:webHidden/>
              </w:rPr>
              <w:t>27</w:t>
            </w:r>
            <w:r>
              <w:rPr>
                <w:noProof/>
                <w:webHidden/>
              </w:rPr>
              <w:fldChar w:fldCharType="end"/>
            </w:r>
          </w:hyperlink>
        </w:p>
        <w:p w:rsidR="00250432" w:rsidRDefault="00250432" w14:paraId="2419F706" w14:textId="2F86FB3A">
          <w:pPr>
            <w:pStyle w:val="TOC3"/>
            <w:tabs>
              <w:tab w:val="right" w:leader="dot" w:pos="9350"/>
            </w:tabs>
            <w:rPr>
              <w:rFonts w:asciiTheme="minorHAnsi" w:hAnsiTheme="minorHAnsi" w:cstheme="minorBidi"/>
              <w:noProof/>
              <w:kern w:val="2"/>
              <w:sz w:val="24"/>
              <w:szCs w:val="24"/>
              <w14:ligatures w14:val="standardContextual"/>
            </w:rPr>
          </w:pPr>
          <w:hyperlink w:history="1" w:anchor="_Toc206771089">
            <w:r w:rsidRPr="00AC1E94">
              <w:rPr>
                <w:rStyle w:val="Hyperlink"/>
                <w:noProof/>
              </w:rPr>
              <w:t>4.3.1 Party Comments</w:t>
            </w:r>
            <w:r>
              <w:rPr>
                <w:noProof/>
                <w:webHidden/>
              </w:rPr>
              <w:tab/>
            </w:r>
            <w:r>
              <w:rPr>
                <w:noProof/>
                <w:webHidden/>
              </w:rPr>
              <w:fldChar w:fldCharType="begin"/>
            </w:r>
            <w:r>
              <w:rPr>
                <w:noProof/>
                <w:webHidden/>
              </w:rPr>
              <w:instrText xml:space="preserve"> PAGEREF _Toc206771089 \h </w:instrText>
            </w:r>
            <w:r>
              <w:rPr>
                <w:noProof/>
                <w:webHidden/>
              </w:rPr>
            </w:r>
            <w:r>
              <w:rPr>
                <w:noProof/>
                <w:webHidden/>
              </w:rPr>
              <w:fldChar w:fldCharType="separate"/>
            </w:r>
            <w:r w:rsidR="00217A4B">
              <w:rPr>
                <w:noProof/>
                <w:webHidden/>
              </w:rPr>
              <w:t>28</w:t>
            </w:r>
            <w:r>
              <w:rPr>
                <w:noProof/>
                <w:webHidden/>
              </w:rPr>
              <w:fldChar w:fldCharType="end"/>
            </w:r>
          </w:hyperlink>
        </w:p>
        <w:p w:rsidR="00250432" w:rsidRDefault="00250432" w14:paraId="13265DA6" w14:textId="6860B2A4">
          <w:pPr>
            <w:pStyle w:val="TOC3"/>
            <w:tabs>
              <w:tab w:val="right" w:leader="dot" w:pos="9350"/>
            </w:tabs>
            <w:rPr>
              <w:rFonts w:asciiTheme="minorHAnsi" w:hAnsiTheme="minorHAnsi" w:cstheme="minorBidi"/>
              <w:noProof/>
              <w:kern w:val="2"/>
              <w:sz w:val="24"/>
              <w:szCs w:val="24"/>
              <w14:ligatures w14:val="standardContextual"/>
            </w:rPr>
          </w:pPr>
          <w:hyperlink w:history="1" w:anchor="_Toc206771090">
            <w:r w:rsidRPr="00AC1E94">
              <w:rPr>
                <w:rStyle w:val="Hyperlink"/>
                <w:noProof/>
              </w:rPr>
              <w:t>4.3.2 Discussion and Analysis</w:t>
            </w:r>
            <w:r>
              <w:rPr>
                <w:noProof/>
                <w:webHidden/>
              </w:rPr>
              <w:tab/>
            </w:r>
            <w:r>
              <w:rPr>
                <w:noProof/>
                <w:webHidden/>
              </w:rPr>
              <w:fldChar w:fldCharType="begin"/>
            </w:r>
            <w:r>
              <w:rPr>
                <w:noProof/>
                <w:webHidden/>
              </w:rPr>
              <w:instrText xml:space="preserve"> PAGEREF _Toc206771090 \h </w:instrText>
            </w:r>
            <w:r>
              <w:rPr>
                <w:noProof/>
                <w:webHidden/>
              </w:rPr>
            </w:r>
            <w:r>
              <w:rPr>
                <w:noProof/>
                <w:webHidden/>
              </w:rPr>
              <w:fldChar w:fldCharType="separate"/>
            </w:r>
            <w:r w:rsidR="00217A4B">
              <w:rPr>
                <w:noProof/>
                <w:webHidden/>
              </w:rPr>
              <w:t>29</w:t>
            </w:r>
            <w:r>
              <w:rPr>
                <w:noProof/>
                <w:webHidden/>
              </w:rPr>
              <w:fldChar w:fldCharType="end"/>
            </w:r>
          </w:hyperlink>
        </w:p>
        <w:p w:rsidR="00250432" w:rsidRDefault="00250432" w14:paraId="41E3732F" w14:textId="60B21DDC">
          <w:pPr>
            <w:pStyle w:val="TOC1"/>
            <w:tabs>
              <w:tab w:val="right" w:leader="dot" w:pos="9350"/>
            </w:tabs>
            <w:rPr>
              <w:rFonts w:asciiTheme="minorHAnsi" w:hAnsiTheme="minorHAnsi" w:cstheme="minorBidi"/>
              <w:noProof/>
              <w:kern w:val="2"/>
              <w:sz w:val="24"/>
              <w:szCs w:val="24"/>
              <w14:ligatures w14:val="standardContextual"/>
            </w:rPr>
          </w:pPr>
          <w:hyperlink w:history="1" w:anchor="_Toc206771091">
            <w:r w:rsidRPr="00AC1E94">
              <w:rPr>
                <w:rStyle w:val="Hyperlink"/>
                <w:noProof/>
              </w:rPr>
              <w:t>5.</w:t>
            </w:r>
            <w:r>
              <w:rPr>
                <w:rFonts w:asciiTheme="minorHAnsi" w:hAnsiTheme="minorHAnsi" w:cstheme="minorBidi"/>
                <w:noProof/>
                <w:kern w:val="2"/>
                <w:sz w:val="24"/>
                <w:szCs w:val="24"/>
                <w14:ligatures w14:val="standardContextual"/>
              </w:rPr>
              <w:tab/>
            </w:r>
            <w:r w:rsidRPr="00AC1E94">
              <w:rPr>
                <w:rStyle w:val="Hyperlink"/>
                <w:noProof/>
              </w:rPr>
              <w:t>GGRF SGIP Implementation and Closeout Process</w:t>
            </w:r>
            <w:r>
              <w:rPr>
                <w:noProof/>
                <w:webHidden/>
              </w:rPr>
              <w:tab/>
            </w:r>
            <w:r>
              <w:rPr>
                <w:noProof/>
                <w:webHidden/>
              </w:rPr>
              <w:fldChar w:fldCharType="begin"/>
            </w:r>
            <w:r>
              <w:rPr>
                <w:noProof/>
                <w:webHidden/>
              </w:rPr>
              <w:instrText xml:space="preserve"> PAGEREF _Toc206771091 \h </w:instrText>
            </w:r>
            <w:r>
              <w:rPr>
                <w:noProof/>
                <w:webHidden/>
              </w:rPr>
            </w:r>
            <w:r>
              <w:rPr>
                <w:noProof/>
                <w:webHidden/>
              </w:rPr>
              <w:fldChar w:fldCharType="separate"/>
            </w:r>
            <w:r w:rsidR="00217A4B">
              <w:rPr>
                <w:noProof/>
                <w:webHidden/>
              </w:rPr>
              <w:t>29</w:t>
            </w:r>
            <w:r>
              <w:rPr>
                <w:noProof/>
                <w:webHidden/>
              </w:rPr>
              <w:fldChar w:fldCharType="end"/>
            </w:r>
          </w:hyperlink>
        </w:p>
        <w:p w:rsidR="00250432" w:rsidRDefault="00250432" w14:paraId="4DC6AFA9" w14:textId="2C306A6C">
          <w:pPr>
            <w:pStyle w:val="TOC2"/>
            <w:tabs>
              <w:tab w:val="right" w:leader="dot" w:pos="9350"/>
            </w:tabs>
            <w:rPr>
              <w:rFonts w:asciiTheme="minorHAnsi" w:hAnsiTheme="minorHAnsi" w:cstheme="minorBidi"/>
              <w:noProof/>
              <w:kern w:val="2"/>
              <w:sz w:val="24"/>
              <w:szCs w:val="24"/>
              <w14:ligatures w14:val="standardContextual"/>
            </w:rPr>
          </w:pPr>
          <w:hyperlink w:history="1" w:anchor="_Toc206771092">
            <w:r w:rsidRPr="00AC1E94">
              <w:rPr>
                <w:rStyle w:val="Hyperlink"/>
                <w:noProof/>
              </w:rPr>
              <w:t>5.1 GGRF SGIP Timeline and Closeout</w:t>
            </w:r>
            <w:r>
              <w:rPr>
                <w:noProof/>
                <w:webHidden/>
              </w:rPr>
              <w:tab/>
            </w:r>
            <w:r>
              <w:rPr>
                <w:noProof/>
                <w:webHidden/>
              </w:rPr>
              <w:fldChar w:fldCharType="begin"/>
            </w:r>
            <w:r>
              <w:rPr>
                <w:noProof/>
                <w:webHidden/>
              </w:rPr>
              <w:instrText xml:space="preserve"> PAGEREF _Toc206771092 \h </w:instrText>
            </w:r>
            <w:r>
              <w:rPr>
                <w:noProof/>
                <w:webHidden/>
              </w:rPr>
            </w:r>
            <w:r>
              <w:rPr>
                <w:noProof/>
                <w:webHidden/>
              </w:rPr>
              <w:fldChar w:fldCharType="separate"/>
            </w:r>
            <w:r w:rsidR="00217A4B">
              <w:rPr>
                <w:noProof/>
                <w:webHidden/>
              </w:rPr>
              <w:t>30</w:t>
            </w:r>
            <w:r>
              <w:rPr>
                <w:noProof/>
                <w:webHidden/>
              </w:rPr>
              <w:fldChar w:fldCharType="end"/>
            </w:r>
          </w:hyperlink>
        </w:p>
        <w:p w:rsidR="00250432" w:rsidRDefault="00250432" w14:paraId="5A4DBB36" w14:textId="586F817B">
          <w:pPr>
            <w:pStyle w:val="TOC3"/>
            <w:tabs>
              <w:tab w:val="right" w:leader="dot" w:pos="9350"/>
            </w:tabs>
            <w:rPr>
              <w:rFonts w:asciiTheme="minorHAnsi" w:hAnsiTheme="minorHAnsi" w:cstheme="minorBidi"/>
              <w:noProof/>
              <w:kern w:val="2"/>
              <w:sz w:val="24"/>
              <w:szCs w:val="24"/>
              <w14:ligatures w14:val="standardContextual"/>
            </w:rPr>
          </w:pPr>
          <w:hyperlink w:history="1" w:anchor="_Toc206771093">
            <w:r w:rsidRPr="00AC1E94">
              <w:rPr>
                <w:rStyle w:val="Hyperlink"/>
                <w:noProof/>
              </w:rPr>
              <w:t>5.1.1 Party Comments</w:t>
            </w:r>
            <w:r>
              <w:rPr>
                <w:noProof/>
                <w:webHidden/>
              </w:rPr>
              <w:tab/>
            </w:r>
            <w:r>
              <w:rPr>
                <w:noProof/>
                <w:webHidden/>
              </w:rPr>
              <w:fldChar w:fldCharType="begin"/>
            </w:r>
            <w:r>
              <w:rPr>
                <w:noProof/>
                <w:webHidden/>
              </w:rPr>
              <w:instrText xml:space="preserve"> PAGEREF _Toc206771093 \h </w:instrText>
            </w:r>
            <w:r>
              <w:rPr>
                <w:noProof/>
                <w:webHidden/>
              </w:rPr>
            </w:r>
            <w:r>
              <w:rPr>
                <w:noProof/>
                <w:webHidden/>
              </w:rPr>
              <w:fldChar w:fldCharType="separate"/>
            </w:r>
            <w:r w:rsidR="00217A4B">
              <w:rPr>
                <w:noProof/>
                <w:webHidden/>
              </w:rPr>
              <w:t>30</w:t>
            </w:r>
            <w:r>
              <w:rPr>
                <w:noProof/>
                <w:webHidden/>
              </w:rPr>
              <w:fldChar w:fldCharType="end"/>
            </w:r>
          </w:hyperlink>
        </w:p>
        <w:p w:rsidR="00250432" w:rsidRDefault="00250432" w14:paraId="7313F821" w14:textId="48C73A21">
          <w:pPr>
            <w:pStyle w:val="TOC3"/>
            <w:tabs>
              <w:tab w:val="right" w:leader="dot" w:pos="9350"/>
            </w:tabs>
            <w:rPr>
              <w:rFonts w:asciiTheme="minorHAnsi" w:hAnsiTheme="minorHAnsi" w:cstheme="minorBidi"/>
              <w:noProof/>
              <w:kern w:val="2"/>
              <w:sz w:val="24"/>
              <w:szCs w:val="24"/>
              <w14:ligatures w14:val="standardContextual"/>
            </w:rPr>
          </w:pPr>
          <w:hyperlink w:history="1" w:anchor="_Toc206771094">
            <w:r w:rsidRPr="00AC1E94">
              <w:rPr>
                <w:rStyle w:val="Hyperlink"/>
                <w:noProof/>
              </w:rPr>
              <w:t>5.1.2 Discussion and Analysis</w:t>
            </w:r>
            <w:r>
              <w:rPr>
                <w:noProof/>
                <w:webHidden/>
              </w:rPr>
              <w:tab/>
            </w:r>
            <w:r>
              <w:rPr>
                <w:noProof/>
                <w:webHidden/>
              </w:rPr>
              <w:fldChar w:fldCharType="begin"/>
            </w:r>
            <w:r>
              <w:rPr>
                <w:noProof/>
                <w:webHidden/>
              </w:rPr>
              <w:instrText xml:space="preserve"> PAGEREF _Toc206771094 \h </w:instrText>
            </w:r>
            <w:r>
              <w:rPr>
                <w:noProof/>
                <w:webHidden/>
              </w:rPr>
            </w:r>
            <w:r>
              <w:rPr>
                <w:noProof/>
                <w:webHidden/>
              </w:rPr>
              <w:fldChar w:fldCharType="separate"/>
            </w:r>
            <w:r w:rsidR="00217A4B">
              <w:rPr>
                <w:noProof/>
                <w:webHidden/>
              </w:rPr>
              <w:t>32</w:t>
            </w:r>
            <w:r>
              <w:rPr>
                <w:noProof/>
                <w:webHidden/>
              </w:rPr>
              <w:fldChar w:fldCharType="end"/>
            </w:r>
          </w:hyperlink>
        </w:p>
        <w:p w:rsidR="00250432" w:rsidRDefault="00250432" w14:paraId="6023114F" w14:textId="1E0DD3CA">
          <w:pPr>
            <w:pStyle w:val="TOC2"/>
            <w:tabs>
              <w:tab w:val="right" w:leader="dot" w:pos="9350"/>
            </w:tabs>
            <w:rPr>
              <w:rFonts w:asciiTheme="minorHAnsi" w:hAnsiTheme="minorHAnsi" w:cstheme="minorBidi"/>
              <w:noProof/>
              <w:kern w:val="2"/>
              <w:sz w:val="24"/>
              <w:szCs w:val="24"/>
              <w14:ligatures w14:val="standardContextual"/>
            </w:rPr>
          </w:pPr>
          <w:hyperlink w:history="1" w:anchor="_Toc206771095">
            <w:r w:rsidRPr="00AC1E94">
              <w:rPr>
                <w:rStyle w:val="Hyperlink"/>
                <w:noProof/>
              </w:rPr>
              <w:t>5.2 GGRF Administrative Budget and Accumulated Interest</w:t>
            </w:r>
            <w:r>
              <w:rPr>
                <w:noProof/>
                <w:webHidden/>
              </w:rPr>
              <w:tab/>
            </w:r>
            <w:r>
              <w:rPr>
                <w:noProof/>
                <w:webHidden/>
              </w:rPr>
              <w:fldChar w:fldCharType="begin"/>
            </w:r>
            <w:r>
              <w:rPr>
                <w:noProof/>
                <w:webHidden/>
              </w:rPr>
              <w:instrText xml:space="preserve"> PAGEREF _Toc206771095 \h </w:instrText>
            </w:r>
            <w:r>
              <w:rPr>
                <w:noProof/>
                <w:webHidden/>
              </w:rPr>
            </w:r>
            <w:r>
              <w:rPr>
                <w:noProof/>
                <w:webHidden/>
              </w:rPr>
              <w:fldChar w:fldCharType="separate"/>
            </w:r>
            <w:r w:rsidR="00217A4B">
              <w:rPr>
                <w:noProof/>
                <w:webHidden/>
              </w:rPr>
              <w:t>34</w:t>
            </w:r>
            <w:r>
              <w:rPr>
                <w:noProof/>
                <w:webHidden/>
              </w:rPr>
              <w:fldChar w:fldCharType="end"/>
            </w:r>
          </w:hyperlink>
        </w:p>
        <w:p w:rsidR="00250432" w:rsidRDefault="00250432" w14:paraId="3C5BDF56" w14:textId="1382B105">
          <w:pPr>
            <w:pStyle w:val="TOC3"/>
            <w:tabs>
              <w:tab w:val="right" w:leader="dot" w:pos="9350"/>
            </w:tabs>
            <w:rPr>
              <w:rFonts w:asciiTheme="minorHAnsi" w:hAnsiTheme="minorHAnsi" w:cstheme="minorBidi"/>
              <w:noProof/>
              <w:kern w:val="2"/>
              <w:sz w:val="24"/>
              <w:szCs w:val="24"/>
              <w14:ligatures w14:val="standardContextual"/>
            </w:rPr>
          </w:pPr>
          <w:hyperlink w:history="1" w:anchor="_Toc206771096">
            <w:r w:rsidRPr="00AC1E94">
              <w:rPr>
                <w:rStyle w:val="Hyperlink"/>
                <w:noProof/>
              </w:rPr>
              <w:t>5.2.1 Comments</w:t>
            </w:r>
            <w:r>
              <w:rPr>
                <w:noProof/>
                <w:webHidden/>
              </w:rPr>
              <w:tab/>
            </w:r>
            <w:r>
              <w:rPr>
                <w:noProof/>
                <w:webHidden/>
              </w:rPr>
              <w:fldChar w:fldCharType="begin"/>
            </w:r>
            <w:r>
              <w:rPr>
                <w:noProof/>
                <w:webHidden/>
              </w:rPr>
              <w:instrText xml:space="preserve"> PAGEREF _Toc206771096 \h </w:instrText>
            </w:r>
            <w:r>
              <w:rPr>
                <w:noProof/>
                <w:webHidden/>
              </w:rPr>
            </w:r>
            <w:r>
              <w:rPr>
                <w:noProof/>
                <w:webHidden/>
              </w:rPr>
              <w:fldChar w:fldCharType="separate"/>
            </w:r>
            <w:r w:rsidR="00217A4B">
              <w:rPr>
                <w:noProof/>
                <w:webHidden/>
              </w:rPr>
              <w:t>34</w:t>
            </w:r>
            <w:r>
              <w:rPr>
                <w:noProof/>
                <w:webHidden/>
              </w:rPr>
              <w:fldChar w:fldCharType="end"/>
            </w:r>
          </w:hyperlink>
        </w:p>
        <w:p w:rsidR="00250432" w:rsidRDefault="00250432" w14:paraId="2B93C5B4" w14:textId="17CDCEFB">
          <w:pPr>
            <w:pStyle w:val="TOC3"/>
            <w:tabs>
              <w:tab w:val="right" w:leader="dot" w:pos="9350"/>
            </w:tabs>
            <w:rPr>
              <w:rFonts w:asciiTheme="minorHAnsi" w:hAnsiTheme="minorHAnsi" w:cstheme="minorBidi"/>
              <w:noProof/>
              <w:kern w:val="2"/>
              <w:sz w:val="24"/>
              <w:szCs w:val="24"/>
              <w14:ligatures w14:val="standardContextual"/>
            </w:rPr>
          </w:pPr>
          <w:hyperlink w:history="1" w:anchor="_Toc206771097">
            <w:r w:rsidRPr="00AC1E94">
              <w:rPr>
                <w:rStyle w:val="Hyperlink"/>
                <w:noProof/>
              </w:rPr>
              <w:t>5.2.2 Discussion and Analysis</w:t>
            </w:r>
            <w:r>
              <w:rPr>
                <w:noProof/>
                <w:webHidden/>
              </w:rPr>
              <w:tab/>
            </w:r>
            <w:r>
              <w:rPr>
                <w:noProof/>
                <w:webHidden/>
              </w:rPr>
              <w:fldChar w:fldCharType="begin"/>
            </w:r>
            <w:r>
              <w:rPr>
                <w:noProof/>
                <w:webHidden/>
              </w:rPr>
              <w:instrText xml:space="preserve"> PAGEREF _Toc206771097 \h </w:instrText>
            </w:r>
            <w:r>
              <w:rPr>
                <w:noProof/>
                <w:webHidden/>
              </w:rPr>
            </w:r>
            <w:r>
              <w:rPr>
                <w:noProof/>
                <w:webHidden/>
              </w:rPr>
              <w:fldChar w:fldCharType="separate"/>
            </w:r>
            <w:r w:rsidR="00217A4B">
              <w:rPr>
                <w:noProof/>
                <w:webHidden/>
              </w:rPr>
              <w:t>35</w:t>
            </w:r>
            <w:r>
              <w:rPr>
                <w:noProof/>
                <w:webHidden/>
              </w:rPr>
              <w:fldChar w:fldCharType="end"/>
            </w:r>
          </w:hyperlink>
        </w:p>
        <w:p w:rsidR="00250432" w:rsidRDefault="00250432" w14:paraId="5F144D9A" w14:textId="4D8A3592">
          <w:pPr>
            <w:pStyle w:val="TOC1"/>
            <w:tabs>
              <w:tab w:val="right" w:leader="dot" w:pos="9350"/>
            </w:tabs>
            <w:rPr>
              <w:rFonts w:asciiTheme="minorHAnsi" w:hAnsiTheme="minorHAnsi" w:cstheme="minorBidi"/>
              <w:noProof/>
              <w:kern w:val="2"/>
              <w:sz w:val="24"/>
              <w:szCs w:val="24"/>
              <w14:ligatures w14:val="standardContextual"/>
            </w:rPr>
          </w:pPr>
          <w:hyperlink w:history="1" w:anchor="_Toc206771098">
            <w:r w:rsidRPr="00AC1E94">
              <w:rPr>
                <w:rStyle w:val="Hyperlink"/>
                <w:noProof/>
              </w:rPr>
              <w:t>6.</w:t>
            </w:r>
            <w:r>
              <w:rPr>
                <w:rFonts w:asciiTheme="minorHAnsi" w:hAnsiTheme="minorHAnsi" w:cstheme="minorBidi"/>
                <w:noProof/>
                <w:kern w:val="2"/>
                <w:sz w:val="24"/>
                <w:szCs w:val="24"/>
                <w14:ligatures w14:val="standardContextual"/>
              </w:rPr>
              <w:tab/>
            </w:r>
            <w:r w:rsidRPr="00AC1E94">
              <w:rPr>
                <w:rStyle w:val="Hyperlink"/>
                <w:noProof/>
              </w:rPr>
              <w:t>Comments on Proposed Decision</w:t>
            </w:r>
            <w:r>
              <w:rPr>
                <w:noProof/>
                <w:webHidden/>
              </w:rPr>
              <w:tab/>
            </w:r>
            <w:r>
              <w:rPr>
                <w:noProof/>
                <w:webHidden/>
              </w:rPr>
              <w:fldChar w:fldCharType="begin"/>
            </w:r>
            <w:r>
              <w:rPr>
                <w:noProof/>
                <w:webHidden/>
              </w:rPr>
              <w:instrText xml:space="preserve"> PAGEREF _Toc206771098 \h </w:instrText>
            </w:r>
            <w:r>
              <w:rPr>
                <w:noProof/>
                <w:webHidden/>
              </w:rPr>
            </w:r>
            <w:r>
              <w:rPr>
                <w:noProof/>
                <w:webHidden/>
              </w:rPr>
              <w:fldChar w:fldCharType="separate"/>
            </w:r>
            <w:r w:rsidR="00217A4B">
              <w:rPr>
                <w:noProof/>
                <w:webHidden/>
              </w:rPr>
              <w:t>36</w:t>
            </w:r>
            <w:r>
              <w:rPr>
                <w:noProof/>
                <w:webHidden/>
              </w:rPr>
              <w:fldChar w:fldCharType="end"/>
            </w:r>
          </w:hyperlink>
        </w:p>
        <w:p w:rsidR="00250432" w:rsidRDefault="00250432" w14:paraId="28F1E42A" w14:textId="4A35F955">
          <w:pPr>
            <w:pStyle w:val="TOC1"/>
            <w:tabs>
              <w:tab w:val="right" w:leader="dot" w:pos="9350"/>
            </w:tabs>
            <w:rPr>
              <w:rFonts w:asciiTheme="minorHAnsi" w:hAnsiTheme="minorHAnsi" w:cstheme="minorBidi"/>
              <w:noProof/>
              <w:kern w:val="2"/>
              <w:sz w:val="24"/>
              <w:szCs w:val="24"/>
              <w14:ligatures w14:val="standardContextual"/>
            </w:rPr>
          </w:pPr>
          <w:hyperlink w:history="1" w:anchor="_Toc206771099">
            <w:r w:rsidRPr="00AC1E94">
              <w:rPr>
                <w:rStyle w:val="Hyperlink"/>
                <w:noProof/>
              </w:rPr>
              <w:t>7.</w:t>
            </w:r>
            <w:r>
              <w:rPr>
                <w:rFonts w:asciiTheme="minorHAnsi" w:hAnsiTheme="minorHAnsi" w:cstheme="minorBidi"/>
                <w:noProof/>
                <w:kern w:val="2"/>
                <w:sz w:val="24"/>
                <w:szCs w:val="24"/>
                <w14:ligatures w14:val="standardContextual"/>
              </w:rPr>
              <w:tab/>
            </w:r>
            <w:r w:rsidRPr="00AC1E94">
              <w:rPr>
                <w:rStyle w:val="Hyperlink"/>
                <w:noProof/>
              </w:rPr>
              <w:t>Assignment of Proceeding</w:t>
            </w:r>
            <w:r>
              <w:rPr>
                <w:noProof/>
                <w:webHidden/>
              </w:rPr>
              <w:tab/>
            </w:r>
            <w:r>
              <w:rPr>
                <w:noProof/>
                <w:webHidden/>
              </w:rPr>
              <w:fldChar w:fldCharType="begin"/>
            </w:r>
            <w:r>
              <w:rPr>
                <w:noProof/>
                <w:webHidden/>
              </w:rPr>
              <w:instrText xml:space="preserve"> PAGEREF _Toc206771099 \h </w:instrText>
            </w:r>
            <w:r>
              <w:rPr>
                <w:noProof/>
                <w:webHidden/>
              </w:rPr>
            </w:r>
            <w:r>
              <w:rPr>
                <w:noProof/>
                <w:webHidden/>
              </w:rPr>
              <w:fldChar w:fldCharType="separate"/>
            </w:r>
            <w:r w:rsidR="00217A4B">
              <w:rPr>
                <w:noProof/>
                <w:webHidden/>
              </w:rPr>
              <w:t>52</w:t>
            </w:r>
            <w:r>
              <w:rPr>
                <w:noProof/>
                <w:webHidden/>
              </w:rPr>
              <w:fldChar w:fldCharType="end"/>
            </w:r>
          </w:hyperlink>
        </w:p>
        <w:p w:rsidR="00250432" w:rsidRDefault="00250432" w14:paraId="62CAE337" w14:textId="13AAFCCF">
          <w:pPr>
            <w:pStyle w:val="TOC1"/>
            <w:tabs>
              <w:tab w:val="right" w:leader="dot" w:pos="9350"/>
            </w:tabs>
            <w:rPr>
              <w:rFonts w:asciiTheme="minorHAnsi" w:hAnsiTheme="minorHAnsi" w:cstheme="minorBidi"/>
              <w:noProof/>
              <w:kern w:val="2"/>
              <w:sz w:val="24"/>
              <w:szCs w:val="24"/>
              <w14:ligatures w14:val="standardContextual"/>
            </w:rPr>
          </w:pPr>
          <w:hyperlink w:history="1" w:anchor="_Toc206771100">
            <w:r w:rsidRPr="00AC1E94">
              <w:rPr>
                <w:rStyle w:val="Hyperlink"/>
                <w:noProof/>
              </w:rPr>
              <w:t>Findings of Fact</w:t>
            </w:r>
            <w:r>
              <w:rPr>
                <w:noProof/>
                <w:webHidden/>
              </w:rPr>
              <w:tab/>
            </w:r>
            <w:r>
              <w:rPr>
                <w:noProof/>
                <w:webHidden/>
              </w:rPr>
              <w:fldChar w:fldCharType="begin"/>
            </w:r>
            <w:r>
              <w:rPr>
                <w:noProof/>
                <w:webHidden/>
              </w:rPr>
              <w:instrText xml:space="preserve"> PAGEREF _Toc206771100 \h </w:instrText>
            </w:r>
            <w:r>
              <w:rPr>
                <w:noProof/>
                <w:webHidden/>
              </w:rPr>
            </w:r>
            <w:r>
              <w:rPr>
                <w:noProof/>
                <w:webHidden/>
              </w:rPr>
              <w:fldChar w:fldCharType="separate"/>
            </w:r>
            <w:r w:rsidR="00217A4B">
              <w:rPr>
                <w:noProof/>
                <w:webHidden/>
              </w:rPr>
              <w:t>52</w:t>
            </w:r>
            <w:r>
              <w:rPr>
                <w:noProof/>
                <w:webHidden/>
              </w:rPr>
              <w:fldChar w:fldCharType="end"/>
            </w:r>
          </w:hyperlink>
        </w:p>
        <w:p w:rsidR="00250432" w:rsidRDefault="00250432" w14:paraId="1C7BAB85" w14:textId="21B15D41">
          <w:pPr>
            <w:pStyle w:val="TOC1"/>
            <w:tabs>
              <w:tab w:val="right" w:leader="dot" w:pos="9350"/>
            </w:tabs>
            <w:rPr>
              <w:rFonts w:asciiTheme="minorHAnsi" w:hAnsiTheme="minorHAnsi" w:cstheme="minorBidi"/>
              <w:noProof/>
              <w:kern w:val="2"/>
              <w:sz w:val="24"/>
              <w:szCs w:val="24"/>
              <w14:ligatures w14:val="standardContextual"/>
            </w:rPr>
          </w:pPr>
          <w:hyperlink w:history="1" w:anchor="_Toc206771101">
            <w:r w:rsidRPr="00AC1E94">
              <w:rPr>
                <w:rStyle w:val="Hyperlink"/>
                <w:noProof/>
              </w:rPr>
              <w:t>Conclusions of Law</w:t>
            </w:r>
            <w:r>
              <w:rPr>
                <w:noProof/>
                <w:webHidden/>
              </w:rPr>
              <w:tab/>
            </w:r>
            <w:r>
              <w:rPr>
                <w:noProof/>
                <w:webHidden/>
              </w:rPr>
              <w:fldChar w:fldCharType="begin"/>
            </w:r>
            <w:r>
              <w:rPr>
                <w:noProof/>
                <w:webHidden/>
              </w:rPr>
              <w:instrText xml:space="preserve"> PAGEREF _Toc206771101 \h </w:instrText>
            </w:r>
            <w:r>
              <w:rPr>
                <w:noProof/>
                <w:webHidden/>
              </w:rPr>
            </w:r>
            <w:r>
              <w:rPr>
                <w:noProof/>
                <w:webHidden/>
              </w:rPr>
              <w:fldChar w:fldCharType="separate"/>
            </w:r>
            <w:r w:rsidR="00217A4B">
              <w:rPr>
                <w:noProof/>
                <w:webHidden/>
              </w:rPr>
              <w:t>52</w:t>
            </w:r>
            <w:r>
              <w:rPr>
                <w:noProof/>
                <w:webHidden/>
              </w:rPr>
              <w:fldChar w:fldCharType="end"/>
            </w:r>
          </w:hyperlink>
        </w:p>
        <w:p w:rsidR="00250432" w:rsidRDefault="00250432" w14:paraId="4F6FCE6E" w14:textId="2C53481A">
          <w:pPr>
            <w:pStyle w:val="TOC1"/>
            <w:tabs>
              <w:tab w:val="right" w:leader="dot" w:pos="9350"/>
            </w:tabs>
            <w:rPr>
              <w:rFonts w:asciiTheme="minorHAnsi" w:hAnsiTheme="minorHAnsi" w:cstheme="minorBidi"/>
              <w:noProof/>
              <w:kern w:val="2"/>
              <w:sz w:val="24"/>
              <w:szCs w:val="24"/>
              <w14:ligatures w14:val="standardContextual"/>
            </w:rPr>
          </w:pPr>
          <w:hyperlink w:history="1" w:anchor="_Toc206771102">
            <w:r w:rsidRPr="00AC1E94">
              <w:rPr>
                <w:rStyle w:val="Hyperlink"/>
                <w:noProof/>
              </w:rPr>
              <w:t>ORDER</w:t>
            </w:r>
            <w:r>
              <w:rPr>
                <w:noProof/>
                <w:webHidden/>
              </w:rPr>
              <w:tab/>
            </w:r>
            <w:r>
              <w:rPr>
                <w:noProof/>
                <w:webHidden/>
              </w:rPr>
              <w:fldChar w:fldCharType="begin"/>
            </w:r>
            <w:r>
              <w:rPr>
                <w:noProof/>
                <w:webHidden/>
              </w:rPr>
              <w:instrText xml:space="preserve"> PAGEREF _Toc206771102 \h </w:instrText>
            </w:r>
            <w:r>
              <w:rPr>
                <w:noProof/>
                <w:webHidden/>
              </w:rPr>
            </w:r>
            <w:r>
              <w:rPr>
                <w:noProof/>
                <w:webHidden/>
              </w:rPr>
              <w:fldChar w:fldCharType="separate"/>
            </w:r>
            <w:r w:rsidR="00217A4B">
              <w:rPr>
                <w:noProof/>
                <w:webHidden/>
              </w:rPr>
              <w:t>56</w:t>
            </w:r>
            <w:r>
              <w:rPr>
                <w:noProof/>
                <w:webHidden/>
              </w:rPr>
              <w:fldChar w:fldCharType="end"/>
            </w:r>
          </w:hyperlink>
        </w:p>
        <w:p w:rsidR="00250432" w:rsidRDefault="00250432" w14:paraId="0F4F25E2" w14:textId="1201DDD9">
          <w:pPr>
            <w:pStyle w:val="TOC1"/>
            <w:tabs>
              <w:tab w:val="right" w:leader="dot" w:pos="9350"/>
            </w:tabs>
            <w:rPr>
              <w:rFonts w:asciiTheme="minorHAnsi" w:hAnsiTheme="minorHAnsi" w:cstheme="minorBidi"/>
              <w:noProof/>
              <w:kern w:val="2"/>
              <w:sz w:val="24"/>
              <w:szCs w:val="24"/>
              <w14:ligatures w14:val="standardContextual"/>
            </w:rPr>
          </w:pPr>
          <w:hyperlink w:history="1" w:anchor="_Toc206771103">
            <w:r w:rsidRPr="00AC1E94">
              <w:rPr>
                <w:rStyle w:val="Hyperlink"/>
                <w:bCs/>
                <w:noProof/>
              </w:rPr>
              <w:t>Attachment A: Final SGIP M&amp;E Plan</w:t>
            </w:r>
            <w:r>
              <w:rPr>
                <w:noProof/>
                <w:webHidden/>
              </w:rPr>
              <w:tab/>
            </w:r>
            <w:r>
              <w:rPr>
                <w:noProof/>
                <w:webHidden/>
              </w:rPr>
              <w:fldChar w:fldCharType="begin"/>
            </w:r>
            <w:r>
              <w:rPr>
                <w:noProof/>
                <w:webHidden/>
              </w:rPr>
              <w:instrText xml:space="preserve"> PAGEREF _Toc206771103 \h </w:instrText>
            </w:r>
            <w:r>
              <w:rPr>
                <w:noProof/>
                <w:webHidden/>
              </w:rPr>
            </w:r>
            <w:r>
              <w:rPr>
                <w:noProof/>
                <w:webHidden/>
              </w:rPr>
              <w:fldChar w:fldCharType="separate"/>
            </w:r>
            <w:r w:rsidR="00217A4B">
              <w:rPr>
                <w:noProof/>
                <w:webHidden/>
              </w:rPr>
              <w:t>60</w:t>
            </w:r>
            <w:r>
              <w:rPr>
                <w:noProof/>
                <w:webHidden/>
              </w:rPr>
              <w:fldChar w:fldCharType="end"/>
            </w:r>
          </w:hyperlink>
        </w:p>
        <w:p w:rsidR="001A4649" w:rsidP="00B52B40" w:rsidRDefault="001A4649" w14:paraId="034CEEE3" w14:textId="6A6D135C">
          <w:pPr>
            <w:pStyle w:val="TOC1"/>
            <w:tabs>
              <w:tab w:val="right" w:leader="dot" w:pos="9345"/>
            </w:tabs>
            <w:rPr>
              <w:rStyle w:val="Hyperlink"/>
              <w:noProof/>
              <w:kern w:val="2"/>
              <w14:ligatures w14:val="standardContextual"/>
            </w:rPr>
          </w:pPr>
          <w:r>
            <w:fldChar w:fldCharType="end"/>
          </w:r>
        </w:p>
      </w:sdtContent>
    </w:sdt>
    <w:p w:rsidR="00D82A43" w:rsidP="008C7413" w:rsidRDefault="00D82A43" w14:paraId="03C2FF38" w14:textId="4DC1927C">
      <w:pPr>
        <w:pStyle w:val="TOC1"/>
        <w:tabs>
          <w:tab w:val="right" w:leader="dot" w:pos="9350"/>
        </w:tabs>
      </w:pPr>
    </w:p>
    <w:p w:rsidR="00F705D0" w:rsidP="00D44DB6" w:rsidRDefault="00F705D0" w14:paraId="5E647F8D" w14:textId="77777777">
      <w:pPr>
        <w:spacing w:line="240" w:lineRule="auto"/>
        <w:ind w:firstLine="0"/>
        <w:rPr>
          <w:rFonts w:cs="Arial"/>
          <w:i/>
          <w:szCs w:val="26"/>
        </w:rPr>
      </w:pPr>
    </w:p>
    <w:p w:rsidRPr="00D44DB6" w:rsidR="00D44DB6" w:rsidP="00D44DB6" w:rsidRDefault="00D44DB6" w14:paraId="48CD56EE" w14:textId="507E300B">
      <w:pPr>
        <w:spacing w:line="240" w:lineRule="auto"/>
        <w:ind w:firstLine="0"/>
        <w:rPr>
          <w:rFonts w:cs="Arial"/>
          <w:i/>
          <w:szCs w:val="26"/>
        </w:rPr>
        <w:sectPr w:rsidRPr="00D44DB6" w:rsidR="00D44DB6" w:rsidSect="00D44DB6">
          <w:headerReference w:type="default" r:id="rId13"/>
          <w:footerReference w:type="default" r:id="rId14"/>
          <w:pgSz w:w="12240" w:h="15840"/>
          <w:pgMar w:top="1728" w:right="1440" w:bottom="1440" w:left="1440" w:header="720" w:footer="720" w:gutter="0"/>
          <w:pgNumType w:fmt="lowerRoman" w:start="1"/>
          <w:cols w:space="720"/>
          <w:docGrid w:linePitch="360"/>
        </w:sectPr>
      </w:pPr>
    </w:p>
    <w:p w:rsidR="0098655A" w:rsidP="00D82A43" w:rsidRDefault="00163D0A" w14:paraId="088CC753" w14:textId="38B872DD">
      <w:pPr>
        <w:pStyle w:val="Main"/>
        <w:spacing w:after="240"/>
      </w:pPr>
      <w:r>
        <w:lastRenderedPageBreak/>
        <w:t xml:space="preserve"> decision </w:t>
      </w:r>
      <w:r w:rsidR="11D21950">
        <w:t>RETURNING</w:t>
      </w:r>
      <w:r>
        <w:t xml:space="preserve"> self-generation incentive program </w:t>
      </w:r>
      <w:r w:rsidR="3EDF159B">
        <w:t xml:space="preserve">FUNDS TO RATEPAYERS </w:t>
      </w:r>
      <w:r>
        <w:t>and</w:t>
      </w:r>
      <w:r w:rsidR="004E6FB0">
        <w:t xml:space="preserve"> </w:t>
      </w:r>
      <w:r>
        <w:t>implementing the greenhouse</w:t>
      </w:r>
      <w:r w:rsidR="00B06F9C">
        <w:t xml:space="preserve"> gas reduction fund self-generation incentive program</w:t>
      </w:r>
      <w:r w:rsidR="00AE55D0">
        <w:t xml:space="preserve"> and other program modifications</w:t>
      </w:r>
    </w:p>
    <w:p w:rsidR="005A148C" w:rsidP="005A148C" w:rsidRDefault="005A148C" w14:paraId="1BC76CFB" w14:textId="77777777">
      <w:pPr>
        <w:pStyle w:val="Dummy"/>
      </w:pPr>
      <w:bookmarkStart w:name="_Toc8123714" w:id="1"/>
      <w:bookmarkStart w:name="_Toc206771062" w:id="2"/>
      <w:r>
        <w:t>Summary</w:t>
      </w:r>
      <w:bookmarkEnd w:id="1"/>
      <w:bookmarkEnd w:id="2"/>
    </w:p>
    <w:p w:rsidR="0073353F" w:rsidP="00846CD7" w:rsidRDefault="005A148C" w14:paraId="21A44849" w14:textId="110BD1BD">
      <w:pPr>
        <w:pStyle w:val="Standard"/>
      </w:pPr>
      <w:r>
        <w:t>Th</w:t>
      </w:r>
      <w:r w:rsidR="00056977">
        <w:t>is decision</w:t>
      </w:r>
      <w:r w:rsidR="00CE5A16">
        <w:t xml:space="preserve"> </w:t>
      </w:r>
      <w:r w:rsidR="712047CB">
        <w:t>establishes the conditions for returning ratepayer funds and closing out all activities related to the</w:t>
      </w:r>
      <w:r w:rsidR="008268D1">
        <w:t xml:space="preserve"> ratepayer</w:t>
      </w:r>
      <w:r w:rsidR="52EE61BD">
        <w:t>-</w:t>
      </w:r>
      <w:r w:rsidR="008268D1">
        <w:t xml:space="preserve">funded </w:t>
      </w:r>
      <w:r w:rsidR="00846CD7">
        <w:t>portion of the Self-Generation Incentive Program</w:t>
      </w:r>
      <w:r w:rsidR="001F2CF7">
        <w:t xml:space="preserve"> (SGIP)</w:t>
      </w:r>
      <w:r w:rsidR="0073353F">
        <w:t>.</w:t>
      </w:r>
      <w:r w:rsidR="00D53820">
        <w:t xml:space="preserve"> The decision also </w:t>
      </w:r>
      <w:r w:rsidR="7AE1EE91">
        <w:t>implements</w:t>
      </w:r>
      <w:r w:rsidR="001F2CF7">
        <w:t xml:space="preserve"> the </w:t>
      </w:r>
      <w:r w:rsidR="001904CA">
        <w:t>Greenhouse Gas Reduction Fund</w:t>
      </w:r>
      <w:r w:rsidR="5A893B4B">
        <w:t xml:space="preserve"> </w:t>
      </w:r>
      <w:r w:rsidR="001904CA">
        <w:t xml:space="preserve">portion </w:t>
      </w:r>
      <w:r w:rsidR="189357AD">
        <w:t xml:space="preserve">of </w:t>
      </w:r>
      <w:r w:rsidR="006012E2">
        <w:t xml:space="preserve">SGIP </w:t>
      </w:r>
      <w:r w:rsidR="00F31994">
        <w:t>as</w:t>
      </w:r>
      <w:r w:rsidR="006012E2">
        <w:t xml:space="preserve"> well as conditions for its closure in </w:t>
      </w:r>
      <w:r w:rsidR="0063204F">
        <w:t>202</w:t>
      </w:r>
      <w:r w:rsidR="000660C3">
        <w:t>8</w:t>
      </w:r>
      <w:r w:rsidR="00C93FA3">
        <w:t xml:space="preserve">. </w:t>
      </w:r>
      <w:r w:rsidR="00F77B51">
        <w:t xml:space="preserve">Also included in this decision are </w:t>
      </w:r>
      <w:r w:rsidR="00F83158">
        <w:t xml:space="preserve">modifications to </w:t>
      </w:r>
      <w:r w:rsidR="00F77B51">
        <w:t>ex</w:t>
      </w:r>
      <w:r w:rsidR="00426435">
        <w:t xml:space="preserve">isting rules for extending SGIP projects and </w:t>
      </w:r>
      <w:r w:rsidR="00482EA2">
        <w:t>participation in a</w:t>
      </w:r>
      <w:r w:rsidR="00426435">
        <w:t xml:space="preserve"> qu</w:t>
      </w:r>
      <w:r w:rsidR="00B852A8">
        <w:t>alifying demand response program for SGIP</w:t>
      </w:r>
      <w:r w:rsidR="005F3789">
        <w:t>’s Residential Solar and Storage Equity budget</w:t>
      </w:r>
      <w:r w:rsidR="00B852A8">
        <w:t>.</w:t>
      </w:r>
    </w:p>
    <w:p w:rsidR="2809C56F" w:rsidP="431B97B5" w:rsidRDefault="2809C56F" w14:paraId="2CB026E7" w14:textId="63B3F004">
      <w:pPr>
        <w:pStyle w:val="Standard"/>
      </w:pPr>
      <w:r>
        <w:t>This proceeding remains open.</w:t>
      </w:r>
    </w:p>
    <w:p w:rsidRPr="00121089" w:rsidR="005A148C" w:rsidP="00A55ACD" w:rsidRDefault="002C7FE9" w14:paraId="3675E506" w14:textId="4302A9F2">
      <w:pPr>
        <w:pStyle w:val="Heading1"/>
        <w:numPr>
          <w:ilvl w:val="0"/>
          <w:numId w:val="2"/>
        </w:numPr>
      </w:pPr>
      <w:bookmarkStart w:name="_Toc8123715" w:id="3"/>
      <w:bookmarkStart w:name="_Toc206771063" w:id="4"/>
      <w:r w:rsidRPr="00121089">
        <w:t>Background</w:t>
      </w:r>
      <w:bookmarkEnd w:id="3"/>
      <w:bookmarkEnd w:id="4"/>
    </w:p>
    <w:p w:rsidR="007055B9" w:rsidP="006E6574" w:rsidRDefault="4B37B639" w14:paraId="6ACF3E1D" w14:textId="0D7A014D">
      <w:pPr>
        <w:pStyle w:val="Standard"/>
      </w:pPr>
      <w:r>
        <w:t>The California Public Utilities Commission (Commission</w:t>
      </w:r>
      <w:r w:rsidR="7942B905">
        <w:t xml:space="preserve"> or CPUC</w:t>
      </w:r>
      <w:r>
        <w:t xml:space="preserve">) established the Self-Generation Incentive Program (SGIP) in Decision (D.) 01-03-073 in response to Assembly Bill (AB) 970 (Ducheny, Stats. 2000, Ch. 329). AB 970 directed the Commission to provide incentives for distributed generation resources to reduce peak energy demand. Since 2001, the Legislature has refined and extended the SGIP several times. Over the </w:t>
      </w:r>
      <w:r w:rsidR="5603BE5A">
        <w:t xml:space="preserve">intervening </w:t>
      </w:r>
      <w:r>
        <w:t xml:space="preserve">years, the </w:t>
      </w:r>
      <w:r w:rsidR="66320FA2">
        <w:t>SGIP</w:t>
      </w:r>
      <w:r w:rsidR="654DBB07">
        <w:t>’s</w:t>
      </w:r>
      <w:r>
        <w:t xml:space="preserve"> focus has transitioned from peak-load reduction to greenhouse gas (GHG) reductions.</w:t>
      </w:r>
    </w:p>
    <w:p w:rsidR="00B97161" w:rsidP="006E6574" w:rsidRDefault="00B97161" w14:paraId="35F1F358" w14:textId="58B2899B">
      <w:pPr>
        <w:pStyle w:val="Standard"/>
      </w:pPr>
      <w:r>
        <w:t>In 2020, pursuant to S</w:t>
      </w:r>
      <w:r w:rsidR="10290C98">
        <w:t>enate Bill (S</w:t>
      </w:r>
      <w:r>
        <w:t>B</w:t>
      </w:r>
      <w:r w:rsidR="6EB36BFB">
        <w:t>)</w:t>
      </w:r>
      <w:r>
        <w:t xml:space="preserve"> 700 (Wiener</w:t>
      </w:r>
      <w:r w:rsidR="23BAC25A">
        <w:t xml:space="preserve">, </w:t>
      </w:r>
      <w:r w:rsidR="6837B283">
        <w:t>Stats.</w:t>
      </w:r>
      <w:r>
        <w:t xml:space="preserve"> 2018</w:t>
      </w:r>
      <w:r w:rsidR="23BAC25A">
        <w:t xml:space="preserve">, </w:t>
      </w:r>
      <w:r w:rsidR="1C6099E7">
        <w:t>Ch. 839</w:t>
      </w:r>
      <w:r>
        <w:t xml:space="preserve">), the Commission issued D.20-01-021, which authorized the collection of ratepayer funds totaling $166 million per year from 2020 to 2024 across the four </w:t>
      </w:r>
      <w:r w:rsidR="2C9FB7AF">
        <w:t>large investor-owned utilities</w:t>
      </w:r>
      <w:r>
        <w:t xml:space="preserve"> for SGIP.</w:t>
      </w:r>
      <w:r w:rsidR="00894640">
        <w:t xml:space="preserve"> SB 700 </w:t>
      </w:r>
      <w:r w:rsidR="00B237AD">
        <w:t xml:space="preserve">also </w:t>
      </w:r>
      <w:r w:rsidR="00894640">
        <w:t>extend</w:t>
      </w:r>
      <w:r w:rsidR="007055B9">
        <w:t>ed</w:t>
      </w:r>
      <w:r w:rsidR="00894640">
        <w:t xml:space="preserve"> </w:t>
      </w:r>
      <w:r w:rsidR="00250432">
        <w:t>the administration</w:t>
      </w:r>
      <w:r w:rsidR="00894640">
        <w:t xml:space="preserve"> of the program from January 1, 2021, to January 1, 2026.</w:t>
      </w:r>
    </w:p>
    <w:p w:rsidR="005351F3" w:rsidP="006E6574" w:rsidRDefault="005351F3" w14:paraId="30DC4722" w14:textId="60E00BD5">
      <w:pPr>
        <w:pStyle w:val="Standard"/>
      </w:pPr>
      <w:r>
        <w:lastRenderedPageBreak/>
        <w:t>In September 2022, Governor Newsom signed AB 209. This legislation amend</w:t>
      </w:r>
      <w:r w:rsidR="00136F75">
        <w:t>ed</w:t>
      </w:r>
      <w:r>
        <w:t xml:space="preserve"> the Public Utilities Code</w:t>
      </w:r>
      <w:r w:rsidR="5A158A34">
        <w:t xml:space="preserve"> (Pub. Util. Code)</w:t>
      </w:r>
      <w:r>
        <w:t xml:space="preserve"> Section 379.6 to remove the requirement that the Commission administer solar technologies separately from other technologies in the SGIP. AB 209 also add</w:t>
      </w:r>
      <w:r w:rsidR="00136F75">
        <w:t>ed</w:t>
      </w:r>
      <w:r>
        <w:t xml:space="preserve"> Section 379.10 to provide funding for combined solar and storage incentives to California residential customers. The Commission </w:t>
      </w:r>
      <w:r w:rsidR="00136F75">
        <w:t>wa</w:t>
      </w:r>
      <w:r>
        <w:t xml:space="preserve">s directed to use AB 209 funds for all California residential customers, including those receiving service from a local publicly owned electric utility (POU) or other electricity provider. </w:t>
      </w:r>
    </w:p>
    <w:p w:rsidR="00B97161" w:rsidP="7E9CACF8" w:rsidRDefault="0E52AD98" w14:paraId="6EA8515A" w14:textId="7E1C0597">
      <w:pPr>
        <w:pStyle w:val="Standard"/>
        <w:rPr>
          <w:rStyle w:val="FootnoteReference"/>
        </w:rPr>
      </w:pPr>
      <w:r w:rsidRPr="00853932">
        <w:t>AB 102</w:t>
      </w:r>
      <w:r w:rsidR="23B1131B">
        <w:t>, Stats. 2023, Ch. 38,</w:t>
      </w:r>
      <w:r w:rsidRPr="00853932">
        <w:t xml:space="preserve"> allocated $280 million to the Commission in</w:t>
      </w:r>
      <w:r w:rsidR="1A74F07D">
        <w:t xml:space="preserve"> </w:t>
      </w:r>
      <w:r w:rsidRPr="00853932">
        <w:t>Fiscal Year (FY) 2023-24</w:t>
      </w:r>
      <w:r w:rsidR="418A514B">
        <w:t xml:space="preserve"> from the Greenhouse Gas Reduction Fund (GGRF)</w:t>
      </w:r>
      <w:r w:rsidRPr="00853932" w:rsidR="7BF3799B">
        <w:t>.</w:t>
      </w:r>
      <w:r w:rsidRPr="00853932">
        <w:t xml:space="preserve"> </w:t>
      </w:r>
      <w:r w:rsidRPr="003F646B" w:rsidR="4127602E">
        <w:t>SB 123</w:t>
      </w:r>
      <w:r w:rsidRPr="003F646B" w:rsidR="2F3C995D">
        <w:t>,</w:t>
      </w:r>
      <w:r w:rsidR="7B6F308A">
        <w:t xml:space="preserve"> Stats. 2023</w:t>
      </w:r>
      <w:r w:rsidRPr="003F646B" w:rsidR="4127602E">
        <w:t xml:space="preserve"> amended Section 379.10 to clarify that the AB 209</w:t>
      </w:r>
      <w:r w:rsidR="7BB134D0">
        <w:t>, referred to hereafter as ‘GGRF SGIP,’</w:t>
      </w:r>
      <w:r w:rsidRPr="003F646B" w:rsidR="4127602E">
        <w:t xml:space="preserve"> incentives are exclusively for eligible low-income residential customers, including those receiving service from a local POU, who install</w:t>
      </w:r>
      <w:r w:rsidR="4127602E">
        <w:t xml:space="preserve"> </w:t>
      </w:r>
      <w:r w:rsidR="05133334">
        <w:t>behind-the-meter</w:t>
      </w:r>
      <w:r w:rsidRPr="003F646B" w:rsidR="066464EB">
        <w:t xml:space="preserve"> </w:t>
      </w:r>
      <w:r w:rsidRPr="003F646B" w:rsidR="4127602E">
        <w:t>energy storage systems or solar photovoltaic systems paired with energy storage systems. The new funds allocated to the Commission were made available starting in FY 2023-2024, which began on July 1st, 2023. The funds are available for encumbrance or expenditure until June 30, 2026, and are available for liquidation until June 30, 2028.</w:t>
      </w:r>
      <w:r w:rsidR="00302863">
        <w:rPr>
          <w:rStyle w:val="FootnoteReference"/>
        </w:rPr>
        <w:footnoteReference w:id="2"/>
      </w:r>
      <w:r w:rsidRPr="7E9CACF8" w:rsidR="692B2500">
        <w:rPr>
          <w:rStyle w:val="FootnoteReference"/>
        </w:rPr>
        <w:t xml:space="preserve"> </w:t>
      </w:r>
    </w:p>
    <w:p w:rsidR="0063491C" w:rsidP="00F705D0" w:rsidRDefault="00FB5E7B" w14:paraId="08CC7021" w14:textId="4C7342BD">
      <w:pPr>
        <w:pStyle w:val="Heading2"/>
      </w:pPr>
      <w:bookmarkStart w:name="_Toc8123717" w:id="5"/>
      <w:bookmarkStart w:name="_Toc206771064" w:id="6"/>
      <w:r>
        <w:t>1.1</w:t>
      </w:r>
      <w:r w:rsidR="00F705D0">
        <w:tab/>
      </w:r>
      <w:r w:rsidR="0063491C">
        <w:t>Procedural Background</w:t>
      </w:r>
      <w:bookmarkEnd w:id="5"/>
      <w:bookmarkEnd w:id="6"/>
    </w:p>
    <w:p w:rsidR="00003538" w:rsidP="00003538" w:rsidRDefault="00003538" w14:paraId="69449368" w14:textId="0E32D501">
      <w:pPr>
        <w:pStyle w:val="Standard"/>
      </w:pPr>
      <w:r>
        <w:t xml:space="preserve">On April 28, 2025, the assigned ALJ issued a </w:t>
      </w:r>
      <w:r w:rsidR="00572E64">
        <w:t>r</w:t>
      </w:r>
      <w:r w:rsidR="026D2BFF">
        <w:t>uling</w:t>
      </w:r>
      <w:r>
        <w:t xml:space="preserve"> that </w:t>
      </w:r>
      <w:r w:rsidR="6EABAC6D">
        <w:t xml:space="preserve">included a proposal </w:t>
      </w:r>
      <w:r w:rsidR="5C82923D">
        <w:t>describ</w:t>
      </w:r>
      <w:r w:rsidR="7007144B">
        <w:t>ing</w:t>
      </w:r>
      <w:r>
        <w:t xml:space="preserve"> </w:t>
      </w:r>
      <w:r w:rsidR="40A8E243">
        <w:t xml:space="preserve">a </w:t>
      </w:r>
      <w:r>
        <w:t xml:space="preserve">close out process </w:t>
      </w:r>
      <w:r w:rsidR="593A93F9">
        <w:t xml:space="preserve">for the ratepayer-funded portion of SGIP </w:t>
      </w:r>
      <w:r>
        <w:t xml:space="preserve">and </w:t>
      </w:r>
      <w:r w:rsidR="5C82923D">
        <w:t>address</w:t>
      </w:r>
      <w:r w:rsidR="594627B0">
        <w:t>ing</w:t>
      </w:r>
      <w:r>
        <w:t xml:space="preserve"> the GGRF </w:t>
      </w:r>
      <w:r w:rsidR="58F3B24A">
        <w:t>SGIP</w:t>
      </w:r>
      <w:r w:rsidR="5C82923D">
        <w:t xml:space="preserve"> </w:t>
      </w:r>
      <w:r>
        <w:t>program administration and close-out.</w:t>
      </w:r>
      <w:r w:rsidR="4685AD8F">
        <w:t xml:space="preserve"> The </w:t>
      </w:r>
      <w:r w:rsidR="00CD49FE">
        <w:lastRenderedPageBreak/>
        <w:t xml:space="preserve">ruling </w:t>
      </w:r>
      <w:r w:rsidR="4685AD8F">
        <w:t>also directed parties to file responses to questions posed by that ruling.</w:t>
      </w:r>
      <w:r w:rsidRPr="763945AA">
        <w:rPr>
          <w:rStyle w:val="FootnoteReference"/>
        </w:rPr>
        <w:footnoteReference w:id="3"/>
      </w:r>
      <w:r w:rsidR="00250432">
        <w:t xml:space="preserve"> </w:t>
      </w:r>
      <w:r w:rsidR="026D2BFF">
        <w:t>On May 12, 2025, opening comments were filed by the following parties: So</w:t>
      </w:r>
      <w:r w:rsidR="69E727F8">
        <w:t xml:space="preserve">uthern </w:t>
      </w:r>
      <w:r w:rsidR="026D2BFF">
        <w:t>Cal</w:t>
      </w:r>
      <w:r w:rsidR="31F1DD27">
        <w:t xml:space="preserve">ifornia </w:t>
      </w:r>
      <w:r w:rsidR="026D2BFF">
        <w:t>Gas</w:t>
      </w:r>
      <w:r w:rsidR="5A82F437">
        <w:t xml:space="preserve"> </w:t>
      </w:r>
      <w:r w:rsidR="212C7F2F">
        <w:t xml:space="preserve">Company </w:t>
      </w:r>
      <w:r w:rsidR="5A82F437">
        <w:t>(S</w:t>
      </w:r>
      <w:r w:rsidR="002A29F5">
        <w:t>o</w:t>
      </w:r>
      <w:r w:rsidR="5A82F437">
        <w:t>C</w:t>
      </w:r>
      <w:r w:rsidR="002A29F5">
        <w:t>al</w:t>
      </w:r>
      <w:r w:rsidR="5A82F437">
        <w:t>G</w:t>
      </w:r>
      <w:r w:rsidR="002A29F5">
        <w:t>as</w:t>
      </w:r>
      <w:r w:rsidR="5A82F437">
        <w:t>)</w:t>
      </w:r>
      <w:r w:rsidR="026D2BFF">
        <w:t xml:space="preserve">, </w:t>
      </w:r>
      <w:r w:rsidR="3216B734">
        <w:t xml:space="preserve">California </w:t>
      </w:r>
      <w:r w:rsidR="47D27E95">
        <w:t>Solar &amp; Storage Association (</w:t>
      </w:r>
      <w:r w:rsidR="026D2BFF">
        <w:t>CALSSA</w:t>
      </w:r>
      <w:r w:rsidR="0DB3D3C4">
        <w:t>)</w:t>
      </w:r>
      <w:r w:rsidR="026D2BFF">
        <w:t xml:space="preserve">, SCTCA, </w:t>
      </w:r>
      <w:r w:rsidR="508E1EA0">
        <w:t>Center for Sustainable Energy (</w:t>
      </w:r>
      <w:r w:rsidR="026D2BFF">
        <w:t>CSE</w:t>
      </w:r>
      <w:r w:rsidR="7E559D2B">
        <w:t>)</w:t>
      </w:r>
      <w:r w:rsidR="026D2BFF">
        <w:t>, Small Business Utility Advocates (SBUA), S</w:t>
      </w:r>
      <w:r w:rsidR="43572D1F">
        <w:t xml:space="preserve">an </w:t>
      </w:r>
      <w:r w:rsidR="026D2BFF">
        <w:t>D</w:t>
      </w:r>
      <w:r w:rsidR="4471954B">
        <w:t xml:space="preserve">iego </w:t>
      </w:r>
      <w:r w:rsidR="026D2BFF">
        <w:t>G</w:t>
      </w:r>
      <w:r w:rsidR="681F03AD">
        <w:t xml:space="preserve">as </w:t>
      </w:r>
      <w:r w:rsidR="026D2BFF">
        <w:t>&amp;</w:t>
      </w:r>
      <w:r w:rsidR="0E52BDA6">
        <w:t xml:space="preserve"> </w:t>
      </w:r>
      <w:r w:rsidR="026D2BFF">
        <w:t>E</w:t>
      </w:r>
      <w:r w:rsidR="5AE4AA11">
        <w:t>lectric Company (SDG&amp;E)</w:t>
      </w:r>
      <w:r w:rsidR="026D2BFF">
        <w:t xml:space="preserve">, </w:t>
      </w:r>
      <w:r w:rsidR="62EEB9D9">
        <w:t>Pacific Gas and Electric Company (</w:t>
      </w:r>
      <w:r w:rsidR="026D2BFF">
        <w:t>PG&amp;E</w:t>
      </w:r>
      <w:r w:rsidR="7AB48CD1">
        <w:t>)</w:t>
      </w:r>
      <w:r w:rsidR="026D2BFF">
        <w:t xml:space="preserve">, and </w:t>
      </w:r>
      <w:r w:rsidR="3D84E3C9">
        <w:t>Southern California Edison Company (</w:t>
      </w:r>
      <w:r w:rsidR="026D2BFF">
        <w:t>SCE</w:t>
      </w:r>
      <w:r w:rsidR="6BC09F71">
        <w:t>)</w:t>
      </w:r>
      <w:r w:rsidR="026D2BFF">
        <w:t xml:space="preserve">. </w:t>
      </w:r>
    </w:p>
    <w:p w:rsidR="00003538" w:rsidP="00003538" w:rsidRDefault="00003538" w14:paraId="06D7EEFA" w14:textId="04389DF4">
      <w:pPr>
        <w:pStyle w:val="Standard"/>
      </w:pPr>
      <w:r>
        <w:t xml:space="preserve">On May 15, 2025, D.25-05-010 was issued extending the proceeding’s statutory deadline to June 1, 2026. </w:t>
      </w:r>
    </w:p>
    <w:p w:rsidR="00003538" w:rsidP="001C4D65" w:rsidRDefault="00003538" w14:paraId="49C4E12E" w14:textId="4DD26295">
      <w:pPr>
        <w:pStyle w:val="Standard"/>
      </w:pPr>
      <w:r>
        <w:t xml:space="preserve">On May 16, 2025, GRID </w:t>
      </w:r>
      <w:r w:rsidR="70CD3DC0">
        <w:t>Alternatives (GRID)</w:t>
      </w:r>
      <w:r>
        <w:t xml:space="preserve"> filed </w:t>
      </w:r>
      <w:r w:rsidR="026D2BFF">
        <w:t>reply comment</w:t>
      </w:r>
      <w:r w:rsidR="60A7C877">
        <w:t>s to the Ruling</w:t>
      </w:r>
      <w:r w:rsidR="026D2BFF">
        <w:t>.</w:t>
      </w:r>
      <w:r>
        <w:t xml:space="preserve"> On May 19, 2025, </w:t>
      </w:r>
      <w:r w:rsidR="478F0A9E">
        <w:t xml:space="preserve">additional </w:t>
      </w:r>
      <w:r>
        <w:t xml:space="preserve">reply comments were filed by the following parties: SBUA, SDG&amp;E, CSE, </w:t>
      </w:r>
      <w:r w:rsidR="026D2BFF">
        <w:t>C</w:t>
      </w:r>
      <w:r w:rsidR="626297C0">
        <w:t>AL</w:t>
      </w:r>
      <w:r w:rsidR="026D2BFF">
        <w:t>SSA</w:t>
      </w:r>
      <w:r>
        <w:t>, and Free Energy</w:t>
      </w:r>
      <w:r w:rsidR="304631DC">
        <w:t xml:space="preserve"> Compan</w:t>
      </w:r>
      <w:r w:rsidR="5EED55B0">
        <w:t>y</w:t>
      </w:r>
      <w:r w:rsidR="304631DC">
        <w:t xml:space="preserve"> LLC, DBA Quality Conservation Services </w:t>
      </w:r>
      <w:r w:rsidR="5262F1A2">
        <w:t>(</w:t>
      </w:r>
      <w:r w:rsidR="026D2BFF">
        <w:t>Free Energy</w:t>
      </w:r>
      <w:r w:rsidR="21C1459C">
        <w:t>)</w:t>
      </w:r>
      <w:r w:rsidR="026D2BFF">
        <w:t>.</w:t>
      </w:r>
      <w:r>
        <w:t xml:space="preserve"> </w:t>
      </w:r>
    </w:p>
    <w:p w:rsidR="00BB6AF4" w:rsidP="00003538" w:rsidRDefault="00BB6AF4" w14:paraId="752BAF6E" w14:textId="2601EC28">
      <w:pPr>
        <w:pStyle w:val="Standard"/>
      </w:pPr>
      <w:r>
        <w:t xml:space="preserve">On July </w:t>
      </w:r>
      <w:r w:rsidR="00D404A0">
        <w:t xml:space="preserve">7, 2025, the assigned Commissioner issued a </w:t>
      </w:r>
      <w:r w:rsidR="28874EE9">
        <w:t>ruling</w:t>
      </w:r>
      <w:r w:rsidR="00D404A0">
        <w:t xml:space="preserve"> asking if </w:t>
      </w:r>
      <w:r w:rsidR="00D93EB0">
        <w:t xml:space="preserve">the demand response requirement in SGIP should be removed from the Residential Solar and Storage Equity budget. </w:t>
      </w:r>
    </w:p>
    <w:p w:rsidR="00D93EB0" w:rsidP="00003538" w:rsidRDefault="14141F23" w14:paraId="5E0584D4" w14:textId="1E873325">
      <w:pPr>
        <w:pStyle w:val="Standard"/>
      </w:pPr>
      <w:r>
        <w:t xml:space="preserve">On </w:t>
      </w:r>
      <w:r w:rsidR="1DE7268D">
        <w:t xml:space="preserve">July 15, 2025, PG&amp;E, SCE, </w:t>
      </w:r>
      <w:r w:rsidR="01EBB685">
        <w:t xml:space="preserve">CSE, Leapfrog Power and California Efficiency + Demand Management Council, </w:t>
      </w:r>
      <w:r w:rsidR="33C8150D">
        <w:t xml:space="preserve">CALSSA, SDG&amp;E, </w:t>
      </w:r>
      <w:r w:rsidR="70E510F1">
        <w:t>GRID,</w:t>
      </w:r>
      <w:r w:rsidR="33C8150D">
        <w:t xml:space="preserve"> Vote Solar, SCG, and the Joint </w:t>
      </w:r>
      <w:r w:rsidR="3AC03B62">
        <w:t>Community Choice Aggregators (</w:t>
      </w:r>
      <w:r w:rsidR="33C8150D">
        <w:t>CCAs</w:t>
      </w:r>
      <w:r w:rsidR="6378B1EC">
        <w:t>)</w:t>
      </w:r>
      <w:r w:rsidR="33C8150D">
        <w:t xml:space="preserve"> </w:t>
      </w:r>
      <w:r w:rsidR="609B148E">
        <w:t xml:space="preserve">filed reply comments. </w:t>
      </w:r>
    </w:p>
    <w:p w:rsidR="71786E1E" w:rsidP="7E9CACF8" w:rsidRDefault="71786E1E" w14:paraId="3E6E5A1C" w14:textId="74E8DABA">
      <w:pPr>
        <w:pStyle w:val="Standard"/>
      </w:pPr>
      <w:r>
        <w:t>On August 22, 2025 an Assigned Commissioner’s ruling was issued staying SGIP non-residential</w:t>
      </w:r>
      <w:r w:rsidR="1919E90D">
        <w:t xml:space="preserve"> equity project </w:t>
      </w:r>
      <w:r w:rsidR="6EB26E7A">
        <w:t>terminations effective</w:t>
      </w:r>
      <w:r w:rsidR="1919E90D">
        <w:t xml:space="preserve"> February 1, 2025.</w:t>
      </w:r>
    </w:p>
    <w:p w:rsidR="005A148C" w:rsidP="00FB5E7B" w:rsidRDefault="005939A5" w14:paraId="281A086C" w14:textId="2D078795">
      <w:pPr>
        <w:pStyle w:val="Heading1"/>
        <w:numPr>
          <w:ilvl w:val="0"/>
          <w:numId w:val="2"/>
        </w:numPr>
      </w:pPr>
      <w:bookmarkStart w:name="_Toc8123719" w:id="7"/>
      <w:bookmarkStart w:name="_Toc206771065" w:id="8"/>
      <w:r>
        <w:lastRenderedPageBreak/>
        <w:t>Issues Before the Commission</w:t>
      </w:r>
      <w:bookmarkEnd w:id="7"/>
      <w:bookmarkEnd w:id="8"/>
    </w:p>
    <w:p w:rsidR="005556C2" w:rsidP="00A44E8D" w:rsidRDefault="00287548" w14:paraId="493CBAD5" w14:textId="4FD36CEB">
      <w:pPr>
        <w:pStyle w:val="Standard"/>
      </w:pPr>
      <w:r>
        <w:t>T</w:t>
      </w:r>
      <w:r w:rsidR="005939A5">
        <w:t xml:space="preserve">he </w:t>
      </w:r>
      <w:r w:rsidR="53543227">
        <w:t xml:space="preserve">issues before the </w:t>
      </w:r>
      <w:r w:rsidR="005939A5">
        <w:t xml:space="preserve">Commission </w:t>
      </w:r>
      <w:r w:rsidR="228F1F0E">
        <w:t>that are addressed by this decision are as follows:</w:t>
      </w:r>
    </w:p>
    <w:p w:rsidR="005556C2" w:rsidP="00F705D0" w:rsidRDefault="228F1F0E" w14:paraId="7A47505B" w14:textId="6D4800EA">
      <w:pPr>
        <w:pStyle w:val="Standard"/>
        <w:numPr>
          <w:ilvl w:val="0"/>
          <w:numId w:val="53"/>
        </w:numPr>
        <w:spacing w:after="120" w:line="240" w:lineRule="auto"/>
        <w:ind w:left="1080" w:right="1440"/>
      </w:pPr>
      <w:r>
        <w:t xml:space="preserve">What conditions and procedures </w:t>
      </w:r>
      <w:r w:rsidR="00250432">
        <w:t>should the Commission</w:t>
      </w:r>
      <w:r>
        <w:t xml:space="preserve"> establish to close the ratepayer-funded portion of </w:t>
      </w:r>
      <w:r w:rsidR="186BDFAF">
        <w:t>SGIP and return funds to ratepayers;</w:t>
      </w:r>
    </w:p>
    <w:p w:rsidR="005556C2" w:rsidP="00F705D0" w:rsidRDefault="186BDFAF" w14:paraId="4548AC21" w14:textId="116E4F67">
      <w:pPr>
        <w:pStyle w:val="Standard"/>
        <w:numPr>
          <w:ilvl w:val="0"/>
          <w:numId w:val="53"/>
        </w:numPr>
        <w:spacing w:after="120" w:line="240" w:lineRule="auto"/>
        <w:ind w:left="1080" w:right="1440"/>
      </w:pPr>
      <w:r>
        <w:t xml:space="preserve">What guidance </w:t>
      </w:r>
      <w:r w:rsidR="00250432">
        <w:t>should the Commission</w:t>
      </w:r>
      <w:r>
        <w:t xml:space="preserve"> provide for implementing the new GGRF supported SGIP pr</w:t>
      </w:r>
      <w:r w:rsidR="359458A4">
        <w:t xml:space="preserve">ojects and </w:t>
      </w:r>
      <w:r w:rsidR="00C85757">
        <w:t>its</w:t>
      </w:r>
      <w:r w:rsidR="359458A4">
        <w:t xml:space="preserve"> eventual closeout;</w:t>
      </w:r>
    </w:p>
    <w:p w:rsidR="005556C2" w:rsidP="00F705D0" w:rsidRDefault="359458A4" w14:paraId="442F0D0D" w14:textId="7A48AA75">
      <w:pPr>
        <w:pStyle w:val="Standard"/>
        <w:numPr>
          <w:ilvl w:val="0"/>
          <w:numId w:val="53"/>
        </w:numPr>
        <w:spacing w:after="120" w:line="240" w:lineRule="auto"/>
        <w:ind w:left="1080" w:right="1440"/>
      </w:pPr>
      <w:r>
        <w:t>Whether to modify existing rules for SGIP project extensions; and,</w:t>
      </w:r>
    </w:p>
    <w:p w:rsidR="005556C2" w:rsidP="00F705D0" w:rsidRDefault="359458A4" w14:paraId="153D9F07" w14:textId="31B62EA8">
      <w:pPr>
        <w:pStyle w:val="Standard"/>
        <w:numPr>
          <w:ilvl w:val="0"/>
          <w:numId w:val="53"/>
        </w:numPr>
        <w:spacing w:after="120" w:line="240" w:lineRule="auto"/>
        <w:ind w:left="1080" w:right="1440"/>
      </w:pPr>
      <w:r>
        <w:t xml:space="preserve">Whether to modify existing rules for </w:t>
      </w:r>
      <w:r w:rsidR="00DD214F">
        <w:t xml:space="preserve">required participation in a </w:t>
      </w:r>
      <w:r>
        <w:t>qualifying demand response program for SGIP projects in the Residential Solar and Storage E</w:t>
      </w:r>
      <w:r w:rsidR="4DB4A2B3">
        <w:t>quity (RSSE) budget.</w:t>
      </w:r>
    </w:p>
    <w:p w:rsidR="00A1377B" w:rsidP="00C85757" w:rsidRDefault="001F19C5" w14:paraId="6D5FCBCA" w14:textId="0D314A26">
      <w:pPr>
        <w:pStyle w:val="Heading1"/>
        <w:numPr>
          <w:ilvl w:val="0"/>
          <w:numId w:val="2"/>
        </w:numPr>
      </w:pPr>
      <w:bookmarkStart w:name="_Toc206771066" w:id="9"/>
      <w:bookmarkStart w:name="_Toc8123720" w:id="10"/>
      <w:r>
        <w:t>Closeout Process for Return of Ratepayer Funds</w:t>
      </w:r>
      <w:bookmarkEnd w:id="9"/>
    </w:p>
    <w:p w:rsidR="00556125" w:rsidP="00556125" w:rsidRDefault="009A5F95" w14:paraId="54E30F94" w14:textId="14469478">
      <w:pPr>
        <w:pStyle w:val="Standard"/>
      </w:pPr>
      <w:r>
        <w:t>As the Commission con</w:t>
      </w:r>
      <w:r w:rsidR="00CA640C">
        <w:t xml:space="preserve">siders how best to </w:t>
      </w:r>
      <w:r w:rsidR="005E2CFD">
        <w:t xml:space="preserve">close </w:t>
      </w:r>
      <w:r w:rsidR="00CA640C">
        <w:t>the ratepayer</w:t>
      </w:r>
      <w:r w:rsidR="101AB643">
        <w:t>-</w:t>
      </w:r>
      <w:r w:rsidR="00CA640C">
        <w:t>funded SGIP activities</w:t>
      </w:r>
      <w:r w:rsidR="7EA9B531">
        <w:t>,</w:t>
      </w:r>
      <w:r w:rsidR="009340BC">
        <w:t xml:space="preserve"> </w:t>
      </w:r>
      <w:r w:rsidR="005F041F">
        <w:t xml:space="preserve">we </w:t>
      </w:r>
      <w:r w:rsidR="7EA9B531">
        <w:t>paid careful attention to creating clear administrative processes that build</w:t>
      </w:r>
      <w:r w:rsidR="005F041F">
        <w:t xml:space="preserve"> on </w:t>
      </w:r>
      <w:r w:rsidR="7EA9B531">
        <w:t>existing prog</w:t>
      </w:r>
      <w:r w:rsidR="7C46020E">
        <w:t xml:space="preserve">ram tasks. For example, adding closeout tasks </w:t>
      </w:r>
      <w:r w:rsidR="088BBB71">
        <w:t xml:space="preserve">to regular SGIP advice letter filings. </w:t>
      </w:r>
      <w:r w:rsidRPr="0AD72574" w:rsidR="0FB9635E">
        <w:rPr>
          <w:rFonts w:eastAsia="Book Antiqua" w:cs="Book Antiqua"/>
          <w:szCs w:val="26"/>
        </w:rPr>
        <w:t>Aligning the closeout steps with already existing practices provides participants with straightforward expectations for what will happen when and sets the stage for</w:t>
      </w:r>
      <w:r w:rsidR="001A1C30">
        <w:rPr>
          <w:rFonts w:eastAsia="Book Antiqua" w:cs="Book Antiqua"/>
          <w:szCs w:val="26"/>
        </w:rPr>
        <w:t xml:space="preserve"> prudent</w:t>
      </w:r>
      <w:r w:rsidRPr="0AD72574" w:rsidR="0FB9635E">
        <w:rPr>
          <w:rFonts w:eastAsia="Book Antiqua" w:cs="Book Antiqua"/>
          <w:szCs w:val="26"/>
        </w:rPr>
        <w:t xml:space="preserve"> administrative activities. </w:t>
      </w:r>
    </w:p>
    <w:p w:rsidR="00556125" w:rsidP="00556125" w:rsidRDefault="040F16ED" w14:paraId="0AEE0B1A" w14:textId="16E04B0B">
      <w:pPr>
        <w:pStyle w:val="Standard"/>
      </w:pPr>
      <w:r>
        <w:t xml:space="preserve"> </w:t>
      </w:r>
      <w:r w:rsidR="0362F92B">
        <w:t>Ratepayer funds support both residential and non-residential project</w:t>
      </w:r>
      <w:r w:rsidR="16BDC759">
        <w:t>s.</w:t>
      </w:r>
      <w:r w:rsidR="468CE7F9">
        <w:t xml:space="preserve"> </w:t>
      </w:r>
      <w:r w:rsidR="23E3B4C5">
        <w:t xml:space="preserve">SGIP participants </w:t>
      </w:r>
      <w:r w:rsidR="7A3A0F52">
        <w:t>include</w:t>
      </w:r>
      <w:r w:rsidR="23E3B4C5">
        <w:t xml:space="preserve"> utility </w:t>
      </w:r>
      <w:r w:rsidR="4DB69A2D">
        <w:t xml:space="preserve">residential, commercial and industrial </w:t>
      </w:r>
      <w:r w:rsidR="23E3B4C5">
        <w:t>cust</w:t>
      </w:r>
      <w:r w:rsidR="4DB69A2D">
        <w:t xml:space="preserve">omers, </w:t>
      </w:r>
      <w:r w:rsidR="7BA6AF84">
        <w:t xml:space="preserve">technology developers, utility </w:t>
      </w:r>
      <w:r w:rsidR="78A6D810">
        <w:t xml:space="preserve">and non-utility </w:t>
      </w:r>
      <w:r w:rsidR="7BA6AF84">
        <w:t>program administrator</w:t>
      </w:r>
      <w:r w:rsidR="554972F1">
        <w:t>s</w:t>
      </w:r>
      <w:r w:rsidR="7BA6AF84">
        <w:t xml:space="preserve"> (PAs) </w:t>
      </w:r>
      <w:r w:rsidR="78A6D810">
        <w:t>among other</w:t>
      </w:r>
      <w:r w:rsidR="367826B0">
        <w:t>s.</w:t>
      </w:r>
      <w:r w:rsidR="7CE26C60">
        <w:t xml:space="preserve"> The current PAs for </w:t>
      </w:r>
      <w:r w:rsidR="00C85757">
        <w:t xml:space="preserve">ratepayer </w:t>
      </w:r>
      <w:r w:rsidR="7CE26C60">
        <w:t>SGIP are PG&amp;E, CSE on b</w:t>
      </w:r>
      <w:r w:rsidR="3474D2D5">
        <w:t xml:space="preserve">ehalf of SDG&amp;E, </w:t>
      </w:r>
      <w:r w:rsidR="00C85757">
        <w:t xml:space="preserve">SCE, and </w:t>
      </w:r>
      <w:r w:rsidR="3474D2D5">
        <w:t>SoCalGas</w:t>
      </w:r>
      <w:r w:rsidR="00C85757">
        <w:t>.</w:t>
      </w:r>
      <w:r w:rsidR="00F54AD9">
        <w:t xml:space="preserve"> </w:t>
      </w:r>
      <w:r w:rsidR="007203CA">
        <w:t>SDG&amp;E</w:t>
      </w:r>
      <w:r w:rsidR="00B95744">
        <w:t xml:space="preserve"> acts as the fiscal agent for the CSE SGIP funds.</w:t>
      </w:r>
    </w:p>
    <w:p w:rsidR="00A222E6" w:rsidP="007A6310" w:rsidRDefault="004A5345" w14:paraId="6B2012DE" w14:textId="185BE252">
      <w:pPr>
        <w:pStyle w:val="Standard"/>
      </w:pPr>
      <w:r>
        <w:lastRenderedPageBreak/>
        <w:t>The existing</w:t>
      </w:r>
      <w:r w:rsidR="000F616F">
        <w:t xml:space="preserve"> ratepayer</w:t>
      </w:r>
      <w:r w:rsidR="28EDCC17">
        <w:t>-</w:t>
      </w:r>
      <w:r w:rsidR="000F616F">
        <w:t>funded</w:t>
      </w:r>
      <w:r>
        <w:t xml:space="preserve"> SGIP budget </w:t>
      </w:r>
      <w:r w:rsidR="00B97338">
        <w:t>categories are as follows:</w:t>
      </w:r>
      <w:r w:rsidR="00F705D0">
        <w:br/>
      </w:r>
    </w:p>
    <w:p w:rsidRPr="007A6310" w:rsidR="007A6310" w:rsidP="00496078" w:rsidRDefault="007A6310" w14:paraId="1939AF19" w14:textId="758F1BC7">
      <w:pPr>
        <w:pStyle w:val="Standard"/>
        <w:ind w:firstLine="0"/>
      </w:pPr>
      <w:r w:rsidRPr="1C67F429">
        <w:rPr>
          <w:b/>
        </w:rPr>
        <w:t xml:space="preserve">Table </w:t>
      </w:r>
      <w:r w:rsidRPr="1C67F429" w:rsidR="1F4D55C7">
        <w:rPr>
          <w:b/>
          <w:bCs/>
        </w:rPr>
        <w:t>1</w:t>
      </w:r>
      <w:r w:rsidR="00DF7245">
        <w:rPr>
          <w:b/>
          <w:bCs/>
        </w:rPr>
        <w:t>:</w:t>
      </w:r>
      <w:r w:rsidRPr="007A6310">
        <w:rPr>
          <w:b/>
          <w:bCs/>
        </w:rPr>
        <w:t xml:space="preserve"> Ratepayer Budgets in SGIP</w:t>
      </w:r>
      <w:r w:rsidRPr="007A6310">
        <w:t> </w:t>
      </w:r>
    </w:p>
    <w:tbl>
      <w:tblPr>
        <w:tblW w:w="10350" w:type="dxa"/>
        <w:tblInd w:w="-458"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123"/>
        <w:gridCol w:w="5227"/>
      </w:tblGrid>
      <w:tr w:rsidRPr="007A6310" w:rsidR="007A6310" w:rsidTr="00D16ABC" w14:paraId="20564D6C" w14:textId="77777777">
        <w:trPr>
          <w:trHeight w:val="300"/>
        </w:trPr>
        <w:tc>
          <w:tcPr>
            <w:tcW w:w="5123" w:type="dxa"/>
            <w:tcBorders>
              <w:top w:val="single" w:color="auto" w:sz="6" w:space="0"/>
              <w:left w:val="single" w:color="auto" w:sz="6" w:space="0"/>
              <w:bottom w:val="single" w:color="auto" w:sz="6" w:space="0"/>
              <w:right w:val="single" w:color="auto" w:sz="6" w:space="0"/>
            </w:tcBorders>
            <w:hideMark/>
          </w:tcPr>
          <w:p w:rsidRPr="007A6310" w:rsidR="007A6310" w:rsidP="007A6310" w:rsidRDefault="007A6310" w14:paraId="54FF0C3A" w14:textId="77777777">
            <w:pPr>
              <w:pStyle w:val="Standard"/>
              <w:rPr>
                <w:sz w:val="24"/>
                <w:szCs w:val="24"/>
              </w:rPr>
            </w:pPr>
            <w:r w:rsidRPr="007A6310">
              <w:rPr>
                <w:b/>
                <w:bCs/>
                <w:sz w:val="24"/>
                <w:szCs w:val="24"/>
              </w:rPr>
              <w:t>Ratepayer Budget</w:t>
            </w:r>
            <w:r w:rsidRPr="007A6310">
              <w:rPr>
                <w:sz w:val="24"/>
                <w:szCs w:val="24"/>
              </w:rPr>
              <w:t> </w:t>
            </w:r>
          </w:p>
        </w:tc>
        <w:tc>
          <w:tcPr>
            <w:tcW w:w="5227" w:type="dxa"/>
            <w:tcBorders>
              <w:top w:val="single" w:color="auto" w:sz="6" w:space="0"/>
              <w:left w:val="single" w:color="auto" w:sz="6" w:space="0"/>
              <w:bottom w:val="single" w:color="auto" w:sz="6" w:space="0"/>
              <w:right w:val="single" w:color="auto" w:sz="6" w:space="0"/>
            </w:tcBorders>
            <w:hideMark/>
          </w:tcPr>
          <w:p w:rsidRPr="007A6310" w:rsidR="007A6310" w:rsidP="007A6310" w:rsidRDefault="007A6310" w14:paraId="5784E51C" w14:textId="77777777">
            <w:pPr>
              <w:pStyle w:val="Standard"/>
              <w:rPr>
                <w:sz w:val="24"/>
                <w:szCs w:val="24"/>
              </w:rPr>
            </w:pPr>
            <w:r w:rsidRPr="007A6310">
              <w:rPr>
                <w:b/>
                <w:bCs/>
                <w:sz w:val="24"/>
                <w:szCs w:val="24"/>
              </w:rPr>
              <w:t>Host Customer Sector</w:t>
            </w:r>
            <w:r w:rsidRPr="007A6310">
              <w:rPr>
                <w:sz w:val="24"/>
                <w:szCs w:val="24"/>
              </w:rPr>
              <w:t> </w:t>
            </w:r>
          </w:p>
        </w:tc>
      </w:tr>
      <w:tr w:rsidRPr="007A6310" w:rsidR="007A6310" w:rsidTr="00D16ABC" w14:paraId="17486111" w14:textId="77777777">
        <w:trPr>
          <w:trHeight w:val="300"/>
        </w:trPr>
        <w:tc>
          <w:tcPr>
            <w:tcW w:w="5123" w:type="dxa"/>
            <w:tcBorders>
              <w:top w:val="single" w:color="auto" w:sz="6" w:space="0"/>
              <w:left w:val="single" w:color="auto" w:sz="6" w:space="0"/>
              <w:bottom w:val="single" w:color="auto" w:sz="6" w:space="0"/>
              <w:right w:val="single" w:color="auto" w:sz="6" w:space="0"/>
            </w:tcBorders>
            <w:hideMark/>
          </w:tcPr>
          <w:p w:rsidRPr="007A6310" w:rsidR="007A6310" w:rsidP="00F63782" w:rsidRDefault="007A6310" w14:paraId="29E4F171" w14:textId="77777777">
            <w:pPr>
              <w:pStyle w:val="Standard"/>
              <w:rPr>
                <w:sz w:val="24"/>
                <w:szCs w:val="24"/>
              </w:rPr>
            </w:pPr>
            <w:r w:rsidRPr="007A6310">
              <w:rPr>
                <w:sz w:val="24"/>
                <w:szCs w:val="24"/>
              </w:rPr>
              <w:t>Generation </w:t>
            </w:r>
          </w:p>
        </w:tc>
        <w:tc>
          <w:tcPr>
            <w:tcW w:w="5227" w:type="dxa"/>
            <w:tcBorders>
              <w:top w:val="single" w:color="auto" w:sz="6" w:space="0"/>
              <w:left w:val="single" w:color="auto" w:sz="6" w:space="0"/>
              <w:bottom w:val="single" w:color="auto" w:sz="6" w:space="0"/>
              <w:right w:val="single" w:color="auto" w:sz="6" w:space="0"/>
            </w:tcBorders>
            <w:hideMark/>
          </w:tcPr>
          <w:p w:rsidRPr="007A6310" w:rsidR="007A6310" w:rsidP="00F63782" w:rsidRDefault="007A6310" w14:paraId="4F0F4149" w14:textId="77777777">
            <w:pPr>
              <w:pStyle w:val="Standard"/>
              <w:rPr>
                <w:sz w:val="24"/>
                <w:szCs w:val="24"/>
              </w:rPr>
            </w:pPr>
            <w:r w:rsidRPr="007A6310">
              <w:rPr>
                <w:sz w:val="24"/>
                <w:szCs w:val="24"/>
              </w:rPr>
              <w:t>Residential and Non-Residential </w:t>
            </w:r>
          </w:p>
        </w:tc>
      </w:tr>
      <w:tr w:rsidRPr="007A6310" w:rsidR="007A6310" w:rsidTr="00D16ABC" w14:paraId="4720CF5D" w14:textId="77777777">
        <w:trPr>
          <w:trHeight w:val="300"/>
        </w:trPr>
        <w:tc>
          <w:tcPr>
            <w:tcW w:w="5123" w:type="dxa"/>
            <w:tcBorders>
              <w:top w:val="single" w:color="auto" w:sz="6" w:space="0"/>
              <w:left w:val="single" w:color="auto" w:sz="6" w:space="0"/>
              <w:bottom w:val="single" w:color="auto" w:sz="6" w:space="0"/>
              <w:right w:val="single" w:color="auto" w:sz="6" w:space="0"/>
            </w:tcBorders>
            <w:hideMark/>
          </w:tcPr>
          <w:p w:rsidRPr="007A6310" w:rsidR="007A6310" w:rsidP="00F63782" w:rsidRDefault="007A6310" w14:paraId="4EC090F5" w14:textId="77777777">
            <w:pPr>
              <w:pStyle w:val="Standard"/>
              <w:rPr>
                <w:sz w:val="24"/>
                <w:szCs w:val="24"/>
              </w:rPr>
            </w:pPr>
            <w:r w:rsidRPr="007A6310">
              <w:rPr>
                <w:sz w:val="24"/>
                <w:szCs w:val="24"/>
              </w:rPr>
              <w:t>Large-Scale Storage </w:t>
            </w:r>
          </w:p>
        </w:tc>
        <w:tc>
          <w:tcPr>
            <w:tcW w:w="5227" w:type="dxa"/>
            <w:tcBorders>
              <w:top w:val="single" w:color="auto" w:sz="6" w:space="0"/>
              <w:left w:val="single" w:color="auto" w:sz="6" w:space="0"/>
              <w:bottom w:val="single" w:color="auto" w:sz="6" w:space="0"/>
              <w:right w:val="single" w:color="auto" w:sz="6" w:space="0"/>
            </w:tcBorders>
            <w:hideMark/>
          </w:tcPr>
          <w:p w:rsidRPr="007A6310" w:rsidR="007A6310" w:rsidP="00F63782" w:rsidRDefault="007A6310" w14:paraId="4C85E14B" w14:textId="77777777">
            <w:pPr>
              <w:pStyle w:val="Standard"/>
              <w:rPr>
                <w:sz w:val="24"/>
                <w:szCs w:val="24"/>
              </w:rPr>
            </w:pPr>
            <w:r w:rsidRPr="007A6310">
              <w:rPr>
                <w:sz w:val="24"/>
                <w:szCs w:val="24"/>
              </w:rPr>
              <w:t>Non-Residential </w:t>
            </w:r>
          </w:p>
        </w:tc>
      </w:tr>
      <w:tr w:rsidRPr="007A6310" w:rsidR="007A6310" w:rsidTr="00D16ABC" w14:paraId="65DCD341" w14:textId="77777777">
        <w:trPr>
          <w:trHeight w:val="300"/>
        </w:trPr>
        <w:tc>
          <w:tcPr>
            <w:tcW w:w="5123" w:type="dxa"/>
            <w:tcBorders>
              <w:top w:val="single" w:color="auto" w:sz="6" w:space="0"/>
              <w:left w:val="single" w:color="auto" w:sz="6" w:space="0"/>
              <w:bottom w:val="single" w:color="auto" w:sz="6" w:space="0"/>
              <w:right w:val="single" w:color="auto" w:sz="6" w:space="0"/>
            </w:tcBorders>
            <w:hideMark/>
          </w:tcPr>
          <w:p w:rsidRPr="007A6310" w:rsidR="007A6310" w:rsidP="00F63782" w:rsidRDefault="007A6310" w14:paraId="50C009D0" w14:textId="63E0BE2A">
            <w:pPr>
              <w:pStyle w:val="Standard"/>
              <w:rPr>
                <w:sz w:val="24"/>
                <w:szCs w:val="24"/>
              </w:rPr>
            </w:pPr>
            <w:r w:rsidRPr="007A6310">
              <w:rPr>
                <w:sz w:val="24"/>
                <w:szCs w:val="24"/>
              </w:rPr>
              <w:t>Non-Residential Storage Equity</w:t>
            </w:r>
            <w:r w:rsidR="00250432">
              <w:rPr>
                <w:sz w:val="24"/>
                <w:szCs w:val="24"/>
              </w:rPr>
              <w:t xml:space="preserve"> </w:t>
            </w:r>
          </w:p>
        </w:tc>
        <w:tc>
          <w:tcPr>
            <w:tcW w:w="5227" w:type="dxa"/>
            <w:tcBorders>
              <w:top w:val="single" w:color="auto" w:sz="6" w:space="0"/>
              <w:left w:val="single" w:color="auto" w:sz="6" w:space="0"/>
              <w:bottom w:val="single" w:color="auto" w:sz="6" w:space="0"/>
              <w:right w:val="single" w:color="auto" w:sz="6" w:space="0"/>
            </w:tcBorders>
            <w:hideMark/>
          </w:tcPr>
          <w:p w:rsidRPr="007A6310" w:rsidR="007A6310" w:rsidP="00F63782" w:rsidRDefault="007A6310" w14:paraId="72454108" w14:textId="77777777">
            <w:pPr>
              <w:pStyle w:val="Standard"/>
              <w:rPr>
                <w:sz w:val="24"/>
                <w:szCs w:val="24"/>
              </w:rPr>
            </w:pPr>
            <w:r w:rsidRPr="007A6310">
              <w:rPr>
                <w:sz w:val="24"/>
                <w:szCs w:val="24"/>
              </w:rPr>
              <w:t>Non-Residential </w:t>
            </w:r>
          </w:p>
        </w:tc>
      </w:tr>
      <w:tr w:rsidRPr="007A6310" w:rsidR="007A6310" w:rsidTr="00D16ABC" w14:paraId="25F2BE8E" w14:textId="77777777">
        <w:trPr>
          <w:trHeight w:val="300"/>
        </w:trPr>
        <w:tc>
          <w:tcPr>
            <w:tcW w:w="5123" w:type="dxa"/>
            <w:tcBorders>
              <w:top w:val="single" w:color="auto" w:sz="6" w:space="0"/>
              <w:left w:val="single" w:color="auto" w:sz="6" w:space="0"/>
              <w:bottom w:val="single" w:color="auto" w:sz="6" w:space="0"/>
              <w:right w:val="single" w:color="auto" w:sz="6" w:space="0"/>
            </w:tcBorders>
            <w:hideMark/>
          </w:tcPr>
          <w:p w:rsidRPr="007A6310" w:rsidR="007A6310" w:rsidP="00F63782" w:rsidRDefault="007A6310" w14:paraId="63A14E7C" w14:textId="77777777">
            <w:pPr>
              <w:pStyle w:val="Standard"/>
              <w:rPr>
                <w:sz w:val="24"/>
                <w:szCs w:val="24"/>
              </w:rPr>
            </w:pPr>
            <w:r w:rsidRPr="007A6310">
              <w:rPr>
                <w:sz w:val="24"/>
                <w:szCs w:val="24"/>
              </w:rPr>
              <w:t>San Joaquin Valley Non-Residential </w:t>
            </w:r>
          </w:p>
        </w:tc>
        <w:tc>
          <w:tcPr>
            <w:tcW w:w="5227" w:type="dxa"/>
            <w:tcBorders>
              <w:top w:val="single" w:color="auto" w:sz="6" w:space="0"/>
              <w:left w:val="single" w:color="auto" w:sz="6" w:space="0"/>
              <w:bottom w:val="single" w:color="auto" w:sz="6" w:space="0"/>
              <w:right w:val="single" w:color="auto" w:sz="6" w:space="0"/>
            </w:tcBorders>
            <w:hideMark/>
          </w:tcPr>
          <w:p w:rsidRPr="007A6310" w:rsidR="007A6310" w:rsidP="00F63782" w:rsidRDefault="007A6310" w14:paraId="3E4CDE23" w14:textId="77777777">
            <w:pPr>
              <w:pStyle w:val="Standard"/>
              <w:rPr>
                <w:sz w:val="24"/>
                <w:szCs w:val="24"/>
              </w:rPr>
            </w:pPr>
            <w:r w:rsidRPr="007A6310">
              <w:rPr>
                <w:sz w:val="24"/>
                <w:szCs w:val="24"/>
              </w:rPr>
              <w:t>Non-Residential (No funds available) </w:t>
            </w:r>
          </w:p>
        </w:tc>
      </w:tr>
      <w:tr w:rsidRPr="007A6310" w:rsidR="007A6310" w:rsidTr="00D16ABC" w14:paraId="6FD3E472" w14:textId="77777777">
        <w:trPr>
          <w:trHeight w:val="300"/>
        </w:trPr>
        <w:tc>
          <w:tcPr>
            <w:tcW w:w="5123" w:type="dxa"/>
            <w:tcBorders>
              <w:top w:val="single" w:color="auto" w:sz="6" w:space="0"/>
              <w:left w:val="single" w:color="auto" w:sz="6" w:space="0"/>
              <w:bottom w:val="single" w:color="auto" w:sz="6" w:space="0"/>
              <w:right w:val="single" w:color="auto" w:sz="6" w:space="0"/>
            </w:tcBorders>
            <w:hideMark/>
          </w:tcPr>
          <w:p w:rsidRPr="007A6310" w:rsidR="007A6310" w:rsidP="00F63782" w:rsidRDefault="007A6310" w14:paraId="6C851F41" w14:textId="6318A5EC">
            <w:pPr>
              <w:pStyle w:val="Standard"/>
              <w:rPr>
                <w:sz w:val="24"/>
                <w:szCs w:val="24"/>
              </w:rPr>
            </w:pPr>
            <w:r w:rsidRPr="007A6310">
              <w:rPr>
                <w:sz w:val="24"/>
                <w:szCs w:val="24"/>
              </w:rPr>
              <w:t>Equity Resiliency</w:t>
            </w:r>
            <w:r w:rsidR="00250432">
              <w:rPr>
                <w:sz w:val="24"/>
                <w:szCs w:val="24"/>
              </w:rPr>
              <w:t xml:space="preserve"> </w:t>
            </w:r>
          </w:p>
        </w:tc>
        <w:tc>
          <w:tcPr>
            <w:tcW w:w="5227" w:type="dxa"/>
            <w:tcBorders>
              <w:top w:val="single" w:color="auto" w:sz="6" w:space="0"/>
              <w:left w:val="single" w:color="auto" w:sz="6" w:space="0"/>
              <w:bottom w:val="single" w:color="auto" w:sz="6" w:space="0"/>
              <w:right w:val="single" w:color="auto" w:sz="6" w:space="0"/>
            </w:tcBorders>
            <w:hideMark/>
          </w:tcPr>
          <w:p w:rsidRPr="007A6310" w:rsidR="007A6310" w:rsidP="00F63782" w:rsidRDefault="007A6310" w14:paraId="4A0D005E" w14:textId="77777777">
            <w:pPr>
              <w:pStyle w:val="Standard"/>
              <w:rPr>
                <w:sz w:val="24"/>
                <w:szCs w:val="24"/>
              </w:rPr>
            </w:pPr>
            <w:r w:rsidRPr="007A6310">
              <w:rPr>
                <w:sz w:val="24"/>
                <w:szCs w:val="24"/>
              </w:rPr>
              <w:t>Residential and Non-Residential </w:t>
            </w:r>
          </w:p>
        </w:tc>
      </w:tr>
      <w:tr w:rsidRPr="007A6310" w:rsidR="007A6310" w:rsidTr="00D16ABC" w14:paraId="466D5451" w14:textId="77777777">
        <w:trPr>
          <w:trHeight w:val="300"/>
        </w:trPr>
        <w:tc>
          <w:tcPr>
            <w:tcW w:w="5123" w:type="dxa"/>
            <w:tcBorders>
              <w:top w:val="single" w:color="auto" w:sz="6" w:space="0"/>
              <w:left w:val="single" w:color="auto" w:sz="6" w:space="0"/>
              <w:bottom w:val="single" w:color="auto" w:sz="6" w:space="0"/>
              <w:right w:val="single" w:color="auto" w:sz="6" w:space="0"/>
            </w:tcBorders>
            <w:hideMark/>
          </w:tcPr>
          <w:p w:rsidRPr="007A6310" w:rsidR="007A6310" w:rsidP="00F63782" w:rsidRDefault="007A6310" w14:paraId="2EEFE280" w14:textId="77777777">
            <w:pPr>
              <w:pStyle w:val="Standard"/>
              <w:rPr>
                <w:sz w:val="24"/>
                <w:szCs w:val="24"/>
              </w:rPr>
            </w:pPr>
            <w:r w:rsidRPr="007A6310">
              <w:rPr>
                <w:sz w:val="24"/>
                <w:szCs w:val="24"/>
              </w:rPr>
              <w:t>Small Residential Storage </w:t>
            </w:r>
          </w:p>
        </w:tc>
        <w:tc>
          <w:tcPr>
            <w:tcW w:w="5227" w:type="dxa"/>
            <w:tcBorders>
              <w:top w:val="single" w:color="auto" w:sz="6" w:space="0"/>
              <w:left w:val="single" w:color="auto" w:sz="6" w:space="0"/>
              <w:bottom w:val="single" w:color="auto" w:sz="6" w:space="0"/>
              <w:right w:val="single" w:color="auto" w:sz="6" w:space="0"/>
            </w:tcBorders>
            <w:hideMark/>
          </w:tcPr>
          <w:p w:rsidRPr="007A6310" w:rsidR="007A6310" w:rsidP="00F63782" w:rsidRDefault="007A6310" w14:paraId="43D1105B" w14:textId="77777777">
            <w:pPr>
              <w:pStyle w:val="Standard"/>
              <w:rPr>
                <w:sz w:val="24"/>
                <w:szCs w:val="24"/>
              </w:rPr>
            </w:pPr>
            <w:r w:rsidRPr="007A6310">
              <w:rPr>
                <w:sz w:val="24"/>
                <w:szCs w:val="24"/>
              </w:rPr>
              <w:t>Residential </w:t>
            </w:r>
          </w:p>
        </w:tc>
      </w:tr>
      <w:tr w:rsidRPr="007A6310" w:rsidR="007A6310" w:rsidTr="00D16ABC" w14:paraId="0A78702B" w14:textId="77777777">
        <w:trPr>
          <w:trHeight w:val="300"/>
        </w:trPr>
        <w:tc>
          <w:tcPr>
            <w:tcW w:w="5123" w:type="dxa"/>
            <w:tcBorders>
              <w:top w:val="single" w:color="auto" w:sz="6" w:space="0"/>
              <w:left w:val="single" w:color="auto" w:sz="6" w:space="0"/>
              <w:bottom w:val="single" w:color="auto" w:sz="6" w:space="0"/>
              <w:right w:val="single" w:color="auto" w:sz="6" w:space="0"/>
            </w:tcBorders>
            <w:hideMark/>
          </w:tcPr>
          <w:p w:rsidR="00D16ABC" w:rsidP="00F63782" w:rsidRDefault="007A6310" w14:paraId="5109CFC7" w14:textId="43B86A80">
            <w:pPr>
              <w:pStyle w:val="Standard"/>
              <w:rPr>
                <w:sz w:val="24"/>
                <w:szCs w:val="24"/>
              </w:rPr>
            </w:pPr>
            <w:r w:rsidRPr="007A6310">
              <w:rPr>
                <w:sz w:val="24"/>
                <w:szCs w:val="24"/>
              </w:rPr>
              <w:t>Residential Solar and Storage Equity -</w:t>
            </w:r>
            <w:r w:rsidR="00250432">
              <w:rPr>
                <w:sz w:val="24"/>
                <w:szCs w:val="24"/>
              </w:rPr>
              <w:t xml:space="preserve"> </w:t>
            </w:r>
            <w:r w:rsidR="00D16ABC">
              <w:rPr>
                <w:sz w:val="24"/>
                <w:szCs w:val="24"/>
              </w:rPr>
              <w:t xml:space="preserve"> </w:t>
            </w:r>
          </w:p>
          <w:p w:rsidRPr="007A6310" w:rsidR="007A6310" w:rsidP="00F63782" w:rsidRDefault="007A6310" w14:paraId="6B48786C" w14:textId="5653344A">
            <w:pPr>
              <w:pStyle w:val="Standard"/>
              <w:rPr>
                <w:sz w:val="24"/>
                <w:szCs w:val="24"/>
              </w:rPr>
            </w:pPr>
            <w:r w:rsidRPr="007A6310">
              <w:rPr>
                <w:sz w:val="24"/>
                <w:szCs w:val="24"/>
              </w:rPr>
              <w:t>Ratepayer </w:t>
            </w:r>
          </w:p>
        </w:tc>
        <w:tc>
          <w:tcPr>
            <w:tcW w:w="5227" w:type="dxa"/>
            <w:tcBorders>
              <w:top w:val="single" w:color="auto" w:sz="6" w:space="0"/>
              <w:left w:val="single" w:color="auto" w:sz="6" w:space="0"/>
              <w:bottom w:val="single" w:color="auto" w:sz="6" w:space="0"/>
              <w:right w:val="single" w:color="auto" w:sz="6" w:space="0"/>
            </w:tcBorders>
            <w:hideMark/>
          </w:tcPr>
          <w:p w:rsidRPr="007A6310" w:rsidR="007A6310" w:rsidP="00F63782" w:rsidRDefault="007A6310" w14:paraId="5640AEA2" w14:textId="1D00140B">
            <w:pPr>
              <w:pStyle w:val="Standard"/>
              <w:rPr>
                <w:sz w:val="24"/>
                <w:szCs w:val="24"/>
              </w:rPr>
            </w:pPr>
            <w:r w:rsidRPr="007A6310">
              <w:rPr>
                <w:sz w:val="24"/>
                <w:szCs w:val="24"/>
              </w:rPr>
              <w:t>Residential</w:t>
            </w:r>
            <w:r w:rsidR="00250432">
              <w:rPr>
                <w:sz w:val="24"/>
                <w:szCs w:val="24"/>
              </w:rPr>
              <w:t xml:space="preserve"> </w:t>
            </w:r>
          </w:p>
        </w:tc>
      </w:tr>
      <w:tr w:rsidRPr="007A6310" w:rsidR="007A6310" w:rsidTr="00D16ABC" w14:paraId="2F7EBA00" w14:textId="77777777">
        <w:trPr>
          <w:trHeight w:val="435"/>
        </w:trPr>
        <w:tc>
          <w:tcPr>
            <w:tcW w:w="5123" w:type="dxa"/>
            <w:tcBorders>
              <w:top w:val="single" w:color="auto" w:sz="6" w:space="0"/>
              <w:left w:val="single" w:color="auto" w:sz="6" w:space="0"/>
              <w:bottom w:val="single" w:color="auto" w:sz="6" w:space="0"/>
              <w:right w:val="single" w:color="auto" w:sz="6" w:space="0"/>
            </w:tcBorders>
            <w:hideMark/>
          </w:tcPr>
          <w:p w:rsidRPr="007A6310" w:rsidR="007A6310" w:rsidP="00F63782" w:rsidRDefault="007A6310" w14:paraId="4973EA00" w14:textId="4FC3C39D">
            <w:pPr>
              <w:pStyle w:val="Standard"/>
              <w:rPr>
                <w:sz w:val="24"/>
                <w:szCs w:val="24"/>
              </w:rPr>
            </w:pPr>
            <w:r w:rsidRPr="007A6310">
              <w:rPr>
                <w:sz w:val="24"/>
                <w:szCs w:val="24"/>
              </w:rPr>
              <w:t>San Joaquin Valley Residential</w:t>
            </w:r>
            <w:r w:rsidR="00250432">
              <w:rPr>
                <w:sz w:val="24"/>
                <w:szCs w:val="24"/>
              </w:rPr>
              <w:t xml:space="preserve"> </w:t>
            </w:r>
          </w:p>
        </w:tc>
        <w:tc>
          <w:tcPr>
            <w:tcW w:w="5227" w:type="dxa"/>
            <w:tcBorders>
              <w:top w:val="single" w:color="auto" w:sz="6" w:space="0"/>
              <w:left w:val="single" w:color="auto" w:sz="6" w:space="0"/>
              <w:bottom w:val="single" w:color="auto" w:sz="6" w:space="0"/>
              <w:right w:val="single" w:color="auto" w:sz="6" w:space="0"/>
            </w:tcBorders>
            <w:hideMark/>
          </w:tcPr>
          <w:p w:rsidR="00D16ABC" w:rsidP="00F63782" w:rsidRDefault="007A6310" w14:paraId="01C7BCA4" w14:textId="00477D15">
            <w:pPr>
              <w:pStyle w:val="Standard"/>
              <w:rPr>
                <w:sz w:val="24"/>
                <w:szCs w:val="24"/>
              </w:rPr>
            </w:pPr>
            <w:r w:rsidRPr="007A6310">
              <w:rPr>
                <w:sz w:val="24"/>
                <w:szCs w:val="24"/>
              </w:rPr>
              <w:t>Residential (Only available in PG&amp;E</w:t>
            </w:r>
            <w:r w:rsidR="00250432">
              <w:rPr>
                <w:sz w:val="24"/>
                <w:szCs w:val="24"/>
              </w:rPr>
              <w:t xml:space="preserve">  </w:t>
            </w:r>
          </w:p>
          <w:p w:rsidRPr="007A6310" w:rsidR="007A6310" w:rsidP="00F63782" w:rsidRDefault="007A6310" w14:paraId="7EE4EDAB" w14:textId="5419EDE1">
            <w:pPr>
              <w:pStyle w:val="Standard"/>
              <w:rPr>
                <w:sz w:val="24"/>
                <w:szCs w:val="24"/>
              </w:rPr>
            </w:pPr>
            <w:r w:rsidRPr="007A6310">
              <w:rPr>
                <w:sz w:val="24"/>
                <w:szCs w:val="24"/>
              </w:rPr>
              <w:t>territory) </w:t>
            </w:r>
          </w:p>
        </w:tc>
      </w:tr>
    </w:tbl>
    <w:p w:rsidRPr="007A6310" w:rsidR="007A6310" w:rsidP="007A6310" w:rsidRDefault="007A6310" w14:paraId="2BB255A9" w14:textId="77777777">
      <w:pPr>
        <w:pStyle w:val="Standard"/>
      </w:pPr>
      <w:r w:rsidRPr="007A6310">
        <w:t> </w:t>
      </w:r>
    </w:p>
    <w:p w:rsidRPr="007A6310" w:rsidR="007A6310" w:rsidP="007A6310" w:rsidRDefault="339657AA" w14:paraId="738D0F0E" w14:textId="4FE8D931">
      <w:pPr>
        <w:pStyle w:val="Standard"/>
      </w:pPr>
      <w:r>
        <w:t xml:space="preserve">SGIP currently has 7 ratepayer budgets with available funds. D.20-01-021 OP 34 authorized SGIP PAs to submit a Tier 2 </w:t>
      </w:r>
      <w:r w:rsidR="1475D65F">
        <w:t>advice letter</w:t>
      </w:r>
      <w:r>
        <w:t xml:space="preserve"> to transfer funds between technology incentive budgets after December 31, 2022</w:t>
      </w:r>
      <w:r w:rsidR="085AAC2B">
        <w:t>,</w:t>
      </w:r>
      <w:r>
        <w:t xml:space="preserve"> if the SGIP PA believes that there are likely to be unreserved funds in that budget as of December 31, 2025. </w:t>
      </w:r>
      <w:r w:rsidR="2E9E70F0">
        <w:t xml:space="preserve">Tier 2 </w:t>
      </w:r>
      <w:r w:rsidR="1475D65F">
        <w:t>advice letter</w:t>
      </w:r>
      <w:r w:rsidR="00250432">
        <w:t>s</w:t>
      </w:r>
      <w:r>
        <w:t xml:space="preserve"> take a minimum of 30 days to be reviewed and disposed of by Energy Division </w:t>
      </w:r>
      <w:r w:rsidR="78769CBC">
        <w:t>(ED)</w:t>
      </w:r>
      <w:r w:rsidR="2E9E70F0">
        <w:t xml:space="preserve"> </w:t>
      </w:r>
      <w:r>
        <w:t>staff.</w:t>
      </w:r>
      <w:r w:rsidR="00250432">
        <w:t xml:space="preserve"> </w:t>
      </w:r>
    </w:p>
    <w:p w:rsidR="00A222E6" w:rsidP="00A222E6" w:rsidRDefault="00A222E6" w14:paraId="0DD1D24C" w14:textId="0F9DC548">
      <w:pPr>
        <w:pStyle w:val="Standard"/>
        <w:ind w:firstLine="0"/>
      </w:pPr>
      <w:r>
        <w:tab/>
      </w:r>
      <w:r w:rsidR="00BE5D55">
        <w:t xml:space="preserve"> SGIP </w:t>
      </w:r>
      <w:r w:rsidR="008D512E">
        <w:t>project</w:t>
      </w:r>
      <w:r w:rsidR="00470000">
        <w:t>s</w:t>
      </w:r>
      <w:r w:rsidR="008D512E">
        <w:t xml:space="preserve"> </w:t>
      </w:r>
      <w:r w:rsidR="65177140">
        <w:t>start with</w:t>
      </w:r>
      <w:r w:rsidR="008D512E">
        <w:t xml:space="preserve"> an application which is linked to a </w:t>
      </w:r>
      <w:r w:rsidR="00F83E4A">
        <w:t>Request for Reservation Form (RRF</w:t>
      </w:r>
      <w:r w:rsidR="795C4557">
        <w:t>)</w:t>
      </w:r>
      <w:r w:rsidR="0C35FA84">
        <w:t>. The RRF</w:t>
      </w:r>
      <w:r w:rsidR="00250432">
        <w:t xml:space="preserve"> </w:t>
      </w:r>
      <w:r w:rsidR="00C76263">
        <w:t>allocates or reserves funds from the budget category</w:t>
      </w:r>
      <w:r w:rsidR="04F03A08">
        <w:t xml:space="preserve"> to the project</w:t>
      </w:r>
      <w:r w:rsidR="00C267A1">
        <w:t>.</w:t>
      </w:r>
      <w:r w:rsidR="00C76263">
        <w:t xml:space="preserve"> </w:t>
      </w:r>
      <w:r w:rsidR="00707A83">
        <w:t xml:space="preserve">Once the project is </w:t>
      </w:r>
      <w:r w:rsidR="00BC545D">
        <w:t>completed</w:t>
      </w:r>
      <w:r w:rsidR="00E33F18">
        <w:t xml:space="preserve"> </w:t>
      </w:r>
      <w:r w:rsidR="00393FF1">
        <w:t xml:space="preserve">the </w:t>
      </w:r>
      <w:r w:rsidR="6AB77166">
        <w:t xml:space="preserve">developer or </w:t>
      </w:r>
      <w:r w:rsidR="00393FF1">
        <w:t>applicant</w:t>
      </w:r>
      <w:r w:rsidR="00E33F18">
        <w:t xml:space="preserve"> </w:t>
      </w:r>
      <w:r w:rsidR="00E33F18">
        <w:lastRenderedPageBreak/>
        <w:t>will file an Incentive Claim Form (ICF)</w:t>
      </w:r>
      <w:r w:rsidR="00073602">
        <w:rPr>
          <w:rStyle w:val="FootnoteReference"/>
        </w:rPr>
        <w:footnoteReference w:id="4"/>
      </w:r>
      <w:r w:rsidR="00E33F18">
        <w:t xml:space="preserve"> to</w:t>
      </w:r>
      <w:r w:rsidR="002F69E9">
        <w:t xml:space="preserve"> start payment(s) for the project. </w:t>
      </w:r>
      <w:r w:rsidR="003626D4">
        <w:t>Larger</w:t>
      </w:r>
      <w:r w:rsidR="007A39EC">
        <w:t xml:space="preserve"> </w:t>
      </w:r>
      <w:r w:rsidR="15AA459B">
        <w:t xml:space="preserve">non-residential projects </w:t>
      </w:r>
      <w:r w:rsidR="003626D4">
        <w:t xml:space="preserve">are paid the final 50 percent of the incentive through a five-year </w:t>
      </w:r>
      <w:r w:rsidR="00214A17">
        <w:t xml:space="preserve">Performance Based Incentive (PBI) </w:t>
      </w:r>
      <w:r w:rsidR="003626D4">
        <w:t>period</w:t>
      </w:r>
      <w:r w:rsidR="00A72FDA">
        <w:t>.</w:t>
      </w:r>
    </w:p>
    <w:p w:rsidR="0004477D" w:rsidP="00A222E6" w:rsidRDefault="00AE47FB" w14:paraId="763A6911" w14:textId="290A7D53">
      <w:pPr>
        <w:pStyle w:val="Standard"/>
        <w:ind w:firstLine="0"/>
      </w:pPr>
      <w:r>
        <w:tab/>
        <w:t xml:space="preserve">On April 28, 2025, the assigned ALJ issued a </w:t>
      </w:r>
      <w:r w:rsidR="127043C7">
        <w:t>ruling (April 28</w:t>
      </w:r>
      <w:r w:rsidRPr="0AD72574" w:rsidR="127043C7">
        <w:rPr>
          <w:vertAlign w:val="superscript"/>
        </w:rPr>
        <w:t>th</w:t>
      </w:r>
      <w:r w:rsidR="127043C7">
        <w:t xml:space="preserve"> Ruling)</w:t>
      </w:r>
      <w:r>
        <w:t xml:space="preserve"> that described the </w:t>
      </w:r>
      <w:r w:rsidR="00C063AD">
        <w:t>ratepayer</w:t>
      </w:r>
      <w:r w:rsidR="4E4DE211">
        <w:t>-</w:t>
      </w:r>
      <w:r w:rsidR="00C063AD">
        <w:t xml:space="preserve">funded </w:t>
      </w:r>
      <w:r>
        <w:t xml:space="preserve">SGIP close out process </w:t>
      </w:r>
      <w:r w:rsidR="005B78AE">
        <w:t>and asked specific questions</w:t>
      </w:r>
      <w:r w:rsidR="470E18DF">
        <w:t>, such as what</w:t>
      </w:r>
      <w:r w:rsidR="00250432">
        <w:t xml:space="preserve"> </w:t>
      </w:r>
      <w:r w:rsidR="007B7608">
        <w:t xml:space="preserve">deadline </w:t>
      </w:r>
      <w:r w:rsidR="6D2F02AE">
        <w:t xml:space="preserve">should be set </w:t>
      </w:r>
      <w:r w:rsidR="007B7608">
        <w:t xml:space="preserve">for new applications, </w:t>
      </w:r>
      <w:r w:rsidR="003166EA">
        <w:t xml:space="preserve">how to handle allocated and non-allocated funds, </w:t>
      </w:r>
      <w:r w:rsidR="35A3364F">
        <w:t xml:space="preserve">what </w:t>
      </w:r>
      <w:r w:rsidR="00DF2605">
        <w:t>measurement and evaluation</w:t>
      </w:r>
      <w:r w:rsidR="1287CE9C">
        <w:t xml:space="preserve"> should be conducted</w:t>
      </w:r>
      <w:r w:rsidR="00DF2605">
        <w:t xml:space="preserve">, </w:t>
      </w:r>
      <w:r w:rsidR="00BE7350">
        <w:t>how to use accumulated inter</w:t>
      </w:r>
      <w:r w:rsidR="00BB4207">
        <w:t>est etc.</w:t>
      </w:r>
      <w:r w:rsidR="004E1395">
        <w:t xml:space="preserve"> </w:t>
      </w:r>
      <w:r w:rsidR="005C775A">
        <w:t>Partie</w:t>
      </w:r>
      <w:r w:rsidR="00E95ACE">
        <w:t>s’</w:t>
      </w:r>
      <w:r w:rsidR="005C775A">
        <w:t xml:space="preserve"> </w:t>
      </w:r>
      <w:r w:rsidR="004A0DB7">
        <w:t>commen</w:t>
      </w:r>
      <w:r w:rsidR="00BB4207">
        <w:t>ts</w:t>
      </w:r>
      <w:r w:rsidR="004A0DB7">
        <w:t xml:space="preserve"> on the </w:t>
      </w:r>
      <w:r w:rsidR="25B91D3D">
        <w:t>R</w:t>
      </w:r>
      <w:r w:rsidR="7C5CE09C">
        <w:t>uling</w:t>
      </w:r>
      <w:r w:rsidR="00BB4207">
        <w:t xml:space="preserve"> </w:t>
      </w:r>
      <w:r w:rsidR="0063103C">
        <w:t>topics</w:t>
      </w:r>
      <w:r w:rsidR="00BB4207">
        <w:t xml:space="preserve"> and questions</w:t>
      </w:r>
      <w:r w:rsidR="00981267">
        <w:t xml:space="preserve"> are described</w:t>
      </w:r>
      <w:r w:rsidR="0063103C">
        <w:t xml:space="preserve"> </w:t>
      </w:r>
      <w:r w:rsidR="00496078">
        <w:t>in the foll</w:t>
      </w:r>
      <w:r w:rsidR="000D1855">
        <w:t>owing sections below.</w:t>
      </w:r>
    </w:p>
    <w:p w:rsidR="002D1FB9" w:rsidP="002D1FB9" w:rsidRDefault="00925993" w14:paraId="11DFB8EB" w14:textId="403DF4C4">
      <w:pPr>
        <w:pStyle w:val="Heading2"/>
      </w:pPr>
      <w:bookmarkStart w:name="_Toc206771067" w:id="11"/>
      <w:r>
        <w:t>3.1</w:t>
      </w:r>
      <w:r w:rsidR="00F705D0">
        <w:tab/>
      </w:r>
      <w:r w:rsidR="00465985">
        <w:t xml:space="preserve">Deadline for </w:t>
      </w:r>
      <w:r w:rsidR="01708C7A">
        <w:t xml:space="preserve">New </w:t>
      </w:r>
      <w:r w:rsidR="00465985">
        <w:t>Ratepayer Applications and Waitlist</w:t>
      </w:r>
      <w:bookmarkEnd w:id="11"/>
    </w:p>
    <w:p w:rsidR="001F556C" w:rsidP="00EA24CB" w:rsidRDefault="00B95744" w14:paraId="3F49640F" w14:textId="6F96A6CD">
      <w:pPr>
        <w:pStyle w:val="Standard"/>
      </w:pPr>
      <w:r>
        <w:t>Two</w:t>
      </w:r>
      <w:r w:rsidR="68A763AF">
        <w:t xml:space="preserve"> key question</w:t>
      </w:r>
      <w:r w:rsidR="00883A54">
        <w:t>s</w:t>
      </w:r>
      <w:r w:rsidR="68A763AF">
        <w:t xml:space="preserve"> included in the April 28</w:t>
      </w:r>
      <w:r w:rsidRPr="0AD72574" w:rsidR="68A763AF">
        <w:rPr>
          <w:vertAlign w:val="superscript"/>
        </w:rPr>
        <w:t>th</w:t>
      </w:r>
      <w:r w:rsidR="68A763AF">
        <w:t xml:space="preserve"> Ruling was what deadline should be set to stop new applications and </w:t>
      </w:r>
      <w:r w:rsidR="00D8174B">
        <w:t xml:space="preserve">close the </w:t>
      </w:r>
      <w:r w:rsidR="68A763AF">
        <w:t>waitlists</w:t>
      </w:r>
      <w:r w:rsidR="00883A54">
        <w:t>; also, when project funds should be considered allocated</w:t>
      </w:r>
      <w:r w:rsidR="68A763AF">
        <w:t>.</w:t>
      </w:r>
    </w:p>
    <w:p w:rsidR="00E22A71" w:rsidP="00E22A71" w:rsidRDefault="006D3155" w14:paraId="52B62F16" w14:textId="791F2F98">
      <w:pPr>
        <w:pStyle w:val="Heading3"/>
      </w:pPr>
      <w:bookmarkStart w:name="_Toc206771068" w:id="12"/>
      <w:r>
        <w:t>3.1.1</w:t>
      </w:r>
      <w:r w:rsidR="00F705D0">
        <w:tab/>
      </w:r>
      <w:r w:rsidR="00E22A71">
        <w:t>Party Comments</w:t>
      </w:r>
      <w:bookmarkEnd w:id="12"/>
    </w:p>
    <w:p w:rsidR="001E2DAA" w:rsidP="001E2DAA" w:rsidRDefault="6666E49D" w14:paraId="07F453E2" w14:textId="1EB87ADA">
      <w:pPr>
        <w:pStyle w:val="Standard"/>
      </w:pPr>
      <w:r>
        <w:t xml:space="preserve">Parties’ comments </w:t>
      </w:r>
      <w:r w:rsidR="1B516216">
        <w:t xml:space="preserve">did not </w:t>
      </w:r>
      <w:r w:rsidR="00580C06">
        <w:t xml:space="preserve">support </w:t>
      </w:r>
      <w:r>
        <w:t>the</w:t>
      </w:r>
      <w:r w:rsidR="054D60EB">
        <w:t xml:space="preserve"> </w:t>
      </w:r>
      <w:r w:rsidR="00FA6765">
        <w:t xml:space="preserve">statement in the </w:t>
      </w:r>
      <w:r>
        <w:t>April 28</w:t>
      </w:r>
      <w:r w:rsidRPr="00B45419">
        <w:rPr>
          <w:vertAlign w:val="superscript"/>
        </w:rPr>
        <w:t>th</w:t>
      </w:r>
      <w:r>
        <w:t xml:space="preserve"> </w:t>
      </w:r>
      <w:r w:rsidR="7ABE544E">
        <w:t>R</w:t>
      </w:r>
      <w:r w:rsidR="1443F512">
        <w:t>uling</w:t>
      </w:r>
      <w:r>
        <w:t xml:space="preserve"> </w:t>
      </w:r>
      <w:r w:rsidR="00580C06">
        <w:t xml:space="preserve">that applications will be considered to have their </w:t>
      </w:r>
      <w:r w:rsidR="1B516216">
        <w:t xml:space="preserve">funds allocated </w:t>
      </w:r>
      <w:r w:rsidR="00761259">
        <w:t xml:space="preserve">to them </w:t>
      </w:r>
      <w:r w:rsidR="1B516216">
        <w:t>once a project reache</w:t>
      </w:r>
      <w:r w:rsidR="7DB2EBC2">
        <w:t>s</w:t>
      </w:r>
      <w:r w:rsidR="1B516216">
        <w:t xml:space="preserve"> RRF confirmed or </w:t>
      </w:r>
      <w:r w:rsidR="6816862B">
        <w:t xml:space="preserve">reserved status. </w:t>
      </w:r>
      <w:r w:rsidR="00FB3D2E">
        <w:t>Party</w:t>
      </w:r>
      <w:r w:rsidR="6816862B">
        <w:t xml:space="preserve"> comments </w:t>
      </w:r>
      <w:r w:rsidR="5B37F6FD">
        <w:t xml:space="preserve">instead </w:t>
      </w:r>
      <w:r w:rsidR="6816862B">
        <w:t xml:space="preserve">supported </w:t>
      </w:r>
      <w:r w:rsidR="6DAD5F7B">
        <w:t>defining</w:t>
      </w:r>
      <w:r>
        <w:t xml:space="preserve"> ratepayer </w:t>
      </w:r>
      <w:r w:rsidR="3F7F1626">
        <w:t>funds</w:t>
      </w:r>
      <w:r>
        <w:t xml:space="preserve"> </w:t>
      </w:r>
      <w:r w:rsidR="36909067">
        <w:t xml:space="preserve">as </w:t>
      </w:r>
      <w:r>
        <w:t>allocated once a</w:t>
      </w:r>
      <w:r w:rsidR="3CD92D1A">
        <w:t xml:space="preserve"> project reaches</w:t>
      </w:r>
      <w:r>
        <w:t xml:space="preserve"> RRF </w:t>
      </w:r>
      <w:r w:rsidR="3CD92D1A">
        <w:t>submitted status</w:t>
      </w:r>
      <w:r>
        <w:t>.</w:t>
      </w:r>
      <w:r w:rsidR="001E2DAA">
        <w:rPr>
          <w:rStyle w:val="FootnoteReference"/>
        </w:rPr>
        <w:footnoteReference w:id="5"/>
      </w:r>
      <w:r>
        <w:t xml:space="preserve"> </w:t>
      </w:r>
      <w:r w:rsidRPr="00F55CFE">
        <w:t xml:space="preserve">The ratepayer SGIP PAs all commented that </w:t>
      </w:r>
      <w:r w:rsidRPr="00F55CFE" w:rsidR="003868EB">
        <w:t xml:space="preserve">under </w:t>
      </w:r>
      <w:r w:rsidRPr="00F55CFE" w:rsidR="003D0D55">
        <w:t xml:space="preserve">current </w:t>
      </w:r>
      <w:r w:rsidRPr="00F55CFE" w:rsidR="003868EB">
        <w:t xml:space="preserve">program rules </w:t>
      </w:r>
      <w:r w:rsidRPr="00F55CFE">
        <w:t xml:space="preserve">“RRF submitted” status is the point at which the SGIP database </w:t>
      </w:r>
      <w:r w:rsidRPr="00F55CFE">
        <w:lastRenderedPageBreak/>
        <w:t>assigns funds to a project</w:t>
      </w:r>
      <w:r w:rsidRPr="00B4149B" w:rsidR="005E685B">
        <w:t xml:space="preserve"> and current </w:t>
      </w:r>
      <w:r w:rsidR="0048269F">
        <w:t>practice</w:t>
      </w:r>
      <w:r w:rsidRPr="00B4149B" w:rsidR="005E685B">
        <w:t xml:space="preserve"> should be maintained</w:t>
      </w:r>
      <w:r w:rsidRPr="00F55CFE">
        <w:t>.</w:t>
      </w:r>
      <w:r w:rsidRPr="00F55CFE" w:rsidR="001E2DAA">
        <w:rPr>
          <w:rStyle w:val="FootnoteReference"/>
        </w:rPr>
        <w:footnoteReference w:id="6"/>
      </w:r>
      <w:r w:rsidRPr="00F55CFE">
        <w:t xml:space="preserve"> </w:t>
      </w:r>
      <w:r w:rsidRPr="00F55CFE" w:rsidR="7A407A62">
        <w:t xml:space="preserve">We agree that </w:t>
      </w:r>
      <w:r w:rsidRPr="00F55CFE" w:rsidR="00F55CFE">
        <w:t xml:space="preserve">for consistency, the current </w:t>
      </w:r>
      <w:r w:rsidR="0048269F">
        <w:t>practice</w:t>
      </w:r>
      <w:r w:rsidRPr="00F55CFE" w:rsidR="00F55CFE">
        <w:t xml:space="preserve"> should be maintained and </w:t>
      </w:r>
      <w:r w:rsidRPr="00F55CFE" w:rsidR="7A407A62">
        <w:t xml:space="preserve">a project should be defined as “allocated” once the RRF </w:t>
      </w:r>
      <w:r w:rsidRPr="00F55CFE" w:rsidR="664AF864">
        <w:t>is submitted.</w:t>
      </w:r>
      <w:r w:rsidR="664AF864">
        <w:t xml:space="preserve"> </w:t>
      </w:r>
    </w:p>
    <w:p w:rsidR="001E2DAA" w:rsidP="001E2DAA" w:rsidRDefault="6666E49D" w14:paraId="07B3A784" w14:textId="65B119FE">
      <w:pPr>
        <w:pStyle w:val="Standard"/>
      </w:pPr>
      <w:r>
        <w:t>Based on this definition</w:t>
      </w:r>
      <w:r w:rsidR="00250432">
        <w:t>, the parties</w:t>
      </w:r>
      <w:r>
        <w:t>’ comments recommended that the last date for applications be as late in December 2025 as possible, with most recommending December 31, 2025. SCE’s comments mentioned that a deadline of December 31, 2025, has been communicated to stakeholders through the SGIP Handbook.</w:t>
      </w:r>
      <w:r w:rsidR="001E2DAA">
        <w:rPr>
          <w:rStyle w:val="FootnoteReference"/>
        </w:rPr>
        <w:footnoteReference w:id="7"/>
      </w:r>
      <w:r>
        <w:t xml:space="preserve"> </w:t>
      </w:r>
      <w:r w:rsidR="0FE177F8">
        <w:t>S</w:t>
      </w:r>
      <w:r w:rsidR="38CD2B83">
        <w:t>o</w:t>
      </w:r>
      <w:r w:rsidR="0FE177F8">
        <w:t>C</w:t>
      </w:r>
      <w:r w:rsidR="399AF747">
        <w:t>al</w:t>
      </w:r>
      <w:r w:rsidR="0FE177F8">
        <w:t>G</w:t>
      </w:r>
      <w:r w:rsidR="1859F0EB">
        <w:t>a</w:t>
      </w:r>
      <w:r w:rsidR="0FE177F8">
        <w:t>s</w:t>
      </w:r>
      <w:r>
        <w:t xml:space="preserve"> comments indicated that the SGIP database processes applications and assigns funds overnight before the project reaches the “RRF submitted” status. </w:t>
      </w:r>
      <w:r w:rsidR="7E22486D">
        <w:t xml:space="preserve">SoCalGas supported </w:t>
      </w:r>
      <w:r w:rsidR="1CC5BD32">
        <w:t xml:space="preserve">a December </w:t>
      </w:r>
      <w:r w:rsidR="0049850F">
        <w:t>30, 2025 deadline t</w:t>
      </w:r>
      <w:r>
        <w:t xml:space="preserve">o ensure that projects </w:t>
      </w:r>
      <w:r w:rsidR="25DA7620">
        <w:t xml:space="preserve">are considered RRF submitted by </w:t>
      </w:r>
      <w:r>
        <w:t>December 31, 2025.</w:t>
      </w:r>
      <w:r w:rsidR="001E2DAA">
        <w:rPr>
          <w:rStyle w:val="FootnoteReference"/>
        </w:rPr>
        <w:footnoteReference w:id="8"/>
      </w:r>
      <w:r>
        <w:t xml:space="preserve"> SBUA’s reply comments supported </w:t>
      </w:r>
      <w:r w:rsidR="0FE177F8">
        <w:t>S</w:t>
      </w:r>
      <w:r w:rsidR="3B75661B">
        <w:t>o</w:t>
      </w:r>
      <w:r w:rsidR="0FE177F8">
        <w:t>C</w:t>
      </w:r>
      <w:r w:rsidR="64E7FB17">
        <w:t>al</w:t>
      </w:r>
      <w:r w:rsidR="0FE177F8">
        <w:t>G</w:t>
      </w:r>
      <w:r w:rsidR="3E27C20C">
        <w:t>as</w:t>
      </w:r>
      <w:r w:rsidR="0FE177F8">
        <w:t>’s</w:t>
      </w:r>
      <w:r>
        <w:t xml:space="preserve"> proposed December 30, 2025, deadline for new ratepayer</w:t>
      </w:r>
      <w:r w:rsidR="606A9CF6">
        <w:t>-</w:t>
      </w:r>
      <w:r>
        <w:t>funded SGIP applications.</w:t>
      </w:r>
      <w:r w:rsidR="001E2DAA">
        <w:rPr>
          <w:rStyle w:val="FootnoteReference"/>
        </w:rPr>
        <w:footnoteReference w:id="9"/>
      </w:r>
    </w:p>
    <w:p w:rsidR="001E2DAA" w:rsidP="00351994" w:rsidRDefault="51E46B98" w14:paraId="0D1557B3" w14:textId="7015F80F">
      <w:pPr>
        <w:pStyle w:val="Standard"/>
      </w:pPr>
      <w:r>
        <w:t>Most</w:t>
      </w:r>
      <w:r w:rsidR="6666E49D">
        <w:t xml:space="preserve"> party comments supported closing project waitlists on December 31, 2025.</w:t>
      </w:r>
      <w:r w:rsidR="001E2DAA">
        <w:rPr>
          <w:rStyle w:val="FootnoteReference"/>
        </w:rPr>
        <w:footnoteReference w:id="10"/>
      </w:r>
      <w:r w:rsidR="6666E49D">
        <w:t xml:space="preserve"> </w:t>
      </w:r>
      <w:r w:rsidR="0FE177F8">
        <w:t>S</w:t>
      </w:r>
      <w:r w:rsidR="505D4196">
        <w:t>o</w:t>
      </w:r>
      <w:r w:rsidR="0FE177F8">
        <w:t>C</w:t>
      </w:r>
      <w:r w:rsidR="1EE17B1A">
        <w:t>al</w:t>
      </w:r>
      <w:r w:rsidR="0FE177F8">
        <w:t>G</w:t>
      </w:r>
      <w:r w:rsidR="42EE915A">
        <w:t>as</w:t>
      </w:r>
      <w:r w:rsidR="0FE177F8">
        <w:t>’s</w:t>
      </w:r>
      <w:r w:rsidR="6666E49D">
        <w:t xml:space="preserve"> comments recommend that all ratepayer</w:t>
      </w:r>
      <w:r w:rsidR="72397847">
        <w:t>-</w:t>
      </w:r>
      <w:r w:rsidR="6666E49D">
        <w:t>funded incentive budget waitlists be closed by December 30, 2025.</w:t>
      </w:r>
      <w:r w:rsidR="001E2DAA">
        <w:rPr>
          <w:rStyle w:val="FootnoteReference"/>
        </w:rPr>
        <w:footnoteReference w:id="11"/>
      </w:r>
      <w:r w:rsidR="6666E49D">
        <w:t xml:space="preserve"> Some parties had additional comments about how the ratepayer</w:t>
      </w:r>
      <w:r w:rsidR="575B1D57">
        <w:t>-</w:t>
      </w:r>
      <w:r w:rsidR="6666E49D">
        <w:t xml:space="preserve">funded SGIP project waitlists should be handled. For example, Free Energy’s comments describe a two-step process </w:t>
      </w:r>
      <w:r w:rsidR="6666E49D">
        <w:lastRenderedPageBreak/>
        <w:t>where half of the remaining funds in each budget category is immediately open</w:t>
      </w:r>
      <w:r w:rsidR="28BFCB87">
        <w:t>ed</w:t>
      </w:r>
      <w:r w:rsidR="6666E49D">
        <w:t xml:space="preserve"> to all and a second step, on or about December 15, 2025, to release all remaining funds to clear out any potential waitlist.</w:t>
      </w:r>
      <w:r w:rsidR="001E2DAA">
        <w:rPr>
          <w:rStyle w:val="FootnoteReference"/>
        </w:rPr>
        <w:footnoteReference w:id="12"/>
      </w:r>
      <w:r w:rsidR="6666E49D">
        <w:t xml:space="preserve"> </w:t>
      </w:r>
    </w:p>
    <w:p w:rsidRPr="00F8475E" w:rsidR="001E2DAA" w:rsidP="001E2DAA" w:rsidRDefault="6666E49D" w14:paraId="06D22CF9" w14:textId="08C7E260">
      <w:pPr>
        <w:pStyle w:val="Standard"/>
        <w:ind w:firstLine="360"/>
      </w:pPr>
      <w:r>
        <w:t>CALSSA’s comments recommended that the Commission consolidate all remaining ratepayer-funded SGIP funds, across budget categories, into a single pool within each PA service area as soon as possible.</w:t>
      </w:r>
      <w:r w:rsidR="001E2DAA">
        <w:rPr>
          <w:rStyle w:val="FootnoteReference"/>
        </w:rPr>
        <w:footnoteReference w:id="13"/>
      </w:r>
      <w:r>
        <w:t xml:space="preserve"> CALSSA’s comments asserted that if such a pooling of SGIP funds were created, the Commission would eliminate current administrative caps and carve outs and allow market demand to drive the allocation of funding in the limited time left before unallocated funds need to be returned to ratepayers.</w:t>
      </w:r>
      <w:r w:rsidR="001E2DAA">
        <w:rPr>
          <w:rStyle w:val="FootnoteReference"/>
        </w:rPr>
        <w:footnoteReference w:id="14"/>
      </w:r>
    </w:p>
    <w:p w:rsidR="00077F66" w:rsidP="001E2DAA" w:rsidRDefault="006D3155" w14:paraId="5F1E9D1B" w14:textId="75BB7FA7">
      <w:pPr>
        <w:pStyle w:val="Heading3"/>
      </w:pPr>
      <w:bookmarkStart w:name="_Toc206771069" w:id="13"/>
      <w:r>
        <w:t>3.1.2</w:t>
      </w:r>
      <w:r w:rsidR="00F705D0">
        <w:tab/>
      </w:r>
      <w:r w:rsidR="00E22A71">
        <w:t>Discussion and Analysis</w:t>
      </w:r>
      <w:bookmarkEnd w:id="13"/>
    </w:p>
    <w:p w:rsidR="00A1726D" w:rsidP="001E2DAA" w:rsidRDefault="004E3AEA" w14:paraId="56517D4A" w14:textId="0D4884F6">
      <w:pPr>
        <w:pStyle w:val="Standard"/>
      </w:pPr>
      <w:r>
        <w:t>After examining the record in this proceeding and reviewing part</w:t>
      </w:r>
      <w:r w:rsidR="00DF49D3">
        <w:t>y comments</w:t>
      </w:r>
      <w:r w:rsidR="5F591688">
        <w:t>,</w:t>
      </w:r>
      <w:r w:rsidR="00DF49D3">
        <w:t xml:space="preserve"> the Commission</w:t>
      </w:r>
      <w:r w:rsidR="61984533">
        <w:t xml:space="preserve"> finds it reasonable to adopt the</w:t>
      </w:r>
      <w:r w:rsidR="00226407">
        <w:t xml:space="preserve"> following </w:t>
      </w:r>
      <w:r w:rsidR="1411CF63">
        <w:t>requirements</w:t>
      </w:r>
      <w:r w:rsidR="00226407">
        <w:t xml:space="preserve"> </w:t>
      </w:r>
      <w:r w:rsidR="4757DCBF">
        <w:t>for closing the ratepayer-funded portion of SGIP</w:t>
      </w:r>
      <w:r w:rsidR="00A1726D">
        <w:t xml:space="preserve">: </w:t>
      </w:r>
    </w:p>
    <w:p w:rsidR="1FD1ADAB" w:rsidP="00F705D0" w:rsidRDefault="1FD1ADAB" w14:paraId="765D8091" w14:textId="0B4D29D2">
      <w:pPr>
        <w:pStyle w:val="ListNum"/>
        <w:numPr>
          <w:ilvl w:val="0"/>
          <w:numId w:val="47"/>
        </w:numPr>
        <w:ind w:right="1440"/>
      </w:pPr>
      <w:r>
        <w:t>A ratepayer-funded SGIP project is deemed “allocated” once the RRF is submitted.</w:t>
      </w:r>
    </w:p>
    <w:p w:rsidR="5FBD6BC7" w:rsidP="00F705D0" w:rsidRDefault="5FBD6BC7" w14:paraId="05397E63" w14:textId="7E5B7E8A">
      <w:pPr>
        <w:pStyle w:val="ListNum"/>
        <w:numPr>
          <w:ilvl w:val="0"/>
          <w:numId w:val="47"/>
        </w:numPr>
        <w:ind w:right="1440"/>
      </w:pPr>
      <w:r>
        <w:t>PAs</w:t>
      </w:r>
      <w:r w:rsidR="00244E1C">
        <w:t xml:space="preserve"> have 15 days to file a Tier 1 advice letter</w:t>
      </w:r>
      <w:r w:rsidR="003203CC">
        <w:t xml:space="preserve"> to cover reinstating projects as directed by section 3</w:t>
      </w:r>
      <w:r w:rsidR="00E3598E">
        <w:t>.</w:t>
      </w:r>
      <w:r w:rsidR="003203CC">
        <w:t>5.2</w:t>
      </w:r>
      <w:r w:rsidR="00E3598E">
        <w:t>. Otherwise, the PAs</w:t>
      </w:r>
      <w:r>
        <w:t xml:space="preserve"> must no longer transfer funds between incentive budgets through advice letters as of the effective date</w:t>
      </w:r>
      <w:r w:rsidR="1C1A3420">
        <w:t xml:space="preserve"> of this decision.</w:t>
      </w:r>
    </w:p>
    <w:p w:rsidRPr="008E7507" w:rsidR="00A1726D" w:rsidP="00F705D0" w:rsidRDefault="00A1726D" w14:paraId="30D84CDA" w14:textId="55465559">
      <w:pPr>
        <w:pStyle w:val="ListNum"/>
        <w:numPr>
          <w:ilvl w:val="0"/>
          <w:numId w:val="47"/>
        </w:numPr>
        <w:ind w:right="1440"/>
      </w:pPr>
      <w:r w:rsidRPr="008E7507">
        <w:t>T</w:t>
      </w:r>
      <w:r w:rsidRPr="008E7507" w:rsidR="00BC4B24">
        <w:t xml:space="preserve">he deadline for </w:t>
      </w:r>
      <w:r w:rsidRPr="008E7507" w:rsidR="00A868FB">
        <w:t>new applications for ratepayer</w:t>
      </w:r>
      <w:r w:rsidR="4D2A6E01">
        <w:t>-</w:t>
      </w:r>
      <w:r w:rsidRPr="008E7507" w:rsidR="00A868FB">
        <w:t>funded SGIP projects</w:t>
      </w:r>
      <w:r w:rsidRPr="008E7507" w:rsidR="00B80363">
        <w:t xml:space="preserve"> </w:t>
      </w:r>
      <w:r w:rsidRPr="008E7507" w:rsidR="00C52092">
        <w:t>is December 30, 202</w:t>
      </w:r>
      <w:r w:rsidRPr="008E7507" w:rsidR="009473BC">
        <w:t xml:space="preserve">5. </w:t>
      </w:r>
    </w:p>
    <w:p w:rsidR="5875F93D" w:rsidP="00F705D0" w:rsidRDefault="5875F93D" w14:paraId="2DD5F171" w14:textId="5E020C68">
      <w:pPr>
        <w:pStyle w:val="ListNum"/>
        <w:numPr>
          <w:ilvl w:val="0"/>
          <w:numId w:val="47"/>
        </w:numPr>
        <w:ind w:right="1440"/>
      </w:pPr>
      <w:r>
        <w:t>The ratepayer-funded SGIP waitlist</w:t>
      </w:r>
      <w:r w:rsidR="005704AF">
        <w:t>s will close on</w:t>
      </w:r>
      <w:r w:rsidR="00277D91">
        <w:t xml:space="preserve"> </w:t>
      </w:r>
      <w:r>
        <w:t>December 30, 2025.</w:t>
      </w:r>
    </w:p>
    <w:p w:rsidRPr="008E7507" w:rsidR="000A78A8" w:rsidP="00F705D0" w:rsidRDefault="4198F7C6" w14:paraId="270C34B6" w14:textId="33564DDD">
      <w:pPr>
        <w:pStyle w:val="ListNum"/>
        <w:numPr>
          <w:ilvl w:val="0"/>
          <w:numId w:val="47"/>
        </w:numPr>
        <w:ind w:right="1440"/>
      </w:pPr>
      <w:r>
        <w:lastRenderedPageBreak/>
        <w:t xml:space="preserve">Each SGIP </w:t>
      </w:r>
      <w:r w:rsidRPr="008E7507" w:rsidR="000A78A8">
        <w:t xml:space="preserve">PA </w:t>
      </w:r>
      <w:r w:rsidR="26B6CFDC">
        <w:t>is</w:t>
      </w:r>
      <w:r w:rsidRPr="008E7507" w:rsidR="000A78A8">
        <w:t xml:space="preserve"> required to review all </w:t>
      </w:r>
      <w:r w:rsidR="0381B5C7">
        <w:t>of its</w:t>
      </w:r>
      <w:r w:rsidRPr="008E7507" w:rsidR="000A78A8">
        <w:t xml:space="preserve"> RRF submitted </w:t>
      </w:r>
      <w:r w:rsidR="5D4770BC">
        <w:t>forms</w:t>
      </w:r>
      <w:r w:rsidR="0048689C">
        <w:t xml:space="preserve"> by</w:t>
      </w:r>
      <w:r w:rsidR="00392766">
        <w:t xml:space="preserve"> </w:t>
      </w:r>
      <w:r w:rsidR="00E56A4D">
        <w:t>March 31</w:t>
      </w:r>
      <w:r w:rsidR="00E81BCD">
        <w:t>, 202</w:t>
      </w:r>
      <w:r w:rsidR="00D93A41">
        <w:t>6</w:t>
      </w:r>
      <w:r w:rsidRPr="008E7507" w:rsidR="000A78A8">
        <w:t xml:space="preserve"> and include funds from canceled projects in </w:t>
      </w:r>
      <w:r w:rsidR="4BB8891B">
        <w:t>its</w:t>
      </w:r>
      <w:r w:rsidRPr="008E7507" w:rsidR="000A78A8">
        <w:t xml:space="preserve"> estimates of funds that will be returned to ratepayers</w:t>
      </w:r>
      <w:r w:rsidR="6876F316">
        <w:t xml:space="preserve"> in the 2026 Tier 1 budget advice letter</w:t>
      </w:r>
      <w:r w:rsidRPr="008E7507" w:rsidR="000A78A8">
        <w:t xml:space="preserve">. </w:t>
      </w:r>
    </w:p>
    <w:p w:rsidR="006C7A01" w:rsidP="00F705D0" w:rsidRDefault="00256998" w14:paraId="00C4F373" w14:textId="27F9C499">
      <w:pPr>
        <w:pStyle w:val="ListNum"/>
        <w:numPr>
          <w:ilvl w:val="0"/>
          <w:numId w:val="47"/>
        </w:numPr>
        <w:ind w:right="1440"/>
      </w:pPr>
      <w:r w:rsidRPr="008E7507">
        <w:t xml:space="preserve">The date for submitting the 2026 Tier 1 budget advice letter is </w:t>
      </w:r>
      <w:r w:rsidR="007F6D5E">
        <w:t>March 31</w:t>
      </w:r>
      <w:r w:rsidRPr="008E7507">
        <w:t>, 2026.</w:t>
      </w:r>
    </w:p>
    <w:p w:rsidR="00D05AA6" w:rsidP="00D05AA6" w:rsidRDefault="00D05AA6" w14:paraId="38245CD8" w14:textId="77777777">
      <w:pPr>
        <w:pStyle w:val="ListNum"/>
        <w:tabs>
          <w:tab w:val="clear" w:pos="1080"/>
        </w:tabs>
        <w:ind w:right="1440" w:firstLine="0"/>
      </w:pPr>
    </w:p>
    <w:p w:rsidR="007F6D5E" w:rsidP="00D05AA6" w:rsidRDefault="00D05AA6" w14:paraId="485333FD" w14:textId="054C7264">
      <w:pPr>
        <w:pStyle w:val="Heading2"/>
      </w:pPr>
      <w:r>
        <w:t>3.2</w:t>
      </w:r>
      <w:r>
        <w:tab/>
        <w:t>Process and Frequency of Returning Ratepayer Funds</w:t>
      </w:r>
    </w:p>
    <w:p w:rsidR="00147695" w:rsidP="00F8475E" w:rsidRDefault="009E1973" w14:paraId="5DDB3140" w14:textId="33F7E684">
      <w:pPr>
        <w:pStyle w:val="Standard"/>
      </w:pPr>
      <w:r>
        <w:t xml:space="preserve">The April </w:t>
      </w:r>
      <w:r w:rsidR="00B14F12">
        <w:t>28, 2025</w:t>
      </w:r>
      <w:r w:rsidR="005D1A75">
        <w:t>,</w:t>
      </w:r>
      <w:r w:rsidR="00B14F12">
        <w:t xml:space="preserve"> </w:t>
      </w:r>
      <w:r w:rsidR="5B3D3012">
        <w:t>R</w:t>
      </w:r>
      <w:r w:rsidR="48F6305C">
        <w:t>uling</w:t>
      </w:r>
      <w:r w:rsidR="00B14F12">
        <w:t xml:space="preserve"> </w:t>
      </w:r>
      <w:r w:rsidR="00087BE9">
        <w:t>proposed a</w:t>
      </w:r>
      <w:r w:rsidR="008D2204">
        <w:t xml:space="preserve"> process </w:t>
      </w:r>
      <w:r w:rsidR="00605562">
        <w:t>s</w:t>
      </w:r>
      <w:r w:rsidRPr="00605562" w:rsidR="00605562">
        <w:t xml:space="preserve">tarting on January 1, 2026, </w:t>
      </w:r>
      <w:r w:rsidR="008D2204">
        <w:t xml:space="preserve">where </w:t>
      </w:r>
      <w:r w:rsidRPr="00605562" w:rsidR="00605562">
        <w:t xml:space="preserve">the SGIP (PAs) </w:t>
      </w:r>
      <w:r w:rsidR="0092725B">
        <w:t>would</w:t>
      </w:r>
      <w:r w:rsidRPr="00605562" w:rsidR="00605562">
        <w:t xml:space="preserve"> begin providing repayment of all unallocated funds</w:t>
      </w:r>
      <w:r w:rsidR="0092725B">
        <w:t>.</w:t>
      </w:r>
      <w:r w:rsidR="00250432">
        <w:t xml:space="preserve"> </w:t>
      </w:r>
      <w:r w:rsidR="0092725B">
        <w:t>Projects supported by r</w:t>
      </w:r>
      <w:r w:rsidRPr="00605562" w:rsidR="00605562">
        <w:t>atepayer</w:t>
      </w:r>
      <w:r w:rsidR="02A1CC66">
        <w:t>-</w:t>
      </w:r>
      <w:r w:rsidRPr="00605562" w:rsidR="00605562">
        <w:t xml:space="preserve">funded SGIP applications will be considered to have their funds “allocated” to them once their reservation requests forms (RRFs) are </w:t>
      </w:r>
      <w:r w:rsidR="00DC31A6">
        <w:t>submitted.</w:t>
      </w:r>
    </w:p>
    <w:p w:rsidR="000B1783" w:rsidP="00F8475E" w:rsidRDefault="00605562" w14:paraId="2BD9D008" w14:textId="1896E374">
      <w:pPr>
        <w:pStyle w:val="Standard"/>
      </w:pPr>
      <w:r w:rsidRPr="00605562">
        <w:t xml:space="preserve">SGIP projects </w:t>
      </w:r>
      <w:r w:rsidR="00147695">
        <w:t>would be</w:t>
      </w:r>
      <w:r w:rsidRPr="00605562">
        <w:t xml:space="preserve"> allowed construction periods of 12 months for residential projects and 18 months for non-residential projects with potential access to three six-month extensions after the project is confirmed/reserved at RRF.</w:t>
      </w:r>
    </w:p>
    <w:p w:rsidR="003E4B49" w:rsidP="003E4B49" w:rsidRDefault="00EC765B" w14:paraId="5BD84CD0" w14:textId="08DF6D9C">
      <w:pPr>
        <w:pStyle w:val="Heading3"/>
      </w:pPr>
      <w:bookmarkStart w:name="_Toc206771070" w:id="14"/>
      <w:r>
        <w:t>3.2.1</w:t>
      </w:r>
      <w:r w:rsidR="00F705D0">
        <w:tab/>
      </w:r>
      <w:r w:rsidR="00BD5625">
        <w:t>Party Comments</w:t>
      </w:r>
      <w:bookmarkEnd w:id="14"/>
    </w:p>
    <w:p w:rsidRPr="003A69AA" w:rsidR="003A69AA" w:rsidP="003A69AA" w:rsidRDefault="3A6E08C6" w14:paraId="699D7B6F" w14:textId="03A84982">
      <w:pPr>
        <w:pStyle w:val="Standard"/>
      </w:pPr>
      <w:r>
        <w:t xml:space="preserve">Many </w:t>
      </w:r>
      <w:r w:rsidR="2EF7A7C9">
        <w:t>parties’ comments suggested that the return of ratepayer</w:t>
      </w:r>
      <w:r w:rsidR="44B961D5">
        <w:t xml:space="preserve"> funds</w:t>
      </w:r>
      <w:r w:rsidR="2EF7A7C9">
        <w:t xml:space="preserve"> take place as </w:t>
      </w:r>
      <w:r w:rsidR="42CC7F2F">
        <w:t xml:space="preserve">a bill credit. </w:t>
      </w:r>
      <w:r w:rsidR="468F7016">
        <w:t>SDG&amp;E</w:t>
      </w:r>
      <w:r w:rsidR="1EE56C28">
        <w:t>’s comments proposed returning unallocated funds to ratepayers</w:t>
      </w:r>
      <w:r w:rsidR="30F7F123">
        <w:t xml:space="preserve"> through an advice letter using the same mechanism </w:t>
      </w:r>
      <w:r w:rsidR="39FF36FC">
        <w:t>in which they were collected.</w:t>
      </w:r>
      <w:r w:rsidR="001B74E4">
        <w:rPr>
          <w:rStyle w:val="FootnoteReference"/>
        </w:rPr>
        <w:footnoteReference w:id="15"/>
      </w:r>
      <w:r w:rsidR="0D7AD795">
        <w:t xml:space="preserve"> PG&amp;E’s comments </w:t>
      </w:r>
      <w:r w:rsidR="1F0B0155">
        <w:t xml:space="preserve">stated that, “the unallocated (SGIP) funds </w:t>
      </w:r>
      <w:r w:rsidR="73369910">
        <w:t>identified in each annual budget advice letter should then be returned to ratepayers</w:t>
      </w:r>
      <w:r w:rsidR="33433E27">
        <w:t xml:space="preserve"> via the subsequent Annual Electric True-Up</w:t>
      </w:r>
      <w:r w:rsidR="262FC225">
        <w:t xml:space="preserve"> advice letter.</w:t>
      </w:r>
      <w:r w:rsidR="407C25DB">
        <w:t>”</w:t>
      </w:r>
      <w:r w:rsidR="00F2424E">
        <w:rPr>
          <w:rStyle w:val="FootnoteReference"/>
        </w:rPr>
        <w:footnoteReference w:id="16"/>
      </w:r>
      <w:r w:rsidR="0D6BC669">
        <w:t xml:space="preserve"> </w:t>
      </w:r>
      <w:r w:rsidR="46A6EE79">
        <w:t xml:space="preserve">SCG’s </w:t>
      </w:r>
      <w:r w:rsidR="46A6EE79">
        <w:lastRenderedPageBreak/>
        <w:t>comments state that, “</w:t>
      </w:r>
      <w:r w:rsidR="591A6079">
        <w:t>… all unallocated SGIP funds</w:t>
      </w:r>
      <w:r w:rsidR="4D42E03F">
        <w:t xml:space="preserve"> (should) be accounted for and recorded in S</w:t>
      </w:r>
      <w:r w:rsidR="76407D51">
        <w:t>oCalGas’s Annual Regulatory Account Balance Update</w:t>
      </w:r>
      <w:r w:rsidR="38B7995B">
        <w:t xml:space="preserve"> for Rate Tier 2 advice letter</w:t>
      </w:r>
      <w:r w:rsidR="7140E7B9">
        <w:t>.”</w:t>
      </w:r>
      <w:r w:rsidR="0081721A">
        <w:rPr>
          <w:rStyle w:val="FootnoteReference"/>
        </w:rPr>
        <w:footnoteReference w:id="17"/>
      </w:r>
      <w:r w:rsidR="7140E7B9">
        <w:t xml:space="preserve"> </w:t>
      </w:r>
      <w:r w:rsidR="09C7B2EE">
        <w:t>SCG</w:t>
      </w:r>
      <w:r w:rsidR="29878C62">
        <w:t>’s comment</w:t>
      </w:r>
      <w:r w:rsidR="67A0F20D">
        <w:t xml:space="preserve">s </w:t>
      </w:r>
      <w:r w:rsidR="06A37F98">
        <w:t xml:space="preserve">explained further that, “…the repayment </w:t>
      </w:r>
      <w:r w:rsidR="795BDFA3">
        <w:t>to ratepayers would be reflected on their gas bill as an amortization on a SoCalGas customer</w:t>
      </w:r>
      <w:r w:rsidR="2A344DDB">
        <w:t xml:space="preserve">’s transportation cost component the first of the following </w:t>
      </w:r>
      <w:r w:rsidR="73672DFC">
        <w:t>year, based on the approved cost allocation methodology.</w:t>
      </w:r>
      <w:r w:rsidR="2F6D2503">
        <w:t>”</w:t>
      </w:r>
      <w:r w:rsidR="00DE26F7">
        <w:rPr>
          <w:rStyle w:val="FootnoteReference"/>
        </w:rPr>
        <w:footnoteReference w:id="18"/>
      </w:r>
      <w:r w:rsidR="6823B5A0">
        <w:t xml:space="preserve"> In its reply comments SBUA recommended that the reimbursement process be uniform for all customers across the State and that funds be returned to customers annually via </w:t>
      </w:r>
      <w:r w:rsidR="13CEE331">
        <w:t>P</w:t>
      </w:r>
      <w:r w:rsidR="6172D364">
        <w:t xml:space="preserve">ublic </w:t>
      </w:r>
      <w:r w:rsidR="6C333346">
        <w:t>P</w:t>
      </w:r>
      <w:r w:rsidR="6172D364">
        <w:t xml:space="preserve">urpose </w:t>
      </w:r>
      <w:r w:rsidR="16A068B3">
        <w:t>P</w:t>
      </w:r>
      <w:r w:rsidR="3F75FBDE">
        <w:t>rograms</w:t>
      </w:r>
      <w:r w:rsidR="6823B5A0">
        <w:t xml:space="preserve"> (PPP) </w:t>
      </w:r>
      <w:r w:rsidR="1586451D">
        <w:t>charge</w:t>
      </w:r>
      <w:r w:rsidR="6823B5A0">
        <w:t xml:space="preserve"> reduction or credit</w:t>
      </w:r>
      <w:r w:rsidR="1D5CCDE6">
        <w:t xml:space="preserve"> </w:t>
      </w:r>
      <w:r w:rsidR="00976413">
        <w:rPr>
          <w:rStyle w:val="FootnoteReference"/>
        </w:rPr>
        <w:footnoteReference w:id="19"/>
      </w:r>
      <w:r w:rsidR="1D5CCDE6">
        <w:t xml:space="preserve"> SBUA’s comments support comments by SCE that mentioned either an annual repayment schedule or a two-stage repayment with initial bill credit after January 1, 2026 and then a second payment after all unallocated funds are identified.</w:t>
      </w:r>
      <w:r w:rsidR="00B37F6F">
        <w:rPr>
          <w:rStyle w:val="FootnoteReference"/>
        </w:rPr>
        <w:footnoteReference w:id="20"/>
      </w:r>
    </w:p>
    <w:p w:rsidR="00EA1E88" w:rsidP="00EA1E88" w:rsidRDefault="00EC765B" w14:paraId="010EEEE2" w14:textId="10CED3B0">
      <w:pPr>
        <w:pStyle w:val="Heading3"/>
      </w:pPr>
      <w:bookmarkStart w:name="_Toc206771071" w:id="15"/>
      <w:r>
        <w:t>3.2.2</w:t>
      </w:r>
      <w:r w:rsidR="00F705D0">
        <w:tab/>
      </w:r>
      <w:r w:rsidR="00EA1E88">
        <w:t>Discussion and Analysis</w:t>
      </w:r>
      <w:bookmarkEnd w:id="15"/>
    </w:p>
    <w:p w:rsidRPr="00B70E72" w:rsidR="00B146B1" w:rsidP="005D49DF" w:rsidRDefault="79E75CA3" w14:paraId="24535E67" w14:textId="455E7F9F">
      <w:pPr>
        <w:pStyle w:val="Standard"/>
      </w:pPr>
      <w:r>
        <w:t xml:space="preserve"> The funding mechanism for the ratepayer-funded portion of SGIP was set up to come</w:t>
      </w:r>
      <w:r w:rsidR="42640A36">
        <w:t xml:space="preserve"> from electric rates through the Public Purpose Program and from </w:t>
      </w:r>
      <w:r w:rsidR="54DAEACF">
        <w:t>the relevant gas rates account for each PA.</w:t>
      </w:r>
      <w:r w:rsidR="001672F6">
        <w:t xml:space="preserve"> The Commission agrees with SDG&amp;E’s comments stating that funds should be returned to ratepayers using the same mechanism in which they were collected. Each year the PAs file a</w:t>
      </w:r>
      <w:r w:rsidR="00BA5AC8">
        <w:t xml:space="preserve"> Tier 1</w:t>
      </w:r>
      <w:r w:rsidR="001672F6">
        <w:t xml:space="preserve"> annual </w:t>
      </w:r>
      <w:r w:rsidR="0083511C">
        <w:t xml:space="preserve">budget </w:t>
      </w:r>
      <w:r w:rsidR="001672F6">
        <w:t xml:space="preserve">advice letter with the Commission to account for any adjustments to the accounts in each SGIP budget category. It seems reasonable to use this same </w:t>
      </w:r>
      <w:r w:rsidR="00BA5AC8">
        <w:t xml:space="preserve">Tier 1 </w:t>
      </w:r>
      <w:r w:rsidR="001672F6">
        <w:t xml:space="preserve">annual </w:t>
      </w:r>
      <w:r w:rsidR="0083511C">
        <w:t xml:space="preserve">budget </w:t>
      </w:r>
      <w:r w:rsidR="00BA5AC8">
        <w:t xml:space="preserve">advice letter to </w:t>
      </w:r>
      <w:r w:rsidR="007A22DE">
        <w:t xml:space="preserve">identify funds for </w:t>
      </w:r>
      <w:r w:rsidR="00BA5AC8">
        <w:t xml:space="preserve">return </w:t>
      </w:r>
      <w:r w:rsidR="007A22DE">
        <w:t xml:space="preserve">to </w:t>
      </w:r>
      <w:r w:rsidR="00BA5AC8">
        <w:t>ratepayer</w:t>
      </w:r>
      <w:r w:rsidR="00414D93">
        <w:t>s</w:t>
      </w:r>
      <w:r w:rsidR="00BA5AC8">
        <w:t xml:space="preserve">. </w:t>
      </w:r>
      <w:r w:rsidR="00B1133E">
        <w:t xml:space="preserve">The </w:t>
      </w:r>
      <w:r w:rsidR="00B1133E">
        <w:lastRenderedPageBreak/>
        <w:t xml:space="preserve">Commission </w:t>
      </w:r>
      <w:r w:rsidR="00377813">
        <w:t xml:space="preserve">finds </w:t>
      </w:r>
      <w:r w:rsidR="00B1133E">
        <w:t>that the PAs should return funds annually when the funds from canceled projects and interest are in excess of $1 million using the existing rate true-up process</w:t>
      </w:r>
      <w:r w:rsidR="007A22DE">
        <w:t xml:space="preserve"> advice letters</w:t>
      </w:r>
      <w:r w:rsidR="00377813">
        <w:t xml:space="preserve"> </w:t>
      </w:r>
      <w:r w:rsidR="00B1133E">
        <w:t>and aligning the return of funds following the same ratios used in</w:t>
      </w:r>
      <w:r w:rsidR="00A62468">
        <w:t xml:space="preserve"> the most recent</w:t>
      </w:r>
      <w:r w:rsidR="00B1133E">
        <w:t xml:space="preserve"> SGIP collections. </w:t>
      </w:r>
      <w:r w:rsidR="00D745FB">
        <w:t>SDG&amp;E is unique in that its PA is a third-party, the Center for Sustainable Energy (CSE). As of May 20, 2025, CSE/SDG&amp;E</w:t>
      </w:r>
      <w:r w:rsidR="004D585A">
        <w:t>’s</w:t>
      </w:r>
      <w:r w:rsidR="00214FA2">
        <w:t xml:space="preserve"> balance of unallocated and waitlist funds make it likely that there may not be any funds to return to ratepayers</w:t>
      </w:r>
      <w:r w:rsidR="007A22DE">
        <w:t xml:space="preserve"> in the first year</w:t>
      </w:r>
      <w:r w:rsidR="00214FA2">
        <w:t>.</w:t>
      </w:r>
      <w:r w:rsidR="005D49DF">
        <w:t xml:space="preserve"> </w:t>
      </w:r>
      <w:r w:rsidR="00864F01">
        <w:t>Final ratepayer repayment</w:t>
      </w:r>
      <w:r w:rsidR="005D49DF">
        <w:t xml:space="preserve"> from all IOUs</w:t>
      </w:r>
      <w:r w:rsidR="00864F01">
        <w:t xml:space="preserve"> should occur in 2033 after the final Impact Report in 2032.</w:t>
      </w:r>
      <w:r w:rsidR="00B146B1">
        <w:t xml:space="preserve"> PAs must stop all SGIP rel</w:t>
      </w:r>
      <w:r w:rsidRPr="00B70E72" w:rsidR="00B146B1">
        <w:t>ated administrative activities as of February 1, 2033.</w:t>
      </w:r>
    </w:p>
    <w:p w:rsidRPr="00290334" w:rsidR="00B146B1" w:rsidP="00EA24CB" w:rsidRDefault="002F3584" w14:paraId="6C5265B1" w14:textId="22536B8E">
      <w:pPr>
        <w:pStyle w:val="Standard"/>
      </w:pPr>
      <w:r w:rsidRPr="00B70E72">
        <w:t>One of the purposes for deploying SGIP projects was to contribute to the statewide electric grid improvement and stability overall. Program requirements were added to SGIP such as time-of-use (TOU) and demand response</w:t>
      </w:r>
      <w:r w:rsidRPr="00B70E72" w:rsidR="00B70220">
        <w:t xml:space="preserve"> (DR)</w:t>
      </w:r>
      <w:r w:rsidRPr="00B70E72">
        <w:t xml:space="preserve"> to support grid stability. </w:t>
      </w:r>
      <w:r w:rsidRPr="00B70E72" w:rsidR="00B70220">
        <w:t xml:space="preserve">Currently, SGIP requires all projects to be enrolled in a DR program </w:t>
      </w:r>
      <w:r w:rsidRPr="00B70E72" w:rsidR="00326DFD">
        <w:t>a</w:t>
      </w:r>
      <w:r w:rsidRPr="00B70E72" w:rsidR="00EA120A">
        <w:t>nd</w:t>
      </w:r>
      <w:r w:rsidRPr="00B70E72" w:rsidR="00B70220">
        <w:t xml:space="preserve"> TOU rate for 10 years. Once SGIP closes it will be important for the electric IOUs </w:t>
      </w:r>
      <w:r w:rsidR="00057031">
        <w:t xml:space="preserve">(PG&amp;E, SCE and SDG&amp;E) </w:t>
      </w:r>
      <w:r w:rsidRPr="00B70E72" w:rsidR="00B70220">
        <w:t>associated with SGIP projects and customers to monitor ongoing compliance with TOU and DR requirements to ensure that the state is achieving the full ongoing benefits of these systems. This approach</w:t>
      </w:r>
      <w:r w:rsidR="00B70220">
        <w:t xml:space="preserve"> will allow SGIP to close before all projects get through the 10-year permanency period while maintaining program and grid benefits.</w:t>
      </w:r>
      <w:r w:rsidR="00581285">
        <w:t xml:space="preserve"> </w:t>
      </w:r>
      <w:r w:rsidR="00B729A3">
        <w:t>To this end, t</w:t>
      </w:r>
      <w:r w:rsidR="00B146B1">
        <w:t>he PAs must send a list of all SGIP applicants and associated projects a</w:t>
      </w:r>
      <w:r w:rsidR="00B729A3">
        <w:t>nd</w:t>
      </w:r>
      <w:r w:rsidR="00B146B1">
        <w:t xml:space="preserve"> the end of the respective project’s permanency period to the</w:t>
      </w:r>
      <w:r w:rsidR="00B729A3">
        <w:t xml:space="preserve"> relevant </w:t>
      </w:r>
      <w:r w:rsidR="004D6780">
        <w:t>IOU (PG&amp;E</w:t>
      </w:r>
      <w:r w:rsidR="00F86547">
        <w:t xml:space="preserve">, SCE or SDG&amp;E) </w:t>
      </w:r>
      <w:r w:rsidR="003F6DF1">
        <w:t xml:space="preserve">DR and </w:t>
      </w:r>
      <w:r w:rsidR="00B146B1">
        <w:t>Rates teams to ensure compliance and tracking of TOU and DR rules into the future.</w:t>
      </w:r>
      <w:r w:rsidR="006F1467">
        <w:t xml:space="preserve"> If another load serving entity (LSE) requests a list of SGIP applicants to track compliance in their territory</w:t>
      </w:r>
      <w:r w:rsidR="008D119B">
        <w:t xml:space="preserve"> before February 1, 2033, the relevant SGIP PA must send a list to the LSE. The </w:t>
      </w:r>
      <w:r w:rsidR="00C137A0">
        <w:t xml:space="preserve">SGIP PA may require the LSE </w:t>
      </w:r>
      <w:r w:rsidR="00C137A0">
        <w:lastRenderedPageBreak/>
        <w:t>to sign a Non-Disclosure Agreement to gain access to the list</w:t>
      </w:r>
      <w:r w:rsidR="00DA1829">
        <w:t>. SGIP PAs should coordinate with the IOU and LSE teams to determine the appropriate</w:t>
      </w:r>
      <w:r w:rsidR="008E1E81">
        <w:t xml:space="preserve"> amount of applicant information needed to track compliance.</w:t>
      </w:r>
    </w:p>
    <w:p w:rsidR="009510C0" w:rsidP="009510C0" w:rsidRDefault="000B25F9" w14:paraId="47E496AF" w14:textId="147F5AE0">
      <w:pPr>
        <w:pStyle w:val="Heading2"/>
      </w:pPr>
      <w:bookmarkStart w:name="_Toc206771072" w:id="16"/>
      <w:r>
        <w:t>3.3</w:t>
      </w:r>
      <w:r w:rsidR="00F705D0">
        <w:tab/>
      </w:r>
      <w:r w:rsidR="00A62E33">
        <w:t>Ratepayer Administrative Budget</w:t>
      </w:r>
      <w:bookmarkEnd w:id="16"/>
    </w:p>
    <w:p w:rsidR="00CD5A19" w:rsidP="00CD5A19" w:rsidRDefault="00CD5A19" w14:paraId="67CB1A30" w14:textId="65133B89">
      <w:pPr>
        <w:pStyle w:val="Standard"/>
      </w:pPr>
      <w:r w:rsidRPr="003860D8">
        <w:t>SGIP currently has approximately $</w:t>
      </w:r>
      <w:r w:rsidR="00977B26">
        <w:t>5</w:t>
      </w:r>
      <w:r w:rsidR="0028403D">
        <w:t>35</w:t>
      </w:r>
      <w:r w:rsidRPr="003860D8">
        <w:t xml:space="preserve"> million allocated to project applications. Allocated funds will continue to accumulate interest while they remain in bank accounts held by PAs during the period that </w:t>
      </w:r>
      <w:r>
        <w:t>future</w:t>
      </w:r>
      <w:r w:rsidRPr="003860D8">
        <w:t xml:space="preserve"> project</w:t>
      </w:r>
      <w:r>
        <w:t>s</w:t>
      </w:r>
      <w:r w:rsidRPr="003860D8">
        <w:t xml:space="preserve"> </w:t>
      </w:r>
      <w:r>
        <w:t xml:space="preserve">are </w:t>
      </w:r>
      <w:r w:rsidRPr="003860D8">
        <w:t>under construction. A portion of these allocated funds may become unallocated if confirmed/reserved projects are canceled.</w:t>
      </w:r>
      <w:r w:rsidR="00250432">
        <w:t xml:space="preserve"> </w:t>
      </w:r>
    </w:p>
    <w:p w:rsidR="00756485" w:rsidP="00756485" w:rsidRDefault="00756485" w14:paraId="05DAEC04" w14:textId="146AFF26">
      <w:pPr>
        <w:pStyle w:val="Standard"/>
      </w:pPr>
      <w:r w:rsidRPr="003860D8">
        <w:t xml:space="preserve">The PAs will need to ensure that sufficient funding remains in their respective administrative budgets to pay for </w:t>
      </w:r>
      <w:r w:rsidR="008F4E87">
        <w:t xml:space="preserve">SGIP administration, </w:t>
      </w:r>
      <w:r w:rsidRPr="003860D8">
        <w:t>program evaluations, reports or other tasks required by the Commission.</w:t>
      </w:r>
      <w:r>
        <w:t xml:space="preserve"> </w:t>
      </w:r>
    </w:p>
    <w:p w:rsidRPr="00465E44" w:rsidR="00CD5A19" w:rsidP="00CD5A19" w:rsidRDefault="00756485" w14:paraId="3185FE58" w14:textId="6268CA8E">
      <w:pPr>
        <w:pStyle w:val="Standard"/>
      </w:pPr>
      <w:r>
        <w:t>The ratepayer</w:t>
      </w:r>
      <w:r w:rsidR="228F7E60">
        <w:t>-</w:t>
      </w:r>
      <w:r>
        <w:t xml:space="preserve">funded SGIP budget is maintained by the PAs using a database to track project funds, communicate with project implementers and their customers, submit regulatory filings and prepare reports among other activities. Many of these activities must continue even after the program is closed to new applications. </w:t>
      </w:r>
    </w:p>
    <w:p w:rsidR="009374B1" w:rsidP="009374B1" w:rsidRDefault="000B25F9" w14:paraId="2E4756EB" w14:textId="1D868F3B">
      <w:pPr>
        <w:pStyle w:val="Heading3"/>
      </w:pPr>
      <w:bookmarkStart w:name="_Toc206771073" w:id="17"/>
      <w:r>
        <w:t>3.3.1</w:t>
      </w:r>
      <w:r w:rsidR="00F705D0">
        <w:tab/>
      </w:r>
      <w:r w:rsidR="1356271B">
        <w:t xml:space="preserve">Party </w:t>
      </w:r>
      <w:r w:rsidR="00F3659D">
        <w:t>Comments</w:t>
      </w:r>
      <w:bookmarkEnd w:id="17"/>
    </w:p>
    <w:p w:rsidRPr="00B1133E" w:rsidR="00B1133E" w:rsidP="00B1133E" w:rsidRDefault="00CC53AC" w14:paraId="7C500581" w14:textId="6BFD54E5">
      <w:pPr>
        <w:pStyle w:val="Standard"/>
      </w:pPr>
      <w:r>
        <w:t xml:space="preserve">Parties provided comments about how to manage administrative budgets once SGIP closes. </w:t>
      </w:r>
      <w:r w:rsidR="00456E87">
        <w:t>CS</w:t>
      </w:r>
      <w:r>
        <w:t>E’s comments suggested that the SGIP PAs should be permitted to submit a Tier 2 advice letter to request utiliz</w:t>
      </w:r>
      <w:r w:rsidR="000A0ACD">
        <w:t>ing</w:t>
      </w:r>
      <w:r>
        <w:t xml:space="preserve"> a portion of the accumulated interest and canceled project funds when additional funding to supplement administrative budgets becomes necessary.</w:t>
      </w:r>
      <w:r>
        <w:rPr>
          <w:rStyle w:val="FootnoteReference"/>
        </w:rPr>
        <w:footnoteReference w:id="21"/>
      </w:r>
      <w:r w:rsidR="00ED644E">
        <w:t xml:space="preserve"> Free Energy’s comments supported the ability of the PAs to get additional administrative costs </w:t>
      </w:r>
      <w:r w:rsidR="00ED644E">
        <w:lastRenderedPageBreak/>
        <w:t>covered if justified.</w:t>
      </w:r>
      <w:r w:rsidR="00ED644E">
        <w:rPr>
          <w:rStyle w:val="FootnoteReference"/>
        </w:rPr>
        <w:footnoteReference w:id="22"/>
      </w:r>
      <w:r w:rsidR="00ED644E">
        <w:t xml:space="preserve"> SCE’s comments indicated that PAs should use the current process of filing a Tier 2 advice letter to formalize any transfer of funds from an incentive budget category to the administrative budget.</w:t>
      </w:r>
      <w:r w:rsidR="00ED644E">
        <w:rPr>
          <w:rStyle w:val="FootnoteReference"/>
        </w:rPr>
        <w:footnoteReference w:id="23"/>
      </w:r>
      <w:r w:rsidR="00376D7E">
        <w:t xml:space="preserve"> PG&amp;E’s comments stated that as long as a PA does not exceed the 10 percent cap for administrative funds, it can request additional administrative budget through the annual Tier 1 advice letter process; any excess administrative funds would go back to ratepayers.</w:t>
      </w:r>
      <w:r w:rsidR="00376D7E">
        <w:rPr>
          <w:rStyle w:val="FootnoteReference"/>
        </w:rPr>
        <w:footnoteReference w:id="24"/>
      </w:r>
    </w:p>
    <w:p w:rsidR="00F3659D" w:rsidP="00F3659D" w:rsidRDefault="000B25F9" w14:paraId="274849F8" w14:textId="5D8F901B">
      <w:pPr>
        <w:pStyle w:val="Heading3"/>
      </w:pPr>
      <w:bookmarkStart w:name="_Toc206771074" w:id="18"/>
      <w:r>
        <w:t>3.3.2</w:t>
      </w:r>
      <w:r w:rsidR="00F705D0">
        <w:tab/>
      </w:r>
      <w:r w:rsidR="00F3659D">
        <w:t>Discussion and Analysis</w:t>
      </w:r>
      <w:bookmarkEnd w:id="18"/>
    </w:p>
    <w:p w:rsidRPr="001E74D2" w:rsidR="001E74D2" w:rsidP="001E74D2" w:rsidRDefault="001E74D2" w14:paraId="1D58FF86" w14:textId="1217C8AE">
      <w:pPr>
        <w:pStyle w:val="Standard"/>
      </w:pPr>
      <w:r>
        <w:t xml:space="preserve">The Commission agrees with PG&amp;E’s comments that a reasonable approach to addressing the need for additional administrative budgets for the SGIP close-out is to use the existing Tier 1 </w:t>
      </w:r>
      <w:r w:rsidR="00AD44F5">
        <w:t xml:space="preserve">annual budget </w:t>
      </w:r>
      <w:r>
        <w:t>advice letter process. If a PA need</w:t>
      </w:r>
      <w:r w:rsidR="0011401D">
        <w:t>s</w:t>
      </w:r>
      <w:r>
        <w:t xml:space="preserve"> additional administrative budge</w:t>
      </w:r>
      <w:r w:rsidR="001E37C3">
        <w:t>t</w:t>
      </w:r>
      <w:r>
        <w:t xml:space="preserve"> above the authorized 10 percent cap, using a Tier 2 advice letter is appropriate to justify the need for additional funds. </w:t>
      </w:r>
      <w:r w:rsidR="009113BE">
        <w:t>I</w:t>
      </w:r>
      <w:r w:rsidR="00C41B82">
        <w:t>t is reasonable for all funds from canceled projects and interest not transferred to administrative budgets to be returned to ratepayers</w:t>
      </w:r>
      <w:r w:rsidR="009113BE">
        <w:t xml:space="preserve"> annually</w:t>
      </w:r>
      <w:r w:rsidR="00C41B82">
        <w:t>.</w:t>
      </w:r>
    </w:p>
    <w:p w:rsidR="009510C0" w:rsidP="009510C0" w:rsidRDefault="000B25F9" w14:paraId="6618CD01" w14:textId="57711A67">
      <w:pPr>
        <w:pStyle w:val="Heading2"/>
      </w:pPr>
      <w:bookmarkStart w:name="_Toc206771075" w:id="19"/>
      <w:r>
        <w:t>3.4</w:t>
      </w:r>
      <w:r w:rsidR="00F705D0">
        <w:tab/>
      </w:r>
      <w:r w:rsidR="00A62E33">
        <w:t xml:space="preserve">Performance </w:t>
      </w:r>
      <w:r w:rsidR="00F8654A">
        <w:t>Based Incentives</w:t>
      </w:r>
      <w:bookmarkEnd w:id="19"/>
    </w:p>
    <w:p w:rsidRPr="00756485" w:rsidR="00756485" w:rsidP="00756485" w:rsidRDefault="00756485" w14:paraId="70BEE4F2" w14:textId="7AAB3E90">
      <w:pPr>
        <w:pStyle w:val="Standard"/>
      </w:pPr>
      <w:r w:rsidRPr="00605562">
        <w:t xml:space="preserve">Non-residential </w:t>
      </w:r>
      <w:r w:rsidR="00C41B82">
        <w:t xml:space="preserve">SGIP </w:t>
      </w:r>
      <w:r w:rsidRPr="00605562">
        <w:t xml:space="preserve">projects have a five-year Performance Based Incentive (PBI) period. </w:t>
      </w:r>
      <w:r w:rsidR="112B286D">
        <w:t xml:space="preserve">The </w:t>
      </w:r>
      <w:r w:rsidR="002D0B39">
        <w:t>applicant</w:t>
      </w:r>
      <w:r w:rsidR="112B286D">
        <w:t xml:space="preserve"> for these projects </w:t>
      </w:r>
      <w:r w:rsidR="00115A9F">
        <w:t>get</w:t>
      </w:r>
      <w:r w:rsidR="00C17136">
        <w:t>s</w:t>
      </w:r>
      <w:r w:rsidR="00115A9F">
        <w:t xml:space="preserve"> 50 percent of the SGIP incentive based on </w:t>
      </w:r>
      <w:r w:rsidR="112B286D">
        <w:t>continued good performance. These pro</w:t>
      </w:r>
      <w:r w:rsidR="1AA0297A">
        <w:t xml:space="preserve">jects provide ongoing benefit to the statewide grid after they are installed. </w:t>
      </w:r>
      <w:r w:rsidR="00BA7C40">
        <w:t xml:space="preserve">Prior to reaching PBI, </w:t>
      </w:r>
      <w:r w:rsidR="00CD61DA">
        <w:t xml:space="preserve">non-residential projects have access to </w:t>
      </w:r>
      <w:r w:rsidR="00281FCE">
        <w:t xml:space="preserve">three six-month extensions on top of the initial </w:t>
      </w:r>
      <w:r w:rsidR="005B4AA3">
        <w:t>18-month</w:t>
      </w:r>
      <w:r w:rsidR="00281FCE">
        <w:t xml:space="preserve"> </w:t>
      </w:r>
      <w:r w:rsidR="006051BB">
        <w:t xml:space="preserve">project timeline </w:t>
      </w:r>
      <w:r w:rsidR="008E43E5">
        <w:t>to complete ICF.</w:t>
      </w:r>
      <w:r w:rsidR="00CD61DA">
        <w:t xml:space="preserve"> </w:t>
      </w:r>
      <w:r w:rsidR="6BB23102">
        <w:t xml:space="preserve">Therefore, </w:t>
      </w:r>
      <w:r w:rsidRPr="00605562">
        <w:t>ratepayer</w:t>
      </w:r>
      <w:r w:rsidR="4A13B7B5">
        <w:t>-</w:t>
      </w:r>
      <w:r w:rsidRPr="00605562">
        <w:t>funded SGIP</w:t>
      </w:r>
      <w:r>
        <w:t xml:space="preserve"> </w:t>
      </w:r>
      <w:r w:rsidR="00B30156">
        <w:t xml:space="preserve">non-residential </w:t>
      </w:r>
      <w:r w:rsidRPr="003860D8">
        <w:t xml:space="preserve">projects may need up to eight years of </w:t>
      </w:r>
      <w:r w:rsidRPr="003860D8">
        <w:lastRenderedPageBreak/>
        <w:t xml:space="preserve">administrative support to formally complete projects and payments after </w:t>
      </w:r>
      <w:r w:rsidR="00C41B82">
        <w:t>SGIP</w:t>
      </w:r>
      <w:r w:rsidRPr="003860D8">
        <w:t xml:space="preserve"> stops accepting new applications.</w:t>
      </w:r>
    </w:p>
    <w:p w:rsidR="00DC33DC" w:rsidP="00DC33DC" w:rsidRDefault="000B25F9" w14:paraId="34729B0D" w14:textId="38857E5E">
      <w:pPr>
        <w:pStyle w:val="Heading3"/>
      </w:pPr>
      <w:bookmarkStart w:name="_Toc206771076" w:id="20"/>
      <w:r>
        <w:t>3.4.1</w:t>
      </w:r>
      <w:r w:rsidR="00F705D0">
        <w:tab/>
      </w:r>
      <w:r w:rsidR="693D7FB8">
        <w:t xml:space="preserve">Party </w:t>
      </w:r>
      <w:r w:rsidR="00DC33DC">
        <w:t>Comments</w:t>
      </w:r>
      <w:bookmarkEnd w:id="20"/>
    </w:p>
    <w:p w:rsidRPr="00C41B82" w:rsidR="00C41B82" w:rsidP="00C41B82" w:rsidRDefault="5ADB4BE5" w14:paraId="60C0FF6C" w14:textId="4A9BD04D">
      <w:pPr>
        <w:pStyle w:val="Standard"/>
      </w:pPr>
      <w:r>
        <w:t xml:space="preserve">SCE’s comments recommended that the Commission consider authorizing a PBI buyout option for </w:t>
      </w:r>
      <w:r w:rsidR="23FC049E">
        <w:t>all</w:t>
      </w:r>
      <w:r>
        <w:t xml:space="preserve"> projects.</w:t>
      </w:r>
      <w:r w:rsidR="00255AA7">
        <w:rPr>
          <w:rStyle w:val="FootnoteReference"/>
        </w:rPr>
        <w:footnoteReference w:id="25"/>
      </w:r>
      <w:r w:rsidR="085854C8">
        <w:t xml:space="preserve"> According to SCE if the Commission adopts this approach as it did for another statewide program, instead of making incentive payments over the entire PBI period, system performance can be evaluated over a shorter period and a final lump sum payment can be offered to the project developer.</w:t>
      </w:r>
      <w:r w:rsidR="00414031">
        <w:rPr>
          <w:rStyle w:val="FootnoteReference"/>
        </w:rPr>
        <w:footnoteReference w:id="26"/>
      </w:r>
      <w:r w:rsidR="085854C8">
        <w:t xml:space="preserve"> </w:t>
      </w:r>
      <w:r w:rsidR="7BE57224">
        <w:t>SCE claims t</w:t>
      </w:r>
      <w:r w:rsidR="085854C8">
        <w:t xml:space="preserve">his approach preserved the intent of the PBI structure while significantly reducing administrative burden and accelerating </w:t>
      </w:r>
      <w:r w:rsidR="2509B3D3">
        <w:t>program closure.</w:t>
      </w:r>
      <w:r w:rsidR="00B566B8">
        <w:rPr>
          <w:rStyle w:val="FootnoteReference"/>
        </w:rPr>
        <w:footnoteReference w:id="27"/>
      </w:r>
      <w:r w:rsidR="2547A934">
        <w:t xml:space="preserve"> SDG&amp;E’s comments acknowledged that the Commission needs to provide guidance on how the PAs should handle PBI payments but does not offer any solutions.</w:t>
      </w:r>
      <w:r w:rsidR="00F0755F">
        <w:rPr>
          <w:rStyle w:val="FootnoteReference"/>
        </w:rPr>
        <w:footnoteReference w:id="28"/>
      </w:r>
    </w:p>
    <w:p w:rsidR="00DC33DC" w:rsidP="00DC33DC" w:rsidRDefault="000B25F9" w14:paraId="4F0B31CF" w14:textId="65652FE8">
      <w:pPr>
        <w:pStyle w:val="Heading3"/>
      </w:pPr>
      <w:bookmarkStart w:name="_Toc206771077" w:id="21"/>
      <w:r>
        <w:t>3.4.2</w:t>
      </w:r>
      <w:r w:rsidR="00F705D0">
        <w:tab/>
      </w:r>
      <w:r w:rsidR="00DC33DC">
        <w:t>Discussion and Analysis</w:t>
      </w:r>
      <w:bookmarkEnd w:id="21"/>
    </w:p>
    <w:p w:rsidR="00A26BBD" w:rsidP="005E7E59" w:rsidRDefault="00047CEC" w14:paraId="66CD9276" w14:textId="64836DC8">
      <w:pPr>
        <w:pStyle w:val="Standard"/>
      </w:pPr>
      <w:r>
        <w:t xml:space="preserve">The Commission considered the parties’ suggestions </w:t>
      </w:r>
      <w:r w:rsidR="007B1A27">
        <w:t xml:space="preserve">regarding </w:t>
      </w:r>
      <w:r w:rsidR="005E7E59">
        <w:t>a lump sum payment or a buy-out for SGIP PBI project</w:t>
      </w:r>
      <w:r w:rsidR="00785FDB">
        <w:t>s</w:t>
      </w:r>
      <w:r w:rsidR="00E642D1">
        <w:t xml:space="preserve"> to reduce </w:t>
      </w:r>
      <w:r w:rsidR="003517AE">
        <w:t>administrative timelines</w:t>
      </w:r>
      <w:r w:rsidR="006A06F5">
        <w:t>.</w:t>
      </w:r>
      <w:r w:rsidR="005E7E59">
        <w:t xml:space="preserve"> </w:t>
      </w:r>
      <w:r w:rsidR="006A06F5">
        <w:t>However, t</w:t>
      </w:r>
      <w:r w:rsidR="005E7E59">
        <w:t xml:space="preserve">he Commission </w:t>
      </w:r>
      <w:r w:rsidR="0083493B">
        <w:t xml:space="preserve">adopts a reduction in </w:t>
      </w:r>
      <w:r w:rsidR="00B929D0">
        <w:t xml:space="preserve">the PBI period from </w:t>
      </w:r>
      <w:r w:rsidR="00E447D7">
        <w:t>5 years to 2 years</w:t>
      </w:r>
      <w:r w:rsidR="000B0B4B">
        <w:t xml:space="preserve"> for projects that enter the PBI period after December 30, 2025. </w:t>
      </w:r>
    </w:p>
    <w:p w:rsidRPr="00B70E72" w:rsidR="00EF457E" w:rsidP="005E7E59" w:rsidRDefault="00EF457E" w14:paraId="5C4B3F04" w14:textId="2898D49D">
      <w:pPr>
        <w:pStyle w:val="Standard"/>
      </w:pPr>
      <w:r w:rsidRPr="00B70E72">
        <w:t xml:space="preserve">This will change the PBI </w:t>
      </w:r>
      <w:r w:rsidRPr="00B70E72" w:rsidR="00234F6B">
        <w:t>incentive</w:t>
      </w:r>
      <w:r w:rsidRPr="00B70E72">
        <w:t xml:space="preserve"> </w:t>
      </w:r>
      <w:r w:rsidRPr="00B70E72" w:rsidR="00234F6B">
        <w:t>calculation</w:t>
      </w:r>
      <w:r w:rsidRPr="00B70E72">
        <w:t xml:space="preserve"> by:</w:t>
      </w:r>
    </w:p>
    <w:p w:rsidRPr="00B70E72" w:rsidR="00EF457E" w:rsidP="002C566F" w:rsidRDefault="00EF457E" w14:paraId="3BDA9718" w14:textId="2AF7B2DB">
      <w:pPr>
        <w:pStyle w:val="Standard"/>
      </w:pPr>
      <w:r w:rsidRPr="00B70E72">
        <w:rPr>
          <w:b/>
          <w:bCs/>
          <w:i/>
          <w:iCs/>
        </w:rPr>
        <w:t xml:space="preserve">$/kWh </w:t>
      </w:r>
      <w:r w:rsidRPr="00B70E72">
        <w:rPr>
          <w:i/>
          <w:iCs/>
        </w:rPr>
        <w:t xml:space="preserve">= remaining 50% of incentive / </w:t>
      </w:r>
      <w:r w:rsidRPr="00B70E72" w:rsidR="005B4AA3">
        <w:rPr>
          <w:i/>
          <w:iCs/>
        </w:rPr>
        <w:t>(energy</w:t>
      </w:r>
      <w:r w:rsidRPr="00B70E72">
        <w:rPr>
          <w:i/>
          <w:iCs/>
        </w:rPr>
        <w:t xml:space="preserve"> capacity (kWh) * 104 full discharges * </w:t>
      </w:r>
      <w:r w:rsidRPr="00B70E72" w:rsidR="00234F6B">
        <w:rPr>
          <w:i/>
          <w:iCs/>
        </w:rPr>
        <w:t>2</w:t>
      </w:r>
      <w:r w:rsidRPr="00B70E72">
        <w:rPr>
          <w:i/>
          <w:iCs/>
        </w:rPr>
        <w:t xml:space="preserve"> years</w:t>
      </w:r>
      <w:r w:rsidRPr="00B70E72" w:rsidR="002C566F">
        <w:rPr>
          <w:i/>
          <w:iCs/>
        </w:rPr>
        <w:t>)</w:t>
      </w:r>
    </w:p>
    <w:p w:rsidRPr="005E7E59" w:rsidR="005E7E59" w:rsidP="00EF457E" w:rsidRDefault="00C47635" w14:paraId="5A044361" w14:textId="2470BF7B">
      <w:pPr>
        <w:pStyle w:val="Standard"/>
      </w:pPr>
      <w:r w:rsidRPr="00B70E72">
        <w:lastRenderedPageBreak/>
        <w:t xml:space="preserve">SGIP </w:t>
      </w:r>
      <w:r w:rsidRPr="00B70E72" w:rsidR="00A17999">
        <w:t xml:space="preserve">projects already in </w:t>
      </w:r>
      <w:r w:rsidRPr="00B70E72">
        <w:t xml:space="preserve">PBI </w:t>
      </w:r>
      <w:r w:rsidRPr="00B70E72" w:rsidR="00A17999">
        <w:t xml:space="preserve">before </w:t>
      </w:r>
      <w:r w:rsidR="00A17999">
        <w:t xml:space="preserve">December </w:t>
      </w:r>
      <w:r w:rsidR="00E1530B">
        <w:t>3</w:t>
      </w:r>
      <w:r w:rsidR="00A17999">
        <w:t>0, 2025</w:t>
      </w:r>
      <w:r>
        <w:t xml:space="preserve"> would retain their full five-year PBI evaluation period. As part of the SGIP close-out</w:t>
      </w:r>
      <w:r w:rsidR="00290805">
        <w:t>,</w:t>
      </w:r>
      <w:r>
        <w:t xml:space="preserve"> all PBI extensions w</w:t>
      </w:r>
      <w:r w:rsidR="00290805">
        <w:t>ill</w:t>
      </w:r>
      <w:r>
        <w:t xml:space="preserve"> be removed. Any PBI projects performing poorly will result in PBI funds being forfeited and returned to ratepayers. These changes to the current PBI structure </w:t>
      </w:r>
      <w:r w:rsidR="00955453">
        <w:t xml:space="preserve">will allow PBI to end in 2030 for general market projects and </w:t>
      </w:r>
      <w:r w:rsidRPr="00D64DBD" w:rsidR="00955453">
        <w:t>203</w:t>
      </w:r>
      <w:r w:rsidRPr="00D64DBD" w:rsidR="00CA7267">
        <w:t>2</w:t>
      </w:r>
      <w:r w:rsidRPr="00D64DBD" w:rsidR="00955453">
        <w:t xml:space="preserve"> for equity projects</w:t>
      </w:r>
      <w:r w:rsidR="00955453">
        <w:t>.</w:t>
      </w:r>
      <w:r w:rsidR="0054324C">
        <w:t xml:space="preserve"> </w:t>
      </w:r>
    </w:p>
    <w:p w:rsidRPr="007D6B0F" w:rsidR="005E7E59" w:rsidP="00EF457E" w:rsidRDefault="00E11E2C" w14:paraId="50C40EBB" w14:textId="50AF51D3">
      <w:pPr>
        <w:pStyle w:val="Standard"/>
      </w:pPr>
      <w:r w:rsidRPr="007D6B0F">
        <w:t xml:space="preserve">SGIP PBI projects should be handled </w:t>
      </w:r>
      <w:r w:rsidRPr="007D6B0F" w:rsidR="007D6B0F">
        <w:t xml:space="preserve">as follows </w:t>
      </w:r>
      <w:r w:rsidRPr="007D6B0F">
        <w:t>during closeou</w:t>
      </w:r>
      <w:r w:rsidRPr="007D6B0F" w:rsidR="00DF6A6A">
        <w:t>t:</w:t>
      </w:r>
    </w:p>
    <w:p w:rsidRPr="007D6B0F" w:rsidR="00B4424D" w:rsidP="00F705D0" w:rsidRDefault="00B4424D" w14:paraId="61F0E9BC" w14:textId="67B34A22">
      <w:pPr>
        <w:pStyle w:val="ListNum"/>
        <w:numPr>
          <w:ilvl w:val="0"/>
          <w:numId w:val="46"/>
        </w:numPr>
        <w:ind w:right="1440"/>
      </w:pPr>
      <w:r w:rsidRPr="007D6B0F">
        <w:t xml:space="preserve">PAs that have projects that are currently in the PBI period must fulfill their </w:t>
      </w:r>
      <w:r w:rsidRPr="007D6B0F" w:rsidR="005E7E59">
        <w:t>five-year</w:t>
      </w:r>
      <w:r w:rsidRPr="007D6B0F">
        <w:t xml:space="preserve"> term, with the associated administration lasting till 2030.</w:t>
      </w:r>
    </w:p>
    <w:p w:rsidRPr="007D6B0F" w:rsidR="00B4424D" w:rsidP="00F705D0" w:rsidRDefault="00B4424D" w14:paraId="7243AAC2" w14:textId="4AFE8285">
      <w:pPr>
        <w:pStyle w:val="ListNum"/>
        <w:numPr>
          <w:ilvl w:val="0"/>
          <w:numId w:val="46"/>
        </w:numPr>
        <w:ind w:right="1440"/>
      </w:pPr>
      <w:r w:rsidRPr="007D6B0F">
        <w:t xml:space="preserve">PAs must </w:t>
      </w:r>
      <w:r w:rsidRPr="007D6B0F" w:rsidR="00C23C1F">
        <w:t xml:space="preserve">deny all </w:t>
      </w:r>
      <w:r w:rsidRPr="007D6B0F">
        <w:t>PBI extension</w:t>
      </w:r>
      <w:r w:rsidRPr="007D6B0F" w:rsidR="00C23C1F">
        <w:t xml:space="preserve"> or pause request</w:t>
      </w:r>
      <w:r w:rsidRPr="007D6B0F" w:rsidR="00A1640F">
        <w:t xml:space="preserve">s and make this explicit in the </w:t>
      </w:r>
      <w:r w:rsidRPr="007D6B0F" w:rsidR="00641826">
        <w:t xml:space="preserve">SGIP </w:t>
      </w:r>
      <w:r w:rsidRPr="007D6B0F">
        <w:t>Handbook.</w:t>
      </w:r>
    </w:p>
    <w:p w:rsidRPr="007D6B0F" w:rsidR="00B4424D" w:rsidP="00F705D0" w:rsidRDefault="2812F1F7" w14:paraId="28FAD009" w14:textId="28A0AF0E">
      <w:pPr>
        <w:pStyle w:val="ListNum"/>
        <w:numPr>
          <w:ilvl w:val="0"/>
          <w:numId w:val="46"/>
        </w:numPr>
        <w:ind w:right="1440"/>
      </w:pPr>
      <w:r w:rsidRPr="007D6B0F">
        <w:t xml:space="preserve">After December 30, 2025, </w:t>
      </w:r>
      <w:r w:rsidR="00820255">
        <w:t>any</w:t>
      </w:r>
      <w:r w:rsidRPr="007D6B0F" w:rsidR="00B4424D">
        <w:t xml:space="preserve"> SGIP projects </w:t>
      </w:r>
      <w:r w:rsidRPr="007D6B0F" w:rsidR="00396B7F">
        <w:t xml:space="preserve">entering </w:t>
      </w:r>
      <w:r w:rsidRPr="007D6B0F" w:rsidR="00B4424D">
        <w:t>PBI must complete PBI in two years.</w:t>
      </w:r>
    </w:p>
    <w:p w:rsidR="00B4424D" w:rsidP="001A5A1A" w:rsidRDefault="00B4424D" w14:paraId="390BB0FA" w14:textId="1E286984">
      <w:pPr>
        <w:pStyle w:val="ListAlpha"/>
        <w:ind w:left="0" w:firstLine="0"/>
      </w:pPr>
      <w:r w:rsidRPr="007D6B0F">
        <w:t>Th</w:t>
      </w:r>
      <w:r w:rsidRPr="007D6B0F" w:rsidR="00D4553E">
        <w:t>ese changes</w:t>
      </w:r>
      <w:r w:rsidRPr="007D6B0F">
        <w:t xml:space="preserve"> shorten </w:t>
      </w:r>
      <w:r w:rsidRPr="007D6B0F" w:rsidR="00A1640F">
        <w:t xml:space="preserve">ratepayer project </w:t>
      </w:r>
      <w:r w:rsidRPr="007D6B0F">
        <w:t>administration to 203</w:t>
      </w:r>
      <w:r w:rsidRPr="007D6B0F" w:rsidR="00D64DBD">
        <w:t>2</w:t>
      </w:r>
      <w:r w:rsidRPr="007D6B0F" w:rsidR="00B15904">
        <w:rPr>
          <w:rStyle w:val="FootnoteReference"/>
        </w:rPr>
        <w:footnoteReference w:id="29"/>
      </w:r>
      <w:r w:rsidRPr="007D6B0F">
        <w:t xml:space="preserve"> instead of 203</w:t>
      </w:r>
      <w:r w:rsidRPr="007D6B0F" w:rsidR="00D64DBD">
        <w:t>5</w:t>
      </w:r>
      <w:r w:rsidRPr="007D6B0F">
        <w:t>.</w:t>
      </w:r>
    </w:p>
    <w:p w:rsidR="00F463EC" w:rsidP="00F463EC" w:rsidRDefault="00812E63" w14:paraId="35C1896A" w14:textId="1416035B">
      <w:pPr>
        <w:pStyle w:val="Heading2"/>
      </w:pPr>
      <w:bookmarkStart w:name="_Toc206771078" w:id="22"/>
      <w:r>
        <w:t>3.5</w:t>
      </w:r>
      <w:r w:rsidR="00F705D0">
        <w:tab/>
      </w:r>
      <w:r w:rsidR="006A240D">
        <w:t xml:space="preserve">SGIP </w:t>
      </w:r>
      <w:r w:rsidR="00F463EC">
        <w:t>Project Extension Modifications</w:t>
      </w:r>
      <w:bookmarkEnd w:id="22"/>
    </w:p>
    <w:p w:rsidRPr="00955453" w:rsidR="00955453" w:rsidP="00955453" w:rsidRDefault="4998ACEA" w14:paraId="20FCC9D3" w14:textId="53C814D6">
      <w:pPr>
        <w:pStyle w:val="Standard"/>
      </w:pPr>
      <w:r>
        <w:t xml:space="preserve">Parties to the SGIP proceeding have requested </w:t>
      </w:r>
      <w:r w:rsidRPr="00D42D48">
        <w:t>modifications</w:t>
      </w:r>
      <w:r>
        <w:t xml:space="preserve"> for project extensions for special and unusual circumstances that impacted the initial project timeline. </w:t>
      </w:r>
      <w:r w:rsidR="6CF52F98">
        <w:t>T</w:t>
      </w:r>
      <w:r>
        <w:t xml:space="preserve">he Southern California </w:t>
      </w:r>
      <w:r w:rsidR="6CF52F98">
        <w:t xml:space="preserve">Tribal </w:t>
      </w:r>
      <w:r w:rsidR="3C9378B3">
        <w:t>Chairmen’s Association (SC</w:t>
      </w:r>
      <w:r w:rsidR="6CF52F98">
        <w:t>T</w:t>
      </w:r>
      <w:r w:rsidR="3C9378B3">
        <w:t>CA)</w:t>
      </w:r>
      <w:r w:rsidR="6CF52F98">
        <w:t xml:space="preserve"> filed comments pointing out that </w:t>
      </w:r>
      <w:r w:rsidR="326F5599">
        <w:t>tribes, local governments and entities serving disadvantaged communities have invested in SGIP projects to safeguard public health, local economies and the environment.</w:t>
      </w:r>
      <w:r w:rsidR="006A240D">
        <w:rPr>
          <w:rStyle w:val="FootnoteReference"/>
        </w:rPr>
        <w:footnoteReference w:id="30"/>
      </w:r>
      <w:r w:rsidR="326F5599">
        <w:t xml:space="preserve"> SCTCA’s comments further request that the current SGIP Handbook be modified to </w:t>
      </w:r>
      <w:r w:rsidR="7928B34C">
        <w:t>provide four additional six-month extensions beyond the three presently authorized</w:t>
      </w:r>
      <w:r w:rsidR="4C7B473E">
        <w:t xml:space="preserve"> for non-residential </w:t>
      </w:r>
      <w:r w:rsidR="4C7B473E">
        <w:lastRenderedPageBreak/>
        <w:t>equity projects</w:t>
      </w:r>
      <w:r w:rsidR="7928B34C">
        <w:t>, after which no further extensions would be permitted.</w:t>
      </w:r>
      <w:r w:rsidR="006A4E88">
        <w:rPr>
          <w:rStyle w:val="FootnoteReference"/>
        </w:rPr>
        <w:footnoteReference w:id="31"/>
      </w:r>
      <w:r w:rsidR="7928B34C">
        <w:t xml:space="preserve"> All non-residential equity projects would be eligible for this relief retroactive to March 1, 2025.</w:t>
      </w:r>
      <w:r w:rsidR="006A4E88">
        <w:rPr>
          <w:rStyle w:val="FootnoteReference"/>
        </w:rPr>
        <w:footnoteReference w:id="32"/>
      </w:r>
      <w:r w:rsidR="7928B34C">
        <w:t xml:space="preserve"> </w:t>
      </w:r>
      <w:r w:rsidR="2DEB71FC">
        <w:t>According to SCTCA, t</w:t>
      </w:r>
      <w:r w:rsidR="7928B34C">
        <w:t>hese changes are needed to prevent SGIP project cancellations due to delays and stalls caused by conditions outside of</w:t>
      </w:r>
      <w:r w:rsidR="623F5760">
        <w:t xml:space="preserve"> the host customer’s</w:t>
      </w:r>
      <w:r w:rsidR="7928B34C">
        <w:t xml:space="preserve"> control.</w:t>
      </w:r>
      <w:r w:rsidR="006A4E88">
        <w:rPr>
          <w:rStyle w:val="FootnoteReference"/>
        </w:rPr>
        <w:footnoteReference w:id="33"/>
      </w:r>
      <w:r w:rsidR="2DEB71FC">
        <w:t xml:space="preserve"> SCTCA claims that cancellation of these</w:t>
      </w:r>
      <w:r w:rsidR="5970CC44">
        <w:t xml:space="preserve"> non-residential equity</w:t>
      </w:r>
      <w:r w:rsidR="2DEB71FC">
        <w:t xml:space="preserve"> projects solely due to the inability to meet existing deadlines would result in significant setbacks and losses for tribes and local governments.</w:t>
      </w:r>
      <w:r w:rsidR="00AE32C2">
        <w:rPr>
          <w:rStyle w:val="FootnoteReference"/>
        </w:rPr>
        <w:footnoteReference w:id="34"/>
      </w:r>
      <w:r w:rsidR="2DEB71FC">
        <w:t xml:space="preserve"> Continued supply chain delays for project equipment, long interconnection timelines, the bankruptcy of the host customer’s developer, and economic uncertainty caused by new federal government policies are among the circumstances that are negatively impacting certain SGIP pro</w:t>
      </w:r>
      <w:r w:rsidR="6E1D2890">
        <w:t>jects according to SCTCA.</w:t>
      </w:r>
      <w:r w:rsidR="0078052E">
        <w:rPr>
          <w:rStyle w:val="FootnoteReference"/>
        </w:rPr>
        <w:footnoteReference w:id="35"/>
      </w:r>
      <w:r w:rsidR="6E1D2890">
        <w:t xml:space="preserve"> </w:t>
      </w:r>
    </w:p>
    <w:p w:rsidR="00897FA8" w:rsidP="00897FA8" w:rsidRDefault="00812E63" w14:paraId="325A8F77" w14:textId="2231CD33">
      <w:pPr>
        <w:pStyle w:val="Heading3"/>
      </w:pPr>
      <w:bookmarkStart w:name="_Toc206771079" w:id="23"/>
      <w:r>
        <w:t>3.5.1</w:t>
      </w:r>
      <w:r w:rsidR="00F705D0">
        <w:tab/>
      </w:r>
      <w:r w:rsidR="3D27A30B">
        <w:t xml:space="preserve">Party </w:t>
      </w:r>
      <w:r w:rsidR="00897FA8">
        <w:t>Comments</w:t>
      </w:r>
      <w:bookmarkEnd w:id="23"/>
    </w:p>
    <w:p w:rsidR="00CA4B4B" w:rsidP="00786958" w:rsidRDefault="238BF05A" w14:paraId="4F3FB9E2" w14:textId="4D52E011">
      <w:pPr>
        <w:pStyle w:val="Standard"/>
      </w:pPr>
      <w:r>
        <w:t>SBUA was supportive of SCTCA’s proposal.</w:t>
      </w:r>
      <w:r w:rsidR="0012773C">
        <w:rPr>
          <w:rStyle w:val="FootnoteReference"/>
        </w:rPr>
        <w:footnoteReference w:id="36"/>
      </w:r>
      <w:r>
        <w:t xml:space="preserve"> </w:t>
      </w:r>
      <w:r w:rsidR="6E1D2890">
        <w:t>CALSSA’s comments recommended that the Commission rethink its SGIP project extension policy for both ratepayer and GGRF funded projects.</w:t>
      </w:r>
      <w:r w:rsidR="0078052E">
        <w:rPr>
          <w:rStyle w:val="FootnoteReference"/>
        </w:rPr>
        <w:footnoteReference w:id="37"/>
      </w:r>
      <w:r w:rsidRPr="0078052E" w:rsidR="6E1D2890">
        <w:t xml:space="preserve"> </w:t>
      </w:r>
      <w:r w:rsidR="6E1D2890">
        <w:t>According to CALSSA, it makes no sense for the Commission to disqualify projects due to factors entirely outside the control of developers or customers.</w:t>
      </w:r>
      <w:r w:rsidR="0078052E">
        <w:rPr>
          <w:rStyle w:val="FootnoteReference"/>
        </w:rPr>
        <w:footnoteReference w:id="38"/>
      </w:r>
      <w:r w:rsidR="6E1D2890">
        <w:t xml:space="preserve"> </w:t>
      </w:r>
      <w:r w:rsidR="07B47F36">
        <w:t>CSE’s reply comments supported SCTCA’s recommendation to update t</w:t>
      </w:r>
      <w:r w:rsidR="2403E2C4">
        <w:t xml:space="preserve">he </w:t>
      </w:r>
      <w:r w:rsidR="07B47F36">
        <w:t xml:space="preserve">SGIP Handbook to allow additional </w:t>
      </w:r>
      <w:r w:rsidR="07B47F36">
        <w:lastRenderedPageBreak/>
        <w:t>project extensions.</w:t>
      </w:r>
      <w:r w:rsidR="0054747F">
        <w:rPr>
          <w:rStyle w:val="FootnoteReference"/>
        </w:rPr>
        <w:footnoteReference w:id="39"/>
      </w:r>
      <w:r w:rsidR="07B47F36">
        <w:t xml:space="preserve"> CSE’s reply comments mentioned </w:t>
      </w:r>
      <w:r w:rsidR="4B413ED8">
        <w:t xml:space="preserve">the challenges faced by </w:t>
      </w:r>
      <w:r w:rsidR="7BC4DD3E">
        <w:t xml:space="preserve">non-residential </w:t>
      </w:r>
      <w:r w:rsidR="69B564E1">
        <w:t>equity p</w:t>
      </w:r>
      <w:r w:rsidR="2D860871">
        <w:t>rojects in meeting present SGIP timelines</w:t>
      </w:r>
      <w:r w:rsidR="0C9C56A8">
        <w:t xml:space="preserve"> for project completion, </w:t>
      </w:r>
      <w:r w:rsidR="1EF1D0E0">
        <w:t>the eliminat</w:t>
      </w:r>
      <w:r w:rsidR="568B5DB6">
        <w:t>ion of administrative time to cancel projects</w:t>
      </w:r>
      <w:r w:rsidR="0872BD31">
        <w:t xml:space="preserve"> and the Commission’s need to </w:t>
      </w:r>
      <w:r w:rsidR="712F441A">
        <w:t xml:space="preserve">demonstrate its commitment to environmental social </w:t>
      </w:r>
      <w:r w:rsidR="2FB861A4">
        <w:t xml:space="preserve">justice principles </w:t>
      </w:r>
      <w:r w:rsidR="41CAAF7B">
        <w:t>in its implementation of the SGIP statute,</w:t>
      </w:r>
      <w:r w:rsidR="2FB861A4">
        <w:t xml:space="preserve"> </w:t>
      </w:r>
      <w:r w:rsidR="07B47F36">
        <w:t>as reasons for its support of SCTCA’s proposal.</w:t>
      </w:r>
      <w:r w:rsidR="009F623D">
        <w:rPr>
          <w:rStyle w:val="FootnoteReference"/>
        </w:rPr>
        <w:footnoteReference w:id="40"/>
      </w:r>
      <w:r w:rsidR="385F464D">
        <w:t xml:space="preserve"> </w:t>
      </w:r>
      <w:r w:rsidR="0CBA4ECB">
        <w:t xml:space="preserve">Free Energy was supportive of SCTCA’s proposal and requested that the additional extensions be made available to </w:t>
      </w:r>
      <w:r w:rsidR="53B05A41">
        <w:t>residential equity projects as well.</w:t>
      </w:r>
      <w:r w:rsidR="008644CC">
        <w:rPr>
          <w:rStyle w:val="FootnoteReference"/>
        </w:rPr>
        <w:footnoteReference w:id="41"/>
      </w:r>
    </w:p>
    <w:p w:rsidRPr="00786958" w:rsidR="00786958" w:rsidP="00786958" w:rsidRDefault="00CB340E" w14:paraId="390FCCF1" w14:textId="390D5341">
      <w:pPr>
        <w:pStyle w:val="Standard"/>
      </w:pPr>
      <w:r w:rsidRPr="00CB340E">
        <w:t>CALSSA notes that the Ruling did not include the one-year COVID stay on cancellation and asks for clarification that the Ruling does not seek to preclude or revise the Handbook language around the COVID stay on cancellation.</w:t>
      </w:r>
      <w:r w:rsidR="00E4116C">
        <w:rPr>
          <w:rStyle w:val="FootnoteReference"/>
        </w:rPr>
        <w:footnoteReference w:id="42"/>
      </w:r>
      <w:r w:rsidRPr="00CB340E">
        <w:t> </w:t>
      </w:r>
    </w:p>
    <w:p w:rsidR="00897FA8" w:rsidP="00897FA8" w:rsidRDefault="00812E63" w14:paraId="573E98ED" w14:textId="6D94C7A5">
      <w:pPr>
        <w:pStyle w:val="Heading3"/>
      </w:pPr>
      <w:bookmarkStart w:name="_Toc206771080" w:id="24"/>
      <w:r>
        <w:t xml:space="preserve">3.5.2 </w:t>
      </w:r>
      <w:r w:rsidR="00897FA8">
        <w:t>Discussion and Analysis</w:t>
      </w:r>
      <w:bookmarkEnd w:id="24"/>
    </w:p>
    <w:p w:rsidRPr="00B70E72" w:rsidR="00F463EC" w:rsidP="00F705D0" w:rsidRDefault="00F705D0" w14:paraId="52BAB265" w14:textId="6F0AE5BC">
      <w:pPr>
        <w:pStyle w:val="ListNum"/>
        <w:spacing w:after="0" w:line="360" w:lineRule="auto"/>
        <w:ind w:left="0" w:firstLine="0"/>
      </w:pPr>
      <w:r>
        <w:tab/>
      </w:r>
      <w:r w:rsidR="00A853AF">
        <w:t xml:space="preserve">The Commission </w:t>
      </w:r>
      <w:r w:rsidR="00D54C48">
        <w:t xml:space="preserve">finds </w:t>
      </w:r>
      <w:r w:rsidR="00A5680C">
        <w:t xml:space="preserve">it </w:t>
      </w:r>
      <w:r w:rsidRPr="00B70E72" w:rsidR="00A5680C">
        <w:t xml:space="preserve">reasonable to </w:t>
      </w:r>
      <w:r w:rsidRPr="00B70E72" w:rsidR="00C355E7">
        <w:t xml:space="preserve">grant SCTCA’s request for </w:t>
      </w:r>
      <w:r w:rsidRPr="00B70E72" w:rsidR="0056000C">
        <w:t xml:space="preserve">non -residential </w:t>
      </w:r>
      <w:r w:rsidRPr="00B70E72" w:rsidR="00BD7070">
        <w:t>equity projects</w:t>
      </w:r>
      <w:r w:rsidR="00216118">
        <w:t>, in both the Non-Residential Equity and Equity Resilienc</w:t>
      </w:r>
      <w:r w:rsidR="00252505">
        <w:t>y budgets,</w:t>
      </w:r>
      <w:r w:rsidRPr="00B70E72" w:rsidR="00BD7070">
        <w:t xml:space="preserve"> to have access to</w:t>
      </w:r>
      <w:r w:rsidRPr="00B70E72" w:rsidR="003B0177">
        <w:t xml:space="preserve"> up to</w:t>
      </w:r>
      <w:r w:rsidRPr="00B70E72" w:rsidR="00BD7070">
        <w:t xml:space="preserve"> </w:t>
      </w:r>
      <w:r w:rsidRPr="00B70E72" w:rsidR="00C355E7">
        <w:t>four</w:t>
      </w:r>
      <w:r w:rsidRPr="00B70E72" w:rsidR="00BD7070">
        <w:t xml:space="preserve"> additional six</w:t>
      </w:r>
      <w:r w:rsidRPr="00B70E72" w:rsidR="009C391E">
        <w:t>-month extensions if</w:t>
      </w:r>
      <w:r w:rsidRPr="00B70E72" w:rsidR="00CCD7C3">
        <w:t xml:space="preserve"> the following conditions are met</w:t>
      </w:r>
      <w:r w:rsidRPr="00B70E72" w:rsidR="00232A85">
        <w:t>:</w:t>
      </w:r>
    </w:p>
    <w:p w:rsidRPr="00B70E72" w:rsidR="002E4D68" w:rsidP="00F705D0" w:rsidRDefault="009C391E" w14:paraId="3C1C6874" w14:textId="101C4D18">
      <w:pPr>
        <w:pStyle w:val="ListAlpha"/>
        <w:numPr>
          <w:ilvl w:val="0"/>
          <w:numId w:val="55"/>
        </w:numPr>
        <w:ind w:right="1440"/>
      </w:pPr>
      <w:r w:rsidRPr="00B70E72">
        <w:t>The host customer</w:t>
      </w:r>
      <w:r w:rsidRPr="00B70E72" w:rsidR="00CE04E1">
        <w:t xml:space="preserve"> has</w:t>
      </w:r>
      <w:r w:rsidRPr="00B70E72" w:rsidR="00080301">
        <w:t xml:space="preserve"> </w:t>
      </w:r>
      <w:r w:rsidRPr="00B70E72" w:rsidR="00AC7CC5">
        <w:t xml:space="preserve">passed the </w:t>
      </w:r>
      <w:r w:rsidRPr="00B70E72" w:rsidR="002C27BD">
        <w:t>Proof of Project Milestone submitted stage</w:t>
      </w:r>
      <w:r w:rsidRPr="00B70E72" w:rsidR="006E7F4A">
        <w:t>.</w:t>
      </w:r>
    </w:p>
    <w:p w:rsidR="002E4D68" w:rsidP="00F705D0" w:rsidRDefault="006E7F4A" w14:paraId="1349BDB7" w14:textId="2BB4E029">
      <w:pPr>
        <w:pStyle w:val="ListAlpha"/>
        <w:numPr>
          <w:ilvl w:val="0"/>
          <w:numId w:val="55"/>
        </w:numPr>
        <w:ind w:right="1440"/>
      </w:pPr>
      <w:r>
        <w:t>The project will be completed before</w:t>
      </w:r>
      <w:r w:rsidR="00925A02">
        <w:t xml:space="preserve"> all extensions expire</w:t>
      </w:r>
      <w:r w:rsidR="00232A85">
        <w:t>.</w:t>
      </w:r>
    </w:p>
    <w:p w:rsidR="00925A02" w:rsidP="00F705D0" w:rsidRDefault="00925A02" w14:paraId="62561F3E" w14:textId="3501F881">
      <w:pPr>
        <w:pStyle w:val="ListAlpha"/>
        <w:numPr>
          <w:ilvl w:val="0"/>
          <w:numId w:val="55"/>
        </w:numPr>
        <w:ind w:right="1440"/>
      </w:pPr>
      <w:r>
        <w:t>The host customer</w:t>
      </w:r>
      <w:r w:rsidR="00B441BF">
        <w:t xml:space="preserve"> agrees to </w:t>
      </w:r>
      <w:r w:rsidR="00A1710F">
        <w:t xml:space="preserve">participate in a </w:t>
      </w:r>
      <w:r w:rsidR="007E1F6F">
        <w:t>SGIP-approved</w:t>
      </w:r>
      <w:r w:rsidR="00A1710F">
        <w:t xml:space="preserve"> </w:t>
      </w:r>
      <w:r w:rsidR="00B441BF">
        <w:t>D</w:t>
      </w:r>
      <w:r w:rsidR="007E1F6F">
        <w:t xml:space="preserve">emand </w:t>
      </w:r>
      <w:r w:rsidR="00B441BF">
        <w:t>R</w:t>
      </w:r>
      <w:r w:rsidR="007E1F6F">
        <w:t>esponse</w:t>
      </w:r>
      <w:r w:rsidR="00B441BF">
        <w:t xml:space="preserve"> program</w:t>
      </w:r>
      <w:r w:rsidR="000D7076">
        <w:t xml:space="preserve"> for ten years</w:t>
      </w:r>
      <w:r w:rsidR="007E1F6F">
        <w:t xml:space="preserve"> by Incentive Claim Form</w:t>
      </w:r>
      <w:r w:rsidR="006B1F57">
        <w:t xml:space="preserve"> submission</w:t>
      </w:r>
      <w:r w:rsidR="00AF3015">
        <w:t>.</w:t>
      </w:r>
    </w:p>
    <w:p w:rsidR="00E64CDE" w:rsidP="00F705D0" w:rsidRDefault="003A0357" w14:paraId="438702D3" w14:textId="4E6D74E0">
      <w:pPr>
        <w:pStyle w:val="ListNum"/>
        <w:tabs>
          <w:tab w:val="clear" w:pos="1080"/>
        </w:tabs>
        <w:spacing w:after="0" w:line="360" w:lineRule="auto"/>
        <w:ind w:left="0" w:firstLine="720"/>
      </w:pPr>
      <w:r>
        <w:lastRenderedPageBreak/>
        <w:t xml:space="preserve">SGIP has a total of </w:t>
      </w:r>
      <w:r w:rsidR="008E56EF">
        <w:t xml:space="preserve">236 active non-residential equity projects </w:t>
      </w:r>
      <w:r w:rsidR="000E6D5B">
        <w:t xml:space="preserve">that have reserved </w:t>
      </w:r>
      <w:r w:rsidR="00245BF6">
        <w:t>$177 million that could benefit from these extensions.</w:t>
      </w:r>
      <w:r w:rsidR="00245BF6">
        <w:rPr>
          <w:rStyle w:val="FootnoteReference"/>
        </w:rPr>
        <w:footnoteReference w:id="43"/>
      </w:r>
      <w:r w:rsidR="00240C75">
        <w:t xml:space="preserve"> The current process for </w:t>
      </w:r>
      <w:r w:rsidR="00E70932">
        <w:t xml:space="preserve">projects that </w:t>
      </w:r>
      <w:r w:rsidR="00441326">
        <w:t>have exhausted all extensions is to cancel and reapply to the same SGIP budget.</w:t>
      </w:r>
      <w:r w:rsidR="00BA7B00">
        <w:t xml:space="preserve"> Reapplication would </w:t>
      </w:r>
      <w:r w:rsidR="00FA535A">
        <w:t xml:space="preserve">result in the project </w:t>
      </w:r>
      <w:r w:rsidR="003F673B">
        <w:t>complying</w:t>
      </w:r>
      <w:r w:rsidR="00B63A37">
        <w:t xml:space="preserve"> with recent program rules that are </w:t>
      </w:r>
      <w:r w:rsidR="00CA50A6">
        <w:t>intended</w:t>
      </w:r>
      <w:r w:rsidR="00B63A37">
        <w:t xml:space="preserve"> to improve ratepayer benefits </w:t>
      </w:r>
      <w:r w:rsidR="003F673B">
        <w:t>from</w:t>
      </w:r>
      <w:r w:rsidR="00B63A37">
        <w:t xml:space="preserve"> the program such as participation in a Demand Response program.</w:t>
      </w:r>
      <w:r w:rsidR="00B63A37">
        <w:rPr>
          <w:rStyle w:val="FootnoteReference"/>
        </w:rPr>
        <w:footnoteReference w:id="44"/>
      </w:r>
      <w:r w:rsidR="00441326">
        <w:t xml:space="preserve"> </w:t>
      </w:r>
      <w:r w:rsidR="008E555A">
        <w:t>At th</w:t>
      </w:r>
      <w:r w:rsidR="00422609">
        <w:t>e</w:t>
      </w:r>
      <w:r w:rsidR="008E555A">
        <w:t xml:space="preserve"> time</w:t>
      </w:r>
      <w:r w:rsidR="00422609">
        <w:t xml:space="preserve"> of this decision</w:t>
      </w:r>
      <w:r w:rsidR="008E555A">
        <w:t>, SC</w:t>
      </w:r>
      <w:r w:rsidR="009603B4">
        <w:t>G</w:t>
      </w:r>
      <w:r w:rsidR="008E555A">
        <w:t xml:space="preserve">, SCE, and PG&amp;E have </w:t>
      </w:r>
      <w:r w:rsidR="00422609">
        <w:t xml:space="preserve">incentive funds available to </w:t>
      </w:r>
      <w:r w:rsidR="00E57BF0">
        <w:t xml:space="preserve">non-residential equity projects while CSE’s budgets are waitlisted. </w:t>
      </w:r>
      <w:r w:rsidR="00460EBF">
        <w:t xml:space="preserve">However, all ratepayer budgets are set to close to new applications on December 30, 2025. </w:t>
      </w:r>
    </w:p>
    <w:p w:rsidR="00632677" w:rsidP="00F705D0" w:rsidRDefault="007A1E44" w14:paraId="4B850A5B" w14:textId="6407472D">
      <w:pPr>
        <w:pStyle w:val="ListNum"/>
        <w:tabs>
          <w:tab w:val="clear" w:pos="1080"/>
        </w:tabs>
        <w:spacing w:after="0" w:line="360" w:lineRule="auto"/>
        <w:ind w:left="0" w:firstLine="720"/>
      </w:pPr>
      <w:r>
        <w:t xml:space="preserve">To ensure that </w:t>
      </w:r>
      <w:r w:rsidR="002C5160">
        <w:t>non-residential equity projects are able to successfully</w:t>
      </w:r>
      <w:r w:rsidR="00382F8E">
        <w:t xml:space="preserve"> be completed, </w:t>
      </w:r>
      <w:r w:rsidRPr="00B70E72" w:rsidR="00382F8E">
        <w:t>receive the expected SGIP incentive, benefit the host customer, and benefit all ratepayers</w:t>
      </w:r>
      <w:r w:rsidRPr="00B70E72" w:rsidR="00B8636F">
        <w:t xml:space="preserve">; the Commission finds it reasonable to </w:t>
      </w:r>
      <w:r w:rsidRPr="00B70E72" w:rsidR="0037790E">
        <w:t xml:space="preserve">grant </w:t>
      </w:r>
      <w:r w:rsidRPr="00B70E72" w:rsidR="007E7883">
        <w:t xml:space="preserve">up to </w:t>
      </w:r>
      <w:r w:rsidRPr="00B70E72" w:rsidR="00EB5248">
        <w:t>four</w:t>
      </w:r>
      <w:r w:rsidRPr="00B70E72" w:rsidR="009F3A50">
        <w:t xml:space="preserve"> additional six-month extensions only to non-residential equity projects that </w:t>
      </w:r>
      <w:r w:rsidRPr="00B70E72" w:rsidR="00180D19">
        <w:t xml:space="preserve">conform to the existing extension request process detailed in the SGIP Handbook and </w:t>
      </w:r>
      <w:r w:rsidRPr="00B70E72" w:rsidR="00E64CDE">
        <w:t xml:space="preserve">meet three </w:t>
      </w:r>
      <w:r w:rsidRPr="00B70E72" w:rsidR="00180D19">
        <w:t xml:space="preserve">new </w:t>
      </w:r>
      <w:r w:rsidRPr="00B70E72" w:rsidR="00E64CDE">
        <w:t>criteria</w:t>
      </w:r>
      <w:r w:rsidRPr="00B70E72" w:rsidR="005B7B01">
        <w:t xml:space="preserve"> set forth in this decision</w:t>
      </w:r>
      <w:r w:rsidRPr="00B70E72" w:rsidR="00E64CDE">
        <w:t xml:space="preserve">. First, the project must </w:t>
      </w:r>
      <w:r w:rsidRPr="00B70E72" w:rsidR="00085F22">
        <w:t xml:space="preserve">have </w:t>
      </w:r>
      <w:r w:rsidRPr="00B70E72" w:rsidR="00EB2DFE">
        <w:t xml:space="preserve">submitted </w:t>
      </w:r>
      <w:r w:rsidRPr="00B70E72" w:rsidR="00085F22">
        <w:t xml:space="preserve">the </w:t>
      </w:r>
      <w:r w:rsidRPr="00B70E72" w:rsidR="00945D12">
        <w:t xml:space="preserve">Proof of </w:t>
      </w:r>
      <w:r w:rsidRPr="00B70E72" w:rsidR="00085F22">
        <w:t>Project</w:t>
      </w:r>
      <w:r w:rsidRPr="00B70E72" w:rsidR="00945D12">
        <w:t xml:space="preserve"> Milestone</w:t>
      </w:r>
      <w:r w:rsidRPr="00B70E72" w:rsidR="00EB2DFE">
        <w:t xml:space="preserve"> forms</w:t>
      </w:r>
      <w:r w:rsidRPr="00B70E72" w:rsidR="009354DD">
        <w:t xml:space="preserve">. This will ensure projects are </w:t>
      </w:r>
      <w:r w:rsidRPr="00B70E72" w:rsidR="00C94698">
        <w:t>progressing in a timely</w:t>
      </w:r>
      <w:r w:rsidR="00C94698">
        <w:t xml:space="preserve"> manner</w:t>
      </w:r>
      <w:r w:rsidR="00945D12">
        <w:t xml:space="preserve"> past the planning stage</w:t>
      </w:r>
      <w:r w:rsidR="00C94698">
        <w:t xml:space="preserve">. </w:t>
      </w:r>
      <w:r w:rsidR="00945D12">
        <w:t xml:space="preserve">Second, the project must </w:t>
      </w:r>
      <w:r w:rsidR="00FB4EBC">
        <w:t>demonstrate the</w:t>
      </w:r>
      <w:r w:rsidR="0049493D">
        <w:t xml:space="preserve"> project will be completed by the </w:t>
      </w:r>
      <w:r w:rsidR="00375D48">
        <w:t xml:space="preserve">final allowable extension. This will ensure projects </w:t>
      </w:r>
      <w:r w:rsidR="0080637F">
        <w:t xml:space="preserve">are </w:t>
      </w:r>
      <w:r w:rsidR="008C6FC6">
        <w:t xml:space="preserve">fully aware of the program deadlines and will not </w:t>
      </w:r>
      <w:r w:rsidR="00A364E1">
        <w:t>reach the end of the final extension only to be canceled</w:t>
      </w:r>
      <w:r w:rsidR="00C6656F">
        <w:t>, delaying return of funds to ratepayers</w:t>
      </w:r>
      <w:r w:rsidR="00B763C8">
        <w:t xml:space="preserve"> and further harming the host customer</w:t>
      </w:r>
      <w:r w:rsidR="00C6656F">
        <w:t>. Third, the host customer must agree to participate in a SGIP-approved Demand Response program for ten-years</w:t>
      </w:r>
      <w:r w:rsidR="00454CF6">
        <w:t xml:space="preserve">. This will ensure the project is bringing sufficient benefit to </w:t>
      </w:r>
      <w:r w:rsidR="006E2C2D">
        <w:t xml:space="preserve">the grid and </w:t>
      </w:r>
      <w:r w:rsidR="004F11C1">
        <w:lastRenderedPageBreak/>
        <w:t xml:space="preserve">non-participant ratepayers and aligns these extensions with the current practice in SGIP. </w:t>
      </w:r>
      <w:r w:rsidR="00575A37">
        <w:t xml:space="preserve">This relief will be granted retroactively from </w:t>
      </w:r>
      <w:r w:rsidR="00AE6DB0">
        <w:t xml:space="preserve">February </w:t>
      </w:r>
      <w:r w:rsidR="00575A37">
        <w:t xml:space="preserve">1, 2025. </w:t>
      </w:r>
    </w:p>
    <w:p w:rsidR="0019535C" w:rsidP="00F705D0" w:rsidRDefault="0019535C" w14:paraId="2EE49543" w14:textId="3D12FEE4">
      <w:pPr>
        <w:pStyle w:val="ListNum"/>
        <w:tabs>
          <w:tab w:val="clear" w:pos="1080"/>
        </w:tabs>
        <w:spacing w:line="360" w:lineRule="auto"/>
        <w:ind w:left="0" w:firstLine="720"/>
      </w:pPr>
      <w:r>
        <w:t xml:space="preserve">The Commission only </w:t>
      </w:r>
      <w:r w:rsidRPr="00B70E72">
        <w:t xml:space="preserve">grants </w:t>
      </w:r>
      <w:r w:rsidRPr="00B70E72" w:rsidR="00FF0BB6">
        <w:t xml:space="preserve">up to four </w:t>
      </w:r>
      <w:r w:rsidRPr="00B70E72">
        <w:t xml:space="preserve">additional extensions to non-residential equity projects </w:t>
      </w:r>
      <w:r w:rsidRPr="00B70E72" w:rsidR="00C60674">
        <w:t>due to the higher cancellation rate</w:t>
      </w:r>
      <w:r w:rsidRPr="00B70E72" w:rsidR="00C14755">
        <w:t xml:space="preserve">, utilization of the existing third extension, and </w:t>
      </w:r>
      <w:r w:rsidRPr="00B70E72" w:rsidR="00215C13">
        <w:t xml:space="preserve">the </w:t>
      </w:r>
      <w:r w:rsidRPr="00B70E72" w:rsidR="003B25B3">
        <w:t xml:space="preserve">longer </w:t>
      </w:r>
      <w:r w:rsidRPr="00B70E72" w:rsidR="00215C13">
        <w:t>average time to payment</w:t>
      </w:r>
      <w:r w:rsidR="00183547">
        <w:t xml:space="preserve"> than any other project customer sector</w:t>
      </w:r>
      <w:r w:rsidR="48531A96">
        <w:t xml:space="preserve">, see </w:t>
      </w:r>
      <w:r w:rsidR="00215C13">
        <w:t>Table 2</w:t>
      </w:r>
      <w:r w:rsidR="6ABDCDB8">
        <w:t>.</w:t>
      </w:r>
      <w:r w:rsidR="00215C13">
        <w:t xml:space="preserve"> </w:t>
      </w:r>
      <w:r w:rsidR="00F705D0">
        <w:br/>
      </w:r>
    </w:p>
    <w:p w:rsidRPr="00867FC7" w:rsidR="00867FC7" w:rsidP="00867FC7" w:rsidRDefault="00867FC7" w14:paraId="15E4DC8E" w14:textId="789F5634">
      <w:pPr>
        <w:pStyle w:val="ListNum"/>
        <w:ind w:left="360"/>
        <w:rPr>
          <w:sz w:val="24"/>
          <w:szCs w:val="24"/>
        </w:rPr>
      </w:pPr>
      <w:r w:rsidRPr="00867FC7">
        <w:rPr>
          <w:b/>
          <w:sz w:val="24"/>
          <w:szCs w:val="24"/>
        </w:rPr>
        <w:t xml:space="preserve">Table </w:t>
      </w:r>
      <w:r w:rsidRPr="00867FC7" w:rsidR="012A753C">
        <w:rPr>
          <w:b/>
          <w:bCs/>
          <w:sz w:val="24"/>
          <w:szCs w:val="24"/>
        </w:rPr>
        <w:t>2</w:t>
      </w:r>
      <w:r w:rsidRPr="00867FC7" w:rsidR="3B147411">
        <w:rPr>
          <w:b/>
          <w:bCs/>
          <w:sz w:val="24"/>
          <w:szCs w:val="24"/>
        </w:rPr>
        <w:t>:</w:t>
      </w:r>
      <w:r w:rsidRPr="00867FC7">
        <w:rPr>
          <w:b/>
          <w:sz w:val="24"/>
          <w:szCs w:val="24"/>
        </w:rPr>
        <w:t xml:space="preserve"> </w:t>
      </w:r>
      <w:r w:rsidRPr="00325F09" w:rsidR="00C15503">
        <w:rPr>
          <w:b/>
          <w:sz w:val="24"/>
          <w:szCs w:val="24"/>
        </w:rPr>
        <w:t xml:space="preserve">Ratepayer SGIP </w:t>
      </w:r>
      <w:r w:rsidRPr="00867FC7">
        <w:rPr>
          <w:b/>
          <w:sz w:val="24"/>
          <w:szCs w:val="24"/>
        </w:rPr>
        <w:t>Project Success by Customer Sector</w:t>
      </w:r>
      <w:r w:rsidR="00307719">
        <w:rPr>
          <w:rStyle w:val="FootnoteReference"/>
          <w:b/>
          <w:sz w:val="24"/>
          <w:szCs w:val="24"/>
        </w:rPr>
        <w:footnoteReference w:id="45"/>
      </w:r>
      <w:r w:rsidRPr="00867FC7">
        <w:rPr>
          <w:sz w:val="24"/>
          <w:szCs w:val="24"/>
        </w:rPr>
        <w:t> </w:t>
      </w:r>
    </w:p>
    <w:tbl>
      <w:tblPr>
        <w:tblW w:w="9353" w:type="dxa"/>
        <w:tblInd w:w="-8"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8"/>
        <w:gridCol w:w="1457"/>
        <w:gridCol w:w="68"/>
        <w:gridCol w:w="962"/>
        <w:gridCol w:w="13"/>
        <w:gridCol w:w="1352"/>
        <w:gridCol w:w="8"/>
        <w:gridCol w:w="1511"/>
        <w:gridCol w:w="16"/>
        <w:gridCol w:w="1452"/>
        <w:gridCol w:w="8"/>
        <w:gridCol w:w="1294"/>
        <w:gridCol w:w="9"/>
        <w:gridCol w:w="1195"/>
      </w:tblGrid>
      <w:tr w:rsidRPr="00325F09" w:rsidR="00055619" w:rsidTr="002E4D68" w14:paraId="5C80717E" w14:textId="77777777">
        <w:trPr>
          <w:trHeight w:val="915"/>
        </w:trPr>
        <w:tc>
          <w:tcPr>
            <w:tcW w:w="146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867FC7" w:rsidR="00C15503" w:rsidP="00B0427B" w:rsidRDefault="00C15503" w14:paraId="07EDEB56" w14:textId="51F6F045">
            <w:pPr>
              <w:pStyle w:val="ListNum"/>
              <w:ind w:left="360"/>
              <w:rPr>
                <w:sz w:val="22"/>
                <w:szCs w:val="18"/>
              </w:rPr>
            </w:pPr>
            <w:r w:rsidRPr="00867FC7">
              <w:rPr>
                <w:b/>
                <w:bCs/>
                <w:sz w:val="22"/>
                <w:szCs w:val="18"/>
              </w:rPr>
              <w:t>Project</w:t>
            </w:r>
            <w:r w:rsidR="00B70E72">
              <w:rPr>
                <w:b/>
                <w:bCs/>
                <w:sz w:val="22"/>
                <w:szCs w:val="18"/>
              </w:rPr>
              <w:t xml:space="preserve"> </w:t>
            </w:r>
            <w:r w:rsidRPr="00867FC7">
              <w:rPr>
                <w:b/>
                <w:bCs/>
                <w:sz w:val="22"/>
                <w:szCs w:val="18"/>
              </w:rPr>
              <w:t>Sectors</w:t>
            </w:r>
          </w:p>
        </w:tc>
        <w:tc>
          <w:tcPr>
            <w:tcW w:w="1038"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00B0427B" w:rsidP="00B0427B" w:rsidRDefault="00C15503" w14:paraId="6BC50371" w14:textId="77777777">
            <w:pPr>
              <w:pStyle w:val="ListNum"/>
              <w:ind w:left="360"/>
              <w:rPr>
                <w:b/>
                <w:bCs/>
                <w:sz w:val="22"/>
                <w:szCs w:val="18"/>
              </w:rPr>
            </w:pPr>
            <w:r w:rsidRPr="00867FC7">
              <w:rPr>
                <w:b/>
                <w:bCs/>
                <w:sz w:val="22"/>
                <w:szCs w:val="18"/>
              </w:rPr>
              <w:t>Active</w:t>
            </w:r>
          </w:p>
          <w:p w:rsidRPr="00867FC7" w:rsidR="00C15503" w:rsidP="00B0427B" w:rsidRDefault="00C15503" w14:paraId="4D69FB1D" w14:textId="7D9582BA">
            <w:pPr>
              <w:pStyle w:val="ListNum"/>
              <w:ind w:left="360"/>
              <w:rPr>
                <w:sz w:val="22"/>
                <w:szCs w:val="18"/>
              </w:rPr>
            </w:pPr>
            <w:r w:rsidRPr="00867FC7">
              <w:rPr>
                <w:b/>
                <w:bCs/>
                <w:sz w:val="22"/>
                <w:szCs w:val="18"/>
              </w:rPr>
              <w:t>Projects</w:t>
            </w:r>
          </w:p>
        </w:tc>
        <w:tc>
          <w:tcPr>
            <w:tcW w:w="1366"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867FC7" w:rsidR="00C15503" w:rsidP="00B0427B" w:rsidRDefault="0043173B" w14:paraId="75D35C33" w14:textId="14E60544">
            <w:pPr>
              <w:pStyle w:val="ListNum"/>
              <w:ind w:left="360"/>
              <w:rPr>
                <w:sz w:val="22"/>
                <w:szCs w:val="18"/>
              </w:rPr>
            </w:pPr>
            <w:r>
              <w:rPr>
                <w:b/>
                <w:bCs/>
                <w:sz w:val="22"/>
                <w:szCs w:val="18"/>
              </w:rPr>
              <w:t>Percent of</w:t>
            </w:r>
            <w:r w:rsidRPr="00867FC7" w:rsidR="00C15503">
              <w:rPr>
                <w:b/>
                <w:bCs/>
                <w:sz w:val="22"/>
                <w:szCs w:val="18"/>
              </w:rPr>
              <w:t xml:space="preserve"> </w:t>
            </w:r>
            <w:r w:rsidR="00055619">
              <w:rPr>
                <w:b/>
                <w:bCs/>
                <w:sz w:val="22"/>
                <w:szCs w:val="18"/>
              </w:rPr>
              <w:t xml:space="preserve">Active </w:t>
            </w:r>
            <w:r w:rsidRPr="00867FC7" w:rsidR="00C15503">
              <w:rPr>
                <w:b/>
                <w:bCs/>
                <w:sz w:val="22"/>
                <w:szCs w:val="18"/>
              </w:rPr>
              <w:t>Projects in 3</w:t>
            </w:r>
            <w:r w:rsidRPr="00867FC7" w:rsidR="00C15503">
              <w:rPr>
                <w:b/>
                <w:bCs/>
                <w:sz w:val="22"/>
                <w:szCs w:val="18"/>
                <w:vertAlign w:val="superscript"/>
              </w:rPr>
              <w:t>rd</w:t>
            </w:r>
            <w:r w:rsidRPr="00867FC7" w:rsidR="00C15503">
              <w:rPr>
                <w:b/>
                <w:bCs/>
                <w:sz w:val="22"/>
                <w:szCs w:val="18"/>
              </w:rPr>
              <w:t xml:space="preserve"> extension</w:t>
            </w:r>
          </w:p>
        </w:tc>
        <w:tc>
          <w:tcPr>
            <w:tcW w:w="1509"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867FC7" w:rsidR="00C15503" w:rsidP="00B0427B" w:rsidRDefault="00C15503" w14:paraId="48851A78" w14:textId="0F055667">
            <w:pPr>
              <w:pStyle w:val="ListNum"/>
              <w:ind w:left="360"/>
              <w:rPr>
                <w:sz w:val="22"/>
                <w:szCs w:val="18"/>
              </w:rPr>
            </w:pPr>
            <w:r w:rsidRPr="00867FC7">
              <w:rPr>
                <w:b/>
                <w:bCs/>
                <w:sz w:val="22"/>
                <w:szCs w:val="18"/>
              </w:rPr>
              <w:t>Average Time to Payment</w:t>
            </w:r>
          </w:p>
        </w:tc>
        <w:tc>
          <w:tcPr>
            <w:tcW w:w="1468"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867FC7" w:rsidR="00C15503" w:rsidP="00B0427B" w:rsidRDefault="00C15503" w14:paraId="25F2645B" w14:textId="7CD40A05">
            <w:pPr>
              <w:pStyle w:val="ListNum"/>
              <w:ind w:left="360"/>
              <w:rPr>
                <w:sz w:val="22"/>
                <w:szCs w:val="18"/>
              </w:rPr>
            </w:pPr>
            <w:r w:rsidRPr="00867FC7">
              <w:rPr>
                <w:b/>
                <w:bCs/>
                <w:sz w:val="22"/>
                <w:szCs w:val="18"/>
              </w:rPr>
              <w:t>% to Payment after 3 extensions</w:t>
            </w:r>
          </w:p>
        </w:tc>
        <w:tc>
          <w:tcPr>
            <w:tcW w:w="1302"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867FC7" w:rsidR="00C15503" w:rsidP="00B0427B" w:rsidRDefault="00C15503" w14:paraId="5F00CB80" w14:textId="5AD070ED">
            <w:pPr>
              <w:pStyle w:val="ListNum"/>
              <w:ind w:left="360"/>
              <w:rPr>
                <w:sz w:val="22"/>
                <w:szCs w:val="18"/>
              </w:rPr>
            </w:pPr>
            <w:r w:rsidRPr="00867FC7">
              <w:rPr>
                <w:b/>
                <w:bCs/>
                <w:sz w:val="22"/>
                <w:szCs w:val="18"/>
              </w:rPr>
              <w:t>% Canceled</w:t>
            </w:r>
          </w:p>
        </w:tc>
        <w:tc>
          <w:tcPr>
            <w:tcW w:w="120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867FC7" w:rsidR="00C15503" w:rsidP="00B0427B" w:rsidRDefault="00C15503" w14:paraId="5D7E9755" w14:textId="09892731">
            <w:pPr>
              <w:pStyle w:val="ListNum"/>
              <w:ind w:left="360"/>
              <w:rPr>
                <w:sz w:val="22"/>
                <w:szCs w:val="18"/>
              </w:rPr>
            </w:pPr>
            <w:r w:rsidRPr="00867FC7">
              <w:rPr>
                <w:b/>
                <w:bCs/>
                <w:sz w:val="22"/>
                <w:szCs w:val="18"/>
              </w:rPr>
              <w:t>Total Projects since 2020</w:t>
            </w:r>
          </w:p>
        </w:tc>
      </w:tr>
      <w:tr w:rsidRPr="00325F09" w:rsidR="00055619" w:rsidTr="002E4D68" w14:paraId="7C683B48" w14:textId="77777777">
        <w:trPr>
          <w:gridBefore w:val="1"/>
          <w:wBefore w:w="8" w:type="dxa"/>
          <w:trHeight w:val="555"/>
        </w:trPr>
        <w:tc>
          <w:tcPr>
            <w:tcW w:w="152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867FC7" w:rsidR="00C15503" w:rsidP="006251D7" w:rsidRDefault="00C15503" w14:paraId="468ED1E7" w14:textId="2B7000C5">
            <w:pPr>
              <w:pStyle w:val="ListNum"/>
              <w:spacing w:after="0"/>
              <w:ind w:left="360"/>
              <w:rPr>
                <w:sz w:val="22"/>
                <w:szCs w:val="18"/>
              </w:rPr>
            </w:pPr>
            <w:r w:rsidRPr="00867FC7">
              <w:rPr>
                <w:b/>
                <w:bCs/>
                <w:sz w:val="22"/>
                <w:szCs w:val="18"/>
              </w:rPr>
              <w:t>Non-Re</w:t>
            </w:r>
            <w:r w:rsidRPr="00325F09">
              <w:rPr>
                <w:b/>
                <w:bCs/>
                <w:sz w:val="22"/>
                <w:szCs w:val="18"/>
              </w:rPr>
              <w:t>sidential</w:t>
            </w:r>
            <w:r w:rsidR="00250432">
              <w:rPr>
                <w:b/>
                <w:bCs/>
                <w:sz w:val="22"/>
                <w:szCs w:val="18"/>
              </w:rPr>
              <w:t xml:space="preserve"> </w:t>
            </w:r>
            <w:r w:rsidRPr="00867FC7">
              <w:rPr>
                <w:b/>
                <w:bCs/>
                <w:sz w:val="22"/>
                <w:szCs w:val="18"/>
              </w:rPr>
              <w:t>Equity</w:t>
            </w:r>
            <w:r w:rsidRPr="00867FC7">
              <w:rPr>
                <w:sz w:val="22"/>
                <w:szCs w:val="18"/>
              </w:rPr>
              <w:t> </w:t>
            </w:r>
          </w:p>
        </w:tc>
        <w:tc>
          <w:tcPr>
            <w:tcW w:w="98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867FC7" w:rsidR="00C15503" w:rsidP="006251D7" w:rsidRDefault="00C15503" w14:paraId="701770AB" w14:textId="15C3081C">
            <w:pPr>
              <w:pStyle w:val="ListNum"/>
              <w:spacing w:after="0"/>
              <w:ind w:left="360"/>
              <w:rPr>
                <w:sz w:val="22"/>
                <w:szCs w:val="18"/>
              </w:rPr>
            </w:pPr>
            <w:r w:rsidRPr="00867FC7">
              <w:rPr>
                <w:sz w:val="22"/>
                <w:szCs w:val="18"/>
              </w:rPr>
              <w:t xml:space="preserve">236 </w:t>
            </w:r>
          </w:p>
        </w:tc>
        <w:tc>
          <w:tcPr>
            <w:tcW w:w="1361"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867FC7" w:rsidR="00C15503" w:rsidP="006251D7" w:rsidRDefault="00C15503" w14:paraId="4E4A4396" w14:textId="761AE074">
            <w:pPr>
              <w:pStyle w:val="ListNum"/>
              <w:spacing w:after="0"/>
              <w:ind w:left="360"/>
              <w:rPr>
                <w:sz w:val="22"/>
                <w:szCs w:val="18"/>
              </w:rPr>
            </w:pPr>
            <w:r w:rsidRPr="00867FC7">
              <w:rPr>
                <w:sz w:val="22"/>
                <w:szCs w:val="18"/>
              </w:rPr>
              <w:t xml:space="preserve">64% </w:t>
            </w:r>
          </w:p>
        </w:tc>
        <w:tc>
          <w:tcPr>
            <w:tcW w:w="1516"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867FC7" w:rsidR="00C15503" w:rsidP="006251D7" w:rsidRDefault="00C15503" w14:paraId="120FA7E3" w14:textId="0D883619">
            <w:pPr>
              <w:pStyle w:val="ListNum"/>
              <w:spacing w:after="0"/>
              <w:ind w:left="360"/>
              <w:rPr>
                <w:sz w:val="22"/>
                <w:szCs w:val="18"/>
              </w:rPr>
            </w:pPr>
            <w:r w:rsidRPr="00867FC7">
              <w:rPr>
                <w:sz w:val="22"/>
                <w:szCs w:val="18"/>
              </w:rPr>
              <w:t>25 months</w:t>
            </w:r>
            <w:r w:rsidR="00250432">
              <w:rPr>
                <w:sz w:val="22"/>
                <w:szCs w:val="18"/>
              </w:rPr>
              <w:t xml:space="preserve"> </w:t>
            </w:r>
          </w:p>
          <w:p w:rsidRPr="00867FC7" w:rsidR="00C15503" w:rsidP="006251D7" w:rsidRDefault="00C15503" w14:paraId="7DA8737F" w14:textId="77777777">
            <w:pPr>
              <w:pStyle w:val="ListNum"/>
              <w:spacing w:after="0"/>
              <w:ind w:left="360"/>
              <w:rPr>
                <w:sz w:val="22"/>
                <w:szCs w:val="18"/>
              </w:rPr>
            </w:pPr>
            <w:r w:rsidRPr="00867FC7">
              <w:rPr>
                <w:sz w:val="22"/>
                <w:szCs w:val="18"/>
              </w:rPr>
              <w:t>(2 extensions) </w:t>
            </w:r>
          </w:p>
        </w:tc>
        <w:tc>
          <w:tcPr>
            <w:tcW w:w="1461"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867FC7" w:rsidR="00C15503" w:rsidP="006251D7" w:rsidRDefault="00C15503" w14:paraId="09AE9303" w14:textId="77777777">
            <w:pPr>
              <w:pStyle w:val="ListNum"/>
              <w:spacing w:after="0"/>
              <w:ind w:left="360"/>
              <w:rPr>
                <w:sz w:val="22"/>
                <w:szCs w:val="18"/>
              </w:rPr>
            </w:pPr>
            <w:r w:rsidRPr="00867FC7">
              <w:rPr>
                <w:sz w:val="22"/>
                <w:szCs w:val="18"/>
              </w:rPr>
              <w:t>50% </w:t>
            </w:r>
          </w:p>
        </w:tc>
        <w:tc>
          <w:tcPr>
            <w:tcW w:w="130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867FC7" w:rsidR="00C15503" w:rsidP="006251D7" w:rsidRDefault="00C15503" w14:paraId="094A8EFE" w14:textId="77777777">
            <w:pPr>
              <w:pStyle w:val="ListNum"/>
              <w:spacing w:after="0"/>
              <w:ind w:left="360"/>
              <w:rPr>
                <w:sz w:val="22"/>
                <w:szCs w:val="18"/>
              </w:rPr>
            </w:pPr>
            <w:r w:rsidRPr="00867FC7">
              <w:rPr>
                <w:sz w:val="22"/>
                <w:szCs w:val="18"/>
              </w:rPr>
              <w:t>60% </w:t>
            </w:r>
          </w:p>
        </w:tc>
        <w:tc>
          <w:tcPr>
            <w:tcW w:w="1196"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867FC7" w:rsidR="00C15503" w:rsidP="006251D7" w:rsidRDefault="00C15503" w14:paraId="4F4A9CA5" w14:textId="77777777">
            <w:pPr>
              <w:pStyle w:val="ListNum"/>
              <w:spacing w:after="0"/>
              <w:ind w:left="360"/>
              <w:rPr>
                <w:sz w:val="22"/>
                <w:szCs w:val="18"/>
              </w:rPr>
            </w:pPr>
            <w:r w:rsidRPr="00867FC7">
              <w:rPr>
                <w:sz w:val="22"/>
                <w:szCs w:val="18"/>
              </w:rPr>
              <w:t>1131 </w:t>
            </w:r>
          </w:p>
        </w:tc>
      </w:tr>
      <w:tr w:rsidRPr="00325F09" w:rsidR="00055619" w:rsidTr="002E4D68" w14:paraId="4024ED2C" w14:textId="77777777">
        <w:trPr>
          <w:gridBefore w:val="1"/>
          <w:wBefore w:w="8" w:type="dxa"/>
          <w:trHeight w:val="825"/>
        </w:trPr>
        <w:tc>
          <w:tcPr>
            <w:tcW w:w="152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867FC7" w:rsidR="00C15503" w:rsidP="006251D7" w:rsidRDefault="00C15503" w14:paraId="45B73516" w14:textId="6398447F">
            <w:pPr>
              <w:pStyle w:val="ListNum"/>
              <w:spacing w:after="0"/>
              <w:ind w:left="360"/>
              <w:rPr>
                <w:sz w:val="22"/>
                <w:szCs w:val="18"/>
              </w:rPr>
            </w:pPr>
            <w:r w:rsidRPr="00867FC7">
              <w:rPr>
                <w:b/>
                <w:bCs/>
                <w:sz w:val="22"/>
                <w:szCs w:val="18"/>
              </w:rPr>
              <w:t>Non-Res</w:t>
            </w:r>
            <w:r w:rsidRPr="00325F09">
              <w:rPr>
                <w:b/>
                <w:bCs/>
                <w:sz w:val="22"/>
                <w:szCs w:val="18"/>
              </w:rPr>
              <w:t>idential</w:t>
            </w:r>
            <w:r w:rsidRPr="00867FC7">
              <w:rPr>
                <w:b/>
                <w:bCs/>
                <w:sz w:val="22"/>
                <w:szCs w:val="18"/>
              </w:rPr>
              <w:t xml:space="preserve"> General Market</w:t>
            </w:r>
            <w:r w:rsidRPr="00867FC7">
              <w:rPr>
                <w:sz w:val="22"/>
                <w:szCs w:val="18"/>
              </w:rPr>
              <w:t> </w:t>
            </w:r>
          </w:p>
        </w:tc>
        <w:tc>
          <w:tcPr>
            <w:tcW w:w="98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867FC7" w:rsidR="00C15503" w:rsidP="006251D7" w:rsidRDefault="00C15503" w14:paraId="207C779E" w14:textId="77777777">
            <w:pPr>
              <w:pStyle w:val="ListNum"/>
              <w:spacing w:after="0"/>
              <w:ind w:left="360"/>
              <w:rPr>
                <w:sz w:val="22"/>
                <w:szCs w:val="18"/>
              </w:rPr>
            </w:pPr>
            <w:r w:rsidRPr="00867FC7">
              <w:rPr>
                <w:sz w:val="22"/>
                <w:szCs w:val="18"/>
              </w:rPr>
              <w:t>435 </w:t>
            </w:r>
          </w:p>
        </w:tc>
        <w:tc>
          <w:tcPr>
            <w:tcW w:w="1361"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867FC7" w:rsidR="00C15503" w:rsidP="006251D7" w:rsidRDefault="00C15503" w14:paraId="6205AE14" w14:textId="77777777">
            <w:pPr>
              <w:pStyle w:val="ListNum"/>
              <w:spacing w:after="0"/>
              <w:ind w:left="360"/>
              <w:rPr>
                <w:sz w:val="22"/>
                <w:szCs w:val="18"/>
              </w:rPr>
            </w:pPr>
            <w:r w:rsidRPr="00867FC7">
              <w:rPr>
                <w:sz w:val="22"/>
                <w:szCs w:val="18"/>
              </w:rPr>
              <w:t>23% </w:t>
            </w:r>
          </w:p>
        </w:tc>
        <w:tc>
          <w:tcPr>
            <w:tcW w:w="1516"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867FC7" w:rsidR="00C15503" w:rsidP="006251D7" w:rsidRDefault="00C15503" w14:paraId="0EF432A0" w14:textId="58DE3D62">
            <w:pPr>
              <w:pStyle w:val="ListNum"/>
              <w:spacing w:after="0"/>
              <w:ind w:left="360"/>
              <w:rPr>
                <w:sz w:val="22"/>
                <w:szCs w:val="18"/>
              </w:rPr>
            </w:pPr>
            <w:r w:rsidRPr="00867FC7">
              <w:rPr>
                <w:sz w:val="22"/>
                <w:szCs w:val="18"/>
              </w:rPr>
              <w:t>20 months</w:t>
            </w:r>
            <w:r w:rsidR="00250432">
              <w:rPr>
                <w:sz w:val="22"/>
                <w:szCs w:val="18"/>
              </w:rPr>
              <w:t xml:space="preserve"> </w:t>
            </w:r>
          </w:p>
          <w:p w:rsidRPr="00867FC7" w:rsidR="00C15503" w:rsidP="006251D7" w:rsidRDefault="00C15503" w14:paraId="4946D32E" w14:textId="77777777">
            <w:pPr>
              <w:pStyle w:val="ListNum"/>
              <w:spacing w:after="0"/>
              <w:ind w:left="360"/>
              <w:rPr>
                <w:sz w:val="22"/>
                <w:szCs w:val="18"/>
              </w:rPr>
            </w:pPr>
            <w:r w:rsidRPr="00867FC7">
              <w:rPr>
                <w:sz w:val="22"/>
                <w:szCs w:val="18"/>
              </w:rPr>
              <w:t>(1 extension) </w:t>
            </w:r>
          </w:p>
        </w:tc>
        <w:tc>
          <w:tcPr>
            <w:tcW w:w="1461"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867FC7" w:rsidR="00C15503" w:rsidP="006251D7" w:rsidRDefault="00C15503" w14:paraId="1F4C1F3E" w14:textId="77777777">
            <w:pPr>
              <w:pStyle w:val="ListNum"/>
              <w:spacing w:after="0"/>
              <w:ind w:left="360"/>
              <w:rPr>
                <w:sz w:val="22"/>
                <w:szCs w:val="18"/>
              </w:rPr>
            </w:pPr>
            <w:r w:rsidRPr="00867FC7">
              <w:rPr>
                <w:sz w:val="22"/>
                <w:szCs w:val="18"/>
              </w:rPr>
              <w:t>40% </w:t>
            </w:r>
          </w:p>
        </w:tc>
        <w:tc>
          <w:tcPr>
            <w:tcW w:w="130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867FC7" w:rsidR="00C15503" w:rsidP="006251D7" w:rsidRDefault="00C15503" w14:paraId="465745A5" w14:textId="77777777">
            <w:pPr>
              <w:pStyle w:val="ListNum"/>
              <w:spacing w:after="0"/>
              <w:ind w:left="360"/>
              <w:rPr>
                <w:sz w:val="22"/>
                <w:szCs w:val="18"/>
              </w:rPr>
            </w:pPr>
            <w:r w:rsidRPr="00867FC7">
              <w:rPr>
                <w:sz w:val="22"/>
                <w:szCs w:val="18"/>
              </w:rPr>
              <w:t>38% </w:t>
            </w:r>
          </w:p>
        </w:tc>
        <w:tc>
          <w:tcPr>
            <w:tcW w:w="1196"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867FC7" w:rsidR="00C15503" w:rsidP="006251D7" w:rsidRDefault="00C15503" w14:paraId="2F613B19" w14:textId="77777777">
            <w:pPr>
              <w:pStyle w:val="ListNum"/>
              <w:spacing w:after="0"/>
              <w:ind w:left="360"/>
              <w:rPr>
                <w:sz w:val="22"/>
                <w:szCs w:val="18"/>
              </w:rPr>
            </w:pPr>
            <w:r w:rsidRPr="00867FC7">
              <w:rPr>
                <w:sz w:val="22"/>
                <w:szCs w:val="18"/>
              </w:rPr>
              <w:t>1251 </w:t>
            </w:r>
          </w:p>
        </w:tc>
      </w:tr>
      <w:tr w:rsidRPr="00325F09" w:rsidR="00055619" w:rsidTr="002E4D68" w14:paraId="0FAB527A" w14:textId="77777777">
        <w:trPr>
          <w:gridBefore w:val="1"/>
          <w:wBefore w:w="8" w:type="dxa"/>
          <w:trHeight w:val="270"/>
        </w:trPr>
        <w:tc>
          <w:tcPr>
            <w:tcW w:w="152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867FC7" w:rsidR="00C15503" w:rsidP="006251D7" w:rsidRDefault="00C15503" w14:paraId="63AB8893" w14:textId="1BBB5D09">
            <w:pPr>
              <w:pStyle w:val="ListNum"/>
              <w:spacing w:after="0"/>
              <w:ind w:left="360"/>
              <w:rPr>
                <w:sz w:val="22"/>
                <w:szCs w:val="18"/>
              </w:rPr>
            </w:pPr>
            <w:r w:rsidRPr="00867FC7">
              <w:rPr>
                <w:b/>
                <w:bCs/>
                <w:sz w:val="22"/>
                <w:szCs w:val="18"/>
              </w:rPr>
              <w:t>Res</w:t>
            </w:r>
            <w:r w:rsidRPr="00325F09">
              <w:rPr>
                <w:b/>
                <w:bCs/>
                <w:sz w:val="22"/>
                <w:szCs w:val="18"/>
              </w:rPr>
              <w:t>idential</w:t>
            </w:r>
            <w:r w:rsidRPr="00867FC7">
              <w:rPr>
                <w:b/>
                <w:bCs/>
                <w:sz w:val="22"/>
                <w:szCs w:val="18"/>
              </w:rPr>
              <w:t xml:space="preserve"> Equity </w:t>
            </w:r>
          </w:p>
        </w:tc>
        <w:tc>
          <w:tcPr>
            <w:tcW w:w="98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867FC7" w:rsidR="00C15503" w:rsidP="006251D7" w:rsidRDefault="00C15503" w14:paraId="46A35634" w14:textId="77777777">
            <w:pPr>
              <w:pStyle w:val="ListNum"/>
              <w:spacing w:after="0"/>
              <w:ind w:left="360"/>
              <w:rPr>
                <w:sz w:val="22"/>
                <w:szCs w:val="18"/>
              </w:rPr>
            </w:pPr>
            <w:r w:rsidRPr="00867FC7">
              <w:rPr>
                <w:sz w:val="22"/>
                <w:szCs w:val="18"/>
              </w:rPr>
              <w:t>2869 </w:t>
            </w:r>
          </w:p>
        </w:tc>
        <w:tc>
          <w:tcPr>
            <w:tcW w:w="1361"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867FC7" w:rsidR="00C15503" w:rsidP="006251D7" w:rsidRDefault="00C15503" w14:paraId="032EEAD3" w14:textId="77777777">
            <w:pPr>
              <w:pStyle w:val="ListNum"/>
              <w:spacing w:after="0"/>
              <w:ind w:left="360"/>
              <w:rPr>
                <w:sz w:val="22"/>
                <w:szCs w:val="18"/>
              </w:rPr>
            </w:pPr>
            <w:r w:rsidRPr="00867FC7">
              <w:rPr>
                <w:sz w:val="22"/>
                <w:szCs w:val="18"/>
              </w:rPr>
              <w:t>5% </w:t>
            </w:r>
          </w:p>
        </w:tc>
        <w:tc>
          <w:tcPr>
            <w:tcW w:w="1516"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867FC7" w:rsidR="00C15503" w:rsidP="006251D7" w:rsidRDefault="00C15503" w14:paraId="39F363A4" w14:textId="77777777">
            <w:pPr>
              <w:pStyle w:val="ListNum"/>
              <w:spacing w:after="0"/>
              <w:ind w:left="360"/>
              <w:rPr>
                <w:sz w:val="22"/>
                <w:szCs w:val="18"/>
              </w:rPr>
            </w:pPr>
            <w:r w:rsidRPr="00867FC7">
              <w:rPr>
                <w:sz w:val="22"/>
                <w:szCs w:val="18"/>
              </w:rPr>
              <w:t>15 months </w:t>
            </w:r>
          </w:p>
          <w:p w:rsidRPr="00867FC7" w:rsidR="00C15503" w:rsidP="006251D7" w:rsidRDefault="00C15503" w14:paraId="49424CE4" w14:textId="77777777">
            <w:pPr>
              <w:pStyle w:val="ListNum"/>
              <w:spacing w:after="0"/>
              <w:ind w:left="360"/>
              <w:rPr>
                <w:sz w:val="22"/>
                <w:szCs w:val="18"/>
              </w:rPr>
            </w:pPr>
            <w:r w:rsidRPr="00867FC7">
              <w:rPr>
                <w:sz w:val="22"/>
                <w:szCs w:val="18"/>
              </w:rPr>
              <w:t>(1 extension) </w:t>
            </w:r>
          </w:p>
        </w:tc>
        <w:tc>
          <w:tcPr>
            <w:tcW w:w="1461"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867FC7" w:rsidR="00C15503" w:rsidP="006251D7" w:rsidRDefault="00C15503" w14:paraId="2301FA84" w14:textId="77777777">
            <w:pPr>
              <w:pStyle w:val="ListNum"/>
              <w:spacing w:after="0"/>
              <w:ind w:left="360"/>
              <w:rPr>
                <w:sz w:val="22"/>
                <w:szCs w:val="18"/>
              </w:rPr>
            </w:pPr>
            <w:r w:rsidRPr="00867FC7">
              <w:rPr>
                <w:sz w:val="22"/>
                <w:szCs w:val="18"/>
              </w:rPr>
              <w:t>8% </w:t>
            </w:r>
          </w:p>
        </w:tc>
        <w:tc>
          <w:tcPr>
            <w:tcW w:w="130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867FC7" w:rsidR="00C15503" w:rsidP="006251D7" w:rsidRDefault="00C15503" w14:paraId="1DF46675" w14:textId="77777777">
            <w:pPr>
              <w:pStyle w:val="ListNum"/>
              <w:spacing w:after="0"/>
              <w:ind w:left="360"/>
              <w:rPr>
                <w:sz w:val="22"/>
                <w:szCs w:val="18"/>
              </w:rPr>
            </w:pPr>
            <w:r w:rsidRPr="00867FC7">
              <w:rPr>
                <w:sz w:val="22"/>
                <w:szCs w:val="18"/>
              </w:rPr>
              <w:t>30% </w:t>
            </w:r>
          </w:p>
        </w:tc>
        <w:tc>
          <w:tcPr>
            <w:tcW w:w="1196"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867FC7" w:rsidR="00C15503" w:rsidP="006251D7" w:rsidRDefault="00C15503" w14:paraId="02BFB5BA" w14:textId="77777777">
            <w:pPr>
              <w:pStyle w:val="ListNum"/>
              <w:spacing w:after="0"/>
              <w:ind w:left="360"/>
              <w:rPr>
                <w:sz w:val="22"/>
                <w:szCs w:val="18"/>
              </w:rPr>
            </w:pPr>
            <w:r w:rsidRPr="00867FC7">
              <w:rPr>
                <w:sz w:val="22"/>
                <w:szCs w:val="18"/>
              </w:rPr>
              <w:t>21426 </w:t>
            </w:r>
          </w:p>
        </w:tc>
      </w:tr>
      <w:tr w:rsidRPr="00325F09" w:rsidR="00055619" w:rsidTr="002E4D68" w14:paraId="57FE26E3" w14:textId="77777777">
        <w:trPr>
          <w:gridBefore w:val="1"/>
          <w:wBefore w:w="8" w:type="dxa"/>
          <w:trHeight w:val="555"/>
        </w:trPr>
        <w:tc>
          <w:tcPr>
            <w:tcW w:w="152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867FC7" w:rsidR="00C15503" w:rsidP="006251D7" w:rsidRDefault="00C15503" w14:paraId="3A87C4C0" w14:textId="43ED4101">
            <w:pPr>
              <w:pStyle w:val="ListNum"/>
              <w:spacing w:after="0"/>
              <w:ind w:left="360"/>
              <w:rPr>
                <w:sz w:val="22"/>
                <w:szCs w:val="18"/>
              </w:rPr>
            </w:pPr>
            <w:r w:rsidRPr="00867FC7">
              <w:rPr>
                <w:b/>
                <w:bCs/>
                <w:sz w:val="22"/>
                <w:szCs w:val="18"/>
              </w:rPr>
              <w:t>Res</w:t>
            </w:r>
            <w:r w:rsidRPr="00325F09">
              <w:rPr>
                <w:b/>
                <w:bCs/>
                <w:sz w:val="22"/>
                <w:szCs w:val="18"/>
              </w:rPr>
              <w:t xml:space="preserve">idential </w:t>
            </w:r>
            <w:r w:rsidRPr="00867FC7">
              <w:rPr>
                <w:b/>
                <w:bCs/>
                <w:sz w:val="22"/>
                <w:szCs w:val="18"/>
              </w:rPr>
              <w:t>General Market</w:t>
            </w:r>
            <w:r w:rsidRPr="00867FC7">
              <w:rPr>
                <w:sz w:val="22"/>
                <w:szCs w:val="18"/>
              </w:rPr>
              <w:t> </w:t>
            </w:r>
          </w:p>
        </w:tc>
        <w:tc>
          <w:tcPr>
            <w:tcW w:w="98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867FC7" w:rsidR="00C15503" w:rsidP="006251D7" w:rsidRDefault="00C15503" w14:paraId="0593CD99" w14:textId="77777777">
            <w:pPr>
              <w:pStyle w:val="ListNum"/>
              <w:spacing w:after="0"/>
              <w:ind w:left="360"/>
              <w:rPr>
                <w:sz w:val="22"/>
                <w:szCs w:val="18"/>
              </w:rPr>
            </w:pPr>
            <w:r w:rsidRPr="00867FC7">
              <w:rPr>
                <w:sz w:val="22"/>
                <w:szCs w:val="18"/>
              </w:rPr>
              <w:t>2957 </w:t>
            </w:r>
          </w:p>
        </w:tc>
        <w:tc>
          <w:tcPr>
            <w:tcW w:w="1361"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867FC7" w:rsidR="00C15503" w:rsidP="006251D7" w:rsidRDefault="00C15503" w14:paraId="124323E0" w14:textId="77777777">
            <w:pPr>
              <w:pStyle w:val="ListNum"/>
              <w:spacing w:after="0"/>
              <w:ind w:left="360"/>
              <w:rPr>
                <w:sz w:val="22"/>
                <w:szCs w:val="18"/>
              </w:rPr>
            </w:pPr>
            <w:r w:rsidRPr="00867FC7">
              <w:rPr>
                <w:sz w:val="22"/>
                <w:szCs w:val="18"/>
              </w:rPr>
              <w:t>3% </w:t>
            </w:r>
          </w:p>
        </w:tc>
        <w:tc>
          <w:tcPr>
            <w:tcW w:w="1516"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867FC7" w:rsidR="00C15503" w:rsidP="006251D7" w:rsidRDefault="00C15503" w14:paraId="34C4122E" w14:textId="6AC41F23">
            <w:pPr>
              <w:pStyle w:val="ListNum"/>
              <w:spacing w:after="0"/>
              <w:ind w:left="360"/>
              <w:rPr>
                <w:sz w:val="22"/>
                <w:szCs w:val="18"/>
              </w:rPr>
            </w:pPr>
            <w:r w:rsidRPr="00867FC7">
              <w:rPr>
                <w:sz w:val="22"/>
                <w:szCs w:val="18"/>
              </w:rPr>
              <w:t>9.6 months</w:t>
            </w:r>
            <w:r w:rsidR="00250432">
              <w:rPr>
                <w:sz w:val="22"/>
                <w:szCs w:val="18"/>
              </w:rPr>
              <w:t xml:space="preserve"> </w:t>
            </w:r>
          </w:p>
          <w:p w:rsidRPr="00867FC7" w:rsidR="00C15503" w:rsidP="006251D7" w:rsidRDefault="00C15503" w14:paraId="60FA4554" w14:textId="77777777">
            <w:pPr>
              <w:pStyle w:val="ListNum"/>
              <w:spacing w:after="0"/>
              <w:ind w:left="360"/>
              <w:rPr>
                <w:sz w:val="22"/>
                <w:szCs w:val="18"/>
              </w:rPr>
            </w:pPr>
            <w:r w:rsidRPr="00867FC7">
              <w:rPr>
                <w:sz w:val="22"/>
                <w:szCs w:val="18"/>
              </w:rPr>
              <w:t>(0 extensions) </w:t>
            </w:r>
          </w:p>
          <w:p w:rsidRPr="00867FC7" w:rsidR="00C15503" w:rsidP="006251D7" w:rsidRDefault="00C15503" w14:paraId="7C428074" w14:textId="77777777">
            <w:pPr>
              <w:pStyle w:val="ListNum"/>
              <w:spacing w:after="0"/>
              <w:ind w:left="360"/>
              <w:rPr>
                <w:sz w:val="22"/>
                <w:szCs w:val="18"/>
              </w:rPr>
            </w:pPr>
            <w:r w:rsidRPr="00867FC7">
              <w:rPr>
                <w:sz w:val="22"/>
                <w:szCs w:val="18"/>
              </w:rPr>
              <w:t> </w:t>
            </w:r>
          </w:p>
        </w:tc>
        <w:tc>
          <w:tcPr>
            <w:tcW w:w="1461"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867FC7" w:rsidR="00C15503" w:rsidP="006251D7" w:rsidRDefault="00C15503" w14:paraId="1E2455CA" w14:textId="77777777">
            <w:pPr>
              <w:pStyle w:val="ListNum"/>
              <w:spacing w:after="0"/>
              <w:ind w:left="360"/>
              <w:rPr>
                <w:sz w:val="22"/>
                <w:szCs w:val="18"/>
              </w:rPr>
            </w:pPr>
            <w:r w:rsidRPr="00867FC7">
              <w:rPr>
                <w:sz w:val="22"/>
                <w:szCs w:val="18"/>
              </w:rPr>
              <w:t>1% </w:t>
            </w:r>
          </w:p>
        </w:tc>
        <w:tc>
          <w:tcPr>
            <w:tcW w:w="130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867FC7" w:rsidR="00C15503" w:rsidP="006251D7" w:rsidRDefault="00C15503" w14:paraId="72FBD7AF" w14:textId="77777777">
            <w:pPr>
              <w:pStyle w:val="ListNum"/>
              <w:spacing w:after="0"/>
              <w:ind w:left="360"/>
              <w:rPr>
                <w:sz w:val="22"/>
                <w:szCs w:val="18"/>
              </w:rPr>
            </w:pPr>
            <w:r w:rsidRPr="00867FC7">
              <w:rPr>
                <w:sz w:val="22"/>
                <w:szCs w:val="18"/>
              </w:rPr>
              <w:t>27% </w:t>
            </w:r>
          </w:p>
        </w:tc>
        <w:tc>
          <w:tcPr>
            <w:tcW w:w="1196"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867FC7" w:rsidR="00C15503" w:rsidP="006251D7" w:rsidRDefault="00C15503" w14:paraId="669407DA" w14:textId="77777777">
            <w:pPr>
              <w:pStyle w:val="ListNum"/>
              <w:spacing w:after="0"/>
              <w:ind w:left="360"/>
              <w:rPr>
                <w:sz w:val="22"/>
                <w:szCs w:val="18"/>
              </w:rPr>
            </w:pPr>
            <w:r w:rsidRPr="00867FC7">
              <w:rPr>
                <w:sz w:val="22"/>
                <w:szCs w:val="18"/>
              </w:rPr>
              <w:t>40195 </w:t>
            </w:r>
          </w:p>
        </w:tc>
      </w:tr>
    </w:tbl>
    <w:p w:rsidR="00215C13" w:rsidP="00351994" w:rsidRDefault="00215C13" w14:paraId="70C336F7" w14:textId="77777777">
      <w:pPr>
        <w:pStyle w:val="ListNum"/>
        <w:tabs>
          <w:tab w:val="clear" w:pos="1080"/>
        </w:tabs>
        <w:ind w:left="360" w:firstLine="0"/>
      </w:pPr>
    </w:p>
    <w:p w:rsidR="00E01676" w:rsidP="1C67F429" w:rsidRDefault="631A8165" w14:paraId="6D3ECD14" w14:textId="64AA9423">
      <w:pPr>
        <w:pStyle w:val="ListNum"/>
        <w:tabs>
          <w:tab w:val="clear" w:pos="1080"/>
        </w:tabs>
        <w:spacing w:line="360" w:lineRule="auto"/>
        <w:ind w:left="0" w:firstLine="720"/>
      </w:pPr>
      <w:r>
        <w:t>During</w:t>
      </w:r>
      <w:r w:rsidR="18BE4F10">
        <w:t xml:space="preserve"> the COVID-19 </w:t>
      </w:r>
      <w:r w:rsidR="61D56D1B">
        <w:t>pandemic</w:t>
      </w:r>
      <w:r w:rsidR="00116D9D">
        <w:t>,</w:t>
      </w:r>
      <w:r w:rsidR="61D56D1B">
        <w:t xml:space="preserve"> SGIP projects were granted a </w:t>
      </w:r>
      <w:r w:rsidR="00116D9D">
        <w:t>‘</w:t>
      </w:r>
      <w:r w:rsidR="00E01676">
        <w:t>Stay on Cancellation</w:t>
      </w:r>
      <w:r w:rsidR="7B490B89">
        <w:t>.</w:t>
      </w:r>
      <w:r w:rsidR="00116D9D">
        <w:t>’</w:t>
      </w:r>
      <w:r w:rsidR="108A81A5">
        <w:t xml:space="preserve"> </w:t>
      </w:r>
      <w:r w:rsidR="2719AC92">
        <w:t>The</w:t>
      </w:r>
      <w:r w:rsidR="00E01676">
        <w:t xml:space="preserve"> Commission finds that the</w:t>
      </w:r>
      <w:r w:rsidR="5C6DF1C4">
        <w:t xml:space="preserve"> COVID-19 Stay on Cancellation</w:t>
      </w:r>
      <w:r w:rsidR="00E01676">
        <w:t xml:space="preserve"> was only intended </w:t>
      </w:r>
      <w:r w:rsidR="00703942">
        <w:t xml:space="preserve">for </w:t>
      </w:r>
      <w:r w:rsidR="001C3CBB">
        <w:t xml:space="preserve">a </w:t>
      </w:r>
      <w:r w:rsidR="00E01676">
        <w:t xml:space="preserve">project </w:t>
      </w:r>
      <w:r w:rsidRPr="001C3CBB" w:rsidR="001C3CBB">
        <w:t>that “was progressing in a timely manner prior to the COVID-19 pandemic.”</w:t>
      </w:r>
      <w:r w:rsidR="001C3CBB">
        <w:rPr>
          <w:rStyle w:val="FootnoteReference"/>
        </w:rPr>
        <w:footnoteReference w:id="46"/>
      </w:r>
      <w:r w:rsidRPr="001C3CBB" w:rsidR="001C3CBB">
        <w:t xml:space="preserve"> </w:t>
      </w:r>
      <w:r w:rsidR="00E15875">
        <w:t xml:space="preserve">Therefore, </w:t>
      </w:r>
      <w:r w:rsidR="00BA4496">
        <w:t xml:space="preserve">the SGIP PAs are directed to remove all </w:t>
      </w:r>
      <w:r w:rsidR="00BA4496">
        <w:lastRenderedPageBreak/>
        <w:t xml:space="preserve">references to the COVID-19 Stay on Cancellation from the current SGIP Handbook to </w:t>
      </w:r>
      <w:r w:rsidRPr="001C3CBB" w:rsidR="001C3CBB">
        <w:t>prevent applicant confusion.</w:t>
      </w:r>
      <w:r w:rsidR="00250432">
        <w:t xml:space="preserve"> </w:t>
      </w:r>
    </w:p>
    <w:p w:rsidR="00EF130F" w:rsidP="00F705D0" w:rsidRDefault="00EF130F" w14:paraId="021B3C08" w14:textId="2DC04EE8">
      <w:pPr>
        <w:pStyle w:val="Heading1"/>
        <w:numPr>
          <w:ilvl w:val="0"/>
          <w:numId w:val="46"/>
        </w:numPr>
        <w:ind w:left="720" w:hanging="720"/>
      </w:pPr>
      <w:bookmarkStart w:name="_Toc206771081" w:id="25"/>
      <w:r>
        <w:t>Other SGIP Program Modifications</w:t>
      </w:r>
      <w:bookmarkEnd w:id="25"/>
    </w:p>
    <w:p w:rsidR="008258B2" w:rsidP="00F705D0" w:rsidRDefault="00477538" w14:paraId="096BECFF" w14:textId="0FD10CCA">
      <w:pPr>
        <w:pStyle w:val="Heading3"/>
        <w:tabs>
          <w:tab w:val="clear" w:pos="1656"/>
          <w:tab w:val="num" w:pos="1080"/>
        </w:tabs>
        <w:ind w:left="1080" w:hanging="810"/>
      </w:pPr>
      <w:bookmarkStart w:name="_Toc206771082" w:id="26"/>
      <w:r>
        <w:t>4.1</w:t>
      </w:r>
      <w:r w:rsidR="00F705D0">
        <w:tab/>
      </w:r>
      <w:r w:rsidR="00955453">
        <w:t xml:space="preserve">Demand Response </w:t>
      </w:r>
      <w:r>
        <w:t>Requirement in the Residential Solar and Storage Equity</w:t>
      </w:r>
      <w:bookmarkEnd w:id="26"/>
    </w:p>
    <w:p w:rsidRPr="009D7F8B" w:rsidR="009D7F8B" w:rsidP="00F705D0" w:rsidRDefault="00055747" w14:paraId="035158AA" w14:textId="7E79B18A">
      <w:pPr>
        <w:pStyle w:val="Standard"/>
        <w:ind w:left="720" w:firstLine="0"/>
      </w:pPr>
      <w:r>
        <w:t>The current SGIP program</w:t>
      </w:r>
      <w:r w:rsidR="008F5C98">
        <w:t>,</w:t>
      </w:r>
      <w:r w:rsidR="00317C22">
        <w:t xml:space="preserve"> pursuant to </w:t>
      </w:r>
      <w:r w:rsidRPr="00B02B0E" w:rsidR="00B02B0E">
        <w:t xml:space="preserve">Decision (D.) 24-03-071 </w:t>
      </w:r>
    </w:p>
    <w:p w:rsidRPr="009D7F8B" w:rsidR="009D7F8B" w:rsidP="5CB08A8A" w:rsidRDefault="00B02B0E" w14:paraId="6D5AB199" w14:textId="3A411A81">
      <w:pPr>
        <w:pStyle w:val="Standard"/>
        <w:ind w:firstLine="0"/>
      </w:pPr>
      <w:r w:rsidRPr="00B02B0E">
        <w:t>require</w:t>
      </w:r>
      <w:r>
        <w:t>s</w:t>
      </w:r>
      <w:r w:rsidRPr="00B02B0E">
        <w:t xml:space="preserve"> that all Self-Generation Incentive Program (SGIP)-funded devices enroll in a Qualified Demand Response (DR) program</w:t>
      </w:r>
      <w:r>
        <w:t xml:space="preserve">. </w:t>
      </w:r>
      <w:r w:rsidR="334E8E05">
        <w:t xml:space="preserve">On July 7, </w:t>
      </w:r>
      <w:r w:rsidR="35C38E3D">
        <w:t>2025</w:t>
      </w:r>
      <w:r w:rsidR="334E8E05">
        <w:t xml:space="preserve">, the assigned Commissioner issued a ruling asking parties to comment </w:t>
      </w:r>
      <w:r w:rsidR="5B496601">
        <w:t>on whether the Commission should remove the DR requirement for all residential low-income customers applying to the RSS</w:t>
      </w:r>
      <w:r w:rsidR="06721DD4">
        <w:t>E budget.</w:t>
      </w:r>
      <w:r w:rsidRPr="0AD72574">
        <w:rPr>
          <w:rStyle w:val="FootnoteReference"/>
        </w:rPr>
        <w:footnoteReference w:id="47"/>
      </w:r>
      <w:r w:rsidR="00B2510F">
        <w:t xml:space="preserve"> </w:t>
      </w:r>
    </w:p>
    <w:p w:rsidR="000A0ACD" w:rsidP="00F705D0" w:rsidRDefault="00477538" w14:paraId="27F5598B" w14:textId="77C35D9A">
      <w:pPr>
        <w:pStyle w:val="Heading4"/>
        <w:tabs>
          <w:tab w:val="clear" w:pos="2232"/>
          <w:tab w:val="num" w:pos="1800"/>
        </w:tabs>
      </w:pPr>
      <w:bookmarkStart w:name="_Toc206771083" w:id="27"/>
      <w:r>
        <w:t>4.1.1</w:t>
      </w:r>
      <w:r w:rsidR="00F705D0">
        <w:tab/>
      </w:r>
      <w:r w:rsidR="06A45CE2">
        <w:t xml:space="preserve">Party </w:t>
      </w:r>
      <w:r w:rsidR="000A0ACD">
        <w:t>Comments</w:t>
      </w:r>
      <w:bookmarkEnd w:id="27"/>
    </w:p>
    <w:p w:rsidR="2042416E" w:rsidP="2042416E" w:rsidRDefault="02750A1B" w14:paraId="4806ABC7" w14:textId="2AC1AA83">
      <w:pPr>
        <w:pStyle w:val="Standard"/>
      </w:pPr>
      <w:r>
        <w:t xml:space="preserve">PG&amp;E’s comments of the Assigned Commissioner’s Ruling (ACR) </w:t>
      </w:r>
      <w:r w:rsidR="6989CC30">
        <w:t>recommended</w:t>
      </w:r>
      <w:r>
        <w:t xml:space="preserve"> that </w:t>
      </w:r>
      <w:r w:rsidR="048D24B8">
        <w:t xml:space="preserve">the Commission </w:t>
      </w:r>
      <w:r w:rsidRPr="0CE69135" w:rsidR="048D24B8">
        <w:t xml:space="preserve">should </w:t>
      </w:r>
      <w:r w:rsidRPr="4F9D662B" w:rsidR="048D24B8">
        <w:t>not</w:t>
      </w:r>
      <w:r w:rsidRPr="0CE69135" w:rsidR="048D24B8">
        <w:t xml:space="preserve"> remove the DR participation requirement for low-income RSSE participants, or for any SGIP battery incentive recipient, but </w:t>
      </w:r>
      <w:r w:rsidRPr="4F9D662B" w:rsidR="048D24B8">
        <w:t xml:space="preserve">that </w:t>
      </w:r>
      <w:r w:rsidR="0CABA299">
        <w:t>the Commission</w:t>
      </w:r>
      <w:r w:rsidRPr="0CE69135" w:rsidR="048D24B8">
        <w:t xml:space="preserve"> make th</w:t>
      </w:r>
      <w:r w:rsidR="0CABA299">
        <w:t>e</w:t>
      </w:r>
      <w:r w:rsidRPr="0CE69135" w:rsidR="048D24B8">
        <w:t xml:space="preserve"> requirement easier to meet</w:t>
      </w:r>
      <w:r w:rsidRPr="4F9D662B" w:rsidR="048D24B8">
        <w:t>.</w:t>
      </w:r>
      <w:r w:rsidRPr="12A55906" w:rsidR="562171D6">
        <w:rPr>
          <w:rStyle w:val="FootnoteReference"/>
        </w:rPr>
        <w:footnoteReference w:id="48"/>
      </w:r>
      <w:r w:rsidR="22EB3028">
        <w:t xml:space="preserve"> </w:t>
      </w:r>
      <w:r w:rsidR="00393DB3">
        <w:t>PG&amp;E’s comment</w:t>
      </w:r>
      <w:r w:rsidR="00064A3C">
        <w:t xml:space="preserve">ed </w:t>
      </w:r>
      <w:r w:rsidR="00393DB3">
        <w:t>that</w:t>
      </w:r>
      <w:r w:rsidR="00467963">
        <w:t xml:space="preserve"> </w:t>
      </w:r>
      <w:r w:rsidR="00064A3C">
        <w:t>it</w:t>
      </w:r>
      <w:r w:rsidR="00961F35">
        <w:t xml:space="preserve"> has recently expanded DR </w:t>
      </w:r>
      <w:r w:rsidR="008D52A7">
        <w:t>offerings through the</w:t>
      </w:r>
      <w:r w:rsidR="00467963">
        <w:t xml:space="preserve"> Automated Response Technology program</w:t>
      </w:r>
      <w:r w:rsidR="008D52A7">
        <w:t xml:space="preserve"> that is accessible to both bundled and unbundled PG&amp;E customers and was </w:t>
      </w:r>
      <w:r w:rsidR="00467963">
        <w:t xml:space="preserve">approved </w:t>
      </w:r>
      <w:r w:rsidR="00A12D01">
        <w:t xml:space="preserve">as a qualified DR program for SGIP </w:t>
      </w:r>
      <w:r w:rsidR="00FD772C">
        <w:t>on July 8, 2025</w:t>
      </w:r>
      <w:r w:rsidR="00961F35">
        <w:t>.</w:t>
      </w:r>
      <w:r w:rsidR="008D52A7">
        <w:rPr>
          <w:rStyle w:val="FootnoteReference"/>
        </w:rPr>
        <w:footnoteReference w:id="49"/>
      </w:r>
      <w:r w:rsidR="00393DB3">
        <w:t xml:space="preserve"> </w:t>
      </w:r>
      <w:r w:rsidR="70A10DDA">
        <w:t xml:space="preserve">Moreover, PG&amp;E’s comments asserted that </w:t>
      </w:r>
      <w:r w:rsidRPr="682F0F52" w:rsidR="70A10DDA">
        <w:t xml:space="preserve">if the Commission decides to ease the DR requirement in any way, it is more fairly eased for low-income participants of the current ratepayer-funded budgets rather than for RSSE participants, or it should be eased for all low-income </w:t>
      </w:r>
      <w:r w:rsidRPr="682F0F52" w:rsidR="70A10DDA">
        <w:lastRenderedPageBreak/>
        <w:t xml:space="preserve">participants but only while the challenge </w:t>
      </w:r>
      <w:r w:rsidR="00B50854">
        <w:t xml:space="preserve">with access to a qualified DR program </w:t>
      </w:r>
      <w:r w:rsidRPr="682F0F52" w:rsidR="70A10DDA">
        <w:t xml:space="preserve">is </w:t>
      </w:r>
      <w:r w:rsidRPr="682F0F52" w:rsidR="3193E5EE">
        <w:t>u</w:t>
      </w:r>
      <w:r w:rsidRPr="682F0F52" w:rsidR="5C8BFDED">
        <w:t>nresolved.</w:t>
      </w:r>
      <w:r w:rsidRPr="1C67F429" w:rsidR="562171D6">
        <w:rPr>
          <w:rStyle w:val="FootnoteReference"/>
        </w:rPr>
        <w:footnoteReference w:id="50"/>
      </w:r>
    </w:p>
    <w:p w:rsidR="58C5D902" w:rsidP="1C67F429" w:rsidRDefault="58C5D902" w14:paraId="3C43B43E" w14:textId="67E5E2D4">
      <w:r w:rsidRPr="00B7703C">
        <w:t>In contrast, SCE’s comments recommended that the Commission remove the DR enrollment requirement for RSSE participants and instead encourage participation only for customers with access to qualifying programs.</w:t>
      </w:r>
      <w:r w:rsidRPr="00B7703C">
        <w:rPr>
          <w:rStyle w:val="FootnoteReference"/>
        </w:rPr>
        <w:footnoteReference w:id="51"/>
      </w:r>
      <w:r w:rsidRPr="1C67F429" w:rsidR="345F33B1">
        <w:t xml:space="preserve"> </w:t>
      </w:r>
      <w:r w:rsidRPr="1C67F429" w:rsidR="4F3B1903">
        <w:t xml:space="preserve">CSE’s comments </w:t>
      </w:r>
      <w:r w:rsidRPr="763945AA" w:rsidR="4A2BAAE1">
        <w:rPr>
          <w:rFonts w:eastAsia="Book Antiqua" w:cs="Book Antiqua"/>
        </w:rPr>
        <w:t>encouraged the Commission to determine that DR program</w:t>
      </w:r>
    </w:p>
    <w:p w:rsidR="4A2BAAE1" w:rsidP="25252F40" w:rsidRDefault="652C0C36" w14:paraId="2FCC5A43" w14:textId="62B7370F">
      <w:pPr>
        <w:ind w:firstLine="0"/>
        <w:rPr>
          <w:rFonts w:eastAsia="Book Antiqua" w:cs="Book Antiqua"/>
        </w:rPr>
      </w:pPr>
      <w:r w:rsidRPr="25252F40">
        <w:rPr>
          <w:rFonts w:eastAsia="Book Antiqua" w:cs="Book Antiqua"/>
        </w:rPr>
        <w:t>participation should be optional in SGIP, rather than required, to allow SGIP participants to decide for themselves how best to operate their system.</w:t>
      </w:r>
      <w:r w:rsidRPr="25252F40" w:rsidR="4A2BAAE1">
        <w:rPr>
          <w:rStyle w:val="FootnoteReference"/>
          <w:rFonts w:eastAsia="Book Antiqua" w:cs="Book Antiqua"/>
        </w:rPr>
        <w:footnoteReference w:id="52"/>
      </w:r>
      <w:r w:rsidRPr="25252F40" w:rsidR="35A9B4A7">
        <w:rPr>
          <w:rFonts w:eastAsia="Book Antiqua" w:cs="Book Antiqua"/>
        </w:rPr>
        <w:t xml:space="preserve"> </w:t>
      </w:r>
      <w:r w:rsidRPr="25252F40" w:rsidR="18C74C6A">
        <w:rPr>
          <w:rFonts w:eastAsia="Book Antiqua" w:cs="Book Antiqua"/>
        </w:rPr>
        <w:t xml:space="preserve">The California Efficiency + Demand Management Council and Leap Frog Power Inc.’s comments </w:t>
      </w:r>
      <w:r w:rsidRPr="25252F40" w:rsidR="35A9B4A7">
        <w:rPr>
          <w:rFonts w:eastAsia="Book Antiqua" w:cs="Book Antiqua"/>
        </w:rPr>
        <w:t>recommended that the Commission retain the DR participation requirement for all SGIP participants but only if all CCA load modifying and supply side DR programs, third-party RA contracts, and all CEC DR programs</w:t>
      </w:r>
      <w:r w:rsidRPr="7E9CACF8" w:rsidR="1D9BB9B5">
        <w:rPr>
          <w:rFonts w:eastAsia="Book Antiqua" w:cs="Book Antiqua"/>
        </w:rPr>
        <w:t xml:space="preserve"> are approved to be qualified DR programs</w:t>
      </w:r>
      <w:r w:rsidRPr="25252F40" w:rsidR="35A9B4A7">
        <w:rPr>
          <w:rFonts w:eastAsia="Book Antiqua" w:cs="Book Antiqua"/>
        </w:rPr>
        <w:t>.</w:t>
      </w:r>
      <w:r w:rsidRPr="25252F40" w:rsidR="4A2BAAE1">
        <w:rPr>
          <w:rStyle w:val="FootnoteReference"/>
          <w:rFonts w:eastAsia="Book Antiqua" w:cs="Book Antiqua"/>
        </w:rPr>
        <w:footnoteReference w:id="53"/>
      </w:r>
      <w:r w:rsidRPr="25252F40" w:rsidR="35A9B4A7">
        <w:rPr>
          <w:rFonts w:eastAsia="Book Antiqua" w:cs="Book Antiqua"/>
        </w:rPr>
        <w:t xml:space="preserve"> </w:t>
      </w:r>
      <w:r w:rsidRPr="00970054" w:rsidR="4A0B0EC7">
        <w:rPr>
          <w:rFonts w:eastAsia="Book Antiqua" w:cs="Book Antiqua"/>
        </w:rPr>
        <w:t xml:space="preserve">In their comments the </w:t>
      </w:r>
      <w:r w:rsidRPr="00970054" w:rsidR="66725CD2">
        <w:rPr>
          <w:rFonts w:eastAsia="Book Antiqua" w:cs="Book Antiqua"/>
        </w:rPr>
        <w:t>California Solar &amp; Storage Association</w:t>
      </w:r>
      <w:r w:rsidRPr="00970054" w:rsidR="4A0B0EC7">
        <w:rPr>
          <w:rFonts w:eastAsia="Book Antiqua" w:cs="Book Antiqua"/>
        </w:rPr>
        <w:t xml:space="preserve"> argued that the Commission should remove this requirement for all SGIP projects, not just for low-income customers.</w:t>
      </w:r>
      <w:r w:rsidRPr="00970054" w:rsidR="4A2BAAE1">
        <w:rPr>
          <w:rStyle w:val="FootnoteReference"/>
          <w:rFonts w:eastAsia="Book Antiqua" w:cs="Book Antiqua"/>
        </w:rPr>
        <w:footnoteReference w:id="54"/>
      </w:r>
      <w:r w:rsidR="00250432">
        <w:rPr>
          <w:rFonts w:eastAsia="Book Antiqua" w:cs="Book Antiqua"/>
        </w:rPr>
        <w:t xml:space="preserve"> </w:t>
      </w:r>
      <w:r w:rsidRPr="7E9CACF8" w:rsidR="6E53F7EE">
        <w:rPr>
          <w:rFonts w:eastAsia="Book Antiqua" w:cs="Book Antiqua"/>
        </w:rPr>
        <w:t>The Joint CCAs’ comments recommended removing the requirement for all low-income cu</w:t>
      </w:r>
      <w:r w:rsidRPr="7E9CACF8" w:rsidR="0413E669">
        <w:rPr>
          <w:rFonts w:eastAsia="Book Antiqua" w:cs="Book Antiqua"/>
        </w:rPr>
        <w:t>s</w:t>
      </w:r>
      <w:r w:rsidRPr="7E9CACF8" w:rsidR="6E53F7EE">
        <w:rPr>
          <w:rFonts w:eastAsia="Book Antiqua" w:cs="Book Antiqua"/>
        </w:rPr>
        <w:t>tomers and</w:t>
      </w:r>
      <w:r w:rsidRPr="7E9CACF8" w:rsidR="441CD081">
        <w:rPr>
          <w:rFonts w:eastAsia="Book Antiqua" w:cs="Book Antiqua"/>
        </w:rPr>
        <w:t xml:space="preserve"> </w:t>
      </w:r>
      <w:r w:rsidRPr="7E9CACF8" w:rsidR="7A05EEFD">
        <w:rPr>
          <w:rFonts w:eastAsia="Book Antiqua" w:cs="Book Antiqua"/>
        </w:rPr>
        <w:t>supported removing the requirement for all residential customers until all residential customers have access to a qualified DR program.</w:t>
      </w:r>
      <w:r w:rsidRPr="0AD72574" w:rsidR="7F76C35D">
        <w:rPr>
          <w:rStyle w:val="FootnoteReference"/>
          <w:rFonts w:eastAsia="Book Antiqua" w:cs="Book Antiqua"/>
        </w:rPr>
        <w:footnoteReference w:id="55"/>
      </w:r>
      <w:r w:rsidRPr="7E9CACF8" w:rsidR="7A05EEFD">
        <w:rPr>
          <w:rFonts w:eastAsia="Book Antiqua" w:cs="Book Antiqua"/>
        </w:rPr>
        <w:t xml:space="preserve"> </w:t>
      </w:r>
      <w:r w:rsidRPr="25252F40" w:rsidR="3F55451D">
        <w:rPr>
          <w:rFonts w:eastAsia="Book Antiqua" w:cs="Book Antiqua"/>
        </w:rPr>
        <w:t xml:space="preserve">Vote </w:t>
      </w:r>
      <w:r w:rsidRPr="25252F40" w:rsidR="3F55451D">
        <w:rPr>
          <w:rFonts w:eastAsia="Book Antiqua" w:cs="Book Antiqua"/>
        </w:rPr>
        <w:lastRenderedPageBreak/>
        <w:t xml:space="preserve">Solar, </w:t>
      </w:r>
      <w:r w:rsidRPr="25252F40" w:rsidR="217D68CB">
        <w:rPr>
          <w:rFonts w:eastAsia="Book Antiqua" w:cs="Book Antiqua"/>
        </w:rPr>
        <w:t xml:space="preserve">SDG&amp;E’s </w:t>
      </w:r>
      <w:r w:rsidRPr="25252F40" w:rsidR="61365C6A">
        <w:rPr>
          <w:rFonts w:eastAsia="Book Antiqua" w:cs="Book Antiqua"/>
        </w:rPr>
        <w:t xml:space="preserve">and GRID’s </w:t>
      </w:r>
      <w:r w:rsidRPr="25252F40" w:rsidR="217D68CB">
        <w:rPr>
          <w:rFonts w:eastAsia="Book Antiqua" w:cs="Book Antiqua"/>
        </w:rPr>
        <w:t>comments supported removing the DR requirement for the residential low-income customers applying to the R</w:t>
      </w:r>
      <w:r w:rsidRPr="25252F40" w:rsidR="5EF091BD">
        <w:rPr>
          <w:rFonts w:eastAsia="Book Antiqua" w:cs="Book Antiqua"/>
        </w:rPr>
        <w:t>SSE</w:t>
      </w:r>
      <w:r w:rsidRPr="25252F40" w:rsidR="217D68CB">
        <w:rPr>
          <w:rFonts w:eastAsia="Book Antiqua" w:cs="Book Antiqua"/>
        </w:rPr>
        <w:t>.</w:t>
      </w:r>
      <w:r w:rsidRPr="25252F40" w:rsidR="4A2BAAE1">
        <w:rPr>
          <w:rStyle w:val="FootnoteReference"/>
          <w:rFonts w:eastAsia="Book Antiqua" w:cs="Book Antiqua"/>
        </w:rPr>
        <w:footnoteReference w:id="56"/>
      </w:r>
      <w:r w:rsidRPr="25252F40" w:rsidR="63209E35">
        <w:rPr>
          <w:rFonts w:eastAsia="Book Antiqua" w:cs="Book Antiqua"/>
        </w:rPr>
        <w:t xml:space="preserve"> </w:t>
      </w:r>
      <w:r w:rsidRPr="25252F40" w:rsidR="060B19FC">
        <w:rPr>
          <w:rFonts w:eastAsia="Book Antiqua" w:cs="Book Antiqua"/>
        </w:rPr>
        <w:t>S</w:t>
      </w:r>
      <w:r w:rsidRPr="7E9CACF8" w:rsidR="670FEA5C">
        <w:rPr>
          <w:rFonts w:eastAsia="Book Antiqua" w:cs="Book Antiqua"/>
        </w:rPr>
        <w:t>o</w:t>
      </w:r>
      <w:r w:rsidRPr="25252F40" w:rsidR="060B19FC">
        <w:rPr>
          <w:rFonts w:eastAsia="Book Antiqua" w:cs="Book Antiqua"/>
        </w:rPr>
        <w:t>C</w:t>
      </w:r>
      <w:r w:rsidRPr="7E9CACF8" w:rsidR="5E285B2B">
        <w:rPr>
          <w:rFonts w:eastAsia="Book Antiqua" w:cs="Book Antiqua"/>
        </w:rPr>
        <w:t>al</w:t>
      </w:r>
      <w:r w:rsidRPr="25252F40" w:rsidR="060B19FC">
        <w:rPr>
          <w:rFonts w:eastAsia="Book Antiqua" w:cs="Book Antiqua"/>
        </w:rPr>
        <w:t>G</w:t>
      </w:r>
      <w:r w:rsidRPr="7E9CACF8" w:rsidR="715446E9">
        <w:rPr>
          <w:rFonts w:eastAsia="Book Antiqua" w:cs="Book Antiqua"/>
        </w:rPr>
        <w:t>as</w:t>
      </w:r>
      <w:r w:rsidRPr="25252F40" w:rsidR="060B19FC">
        <w:rPr>
          <w:rFonts w:eastAsia="Book Antiqua" w:cs="Book Antiqua"/>
        </w:rPr>
        <w:t>’s</w:t>
      </w:r>
      <w:r w:rsidRPr="25252F40" w:rsidR="63209E35">
        <w:rPr>
          <w:rFonts w:eastAsia="Book Antiqua" w:cs="Book Antiqua"/>
        </w:rPr>
        <w:t xml:space="preserve"> comments recommended modifying the DR requirement to expand</w:t>
      </w:r>
      <w:r w:rsidRPr="25252F40" w:rsidR="0F103E3A">
        <w:rPr>
          <w:rFonts w:eastAsia="Book Antiqua" w:cs="Book Antiqua"/>
        </w:rPr>
        <w:t xml:space="preserve"> the requirement</w:t>
      </w:r>
      <w:r w:rsidRPr="25252F40" w:rsidR="63209E35">
        <w:rPr>
          <w:rFonts w:eastAsia="Book Antiqua" w:cs="Book Antiqua"/>
        </w:rPr>
        <w:t xml:space="preserve"> exemption to include all residential low-income customers applying to the RSSE and </w:t>
      </w:r>
      <w:r w:rsidRPr="25252F40" w:rsidR="6912CD61">
        <w:rPr>
          <w:rFonts w:eastAsia="Book Antiqua" w:cs="Book Antiqua"/>
        </w:rPr>
        <w:t>other low-income host customers</w:t>
      </w:r>
      <w:r w:rsidRPr="25252F40" w:rsidR="63209E35">
        <w:rPr>
          <w:rFonts w:eastAsia="Book Antiqua" w:cs="Book Antiqua"/>
        </w:rPr>
        <w:t xml:space="preserve"> when a DR program is unavailable</w:t>
      </w:r>
      <w:r w:rsidRPr="25252F40" w:rsidR="5B3AB233">
        <w:rPr>
          <w:rFonts w:eastAsia="Book Antiqua" w:cs="Book Antiqua"/>
        </w:rPr>
        <w:t>.</w:t>
      </w:r>
      <w:r w:rsidRPr="25252F40" w:rsidR="4A2BAAE1">
        <w:rPr>
          <w:rStyle w:val="FootnoteReference"/>
          <w:rFonts w:eastAsia="Book Antiqua" w:cs="Book Antiqua"/>
        </w:rPr>
        <w:footnoteReference w:id="57"/>
      </w:r>
    </w:p>
    <w:p w:rsidR="000A0ACD" w:rsidP="00F705D0" w:rsidRDefault="00477538" w14:paraId="0A78EE22" w14:textId="773E46DC">
      <w:pPr>
        <w:pStyle w:val="Heading4"/>
        <w:tabs>
          <w:tab w:val="clear" w:pos="2232"/>
          <w:tab w:val="num" w:pos="1800"/>
        </w:tabs>
      </w:pPr>
      <w:bookmarkStart w:name="_Toc206771084" w:id="28"/>
      <w:r>
        <w:t>4.1.2</w:t>
      </w:r>
      <w:r w:rsidR="00F705D0">
        <w:tab/>
      </w:r>
      <w:r w:rsidR="000A0ACD">
        <w:t>Discussion and Analysis</w:t>
      </w:r>
      <w:bookmarkEnd w:id="28"/>
    </w:p>
    <w:p w:rsidRPr="00B70E72" w:rsidR="45A8D9B9" w:rsidP="1C67F429" w:rsidRDefault="683E758D" w14:paraId="181B1A60" w14:textId="2915C635">
      <w:pPr>
        <w:pStyle w:val="Standard"/>
      </w:pPr>
      <w:r w:rsidRPr="00B70E72">
        <w:t>The Commission, a</w:t>
      </w:r>
      <w:r w:rsidRPr="00B70E72" w:rsidR="538A9524">
        <w:t>fter reviewing party comments</w:t>
      </w:r>
      <w:r w:rsidRPr="00B70E72" w:rsidR="00761CA9">
        <w:t>,</w:t>
      </w:r>
      <w:r w:rsidRPr="00B70E72" w:rsidR="528F437E">
        <w:t xml:space="preserve"> supports granting an exemption</w:t>
      </w:r>
      <w:r w:rsidRPr="00B70E72" w:rsidDel="007441D3" w:rsidR="528F437E">
        <w:t xml:space="preserve"> </w:t>
      </w:r>
      <w:r w:rsidRPr="00B70E72" w:rsidR="528F437E">
        <w:t xml:space="preserve">to </w:t>
      </w:r>
      <w:r w:rsidRPr="00B70E72" w:rsidR="00282D1A">
        <w:t xml:space="preserve">the requirement to </w:t>
      </w:r>
      <w:r w:rsidRPr="00B70E72" w:rsidR="4B143EC9">
        <w:t>participat</w:t>
      </w:r>
      <w:r w:rsidRPr="00B70E72" w:rsidR="00282D1A">
        <w:t>e</w:t>
      </w:r>
      <w:r w:rsidRPr="00B70E72" w:rsidR="4B143EC9">
        <w:t xml:space="preserve"> in a qualifying DR program </w:t>
      </w:r>
      <w:r w:rsidRPr="00B70E72" w:rsidR="007441D3">
        <w:t xml:space="preserve">for all residential low-income customers applying to </w:t>
      </w:r>
      <w:r w:rsidRPr="00B70E72" w:rsidR="00F847F1">
        <w:t>the</w:t>
      </w:r>
      <w:r w:rsidRPr="00B70E72" w:rsidR="007441D3">
        <w:t xml:space="preserve"> RSSE</w:t>
      </w:r>
      <w:r w:rsidRPr="00B70E72" w:rsidR="00C54612">
        <w:t xml:space="preserve"> budget</w:t>
      </w:r>
      <w:r w:rsidRPr="00B70E72" w:rsidR="00CD32A4">
        <w:t>.</w:t>
      </w:r>
      <w:r w:rsidRPr="00B70E72" w:rsidR="00282D1A">
        <w:t xml:space="preserve"> </w:t>
      </w:r>
      <w:r w:rsidR="003D1F16">
        <w:t>The exemption applies to all RSSE applications that have already been submitted as well as to all new RSSE applications</w:t>
      </w:r>
      <w:r w:rsidR="00DF5256">
        <w:t>. This includes applications submitted when the budget category was</w:t>
      </w:r>
      <w:r w:rsidR="00C70118">
        <w:t xml:space="preserve"> formerly called Residential Storage Equity.</w:t>
      </w:r>
    </w:p>
    <w:p w:rsidR="0032169B" w:rsidP="00A57C2A" w:rsidRDefault="0032169B" w14:paraId="3F3DD285" w14:textId="5552D924">
      <w:pPr>
        <w:pStyle w:val="Standard"/>
      </w:pPr>
      <w:r w:rsidRPr="00B70E72">
        <w:t xml:space="preserve">The </w:t>
      </w:r>
      <w:r w:rsidRPr="00B70E72" w:rsidR="0004367B">
        <w:t>ACR</w:t>
      </w:r>
      <w:r w:rsidRPr="00B70E72">
        <w:t xml:space="preserve"> included mention of several advice letters </w:t>
      </w:r>
      <w:r w:rsidRPr="00B70E72" w:rsidR="00A838F1">
        <w:t xml:space="preserve">that </w:t>
      </w:r>
      <w:r w:rsidRPr="00B70E72">
        <w:t>proposed</w:t>
      </w:r>
      <w:r w:rsidRPr="0049448F">
        <w:t xml:space="preserve"> CCA and IOU DR programs to be considered </w:t>
      </w:r>
      <w:r w:rsidRPr="0049448F" w:rsidR="008A3D47">
        <w:t>for qualified DR programs in SGIP.</w:t>
      </w:r>
      <w:r w:rsidRPr="0049448F" w:rsidR="008A3D47">
        <w:rPr>
          <w:rStyle w:val="FootnoteReference"/>
        </w:rPr>
        <w:footnoteReference w:id="58"/>
      </w:r>
      <w:r w:rsidRPr="0049448F" w:rsidR="00015A66">
        <w:t xml:space="preserve"> </w:t>
      </w:r>
      <w:r w:rsidRPr="0049448F" w:rsidR="0051081F">
        <w:t xml:space="preserve">PG&amp;E </w:t>
      </w:r>
      <w:r w:rsidRPr="0049448F" w:rsidR="00611F91">
        <w:t>advice letter (</w:t>
      </w:r>
      <w:r w:rsidRPr="0049448F" w:rsidR="0051081F">
        <w:t>AL</w:t>
      </w:r>
      <w:r w:rsidRPr="0049448F" w:rsidR="00611F91">
        <w:t>)</w:t>
      </w:r>
      <w:r w:rsidRPr="0049448F" w:rsidR="0051081F">
        <w:t xml:space="preserve"> 7577-E, which proposed </w:t>
      </w:r>
      <w:r w:rsidRPr="0049448F" w:rsidR="009C1227">
        <w:t xml:space="preserve">the PG&amp;E </w:t>
      </w:r>
      <w:r w:rsidRPr="0049448F" w:rsidR="00651809">
        <w:t>Automated</w:t>
      </w:r>
      <w:r w:rsidRPr="0049448F" w:rsidR="009C1227">
        <w:t xml:space="preserve"> Response Technology</w:t>
      </w:r>
      <w:r w:rsidRPr="0049448F" w:rsidR="00A76352">
        <w:t xml:space="preserve"> (ART)</w:t>
      </w:r>
      <w:r w:rsidRPr="0049448F" w:rsidR="009C1227">
        <w:t xml:space="preserve"> program </w:t>
      </w:r>
      <w:r w:rsidRPr="0049448F" w:rsidR="000D040B">
        <w:t>that is open to PG&amp;E bundled and unbundled</w:t>
      </w:r>
      <w:r w:rsidRPr="0049448F" w:rsidR="00651809">
        <w:t>, was approved on July 7, 2025.</w:t>
      </w:r>
      <w:r w:rsidRPr="0049448F" w:rsidR="00752B0D">
        <w:t xml:space="preserve"> PG&amp;E AL 7486-E, SCE AL 5491-E, SCE AL 5500-E,</w:t>
      </w:r>
      <w:r w:rsidRPr="0049448F" w:rsidR="00B60247">
        <w:t xml:space="preserve"> and</w:t>
      </w:r>
      <w:r w:rsidRPr="0049448F" w:rsidR="00752B0D">
        <w:t xml:space="preserve"> PCE AL 41-E</w:t>
      </w:r>
      <w:r w:rsidRPr="0049448F" w:rsidR="00214589">
        <w:t>; which proposed CCA DR programs</w:t>
      </w:r>
      <w:r w:rsidRPr="0049448F" w:rsidR="00434C56">
        <w:t>;</w:t>
      </w:r>
      <w:r w:rsidRPr="0049448F" w:rsidR="00214589">
        <w:t xml:space="preserve"> were rejected for not meeting the D</w:t>
      </w:r>
      <w:r w:rsidRPr="0049448F" w:rsidR="00443B12">
        <w:t>.23-1</w:t>
      </w:r>
      <w:r w:rsidRPr="0049448F" w:rsidR="004A0935">
        <w:t>2</w:t>
      </w:r>
      <w:r w:rsidRPr="0049448F" w:rsidR="00443B12">
        <w:t>-</w:t>
      </w:r>
      <w:r w:rsidRPr="0049448F" w:rsidR="00133715">
        <w:t>005</w:t>
      </w:r>
      <w:r w:rsidRPr="0049448F" w:rsidR="00443B12">
        <w:t xml:space="preserve"> criteria for qualified DR programs.</w:t>
      </w:r>
      <w:r w:rsidRPr="0049448F" w:rsidR="00250432">
        <w:t xml:space="preserve"> </w:t>
      </w:r>
      <w:r w:rsidRPr="0049448F" w:rsidR="00B479BB">
        <w:t>PG&amp;E AL 7458-E, which propose</w:t>
      </w:r>
      <w:r w:rsidRPr="0049448F" w:rsidR="005A5630">
        <w:t>d</w:t>
      </w:r>
      <w:r w:rsidRPr="0049448F" w:rsidR="00B479BB">
        <w:t xml:space="preserve"> that PG&amp;E act as an aggregator in CBP for both residential bundled and unbundled customers</w:t>
      </w:r>
      <w:r w:rsidRPr="0049448F" w:rsidR="0082704E">
        <w:t xml:space="preserve">; </w:t>
      </w:r>
      <w:r w:rsidRPr="0049448F" w:rsidR="000F25FF">
        <w:t xml:space="preserve">SDG&amp;E AL 4569-E, </w:t>
      </w:r>
      <w:r w:rsidRPr="0049448F" w:rsidR="005A5630">
        <w:t xml:space="preserve">which </w:t>
      </w:r>
      <w:r w:rsidRPr="0049448F" w:rsidR="005A5630">
        <w:lastRenderedPageBreak/>
        <w:t xml:space="preserve">proposed </w:t>
      </w:r>
      <w:r w:rsidRPr="0049448F" w:rsidR="000F25FF">
        <w:t>to expand the CBP to all bundled and unbundled residential customers through an aggregator;</w:t>
      </w:r>
      <w:r w:rsidRPr="0049448F" w:rsidR="00B60247">
        <w:t xml:space="preserve"> and CSE AL 165-E and CEA AL 12-E, </w:t>
      </w:r>
      <w:r w:rsidRPr="0049448F" w:rsidR="005A5630">
        <w:t xml:space="preserve">which </w:t>
      </w:r>
      <w:r w:rsidRPr="0049448F" w:rsidR="00B60247">
        <w:t>propo</w:t>
      </w:r>
      <w:r w:rsidRPr="0049448F" w:rsidR="005A5630">
        <w:t>sed</w:t>
      </w:r>
      <w:r w:rsidRPr="0049448F" w:rsidR="00B60247">
        <w:t xml:space="preserve"> CCA DR programs</w:t>
      </w:r>
      <w:r w:rsidRPr="0049448F" w:rsidR="00B479BB">
        <w:t xml:space="preserve"> </w:t>
      </w:r>
      <w:r w:rsidRPr="0049448F" w:rsidR="00752B79">
        <w:t xml:space="preserve">are </w:t>
      </w:r>
      <w:r w:rsidRPr="0049448F" w:rsidR="00B479BB">
        <w:t xml:space="preserve">still </w:t>
      </w:r>
      <w:r w:rsidRPr="0049448F" w:rsidR="0082704E">
        <w:t xml:space="preserve">suspended. </w:t>
      </w:r>
      <w:r w:rsidRPr="0049448F" w:rsidR="00AB2E05">
        <w:t>Due to these recent developments, the</w:t>
      </w:r>
      <w:r w:rsidRPr="0049448F" w:rsidR="001A6F37">
        <w:t xml:space="preserve"> Commission finds </w:t>
      </w:r>
      <w:r w:rsidRPr="0049448F" w:rsidR="00AB2E05">
        <w:t xml:space="preserve">that </w:t>
      </w:r>
      <w:r w:rsidRPr="0049448F" w:rsidR="00116200">
        <w:t xml:space="preserve">PG&amp;E </w:t>
      </w:r>
      <w:r w:rsidRPr="0049448F" w:rsidR="00312C7A">
        <w:t xml:space="preserve">bundled and unbundled </w:t>
      </w:r>
      <w:r w:rsidRPr="0049448F" w:rsidR="00E352AC">
        <w:t xml:space="preserve">residential </w:t>
      </w:r>
      <w:r w:rsidRPr="0049448F" w:rsidR="00312C7A">
        <w:t xml:space="preserve">customers can access the </w:t>
      </w:r>
      <w:r w:rsidRPr="0049448F" w:rsidR="00A76352">
        <w:t>ART</w:t>
      </w:r>
      <w:r w:rsidRPr="0049448F" w:rsidR="00880100">
        <w:t xml:space="preserve"> directly or the Capacity Bidding Program (CBP) through an aggregator; all SCE bundled and unbundled </w:t>
      </w:r>
      <w:r w:rsidRPr="0049448F" w:rsidR="00E352AC">
        <w:t xml:space="preserve">residential </w:t>
      </w:r>
      <w:r w:rsidRPr="0049448F" w:rsidR="00880100">
        <w:t xml:space="preserve">customers can access the CBP through an aggregator; and all SDG&amp;E </w:t>
      </w:r>
      <w:r w:rsidRPr="0049448F" w:rsidR="00922B88">
        <w:t xml:space="preserve">bundled </w:t>
      </w:r>
      <w:r w:rsidRPr="0049448F" w:rsidR="00E352AC">
        <w:t xml:space="preserve">residential </w:t>
      </w:r>
      <w:r w:rsidRPr="0049448F" w:rsidR="00922B88">
        <w:t xml:space="preserve">customers can access the </w:t>
      </w:r>
      <w:r w:rsidR="00EB5799">
        <w:t xml:space="preserve">TOU Plus Pricing Plan </w:t>
      </w:r>
      <w:r w:rsidRPr="0049448F" w:rsidR="00BB3463">
        <w:t xml:space="preserve">rate. The Commission finds that SDG&amp;E unbundled </w:t>
      </w:r>
      <w:r w:rsidRPr="0049448F" w:rsidR="00B23824">
        <w:t>residential</w:t>
      </w:r>
      <w:r w:rsidRPr="0049448F" w:rsidR="00BB3463">
        <w:t xml:space="preserve"> customers </w:t>
      </w:r>
      <w:r w:rsidR="00A62468">
        <w:t xml:space="preserve">do not </w:t>
      </w:r>
      <w:r w:rsidRPr="0049448F" w:rsidR="00BB3463">
        <w:t xml:space="preserve">have access to </w:t>
      </w:r>
      <w:r w:rsidR="00A62468">
        <w:t>a</w:t>
      </w:r>
      <w:r w:rsidRPr="0049448F" w:rsidR="00BB3463">
        <w:t xml:space="preserve"> qualified DR program at this time.</w:t>
      </w:r>
      <w:r w:rsidR="00D50987">
        <w:t xml:space="preserve"> </w:t>
      </w:r>
    </w:p>
    <w:p w:rsidRPr="00B70E72" w:rsidR="009411FB" w:rsidP="006068B0" w:rsidRDefault="00F57CAD" w14:paraId="1DD74824" w14:textId="77777777">
      <w:pPr>
        <w:pStyle w:val="Standard"/>
      </w:pPr>
      <w:r>
        <w:t xml:space="preserve">As </w:t>
      </w:r>
      <w:r w:rsidR="00C56807">
        <w:t xml:space="preserve">the RSSE </w:t>
      </w:r>
      <w:r w:rsidR="00F773F0">
        <w:t xml:space="preserve">is meant to be accessible to all </w:t>
      </w:r>
      <w:r w:rsidR="0092776F">
        <w:t xml:space="preserve">low-income </w:t>
      </w:r>
      <w:r w:rsidR="00F773F0">
        <w:t>customers across the state,</w:t>
      </w:r>
      <w:r w:rsidR="0092776F">
        <w:t xml:space="preserve"> the Commission finds it unreasonable to expect </w:t>
      </w:r>
      <w:r w:rsidR="00804C36">
        <w:t>these low-income</w:t>
      </w:r>
      <w:r w:rsidR="00090F7E">
        <w:t xml:space="preserve"> customers to </w:t>
      </w:r>
      <w:r w:rsidR="00127357">
        <w:t>not be able to progress from SGIP RRF to inc</w:t>
      </w:r>
      <w:r w:rsidR="002F2142">
        <w:t xml:space="preserve">entive </w:t>
      </w:r>
      <w:r w:rsidR="00127357">
        <w:t xml:space="preserve">payment </w:t>
      </w:r>
      <w:r w:rsidR="007F1AAC">
        <w:t xml:space="preserve">due to the current lack of qualified DR in some territories. </w:t>
      </w:r>
      <w:r w:rsidR="000822A1">
        <w:t xml:space="preserve">In supporting this exemption, the Commission agrees with SCE’s comments that it </w:t>
      </w:r>
      <w:r w:rsidRPr="1C67F429" w:rsidR="000822A1">
        <w:t xml:space="preserve">reduces participation barriers for </w:t>
      </w:r>
      <w:r w:rsidR="000822A1">
        <w:t xml:space="preserve">the RSSE </w:t>
      </w:r>
      <w:r w:rsidRPr="1C67F429" w:rsidR="000822A1">
        <w:t xml:space="preserve">low-income SGIP customers and maintains </w:t>
      </w:r>
      <w:r w:rsidR="000822A1">
        <w:t xml:space="preserve">several of </w:t>
      </w:r>
      <w:r w:rsidRPr="1C67F429" w:rsidR="000822A1">
        <w:t>the grid and climate benefits already built into SGIP. In addition, as SCG’s comments mentioned</w:t>
      </w:r>
      <w:r w:rsidR="000822A1">
        <w:t>,</w:t>
      </w:r>
      <w:r w:rsidRPr="1C67F429" w:rsidR="000822A1">
        <w:t xml:space="preserve"> removing the DR requirement for </w:t>
      </w:r>
      <w:r w:rsidR="000822A1">
        <w:t>RSSE</w:t>
      </w:r>
      <w:r w:rsidRPr="1C67F429" w:rsidR="000822A1">
        <w:t xml:space="preserve"> low-income customers where there is no </w:t>
      </w:r>
      <w:r w:rsidRPr="00B70E72" w:rsidR="000822A1">
        <w:t>qualified DR program may help increase low-income participation in SGIP, which is in alignment with the intent of AB 209.</w:t>
      </w:r>
      <w:r w:rsidRPr="00B70E72" w:rsidR="000822A1">
        <w:rPr>
          <w:rStyle w:val="FootnoteReference"/>
        </w:rPr>
        <w:footnoteReference w:id="59"/>
      </w:r>
      <w:r w:rsidRPr="00B70E72" w:rsidR="00481D02">
        <w:t xml:space="preserve"> </w:t>
      </w:r>
    </w:p>
    <w:p w:rsidR="00F57CAD" w:rsidP="006068B0" w:rsidRDefault="00481D02" w14:paraId="4065FA86" w14:textId="55E7C49C">
      <w:pPr>
        <w:pStyle w:val="Standard"/>
      </w:pPr>
      <w:r w:rsidRPr="00B70E72">
        <w:t xml:space="preserve">Lastly, </w:t>
      </w:r>
      <w:r w:rsidRPr="00B70E72" w:rsidR="004E441F">
        <w:t>the existing SGIP requirements</w:t>
      </w:r>
      <w:r w:rsidRPr="00B70E72" w:rsidR="007A1D7B">
        <w:t xml:space="preserve"> for </w:t>
      </w:r>
      <w:r w:rsidRPr="00B70E72" w:rsidR="00E917CC">
        <w:t xml:space="preserve">all </w:t>
      </w:r>
      <w:r w:rsidRPr="00B70E72" w:rsidR="007A1D7B">
        <w:t xml:space="preserve">customers to enroll in high differential </w:t>
      </w:r>
      <w:r w:rsidRPr="00B70E72" w:rsidR="000072BB">
        <w:t>time-of-use rates</w:t>
      </w:r>
      <w:r w:rsidRPr="00B70E72" w:rsidR="00AF7D6D">
        <w:t xml:space="preserve">, </w:t>
      </w:r>
      <w:r w:rsidRPr="00B70E72" w:rsidR="000D1A34">
        <w:t xml:space="preserve">or </w:t>
      </w:r>
      <w:r w:rsidRPr="00B70E72" w:rsidR="00E917CC">
        <w:t>charge</w:t>
      </w:r>
      <w:r w:rsidRPr="00B70E72" w:rsidR="001A2F7A">
        <w:t xml:space="preserve"> the storage </w:t>
      </w:r>
      <w:r w:rsidRPr="00B70E72" w:rsidR="00E917CC">
        <w:t xml:space="preserve">from on-site solar or set the storage </w:t>
      </w:r>
      <w:r w:rsidRPr="00B70E72" w:rsidR="001A2F7A">
        <w:t>to solar self-consumption mode</w:t>
      </w:r>
      <w:r w:rsidRPr="00B70E72" w:rsidR="00E917CC">
        <w:t xml:space="preserve">, and </w:t>
      </w:r>
      <w:r w:rsidRPr="00B70E72" w:rsidR="00E13D22">
        <w:t>to fully</w:t>
      </w:r>
      <w:r w:rsidRPr="00B70E72" w:rsidR="00790F35">
        <w:t xml:space="preserve"> discharge </w:t>
      </w:r>
      <w:r w:rsidRPr="00B70E72" w:rsidR="00E917CC">
        <w:t xml:space="preserve">the battery a </w:t>
      </w:r>
      <w:r w:rsidRPr="00B70E72" w:rsidR="00E917CC">
        <w:lastRenderedPageBreak/>
        <w:t xml:space="preserve">minimum amount of times </w:t>
      </w:r>
      <w:r w:rsidRPr="00B70E72" w:rsidR="000D1A34">
        <w:t xml:space="preserve">per year </w:t>
      </w:r>
      <w:r w:rsidRPr="00B70E72" w:rsidR="00E917CC">
        <w:t>will still ensure that load shifting is occurring and that these systems contribute to grid benefits.</w:t>
      </w:r>
      <w:r w:rsidRPr="00B70E72">
        <w:t xml:space="preserve"> </w:t>
      </w:r>
    </w:p>
    <w:p w:rsidRPr="00B70E72" w:rsidR="005519E0" w:rsidP="006068B0" w:rsidRDefault="002D72C3" w14:paraId="5AF61551" w14:textId="1E3D369F">
      <w:pPr>
        <w:pStyle w:val="Standard"/>
      </w:pPr>
      <w:r>
        <w:t>As some RSSE customers can enroll in qualified DR programs to</w:t>
      </w:r>
      <w:r w:rsidR="00254914">
        <w:t>day, such as PG&amp;E’s ART program, the Commission finds it prudent for a PA to inform</w:t>
      </w:r>
      <w:r w:rsidR="00E41D0E">
        <w:t xml:space="preserve"> RSSE customers at ICF of any SGIP-approved qualified DR program that is available to them</w:t>
      </w:r>
      <w:r w:rsidR="005B490A">
        <w:t>. This communication should be regularly updated to include any newly approved</w:t>
      </w:r>
      <w:r w:rsidR="003845FF">
        <w:t xml:space="preserve"> qualified DR programs. The PA may also include</w:t>
      </w:r>
      <w:r w:rsidR="00762C67">
        <w:t xml:space="preserve"> general marketing materials on what a DR program does and the benefit</w:t>
      </w:r>
      <w:r w:rsidR="00164E44">
        <w:t>s participation can provide to both the customer and the grid.</w:t>
      </w:r>
    </w:p>
    <w:p w:rsidR="002F2142" w:rsidP="1C67F429" w:rsidRDefault="002F2142" w14:paraId="6FAE4D02" w14:textId="001C8663">
      <w:pPr>
        <w:pStyle w:val="Standard"/>
      </w:pPr>
      <w:r w:rsidRPr="00B70E72">
        <w:t>For all non-RSSE ratepayer budgets</w:t>
      </w:r>
      <w:r w:rsidRPr="00141D53">
        <w:t>,</w:t>
      </w:r>
      <w:r>
        <w:t xml:space="preserve"> </w:t>
      </w:r>
      <w:r w:rsidR="00DD5275">
        <w:t xml:space="preserve">these funds </w:t>
      </w:r>
      <w:r w:rsidR="0075595F">
        <w:t xml:space="preserve">are intended to </w:t>
      </w:r>
      <w:r w:rsidR="00276BB8">
        <w:t xml:space="preserve">provide </w:t>
      </w:r>
      <w:r w:rsidR="00B6437B">
        <w:t xml:space="preserve">more </w:t>
      </w:r>
      <w:r w:rsidR="005014C3">
        <w:t xml:space="preserve">benefit to </w:t>
      </w:r>
      <w:r w:rsidR="00B6437B">
        <w:t>non-participating ratepayers. Therefore</w:t>
      </w:r>
      <w:r w:rsidR="007A4C77">
        <w:t>,</w:t>
      </w:r>
      <w:r w:rsidR="00B6437B">
        <w:t xml:space="preserve"> the Commission </w:t>
      </w:r>
      <w:r w:rsidR="007A4C77">
        <w:t xml:space="preserve">finds it reasonable to expect applicants to non-RSSE ratepayer budgets to still comply with </w:t>
      </w:r>
      <w:r w:rsidR="00A10900">
        <w:t xml:space="preserve">the DR participation requirements. </w:t>
      </w:r>
    </w:p>
    <w:p w:rsidR="008258B2" w:rsidP="00F705D0" w:rsidRDefault="00477538" w14:paraId="0C6FAC1C" w14:textId="70078700">
      <w:pPr>
        <w:pStyle w:val="Heading3"/>
        <w:tabs>
          <w:tab w:val="clear" w:pos="1656"/>
          <w:tab w:val="num" w:pos="1080"/>
        </w:tabs>
        <w:ind w:left="1080" w:hanging="360"/>
      </w:pPr>
      <w:bookmarkStart w:name="_Toc206771085" w:id="29"/>
      <w:r>
        <w:t>4.2</w:t>
      </w:r>
      <w:r w:rsidR="00F705D0">
        <w:tab/>
      </w:r>
      <w:r w:rsidR="000A0ACD">
        <w:t>SGIP Handbook Modifications</w:t>
      </w:r>
      <w:bookmarkEnd w:id="29"/>
    </w:p>
    <w:p w:rsidRPr="00A455D0" w:rsidR="00A455D0" w:rsidP="00A455D0" w:rsidRDefault="00A455D0" w14:paraId="1F87EBC2" w14:textId="4CCA8AD0">
      <w:pPr>
        <w:pStyle w:val="Standard"/>
      </w:pPr>
      <w:r>
        <w:t xml:space="preserve">The current SGIP Handbook </w:t>
      </w:r>
      <w:r w:rsidR="001915D3">
        <w:t>directs participants and PAs to use a petition for modification (PFM</w:t>
      </w:r>
      <w:r w:rsidR="00A82CF0">
        <w:t xml:space="preserve">) to make </w:t>
      </w:r>
      <w:r w:rsidR="0067477E">
        <w:t>any changes to existing rules or process</w:t>
      </w:r>
      <w:r w:rsidR="006F4764">
        <w:t>es</w:t>
      </w:r>
      <w:r w:rsidR="00120707">
        <w:t xml:space="preserve"> set forth in a Commission Decision</w:t>
      </w:r>
      <w:r w:rsidR="006F4764">
        <w:t xml:space="preserve">. </w:t>
      </w:r>
      <w:r w:rsidR="00E516BE">
        <w:t xml:space="preserve">As </w:t>
      </w:r>
      <w:r w:rsidR="00AB6E66">
        <w:t xml:space="preserve">SGIP </w:t>
      </w:r>
      <w:r w:rsidR="00E516BE">
        <w:t xml:space="preserve">market conditions </w:t>
      </w:r>
      <w:r w:rsidR="00AB6E66">
        <w:t>have changed p</w:t>
      </w:r>
      <w:r w:rsidR="001B50CC">
        <w:t xml:space="preserve">arties </w:t>
      </w:r>
      <w:r w:rsidR="00E516BE">
        <w:t xml:space="preserve">have </w:t>
      </w:r>
      <w:r w:rsidR="00AB6E66">
        <w:t xml:space="preserve">been challenged </w:t>
      </w:r>
      <w:r w:rsidR="006E3CDD">
        <w:t>to request changes to existing rules</w:t>
      </w:r>
      <w:r w:rsidR="00BF6A8D">
        <w:t>.</w:t>
      </w:r>
    </w:p>
    <w:p w:rsidR="000A0ACD" w:rsidP="00F705D0" w:rsidRDefault="00477538" w14:paraId="40EBDCC6" w14:textId="0753EBC4">
      <w:pPr>
        <w:pStyle w:val="Heading4"/>
        <w:tabs>
          <w:tab w:val="clear" w:pos="2232"/>
          <w:tab w:val="num" w:pos="1800"/>
        </w:tabs>
      </w:pPr>
      <w:bookmarkStart w:name="_Toc206771086" w:id="30"/>
      <w:r>
        <w:t>4.2.1</w:t>
      </w:r>
      <w:r w:rsidR="00F705D0">
        <w:tab/>
      </w:r>
      <w:r w:rsidR="06523A4D">
        <w:t xml:space="preserve">Party </w:t>
      </w:r>
      <w:r w:rsidR="000A0ACD">
        <w:t>Comments</w:t>
      </w:r>
      <w:bookmarkEnd w:id="30"/>
    </w:p>
    <w:p w:rsidRPr="00F1252E" w:rsidR="00F1252E" w:rsidP="00F1252E" w:rsidRDefault="0066462D" w14:paraId="10D999E4" w14:textId="447F267E">
      <w:pPr>
        <w:pStyle w:val="Standard"/>
      </w:pPr>
      <w:r>
        <w:t>PG&amp;E’s comments stated that</w:t>
      </w:r>
      <w:r w:rsidR="008258D8">
        <w:t>,”…</w:t>
      </w:r>
      <w:r w:rsidR="003C66D9">
        <w:t>the</w:t>
      </w:r>
      <w:r w:rsidR="009A4C3F">
        <w:t xml:space="preserve"> (SGIP</w:t>
      </w:r>
      <w:r w:rsidR="006A7E71">
        <w:t>)</w:t>
      </w:r>
      <w:r w:rsidR="003C66D9">
        <w:t xml:space="preserve"> program is </w:t>
      </w:r>
      <w:r w:rsidR="002D7549">
        <w:t>too complicat</w:t>
      </w:r>
      <w:r w:rsidR="00275055">
        <w:t xml:space="preserve">ed </w:t>
      </w:r>
      <w:r w:rsidR="006A7E71">
        <w:t>for stakeholders to participate.”</w:t>
      </w:r>
      <w:r w:rsidR="006A7E71">
        <w:rPr>
          <w:rStyle w:val="FootnoteReference"/>
        </w:rPr>
        <w:footnoteReference w:id="60"/>
      </w:r>
      <w:r w:rsidR="00010974">
        <w:t xml:space="preserve"> PG&amp;E’s comments mention</w:t>
      </w:r>
      <w:r w:rsidR="006F29D9">
        <w:t>ed</w:t>
      </w:r>
      <w:r w:rsidR="00010974">
        <w:t xml:space="preserve"> that </w:t>
      </w:r>
      <w:r w:rsidR="00B27FD8">
        <w:t xml:space="preserve">efforts to streamline </w:t>
      </w:r>
      <w:r w:rsidR="00E4530E">
        <w:t xml:space="preserve">SGIP would require </w:t>
      </w:r>
      <w:r w:rsidR="003C67A9">
        <w:t xml:space="preserve">Petitions for Modifications to change many of the </w:t>
      </w:r>
      <w:r w:rsidR="00667B82">
        <w:t>existing inefficient requirements and processes</w:t>
      </w:r>
      <w:r w:rsidR="00A4421A">
        <w:t>.</w:t>
      </w:r>
      <w:r w:rsidR="00C63E38">
        <w:rPr>
          <w:rStyle w:val="FootnoteReference"/>
        </w:rPr>
        <w:footnoteReference w:id="61"/>
      </w:r>
      <w:r w:rsidR="00A4421A">
        <w:t xml:space="preserve"> </w:t>
      </w:r>
      <w:r w:rsidR="00CA484B">
        <w:t>Many e</w:t>
      </w:r>
      <w:r w:rsidR="00A4421A">
        <w:t>xisting SGIP rules</w:t>
      </w:r>
      <w:r w:rsidR="00483165">
        <w:t xml:space="preserve"> and processes</w:t>
      </w:r>
      <w:r w:rsidR="00A4421A">
        <w:t xml:space="preserve"> were </w:t>
      </w:r>
      <w:r w:rsidR="00483165">
        <w:t xml:space="preserve">established by Commission decision and therefore a new decision </w:t>
      </w:r>
      <w:r w:rsidR="00483165">
        <w:lastRenderedPageBreak/>
        <w:t xml:space="preserve">is needed to update </w:t>
      </w:r>
      <w:r w:rsidR="00C63E38">
        <w:t xml:space="preserve">a prior document. </w:t>
      </w:r>
      <w:r w:rsidR="00864659">
        <w:t xml:space="preserve">PG&amp;E’s </w:t>
      </w:r>
      <w:r w:rsidR="008545EB">
        <w:t xml:space="preserve">comments recommended that the Commission use advice letters </w:t>
      </w:r>
      <w:r w:rsidR="00622B2B">
        <w:t xml:space="preserve">or ALs </w:t>
      </w:r>
      <w:r w:rsidR="008545EB">
        <w:t xml:space="preserve">instead of </w:t>
      </w:r>
      <w:r w:rsidR="005266EE">
        <w:t xml:space="preserve">Petitions for Modifications to streamline and simplify </w:t>
      </w:r>
      <w:r w:rsidR="00927FA2">
        <w:t>SGIP.</w:t>
      </w:r>
      <w:r w:rsidR="00927FA2">
        <w:rPr>
          <w:rStyle w:val="FootnoteReference"/>
        </w:rPr>
        <w:footnoteReference w:id="62"/>
      </w:r>
    </w:p>
    <w:p w:rsidR="000A0ACD" w:rsidP="00F705D0" w:rsidRDefault="00477538" w14:paraId="33816F72" w14:textId="7D718850">
      <w:pPr>
        <w:pStyle w:val="Heading4"/>
        <w:tabs>
          <w:tab w:val="clear" w:pos="2232"/>
          <w:tab w:val="num" w:pos="1800"/>
        </w:tabs>
      </w:pPr>
      <w:bookmarkStart w:name="_Toc206771087" w:id="31"/>
      <w:r>
        <w:t>4.2.2</w:t>
      </w:r>
      <w:r w:rsidR="00F705D0">
        <w:tab/>
      </w:r>
      <w:r w:rsidR="000A0ACD">
        <w:t>Discussion and Analysis</w:t>
      </w:r>
      <w:bookmarkEnd w:id="31"/>
    </w:p>
    <w:p w:rsidR="000A0ACD" w:rsidP="000A0ACD" w:rsidRDefault="00FB77F4" w14:paraId="6542EB14" w14:textId="4D5816AF">
      <w:pPr>
        <w:pStyle w:val="Standard"/>
      </w:pPr>
      <w:r>
        <w:t>As the ratepayer</w:t>
      </w:r>
      <w:r w:rsidR="5D749D97">
        <w:t>-funded</w:t>
      </w:r>
      <w:r>
        <w:t xml:space="preserve"> SGIP </w:t>
      </w:r>
      <w:r w:rsidR="007A6D0A">
        <w:t>begins its sunset phase</w:t>
      </w:r>
      <w:r w:rsidR="00CD6FC0">
        <w:t xml:space="preserve"> and </w:t>
      </w:r>
      <w:r w:rsidR="47C66885">
        <w:t xml:space="preserve">the </w:t>
      </w:r>
      <w:r w:rsidR="00CD6FC0">
        <w:t xml:space="preserve">GGRF </w:t>
      </w:r>
      <w:r w:rsidR="1EC30178">
        <w:t>portion of</w:t>
      </w:r>
      <w:r w:rsidR="00CD6FC0">
        <w:t xml:space="preserve"> SGIP has </w:t>
      </w:r>
      <w:r w:rsidR="00E209CD">
        <w:t>opened for applications</w:t>
      </w:r>
      <w:r w:rsidR="007A6D0A">
        <w:t xml:space="preserve">, it is important to </w:t>
      </w:r>
      <w:r w:rsidR="00D6139B">
        <w:t xml:space="preserve">make adjustments that will increase customer </w:t>
      </w:r>
      <w:r w:rsidR="003B0C28">
        <w:t>satisfaction and</w:t>
      </w:r>
      <w:r w:rsidR="00D52841">
        <w:t xml:space="preserve"> reduce costs for customers and PAs. </w:t>
      </w:r>
      <w:r w:rsidR="513293BF">
        <w:t xml:space="preserve">SGIP </w:t>
      </w:r>
      <w:r w:rsidR="003B0C28">
        <w:t>PAs are already able to</w:t>
      </w:r>
      <w:r w:rsidR="0008587C">
        <w:t xml:space="preserve"> use</w:t>
      </w:r>
      <w:r w:rsidR="003B0C28">
        <w:t xml:space="preserve"> </w:t>
      </w:r>
      <w:r w:rsidR="00D9346A">
        <w:t>a Tier 2 advice letter</w:t>
      </w:r>
      <w:r w:rsidR="006052CF">
        <w:t xml:space="preserve"> to make edits to the </w:t>
      </w:r>
      <w:r w:rsidR="00552408">
        <w:t xml:space="preserve">SGIP Handbook if the language does not directly conflict with </w:t>
      </w:r>
      <w:r w:rsidR="00CB116C">
        <w:t xml:space="preserve">direction provided in the ordering paragraphs of Commission decisions. </w:t>
      </w:r>
      <w:r w:rsidR="004B3EEF">
        <w:t xml:space="preserve">The SGIP Handbook at </w:t>
      </w:r>
      <w:r w:rsidR="001A6908">
        <w:t>over 152 pages contains directives that span over twenty years.</w:t>
      </w:r>
      <w:r w:rsidR="00E453A0">
        <w:t xml:space="preserve"> The Commission agrees with PG&amp;E’s comments that </w:t>
      </w:r>
      <w:r w:rsidR="5043A14F">
        <w:t xml:space="preserve">an additional path to make </w:t>
      </w:r>
      <w:r w:rsidR="001C73EB">
        <w:t>changes to the SGIP Handbook</w:t>
      </w:r>
      <w:r w:rsidR="424126DB">
        <w:t xml:space="preserve"> should be examined</w:t>
      </w:r>
      <w:r w:rsidR="001C73EB">
        <w:t>.</w:t>
      </w:r>
    </w:p>
    <w:p w:rsidRPr="000A0ACD" w:rsidR="0048239A" w:rsidP="000A0ACD" w:rsidRDefault="0048239A" w14:paraId="1F281CE6" w14:textId="1B94531D">
      <w:pPr>
        <w:pStyle w:val="Standard"/>
      </w:pPr>
      <w:r>
        <w:t>Depending on the changes needed, the Commission supports the following</w:t>
      </w:r>
      <w:r w:rsidR="00384490">
        <w:t xml:space="preserve"> </w:t>
      </w:r>
      <w:r w:rsidR="008D63B2">
        <w:t xml:space="preserve">activities </w:t>
      </w:r>
      <w:r w:rsidR="00050AA9">
        <w:t>to be</w:t>
      </w:r>
      <w:r w:rsidR="008D63B2">
        <w:t xml:space="preserve"> approved:</w:t>
      </w:r>
    </w:p>
    <w:p w:rsidR="004E024F" w:rsidP="00F705D0" w:rsidRDefault="791998D5" w14:paraId="788396AC" w14:textId="49039C5B">
      <w:pPr>
        <w:pStyle w:val="ListNum"/>
        <w:numPr>
          <w:ilvl w:val="0"/>
          <w:numId w:val="45"/>
        </w:numPr>
        <w:ind w:right="1440"/>
      </w:pPr>
      <w:r>
        <w:t xml:space="preserve"> SGIP PAs </w:t>
      </w:r>
      <w:r w:rsidR="3EF31160">
        <w:t xml:space="preserve">can propose </w:t>
      </w:r>
      <w:r>
        <w:t>to modify the SGIP Handbook and application process to implement recommended changes from the PA and Program Performance Reports and other M&amp;E reports to improve program performance using a T</w:t>
      </w:r>
      <w:r w:rsidR="4F954BFE">
        <w:t xml:space="preserve">ier </w:t>
      </w:r>
      <w:r w:rsidR="00094DCF">
        <w:t>2</w:t>
      </w:r>
      <w:r>
        <w:t xml:space="preserve"> </w:t>
      </w:r>
      <w:r w:rsidR="00094DCF">
        <w:t>advice letter</w:t>
      </w:r>
      <w:r>
        <w:t xml:space="preserve"> if the language was required by </w:t>
      </w:r>
      <w:r w:rsidR="00CF3308">
        <w:t>Decision</w:t>
      </w:r>
      <w:r>
        <w:t>.</w:t>
      </w:r>
      <w:r w:rsidR="00250432">
        <w:t xml:space="preserve"> </w:t>
      </w:r>
    </w:p>
    <w:p w:rsidR="001827C1" w:rsidP="00F705D0" w:rsidRDefault="00DE61AE" w14:paraId="27BE9FFD" w14:textId="7B28E410">
      <w:pPr>
        <w:pStyle w:val="ListNum"/>
        <w:numPr>
          <w:ilvl w:val="0"/>
          <w:numId w:val="45"/>
        </w:numPr>
        <w:ind w:right="1440"/>
      </w:pPr>
      <w:r>
        <w:t xml:space="preserve">PAs can continue to </w:t>
      </w:r>
      <w:r w:rsidR="37C33E07">
        <w:t xml:space="preserve">propose </w:t>
      </w:r>
      <w:r>
        <w:t>modif</w:t>
      </w:r>
      <w:r w:rsidR="152DF448">
        <w:t>ications to</w:t>
      </w:r>
      <w:r>
        <w:t xml:space="preserve"> the SGIP Handbook </w:t>
      </w:r>
      <w:r w:rsidR="00C20229">
        <w:t>language using a T</w:t>
      </w:r>
      <w:r w:rsidR="00050AA9">
        <w:t xml:space="preserve">ier </w:t>
      </w:r>
      <w:r w:rsidR="00C20229">
        <w:t xml:space="preserve">2 </w:t>
      </w:r>
      <w:r w:rsidR="48425A27">
        <w:t>advice letter</w:t>
      </w:r>
      <w:r w:rsidR="00C20229">
        <w:t xml:space="preserve"> if the </w:t>
      </w:r>
      <w:r w:rsidR="029EEB5F">
        <w:t xml:space="preserve">proposed </w:t>
      </w:r>
      <w:r w:rsidR="00C20229">
        <w:t xml:space="preserve">language was </w:t>
      </w:r>
      <w:r w:rsidR="006C11E9">
        <w:t>initially required by a Resolution or added by PA</w:t>
      </w:r>
      <w:r w:rsidR="54D3D84A">
        <w:t xml:space="preserve"> advice letters</w:t>
      </w:r>
      <w:r w:rsidR="00BA099F">
        <w:t>.</w:t>
      </w:r>
    </w:p>
    <w:p w:rsidRPr="004E024F" w:rsidR="001827C1" w:rsidP="00D629FF" w:rsidRDefault="53B7A6FF" w14:paraId="31EA6970" w14:textId="77748AF8">
      <w:pPr>
        <w:pStyle w:val="ListNum"/>
        <w:tabs>
          <w:tab w:val="clear" w:pos="1080"/>
        </w:tabs>
        <w:spacing w:line="360" w:lineRule="auto"/>
        <w:ind w:left="0" w:firstLine="720"/>
      </w:pPr>
      <w:r>
        <w:t xml:space="preserve">This pathway represents a practical alternative to PFMs. Using a Tier 2 </w:t>
      </w:r>
      <w:r w:rsidR="002A2AFC">
        <w:t xml:space="preserve"> advice letter process </w:t>
      </w:r>
      <w:r w:rsidR="4DD83004">
        <w:t xml:space="preserve">to make changes to the SGIP Handbook </w:t>
      </w:r>
      <w:r w:rsidR="002A2AFC">
        <w:t xml:space="preserve">would allow the Commission </w:t>
      </w:r>
      <w:r w:rsidR="002701EA">
        <w:t xml:space="preserve">to review and approve proposed changes to ensure that they are in </w:t>
      </w:r>
      <w:r w:rsidR="002701EA">
        <w:lastRenderedPageBreak/>
        <w:t xml:space="preserve">line is statutory requirements and </w:t>
      </w:r>
      <w:r w:rsidR="008E202A">
        <w:t>aligned with Commission goals.</w:t>
      </w:r>
      <w:r w:rsidR="00457121">
        <w:t xml:space="preserve"> The Commission clarifies that any number of SGIP PAs can file the Tier 2 advice le</w:t>
      </w:r>
      <w:r w:rsidR="00725D50">
        <w:t>tter as dissenting PAs can file protests in response. To ensure</w:t>
      </w:r>
      <w:r w:rsidR="004C7312">
        <w:t xml:space="preserve"> the program is consistent across PAs, even if </w:t>
      </w:r>
      <w:r w:rsidR="0003046D">
        <w:t>a particular PA did not join an advice letter filing</w:t>
      </w:r>
      <w:r w:rsidR="00B06E39">
        <w:t>, the non-filing PA may still be required to follow the direction provided by the Commission.</w:t>
      </w:r>
    </w:p>
    <w:p w:rsidR="006D2E50" w:rsidP="001A4649" w:rsidRDefault="001A4649" w14:paraId="1441B4E2" w14:textId="7915CA9E">
      <w:pPr>
        <w:pStyle w:val="Heading2"/>
      </w:pPr>
      <w:bookmarkStart w:name="_Toc206771088" w:id="32"/>
      <w:r>
        <w:t>4.3</w:t>
      </w:r>
      <w:r w:rsidR="00F705D0">
        <w:tab/>
      </w:r>
      <w:r w:rsidR="000A2FDD">
        <w:t xml:space="preserve">Ratepayer and GGRF SGIP </w:t>
      </w:r>
      <w:r w:rsidR="005668E9">
        <w:t>Measurement and Evaluation</w:t>
      </w:r>
      <w:bookmarkEnd w:id="32"/>
    </w:p>
    <w:p w:rsidR="008E202A" w:rsidP="008E202A" w:rsidRDefault="00557E0F" w14:paraId="61ACDC68" w14:textId="390FDA04">
      <w:pPr>
        <w:pStyle w:val="Standard"/>
      </w:pPr>
      <w:r>
        <w:t xml:space="preserve">All </w:t>
      </w:r>
      <w:r w:rsidR="003B1E76">
        <w:t xml:space="preserve">existing </w:t>
      </w:r>
      <w:r>
        <w:t>SGIP pro</w:t>
      </w:r>
      <w:r w:rsidR="003B1E76">
        <w:t xml:space="preserve">jects have </w:t>
      </w:r>
      <w:r w:rsidR="0055592E">
        <w:t>a permanency</w:t>
      </w:r>
      <w:r w:rsidR="003B1E76">
        <w:t xml:space="preserve"> period of </w:t>
      </w:r>
      <w:r w:rsidR="00346AF3">
        <w:t xml:space="preserve">10 years. </w:t>
      </w:r>
      <w:r w:rsidR="00E209CD">
        <w:t>M</w:t>
      </w:r>
      <w:r w:rsidR="00346AF3">
        <w:t xml:space="preserve">easurement and </w:t>
      </w:r>
      <w:r w:rsidR="00675DD5">
        <w:t>e</w:t>
      </w:r>
      <w:r w:rsidR="00346AF3">
        <w:t xml:space="preserve">valuation </w:t>
      </w:r>
      <w:r w:rsidR="00675DD5">
        <w:t xml:space="preserve">(M&amp;E) </w:t>
      </w:r>
      <w:r w:rsidR="00346AF3">
        <w:t>activities</w:t>
      </w:r>
      <w:r w:rsidR="00395FE6">
        <w:t xml:space="preserve"> for SGIP projects</w:t>
      </w:r>
      <w:r w:rsidR="00346AF3">
        <w:t xml:space="preserve"> have been </w:t>
      </w:r>
      <w:r w:rsidR="00395FE6">
        <w:t xml:space="preserve">developed and </w:t>
      </w:r>
      <w:r w:rsidR="0023433A">
        <w:t>conducted on a regular basis over the past</w:t>
      </w:r>
      <w:r w:rsidR="00395FE6">
        <w:t xml:space="preserve"> program </w:t>
      </w:r>
      <w:r w:rsidR="005271DD">
        <w:t xml:space="preserve">years. </w:t>
      </w:r>
      <w:r w:rsidR="007B1F34">
        <w:t>The April 28</w:t>
      </w:r>
      <w:r w:rsidRPr="007B1F34" w:rsidR="007B1F34">
        <w:rPr>
          <w:vertAlign w:val="superscript"/>
        </w:rPr>
        <w:t>th</w:t>
      </w:r>
      <w:r w:rsidR="007B1F34">
        <w:t xml:space="preserve"> Commission </w:t>
      </w:r>
      <w:r w:rsidR="5EED2DE9">
        <w:t>R</w:t>
      </w:r>
      <w:r w:rsidR="2E66D494">
        <w:t>uling</w:t>
      </w:r>
      <w:r w:rsidR="007B1F34">
        <w:t xml:space="preserve"> </w:t>
      </w:r>
      <w:r w:rsidR="008F7FAA">
        <w:t xml:space="preserve">included </w:t>
      </w:r>
      <w:r w:rsidR="00177D0B">
        <w:t xml:space="preserve">a proposal to efficiently use </w:t>
      </w:r>
      <w:r w:rsidR="00481633">
        <w:t xml:space="preserve">the </w:t>
      </w:r>
      <w:r w:rsidR="00177D0B">
        <w:t>remaining ratepayer administrative budgets</w:t>
      </w:r>
      <w:r w:rsidR="00481633">
        <w:t xml:space="preserve"> to </w:t>
      </w:r>
      <w:r w:rsidR="001F740E">
        <w:t xml:space="preserve">manage existing SGIP </w:t>
      </w:r>
      <w:r w:rsidR="004E5860">
        <w:t xml:space="preserve">M&amp;E </w:t>
      </w:r>
      <w:r w:rsidR="001F740E">
        <w:t>tasks</w:t>
      </w:r>
      <w:r w:rsidR="00355B08">
        <w:t xml:space="preserve">. The </w:t>
      </w:r>
      <w:r w:rsidR="4789C0D5">
        <w:t>R</w:t>
      </w:r>
      <w:r w:rsidR="266FED6A">
        <w:t>uling</w:t>
      </w:r>
      <w:r w:rsidR="00355B08">
        <w:t xml:space="preserve"> mentioned that the </w:t>
      </w:r>
      <w:r w:rsidR="004E5860">
        <w:t xml:space="preserve">M&amp;E </w:t>
      </w:r>
      <w:r w:rsidR="00355B08">
        <w:t xml:space="preserve">plan should </w:t>
      </w:r>
      <w:r w:rsidR="009E2A82">
        <w:t>streamline any outstanding reporting tasks and set a schedule for final reports</w:t>
      </w:r>
      <w:r>
        <w:t>.</w:t>
      </w:r>
      <w:r w:rsidR="005271DD">
        <w:t xml:space="preserve"> The </w:t>
      </w:r>
      <w:r w:rsidR="00675DD5">
        <w:t xml:space="preserve">existing M&amp;E activities </w:t>
      </w:r>
      <w:r w:rsidR="000477BD">
        <w:t>currently required in SGIP include the following:</w:t>
      </w:r>
    </w:p>
    <w:p w:rsidR="000477BD" w:rsidP="00F705D0" w:rsidRDefault="00376194" w14:paraId="53F200CA" w14:textId="5C59ED29">
      <w:pPr>
        <w:pStyle w:val="ListNum"/>
        <w:numPr>
          <w:ilvl w:val="0"/>
          <w:numId w:val="43"/>
        </w:numPr>
        <w:ind w:right="1530"/>
      </w:pPr>
      <w:r w:rsidRPr="00376194">
        <w:t>Renewable Fuel Use: Completed annually</w:t>
      </w:r>
      <w:r w:rsidR="005E2B6D">
        <w:rPr>
          <w:rStyle w:val="FootnoteReference"/>
        </w:rPr>
        <w:footnoteReference w:id="63"/>
      </w:r>
      <w:r w:rsidR="00EB7597">
        <w:t xml:space="preserve"> </w:t>
      </w:r>
      <w:r w:rsidRPr="00376194">
        <w:t>to evaluate whether generation projects comply with minimum</w:t>
      </w:r>
      <w:r w:rsidR="00DA455A">
        <w:t xml:space="preserve"> </w:t>
      </w:r>
      <w:r w:rsidRPr="00DA455A" w:rsidR="00DA455A">
        <w:t>renewable fuel use requirements. A Performance Based Incentive (PBI) project using biogas needs 10 years of compliance after being installed.</w:t>
      </w:r>
      <w:r w:rsidR="005E2B6D">
        <w:rPr>
          <w:rStyle w:val="FootnoteReference"/>
        </w:rPr>
        <w:footnoteReference w:id="64"/>
      </w:r>
    </w:p>
    <w:p w:rsidR="00EB7597" w:rsidP="00F705D0" w:rsidRDefault="00DA455A" w14:paraId="579972D4" w14:textId="40F742FF">
      <w:pPr>
        <w:pStyle w:val="ListNum"/>
        <w:numPr>
          <w:ilvl w:val="0"/>
          <w:numId w:val="43"/>
        </w:numPr>
        <w:ind w:right="1530"/>
      </w:pPr>
      <w:r w:rsidRPr="00DA455A">
        <w:t>Fiscal Audit: Completed every two years</w:t>
      </w:r>
      <w:r w:rsidR="00497A6A">
        <w:rPr>
          <w:rStyle w:val="FootnoteReference"/>
        </w:rPr>
        <w:footnoteReference w:id="65"/>
      </w:r>
      <w:r w:rsidRPr="00DA455A">
        <w:t xml:space="preserve"> to ensure program funds are accounted for and are being spent appropriately.</w:t>
      </w:r>
    </w:p>
    <w:p w:rsidR="0056330C" w:rsidP="00F705D0" w:rsidRDefault="0056330C" w14:paraId="311DE5E2" w14:textId="1F85D714">
      <w:pPr>
        <w:pStyle w:val="ListNum"/>
        <w:numPr>
          <w:ilvl w:val="0"/>
          <w:numId w:val="43"/>
        </w:numPr>
        <w:ind w:right="1530"/>
      </w:pPr>
      <w:r w:rsidRPr="0056330C">
        <w:lastRenderedPageBreak/>
        <w:t>Program Administrator Performance: Completed annually</w:t>
      </w:r>
      <w:r w:rsidR="00B802EC">
        <w:t>,</w:t>
      </w:r>
      <w:r w:rsidR="00497A6A">
        <w:rPr>
          <w:rStyle w:val="FootnoteReference"/>
        </w:rPr>
        <w:footnoteReference w:id="66"/>
      </w:r>
      <w:r w:rsidRPr="0056330C">
        <w:t xml:space="preserve"> to evaluate if PAs were timely, clear, accessible, and helpful to program participants.</w:t>
      </w:r>
    </w:p>
    <w:p w:rsidR="0056330C" w:rsidP="00F705D0" w:rsidRDefault="00093C50" w14:paraId="19D7A873" w14:textId="5F2F083A">
      <w:pPr>
        <w:pStyle w:val="ListNum"/>
        <w:numPr>
          <w:ilvl w:val="0"/>
          <w:numId w:val="43"/>
        </w:numPr>
        <w:ind w:right="1530"/>
      </w:pPr>
      <w:r w:rsidRPr="00093C50">
        <w:t>Impact Evaluation: Completed annually to evaluate impacts of all SGIP projects that year.</w:t>
      </w:r>
    </w:p>
    <w:p w:rsidRPr="008E202A" w:rsidR="008B020A" w:rsidP="00F705D0" w:rsidRDefault="008B020A" w14:paraId="620A8F6E" w14:textId="2A2DA9BE">
      <w:pPr>
        <w:pStyle w:val="ListNum"/>
        <w:tabs>
          <w:tab w:val="clear" w:pos="1080"/>
        </w:tabs>
        <w:spacing w:after="0" w:line="360" w:lineRule="auto"/>
        <w:ind w:left="0" w:firstLine="720"/>
      </w:pPr>
      <w:r>
        <w:t>The Ruling also included</w:t>
      </w:r>
      <w:r w:rsidR="00006D2D">
        <w:t>,</w:t>
      </w:r>
      <w:r>
        <w:t xml:space="preserve"> as an attachment, </w:t>
      </w:r>
      <w:r w:rsidR="004C0472">
        <w:t>a propose</w:t>
      </w:r>
      <w:r w:rsidR="00A9005E">
        <w:t>d</w:t>
      </w:r>
      <w:r w:rsidR="004C0472">
        <w:t xml:space="preserve"> joint ED staff and PA </w:t>
      </w:r>
      <w:r w:rsidR="00A9005E">
        <w:t>“Final M&amp;E Plan</w:t>
      </w:r>
      <w:r w:rsidR="00C600AB">
        <w:t>.”</w:t>
      </w:r>
    </w:p>
    <w:p w:rsidR="00FA3C4A" w:rsidP="00FA3C4A" w:rsidRDefault="000A2FDD" w14:paraId="3108D5CF" w14:textId="7E58D4C8">
      <w:pPr>
        <w:pStyle w:val="Heading3"/>
      </w:pPr>
      <w:bookmarkStart w:name="_Toc206771089" w:id="33"/>
      <w:r>
        <w:t>4.3.1</w:t>
      </w:r>
      <w:r w:rsidR="00F705D0">
        <w:tab/>
      </w:r>
      <w:r w:rsidR="55DC22B8">
        <w:t xml:space="preserve">Party </w:t>
      </w:r>
      <w:r w:rsidR="00FA3C4A">
        <w:t>Comments</w:t>
      </w:r>
      <w:bookmarkEnd w:id="33"/>
    </w:p>
    <w:p w:rsidRPr="00C600AB" w:rsidR="00C600AB" w:rsidP="00C600AB" w:rsidRDefault="009A3DB5" w14:paraId="784B8FC8" w14:textId="7CF7AA6C">
      <w:pPr>
        <w:pStyle w:val="Standard"/>
      </w:pPr>
      <w:r>
        <w:t xml:space="preserve">PG&amp;E’s comments supported </w:t>
      </w:r>
      <w:r w:rsidR="003248DB">
        <w:t>adoption of the M&amp;E plan included in the April 28</w:t>
      </w:r>
      <w:r w:rsidRPr="003248DB" w:rsidR="003248DB">
        <w:rPr>
          <w:vertAlign w:val="superscript"/>
        </w:rPr>
        <w:t>th</w:t>
      </w:r>
      <w:r w:rsidR="003248DB">
        <w:t xml:space="preserve"> </w:t>
      </w:r>
      <w:r w:rsidR="000724AB">
        <w:t>R</w:t>
      </w:r>
      <w:r w:rsidR="003248DB">
        <w:t xml:space="preserve">uling </w:t>
      </w:r>
      <w:r w:rsidR="000724AB">
        <w:t xml:space="preserve">and suggested that </w:t>
      </w:r>
      <w:r w:rsidR="00AF4973">
        <w:t xml:space="preserve">the Biannual Fiscal Audit </w:t>
      </w:r>
      <w:r w:rsidR="007C1187">
        <w:t>be removed as a requirement</w:t>
      </w:r>
      <w:r w:rsidR="0015016D">
        <w:t xml:space="preserve"> and </w:t>
      </w:r>
      <w:r w:rsidR="00DE7275">
        <w:t xml:space="preserve">that the PAs be allowed to make programmatic changes based on the PA </w:t>
      </w:r>
      <w:r w:rsidR="00622F37">
        <w:t>and Program Performance Report</w:t>
      </w:r>
      <w:r w:rsidR="007C1187">
        <w:t>.</w:t>
      </w:r>
      <w:r w:rsidR="00CB0943">
        <w:rPr>
          <w:rStyle w:val="FootnoteReference"/>
        </w:rPr>
        <w:footnoteReference w:id="67"/>
      </w:r>
      <w:r w:rsidR="007D2EF0">
        <w:t xml:space="preserve"> </w:t>
      </w:r>
      <w:r w:rsidR="009630CF">
        <w:t xml:space="preserve">SCE’s comments </w:t>
      </w:r>
      <w:r w:rsidR="008F3124">
        <w:t xml:space="preserve">about M&amp;E recommended that the Commission </w:t>
      </w:r>
      <w:r w:rsidR="00A241CC">
        <w:t xml:space="preserve">consolidate the two proposed audits </w:t>
      </w:r>
      <w:r w:rsidR="00ED4568">
        <w:t xml:space="preserve">into a single, final audit to reduce administrative burden and </w:t>
      </w:r>
      <w:r w:rsidR="003C2BAC">
        <w:t>maximize funds to customers.</w:t>
      </w:r>
      <w:r w:rsidR="002C2166">
        <w:rPr>
          <w:rStyle w:val="FootnoteReference"/>
        </w:rPr>
        <w:footnoteReference w:id="68"/>
      </w:r>
      <w:r w:rsidR="008D34D1">
        <w:t xml:space="preserve"> </w:t>
      </w:r>
      <w:r w:rsidR="007053D1">
        <w:t>In its comment</w:t>
      </w:r>
      <w:r w:rsidR="000123D1">
        <w:t>s</w:t>
      </w:r>
      <w:r w:rsidR="007053D1">
        <w:t xml:space="preserve"> SCG</w:t>
      </w:r>
      <w:r w:rsidR="00C3027B">
        <w:t xml:space="preserve"> </w:t>
      </w:r>
      <w:r w:rsidR="000123D1">
        <w:t xml:space="preserve">supported the adoption </w:t>
      </w:r>
      <w:r w:rsidR="004F74D7">
        <w:t>of the Final M&amp;E Plan in the April 28</w:t>
      </w:r>
      <w:r w:rsidRPr="004F74D7" w:rsidR="004F74D7">
        <w:rPr>
          <w:vertAlign w:val="superscript"/>
        </w:rPr>
        <w:t>th</w:t>
      </w:r>
      <w:r w:rsidR="004F74D7">
        <w:t xml:space="preserve"> </w:t>
      </w:r>
      <w:r w:rsidR="00D01F55">
        <w:t>Ruling and recommended that the Final Program</w:t>
      </w:r>
      <w:r w:rsidR="00E12EE9">
        <w:t xml:space="preserve"> Summary report be kept as part of the</w:t>
      </w:r>
      <w:r w:rsidR="00A713F5">
        <w:t xml:space="preserve"> final M&amp;E plan</w:t>
      </w:r>
      <w:r w:rsidR="001F66A8">
        <w:t>.</w:t>
      </w:r>
      <w:r w:rsidR="004F04CB">
        <w:t xml:space="preserve"> According to SCG, </w:t>
      </w:r>
      <w:r w:rsidR="000C6F81">
        <w:t xml:space="preserve">retaining the report will provide valuable insight </w:t>
      </w:r>
      <w:r w:rsidR="00957D25">
        <w:t>and key tak</w:t>
      </w:r>
      <w:r w:rsidR="006365E3">
        <w:t>e</w:t>
      </w:r>
      <w:r w:rsidR="00957D25">
        <w:t>aways.</w:t>
      </w:r>
      <w:r w:rsidR="00DC0DD2">
        <w:rPr>
          <w:rStyle w:val="FootnoteReference"/>
        </w:rPr>
        <w:footnoteReference w:id="69"/>
      </w:r>
      <w:r w:rsidR="002941CC">
        <w:t xml:space="preserve"> CSE’s comments </w:t>
      </w:r>
      <w:r w:rsidR="00CB386D">
        <w:t>similarly supported the adoption of the Final M&amp;E Plan in A</w:t>
      </w:r>
      <w:r w:rsidR="00970183">
        <w:t xml:space="preserve">ttachment A of the </w:t>
      </w:r>
      <w:r w:rsidR="200B43D2">
        <w:t xml:space="preserve">April 28th </w:t>
      </w:r>
      <w:r w:rsidR="00970183">
        <w:t xml:space="preserve">Ruling for the ratepayer-funded </w:t>
      </w:r>
      <w:r w:rsidR="00E05C99">
        <w:t>portion of SGIP.</w:t>
      </w:r>
      <w:r w:rsidR="00F66FFD">
        <w:rPr>
          <w:rStyle w:val="FootnoteReference"/>
        </w:rPr>
        <w:footnoteReference w:id="70"/>
      </w:r>
    </w:p>
    <w:p w:rsidR="00FA3C4A" w:rsidP="00FA3C4A" w:rsidRDefault="000A2FDD" w14:paraId="3AFF2D02" w14:textId="506903D2">
      <w:pPr>
        <w:pStyle w:val="Heading3"/>
      </w:pPr>
      <w:bookmarkStart w:name="_Toc206771090" w:id="34"/>
      <w:r>
        <w:lastRenderedPageBreak/>
        <w:t>4.3.2</w:t>
      </w:r>
      <w:r w:rsidR="00F705D0">
        <w:tab/>
      </w:r>
      <w:r w:rsidR="00FA3C4A">
        <w:t>Discussion and Analysis</w:t>
      </w:r>
      <w:bookmarkEnd w:id="34"/>
    </w:p>
    <w:p w:rsidR="00F42D00" w:rsidP="00F42D00" w:rsidRDefault="00E24B5D" w14:paraId="6A7B2BB9" w14:textId="292FCFB3">
      <w:pPr>
        <w:pStyle w:val="Standard"/>
      </w:pPr>
      <w:r>
        <w:t xml:space="preserve">Information from M&amp;E activities </w:t>
      </w:r>
      <w:r w:rsidR="0055592E">
        <w:t>provides</w:t>
      </w:r>
      <w:r>
        <w:t xml:space="preserve"> useful information </w:t>
      </w:r>
      <w:r w:rsidR="00A51F84">
        <w:t>about potential improvements</w:t>
      </w:r>
      <w:r w:rsidR="00DD0A2A">
        <w:t xml:space="preserve"> for</w:t>
      </w:r>
      <w:r w:rsidR="00815A74">
        <w:t xml:space="preserve"> SGIP and possible successor </w:t>
      </w:r>
      <w:r w:rsidR="00942364">
        <w:t>efforts</w:t>
      </w:r>
      <w:r w:rsidR="00A51F84">
        <w:t xml:space="preserve">. The PAs </w:t>
      </w:r>
      <w:r w:rsidR="00942364">
        <w:t xml:space="preserve">and ED staff worked collaboratively to </w:t>
      </w:r>
      <w:r w:rsidR="00176A60">
        <w:t xml:space="preserve">create the Final M&amp;E Plan included in the </w:t>
      </w:r>
      <w:r w:rsidR="43F463F1">
        <w:t>April 28</w:t>
      </w:r>
      <w:r w:rsidRPr="0AD72574" w:rsidR="43F463F1">
        <w:rPr>
          <w:vertAlign w:val="superscript"/>
        </w:rPr>
        <w:t>th</w:t>
      </w:r>
      <w:r w:rsidR="43F463F1">
        <w:t xml:space="preserve"> </w:t>
      </w:r>
      <w:r w:rsidR="00176A60">
        <w:t>Ruling.</w:t>
      </w:r>
    </w:p>
    <w:p w:rsidRPr="003B018B" w:rsidR="001D4CBD" w:rsidP="001A2575" w:rsidRDefault="40C6B330" w14:paraId="7531E4C3" w14:textId="719FC733">
      <w:pPr>
        <w:pStyle w:val="Standard"/>
      </w:pPr>
      <w:r>
        <w:t>T</w:t>
      </w:r>
      <w:r w:rsidR="000065CF">
        <w:t xml:space="preserve">he Commission </w:t>
      </w:r>
      <w:r w:rsidR="00294AD8">
        <w:t>adopt</w:t>
      </w:r>
      <w:r w:rsidR="00006D2D">
        <w:t>s</w:t>
      </w:r>
      <w:r w:rsidR="00294AD8">
        <w:t xml:space="preserve"> the</w:t>
      </w:r>
      <w:r w:rsidR="599299FA">
        <w:t xml:space="preserve"> combined ratepayer and GGRF SGIP M&amp;E plan as included in Attachment A</w:t>
      </w:r>
      <w:r w:rsidR="089238B3">
        <w:t xml:space="preserve"> of this decision,</w:t>
      </w:r>
      <w:r w:rsidR="00454AF2">
        <w:t xml:space="preserve"> for ratepayer</w:t>
      </w:r>
      <w:r w:rsidR="001C21EC">
        <w:t xml:space="preserve"> and GGRF</w:t>
      </w:r>
      <w:r w:rsidR="00454AF2">
        <w:t xml:space="preserve"> funded SGIP M&amp;E</w:t>
      </w:r>
      <w:r w:rsidR="46620538">
        <w:t>.</w:t>
      </w:r>
    </w:p>
    <w:p w:rsidR="00BA6412" w:rsidP="00F705D0" w:rsidRDefault="00311347" w14:paraId="1168F7DE" w14:textId="38BFA6CF">
      <w:pPr>
        <w:pStyle w:val="ListNum"/>
        <w:tabs>
          <w:tab w:val="clear" w:pos="1080"/>
        </w:tabs>
        <w:spacing w:after="0" w:line="360" w:lineRule="auto"/>
        <w:ind w:left="0" w:firstLine="720"/>
      </w:pPr>
      <w:r>
        <w:t>The Commission agrees with S</w:t>
      </w:r>
      <w:r w:rsidR="70D03E04">
        <w:t>o</w:t>
      </w:r>
      <w:r>
        <w:t>C</w:t>
      </w:r>
      <w:r w:rsidR="3332F44D">
        <w:t>al</w:t>
      </w:r>
      <w:r>
        <w:t>G</w:t>
      </w:r>
      <w:r w:rsidR="3695A660">
        <w:t>as</w:t>
      </w:r>
      <w:r>
        <w:t xml:space="preserve">’s comments that a final </w:t>
      </w:r>
      <w:r w:rsidR="68BBBAB9">
        <w:t xml:space="preserve">M&amp;E </w:t>
      </w:r>
      <w:r>
        <w:t xml:space="preserve">SGIP summary report </w:t>
      </w:r>
      <w:r w:rsidR="00D27987">
        <w:t>may be useful. However, instead of a stand-alone report as SCG s</w:t>
      </w:r>
      <w:r w:rsidR="00B46493">
        <w:t xml:space="preserve">uggested, the final </w:t>
      </w:r>
      <w:r w:rsidR="007D63EF">
        <w:t xml:space="preserve">SGIP </w:t>
      </w:r>
      <w:r w:rsidR="00B46493">
        <w:t>Impact</w:t>
      </w:r>
      <w:r w:rsidR="007D63EF">
        <w:t xml:space="preserve"> Report can include an</w:t>
      </w:r>
      <w:r w:rsidR="006F09AE">
        <w:t xml:space="preserve"> executive style summary that SCG is requesting.</w:t>
      </w:r>
      <w:r w:rsidR="00B46493">
        <w:t xml:space="preserve"> </w:t>
      </w:r>
      <w:r w:rsidR="006E5852">
        <w:t>The Commission modifies the frequency of the P</w:t>
      </w:r>
      <w:r w:rsidR="00A37CE3">
        <w:t xml:space="preserve">A </w:t>
      </w:r>
      <w:r w:rsidR="009971C5">
        <w:t>Performance Reports from what was included in the April 18</w:t>
      </w:r>
      <w:r w:rsidRPr="009971C5" w:rsidR="009971C5">
        <w:rPr>
          <w:vertAlign w:val="superscript"/>
        </w:rPr>
        <w:t>th</w:t>
      </w:r>
      <w:r w:rsidR="009971C5">
        <w:t xml:space="preserve"> Ruling </w:t>
      </w:r>
      <w:r w:rsidR="002A59D1">
        <w:t xml:space="preserve">to ensure the reports can better inform program changes. </w:t>
      </w:r>
      <w:r w:rsidR="00CA404C">
        <w:t xml:space="preserve">The Commission considered </w:t>
      </w:r>
      <w:r w:rsidR="00DF5DD6">
        <w:t xml:space="preserve">SCE’s and </w:t>
      </w:r>
      <w:r w:rsidR="00CA404C">
        <w:t xml:space="preserve">PG&amp;E’s </w:t>
      </w:r>
      <w:r w:rsidR="0055592E">
        <w:t>suggestions</w:t>
      </w:r>
      <w:r w:rsidR="00F24CA5">
        <w:t xml:space="preserve"> to </w:t>
      </w:r>
      <w:r w:rsidR="00DF5DD6">
        <w:t xml:space="preserve">either eliminate or consolidate </w:t>
      </w:r>
      <w:r w:rsidR="00E822B0">
        <w:t xml:space="preserve">SGIP fiscal audits. However, </w:t>
      </w:r>
      <w:r w:rsidR="00AD28C9">
        <w:t xml:space="preserve">as funds start being returned to </w:t>
      </w:r>
      <w:r w:rsidR="00E52C93">
        <w:t xml:space="preserve">ratepayers and as GGRF funds launch, it will be </w:t>
      </w:r>
      <w:r w:rsidR="00666F69">
        <w:t xml:space="preserve">important to track the movement of funds on both sides of SGIP. </w:t>
      </w:r>
      <w:r w:rsidR="00C347B4">
        <w:t xml:space="preserve">Therefore, the existing SGIP audit reports will </w:t>
      </w:r>
      <w:r w:rsidR="004F3593">
        <w:t>be retained</w:t>
      </w:r>
      <w:r w:rsidR="45B98D32">
        <w:t xml:space="preserve"> with the existing frequency</w:t>
      </w:r>
      <w:r w:rsidR="00FC1B62">
        <w:t xml:space="preserve"> and should report on both ratepayer and GGRF funds</w:t>
      </w:r>
      <w:r w:rsidR="004F3593">
        <w:t>.</w:t>
      </w:r>
    </w:p>
    <w:p w:rsidR="781A4F2D" w:rsidP="00F705D0" w:rsidRDefault="781A4F2D" w14:paraId="2E84B089" w14:textId="293455D3">
      <w:pPr>
        <w:pStyle w:val="ListNum"/>
        <w:tabs>
          <w:tab w:val="clear" w:pos="1080"/>
        </w:tabs>
        <w:spacing w:after="0" w:line="360" w:lineRule="auto"/>
        <w:ind w:left="0" w:firstLine="720"/>
      </w:pPr>
      <w:r>
        <w:t xml:space="preserve">Finally, the Commission finds it reasonable for the Commission’s ED staff to </w:t>
      </w:r>
      <w:r w:rsidR="004F5288">
        <w:t xml:space="preserve">modify the </w:t>
      </w:r>
      <w:r w:rsidR="00421273">
        <w:t xml:space="preserve">M&amp;E </w:t>
      </w:r>
      <w:r w:rsidR="004E62A1">
        <w:t>tasks and reporting</w:t>
      </w:r>
      <w:r w:rsidR="00B15FED">
        <w:t xml:space="preserve"> in Attachment A</w:t>
      </w:r>
      <w:r w:rsidR="004E62A1">
        <w:t xml:space="preserve"> as needed</w:t>
      </w:r>
      <w:r w:rsidR="00C63FF5">
        <w:t xml:space="preserve"> to </w:t>
      </w:r>
      <w:r w:rsidR="00242756">
        <w:t>improve</w:t>
      </w:r>
      <w:r w:rsidR="00C63FF5">
        <w:t xml:space="preserve"> M&amp;E efforts</w:t>
      </w:r>
      <w:r w:rsidR="004E62A1">
        <w:t xml:space="preserve">, including removing </w:t>
      </w:r>
      <w:r w:rsidR="00E57326">
        <w:t xml:space="preserve">reports. </w:t>
      </w:r>
    </w:p>
    <w:p w:rsidR="001A4E8E" w:rsidP="00F705D0" w:rsidRDefault="006E5840" w14:paraId="1B7BCB29" w14:textId="104BAF93">
      <w:pPr>
        <w:pStyle w:val="Heading1"/>
        <w:numPr>
          <w:ilvl w:val="0"/>
          <w:numId w:val="46"/>
        </w:numPr>
        <w:tabs>
          <w:tab w:val="left" w:pos="720"/>
        </w:tabs>
        <w:ind w:left="720" w:hanging="720"/>
      </w:pPr>
      <w:bookmarkStart w:name="_Toc206771091" w:id="35"/>
      <w:r>
        <w:t xml:space="preserve">GGRF SGIP Implementation and </w:t>
      </w:r>
      <w:r w:rsidR="001A4E8E">
        <w:t>Closeout Process</w:t>
      </w:r>
      <w:bookmarkEnd w:id="35"/>
      <w:r w:rsidR="001A4E8E">
        <w:t xml:space="preserve"> </w:t>
      </w:r>
    </w:p>
    <w:p w:rsidR="00E1072E" w:rsidP="001A3BD0" w:rsidRDefault="001A3BD0" w14:paraId="2E28CA69" w14:textId="0BF46F53">
      <w:pPr>
        <w:pStyle w:val="Standard"/>
        <w:ind w:firstLine="360"/>
      </w:pPr>
      <w:r>
        <w:t xml:space="preserve">The GGRF funded SGIP budget was </w:t>
      </w:r>
      <w:r w:rsidR="004B365E">
        <w:t>open</w:t>
      </w:r>
      <w:r w:rsidR="1CE32F91">
        <w:t>ed</w:t>
      </w:r>
      <w:r w:rsidR="004B365E">
        <w:t xml:space="preserve"> for incentive reservation on June 2</w:t>
      </w:r>
      <w:r w:rsidR="00631F8C">
        <w:t>, 2025</w:t>
      </w:r>
      <w:r w:rsidR="00300897">
        <w:t xml:space="preserve"> in the Residential Solar and Storage Equity budget (RSSE)</w:t>
      </w:r>
      <w:r w:rsidR="00A60BAE">
        <w:t xml:space="preserve"> for all but </w:t>
      </w:r>
      <w:r w:rsidRPr="7E9CACF8" w:rsidR="00A60BAE">
        <w:rPr>
          <w:rFonts w:eastAsia="Book Antiqua" w:cs="Book Antiqua"/>
          <w:color w:val="000000" w:themeColor="text1"/>
        </w:rPr>
        <w:t xml:space="preserve">Los Angeles Department of Water and Power </w:t>
      </w:r>
      <w:r w:rsidR="00A60BAE">
        <w:rPr>
          <w:rFonts w:eastAsia="Book Antiqua" w:cs="Book Antiqua"/>
          <w:color w:val="000000" w:themeColor="text1"/>
        </w:rPr>
        <w:t>(</w:t>
      </w:r>
      <w:r w:rsidR="00A60BAE">
        <w:t>LADWP)</w:t>
      </w:r>
      <w:r w:rsidR="00631F8C">
        <w:t>.</w:t>
      </w:r>
      <w:r>
        <w:t xml:space="preserve"> The PAs are expected to </w:t>
      </w:r>
      <w:r>
        <w:lastRenderedPageBreak/>
        <w:t>process applications and administer the program in a</w:t>
      </w:r>
      <w:r w:rsidR="00A270F4">
        <w:t xml:space="preserve"> similar</w:t>
      </w:r>
      <w:r>
        <w:t xml:space="preserve"> manner </w:t>
      </w:r>
      <w:r w:rsidR="004E681E">
        <w:t>to</w:t>
      </w:r>
      <w:r>
        <w:t xml:space="preserve"> the ratepayer</w:t>
      </w:r>
      <w:r w:rsidR="24D6A5F5">
        <w:t>-</w:t>
      </w:r>
      <w:r>
        <w:t>funded SGIP. </w:t>
      </w:r>
      <w:r w:rsidR="00B73ABE">
        <w:t xml:space="preserve">The Commission uses this decision to determine the </w:t>
      </w:r>
      <w:r w:rsidR="00300897">
        <w:t>deadline for applications to the RSSE</w:t>
      </w:r>
      <w:r w:rsidR="002F5F5E">
        <w:t xml:space="preserve">, treatment of accumulated interest, and </w:t>
      </w:r>
      <w:r w:rsidR="005140E0">
        <w:t xml:space="preserve">addresses several other administrative needs. </w:t>
      </w:r>
    </w:p>
    <w:p w:rsidRPr="008F566A" w:rsidR="001A3BD0" w:rsidP="00B70E72" w:rsidRDefault="00A60BAE" w14:paraId="29C1DC14" w14:textId="6E3CD0AB">
      <w:pPr>
        <w:pStyle w:val="Standard"/>
      </w:pPr>
      <w:r>
        <w:t xml:space="preserve">The GGRF SGIP PAs include PG&amp;E, SoCalGas, CSE for SDG&amp;E, SCE, and LADWP. </w:t>
      </w:r>
      <w:r w:rsidR="00CC535E">
        <w:t>SDG&amp;E is the fiscal agent for the CSE GGRF SGIP funds</w:t>
      </w:r>
      <w:r w:rsidR="00633D9A">
        <w:t>.</w:t>
      </w:r>
    </w:p>
    <w:p w:rsidR="00AB080C" w:rsidP="00AB080C" w:rsidRDefault="000A2FDD" w14:paraId="132E45A2" w14:textId="399FAF39">
      <w:pPr>
        <w:pStyle w:val="Heading2"/>
      </w:pPr>
      <w:bookmarkStart w:name="_Toc206771092" w:id="36"/>
      <w:r>
        <w:t>5.1</w:t>
      </w:r>
      <w:r w:rsidR="00F705D0">
        <w:tab/>
      </w:r>
      <w:r w:rsidR="00AB080C">
        <w:t>GGR</w:t>
      </w:r>
      <w:r w:rsidR="70D4E0D8">
        <w:t>F</w:t>
      </w:r>
      <w:r w:rsidR="00AB080C">
        <w:t xml:space="preserve"> SGIP Timeline</w:t>
      </w:r>
      <w:r w:rsidR="44777D99">
        <w:t xml:space="preserve"> and Closeout</w:t>
      </w:r>
      <w:bookmarkEnd w:id="36"/>
    </w:p>
    <w:p w:rsidRPr="0050627B" w:rsidR="0050627B" w:rsidP="0050627B" w:rsidRDefault="00272DD9" w14:paraId="0392E5C0" w14:textId="0C30CC6D">
      <w:pPr>
        <w:pStyle w:val="Standard"/>
      </w:pPr>
      <w:r>
        <w:t>The April 28</w:t>
      </w:r>
      <w:r w:rsidRPr="0E25C349">
        <w:rPr>
          <w:vertAlign w:val="superscript"/>
        </w:rPr>
        <w:t>th</w:t>
      </w:r>
      <w:r>
        <w:t xml:space="preserve"> Ruling </w:t>
      </w:r>
      <w:r w:rsidR="00823DFC">
        <w:t>referenced</w:t>
      </w:r>
      <w:r w:rsidR="00D74983">
        <w:t xml:space="preserve"> a Finding of Fact in</w:t>
      </w:r>
      <w:r w:rsidR="00823DFC">
        <w:t xml:space="preserve"> D</w:t>
      </w:r>
      <w:r w:rsidR="009A6E55">
        <w:t>.</w:t>
      </w:r>
      <w:r w:rsidR="00AB5C10">
        <w:t>24-03-071</w:t>
      </w:r>
      <w:r w:rsidR="00D74983">
        <w:t xml:space="preserve"> that mentioned a timeline </w:t>
      </w:r>
      <w:r w:rsidR="004F76F1">
        <w:t>for</w:t>
      </w:r>
      <w:r w:rsidR="001F0CCC">
        <w:t xml:space="preserve"> the</w:t>
      </w:r>
      <w:r w:rsidR="004F76F1">
        <w:t xml:space="preserve"> </w:t>
      </w:r>
      <w:r w:rsidR="001F0CCC">
        <w:t>GGRF budget</w:t>
      </w:r>
      <w:r w:rsidR="0051648F">
        <w:t xml:space="preserve">, “the </w:t>
      </w:r>
      <w:r w:rsidR="00FB77EC">
        <w:t>[</w:t>
      </w:r>
      <w:r w:rsidR="0051648F">
        <w:t>GGRF</w:t>
      </w:r>
      <w:r w:rsidR="00FB77EC">
        <w:t>]</w:t>
      </w:r>
      <w:r w:rsidR="0051648F">
        <w:t xml:space="preserve"> funds are available for encumbrance or expenditure by the Commission until June 30, 2026, and must be liquidated by June 30, 2028.” </w:t>
      </w:r>
      <w:r w:rsidR="00BF46CE">
        <w:t xml:space="preserve">No final application deadline for </w:t>
      </w:r>
      <w:r w:rsidR="001373A9">
        <w:t>the RSSE</w:t>
      </w:r>
      <w:r w:rsidR="00BF46CE">
        <w:t xml:space="preserve"> </w:t>
      </w:r>
      <w:r w:rsidR="00054998">
        <w:t>was</w:t>
      </w:r>
      <w:r w:rsidR="00BF46CE">
        <w:t xml:space="preserve"> set</w:t>
      </w:r>
      <w:r w:rsidR="00054998">
        <w:t xml:space="preserve"> in </w:t>
      </w:r>
      <w:r w:rsidR="004E5480">
        <w:t xml:space="preserve">D.24-03-071 and </w:t>
      </w:r>
      <w:r w:rsidR="00054998">
        <w:t>the decision</w:t>
      </w:r>
      <w:r w:rsidR="004E5480">
        <w:t xml:space="preserve"> was silent </w:t>
      </w:r>
      <w:r w:rsidR="00C658DE">
        <w:t xml:space="preserve">on </w:t>
      </w:r>
      <w:r w:rsidR="008E7507">
        <w:t>transferring funds between PAs</w:t>
      </w:r>
      <w:r w:rsidR="00BF46CE">
        <w:t xml:space="preserve">. The SGIP PAs have informed the Commission that the GGRF administrative funds have been mapped out based on applications no longer being accepted after June 30, 2028, with additional administrative work through 2030 to get the last projects to SGIP payment. </w:t>
      </w:r>
      <w:r w:rsidR="59C709B7">
        <w:t>When</w:t>
      </w:r>
      <w:r w:rsidR="00BF46CE">
        <w:t xml:space="preserve"> a final Impact Evaluation report </w:t>
      </w:r>
      <w:r w:rsidR="5780BD6B">
        <w:t xml:space="preserve">is </w:t>
      </w:r>
      <w:r w:rsidR="00BF46CE">
        <w:t>done, it could take place up to one year after the last project received a SGIP payment.</w:t>
      </w:r>
    </w:p>
    <w:p w:rsidR="00CE5840" w:rsidP="00CE5840" w:rsidRDefault="000A2FDD" w14:paraId="2E1018BB" w14:textId="5266A6A0">
      <w:pPr>
        <w:pStyle w:val="Heading3"/>
      </w:pPr>
      <w:bookmarkStart w:name="_Toc206771093" w:id="37"/>
      <w:r>
        <w:t>5.1.1</w:t>
      </w:r>
      <w:r w:rsidR="00F705D0">
        <w:tab/>
      </w:r>
      <w:r w:rsidR="01ACABE4">
        <w:t xml:space="preserve">Party </w:t>
      </w:r>
      <w:r w:rsidR="00CE5840">
        <w:t>Comments</w:t>
      </w:r>
      <w:bookmarkEnd w:id="37"/>
    </w:p>
    <w:p w:rsidRPr="00ED0229" w:rsidR="00D77F5A" w:rsidP="0E25C349" w:rsidRDefault="00D77F5A" w14:paraId="65DF18CA" w14:textId="0D8B5C5C">
      <w:pPr>
        <w:pStyle w:val="paragraph"/>
        <w:spacing w:before="0" w:beforeAutospacing="0" w:after="0" w:afterAutospacing="0" w:line="360" w:lineRule="auto"/>
        <w:ind w:firstLine="720"/>
        <w:textAlignment w:val="baseline"/>
        <w:rPr>
          <w:rFonts w:ascii="Book Antiqua" w:hAnsi="Book Antiqua" w:cs="Segoe UI"/>
          <w:sz w:val="26"/>
          <w:szCs w:val="26"/>
        </w:rPr>
      </w:pPr>
      <w:r w:rsidRPr="00ED0229">
        <w:rPr>
          <w:rStyle w:val="normaltextrun"/>
          <w:rFonts w:ascii="Book Antiqua" w:hAnsi="Book Antiqua" w:cs="Calibri"/>
          <w:sz w:val="26"/>
          <w:szCs w:val="26"/>
        </w:rPr>
        <w:t>Parties offered a wide range of closeout timelines. As a process to transfer accumulated interest to administrative budgets is outlined</w:t>
      </w:r>
      <w:r w:rsidR="00EA1A71">
        <w:rPr>
          <w:rStyle w:val="normaltextrun"/>
          <w:rFonts w:ascii="Book Antiqua" w:hAnsi="Book Antiqua" w:cs="Calibri"/>
          <w:sz w:val="26"/>
          <w:szCs w:val="26"/>
        </w:rPr>
        <w:t xml:space="preserve"> in a later section</w:t>
      </w:r>
      <w:r w:rsidRPr="00ED0229">
        <w:rPr>
          <w:rStyle w:val="normaltextrun"/>
          <w:rFonts w:ascii="Book Antiqua" w:hAnsi="Book Antiqua" w:cs="Calibri"/>
          <w:sz w:val="26"/>
          <w:szCs w:val="26"/>
        </w:rPr>
        <w:t>, the timelines offered by PG&amp;E and SCG based on limited administrative budgets are not discussed further.</w:t>
      </w:r>
      <w:r w:rsidR="00AC2E52">
        <w:rPr>
          <w:rStyle w:val="FootnoteReference"/>
          <w:rFonts w:ascii="Book Antiqua" w:hAnsi="Book Antiqua" w:cs="Calibri"/>
          <w:sz w:val="26"/>
          <w:szCs w:val="26"/>
        </w:rPr>
        <w:footnoteReference w:id="71"/>
      </w:r>
      <w:r w:rsidRPr="00ED0229">
        <w:rPr>
          <w:rStyle w:val="normaltextrun"/>
          <w:rFonts w:ascii="Book Antiqua" w:hAnsi="Book Antiqua" w:cs="Calibri"/>
          <w:sz w:val="26"/>
          <w:szCs w:val="26"/>
        </w:rPr>
        <w:t xml:space="preserve"> </w:t>
      </w:r>
      <w:r w:rsidRPr="0E25C349" w:rsidR="008D577F">
        <w:rPr>
          <w:rStyle w:val="normaltextrun"/>
          <w:rFonts w:ascii="Book Antiqua" w:hAnsi="Book Antiqua" w:cs="Calibri"/>
          <w:sz w:val="26"/>
          <w:szCs w:val="26"/>
        </w:rPr>
        <w:t>SCE‘s comments suggested closing the GGRF SGIP budget category to new applications on May 20, 2027.</w:t>
      </w:r>
      <w:r w:rsidRPr="0E25C349" w:rsidR="008D577F">
        <w:rPr>
          <w:rStyle w:val="FootnoteReference"/>
          <w:rFonts w:ascii="Book Antiqua" w:hAnsi="Book Antiqua" w:cs="Calibri"/>
          <w:sz w:val="26"/>
          <w:szCs w:val="26"/>
        </w:rPr>
        <w:footnoteReference w:id="72"/>
      </w:r>
      <w:r w:rsidRPr="0E25C349" w:rsidR="008D577F">
        <w:rPr>
          <w:rStyle w:val="normaltextrun"/>
          <w:rFonts w:ascii="Book Antiqua" w:hAnsi="Book Antiqua" w:cs="Calibri"/>
          <w:sz w:val="26"/>
          <w:szCs w:val="26"/>
        </w:rPr>
        <w:t xml:space="preserve"> </w:t>
      </w:r>
      <w:r w:rsidRPr="00ED0229">
        <w:rPr>
          <w:rStyle w:val="normaltextrun"/>
          <w:rFonts w:ascii="Book Antiqua" w:hAnsi="Book Antiqua" w:cs="Calibri"/>
          <w:sz w:val="26"/>
          <w:szCs w:val="26"/>
        </w:rPr>
        <w:t xml:space="preserve">CSE and SCG </w:t>
      </w:r>
      <w:r w:rsidRPr="00ED0229">
        <w:rPr>
          <w:rStyle w:val="normaltextrun"/>
          <w:rFonts w:ascii="Book Antiqua" w:hAnsi="Book Antiqua" w:cs="Calibri"/>
          <w:sz w:val="26"/>
          <w:szCs w:val="26"/>
        </w:rPr>
        <w:lastRenderedPageBreak/>
        <w:t>recommend that the closeout date be June 30, 2028.</w:t>
      </w:r>
      <w:r w:rsidR="00F03D7F">
        <w:rPr>
          <w:rStyle w:val="FootnoteReference"/>
          <w:rFonts w:ascii="Book Antiqua" w:hAnsi="Book Antiqua" w:cs="Calibri"/>
          <w:sz w:val="26"/>
          <w:szCs w:val="26"/>
        </w:rPr>
        <w:footnoteReference w:id="73"/>
      </w:r>
      <w:r w:rsidRPr="00ED0229">
        <w:rPr>
          <w:rStyle w:val="normaltextrun"/>
          <w:rFonts w:ascii="Book Antiqua" w:hAnsi="Book Antiqua" w:cs="Calibri"/>
          <w:sz w:val="26"/>
          <w:szCs w:val="26"/>
        </w:rPr>
        <w:t xml:space="preserve"> CALSSA and GRID recommend that the close date be December 31, 2032 to align with the Solar on Multifamily Affordable Housing (SOMAH) program.</w:t>
      </w:r>
      <w:r w:rsidR="00FA3206">
        <w:rPr>
          <w:rStyle w:val="FootnoteReference"/>
          <w:rFonts w:ascii="Book Antiqua" w:hAnsi="Book Antiqua" w:cs="Calibri"/>
          <w:sz w:val="26"/>
          <w:szCs w:val="26"/>
        </w:rPr>
        <w:footnoteReference w:id="74"/>
      </w:r>
      <w:r w:rsidRPr="00ED0229">
        <w:rPr>
          <w:rStyle w:val="normaltextrun"/>
          <w:rFonts w:ascii="Book Antiqua" w:hAnsi="Book Antiqua" w:cs="Calibri"/>
          <w:sz w:val="26"/>
          <w:szCs w:val="26"/>
        </w:rPr>
        <w:t xml:space="preserve"> In reply comments, CALSSA noted that the complexity of new rules and long delay in opening the GGRF SGIP budgets make a later program close necessary.</w:t>
      </w:r>
      <w:r w:rsidR="00FB500C">
        <w:rPr>
          <w:rStyle w:val="FootnoteReference"/>
          <w:rFonts w:ascii="Book Antiqua" w:hAnsi="Book Antiqua" w:cs="Calibri"/>
          <w:sz w:val="26"/>
          <w:szCs w:val="26"/>
        </w:rPr>
        <w:footnoteReference w:id="75"/>
      </w:r>
      <w:r w:rsidRPr="00ED0229">
        <w:rPr>
          <w:rStyle w:val="normaltextrun"/>
          <w:rFonts w:ascii="Book Antiqua" w:hAnsi="Book Antiqua" w:cs="Calibri"/>
          <w:sz w:val="26"/>
          <w:szCs w:val="26"/>
        </w:rPr>
        <w:t xml:space="preserve"> CSE replied that SOMAH and GGRF SGIP have entirely different statutory and regulatory regimes, making it unreasonable to tie SGIP’s closeout to SOMAH.</w:t>
      </w:r>
      <w:r w:rsidR="00B327D7">
        <w:rPr>
          <w:rStyle w:val="FootnoteReference"/>
          <w:rFonts w:ascii="Book Antiqua" w:hAnsi="Book Antiqua" w:cs="Calibri"/>
          <w:sz w:val="26"/>
          <w:szCs w:val="26"/>
        </w:rPr>
        <w:footnoteReference w:id="76"/>
      </w:r>
      <w:r w:rsidRPr="00ED0229">
        <w:rPr>
          <w:rStyle w:val="normaltextrun"/>
          <w:rFonts w:ascii="Book Antiqua" w:hAnsi="Book Antiqua" w:cs="Calibri"/>
          <w:sz w:val="26"/>
          <w:szCs w:val="26"/>
        </w:rPr>
        <w:t xml:space="preserve"> SDG&amp;E noted that CSE is contracted to run the GGRF SGIP through June 30, 2028 and highlights the GGRF Advanced Payment Program closeout be timely handled before funds must be returned to the C</w:t>
      </w:r>
      <w:r w:rsidR="00B802EC">
        <w:rPr>
          <w:rStyle w:val="normaltextrun"/>
          <w:rFonts w:ascii="Book Antiqua" w:hAnsi="Book Antiqua" w:cs="Calibri"/>
          <w:sz w:val="26"/>
          <w:szCs w:val="26"/>
        </w:rPr>
        <w:t>ommission</w:t>
      </w:r>
      <w:r w:rsidRPr="00ED0229">
        <w:rPr>
          <w:rStyle w:val="normaltextrun"/>
          <w:rFonts w:ascii="Book Antiqua" w:hAnsi="Book Antiqua" w:cs="Calibri"/>
          <w:sz w:val="26"/>
          <w:szCs w:val="26"/>
        </w:rPr>
        <w:t>.</w:t>
      </w:r>
      <w:r w:rsidR="000C445C">
        <w:rPr>
          <w:rStyle w:val="FootnoteReference"/>
          <w:rFonts w:ascii="Book Antiqua" w:hAnsi="Book Antiqua" w:cs="Calibri"/>
          <w:sz w:val="26"/>
          <w:szCs w:val="26"/>
        </w:rPr>
        <w:footnoteReference w:id="77"/>
      </w:r>
      <w:r w:rsidRPr="00ED0229">
        <w:rPr>
          <w:rStyle w:val="normaltextrun"/>
          <w:sz w:val="26"/>
          <w:szCs w:val="26"/>
        </w:rPr>
        <w:t> </w:t>
      </w:r>
      <w:r w:rsidRPr="00ED0229">
        <w:rPr>
          <w:rStyle w:val="normaltextrun"/>
          <w:rFonts w:ascii="Book Antiqua" w:hAnsi="Book Antiqua" w:cs="Calibri"/>
          <w:sz w:val="26"/>
          <w:szCs w:val="26"/>
        </w:rPr>
        <w:t>PG&amp;E noted that D.24-03-071 at 20 required “The PAs must return to the Commission any unspent AB 209 funds by June 30, 2028, in line with the statutory requirement for the Commission to liquidate these funds.”</w:t>
      </w:r>
      <w:r w:rsidR="006825CC">
        <w:rPr>
          <w:rStyle w:val="FootnoteReference"/>
          <w:rFonts w:ascii="Book Antiqua" w:hAnsi="Book Antiqua" w:cs="Calibri"/>
          <w:sz w:val="26"/>
          <w:szCs w:val="26"/>
        </w:rPr>
        <w:footnoteReference w:id="78"/>
      </w:r>
      <w:r w:rsidRPr="00ED0229">
        <w:rPr>
          <w:rStyle w:val="eop"/>
          <w:rFonts w:ascii="Book Antiqua" w:hAnsi="Book Antiqua" w:cs="Calibri"/>
          <w:sz w:val="26"/>
          <w:szCs w:val="26"/>
        </w:rPr>
        <w:t> </w:t>
      </w:r>
    </w:p>
    <w:p w:rsidRPr="000A2FDD" w:rsidR="00856162" w:rsidP="00B70E72" w:rsidRDefault="00197397" w14:paraId="78A3054E" w14:textId="4FA80D61">
      <w:pPr>
        <w:pStyle w:val="Standard"/>
        <w:rPr>
          <w:vertAlign w:val="superscript"/>
        </w:rPr>
      </w:pPr>
      <w:r>
        <w:rPr>
          <w:rStyle w:val="normaltextrun"/>
          <w:rFonts w:cs="Calibri"/>
          <w:szCs w:val="26"/>
        </w:rPr>
        <w:t xml:space="preserve">Parties were split on if GGRF funds should be transferred between PAs. </w:t>
      </w:r>
      <w:r w:rsidRPr="50714DCE" w:rsidR="00D77F5A">
        <w:rPr>
          <w:rStyle w:val="normaltextrun"/>
          <w:rFonts w:cs="Calibri"/>
          <w:szCs w:val="26"/>
        </w:rPr>
        <w:t>SCE and CSE were against transferring unallocated incentive funds to another PAs waitlist.</w:t>
      </w:r>
      <w:r w:rsidRPr="50714DCE" w:rsidR="00D77F5A">
        <w:rPr>
          <w:rStyle w:val="FootnoteReference"/>
          <w:rFonts w:cs="Calibri"/>
          <w:szCs w:val="26"/>
        </w:rPr>
        <w:footnoteReference w:id="79"/>
      </w:r>
      <w:r w:rsidRPr="50714DCE" w:rsidR="00D77F5A">
        <w:rPr>
          <w:rStyle w:val="normaltextrun"/>
          <w:rFonts w:cs="Calibri"/>
          <w:szCs w:val="26"/>
        </w:rPr>
        <w:t xml:space="preserve"> CALSSA was supportive of using unallocated funds in any PA territory in the final three months of the program.</w:t>
      </w:r>
      <w:r w:rsidRPr="3621528B" w:rsidR="00D77F5A">
        <w:rPr>
          <w:rStyle w:val="FootnoteReference"/>
          <w:rFonts w:cs="Calibri"/>
          <w:szCs w:val="26"/>
        </w:rPr>
        <w:footnoteReference w:id="80"/>
      </w:r>
      <w:r w:rsidRPr="50714DCE" w:rsidR="00D77F5A">
        <w:rPr>
          <w:rStyle w:val="normaltextrun"/>
          <w:rFonts w:cs="Calibri"/>
          <w:szCs w:val="26"/>
        </w:rPr>
        <w:t xml:space="preserve"> CSE was supportive of transferring unallocated administrative funds only if the PA has no further</w:t>
      </w:r>
      <w:r w:rsidRPr="50714DCE" w:rsidR="00204821">
        <w:rPr>
          <w:rStyle w:val="normaltextrun"/>
          <w:rFonts w:cs="Calibri"/>
          <w:szCs w:val="26"/>
        </w:rPr>
        <w:t xml:space="preserve"> </w:t>
      </w:r>
      <w:r w:rsidRPr="50714DCE" w:rsidR="00204821">
        <w:lastRenderedPageBreak/>
        <w:t>administrative duties and has run out of incentive funds.</w:t>
      </w:r>
      <w:r w:rsidRPr="3621528B" w:rsidR="00D77F5A">
        <w:rPr>
          <w:rStyle w:val="FootnoteReference"/>
          <w:rFonts w:cs="Calibri"/>
          <w:szCs w:val="26"/>
        </w:rPr>
        <w:footnoteReference w:id="81"/>
      </w:r>
      <w:r w:rsidRPr="50714DCE" w:rsidR="00204821">
        <w:t xml:space="preserve"> PG&amp;E was supportive of PAs transferring unallocated incentive funds to another PA that has a waitlist if the PAs have a sufficient administrative budget.</w:t>
      </w:r>
      <w:r w:rsidRPr="3621528B" w:rsidR="00D77F5A">
        <w:rPr>
          <w:rStyle w:val="FootnoteReference"/>
          <w:rFonts w:cs="Calibri"/>
          <w:szCs w:val="26"/>
        </w:rPr>
        <w:footnoteReference w:id="82"/>
      </w:r>
      <w:r w:rsidRPr="50714DCE" w:rsidR="00204821">
        <w:t xml:space="preserve"> GRID, Free Energy and SBUA w</w:t>
      </w:r>
      <w:r w:rsidRPr="50714DCE" w:rsidR="48993493">
        <w:t>ere</w:t>
      </w:r>
      <w:r w:rsidRPr="50714DCE" w:rsidR="00204821">
        <w:t xml:space="preserve"> supportive of PAs transferring unallocated incentive funds.</w:t>
      </w:r>
      <w:r w:rsidRPr="3621528B" w:rsidR="00D77F5A">
        <w:rPr>
          <w:rStyle w:val="FootnoteReference"/>
          <w:rFonts w:cs="Calibri"/>
          <w:szCs w:val="26"/>
        </w:rPr>
        <w:footnoteReference w:id="83"/>
      </w:r>
      <w:r w:rsidRPr="50714DCE" w:rsidR="00204821">
        <w:t xml:space="preserve"> </w:t>
      </w:r>
      <w:r w:rsidRPr="50714DCE" w:rsidR="0C34BFAE">
        <w:t>S</w:t>
      </w:r>
      <w:r w:rsidRPr="50714DCE" w:rsidR="5E4B91EC">
        <w:t>o</w:t>
      </w:r>
      <w:r w:rsidRPr="50714DCE" w:rsidR="0C34BFAE">
        <w:t>C</w:t>
      </w:r>
      <w:r w:rsidRPr="50714DCE" w:rsidR="0A6124E0">
        <w:t>al</w:t>
      </w:r>
      <w:r w:rsidRPr="50714DCE" w:rsidR="0C34BFAE">
        <w:t>G</w:t>
      </w:r>
      <w:r w:rsidRPr="50714DCE" w:rsidR="7AF6CD5E">
        <w:t>as</w:t>
      </w:r>
      <w:r w:rsidRPr="50714DCE" w:rsidR="00204821">
        <w:t xml:space="preserve"> was supportive of transferring unallocated incentive funds using a joint T</w:t>
      </w:r>
      <w:r w:rsidRPr="50714DCE" w:rsidR="61E042D2">
        <w:t xml:space="preserve">ier </w:t>
      </w:r>
      <w:r w:rsidRPr="50714DCE" w:rsidR="00204821">
        <w:t xml:space="preserve">2 AL after the final application deadline and once the PAs had reviewed the </w:t>
      </w:r>
      <w:r w:rsidR="00D61A89">
        <w:t>final</w:t>
      </w:r>
      <w:r w:rsidRPr="50714DCE" w:rsidR="00204821">
        <w:t xml:space="preserve"> applications and waitlisted projects for project downsizing.</w:t>
      </w:r>
      <w:r w:rsidRPr="3621528B" w:rsidR="00D77F5A">
        <w:rPr>
          <w:rStyle w:val="FootnoteReference"/>
          <w:rFonts w:cs="Calibri"/>
          <w:szCs w:val="26"/>
        </w:rPr>
        <w:footnoteReference w:id="84"/>
      </w:r>
    </w:p>
    <w:p w:rsidR="00CE5840" w:rsidP="00CE5840" w:rsidRDefault="000A2FDD" w14:paraId="3A9176F5" w14:textId="4566A2C1">
      <w:pPr>
        <w:pStyle w:val="Heading3"/>
      </w:pPr>
      <w:bookmarkStart w:name="_Toc206771094" w:id="38"/>
      <w:r>
        <w:t>5.1.2</w:t>
      </w:r>
      <w:r w:rsidR="00F705D0">
        <w:tab/>
      </w:r>
      <w:r w:rsidR="00CE5840">
        <w:t>Discussion and Analysis</w:t>
      </w:r>
      <w:bookmarkEnd w:id="38"/>
    </w:p>
    <w:p w:rsidRPr="001A3BD0" w:rsidR="001A3BD0" w:rsidP="0AD72574" w:rsidRDefault="3A1F80A6" w14:paraId="448E45B2" w14:textId="66419F8D">
      <w:pPr>
        <w:rPr>
          <w:rFonts w:eastAsia="Book Antiqua" w:cs="Book Antiqua"/>
          <w:color w:val="000000" w:themeColor="text1"/>
        </w:rPr>
      </w:pPr>
      <w:r w:rsidRPr="25252F40">
        <w:rPr>
          <w:rFonts w:eastAsia="Book Antiqua" w:cs="Book Antiqua"/>
          <w:color w:val="000000" w:themeColor="text1"/>
        </w:rPr>
        <w:t>GGRF SGIP open</w:t>
      </w:r>
      <w:r w:rsidRPr="25252F40" w:rsidR="7D6FCB95">
        <w:rPr>
          <w:rFonts w:eastAsia="Book Antiqua" w:cs="Book Antiqua"/>
          <w:color w:val="000000" w:themeColor="text1"/>
        </w:rPr>
        <w:t>ed</w:t>
      </w:r>
      <w:r w:rsidRPr="25252F40">
        <w:rPr>
          <w:rFonts w:eastAsia="Book Antiqua" w:cs="Book Antiqua"/>
          <w:color w:val="000000" w:themeColor="text1"/>
        </w:rPr>
        <w:t xml:space="preserve"> to applications on June 2, 2025. Residential applications have 12 months to complete the Incentive Claim Form and access to three six-month extensions pending PA approval.</w:t>
      </w:r>
      <w:r w:rsidRPr="0AD72574">
        <w:rPr>
          <w:rStyle w:val="FootnoteReference"/>
          <w:rFonts w:eastAsia="Book Antiqua" w:cs="Book Antiqua"/>
          <w:color w:val="000000" w:themeColor="text1"/>
        </w:rPr>
        <w:footnoteReference w:id="85"/>
      </w:r>
      <w:r w:rsidRPr="25252F40">
        <w:rPr>
          <w:rFonts w:eastAsia="Book Antiqua" w:cs="Book Antiqua"/>
          <w:color w:val="000000" w:themeColor="text1"/>
        </w:rPr>
        <w:t xml:space="preserve"> Therefore, the first wave of applications could reserve funds until December 2, 2027</w:t>
      </w:r>
      <w:r w:rsidRPr="25252F40" w:rsidR="6E3806AC">
        <w:rPr>
          <w:rFonts w:eastAsia="Book Antiqua" w:cs="Book Antiqua"/>
          <w:color w:val="000000" w:themeColor="text1"/>
        </w:rPr>
        <w:t>,</w:t>
      </w:r>
      <w:r w:rsidRPr="25252F40">
        <w:rPr>
          <w:rFonts w:eastAsia="Book Antiqua" w:cs="Book Antiqua"/>
          <w:color w:val="000000" w:themeColor="text1"/>
        </w:rPr>
        <w:t xml:space="preserve"> if they use all three extensions</w:t>
      </w:r>
      <w:r w:rsidRPr="25252F40" w:rsidR="6E3806AC">
        <w:rPr>
          <w:rFonts w:eastAsia="Book Antiqua" w:cs="Book Antiqua"/>
          <w:color w:val="000000" w:themeColor="text1"/>
        </w:rPr>
        <w:t>,</w:t>
      </w:r>
      <w:r w:rsidRPr="25252F40">
        <w:rPr>
          <w:rFonts w:eastAsia="Book Antiqua" w:cs="Book Antiqua"/>
          <w:color w:val="000000" w:themeColor="text1"/>
        </w:rPr>
        <w:t xml:space="preserve"> only to be canceled. </w:t>
      </w:r>
    </w:p>
    <w:p w:rsidRPr="001A3BD0" w:rsidR="001A3BD0" w:rsidP="25252F40" w:rsidRDefault="6C655D28" w14:paraId="5D6AE546" w14:textId="2791200E">
      <w:pPr>
        <w:rPr>
          <w:rFonts w:eastAsia="Book Antiqua" w:cs="Book Antiqua"/>
          <w:color w:val="000000" w:themeColor="text1"/>
        </w:rPr>
      </w:pPr>
      <w:r w:rsidRPr="25252F40">
        <w:rPr>
          <w:rFonts w:eastAsia="Book Antiqua" w:cs="Book Antiqua"/>
          <w:color w:val="000000" w:themeColor="text1"/>
        </w:rPr>
        <w:t xml:space="preserve">The Commission determines </w:t>
      </w:r>
      <w:r w:rsidRPr="25252F40" w:rsidR="3A1F80A6">
        <w:rPr>
          <w:rFonts w:eastAsia="Book Antiqua" w:cs="Book Antiqua"/>
          <w:color w:val="000000" w:themeColor="text1"/>
        </w:rPr>
        <w:t>that the</w:t>
      </w:r>
      <w:r w:rsidRPr="25252F40" w:rsidR="6E3806AC">
        <w:rPr>
          <w:rFonts w:eastAsia="Book Antiqua" w:cs="Book Antiqua"/>
          <w:color w:val="000000" w:themeColor="text1"/>
        </w:rPr>
        <w:t xml:space="preserve"> GGRF SGIP</w:t>
      </w:r>
      <w:r w:rsidRPr="25252F40" w:rsidR="24EC0367">
        <w:rPr>
          <w:rFonts w:eastAsia="Book Antiqua" w:cs="Book Antiqua"/>
          <w:color w:val="000000" w:themeColor="text1"/>
        </w:rPr>
        <w:t xml:space="preserve"> will</w:t>
      </w:r>
      <w:r w:rsidRPr="25252F40" w:rsidR="3A1F80A6">
        <w:rPr>
          <w:rFonts w:eastAsia="Book Antiqua" w:cs="Book Antiqua"/>
          <w:color w:val="000000" w:themeColor="text1"/>
        </w:rPr>
        <w:t xml:space="preserve"> close to new applications on June 30, 2028</w:t>
      </w:r>
      <w:r w:rsidRPr="25252F40" w:rsidR="7FA292F5">
        <w:rPr>
          <w:rFonts w:eastAsia="Book Antiqua" w:cs="Book Antiqua"/>
          <w:color w:val="000000" w:themeColor="text1"/>
        </w:rPr>
        <w:t>,</w:t>
      </w:r>
      <w:r w:rsidRPr="25252F40" w:rsidR="3A1F80A6">
        <w:rPr>
          <w:rFonts w:eastAsia="Book Antiqua" w:cs="Book Antiqua"/>
          <w:color w:val="000000" w:themeColor="text1"/>
        </w:rPr>
        <w:t xml:space="preserve"> to ensure funds from the initial rush of applications can be </w:t>
      </w:r>
      <w:r w:rsidRPr="0AD72574" w:rsidR="0EF0918B">
        <w:rPr>
          <w:rFonts w:eastAsia="Book Antiqua" w:cs="Book Antiqua"/>
          <w:color w:val="000000" w:themeColor="text1"/>
        </w:rPr>
        <w:t>efficiently utilized</w:t>
      </w:r>
      <w:r w:rsidRPr="0AD72574" w:rsidR="3A1F80A6">
        <w:rPr>
          <w:rFonts w:eastAsia="Book Antiqua" w:cs="Book Antiqua"/>
          <w:color w:val="000000" w:themeColor="text1"/>
        </w:rPr>
        <w:t>.</w:t>
      </w:r>
      <w:r w:rsidRPr="25252F40" w:rsidR="3A1F80A6">
        <w:rPr>
          <w:rFonts w:eastAsia="Book Antiqua" w:cs="Book Antiqua"/>
          <w:color w:val="000000" w:themeColor="text1"/>
        </w:rPr>
        <w:t xml:space="preserve"> </w:t>
      </w:r>
      <w:r w:rsidRPr="0AD72574" w:rsidR="0AA861CE">
        <w:rPr>
          <w:rFonts w:eastAsia="Book Antiqua" w:cs="Book Antiqua"/>
          <w:color w:val="000000" w:themeColor="text1"/>
        </w:rPr>
        <w:t>The</w:t>
      </w:r>
      <w:r w:rsidRPr="25252F40" w:rsidR="581FEA70">
        <w:rPr>
          <w:rFonts w:eastAsia="Book Antiqua" w:cs="Book Antiqua"/>
          <w:color w:val="000000" w:themeColor="text1"/>
        </w:rPr>
        <w:t xml:space="preserve"> Commission </w:t>
      </w:r>
      <w:r w:rsidRPr="0AD72574" w:rsidR="7FF190E5">
        <w:rPr>
          <w:rFonts w:eastAsia="Book Antiqua" w:cs="Book Antiqua"/>
          <w:color w:val="000000" w:themeColor="text1"/>
        </w:rPr>
        <w:t xml:space="preserve">further </w:t>
      </w:r>
      <w:r w:rsidRPr="25252F40" w:rsidR="581FEA70">
        <w:rPr>
          <w:rFonts w:eastAsia="Book Antiqua" w:cs="Book Antiqua"/>
          <w:color w:val="000000" w:themeColor="text1"/>
        </w:rPr>
        <w:t xml:space="preserve">requires </w:t>
      </w:r>
      <w:r w:rsidRPr="25252F40" w:rsidR="3A1F80A6">
        <w:rPr>
          <w:rFonts w:eastAsia="Book Antiqua" w:cs="Book Antiqua"/>
          <w:color w:val="000000" w:themeColor="text1"/>
        </w:rPr>
        <w:t>the PAs</w:t>
      </w:r>
      <w:r w:rsidR="00633D9A">
        <w:rPr>
          <w:rFonts w:eastAsia="Book Antiqua" w:cs="Book Antiqua"/>
          <w:color w:val="000000" w:themeColor="text1"/>
        </w:rPr>
        <w:t>, and SDG&amp;E via CSE,</w:t>
      </w:r>
      <w:r w:rsidRPr="25252F40" w:rsidR="3A1F80A6">
        <w:rPr>
          <w:rFonts w:eastAsia="Book Antiqua" w:cs="Book Antiqua"/>
          <w:color w:val="000000" w:themeColor="text1"/>
        </w:rPr>
        <w:t xml:space="preserve"> </w:t>
      </w:r>
      <w:r w:rsidRPr="0AD72574" w:rsidR="1ABF8219">
        <w:rPr>
          <w:rFonts w:eastAsia="Book Antiqua" w:cs="Book Antiqua"/>
          <w:color w:val="000000" w:themeColor="text1"/>
        </w:rPr>
        <w:t>with unallocated incentive funds</w:t>
      </w:r>
      <w:r w:rsidRPr="0AD72574" w:rsidR="3A1F80A6">
        <w:rPr>
          <w:rFonts w:eastAsia="Book Antiqua" w:cs="Book Antiqua"/>
          <w:color w:val="000000" w:themeColor="text1"/>
        </w:rPr>
        <w:t xml:space="preserve"> to </w:t>
      </w:r>
      <w:r w:rsidRPr="25252F40" w:rsidR="3A1F80A6">
        <w:rPr>
          <w:rFonts w:eastAsia="Book Antiqua" w:cs="Book Antiqua"/>
          <w:color w:val="000000" w:themeColor="text1"/>
        </w:rPr>
        <w:t xml:space="preserve">transfer </w:t>
      </w:r>
      <w:r w:rsidRPr="0AD72574" w:rsidR="6F8EAB11">
        <w:rPr>
          <w:rFonts w:eastAsia="Book Antiqua" w:cs="Book Antiqua"/>
          <w:color w:val="000000" w:themeColor="text1"/>
        </w:rPr>
        <w:t>those</w:t>
      </w:r>
      <w:r w:rsidRPr="25252F40" w:rsidR="3A1F80A6">
        <w:rPr>
          <w:rFonts w:eastAsia="Book Antiqua" w:cs="Book Antiqua"/>
          <w:color w:val="000000" w:themeColor="text1"/>
        </w:rPr>
        <w:t xml:space="preserve"> funds to </w:t>
      </w:r>
      <w:r w:rsidRPr="0AD72574" w:rsidR="4B97B50B">
        <w:rPr>
          <w:rFonts w:eastAsia="Book Antiqua" w:cs="Book Antiqua"/>
          <w:color w:val="000000" w:themeColor="text1"/>
        </w:rPr>
        <w:t xml:space="preserve">other </w:t>
      </w:r>
      <w:r w:rsidRPr="25252F40" w:rsidR="3A1F80A6">
        <w:rPr>
          <w:rFonts w:eastAsia="Book Antiqua" w:cs="Book Antiqua"/>
          <w:color w:val="000000" w:themeColor="text1"/>
        </w:rPr>
        <w:t>PAs with waitlists after the final applications are reviewed</w:t>
      </w:r>
      <w:r w:rsidRPr="0AD72574" w:rsidR="39862BFE">
        <w:rPr>
          <w:rFonts w:eastAsia="Book Antiqua" w:cs="Book Antiqua"/>
          <w:color w:val="000000" w:themeColor="text1"/>
        </w:rPr>
        <w:t>, for optimal use of the funds</w:t>
      </w:r>
      <w:r w:rsidRPr="0AD72574" w:rsidR="3A1F80A6">
        <w:rPr>
          <w:rFonts w:eastAsia="Book Antiqua" w:cs="Book Antiqua"/>
          <w:color w:val="000000" w:themeColor="text1"/>
        </w:rPr>
        <w:t>.</w:t>
      </w:r>
      <w:r w:rsidRPr="25252F40" w:rsidR="3A1F80A6">
        <w:rPr>
          <w:rFonts w:eastAsia="Book Antiqua" w:cs="Book Antiqua"/>
          <w:color w:val="000000" w:themeColor="text1"/>
        </w:rPr>
        <w:t xml:space="preserve"> </w:t>
      </w:r>
      <w:r w:rsidRPr="0AD72574" w:rsidR="308D36E5">
        <w:rPr>
          <w:rFonts w:eastAsia="Book Antiqua" w:cs="Book Antiqua"/>
          <w:color w:val="000000" w:themeColor="text1"/>
        </w:rPr>
        <w:t>The PAs can use a Tier 1 advice letter to transfer funds between each other.</w:t>
      </w:r>
      <w:r w:rsidRPr="25252F40" w:rsidR="3A1F80A6">
        <w:rPr>
          <w:rFonts w:eastAsia="Book Antiqua" w:cs="Book Antiqua"/>
          <w:color w:val="000000" w:themeColor="text1"/>
        </w:rPr>
        <w:t xml:space="preserve"> </w:t>
      </w:r>
      <w:r w:rsidR="005C3EE3">
        <w:rPr>
          <w:rFonts w:eastAsia="Book Antiqua" w:cs="Book Antiqua"/>
          <w:color w:val="000000" w:themeColor="text1"/>
        </w:rPr>
        <w:t xml:space="preserve">The Tier 1 advice letter should disclose each PAs’ </w:t>
      </w:r>
      <w:r w:rsidR="00397CF4">
        <w:rPr>
          <w:rFonts w:eastAsia="Book Antiqua" w:cs="Book Antiqua"/>
          <w:color w:val="000000" w:themeColor="text1"/>
        </w:rPr>
        <w:t xml:space="preserve">unallocated funds, </w:t>
      </w:r>
      <w:r w:rsidR="00397CF4">
        <w:rPr>
          <w:rFonts w:eastAsia="Book Antiqua" w:cs="Book Antiqua"/>
          <w:color w:val="000000" w:themeColor="text1"/>
        </w:rPr>
        <w:lastRenderedPageBreak/>
        <w:t>waitlist counts, and methodology used to transfer funds</w:t>
      </w:r>
      <w:r w:rsidR="00AD6686">
        <w:rPr>
          <w:rFonts w:eastAsia="Book Antiqua" w:cs="Book Antiqua"/>
          <w:color w:val="000000" w:themeColor="text1"/>
        </w:rPr>
        <w:t xml:space="preserve">. The PA should consult with Energy Division staff on the methodology before filing </w:t>
      </w:r>
      <w:r w:rsidR="00E738E9">
        <w:rPr>
          <w:rFonts w:eastAsia="Book Antiqua" w:cs="Book Antiqua"/>
          <w:color w:val="000000" w:themeColor="text1"/>
        </w:rPr>
        <w:t xml:space="preserve">the advice letter. </w:t>
      </w:r>
      <w:r w:rsidRPr="25252F40" w:rsidR="3A1F80A6">
        <w:rPr>
          <w:rFonts w:eastAsia="Book Antiqua" w:cs="Book Antiqua"/>
          <w:color w:val="000000" w:themeColor="text1"/>
        </w:rPr>
        <w:t xml:space="preserve">If the PAs need additional administrative funds to carry out this process, the PA can follow the process laid out in the </w:t>
      </w:r>
      <w:r w:rsidRPr="25252F40" w:rsidR="35B9EBA3">
        <w:rPr>
          <w:rFonts w:eastAsia="Book Antiqua" w:cs="Book Antiqua"/>
          <w:color w:val="000000" w:themeColor="text1"/>
        </w:rPr>
        <w:t>following</w:t>
      </w:r>
      <w:r w:rsidRPr="25252F40" w:rsidR="3A1F80A6">
        <w:rPr>
          <w:rFonts w:eastAsia="Book Antiqua" w:cs="Book Antiqua"/>
          <w:color w:val="000000" w:themeColor="text1"/>
        </w:rPr>
        <w:t xml:space="preserve"> section. </w:t>
      </w:r>
    </w:p>
    <w:p w:rsidR="001A3BD0" w:rsidP="0E25C349" w:rsidRDefault="3A4BA52B" w14:paraId="73F67D4C" w14:textId="27FBD1CD">
      <w:pPr>
        <w:rPr>
          <w:rFonts w:eastAsia="Book Antiqua" w:cs="Book Antiqua"/>
          <w:color w:val="000000" w:themeColor="text1"/>
        </w:rPr>
      </w:pPr>
      <w:r w:rsidRPr="7E9CACF8">
        <w:rPr>
          <w:rFonts w:eastAsia="Book Antiqua" w:cs="Book Antiqua"/>
          <w:color w:val="000000" w:themeColor="text1"/>
        </w:rPr>
        <w:t xml:space="preserve">PG&amp;E, SCE, </w:t>
      </w:r>
      <w:r w:rsidRPr="7E9CACF8" w:rsidR="123AB772">
        <w:rPr>
          <w:rFonts w:eastAsia="Book Antiqua" w:cs="Book Antiqua"/>
          <w:color w:val="000000" w:themeColor="text1"/>
        </w:rPr>
        <w:t>L</w:t>
      </w:r>
      <w:r w:rsidRPr="7E9CACF8" w:rsidR="342E73B3">
        <w:rPr>
          <w:rFonts w:eastAsia="Book Antiqua" w:cs="Book Antiqua"/>
          <w:color w:val="000000" w:themeColor="text1"/>
        </w:rPr>
        <w:t xml:space="preserve">ADWP, </w:t>
      </w:r>
      <w:r w:rsidRPr="7E9CACF8">
        <w:rPr>
          <w:rFonts w:eastAsia="Book Antiqua" w:cs="Book Antiqua"/>
          <w:color w:val="000000" w:themeColor="text1"/>
        </w:rPr>
        <w:t>and SoCalGas</w:t>
      </w:r>
      <w:r w:rsidRPr="7E9CACF8" w:rsidR="2AB1B1D5">
        <w:rPr>
          <w:rFonts w:eastAsia="Book Antiqua" w:cs="Book Antiqua"/>
          <w:color w:val="000000" w:themeColor="text1"/>
        </w:rPr>
        <w:t xml:space="preserve"> </w:t>
      </w:r>
      <w:r w:rsidRPr="7E9CACF8" w:rsidR="3F8B9974">
        <w:rPr>
          <w:rFonts w:eastAsia="Book Antiqua" w:cs="Book Antiqua"/>
          <w:color w:val="000000" w:themeColor="text1"/>
        </w:rPr>
        <w:t>must</w:t>
      </w:r>
      <w:r w:rsidRPr="7E9CACF8" w:rsidR="23AA0119">
        <w:rPr>
          <w:rFonts w:eastAsia="Book Antiqua" w:cs="Book Antiqua"/>
          <w:color w:val="000000" w:themeColor="text1"/>
        </w:rPr>
        <w:t xml:space="preserve"> return</w:t>
      </w:r>
      <w:r w:rsidRPr="7E9CACF8" w:rsidR="22156B1D">
        <w:rPr>
          <w:rFonts w:eastAsia="Book Antiqua" w:cs="Book Antiqua"/>
          <w:color w:val="000000" w:themeColor="text1"/>
        </w:rPr>
        <w:t xml:space="preserve"> all GGRF</w:t>
      </w:r>
      <w:r w:rsidRPr="7E9CACF8" w:rsidR="23AA0119">
        <w:rPr>
          <w:rFonts w:eastAsia="Book Antiqua" w:cs="Book Antiqua"/>
          <w:color w:val="000000" w:themeColor="text1"/>
        </w:rPr>
        <w:t xml:space="preserve"> </w:t>
      </w:r>
      <w:r w:rsidRPr="7E9CACF8" w:rsidR="22156B1D">
        <w:rPr>
          <w:rFonts w:eastAsia="Book Antiqua" w:cs="Book Antiqua"/>
          <w:color w:val="000000" w:themeColor="text1"/>
        </w:rPr>
        <w:t xml:space="preserve">administrative, incentive, and interest </w:t>
      </w:r>
      <w:r w:rsidRPr="7E9CACF8" w:rsidR="23AA0119">
        <w:rPr>
          <w:rFonts w:eastAsia="Book Antiqua" w:cs="Book Antiqua"/>
          <w:color w:val="000000" w:themeColor="text1"/>
        </w:rPr>
        <w:t xml:space="preserve">funds to the </w:t>
      </w:r>
      <w:r w:rsidR="00E738E9">
        <w:rPr>
          <w:rFonts w:eastAsia="Book Antiqua" w:cs="Book Antiqua"/>
          <w:color w:val="000000" w:themeColor="text1"/>
        </w:rPr>
        <w:t>Commission</w:t>
      </w:r>
      <w:r w:rsidRPr="7E9CACF8" w:rsidR="23AA0119">
        <w:rPr>
          <w:rFonts w:eastAsia="Book Antiqua" w:cs="Book Antiqua"/>
          <w:color w:val="000000" w:themeColor="text1"/>
        </w:rPr>
        <w:t xml:space="preserve">, by January 2033 following the last SGIP Impact Evaluation Report in 2032. </w:t>
      </w:r>
      <w:r w:rsidRPr="7E9CACF8" w:rsidR="17EF31BC">
        <w:rPr>
          <w:rFonts w:eastAsia="Book Antiqua" w:cs="Book Antiqua"/>
          <w:color w:val="000000" w:themeColor="text1"/>
        </w:rPr>
        <w:t>CSE must return all GGRF administrative, incentive, and interest funds to SDG&amp;E</w:t>
      </w:r>
      <w:r w:rsidRPr="7E9CACF8">
        <w:rPr>
          <w:rFonts w:eastAsia="Book Antiqua" w:cs="Book Antiqua"/>
          <w:color w:val="000000" w:themeColor="text1"/>
        </w:rPr>
        <w:t xml:space="preserve"> by January 2033</w:t>
      </w:r>
      <w:r w:rsidRPr="7E9CACF8" w:rsidR="17EF31BC">
        <w:rPr>
          <w:rFonts w:eastAsia="Book Antiqua" w:cs="Book Antiqua"/>
          <w:color w:val="000000" w:themeColor="text1"/>
        </w:rPr>
        <w:t>.</w:t>
      </w:r>
      <w:r w:rsidRPr="7E9CACF8" w:rsidR="17EF31BC">
        <w:rPr>
          <w:rFonts w:eastAsia="Book Antiqua" w:cs="Book Antiqua"/>
        </w:rPr>
        <w:t xml:space="preserve"> </w:t>
      </w:r>
      <w:r w:rsidRPr="7E9CACF8" w:rsidR="23AA0119">
        <w:rPr>
          <w:rFonts w:eastAsia="Book Antiqua" w:cs="Book Antiqua"/>
          <w:color w:val="000000" w:themeColor="text1"/>
        </w:rPr>
        <w:t xml:space="preserve">SDG&amp;E shall have until </w:t>
      </w:r>
      <w:r w:rsidRPr="7E9CACF8" w:rsidR="07A62A08">
        <w:rPr>
          <w:rFonts w:eastAsia="Book Antiqua" w:cs="Book Antiqua"/>
          <w:color w:val="000000" w:themeColor="text1"/>
        </w:rPr>
        <w:t>February</w:t>
      </w:r>
      <w:r w:rsidRPr="7E9CACF8" w:rsidR="23AA0119">
        <w:rPr>
          <w:rFonts w:eastAsia="Book Antiqua" w:cs="Book Antiqua"/>
          <w:color w:val="000000" w:themeColor="text1"/>
        </w:rPr>
        <w:t xml:space="preserve"> </w:t>
      </w:r>
      <w:r w:rsidRPr="7E9CACF8" w:rsidR="07A62A08">
        <w:rPr>
          <w:rFonts w:eastAsia="Book Antiqua" w:cs="Book Antiqua"/>
          <w:color w:val="000000" w:themeColor="text1"/>
        </w:rPr>
        <w:t>28</w:t>
      </w:r>
      <w:r w:rsidRPr="7E9CACF8" w:rsidR="23AA0119">
        <w:rPr>
          <w:rFonts w:eastAsia="Book Antiqua" w:cs="Book Antiqua"/>
          <w:color w:val="000000" w:themeColor="text1"/>
        </w:rPr>
        <w:t xml:space="preserve">, 2033 to return funds to the </w:t>
      </w:r>
      <w:r w:rsidR="00E738E9">
        <w:rPr>
          <w:rFonts w:eastAsia="Book Antiqua" w:cs="Book Antiqua"/>
          <w:color w:val="000000" w:themeColor="text1"/>
        </w:rPr>
        <w:t>Commission</w:t>
      </w:r>
      <w:r w:rsidRPr="7E9CACF8" w:rsidR="23AA0119">
        <w:rPr>
          <w:rFonts w:eastAsia="Book Antiqua" w:cs="Book Antiqua"/>
          <w:color w:val="000000" w:themeColor="text1"/>
        </w:rPr>
        <w:t>. These returns shall be documented in the January 30, 2033 T</w:t>
      </w:r>
      <w:r w:rsidRPr="7E9CACF8" w:rsidR="611B1D25">
        <w:rPr>
          <w:rFonts w:eastAsia="Book Antiqua" w:cs="Book Antiqua"/>
          <w:color w:val="000000" w:themeColor="text1"/>
        </w:rPr>
        <w:t xml:space="preserve">ier </w:t>
      </w:r>
      <w:r w:rsidRPr="7E9CACF8" w:rsidR="23AA0119">
        <w:rPr>
          <w:rFonts w:eastAsia="Book Antiqua" w:cs="Book Antiqua"/>
          <w:color w:val="000000" w:themeColor="text1"/>
        </w:rPr>
        <w:t xml:space="preserve">1 SGIP Budget </w:t>
      </w:r>
      <w:r w:rsidRPr="7E9CACF8" w:rsidR="531CFB8A">
        <w:rPr>
          <w:rFonts w:eastAsia="Book Antiqua" w:cs="Book Antiqua"/>
          <w:color w:val="000000" w:themeColor="text1"/>
        </w:rPr>
        <w:t>advice letter</w:t>
      </w:r>
      <w:r w:rsidRPr="7E9CACF8" w:rsidR="23AA0119">
        <w:rPr>
          <w:rFonts w:eastAsia="Book Antiqua" w:cs="Book Antiqua"/>
          <w:color w:val="000000" w:themeColor="text1"/>
        </w:rPr>
        <w:t xml:space="preserve">. </w:t>
      </w:r>
      <w:r w:rsidRPr="7E9CACF8" w:rsidR="46626A7A">
        <w:rPr>
          <w:rFonts w:eastAsia="Book Antiqua" w:cs="Book Antiqua"/>
          <w:color w:val="000000" w:themeColor="text1"/>
        </w:rPr>
        <w:t>Because</w:t>
      </w:r>
      <w:r w:rsidRPr="7E9CACF8" w:rsidR="23AA0119">
        <w:rPr>
          <w:rFonts w:eastAsia="Book Antiqua" w:cs="Book Antiqua"/>
          <w:color w:val="000000" w:themeColor="text1"/>
        </w:rPr>
        <w:t xml:space="preserve"> the Advanced Payment Program has access to a shorter project timeline and less project extensions, all advanced payment projects will have been either completed or canceled and the funds returned by this deadline.</w:t>
      </w:r>
    </w:p>
    <w:p w:rsidRPr="00FB77EC" w:rsidR="0013438D" w:rsidP="00FB77EC" w:rsidRDefault="0013438D" w14:paraId="314F54DE" w14:textId="1E615633">
      <w:pPr>
        <w:pStyle w:val="Standard"/>
      </w:pPr>
      <w:r>
        <w:t>Similar to ratepayer</w:t>
      </w:r>
      <w:r w:rsidR="5E623CC6">
        <w:t>-funded</w:t>
      </w:r>
      <w:r>
        <w:t xml:space="preserve"> SGIP, once GGRF</w:t>
      </w:r>
      <w:r w:rsidR="58A9641F">
        <w:t>-funded</w:t>
      </w:r>
      <w:r>
        <w:t xml:space="preserve"> SGIP closes it will be important for the </w:t>
      </w:r>
      <w:r w:rsidR="00B65EA8">
        <w:t xml:space="preserve">load serving entities </w:t>
      </w:r>
      <w:r>
        <w:t>associated with SGIP projects and customers to monitor ongoing compliance with TOU requirements to ensure that the state is achieving the full ongoing benefits of these systems.</w:t>
      </w:r>
      <w:r w:rsidR="00B65EA8">
        <w:t xml:space="preserve"> </w:t>
      </w:r>
      <w:r>
        <w:t xml:space="preserve">To this end, the PAs must send a list of all </w:t>
      </w:r>
      <w:r w:rsidR="00B65EA8">
        <w:t xml:space="preserve">GGRF </w:t>
      </w:r>
      <w:r>
        <w:t xml:space="preserve">SGIP applicants and associated projects and the end of the respective project’s permanency period to the relevant </w:t>
      </w:r>
      <w:r w:rsidR="003D460F">
        <w:t>IOU (PG&amp;E, SCE</w:t>
      </w:r>
      <w:r w:rsidR="004F615F">
        <w:t xml:space="preserve">, or SDG&amp;E) </w:t>
      </w:r>
      <w:r>
        <w:t>Rates teams to ensure compliance and tracking of TOU rules into the future.</w:t>
      </w:r>
      <w:r w:rsidR="004F615F">
        <w:t xml:space="preserve"> </w:t>
      </w:r>
      <w:r w:rsidR="00FF7E43">
        <w:t>If another load serving entity (LSE) requests a list of SGIP applicants to track compliance in their territory before February 1, 2033, the relevant SGIP PA must send a list to the LSE. The SGIP PA may require the LSE to sign a Non-Disclosure Agreement to gain access to the list. SGIP PAs should coordinate with the IOU and LSE teams to determine the appropriate amount of applicant information needed to track compliance.</w:t>
      </w:r>
    </w:p>
    <w:p w:rsidR="00B36EFC" w:rsidP="00B36EFC" w:rsidRDefault="000A2FDD" w14:paraId="60931F07" w14:textId="4DBCC5F5">
      <w:pPr>
        <w:pStyle w:val="Heading2"/>
      </w:pPr>
      <w:bookmarkStart w:name="_Toc206771095" w:id="39"/>
      <w:r>
        <w:lastRenderedPageBreak/>
        <w:t>5.2</w:t>
      </w:r>
      <w:r w:rsidR="00F705D0">
        <w:tab/>
      </w:r>
      <w:r w:rsidR="00B36EFC">
        <w:t xml:space="preserve">GGRF </w:t>
      </w:r>
      <w:r w:rsidR="006A4B56">
        <w:t>Administrative Budget and Accumulated Interest</w:t>
      </w:r>
      <w:bookmarkEnd w:id="39"/>
    </w:p>
    <w:p w:rsidR="00C95FEA" w:rsidP="00EF136C" w:rsidRDefault="00C95FEA" w14:paraId="682FB5ED" w14:textId="1DC7E342">
      <w:pPr>
        <w:pStyle w:val="Standard"/>
      </w:pPr>
      <w:r w:rsidRPr="003860D8">
        <w:t xml:space="preserve">Under its authority to regulate utility programs, the Commission </w:t>
      </w:r>
      <w:r>
        <w:t xml:space="preserve">can </w:t>
      </w:r>
      <w:r w:rsidRPr="003860D8">
        <w:t>direct the PAs on how to utilize the funds coming into SGIP from accumulating interest and canceled project incentives.</w:t>
      </w:r>
    </w:p>
    <w:p w:rsidRPr="00E5677A" w:rsidR="00B36EFC" w:rsidP="00B36EFC" w:rsidRDefault="00B36EFC" w14:paraId="071A2E7B" w14:textId="104CAA58">
      <w:pPr>
        <w:pStyle w:val="Standard"/>
      </w:pPr>
      <w:r>
        <w:t>The April 28</w:t>
      </w:r>
      <w:r w:rsidRPr="00245503">
        <w:rPr>
          <w:vertAlign w:val="superscript"/>
        </w:rPr>
        <w:t>th</w:t>
      </w:r>
      <w:r>
        <w:t xml:space="preserve"> Ruling also asked parties to comment on what process the Commission should adopt for a PA to manage accumulated interest in the GGRF budget.</w:t>
      </w:r>
    </w:p>
    <w:p w:rsidR="00B36EFC" w:rsidP="00B36EFC" w:rsidRDefault="000A2FDD" w14:paraId="1275DD7B" w14:textId="3C3B6A5A">
      <w:pPr>
        <w:pStyle w:val="Heading3"/>
      </w:pPr>
      <w:bookmarkStart w:name="_Toc206771096" w:id="40"/>
      <w:r>
        <w:t>5.2.1</w:t>
      </w:r>
      <w:r w:rsidR="00F705D0">
        <w:tab/>
      </w:r>
      <w:r w:rsidR="00B36EFC">
        <w:t>Comments</w:t>
      </w:r>
      <w:bookmarkEnd w:id="40"/>
    </w:p>
    <w:p w:rsidRPr="00BF493B" w:rsidR="00B36EFC" w:rsidP="00B36EFC" w:rsidRDefault="4A07A413" w14:paraId="4EBE8562" w14:textId="74069968">
      <w:pPr>
        <w:pStyle w:val="Standard"/>
      </w:pPr>
      <w:r w:rsidRPr="006C2ECF">
        <w:t>Parties were divided on how the accumulated interest should be treated.</w:t>
      </w:r>
      <w:r>
        <w:t xml:space="preserve"> </w:t>
      </w:r>
      <w:r w:rsidR="333BF205">
        <w:t>PG&amp;E and SDG&amp;E recommended that 10 percent of the interest be transferred to the administrative budgets and the rest go to incentives to ensure the GGRF SGIP does not close prematurely due to lack of administrative funds.</w:t>
      </w:r>
      <w:r w:rsidRPr="0AD72574" w:rsidR="00B36EFC">
        <w:rPr>
          <w:rStyle w:val="FootnoteReference"/>
        </w:rPr>
        <w:footnoteReference w:id="86"/>
      </w:r>
      <w:r w:rsidR="00250432">
        <w:t xml:space="preserve"> </w:t>
      </w:r>
      <w:r w:rsidRPr="006C2ECF">
        <w:t>In reply comments, CALSSA agreed with PG&amp;E’s proposal that 10 percent of interest go to administrative budgets as long as the administration of the program was extended past June 30</w:t>
      </w:r>
      <w:r w:rsidRPr="006C2ECF">
        <w:rPr>
          <w:vertAlign w:val="superscript"/>
        </w:rPr>
        <w:t>th</w:t>
      </w:r>
      <w:r w:rsidRPr="006C2ECF">
        <w:t>, 2026 through 2032.</w:t>
      </w:r>
      <w:r w:rsidR="00B36EFC">
        <w:rPr>
          <w:rStyle w:val="FootnoteReference"/>
        </w:rPr>
        <w:footnoteReference w:id="87"/>
      </w:r>
      <w:r w:rsidR="00250432">
        <w:t xml:space="preserve"> </w:t>
      </w:r>
      <w:r w:rsidRPr="006C2ECF" w:rsidR="738FE08E">
        <w:t>SCE</w:t>
      </w:r>
      <w:r w:rsidR="347FC125">
        <w:t xml:space="preserve">’s comments </w:t>
      </w:r>
      <w:r w:rsidR="34A21DA5">
        <w:t>suggested</w:t>
      </w:r>
      <w:r>
        <w:t xml:space="preserve"> </w:t>
      </w:r>
      <w:r w:rsidRPr="006C2ECF">
        <w:t>that more than 5 percent of the interest will be needed to supplement the administrative budget and recommends the exact percentage be determined at a later date once the administrative needs of the GGRF SGIP are better understood.</w:t>
      </w:r>
      <w:r w:rsidR="00B36EFC">
        <w:rPr>
          <w:rStyle w:val="FootnoteReference"/>
        </w:rPr>
        <w:footnoteReference w:id="88"/>
      </w:r>
      <w:r w:rsidRPr="006C2ECF">
        <w:t xml:space="preserve"> GRID and Free Energy suggested that the Commission set reasonable limits on the percentage of interest that can be transferred to the administrative budget through </w:t>
      </w:r>
      <w:r w:rsidR="1DADB88C">
        <w:t>advice letter</w:t>
      </w:r>
      <w:r w:rsidRPr="006C2ECF">
        <w:t>.</w:t>
      </w:r>
      <w:r w:rsidR="00B36EFC">
        <w:rPr>
          <w:rStyle w:val="FootnoteReference"/>
        </w:rPr>
        <w:footnoteReference w:id="89"/>
      </w:r>
      <w:r w:rsidRPr="006C2ECF">
        <w:t xml:space="preserve"> </w:t>
      </w:r>
      <w:r w:rsidRPr="006C2ECF" w:rsidR="738FE08E">
        <w:t>CSE</w:t>
      </w:r>
      <w:r w:rsidR="478044D7">
        <w:t>’s comments</w:t>
      </w:r>
      <w:r w:rsidRPr="006C2ECF">
        <w:t xml:space="preserve"> recommended </w:t>
      </w:r>
      <w:r w:rsidRPr="006C2ECF">
        <w:lastRenderedPageBreak/>
        <w:t xml:space="preserve">that PAs use a Tier 2 </w:t>
      </w:r>
      <w:r w:rsidR="2D61C2E9">
        <w:t>advice letter</w:t>
      </w:r>
      <w:r w:rsidRPr="006C2ECF">
        <w:t xml:space="preserve"> to transfer any percentage of the accumulated interest to administrative budgets as CSE expects a high cancellation rate of projects and administrative churn in line with what was seen in the Equity Resiliency Budget.</w:t>
      </w:r>
      <w:r w:rsidR="00B36EFC">
        <w:rPr>
          <w:rStyle w:val="FootnoteReference"/>
        </w:rPr>
        <w:footnoteReference w:id="90"/>
      </w:r>
      <w:r w:rsidRPr="006C2ECF">
        <w:t xml:space="preserve"> </w:t>
      </w:r>
      <w:r w:rsidRPr="006C2ECF" w:rsidR="738FE08E">
        <w:t>S</w:t>
      </w:r>
      <w:r w:rsidR="7AD8AE7C">
        <w:t>o</w:t>
      </w:r>
      <w:r w:rsidRPr="006C2ECF" w:rsidR="738FE08E">
        <w:t>C</w:t>
      </w:r>
      <w:r w:rsidR="20E3FB04">
        <w:t>al</w:t>
      </w:r>
      <w:r w:rsidRPr="006C2ECF" w:rsidR="738FE08E">
        <w:t>G</w:t>
      </w:r>
      <w:r w:rsidR="344ADD01">
        <w:t>as</w:t>
      </w:r>
      <w:r w:rsidRPr="006C2ECF">
        <w:t xml:space="preserve"> recommended that the Tier 1 SGIP Budget </w:t>
      </w:r>
      <w:r w:rsidR="4277BF71">
        <w:t>advice letter</w:t>
      </w:r>
      <w:r w:rsidRPr="006C2ECF">
        <w:t xml:space="preserve"> be used to transfer up to 50 percent of the accumulated interest to the administrative budgets and the remaining </w:t>
      </w:r>
      <w:r w:rsidR="635FADA2">
        <w:t xml:space="preserve">accumulated interest </w:t>
      </w:r>
      <w:r w:rsidRPr="006C2ECF">
        <w:t>to the incentive budget.</w:t>
      </w:r>
      <w:r w:rsidR="00250432">
        <w:t xml:space="preserve"> </w:t>
      </w:r>
      <w:r w:rsidRPr="006C2ECF">
        <w:t xml:space="preserve">Once </w:t>
      </w:r>
      <w:r w:rsidRPr="006C2ECF" w:rsidR="002F5902">
        <w:t>GGRF</w:t>
      </w:r>
      <w:r w:rsidR="005107A9">
        <w:t xml:space="preserve"> SGIP</w:t>
      </w:r>
      <w:r w:rsidRPr="006C2ECF">
        <w:t xml:space="preserve"> closes, </w:t>
      </w:r>
      <w:r w:rsidRPr="006C2ECF" w:rsidR="738FE08E">
        <w:t>S</w:t>
      </w:r>
      <w:r w:rsidR="4DF0F30E">
        <w:t>o</w:t>
      </w:r>
      <w:r w:rsidRPr="006C2ECF" w:rsidR="738FE08E">
        <w:t>C</w:t>
      </w:r>
      <w:r w:rsidR="5445F10A">
        <w:t>al</w:t>
      </w:r>
      <w:r w:rsidRPr="006C2ECF" w:rsidR="738FE08E">
        <w:t>G</w:t>
      </w:r>
      <w:r w:rsidR="0B429B4A">
        <w:t>as’s comments</w:t>
      </w:r>
      <w:r w:rsidRPr="006C2ECF">
        <w:t xml:space="preserve"> recommended that the PA be able to transfer any amount of the interest to the administrative or M&amp;E budgets.</w:t>
      </w:r>
      <w:r w:rsidR="00B36EFC">
        <w:rPr>
          <w:rStyle w:val="FootnoteReference"/>
        </w:rPr>
        <w:footnoteReference w:id="91"/>
      </w:r>
      <w:r w:rsidRPr="006C2ECF">
        <w:t xml:space="preserve"> </w:t>
      </w:r>
    </w:p>
    <w:p w:rsidR="00B36EFC" w:rsidP="00B36EFC" w:rsidRDefault="000A2FDD" w14:paraId="7E0FE84D" w14:textId="1AE5EB5E">
      <w:pPr>
        <w:pStyle w:val="Heading3"/>
      </w:pPr>
      <w:bookmarkStart w:name="_Toc206771097" w:id="41"/>
      <w:r>
        <w:t>5.2.2</w:t>
      </w:r>
      <w:r w:rsidR="00F705D0">
        <w:tab/>
      </w:r>
      <w:r w:rsidR="00B36EFC">
        <w:t>Discussion and Analysis</w:t>
      </w:r>
      <w:bookmarkEnd w:id="41"/>
    </w:p>
    <w:p w:rsidRPr="00A34BAB" w:rsidR="00B36EFC" w:rsidP="00B36EFC" w:rsidRDefault="00B36EFC" w14:paraId="434FBACC" w14:textId="3F285076">
      <w:pPr>
        <w:pStyle w:val="Standard"/>
      </w:pPr>
      <w:r w:rsidRPr="0044161B">
        <w:t xml:space="preserve">The </w:t>
      </w:r>
      <w:r w:rsidR="00791B86">
        <w:t>2025</w:t>
      </w:r>
      <w:r>
        <w:t xml:space="preserve"> </w:t>
      </w:r>
      <w:r w:rsidRPr="0044161B">
        <w:t>T</w:t>
      </w:r>
      <w:r>
        <w:t xml:space="preserve">ier </w:t>
      </w:r>
      <w:r w:rsidRPr="0044161B">
        <w:t>1 SGIP Budget ALs</w:t>
      </w:r>
      <w:r w:rsidR="00A63D3E">
        <w:t>,</w:t>
      </w:r>
      <w:r w:rsidRPr="0044161B">
        <w:t xml:space="preserve"> show</w:t>
      </w:r>
      <w:r w:rsidR="00A63D3E">
        <w:t>ing</w:t>
      </w:r>
      <w:r w:rsidRPr="0044161B">
        <w:t xml:space="preserve"> funds as of January 1, 2025, </w:t>
      </w:r>
      <w:r>
        <w:t>indicates</w:t>
      </w:r>
      <w:r w:rsidRPr="0044161B">
        <w:t xml:space="preserve"> that LADWP had 38 percent</w:t>
      </w:r>
      <w:r w:rsidR="00BF0060">
        <w:t>,</w:t>
      </w:r>
      <w:r>
        <w:rPr>
          <w:rStyle w:val="FootnoteReference"/>
        </w:rPr>
        <w:footnoteReference w:id="92"/>
      </w:r>
      <w:r w:rsidRPr="0044161B">
        <w:t xml:space="preserve"> CSE had 2 percent</w:t>
      </w:r>
      <w:r w:rsidR="00BF0060">
        <w:t>,</w:t>
      </w:r>
      <w:r>
        <w:rPr>
          <w:rStyle w:val="FootnoteReference"/>
        </w:rPr>
        <w:footnoteReference w:id="93"/>
      </w:r>
      <w:r w:rsidRPr="0044161B">
        <w:t xml:space="preserve"> PG&amp;E had 7 percent</w:t>
      </w:r>
      <w:r w:rsidR="00C00C30">
        <w:t>,</w:t>
      </w:r>
      <w:r>
        <w:rPr>
          <w:rStyle w:val="FootnoteReference"/>
        </w:rPr>
        <w:footnoteReference w:id="94"/>
      </w:r>
      <w:r w:rsidRPr="0044161B">
        <w:t xml:space="preserve"> SCE had 7 percent</w:t>
      </w:r>
      <w:r w:rsidR="00D81894">
        <w:t>,</w:t>
      </w:r>
      <w:r>
        <w:rPr>
          <w:rStyle w:val="FootnoteReference"/>
        </w:rPr>
        <w:footnoteReference w:id="95"/>
      </w:r>
      <w:r w:rsidRPr="0044161B">
        <w:t xml:space="preserve"> and SCG had 22 percent</w:t>
      </w:r>
      <w:r>
        <w:rPr>
          <w:rStyle w:val="FootnoteReference"/>
        </w:rPr>
        <w:footnoteReference w:id="96"/>
      </w:r>
      <w:r w:rsidRPr="0044161B">
        <w:t xml:space="preserve"> of their administrative budgets expended or reserved. PG&amp;E claims 25 percent of their administrative budget will be used for database updates.</w:t>
      </w:r>
      <w:r>
        <w:rPr>
          <w:rStyle w:val="FootnoteReference"/>
        </w:rPr>
        <w:footnoteReference w:id="97"/>
      </w:r>
      <w:r w:rsidRPr="0044161B">
        <w:t xml:space="preserve"> As the GGRF SGIP budget </w:t>
      </w:r>
      <w:r>
        <w:t>opened</w:t>
      </w:r>
      <w:r w:rsidRPr="0044161B">
        <w:t xml:space="preserve"> for incentive reservation on June 2, 2025, the exact administrative burden is unknown.</w:t>
      </w:r>
      <w:r>
        <w:t xml:space="preserve"> Because</w:t>
      </w:r>
      <w:r w:rsidRPr="0044161B">
        <w:t xml:space="preserve"> the GGRF funds had a lower administrative budget allocation of 5 percent while the ratepayer side had an administrative budget allocation of </w:t>
      </w:r>
      <w:r w:rsidRPr="0044161B">
        <w:lastRenderedPageBreak/>
        <w:t>7-10 percent</w:t>
      </w:r>
      <w:r w:rsidR="00BF0060">
        <w:t>,</w:t>
      </w:r>
      <w:r>
        <w:rPr>
          <w:rStyle w:val="FootnoteReference"/>
        </w:rPr>
        <w:footnoteReference w:id="98"/>
      </w:r>
      <w:r w:rsidRPr="0044161B">
        <w:t xml:space="preserve"> it is reasonable to assume that the PAs will need more administrative funds to successfully carry out the GGRF SGIP. </w:t>
      </w:r>
      <w:r w:rsidRPr="008E7507">
        <w:t xml:space="preserve">Therefore, </w:t>
      </w:r>
      <w:r w:rsidRPr="008E7507" w:rsidR="00A5483A">
        <w:t xml:space="preserve">the Commission finds </w:t>
      </w:r>
      <w:r w:rsidRPr="008E7507">
        <w:t>that the SGIP PAs be able to transfer up to 10 percent of the accumulated interest annually to the administrative budget in the existing Tier 1 SGIP Budget AL and any additional transfer to the administrative budget to require a Tier 2 AL. </w:t>
      </w:r>
      <w:r w:rsidRPr="008E7507" w:rsidR="00AC3406">
        <w:t xml:space="preserve">Any interest not transferred to the administrative budget should be transferred to the incentive </w:t>
      </w:r>
      <w:r w:rsidRPr="008E7507" w:rsidR="00AE09AC">
        <w:t>budget while the program is still accepting applications.</w:t>
      </w:r>
      <w:r w:rsidR="00250432">
        <w:t xml:space="preserve"> </w:t>
      </w:r>
    </w:p>
    <w:p w:rsidR="00186DDA" w:rsidP="00F705D0" w:rsidRDefault="00667112" w14:paraId="5E024911" w14:textId="292A4F83">
      <w:pPr>
        <w:pStyle w:val="Heading1"/>
        <w:numPr>
          <w:ilvl w:val="0"/>
          <w:numId w:val="46"/>
        </w:numPr>
        <w:ind w:left="720" w:hanging="720"/>
      </w:pPr>
      <w:bookmarkStart w:name="_Toc8123723" w:id="42"/>
      <w:bookmarkStart w:name="_Toc206771098" w:id="43"/>
      <w:bookmarkEnd w:id="10"/>
      <w:r>
        <w:t>Summary of Public Comment</w:t>
      </w:r>
    </w:p>
    <w:p w:rsidRPr="00667112" w:rsidR="00667112" w:rsidP="00667112" w:rsidRDefault="00667112" w14:paraId="437B5464" w14:textId="666126DF">
      <w:pPr>
        <w:pStyle w:val="Standard"/>
      </w:pPr>
      <w:r>
        <w:t xml:space="preserve">Public comments </w:t>
      </w:r>
      <w:r w:rsidR="00B97ABC">
        <w:t xml:space="preserve">on the proposed decision included support for granting time extensions for SGIP projects as described in the decision, concerns that the SGIP </w:t>
      </w:r>
      <w:r w:rsidR="000622DE">
        <w:t xml:space="preserve">demand response requirement undermines the core intent of the Equity </w:t>
      </w:r>
      <w:r w:rsidR="00A62468">
        <w:t>Resiliency</w:t>
      </w:r>
      <w:r w:rsidR="000622DE">
        <w:t xml:space="preserve"> program, a request for exemption from the demand response requirement so that a project can proceed, concern about the demand response participation requirement for low-income customers, and concern that SGIP generation funds not be pooled so that funds remain available for clean energy wind projects.</w:t>
      </w:r>
    </w:p>
    <w:p w:rsidR="005939A5" w:rsidP="00F705D0" w:rsidRDefault="005939A5" w14:paraId="277F0A43" w14:textId="17F646AE">
      <w:pPr>
        <w:pStyle w:val="Heading1"/>
        <w:numPr>
          <w:ilvl w:val="0"/>
          <w:numId w:val="46"/>
        </w:numPr>
        <w:ind w:left="720" w:hanging="720"/>
      </w:pPr>
      <w:r>
        <w:t>Comments on Proposed Decision</w:t>
      </w:r>
      <w:bookmarkEnd w:id="42"/>
      <w:bookmarkEnd w:id="43"/>
    </w:p>
    <w:p w:rsidR="00770D96" w:rsidP="00770D96" w:rsidRDefault="005C58FA" w14:paraId="3AAE25DF" w14:textId="77777777">
      <w:pPr>
        <w:pStyle w:val="Standard"/>
      </w:pPr>
      <w:r w:rsidRPr="00230D85">
        <w:t xml:space="preserve">The proposed decision of Commissioner </w:t>
      </w:r>
      <w:r w:rsidRPr="00230D85" w:rsidR="008C671B">
        <w:t>Karen</w:t>
      </w:r>
      <w:r w:rsidR="008C671B">
        <w:t xml:space="preserve"> </w:t>
      </w:r>
      <w:r w:rsidR="00230D85">
        <w:t>Douglas</w:t>
      </w:r>
      <w:r>
        <w:t xml:space="preserve"> in this matter was mailed to the parties in accordance with Section 311 of the Public Utilities Code and comments were allowed under Rule 14.3 of the Commission’s Rules of Practice and Procedure.</w:t>
      </w:r>
      <w:r w:rsidR="00250432">
        <w:t xml:space="preserve"> </w:t>
      </w:r>
      <w:r w:rsidR="00770D96">
        <w:t xml:space="preserve">Opening comments were filed on September 18, 2025, by SCE, CSE, SoCalGas, CALSSA, PG&amp;E, the Joint CCAs, Peninsula Clean Energy (PCE), the Southern California Tribal Chairmen’s Association (SCTCA), CA </w:t>
      </w:r>
      <w:r w:rsidR="00770D96">
        <w:lastRenderedPageBreak/>
        <w:t>Efficiency + Demand Management with Leapfrog Power (Leapfrog) and reply comments were filed on September 23, 2025 by Cal Advocates, PG&amp;E, CSE, the Joint CCAs, and Rural County Representatives of CA (RCRC).</w:t>
      </w:r>
    </w:p>
    <w:p w:rsidR="00B46F02" w:rsidP="00770D96" w:rsidRDefault="00770D96" w14:paraId="7A84D0BC" w14:textId="4740AE41">
      <w:pPr>
        <w:pStyle w:val="Standard"/>
      </w:pPr>
      <w:r>
        <w:t>Parties’ comments touched on many topics in the proposed decision, ranging from major items like modifications to criteria for SGIP project extensions, to other items like clarifying COVID-19 Stays on Cancellation that are already granted will be honored. The text below reviews the major topics and other topics and clarifications that were included in party comments.</w:t>
      </w:r>
    </w:p>
    <w:p w:rsidRPr="00A07444" w:rsidR="00B46F02" w:rsidP="00B46F02" w:rsidRDefault="00B46F02" w14:paraId="5448C3FE" w14:textId="77777777">
      <w:pPr>
        <w:pStyle w:val="Standard"/>
        <w:ind w:firstLine="0"/>
        <w:rPr>
          <w:b/>
          <w:bCs/>
          <w:i/>
          <w:iCs/>
          <w:sz w:val="28"/>
          <w:szCs w:val="28"/>
        </w:rPr>
      </w:pPr>
      <w:r w:rsidRPr="00A07444">
        <w:rPr>
          <w:b/>
          <w:bCs/>
          <w:i/>
          <w:iCs/>
          <w:sz w:val="28"/>
          <w:szCs w:val="28"/>
        </w:rPr>
        <w:t>Major Topics Addressed in Party Comments:</w:t>
      </w:r>
    </w:p>
    <w:p w:rsidRPr="00C83A14" w:rsidR="00B46F02" w:rsidP="00B46F02" w:rsidRDefault="00B46F02" w14:paraId="0693BF51" w14:textId="77777777">
      <w:pPr>
        <w:pStyle w:val="Standard"/>
        <w:ind w:left="720" w:firstLine="0"/>
        <w:rPr>
          <w:b/>
          <w:bCs/>
          <w:u w:val="single"/>
        </w:rPr>
      </w:pPr>
      <w:r w:rsidRPr="00C83A14">
        <w:rPr>
          <w:b/>
          <w:bCs/>
          <w:u w:val="single"/>
        </w:rPr>
        <w:t>Criteria for SGIP Project Extensions</w:t>
      </w:r>
    </w:p>
    <w:p w:rsidR="00B46F02" w:rsidP="00B46F02" w:rsidRDefault="00B46F02" w14:paraId="6D1F4A4F" w14:textId="77777777">
      <w:pPr>
        <w:pStyle w:val="Standard"/>
        <w:ind w:firstLine="0"/>
      </w:pPr>
      <w:r>
        <w:tab/>
        <w:t>The proposed decision grants all SGIP non-residential equity projects four additional six-month extensions retroactively from February 1, 2025, if:</w:t>
      </w:r>
    </w:p>
    <w:p w:rsidR="00B46F02" w:rsidP="00B46F02" w:rsidRDefault="00B46F02" w14:paraId="6472A844" w14:textId="77777777">
      <w:pPr>
        <w:pStyle w:val="Standard"/>
        <w:numPr>
          <w:ilvl w:val="0"/>
          <w:numId w:val="58"/>
        </w:numPr>
      </w:pPr>
      <w:r>
        <w:t>The host customer has begun installing the project and has passed the Proof of Project Milestone submitted stage.</w:t>
      </w:r>
    </w:p>
    <w:p w:rsidR="00B46F02" w:rsidP="00B46F02" w:rsidRDefault="00B46F02" w14:paraId="1DAE2461" w14:textId="77777777">
      <w:pPr>
        <w:pStyle w:val="Standard"/>
        <w:numPr>
          <w:ilvl w:val="0"/>
          <w:numId w:val="58"/>
        </w:numPr>
      </w:pPr>
      <w:r>
        <w:t>The project will be completed before all extensions expire.</w:t>
      </w:r>
    </w:p>
    <w:p w:rsidR="00B46F02" w:rsidP="00B46F02" w:rsidRDefault="00B46F02" w14:paraId="3CB65164" w14:textId="77777777">
      <w:pPr>
        <w:pStyle w:val="Standard"/>
        <w:numPr>
          <w:ilvl w:val="0"/>
          <w:numId w:val="58"/>
        </w:numPr>
      </w:pPr>
      <w:r>
        <w:t>The host customer agrees to transition to the Net Billing Tariff and participate in an SGIP qualifying demand response program for ten years from Incentive Claim Form submission.</w:t>
      </w:r>
    </w:p>
    <w:p w:rsidR="00B46F02" w:rsidP="00B46F02" w:rsidRDefault="00B46F02" w14:paraId="395D2CFD" w14:textId="77777777">
      <w:pPr>
        <w:pStyle w:val="Standard"/>
      </w:pPr>
      <w:r>
        <w:t>SCTCA’s comments to the PD stated that the three criteria or conditions above lack record support and they expressed specific issues or requested clarifications related to each criteria. According to SCTCA’s comments, the PD does not define the phrase ”begun installing the project” in criterion (i).</w:t>
      </w:r>
      <w:r w:rsidRPr="1875746E">
        <w:rPr>
          <w:rStyle w:val="FootnoteReference"/>
        </w:rPr>
        <w:footnoteReference w:id="99"/>
      </w:r>
      <w:r>
        <w:t xml:space="preserve"> Therefore, they argue that how ”begun installing” is interpreted could derail SGIP equity projects and create risk and uncertainty for SGIP equity rebate </w:t>
      </w:r>
      <w:r>
        <w:lastRenderedPageBreak/>
        <w:t>reservation holders.</w:t>
      </w:r>
      <w:r w:rsidRPr="1875746E">
        <w:rPr>
          <w:rStyle w:val="FootnoteReference"/>
        </w:rPr>
        <w:footnoteReference w:id="100"/>
      </w:r>
      <w:r w:rsidRPr="1ECBEDD1">
        <w:rPr>
          <w:rStyle w:val="FootnoteReference"/>
        </w:rPr>
        <w:t xml:space="preserve"> </w:t>
      </w:r>
      <w:r>
        <w:t>CSE’s comments supported SCTCA’s recommendations to retain the project extensions and reject additional requirements for host customers, and should include both equity and equity resilience projects.</w:t>
      </w:r>
      <w:r w:rsidRPr="1875746E">
        <w:rPr>
          <w:rStyle w:val="FootnoteReference"/>
        </w:rPr>
        <w:footnoteReference w:id="101"/>
      </w:r>
      <w:r w:rsidRPr="1ECBEDD1">
        <w:rPr>
          <w:rStyle w:val="FootnoteReference"/>
        </w:rPr>
        <w:t xml:space="preserve"> </w:t>
      </w:r>
      <w:r>
        <w:t xml:space="preserve"> PG&amp;E’s reply comments recommended granting extensions for non-residential projects that are built.</w:t>
      </w:r>
      <w:r w:rsidRPr="1875746E">
        <w:rPr>
          <w:rStyle w:val="FootnoteReference"/>
        </w:rPr>
        <w:footnoteReference w:id="102"/>
      </w:r>
      <w:r>
        <w:t xml:space="preserve">  </w:t>
      </w:r>
    </w:p>
    <w:p w:rsidR="00B46F02" w:rsidP="00B46F02" w:rsidRDefault="00B46F02" w14:paraId="4693C093" w14:textId="77777777">
      <w:pPr>
        <w:pStyle w:val="Standard"/>
      </w:pPr>
      <w:r>
        <w:t xml:space="preserve">The Commission agrees that the “begun installing” criterion may negatively impact non-residential equity and equity resiliency SGIP projects. Therefore, this criterion (i) is modified to read ‘The host customer has passed the Proof of Project Milestone submitted stage.’ The Commission clarifies that these extensions apply to SGIP non-residential equity projects in both the Non-Residential Equity and Equity Resiliency budget and makes this explicit in the PD.  </w:t>
      </w:r>
    </w:p>
    <w:p w:rsidR="00B46F02" w:rsidP="00B46F02" w:rsidRDefault="00B46F02" w14:paraId="2D4F9900" w14:textId="77777777">
      <w:pPr>
        <w:pStyle w:val="Standard"/>
      </w:pPr>
      <w:r>
        <w:t xml:space="preserve">Regarding the second criterion (ii), SCTCA’s comments agreed with the intent of the criterion but recommended that the PA considering an extension request should refer to the SGIP Handbook and should include an estimate of whether interconnection of the project will fall within the requested final six-month extension of the project’s reservation expiration date instead of adding </w:t>
      </w:r>
      <w:r>
        <w:lastRenderedPageBreak/>
        <w:t>this new requirement.</w:t>
      </w:r>
      <w:r w:rsidRPr="1875746E">
        <w:rPr>
          <w:rStyle w:val="FootnoteReference"/>
        </w:rPr>
        <w:footnoteReference w:id="103"/>
      </w:r>
      <w:r>
        <w:t xml:space="preserve"> CSE’s reply comments supported SCTCA’s proposal for criterion (ii).</w:t>
      </w:r>
      <w:r w:rsidRPr="1875746E">
        <w:rPr>
          <w:rStyle w:val="FootnoteReference"/>
        </w:rPr>
        <w:footnoteReference w:id="104"/>
      </w:r>
      <w:r>
        <w:t xml:space="preserve">  </w:t>
      </w:r>
    </w:p>
    <w:p w:rsidR="00B46F02" w:rsidP="00B46F02" w:rsidRDefault="00B46F02" w14:paraId="61AD676B" w14:textId="77777777">
      <w:pPr>
        <w:pStyle w:val="Standard"/>
      </w:pPr>
      <w:r>
        <w:t>After reviewing party comments about criterion (ii), the Commission has determined that no change is needed to the language in the PD. Therefore, the PD text for criterion (ii) is retained, ”The project will be completed before all extensions expire.”</w:t>
      </w:r>
    </w:p>
    <w:p w:rsidR="00B46F02" w:rsidP="00B46F02" w:rsidRDefault="00B46F02" w14:paraId="54656C94" w14:textId="77777777">
      <w:pPr>
        <w:pStyle w:val="Standard"/>
      </w:pPr>
      <w:r>
        <w:t>Regarding the third criterion (iii), SCTCA’s comments argue that this  represents a significant change to program requirements under substantially different circumstances a long time after most of the at risk Equity and Equity Resilience projects, now needing relief, were initiated.</w:t>
      </w:r>
      <w:r w:rsidRPr="1875746E">
        <w:rPr>
          <w:rStyle w:val="FootnoteReference"/>
        </w:rPr>
        <w:footnoteReference w:id="105"/>
      </w:r>
      <w:r>
        <w:t xml:space="preserve"> SCTCA’s comments further assert that they nor other parties had any opportunity to assess the new requirements prior to their appearance in the PD.</w:t>
      </w:r>
      <w:r w:rsidRPr="1875746E">
        <w:rPr>
          <w:rStyle w:val="FootnoteReference"/>
        </w:rPr>
        <w:footnoteReference w:id="106"/>
      </w:r>
      <w:r>
        <w:t xml:space="preserve">  </w:t>
      </w:r>
    </w:p>
    <w:p w:rsidR="00B46F02" w:rsidP="00B46F02" w:rsidRDefault="00B46F02" w14:paraId="52035B82" w14:textId="77777777">
      <w:pPr>
        <w:pStyle w:val="Standard"/>
        <w:ind w:firstLine="0"/>
      </w:pPr>
      <w:r>
        <w:tab/>
        <w:t>CALSSA’s comments recommended that the Commission remove criterion (iii) from the decision because, “many non-residential equity projects, e.g. school districts, tribal governments, state and local agencies, must follow stringent capital-project procedures to document approvals and ensure transparency for public audits.</w:t>
      </w:r>
      <w:r w:rsidRPr="1875746E">
        <w:rPr>
          <w:rStyle w:val="FootnoteReference"/>
        </w:rPr>
        <w:footnoteReference w:id="107"/>
      </w:r>
      <w:r>
        <w:t xml:space="preserve">  RCRC’s reply comments reinforced CALSSA’s position by arguing that applying criteria (i, ii, and iii) retroactively to non-residential equity projects would unreasonably and financially undermine projects already under </w:t>
      </w:r>
      <w:r>
        <w:lastRenderedPageBreak/>
        <w:t>construction. SoCal Gas’s comments supported removing the NBT requirement and retaining demand response. According to their comments, including the NBT requirement will impact a project’s financials that were not considered when financial investment decisions were made.</w:t>
      </w:r>
      <w:r w:rsidRPr="1875746E">
        <w:rPr>
          <w:rStyle w:val="FootnoteReference"/>
        </w:rPr>
        <w:footnoteReference w:id="108"/>
      </w:r>
      <w:r>
        <w:t xml:space="preserve"> SoCalGas’s comments also mentioned that historically the program does not retroactively apply new program rules, ”projects follow the SGIP Handbook version in effect at the time of project submission.”</w:t>
      </w:r>
      <w:r w:rsidRPr="1875746E">
        <w:rPr>
          <w:rStyle w:val="FootnoteReference"/>
        </w:rPr>
        <w:footnoteReference w:id="109"/>
      </w:r>
      <w:r>
        <w:t xml:space="preserve"> </w:t>
      </w:r>
    </w:p>
    <w:p w:rsidR="00B46F02" w:rsidP="00B46F02" w:rsidRDefault="00B46F02" w14:paraId="65DA59B9" w14:textId="77777777">
      <w:pPr>
        <w:pStyle w:val="Standard"/>
      </w:pPr>
      <w:r>
        <w:t>PG&amp;E’s reply comments supported retaining demand response participation for non-residential SGIP projects. According to PG&amp;E’s comments, ”application of the demand response requirement is appropriate because had the applicant elected to cancel and reapply to secure additional time for their project they would be subject to the new program rules. Therefore, projects that receive additional extensions should at least participate in demand response. This ensures that these projects provide additional benefits in exchange for additional extensions when the alternative would be to not receive a SGIP incentive.”</w:t>
      </w:r>
      <w:r w:rsidRPr="1875746E">
        <w:rPr>
          <w:rStyle w:val="FootnoteReference"/>
        </w:rPr>
        <w:footnoteReference w:id="110"/>
      </w:r>
      <w:r>
        <w:t xml:space="preserve"> In their reply comments to the PD Cal Advocates recommended that the Commission reject requests to remove the requirement for non-residential equity projects to be on NBT.</w:t>
      </w:r>
      <w:r w:rsidRPr="1875746E">
        <w:rPr>
          <w:rStyle w:val="FootnoteReference"/>
        </w:rPr>
        <w:footnoteReference w:id="111"/>
      </w:r>
      <w:r>
        <w:t xml:space="preserve">  Cal Advocates’ comments assert that ”projects are required to comply with recent program rules that are intended to improve ratepayer benefits, such as transitioning to the NBT and enrolling in a qualified </w:t>
      </w:r>
      <w:r>
        <w:lastRenderedPageBreak/>
        <w:t>demand response program.”</w:t>
      </w:r>
      <w:r w:rsidRPr="1875746E">
        <w:rPr>
          <w:rStyle w:val="FootnoteReference"/>
        </w:rPr>
        <w:footnoteReference w:id="112"/>
      </w:r>
      <w:r w:rsidRPr="1ECBEDD1">
        <w:rPr>
          <w:rStyle w:val="FootnoteReference"/>
        </w:rPr>
        <w:t xml:space="preserve">  </w:t>
      </w:r>
      <w:r>
        <w:t>Cal Advocates asserts that this NBT requirement also aligns with SGIP requiring other tariff alignment (e.g. Time-of-Use (TOU), Demand Response enrollment) as a condition of SGIP participation.</w:t>
      </w:r>
      <w:r w:rsidRPr="1875746E">
        <w:rPr>
          <w:rStyle w:val="FootnoteReference"/>
        </w:rPr>
        <w:footnoteReference w:id="113"/>
      </w:r>
    </w:p>
    <w:p w:rsidRPr="00EF43B8" w:rsidR="00EF43B8" w:rsidP="00EF43B8" w:rsidRDefault="00EF43B8" w14:paraId="5342E8F6" w14:textId="1020806E">
      <w:pPr>
        <w:pStyle w:val="Standard"/>
      </w:pPr>
      <w:r w:rsidRPr="00EF43B8">
        <w:t>Regarding criterion (iii)</w:t>
      </w:r>
      <w:r w:rsidR="00342EA0">
        <w:t>,</w:t>
      </w:r>
      <w:r w:rsidRPr="00EF43B8">
        <w:t xml:space="preserve"> the Commission has examined the arguments that parties have introduced in their comments in support of rejecting or retaining the NBT and demand response requirements as a condition of project extensions. When the Commission</w:t>
      </w:r>
      <w:r w:rsidR="00D51FA6">
        <w:t xml:space="preserve"> initially</w:t>
      </w:r>
      <w:r w:rsidRPr="00EF43B8">
        <w:t xml:space="preserve"> responded to the SCTCA’s motion by granting four six-month extensions for the SGIP projects that were already expired or soon to expire, the Commission applied the existing program rules to those projects. These rules were established in March of 2024 by D.24-03-071 requiring NBT and DR enrollment for new SGIP applications. </w:t>
      </w:r>
    </w:p>
    <w:p w:rsidRPr="00EF43B8" w:rsidR="00EF43B8" w:rsidP="0056582A" w:rsidRDefault="00EF43B8" w14:paraId="48F003A0" w14:textId="5EA326B5">
      <w:pPr>
        <w:pStyle w:val="Standard"/>
      </w:pPr>
      <w:r w:rsidRPr="00EF43B8">
        <w:t xml:space="preserve">Granting extensions are a significant change in </w:t>
      </w:r>
      <w:r w:rsidR="00002771">
        <w:t xml:space="preserve">SGIP </w:t>
      </w:r>
      <w:r w:rsidRPr="00EF43B8">
        <w:t xml:space="preserve">program rules conferring a new benefit (i.e. up to four </w:t>
      </w:r>
      <w:r w:rsidR="00BD14FA">
        <w:t xml:space="preserve">additional </w:t>
      </w:r>
      <w:r w:rsidRPr="00EF43B8">
        <w:t xml:space="preserve">six-month extensions not allowed under the program) for projects that might otherwise be subject to cancellation and reapplication. Reapplication would, since D.24-03-071, </w:t>
      </w:r>
      <w:r w:rsidR="00831FF6">
        <w:t>trigge</w:t>
      </w:r>
      <w:r w:rsidR="00BD14FA">
        <w:t>r</w:t>
      </w:r>
      <w:r w:rsidR="00831FF6">
        <w:t xml:space="preserve"> the </w:t>
      </w:r>
      <w:r w:rsidRPr="00EF43B8">
        <w:t>require</w:t>
      </w:r>
      <w:r w:rsidR="00831FF6">
        <w:t>ment that</w:t>
      </w:r>
      <w:r w:rsidRPr="00EF43B8">
        <w:t xml:space="preserve"> all non-residential equity projects submitting applications to SGIP to be on NBT and participate in a demand response program.</w:t>
      </w:r>
    </w:p>
    <w:p w:rsidRPr="00EF43B8" w:rsidR="00EF43B8" w:rsidP="000B56B5" w:rsidRDefault="00EF43B8" w14:paraId="3AC7FE4C" w14:textId="1B55F098">
      <w:pPr>
        <w:pStyle w:val="Standard"/>
      </w:pPr>
      <w:r w:rsidRPr="00EF43B8">
        <w:t>D. 24-03-071 affirmed that a key goal of the NBT is to reduce the large cost shift created by stand-alone solar NEM customers by encouraging pairing of solar with storage</w:t>
      </w:r>
      <w:r w:rsidR="00E5724E">
        <w:t xml:space="preserve">. </w:t>
      </w:r>
      <w:r w:rsidR="00E631BF">
        <w:t>The decision also confirmed that</w:t>
      </w:r>
      <w:r w:rsidRPr="00EF43B8">
        <w:t xml:space="preserve"> SGIP should be aligned and consistent with the policy goals of NBT. Among other things, D.24-03-071 required NEM 1.0 and 2.0 customers that apply for SGIP, after the effective date </w:t>
      </w:r>
      <w:r w:rsidRPr="00EF43B8">
        <w:lastRenderedPageBreak/>
        <w:t>of the decision, and all new SGIP applicants that install solar to transition to the NBT and to enroll in an approved, qualified DR program.  </w:t>
      </w:r>
    </w:p>
    <w:p w:rsidRPr="00EF43B8" w:rsidR="00EF43B8" w:rsidP="00C756AA" w:rsidRDefault="00EF43B8" w14:paraId="2573760A" w14:textId="331AB3F8">
      <w:pPr>
        <w:pStyle w:val="Standard"/>
      </w:pPr>
      <w:r w:rsidRPr="00EF43B8">
        <w:t>Thus, the Commission initially determined that projects receiving potential extensions would be subject to the D. 24-03-071</w:t>
      </w:r>
      <w:r w:rsidR="00BD14FA">
        <w:t>,</w:t>
      </w:r>
      <w:r w:rsidRPr="00EF43B8">
        <w:t xml:space="preserve"> and</w:t>
      </w:r>
      <w:r w:rsidR="00BD14FA">
        <w:t xml:space="preserve"> in effect be</w:t>
      </w:r>
      <w:r w:rsidRPr="00EF43B8">
        <w:t xml:space="preserve"> treated as new projects. This </w:t>
      </w:r>
      <w:r w:rsidR="00C756AA">
        <w:t xml:space="preserve">approach </w:t>
      </w:r>
      <w:r w:rsidRPr="00EF43B8">
        <w:t xml:space="preserve">reduces the cost shift due to these projects and confers new benefit compared to other projects applying any time within the past year and a half. </w:t>
      </w:r>
      <w:r w:rsidRPr="00EF43B8">
        <w:rPr>
          <w:rFonts w:ascii="Times New Roman" w:hAnsi="Times New Roman" w:cs="Times New Roman"/>
        </w:rPr>
        <w:t> </w:t>
      </w:r>
      <w:r w:rsidRPr="00EF43B8">
        <w:t>However, upon</w:t>
      </w:r>
      <w:r w:rsidR="00BD14FA">
        <w:t xml:space="preserve"> further</w:t>
      </w:r>
      <w:r w:rsidRPr="00EF43B8">
        <w:t xml:space="preserve"> reviewing party comments,</w:t>
      </w:r>
      <w:r w:rsidR="00A86D6E">
        <w:t xml:space="preserve"> including those from CALSSA</w:t>
      </w:r>
      <w:r w:rsidR="00A86D6E">
        <w:rPr>
          <w:rStyle w:val="FootnoteReference"/>
        </w:rPr>
        <w:footnoteReference w:id="114"/>
      </w:r>
      <w:r w:rsidR="00A86D6E">
        <w:t>, SCTCA</w:t>
      </w:r>
      <w:r w:rsidR="00A86D6E">
        <w:rPr>
          <w:rStyle w:val="FootnoteReference"/>
        </w:rPr>
        <w:footnoteReference w:id="115"/>
      </w:r>
      <w:r w:rsidR="00A86D6E">
        <w:t xml:space="preserve"> and RCRC</w:t>
      </w:r>
      <w:r w:rsidR="00A86D6E">
        <w:rPr>
          <w:rStyle w:val="FootnoteReference"/>
        </w:rPr>
        <w:footnoteReference w:id="116"/>
      </w:r>
      <w:r w:rsidR="00A86D6E">
        <w:t>,</w:t>
      </w:r>
      <w:r w:rsidRPr="00EF43B8">
        <w:t xml:space="preserve"> the Commission </w:t>
      </w:r>
      <w:r w:rsidR="00BD14FA">
        <w:t>recognizes</w:t>
      </w:r>
      <w:r w:rsidRPr="00EF43B8">
        <w:t xml:space="preserve"> that many of the tribal, local government, and school district projects are at or near completion and </w:t>
      </w:r>
      <w:r w:rsidR="00BD14FA">
        <w:t>were</w:t>
      </w:r>
      <w:r w:rsidRPr="00EF43B8">
        <w:t xml:space="preserve"> approv</w:t>
      </w:r>
      <w:r w:rsidR="00BD14FA">
        <w:t>ed</w:t>
      </w:r>
      <w:r w:rsidRPr="00EF43B8">
        <w:t xml:space="preserve"> by governing bodies based on reasonable financial assumptions and expectations made at the time that the SGIP applications were submitted.  </w:t>
      </w:r>
    </w:p>
    <w:p w:rsidRPr="00EF43B8" w:rsidR="00EF43B8" w:rsidP="00031FCA" w:rsidRDefault="00EF43B8" w14:paraId="59841B99" w14:textId="503609A9">
      <w:pPr>
        <w:pStyle w:val="Standard"/>
      </w:pPr>
      <w:r w:rsidRPr="00EF43B8">
        <w:t>The financial impacts of transitioning to NBT was highlighted in SCTCA’s Opening Comments to the PD as follows, “lifetime financial consequences for host customers may be substantial, in some cases undermining the economic basis upon which investment decisions were made. Furthermore, this requirement could impose new, significant project delays as Tribes and DACs re-evaluate project economics, and if projects are still economically viable, take steps to modify interconnection applications and agreements.”</w:t>
      </w:r>
      <w:r w:rsidRPr="00EF43B8">
        <w:rPr>
          <w:vertAlign w:val="superscript"/>
        </w:rPr>
        <w:footnoteReference w:id="117"/>
      </w:r>
      <w:r w:rsidRPr="00EF43B8">
        <w:t> </w:t>
      </w:r>
    </w:p>
    <w:p w:rsidRPr="00162912" w:rsidR="00162912" w:rsidP="00162912" w:rsidRDefault="00EF43B8" w14:paraId="48BCAE71" w14:textId="77777777">
      <w:pPr>
        <w:pStyle w:val="Standard"/>
      </w:pPr>
      <w:r w:rsidRPr="00EF43B8">
        <w:t xml:space="preserve">The party comments support a determination that requiring a transition to NBT has potential to create financial harm and </w:t>
      </w:r>
      <w:r w:rsidR="00A20749">
        <w:t xml:space="preserve">exert an </w:t>
      </w:r>
      <w:r w:rsidRPr="00EF43B8">
        <w:t>adverse impact</w:t>
      </w:r>
      <w:r w:rsidR="00A20749">
        <w:t xml:space="preserve"> on</w:t>
      </w:r>
      <w:r w:rsidRPr="00EF43B8">
        <w:t xml:space="preserve"> these projects</w:t>
      </w:r>
      <w:r w:rsidR="00DF2180">
        <w:t xml:space="preserve"> that are</w:t>
      </w:r>
      <w:r w:rsidRPr="00EF43B8">
        <w:t xml:space="preserve"> at a state very near to completion. Therefore, we deem it </w:t>
      </w:r>
      <w:r w:rsidRPr="00EF43B8">
        <w:lastRenderedPageBreak/>
        <w:t>appropriate under the narrow circumstances presented</w:t>
      </w:r>
      <w:r w:rsidR="00DF2180">
        <w:t xml:space="preserve"> for these projects</w:t>
      </w:r>
      <w:r w:rsidRPr="00EF43B8">
        <w:t xml:space="preserve"> to remove the requirement to transition to NBT from criterion (iii). </w:t>
      </w:r>
      <w:r w:rsidRPr="00162912" w:rsidR="00162912">
        <w:t xml:space="preserve">The projects must still meet the deadlines and requirements set out in D.22-12-056 and the approved and governing NEM 2.0 tariffs in order to take service on NEM 2.0 and NEM 2A (load aggregation customers). </w:t>
      </w:r>
    </w:p>
    <w:p w:rsidR="00D92E49" w:rsidP="00D92E49" w:rsidRDefault="00EF43B8" w14:paraId="7204E1C7" w14:textId="77777777">
      <w:pPr>
        <w:pStyle w:val="Standard"/>
      </w:pPr>
      <w:r w:rsidRPr="00EF43B8">
        <w:t>D. 24-03-071 also established a requirement that all new SGIP participants in all energy storage program budget must enroll in one of the SGIP approved DR programs. The decision explains that based on impact evaluations of SGIP-incentivized systems, grid value remains unrealized and underutilized due to the way these systems operate, particularly in regard to discharge during the system net peak period. It further explains that the SGIP incentive funds target advanced solar and storage systems that are capable of dynamic charge and discharge schedules, and the Commission is mandated to ensure that they operate for the maximum grid, GHG, and other customer benefits. In addition, AB 209 specifically requires the CPUC to “consider requiring customers installing solar photovoltaic systems paired with energy storage systems, to participate in a demand response or peak load reduction program offered through the customer’s load-serving entity.”</w:t>
      </w:r>
      <w:r w:rsidRPr="00EF43B8">
        <w:rPr>
          <w:vertAlign w:val="superscript"/>
        </w:rPr>
        <w:footnoteReference w:id="118"/>
      </w:r>
      <w:r w:rsidRPr="00EF43B8">
        <w:t xml:space="preserve"> </w:t>
      </w:r>
    </w:p>
    <w:p w:rsidRPr="00EF43B8" w:rsidR="00EF43B8" w:rsidP="00D92E49" w:rsidRDefault="00EF43B8" w14:paraId="3D8D908D" w14:textId="64D1213B">
      <w:pPr>
        <w:pStyle w:val="Standard"/>
      </w:pPr>
      <w:r w:rsidRPr="00EF43B8">
        <w:t xml:space="preserve">PG&amp;E and SoCalGas’ comments supported retaining the requirement for SGIP non-residential projects to participate in demand response programs and remove the requirement to transition to NBT. </w:t>
      </w:r>
      <w:r w:rsidR="00F40EFB">
        <w:t xml:space="preserve">The Commission did not find other party comments opposing the DR requirement for these projects because of the added uncertainty or risk to be persuasive. </w:t>
      </w:r>
      <w:r w:rsidRPr="00EF43B8">
        <w:t xml:space="preserve">Therefore, the Commission finds it </w:t>
      </w:r>
      <w:r w:rsidRPr="00EF43B8">
        <w:lastRenderedPageBreak/>
        <w:t xml:space="preserve">reasonable to retain a requirement for SGIP projects receiving extensions to participate in SGIP qualifying DR programs.   </w:t>
      </w:r>
    </w:p>
    <w:p w:rsidRPr="00AB5421" w:rsidR="00B46F02" w:rsidP="00B46F02" w:rsidRDefault="00B46F02" w14:paraId="15E79650" w14:textId="77777777">
      <w:pPr>
        <w:pStyle w:val="Standard"/>
        <w:ind w:left="720" w:firstLine="0"/>
        <w:rPr>
          <w:b/>
          <w:bCs/>
          <w:u w:val="single"/>
        </w:rPr>
      </w:pPr>
      <w:r w:rsidRPr="00AB5421">
        <w:rPr>
          <w:b/>
          <w:bCs/>
          <w:u w:val="single"/>
        </w:rPr>
        <w:t>LSEs</w:t>
      </w:r>
      <w:r w:rsidRPr="00AB5421">
        <w:rPr>
          <w:rStyle w:val="FootnoteReference"/>
          <w:b/>
          <w:bCs/>
          <w:u w:val="single"/>
        </w:rPr>
        <w:footnoteReference w:id="119"/>
      </w:r>
      <w:r w:rsidRPr="00AB5421">
        <w:rPr>
          <w:b/>
          <w:bCs/>
          <w:u w:val="single"/>
        </w:rPr>
        <w:t xml:space="preserve"> and TOU/DR 10-year Tracking Requirement</w:t>
      </w:r>
    </w:p>
    <w:p w:rsidRPr="007B54B2" w:rsidR="00B46F02" w:rsidP="00B46F02" w:rsidRDefault="00B46F02" w14:paraId="707E3BF3" w14:textId="77777777">
      <w:pPr>
        <w:pStyle w:val="Standard"/>
        <w:ind w:firstLine="0"/>
      </w:pPr>
      <w:r>
        <w:tab/>
        <w:t>The proposed decision at ordering paragraph (OP) 10, directs the PAs to send a list of all SGIP projects and the respective project’s permanency period to the relevant Demand Response and Rates teams to ensure compliance and tracking of Time-of-Use and Demand Response rules for both ratepayer and Greenhouse Gas Reduction Fund projects by January 2033. SCE comments recommended that the Commission remove OP 10 and Conclusion of Law (COL) 2 from the PD. According to SCE, OP 10 and COL 2 shift oversight authority to various LSE demand response and rate staff without accounting for who will monitor program permanency obligations.</w:t>
      </w:r>
      <w:r w:rsidRPr="2132EFF1">
        <w:rPr>
          <w:rStyle w:val="FootnoteReference"/>
        </w:rPr>
        <w:footnoteReference w:id="120"/>
      </w:r>
    </w:p>
    <w:p w:rsidR="00B46F02" w:rsidP="00B46F02" w:rsidRDefault="00B46F02" w14:paraId="35CEBEA8" w14:textId="77777777">
      <w:pPr>
        <w:pStyle w:val="Standard"/>
        <w:ind w:firstLine="0"/>
      </w:pPr>
      <w:r>
        <w:tab/>
        <w:t xml:space="preserve">Comments by </w:t>
      </w:r>
      <w:r w:rsidRPr="007B54B2">
        <w:t>SoCal Gas</w:t>
      </w:r>
      <w:r>
        <w:t>, PG&amp;E, SDG&amp;E and the Joint CCAs also raise concerns about the administrative funding needed to implement this directive and the Commission’s lack of jurisdiction over some LSEs.</w:t>
      </w:r>
      <w:r w:rsidRPr="097A26FD">
        <w:rPr>
          <w:rStyle w:val="FootnoteReference"/>
        </w:rPr>
        <w:footnoteReference w:id="121"/>
      </w:r>
      <w:r>
        <w:t xml:space="preserve"> </w:t>
      </w:r>
    </w:p>
    <w:p w:rsidR="00B46F02" w:rsidP="00B46F02" w:rsidRDefault="00B46F02" w14:paraId="577503BA" w14:textId="77777777">
      <w:pPr>
        <w:pStyle w:val="Standard"/>
        <w:ind w:firstLine="0"/>
      </w:pPr>
      <w:r>
        <w:t>The Commission after reviewing party comments will revise OP 10 to only apply to the major electric IOUs and encourage other LSEs to comply with this OP on a voluntary basis to support the overall goal of improving electric grid efficiency.</w:t>
      </w:r>
    </w:p>
    <w:p w:rsidRPr="00D144BE" w:rsidR="00B46F02" w:rsidP="00B46F02" w:rsidRDefault="00B46F02" w14:paraId="3F1CE876" w14:textId="77777777">
      <w:pPr>
        <w:pStyle w:val="Standard"/>
        <w:ind w:firstLine="0"/>
        <w:rPr>
          <w:b/>
          <w:bCs/>
          <w:sz w:val="28"/>
          <w:szCs w:val="28"/>
        </w:rPr>
      </w:pPr>
      <w:r w:rsidRPr="00D144BE">
        <w:rPr>
          <w:b/>
          <w:bCs/>
          <w:i/>
          <w:iCs/>
          <w:sz w:val="28"/>
          <w:szCs w:val="28"/>
        </w:rPr>
        <w:t>Other Topics and Clarifications in Party Comments:</w:t>
      </w:r>
      <w:r w:rsidRPr="00D144BE">
        <w:rPr>
          <w:b/>
          <w:bCs/>
          <w:sz w:val="28"/>
          <w:szCs w:val="28"/>
        </w:rPr>
        <w:t xml:space="preserve"> </w:t>
      </w:r>
    </w:p>
    <w:p w:rsidRPr="00AB5421" w:rsidR="00B46F02" w:rsidP="00B46F02" w:rsidRDefault="00B46F02" w14:paraId="7AF37B37" w14:textId="77777777">
      <w:pPr>
        <w:pStyle w:val="Standard"/>
        <w:ind w:firstLine="0"/>
        <w:rPr>
          <w:b/>
          <w:bCs/>
          <w:u w:val="single"/>
        </w:rPr>
      </w:pPr>
      <w:r w:rsidRPr="00AB5421">
        <w:rPr>
          <w:b/>
          <w:bCs/>
          <w:u w:val="single"/>
        </w:rPr>
        <w:t>Demand Response Requirements Removed for RSSE</w:t>
      </w:r>
    </w:p>
    <w:p w:rsidR="00B46F02" w:rsidP="00B46F02" w:rsidRDefault="00B46F02" w14:paraId="69CAE6BD" w14:textId="77777777">
      <w:pPr>
        <w:pStyle w:val="Standard"/>
        <w:ind w:firstLine="0"/>
        <w:rPr>
          <w:rFonts w:eastAsia="Book Antiqua" w:cs="Book Antiqua"/>
        </w:rPr>
      </w:pPr>
      <w:r>
        <w:lastRenderedPageBreak/>
        <w:tab/>
        <w:t>The proposed decision allows all</w:t>
      </w:r>
      <w:r w:rsidRPr="2AEA1B2C">
        <w:rPr>
          <w:rFonts w:eastAsia="Book Antiqua" w:cs="Book Antiqua"/>
        </w:rPr>
        <w:t xml:space="preserve"> residential low-income customers applying to the RSSE budget to be exempted from the requirement to participate in a qualifying demand response program. SoCalGas’s comments recommended that the Commission should clarify that this exemption applies to applications submitted before this decision is adopted.</w:t>
      </w:r>
      <w:r w:rsidRPr="165ECFEB">
        <w:rPr>
          <w:rStyle w:val="FootnoteReference"/>
          <w:rFonts w:eastAsia="Book Antiqua" w:cs="Book Antiqua"/>
        </w:rPr>
        <w:footnoteReference w:id="122"/>
      </w:r>
      <w:r w:rsidRPr="2AEA1B2C">
        <w:rPr>
          <w:rStyle w:val="FootnoteReference"/>
          <w:rFonts w:eastAsia="Book Antiqua" w:cs="Book Antiqua"/>
        </w:rPr>
        <w:t xml:space="preserve"> </w:t>
      </w:r>
      <w:r>
        <w:t>CALSSA and CSE comments  support broadening the demand response exemption for all low-income customers.</w:t>
      </w:r>
      <w:r w:rsidRPr="097A26FD">
        <w:rPr>
          <w:rStyle w:val="FootnoteReference"/>
        </w:rPr>
        <w:footnoteReference w:id="123"/>
      </w:r>
      <w:r>
        <w:t xml:space="preserve"> </w:t>
      </w:r>
    </w:p>
    <w:p w:rsidR="00B46F02" w:rsidP="00B46F02" w:rsidRDefault="00B46F02" w14:paraId="2802C0F2" w14:textId="3EE10018">
      <w:pPr>
        <w:pStyle w:val="Standard"/>
        <w:rPr>
          <w:rFonts w:eastAsia="Book Antiqua" w:cs="Book Antiqua"/>
        </w:rPr>
      </w:pPr>
      <w:r w:rsidRPr="097A26FD">
        <w:rPr>
          <w:rFonts w:eastAsia="Book Antiqua" w:cs="Book Antiqua"/>
        </w:rPr>
        <w:t>PG&amp;E’s comments argued for requiring PAs to inform RSSE customers of any SGIP approved DR programs that are available at the time the customer submits the incentive claim form (ICF).</w:t>
      </w:r>
      <w:r w:rsidRPr="097A26FD">
        <w:rPr>
          <w:rStyle w:val="FootnoteReference"/>
          <w:rFonts w:eastAsia="Book Antiqua" w:cs="Book Antiqua"/>
        </w:rPr>
        <w:footnoteReference w:id="124"/>
      </w:r>
      <w:r w:rsidRPr="097A26FD">
        <w:rPr>
          <w:rFonts w:eastAsia="Book Antiqua" w:cs="Book Antiqua"/>
        </w:rPr>
        <w:t xml:space="preserve"> The Joint CCAs were supportive of this communication as long as the list of available programs was regularly updated.</w:t>
      </w:r>
      <w:r w:rsidRPr="097A26FD" w:rsidR="0031515D">
        <w:rPr>
          <w:rStyle w:val="FootnoteReference"/>
          <w:rFonts w:eastAsia="Book Antiqua" w:cs="Book Antiqua"/>
        </w:rPr>
        <w:footnoteReference w:id="125"/>
      </w:r>
      <w:r w:rsidRPr="097A26FD">
        <w:rPr>
          <w:rFonts w:eastAsia="Book Antiqua" w:cs="Book Antiqua"/>
        </w:rPr>
        <w:t xml:space="preserve"> California Efficiency + Demand Management Council and Leapfrog Power, Inc.’s comments recommended establish a process to improve the SGIP DR requirement.</w:t>
      </w:r>
    </w:p>
    <w:p w:rsidR="00B46F02" w:rsidP="00B46F02" w:rsidRDefault="00B46F02" w14:paraId="0CB0C70E" w14:textId="77777777">
      <w:pPr>
        <w:pStyle w:val="Standard"/>
        <w:rPr>
          <w:rFonts w:eastAsia="Book Antiqua" w:cs="Book Antiqua"/>
        </w:rPr>
      </w:pPr>
      <w:r w:rsidRPr="1ECBEDD1">
        <w:rPr>
          <w:rFonts w:eastAsia="Book Antiqua" w:cs="Book Antiqua"/>
        </w:rPr>
        <w:t>The Commission clarifies that the RSSE DR exemption applies to all customers that have applied to the RSSE budget, regardless of application submission date. The Commission agrees with PG&amp;E’s proposal to inform all RSSE customers o</w:t>
      </w:r>
      <w:r>
        <w:rPr>
          <w:rFonts w:eastAsia="Book Antiqua" w:cs="Book Antiqua"/>
        </w:rPr>
        <w:t>f</w:t>
      </w:r>
      <w:r w:rsidRPr="1ECBEDD1">
        <w:rPr>
          <w:rFonts w:eastAsia="Book Antiqua" w:cs="Book Antiqua"/>
        </w:rPr>
        <w:t xml:space="preserve"> SGIP</w:t>
      </w:r>
      <w:r>
        <w:rPr>
          <w:rFonts w:eastAsia="Book Antiqua" w:cs="Book Antiqua"/>
        </w:rPr>
        <w:t>-</w:t>
      </w:r>
      <w:r w:rsidRPr="1ECBEDD1">
        <w:rPr>
          <w:rFonts w:eastAsia="Book Antiqua" w:cs="Book Antiqua"/>
        </w:rPr>
        <w:t xml:space="preserve">approved DR programs that are currently available to them and makes the relevant edits to the PD. </w:t>
      </w:r>
    </w:p>
    <w:p w:rsidRPr="00AB5421" w:rsidR="00B46F02" w:rsidP="00B46F02" w:rsidRDefault="00B46F02" w14:paraId="1311D18B" w14:textId="77777777">
      <w:pPr>
        <w:pStyle w:val="Standard"/>
        <w:ind w:firstLine="0"/>
        <w:rPr>
          <w:b/>
          <w:bCs/>
          <w:u w:val="single"/>
        </w:rPr>
      </w:pPr>
      <w:r w:rsidRPr="00AB5421">
        <w:rPr>
          <w:b/>
          <w:bCs/>
          <w:u w:val="single"/>
        </w:rPr>
        <w:t>Disallowing Transfer of Funds Between Ratepayer Budgets</w:t>
      </w:r>
    </w:p>
    <w:p w:rsidR="00B46F02" w:rsidP="00B46F02" w:rsidRDefault="00B46F02" w14:paraId="2DA06B15" w14:textId="77777777">
      <w:pPr>
        <w:pStyle w:val="Standard"/>
        <w:ind w:firstLine="0"/>
      </w:pPr>
      <w:r>
        <w:lastRenderedPageBreak/>
        <w:tab/>
        <w:t>The proposed decision directs the PAs to no longer transfer funds between incentive budgets through advice letters as of the effective date of this decision. In their comments CALSSA recommended that the Commission remove this proposal and instead require the PAs to transfer funds from unused budgets to those that have waitlists or are out of funding.</w:t>
      </w:r>
      <w:r w:rsidRPr="112B16A0">
        <w:rPr>
          <w:rStyle w:val="FootnoteReference"/>
        </w:rPr>
        <w:footnoteReference w:id="126"/>
      </w:r>
      <w:r w:rsidRPr="097A26FD">
        <w:rPr>
          <w:rStyle w:val="FootnoteReference"/>
        </w:rPr>
        <w:t xml:space="preserve"> </w:t>
      </w:r>
      <w:r>
        <w:t>According to CALSSA’s comments, because some budgets have seen stronger participation than others, eliminating transfers risks stranding funds.</w:t>
      </w:r>
      <w:r w:rsidRPr="112B16A0">
        <w:rPr>
          <w:rStyle w:val="FootnoteReference"/>
        </w:rPr>
        <w:footnoteReference w:id="127"/>
      </w:r>
    </w:p>
    <w:p w:rsidR="00B46F02" w:rsidP="00B46F02" w:rsidRDefault="00B46F02" w14:paraId="7E38D732" w14:textId="77777777">
      <w:pPr>
        <w:pStyle w:val="Standard"/>
      </w:pPr>
      <w:r>
        <w:t>PG&amp;E’s comments identified that the stay on non-residential equity project terminations, retroactive to February 1, 2025, has resulted in the reinstatement of</w:t>
      </w:r>
    </w:p>
    <w:p w:rsidR="00B46F02" w:rsidP="00B46F02" w:rsidRDefault="00B46F02" w14:paraId="65A49FCF" w14:textId="77777777">
      <w:pPr>
        <w:pStyle w:val="Standard"/>
        <w:ind w:firstLine="0"/>
      </w:pPr>
      <w:r>
        <w:t xml:space="preserve"> two applications under PG&amp;E’s SGIP administration resulting in a funding deficit in the non-residential storage equity budget category.</w:t>
      </w:r>
      <w:r w:rsidRPr="112B16A0">
        <w:rPr>
          <w:rStyle w:val="FootnoteReference"/>
        </w:rPr>
        <w:footnoteReference w:id="128"/>
      </w:r>
      <w:r w:rsidRPr="097A26FD">
        <w:rPr>
          <w:rStyle w:val="FootnoteReference"/>
        </w:rPr>
        <w:t xml:space="preserve"> </w:t>
      </w:r>
      <w:r>
        <w:t>PG&amp;E’s comments request that the PD be modified to allow PG&amp;E 15 days after issuance of the final decision to transfer funds to its non-residential storage equity budget via a Tier 1 Advice Letter to fill the deficit.</w:t>
      </w:r>
      <w:r w:rsidRPr="112B16A0">
        <w:rPr>
          <w:rStyle w:val="FootnoteReference"/>
        </w:rPr>
        <w:footnoteReference w:id="129"/>
      </w:r>
      <w:r>
        <w:t xml:space="preserve"> The Commission agrees with PG&amp;E’s comments and updates the PD to allow all PAs 15 days after the issuance of this decision to file a Tier 1 Advice Letter to address any budget transfers needed to reinstate non-residential equity projects. </w:t>
      </w:r>
    </w:p>
    <w:p w:rsidR="00B46F02" w:rsidP="00B46F02" w:rsidRDefault="00B46F02" w14:paraId="7793B1C5" w14:textId="77777777">
      <w:pPr>
        <w:pStyle w:val="Standard"/>
        <w:ind w:firstLine="0"/>
      </w:pPr>
    </w:p>
    <w:p w:rsidRPr="00F37AF5" w:rsidR="00B46F02" w:rsidP="00B46F02" w:rsidRDefault="00B46F02" w14:paraId="7817D025" w14:textId="77777777">
      <w:pPr>
        <w:pStyle w:val="Standard"/>
        <w:ind w:firstLine="0"/>
        <w:rPr>
          <w:b/>
          <w:bCs/>
          <w:u w:val="single"/>
        </w:rPr>
      </w:pPr>
      <w:r w:rsidRPr="00F37AF5">
        <w:rPr>
          <w:b/>
          <w:bCs/>
          <w:u w:val="single"/>
        </w:rPr>
        <w:t>Review of RRF Forms and Tier 1 2026 Budget Advice Letter</w:t>
      </w:r>
    </w:p>
    <w:p w:rsidR="00B46F02" w:rsidP="00B46F02" w:rsidRDefault="00B46F02" w14:paraId="449905C4" w14:textId="77777777">
      <w:pPr>
        <w:pStyle w:val="Standard"/>
        <w:ind w:firstLine="0"/>
      </w:pPr>
      <w:r>
        <w:tab/>
        <w:t xml:space="preserve">The proposed decision sets December 30, 2025 as the final deadline for new SGIP applications and waitlists. It also requires PAs to review all RRF-submitted forms and prepare the 2026 Tier 1 Budget Advice Letter by February </w:t>
      </w:r>
      <w:r>
        <w:lastRenderedPageBreak/>
        <w:t>28, 2026. SCE’s comments state that “the February 28 deadline is unworkable.”</w:t>
      </w:r>
      <w:r w:rsidRPr="112B16A0">
        <w:rPr>
          <w:rStyle w:val="FootnoteReference"/>
        </w:rPr>
        <w:footnoteReference w:id="130"/>
      </w:r>
      <w:r w:rsidRPr="097A26FD">
        <w:rPr>
          <w:rStyle w:val="FootnoteReference"/>
        </w:rPr>
        <w:t xml:space="preserve"> </w:t>
      </w:r>
      <w:r>
        <w:t>SCE’s comments recommend that the Commission, “revise the COL 2 (d) and OP 2 to extend the February 28, 2026 deadline to March 31, 2026.”</w:t>
      </w:r>
      <w:r w:rsidRPr="112B16A0">
        <w:rPr>
          <w:rStyle w:val="FootnoteReference"/>
        </w:rPr>
        <w:footnoteReference w:id="131"/>
      </w:r>
    </w:p>
    <w:p w:rsidR="00B46F02" w:rsidP="00B46F02" w:rsidRDefault="00B46F02" w14:paraId="3D7F0074" w14:textId="77777777">
      <w:pPr>
        <w:pStyle w:val="Standard"/>
      </w:pPr>
      <w:r>
        <w:t>The Commission agrees with SCE’s comments that, “providing a sufficient amount of time after the availability of (needed accounting) reports would provide a more accurate accounting reconciliation and reporting of the remaining unallocated incentive dollars.”</w:t>
      </w:r>
      <w:r w:rsidRPr="112B16A0">
        <w:rPr>
          <w:rStyle w:val="FootnoteReference"/>
        </w:rPr>
        <w:footnoteReference w:id="132"/>
      </w:r>
      <w:r w:rsidRPr="097A26FD">
        <w:rPr>
          <w:rStyle w:val="FootnoteReference"/>
        </w:rPr>
        <w:t xml:space="preserve"> </w:t>
      </w:r>
      <w:r>
        <w:t>The Commission changes the date for the 2026 Tier 1 Budget Advice Letter from February 28, 2026 to March 31, 2026.</w:t>
      </w:r>
    </w:p>
    <w:p w:rsidRPr="00F37AF5" w:rsidR="00B46F02" w:rsidP="00B46F02" w:rsidRDefault="00B46F02" w14:paraId="7AFD9C81" w14:textId="77777777">
      <w:pPr>
        <w:pStyle w:val="Standard"/>
        <w:ind w:firstLine="0"/>
        <w:rPr>
          <w:b/>
          <w:bCs/>
          <w:u w:val="single"/>
        </w:rPr>
      </w:pPr>
      <w:r w:rsidRPr="00F37AF5">
        <w:rPr>
          <w:b/>
          <w:bCs/>
          <w:u w:val="single"/>
        </w:rPr>
        <w:t>Shortened PBI from 5 years to 2 years</w:t>
      </w:r>
    </w:p>
    <w:p w:rsidR="00B46F02" w:rsidP="00B46F02" w:rsidRDefault="00B46F02" w14:paraId="6E69EBDC" w14:textId="77777777">
      <w:pPr>
        <w:pStyle w:val="Standard"/>
        <w:ind w:firstLine="0"/>
      </w:pPr>
      <w:r>
        <w:tab/>
        <w:t>The proposed decision adopts a reduction in the PBI period from 5 years to  2 years for projects that enter the PBI period after December 30, 2025. SoCal Gas’s comments argue that shortening the PBI period from 5 years to 2 years may introduce greater risk that the systems will not operate in a way that will meet program goals.</w:t>
      </w:r>
      <w:r w:rsidRPr="112B16A0">
        <w:rPr>
          <w:rStyle w:val="FootnoteReference"/>
        </w:rPr>
        <w:footnoteReference w:id="133"/>
      </w:r>
      <w:r>
        <w:t xml:space="preserve"> If the shortened PBI period is adopted SoCalGas’s comments request that the Commission clarify that ’any’ project entering PBI after December 30, 2025, must complete PBI in two years. PG&amp;E’s comments supported shortening the PBI period to 2 years, ”shortening the PBI period makes sense: (a) it will reduce administrative spend, meaning more administrative funds can be returned to ratepayers; and (b) measurement and evaluation reports have already provided useful information about PBI projects and continuing the 5 year PBI structure for the sake of new findings is </w:t>
      </w:r>
      <w:r>
        <w:lastRenderedPageBreak/>
        <w:t>unlikely.”</w:t>
      </w:r>
      <w:r w:rsidRPr="112B16A0">
        <w:rPr>
          <w:rStyle w:val="FootnoteReference"/>
        </w:rPr>
        <w:footnoteReference w:id="134"/>
      </w:r>
      <w:r>
        <w:t xml:space="preserve"> The Commission agrees with PG&amp;E’s reply comments about PBI and retains the reduction in the PBI period from 5 years to 2 years in the PD. </w:t>
      </w:r>
    </w:p>
    <w:p w:rsidRPr="00F37AF5" w:rsidR="00B46F02" w:rsidP="00B46F02" w:rsidRDefault="00B46F02" w14:paraId="02B0E13E" w14:textId="77777777">
      <w:pPr>
        <w:pStyle w:val="Standard"/>
        <w:ind w:firstLine="0"/>
        <w:rPr>
          <w:b/>
          <w:bCs/>
          <w:u w:val="single"/>
        </w:rPr>
      </w:pPr>
      <w:r w:rsidRPr="00F37AF5">
        <w:rPr>
          <w:b/>
          <w:bCs/>
          <w:u w:val="single"/>
        </w:rPr>
        <w:t xml:space="preserve">Administrative Funds </w:t>
      </w:r>
    </w:p>
    <w:p w:rsidR="00B46F02" w:rsidP="00B46F02" w:rsidRDefault="00B46F02" w14:paraId="56BDBF7E" w14:textId="77777777">
      <w:pPr>
        <w:pStyle w:val="Standard"/>
        <w:ind w:firstLine="0"/>
        <w:rPr>
          <w:rStyle w:val="FootnoteReference"/>
        </w:rPr>
      </w:pPr>
      <w:r>
        <w:tab/>
        <w:t xml:space="preserve">The proposed decision </w:t>
      </w:r>
      <w:r w:rsidRPr="112B16A0">
        <w:t xml:space="preserve">allows PAs to cover administrative costs in two ways. Under COL 2(k) and OP 4, PAs may transfer up to 10 percent of accumulated interest each year to the administrative budget through a Tier 1 Advice Letter.10 Under COL 2(l), PAs may request additional funds through a Tier 2 Advice Letter submission.11 COL 2(j) and OP 5 require that all interest and canceled-project funds not transferred to administration be returned to customers annually. </w:t>
      </w:r>
    </w:p>
    <w:p w:rsidR="00B46F02" w:rsidP="00B46F02" w:rsidRDefault="00B46F02" w14:paraId="486838EA" w14:textId="77777777">
      <w:pPr>
        <w:pStyle w:val="Standard"/>
      </w:pPr>
      <w:r>
        <w:t>SCE’s comments stated that the PD risks leaving PAs underfunded to finish closeout work.</w:t>
      </w:r>
      <w:r w:rsidRPr="112B16A0">
        <w:rPr>
          <w:rStyle w:val="FootnoteReference"/>
        </w:rPr>
        <w:footnoteReference w:id="135"/>
      </w:r>
      <w:r w:rsidRPr="097A26FD">
        <w:rPr>
          <w:rStyle w:val="FootnoteReference"/>
        </w:rPr>
        <w:t xml:space="preserve"> </w:t>
      </w:r>
      <w:r>
        <w:t>SCE’s comments requested that the Commission revise COL 2(l) and OP 4 to keep Tier 1 Advice Letter transfers capped at 10 percent of interest, and permit Tier 2 Advice Letter requests, with justification, from either accumulated interest or canceled-project funds.</w:t>
      </w:r>
      <w:r w:rsidRPr="112B16A0">
        <w:rPr>
          <w:rStyle w:val="FootnoteReference"/>
        </w:rPr>
        <w:footnoteReference w:id="136"/>
      </w:r>
    </w:p>
    <w:p w:rsidRPr="003C76ED" w:rsidR="00B46F02" w:rsidP="00B46F02" w:rsidRDefault="00B46F02" w14:paraId="615C4851" w14:textId="77777777">
      <w:pPr>
        <w:pStyle w:val="Standard"/>
      </w:pPr>
      <w:r>
        <w:t>CSE’s comments indicated that in later years of SGIP closeout, 10 percent of the accumulated interest will leave little money available for transfer to the administrative budgets, especially in the smaller SGIP PA territories.</w:t>
      </w:r>
      <w:r w:rsidRPr="112B16A0">
        <w:rPr>
          <w:rStyle w:val="FootnoteReference"/>
        </w:rPr>
        <w:footnoteReference w:id="137"/>
      </w:r>
      <w:r>
        <w:t xml:space="preserve"> CSE’s comments recommended that the Commission revise Ordering Paragraph (OP) 4 to allow, for both ratepayer and Greenhouse Gas Reduction Fund SGIP, in years 2027 and beyond the SGIP PAs be authorized to transfer any amount of </w:t>
      </w:r>
      <w:r>
        <w:lastRenderedPageBreak/>
        <w:t>accumulated interest to the administrative budget using the existing Tier 1 budget advice letter, provided the PAs justify the need for additional funds.</w:t>
      </w:r>
      <w:r w:rsidRPr="112B16A0">
        <w:rPr>
          <w:rStyle w:val="FootnoteReference"/>
        </w:rPr>
        <w:footnoteReference w:id="138"/>
      </w:r>
    </w:p>
    <w:p w:rsidR="00B46F02" w:rsidP="00B46F02" w:rsidRDefault="00B46F02" w14:paraId="2C4F2711" w14:textId="77777777">
      <w:pPr>
        <w:pStyle w:val="Standard"/>
        <w:ind w:firstLine="0"/>
      </w:pPr>
      <w:r>
        <w:tab/>
        <w:t>The Commission reviewed and examined party comments about administrative budget treatment and will retain the existing PD language.</w:t>
      </w:r>
    </w:p>
    <w:p w:rsidRPr="00F37AF5" w:rsidR="00B46F02" w:rsidP="00B46F02" w:rsidRDefault="00B46F02" w14:paraId="06D1F0A5" w14:textId="77777777">
      <w:pPr>
        <w:pStyle w:val="Standard"/>
        <w:ind w:firstLine="0"/>
        <w:rPr>
          <w:b/>
          <w:bCs/>
          <w:u w:val="single"/>
        </w:rPr>
      </w:pPr>
      <w:r w:rsidRPr="00F37AF5">
        <w:rPr>
          <w:b/>
          <w:bCs/>
          <w:u w:val="single"/>
        </w:rPr>
        <w:t>GGRF Transfer of Unallocated Funds to PAs</w:t>
      </w:r>
    </w:p>
    <w:p w:rsidR="00B46F02" w:rsidP="00B46F02" w:rsidRDefault="00B46F02" w14:paraId="3F099ADF" w14:textId="77777777">
      <w:pPr>
        <w:pStyle w:val="Standard"/>
        <w:ind w:firstLine="0"/>
      </w:pPr>
      <w:r>
        <w:tab/>
        <w:t>The proposed decision directs that after June 30, 2028, unallocated GGRF SGIP funds be shifted between PAs to clear waitlists, through a joint Tier 1 advice letter. SCE’s comments stated that, “without transparency into available balances, waitlist counts, and the methodology used, stakeholders cannot assess whether transfers are fair and consistent.”</w:t>
      </w:r>
      <w:r w:rsidRPr="112B16A0">
        <w:rPr>
          <w:rStyle w:val="FootnoteReference"/>
        </w:rPr>
        <w:footnoteReference w:id="139"/>
      </w:r>
      <w:r>
        <w:t xml:space="preserve"> CALSSA comments recommended that once the AB 209 funded RSSE program is closed to new applications, any remaining funding should be combined into a single statewide pool from which waitlisted projects would draw, based on the order those project applications were submitted, regardless of service territory.</w:t>
      </w:r>
      <w:r w:rsidRPr="112B16A0">
        <w:rPr>
          <w:rStyle w:val="FootnoteReference"/>
        </w:rPr>
        <w:footnoteReference w:id="140"/>
      </w:r>
    </w:p>
    <w:p w:rsidR="00B46F02" w:rsidP="00B46F02" w:rsidRDefault="00B46F02" w14:paraId="6E8727F0" w14:textId="77777777">
      <w:pPr>
        <w:pStyle w:val="Standard"/>
      </w:pPr>
      <w:r>
        <w:t>The Commission agrees additional transparency is prudent and revises the PD to direct the PAs to include the allocation methodology in their advice letter filings and consult with ED staff before filing their advice letters.</w:t>
      </w:r>
    </w:p>
    <w:p w:rsidRPr="00F37AF5" w:rsidR="00B46F02" w:rsidP="00B46F02" w:rsidRDefault="00B46F02" w14:paraId="67673FDE" w14:textId="77777777">
      <w:pPr>
        <w:pStyle w:val="Standard"/>
        <w:ind w:firstLine="0"/>
        <w:rPr>
          <w:b/>
          <w:bCs/>
          <w:u w:val="single"/>
        </w:rPr>
      </w:pPr>
      <w:r w:rsidRPr="00F37AF5">
        <w:rPr>
          <w:b/>
          <w:bCs/>
          <w:u w:val="single"/>
        </w:rPr>
        <w:t>Advice Letter for Return of Ratepayer Funds</w:t>
      </w:r>
    </w:p>
    <w:p w:rsidR="00B46F02" w:rsidP="00B46F02" w:rsidRDefault="00B46F02" w14:paraId="7F0A2560" w14:textId="77777777">
      <w:pPr>
        <w:rPr>
          <w:rFonts w:eastAsia="Book Antiqua" w:cs="Book Antiqua"/>
          <w:szCs w:val="26"/>
        </w:rPr>
      </w:pPr>
      <w:r>
        <w:t>SDG&amp;E’s comments identified what it believes to a technical error in the PD regarding referencing the “existing October rate true-up process” as the appropriate mechanism to return these funds.</w:t>
      </w:r>
      <w:r w:rsidRPr="112B16A0">
        <w:rPr>
          <w:rStyle w:val="FootnoteReference"/>
        </w:rPr>
        <w:footnoteReference w:id="141"/>
      </w:r>
      <w:r>
        <w:t xml:space="preserve"> SDG&amp;E’s comments clarified that with the adoption of Resolution E-5217, SDG&amp;E is required to </w:t>
      </w:r>
      <w:r w:rsidRPr="097A26FD">
        <w:rPr>
          <w:rFonts w:eastAsia="Book Antiqua" w:cs="Book Antiqua"/>
        </w:rPr>
        <w:t xml:space="preserve">file its electric </w:t>
      </w:r>
      <w:r w:rsidRPr="097A26FD">
        <w:rPr>
          <w:rFonts w:eastAsia="Book Antiqua" w:cs="Book Antiqua"/>
        </w:rPr>
        <w:lastRenderedPageBreak/>
        <w:t>regulatory account update advice letter in November instead of October. However, the gas regulatory account update advice letter is still filed in October. Therefore, SDG&amp;E recommends, to account for variations in Investor-Owned Utilities (IOU) scheduled filings, the PD should be modified to replace “October rate true-up” to “year-end rate advice letter filing.” Moreover, SDG&amp;E comments mentioned that the PD directs the IOUs to return the funds using the same ratios used in SGIP collections. For electric rates, the SGIP allocations were updated annually to reflect the actual benefits resulting from the disbursement of program incentives over the previous three years. Therefore, SDG&amp;E’s comments recommend that the PD be modified to require use of the most recent collection ratios.</w:t>
      </w:r>
    </w:p>
    <w:p w:rsidR="00B46F02" w:rsidP="00B46F02" w:rsidRDefault="00B46F02" w14:paraId="4348CC23" w14:textId="77777777">
      <w:pPr>
        <w:pStyle w:val="Standard"/>
      </w:pPr>
      <w:r>
        <w:t>The Commission agrees with SDG&amp;E’s comments and the PD is revised to remove reference of the October filing and to align return of ratepayer funds with the most recent collection ratios.</w:t>
      </w:r>
    </w:p>
    <w:p w:rsidRPr="00F37AF5" w:rsidR="00B46F02" w:rsidP="00B46F02" w:rsidRDefault="00B46F02" w14:paraId="5ACC22B8" w14:textId="77777777">
      <w:pPr>
        <w:pStyle w:val="Standard"/>
        <w:ind w:firstLine="0"/>
        <w:rPr>
          <w:b/>
          <w:bCs/>
          <w:u w:val="single"/>
        </w:rPr>
      </w:pPr>
      <w:r w:rsidRPr="00F37AF5">
        <w:rPr>
          <w:b/>
          <w:bCs/>
          <w:u w:val="single"/>
        </w:rPr>
        <w:t>COVID-19 Stay on Cancellation Removal</w:t>
      </w:r>
    </w:p>
    <w:p w:rsidR="00B46F02" w:rsidP="00B46F02" w:rsidRDefault="00B46F02" w14:paraId="645CDC09" w14:textId="77777777">
      <w:pPr>
        <w:pStyle w:val="Standard"/>
        <w:ind w:firstLine="0"/>
      </w:pPr>
      <w:r>
        <w:tab/>
        <w:t>The proposed decision directs the SGIP PAs to remove all references to the COVID-19 Stay of Cancellation from the current SGIP Handbook to prevent applicant confusion. CALSSA’s comments mentioned two projects that have been granted or should be granted a COVID-19 Stay of Cancellation.</w:t>
      </w:r>
      <w:r w:rsidRPr="112B16A0">
        <w:rPr>
          <w:rStyle w:val="FootnoteReference"/>
        </w:rPr>
        <w:footnoteReference w:id="142"/>
      </w:r>
      <w:r>
        <w:t xml:space="preserve"> According to CALSSA’s comments, the current PD language could be misconstrued by the PAs to mean that all projects that have received COVID-19 Stays are treated as if they never should have received one.</w:t>
      </w:r>
      <w:r w:rsidRPr="112B16A0">
        <w:rPr>
          <w:rStyle w:val="FootnoteReference"/>
        </w:rPr>
        <w:footnoteReference w:id="143"/>
      </w:r>
      <w:r>
        <w:t xml:space="preserve"> </w:t>
      </w:r>
    </w:p>
    <w:p w:rsidR="00B46F02" w:rsidP="00B46F02" w:rsidRDefault="00B46F02" w14:paraId="59723463" w14:textId="77777777">
      <w:pPr>
        <w:pStyle w:val="Standard"/>
      </w:pPr>
      <w:r>
        <w:lastRenderedPageBreak/>
        <w:t>The Commission clarifies that any project with an existing COVID-19 Stay of Cancellation retains that designation after this decision is adopted and maintains that no further COVID-19 Stay on Cancellations should be granted.</w:t>
      </w:r>
    </w:p>
    <w:p w:rsidRPr="00DC6FAA" w:rsidR="00B46F02" w:rsidP="00B46F02" w:rsidRDefault="00B46F02" w14:paraId="0D50A21E" w14:textId="77777777">
      <w:pPr>
        <w:pStyle w:val="Standard"/>
        <w:ind w:firstLine="0"/>
        <w:rPr>
          <w:b/>
          <w:bCs/>
          <w:u w:val="single"/>
        </w:rPr>
      </w:pPr>
      <w:r w:rsidRPr="00DC6FAA">
        <w:rPr>
          <w:b/>
          <w:bCs/>
          <w:u w:val="single"/>
        </w:rPr>
        <w:t>Final GGRF Funds Return</w:t>
      </w:r>
    </w:p>
    <w:p w:rsidR="00B46F02" w:rsidP="00B46F02" w:rsidRDefault="00B46F02" w14:paraId="69681ECE" w14:textId="77777777">
      <w:pPr>
        <w:pStyle w:val="Standard"/>
        <w:ind w:firstLine="0"/>
      </w:pPr>
      <w:r>
        <w:tab/>
        <w:t xml:space="preserve">The proposed decision direct PAs, and SDG&amp;E for CSE, to return all GGRF administrative, incentive, and interest funds to the Commission. SDG&amp;E requested that the Commission clarify that SDG&amp;E is the fiscal agent for all SGIP funds where CSE is the PA. </w:t>
      </w:r>
    </w:p>
    <w:p w:rsidR="00B46F02" w:rsidP="00B46F02" w:rsidRDefault="00B46F02" w14:paraId="5A72B0BB" w14:textId="77777777">
      <w:pPr>
        <w:pStyle w:val="Standard"/>
      </w:pPr>
      <w:r>
        <w:t>The Commission has revised the PD text to confirm that SDG&amp;E is the fiscal agent for GGRF funds and SDG&amp;E will coordinate with CSE to return SGIP GGRF funds to the Commission.</w:t>
      </w:r>
    </w:p>
    <w:p w:rsidRPr="00DC6FAA" w:rsidR="00B46F02" w:rsidP="00B46F02" w:rsidRDefault="00B46F02" w14:paraId="7CF2E559" w14:textId="77777777">
      <w:pPr>
        <w:pStyle w:val="Standard"/>
        <w:ind w:firstLine="0"/>
        <w:rPr>
          <w:b/>
          <w:bCs/>
          <w:u w:val="single"/>
        </w:rPr>
      </w:pPr>
      <w:r w:rsidRPr="00DC6FAA">
        <w:rPr>
          <w:b/>
          <w:bCs/>
          <w:u w:val="single"/>
        </w:rPr>
        <w:t>SGIP Handbook Modifications</w:t>
      </w:r>
    </w:p>
    <w:p w:rsidR="00B46F02" w:rsidP="00B46F02" w:rsidRDefault="00B46F02" w14:paraId="0D558B5C" w14:textId="77777777">
      <w:pPr>
        <w:pStyle w:val="Standard"/>
        <w:ind w:firstLine="0"/>
      </w:pPr>
      <w:r>
        <w:tab/>
        <w:t>The proposed decision introduced a proposal to allow changes to SGIP Handbook using joint PA advice letters. SoCalGas’s comments to the proposed decision state that, “it may be legal error to adopt a process that allows modifications to a decision to occur by a Tier 3 Advice Letter process.” SoCalGas proposes to strike COL 3(b) in its entirety from the PD.</w:t>
      </w:r>
      <w:r w:rsidRPr="112B16A0">
        <w:rPr>
          <w:rStyle w:val="FootnoteReference"/>
        </w:rPr>
        <w:footnoteReference w:id="144"/>
      </w:r>
      <w:r>
        <w:t xml:space="preserve"> PG&amp;E and CSE reply comments disagree with SoCalGas and find there is both precedent and legal grounds to allow this process. </w:t>
      </w:r>
    </w:p>
    <w:p w:rsidR="00B46F02" w:rsidP="00B46F02" w:rsidRDefault="00B46F02" w14:paraId="25CFFDFF" w14:textId="77777777">
      <w:pPr>
        <w:pStyle w:val="Standard"/>
      </w:pPr>
      <w:r>
        <w:t>PG&amp;E’s and CSE’s advocate for allowing individual PAs to file advice letter for SGIP Handbook changes as joint PA consensus may be a barrier to SGIP Handbook updates.</w:t>
      </w:r>
    </w:p>
    <w:p w:rsidR="00B46F02" w:rsidP="00B46F02" w:rsidRDefault="00B46F02" w14:paraId="374FF49B" w14:textId="77777777">
      <w:pPr>
        <w:pStyle w:val="Standard"/>
      </w:pPr>
      <w:r>
        <w:lastRenderedPageBreak/>
        <w:t>The Commission finds it reasonable for individual PAs to suggest Handbook updates. The PD is revised to allow individual PAs to file a Tier 2 AL with suggested program-wide handbook updates.</w:t>
      </w:r>
    </w:p>
    <w:p w:rsidR="005939A5" w:rsidP="00E03137" w:rsidRDefault="00B46F02" w14:paraId="1760F24C" w14:textId="4FF8F873">
      <w:pPr>
        <w:pStyle w:val="Standard"/>
        <w:ind w:firstLine="0"/>
      </w:pPr>
      <w:r>
        <w:tab/>
        <w:t>The PD text above and the ordering paragraphs  have been updated to reflect these modifications and clarifications that have been made to this decision based on party comments.</w:t>
      </w:r>
    </w:p>
    <w:p w:rsidR="005939A5" w:rsidP="00F705D0" w:rsidRDefault="005939A5" w14:paraId="7D3C05CD" w14:textId="77777777">
      <w:pPr>
        <w:pStyle w:val="Heading1"/>
        <w:numPr>
          <w:ilvl w:val="0"/>
          <w:numId w:val="46"/>
        </w:numPr>
        <w:ind w:left="720" w:hanging="720"/>
      </w:pPr>
      <w:bookmarkStart w:name="_Toc8123724" w:id="44"/>
      <w:bookmarkStart w:name="_Toc206771099" w:id="45"/>
      <w:r>
        <w:t>Assignment of Proceeding</w:t>
      </w:r>
      <w:bookmarkEnd w:id="44"/>
      <w:bookmarkEnd w:id="45"/>
    </w:p>
    <w:p w:rsidR="005939A5" w:rsidP="006E6574" w:rsidRDefault="00F42974" w14:paraId="02B79285" w14:textId="781240CE">
      <w:pPr>
        <w:pStyle w:val="Standard"/>
      </w:pPr>
      <w:r>
        <w:t>Karen Douglas</w:t>
      </w:r>
      <w:r w:rsidR="005939A5">
        <w:t xml:space="preserve"> is the assigned Commissioner and </w:t>
      </w:r>
      <w:r>
        <w:t>Hazlyn Fortune</w:t>
      </w:r>
      <w:r w:rsidR="005939A5">
        <w:t xml:space="preserve"> is the assigned Administrative Law Judge in this proceeding.</w:t>
      </w:r>
    </w:p>
    <w:p w:rsidR="005939A5" w:rsidP="005939A5" w:rsidRDefault="005939A5" w14:paraId="577CB455" w14:textId="77777777">
      <w:pPr>
        <w:pStyle w:val="Dummy"/>
      </w:pPr>
      <w:bookmarkStart w:name="_Toc8123725" w:id="46"/>
      <w:bookmarkStart w:name="_Toc206771100" w:id="47"/>
      <w:r>
        <w:t>Findings of Fact</w:t>
      </w:r>
      <w:bookmarkEnd w:id="46"/>
      <w:bookmarkEnd w:id="47"/>
    </w:p>
    <w:p w:rsidRPr="00446298" w:rsidR="00183C1E" w:rsidP="00F705D0" w:rsidRDefault="00183C1E" w14:paraId="2DC7A256" w14:textId="29A80811">
      <w:pPr>
        <w:pStyle w:val="FoF"/>
        <w:numPr>
          <w:ilvl w:val="6"/>
          <w:numId w:val="2"/>
        </w:numPr>
        <w:tabs>
          <w:tab w:val="clear" w:pos="1080"/>
          <w:tab w:val="num" w:pos="720"/>
        </w:tabs>
        <w:ind w:left="0" w:firstLine="360"/>
      </w:pPr>
      <w:r w:rsidRPr="00446298">
        <w:t>D.20-01-021 authorized the collection of ratepayer funds totaling $166 million per year fr</w:t>
      </w:r>
      <w:r w:rsidRPr="00446298" w:rsidR="1632289C">
        <w:t>o</w:t>
      </w:r>
      <w:r w:rsidRPr="00446298" w:rsidR="0B361335">
        <w:t>m 2020 to 2024 across the four IOUs to fund SGIP.</w:t>
      </w:r>
    </w:p>
    <w:p w:rsidRPr="001E2A62" w:rsidR="008E6AE6" w:rsidP="00F705D0" w:rsidRDefault="0B361335" w14:paraId="09925DFB" w14:textId="4C31AB8A">
      <w:pPr>
        <w:pStyle w:val="FoF"/>
        <w:numPr>
          <w:ilvl w:val="6"/>
          <w:numId w:val="2"/>
        </w:numPr>
        <w:tabs>
          <w:tab w:val="clear" w:pos="1080"/>
          <w:tab w:val="num" w:pos="720"/>
        </w:tabs>
        <w:ind w:left="0" w:firstLine="360"/>
      </w:pPr>
      <w:r w:rsidRPr="00446298">
        <w:t>AB 209 allocated $280 million to the Commission in Fiscal Year (FY) 2023-2024 to fund the SGIP RSSE budget.</w:t>
      </w:r>
    </w:p>
    <w:p w:rsidR="005939A5" w:rsidP="005939A5" w:rsidRDefault="005939A5" w14:paraId="4F2C20ED" w14:textId="77777777">
      <w:pPr>
        <w:pStyle w:val="Dummy"/>
      </w:pPr>
      <w:bookmarkStart w:name="_Toc8123726" w:id="48"/>
      <w:bookmarkStart w:name="_Toc206771101" w:id="49"/>
      <w:r>
        <w:t>Conclusions of Law</w:t>
      </w:r>
      <w:bookmarkEnd w:id="48"/>
      <w:bookmarkEnd w:id="49"/>
    </w:p>
    <w:p w:rsidR="0CA1363B" w:rsidP="00F705D0" w:rsidRDefault="0CA1363B" w14:paraId="65985139" w14:textId="141C12F1">
      <w:pPr>
        <w:pStyle w:val="CoL"/>
        <w:numPr>
          <w:ilvl w:val="0"/>
          <w:numId w:val="42"/>
        </w:numPr>
        <w:ind w:left="0" w:firstLine="360"/>
      </w:pPr>
      <w:r>
        <w:t xml:space="preserve">The </w:t>
      </w:r>
      <w:r w:rsidRPr="00F705D0">
        <w:t>Commission</w:t>
      </w:r>
      <w:r>
        <w:t xml:space="preserve"> should close </w:t>
      </w:r>
      <w:r w:rsidR="3457F6EB">
        <w:t xml:space="preserve">the ratepayer-funded portion of </w:t>
      </w:r>
      <w:r>
        <w:t>SGIP pursuant to California statute.</w:t>
      </w:r>
    </w:p>
    <w:p w:rsidR="3A85A7F1" w:rsidP="00F705D0" w:rsidRDefault="3A85A7F1" w14:paraId="02A15C0B" w14:textId="6644E3A4">
      <w:pPr>
        <w:pStyle w:val="CoL"/>
        <w:numPr>
          <w:ilvl w:val="0"/>
          <w:numId w:val="42"/>
        </w:numPr>
        <w:ind w:left="0" w:firstLine="360"/>
        <w:rPr>
          <w:rFonts w:eastAsia="Book Antiqua" w:cs="Book Antiqua"/>
          <w:szCs w:val="26"/>
        </w:rPr>
      </w:pPr>
      <w:r w:rsidRPr="0AD72574">
        <w:rPr>
          <w:rFonts w:eastAsia="Book Antiqua" w:cs="Book Antiqua"/>
          <w:szCs w:val="26"/>
        </w:rPr>
        <w:t xml:space="preserve">The Commission finds it reasonable to adopt the following requirements for closing the ratepayer-funded portion of SGIP: </w:t>
      </w:r>
    </w:p>
    <w:p w:rsidRPr="00F705D0" w:rsidR="3A85A7F1" w:rsidP="00F705D0" w:rsidRDefault="3A85A7F1" w14:paraId="4CB6D611" w14:textId="29CA5486">
      <w:pPr>
        <w:pStyle w:val="ListParagraph"/>
        <w:numPr>
          <w:ilvl w:val="1"/>
          <w:numId w:val="42"/>
        </w:numPr>
        <w:spacing w:after="120" w:line="240" w:lineRule="auto"/>
        <w:ind w:left="1080" w:right="1440"/>
        <w:contextualSpacing w:val="0"/>
        <w:rPr>
          <w:rFonts w:eastAsia="Book Antiqua" w:cs="Book Antiqua"/>
          <w:szCs w:val="26"/>
        </w:rPr>
      </w:pPr>
      <w:r w:rsidRPr="00F705D0">
        <w:rPr>
          <w:rFonts w:eastAsia="Book Antiqua" w:cs="Book Antiqua"/>
          <w:szCs w:val="26"/>
        </w:rPr>
        <w:t xml:space="preserve">PAs </w:t>
      </w:r>
      <w:r w:rsidR="00033140">
        <w:t xml:space="preserve">have 15 days to file a Tier 1 advice letter to cover reinstating projects as directed by section 3.5.2. Otherwise, the PAs </w:t>
      </w:r>
      <w:r w:rsidRPr="00F705D0">
        <w:rPr>
          <w:rFonts w:eastAsia="Book Antiqua" w:cs="Book Antiqua"/>
          <w:szCs w:val="26"/>
        </w:rPr>
        <w:t>must no longer transfer funds between incentive budget</w:t>
      </w:r>
      <w:r w:rsidRPr="00F705D0" w:rsidR="00622C31">
        <w:rPr>
          <w:rFonts w:eastAsia="Book Antiqua" w:cs="Book Antiqua"/>
          <w:szCs w:val="26"/>
        </w:rPr>
        <w:t>s</w:t>
      </w:r>
      <w:r w:rsidRPr="00F705D0">
        <w:rPr>
          <w:rFonts w:eastAsia="Book Antiqua" w:cs="Book Antiqua"/>
          <w:szCs w:val="26"/>
        </w:rPr>
        <w:t xml:space="preserve"> through advice letters as of the effective date of this decision.</w:t>
      </w:r>
    </w:p>
    <w:p w:rsidR="3A85A7F1" w:rsidP="00F705D0" w:rsidRDefault="3A85A7F1" w14:paraId="4E7CD5AB" w14:textId="610C3B1D">
      <w:pPr>
        <w:pStyle w:val="ListParagraph"/>
        <w:numPr>
          <w:ilvl w:val="1"/>
          <w:numId w:val="42"/>
        </w:numPr>
        <w:spacing w:after="120" w:line="240" w:lineRule="auto"/>
        <w:ind w:left="1080" w:right="1440"/>
        <w:contextualSpacing w:val="0"/>
        <w:rPr>
          <w:rFonts w:eastAsia="Book Antiqua" w:cs="Book Antiqua"/>
          <w:szCs w:val="26"/>
        </w:rPr>
      </w:pPr>
      <w:r w:rsidRPr="0AD72574">
        <w:rPr>
          <w:rFonts w:eastAsia="Book Antiqua" w:cs="Book Antiqua"/>
          <w:szCs w:val="26"/>
        </w:rPr>
        <w:t>The deadline for new applications for ratepayer-funded SGIP projects is December 30, 2025.</w:t>
      </w:r>
    </w:p>
    <w:p w:rsidR="3A85A7F1" w:rsidP="00F705D0" w:rsidRDefault="3A85A7F1" w14:paraId="2E32BC6F" w14:textId="146A132C">
      <w:pPr>
        <w:pStyle w:val="ListParagraph"/>
        <w:numPr>
          <w:ilvl w:val="1"/>
          <w:numId w:val="42"/>
        </w:numPr>
        <w:spacing w:after="120" w:line="240" w:lineRule="auto"/>
        <w:ind w:left="1080" w:right="1440"/>
        <w:contextualSpacing w:val="0"/>
        <w:rPr>
          <w:rFonts w:eastAsia="Book Antiqua" w:cs="Book Antiqua"/>
          <w:szCs w:val="26"/>
        </w:rPr>
      </w:pPr>
      <w:r w:rsidRPr="0AD72574">
        <w:rPr>
          <w:rFonts w:eastAsia="Book Antiqua" w:cs="Book Antiqua"/>
          <w:szCs w:val="26"/>
        </w:rPr>
        <w:t>The ratepayer funded SGIP waitlist</w:t>
      </w:r>
      <w:r w:rsidR="00C045C6">
        <w:rPr>
          <w:rFonts w:eastAsia="Book Antiqua" w:cs="Book Antiqua"/>
          <w:szCs w:val="26"/>
        </w:rPr>
        <w:t xml:space="preserve">s </w:t>
      </w:r>
      <w:r w:rsidR="00495283">
        <w:rPr>
          <w:rFonts w:eastAsia="Book Antiqua" w:cs="Book Antiqua"/>
          <w:szCs w:val="26"/>
        </w:rPr>
        <w:t>be closed on</w:t>
      </w:r>
      <w:r w:rsidR="00622C31">
        <w:rPr>
          <w:rFonts w:eastAsia="Book Antiqua" w:cs="Book Antiqua"/>
          <w:szCs w:val="26"/>
        </w:rPr>
        <w:t xml:space="preserve"> </w:t>
      </w:r>
      <w:r w:rsidRPr="0AD72574">
        <w:rPr>
          <w:rFonts w:eastAsia="Book Antiqua" w:cs="Book Antiqua"/>
          <w:szCs w:val="26"/>
        </w:rPr>
        <w:t>December 30, 2025.</w:t>
      </w:r>
    </w:p>
    <w:p w:rsidR="3A85A7F1" w:rsidP="00F705D0" w:rsidRDefault="3A85A7F1" w14:paraId="0EE84E7B" w14:textId="31DA215B">
      <w:pPr>
        <w:pStyle w:val="ListParagraph"/>
        <w:numPr>
          <w:ilvl w:val="1"/>
          <w:numId w:val="42"/>
        </w:numPr>
        <w:spacing w:after="120" w:line="240" w:lineRule="auto"/>
        <w:ind w:left="1080" w:right="1440"/>
        <w:contextualSpacing w:val="0"/>
        <w:rPr>
          <w:rFonts w:eastAsia="Book Antiqua" w:cs="Book Antiqua"/>
          <w:szCs w:val="26"/>
        </w:rPr>
      </w:pPr>
      <w:r w:rsidRPr="0AD72574">
        <w:rPr>
          <w:rFonts w:eastAsia="Book Antiqua" w:cs="Book Antiqua"/>
          <w:szCs w:val="26"/>
        </w:rPr>
        <w:lastRenderedPageBreak/>
        <w:t xml:space="preserve">The date for submitting the 2026 Tier 1 budget advice letter is </w:t>
      </w:r>
      <w:r w:rsidR="00033140">
        <w:rPr>
          <w:rFonts w:eastAsia="Book Antiqua" w:cs="Book Antiqua"/>
          <w:szCs w:val="26"/>
        </w:rPr>
        <w:t>March 31</w:t>
      </w:r>
      <w:r w:rsidRPr="0AD72574">
        <w:rPr>
          <w:rFonts w:eastAsia="Book Antiqua" w:cs="Book Antiqua"/>
          <w:szCs w:val="26"/>
        </w:rPr>
        <w:t>, 2026. All subsequent Tier 1 budget advice letters must be submitted by January 30th of that year.</w:t>
      </w:r>
    </w:p>
    <w:p w:rsidR="3A85A7F1" w:rsidP="00F705D0" w:rsidRDefault="3A85A7F1" w14:paraId="5AE80681" w14:textId="5CA47E05">
      <w:pPr>
        <w:pStyle w:val="ListParagraph"/>
        <w:numPr>
          <w:ilvl w:val="1"/>
          <w:numId w:val="42"/>
        </w:numPr>
        <w:spacing w:after="120" w:line="240" w:lineRule="auto"/>
        <w:ind w:left="1080" w:right="1440"/>
        <w:contextualSpacing w:val="0"/>
        <w:rPr>
          <w:rFonts w:eastAsia="Book Antiqua" w:cs="Book Antiqua"/>
          <w:szCs w:val="26"/>
        </w:rPr>
      </w:pPr>
      <w:r w:rsidRPr="0AD72574">
        <w:rPr>
          <w:rFonts w:eastAsia="Book Antiqua" w:cs="Book Antiqua"/>
          <w:szCs w:val="26"/>
        </w:rPr>
        <w:t xml:space="preserve">A ratepayer-funded SGIP project is deemed “allocated” </w:t>
      </w:r>
      <w:r w:rsidR="009A2709">
        <w:rPr>
          <w:rFonts w:eastAsia="Book Antiqua" w:cs="Book Antiqua"/>
          <w:szCs w:val="26"/>
        </w:rPr>
        <w:t xml:space="preserve">funds </w:t>
      </w:r>
      <w:r w:rsidRPr="0AD72574">
        <w:rPr>
          <w:rFonts w:eastAsia="Book Antiqua" w:cs="Book Antiqua"/>
          <w:szCs w:val="26"/>
        </w:rPr>
        <w:t>once the RRF is submitted.</w:t>
      </w:r>
    </w:p>
    <w:p w:rsidR="3A85A7F1" w:rsidP="00F705D0" w:rsidRDefault="3A85A7F1" w14:paraId="42E07305" w14:textId="3196E806">
      <w:pPr>
        <w:pStyle w:val="ListParagraph"/>
        <w:numPr>
          <w:ilvl w:val="1"/>
          <w:numId w:val="42"/>
        </w:numPr>
        <w:spacing w:after="120" w:line="240" w:lineRule="auto"/>
        <w:ind w:left="1080" w:right="1440"/>
        <w:contextualSpacing w:val="0"/>
        <w:rPr>
          <w:rFonts w:eastAsia="Book Antiqua" w:cs="Book Antiqua"/>
          <w:szCs w:val="26"/>
        </w:rPr>
      </w:pPr>
      <w:r w:rsidRPr="0AD72574">
        <w:rPr>
          <w:rFonts w:eastAsia="Book Antiqua" w:cs="Book Antiqua"/>
          <w:szCs w:val="26"/>
        </w:rPr>
        <w:t xml:space="preserve">Each SGIP PA is required to review all of its RRF submitted forms </w:t>
      </w:r>
      <w:r w:rsidR="001F52AB">
        <w:rPr>
          <w:rFonts w:eastAsia="Book Antiqua" w:cs="Book Antiqua"/>
          <w:szCs w:val="26"/>
        </w:rPr>
        <w:t>by</w:t>
      </w:r>
      <w:r w:rsidR="00C90FA1">
        <w:rPr>
          <w:rFonts w:eastAsia="Book Antiqua" w:cs="Book Antiqua"/>
          <w:szCs w:val="26"/>
        </w:rPr>
        <w:t xml:space="preserve"> </w:t>
      </w:r>
      <w:r w:rsidR="00033140">
        <w:rPr>
          <w:rFonts w:eastAsia="Book Antiqua" w:cs="Book Antiqua"/>
          <w:szCs w:val="26"/>
        </w:rPr>
        <w:t>March 31</w:t>
      </w:r>
      <w:r w:rsidR="00C90FA1">
        <w:rPr>
          <w:rFonts w:eastAsia="Book Antiqua" w:cs="Book Antiqua"/>
          <w:szCs w:val="26"/>
        </w:rPr>
        <w:t>, 202</w:t>
      </w:r>
      <w:r w:rsidR="00681F73">
        <w:rPr>
          <w:rFonts w:eastAsia="Book Antiqua" w:cs="Book Antiqua"/>
          <w:szCs w:val="26"/>
        </w:rPr>
        <w:t>6</w:t>
      </w:r>
      <w:r w:rsidR="001F52AB">
        <w:rPr>
          <w:rFonts w:eastAsia="Book Antiqua" w:cs="Book Antiqua"/>
          <w:szCs w:val="26"/>
        </w:rPr>
        <w:t xml:space="preserve"> </w:t>
      </w:r>
      <w:r w:rsidRPr="0AD72574">
        <w:rPr>
          <w:rFonts w:eastAsia="Book Antiqua" w:cs="Book Antiqua"/>
          <w:szCs w:val="26"/>
        </w:rPr>
        <w:t>and include funds from canceled projects in its estimates of funds that will be returned to ratepayers in the 2026 Tier 1 budget advice letter.</w:t>
      </w:r>
    </w:p>
    <w:p w:rsidR="3ECE986D" w:rsidP="00F705D0" w:rsidRDefault="3ECE986D" w14:paraId="40CB4611" w14:textId="29B019B0">
      <w:pPr>
        <w:pStyle w:val="ListParagraph"/>
        <w:numPr>
          <w:ilvl w:val="1"/>
          <w:numId w:val="42"/>
        </w:numPr>
        <w:spacing w:after="120" w:line="240" w:lineRule="auto"/>
        <w:ind w:left="1080" w:right="1440"/>
        <w:contextualSpacing w:val="0"/>
        <w:rPr>
          <w:rFonts w:eastAsia="Book Antiqua" w:cs="Book Antiqua"/>
          <w:szCs w:val="26"/>
        </w:rPr>
      </w:pPr>
      <w:r w:rsidRPr="0AD72574">
        <w:rPr>
          <w:rFonts w:eastAsia="Book Antiqua" w:cs="Book Antiqua"/>
          <w:szCs w:val="26"/>
        </w:rPr>
        <w:t xml:space="preserve">Each PA on an annual basis should use a Tier 1 </w:t>
      </w:r>
      <w:r w:rsidR="005C604F">
        <w:rPr>
          <w:rFonts w:eastAsia="Book Antiqua" w:cs="Book Antiqua"/>
          <w:szCs w:val="26"/>
        </w:rPr>
        <w:t xml:space="preserve">budget </w:t>
      </w:r>
      <w:r w:rsidRPr="0AD72574">
        <w:rPr>
          <w:rFonts w:eastAsia="Book Antiqua" w:cs="Book Antiqua"/>
          <w:szCs w:val="26"/>
        </w:rPr>
        <w:t>advice letter to</w:t>
      </w:r>
      <w:r w:rsidR="00215717">
        <w:rPr>
          <w:rFonts w:eastAsia="Book Antiqua" w:cs="Book Antiqua"/>
          <w:szCs w:val="26"/>
        </w:rPr>
        <w:t xml:space="preserve"> designate funds </w:t>
      </w:r>
      <w:r w:rsidR="006C6F41">
        <w:rPr>
          <w:rFonts w:eastAsia="Book Antiqua" w:cs="Book Antiqua"/>
          <w:szCs w:val="26"/>
        </w:rPr>
        <w:t>that will be returned to ratepayers</w:t>
      </w:r>
      <w:r w:rsidRPr="0AD72574" w:rsidR="57BA218C">
        <w:rPr>
          <w:rFonts w:eastAsia="Book Antiqua" w:cs="Book Antiqua"/>
          <w:szCs w:val="26"/>
        </w:rPr>
        <w:t>.</w:t>
      </w:r>
    </w:p>
    <w:p w:rsidRPr="00F705D0" w:rsidR="57BA218C" w:rsidP="00F705D0" w:rsidRDefault="57BA218C" w14:paraId="7C605039" w14:textId="5A90DD77">
      <w:pPr>
        <w:pStyle w:val="ListParagraph"/>
        <w:numPr>
          <w:ilvl w:val="1"/>
          <w:numId w:val="42"/>
        </w:numPr>
        <w:spacing w:after="120" w:line="240" w:lineRule="auto"/>
        <w:ind w:left="1080" w:right="1440"/>
        <w:contextualSpacing w:val="0"/>
        <w:rPr>
          <w:rFonts w:eastAsia="Book Antiqua" w:cs="Book Antiqua"/>
          <w:szCs w:val="26"/>
        </w:rPr>
      </w:pPr>
      <w:r w:rsidRPr="0AD72574">
        <w:rPr>
          <w:rFonts w:eastAsia="Book Antiqua" w:cs="Book Antiqua"/>
          <w:szCs w:val="26"/>
        </w:rPr>
        <w:t xml:space="preserve">It is reasonable to set a $1 million threshold for the </w:t>
      </w:r>
      <w:r w:rsidR="00235E63">
        <w:rPr>
          <w:rFonts w:eastAsia="Book Antiqua" w:cs="Book Antiqua"/>
          <w:szCs w:val="26"/>
        </w:rPr>
        <w:t xml:space="preserve">annual </w:t>
      </w:r>
      <w:r w:rsidRPr="0AD72574">
        <w:rPr>
          <w:rFonts w:eastAsia="Book Antiqua" w:cs="Book Antiqua"/>
          <w:szCs w:val="26"/>
        </w:rPr>
        <w:t>return of ratepayer funds using the existing rate true-up process and aligning the return of funds applying the same ratios used in</w:t>
      </w:r>
      <w:r w:rsidR="00033140">
        <w:rPr>
          <w:rFonts w:eastAsia="Book Antiqua" w:cs="Book Antiqua"/>
          <w:szCs w:val="26"/>
        </w:rPr>
        <w:t xml:space="preserve"> the most recent</w:t>
      </w:r>
      <w:r w:rsidRPr="0AD72574">
        <w:rPr>
          <w:rFonts w:eastAsia="Book Antiqua" w:cs="Book Antiqua"/>
          <w:szCs w:val="26"/>
        </w:rPr>
        <w:t xml:space="preserve"> SGIP collections.</w:t>
      </w:r>
    </w:p>
    <w:p w:rsidR="00265635" w:rsidP="00265635" w:rsidRDefault="107BDFD2" w14:paraId="4C8A54E4" w14:textId="77777777">
      <w:pPr>
        <w:pStyle w:val="ListParagraph"/>
        <w:numPr>
          <w:ilvl w:val="1"/>
          <w:numId w:val="42"/>
        </w:numPr>
        <w:spacing w:after="120" w:line="240" w:lineRule="auto"/>
        <w:ind w:left="1080" w:right="1440"/>
        <w:rPr>
          <w:rFonts w:eastAsia="Book Antiqua" w:cs="Book Antiqua"/>
        </w:rPr>
      </w:pPr>
      <w:r w:rsidRPr="0AD72574">
        <w:rPr>
          <w:rFonts w:eastAsia="Book Antiqua" w:cs="Book Antiqua"/>
          <w:szCs w:val="26"/>
        </w:rPr>
        <w:t xml:space="preserve">PAs must send a list of all SGIP projects and the timing for the end of the respective project’s permanency period to the relevant </w:t>
      </w:r>
      <w:r w:rsidR="00B94C59">
        <w:rPr>
          <w:rFonts w:eastAsia="Book Antiqua" w:cs="Book Antiqua"/>
          <w:szCs w:val="26"/>
        </w:rPr>
        <w:t>IOU</w:t>
      </w:r>
      <w:r w:rsidR="00285524">
        <w:rPr>
          <w:rFonts w:eastAsia="Book Antiqua" w:cs="Book Antiqua"/>
          <w:szCs w:val="26"/>
        </w:rPr>
        <w:t xml:space="preserve">s (PG&amp;E, SCE or SDG&amp;E) </w:t>
      </w:r>
      <w:r w:rsidRPr="0AD72574">
        <w:rPr>
          <w:rFonts w:eastAsia="Book Antiqua" w:cs="Book Antiqua"/>
          <w:szCs w:val="26"/>
        </w:rPr>
        <w:t>DR and Rate teams/staff to ensure compliance and tracking of TOU and DR rules compliance</w:t>
      </w:r>
      <w:r w:rsidRPr="0AD72574" w:rsidR="497C5BD7">
        <w:rPr>
          <w:rFonts w:eastAsia="Book Antiqua" w:cs="Book Antiqua"/>
          <w:szCs w:val="26"/>
        </w:rPr>
        <w:t>.</w:t>
      </w:r>
      <w:r w:rsidR="00265635">
        <w:rPr>
          <w:rFonts w:eastAsia="Book Antiqua" w:cs="Book Antiqua"/>
          <w:szCs w:val="26"/>
        </w:rPr>
        <w:t xml:space="preserve"> </w:t>
      </w:r>
      <w:r w:rsidRPr="1ECBEDD1" w:rsidR="00265635">
        <w:rPr>
          <w:rFonts w:eastAsia="Book Antiqua" w:cs="Book Antiqua"/>
        </w:rPr>
        <w:t xml:space="preserve">If another load serving entity (LSE) requests a list to track compliance in the LSE territory, the PA must send the LSE a list of all projects still in the permanency period. </w:t>
      </w:r>
    </w:p>
    <w:p w:rsidR="00265635" w:rsidP="00265635" w:rsidRDefault="00265635" w14:paraId="65207D1F" w14:textId="77777777">
      <w:pPr>
        <w:pStyle w:val="ListParagraph"/>
        <w:spacing w:after="120" w:line="240" w:lineRule="auto"/>
        <w:ind w:left="1080" w:right="1440" w:firstLine="0"/>
        <w:rPr>
          <w:rFonts w:eastAsia="Book Antiqua" w:cs="Book Antiqua"/>
        </w:rPr>
      </w:pPr>
    </w:p>
    <w:p w:rsidRPr="00F705D0" w:rsidR="2370BBE7" w:rsidP="00F705D0" w:rsidRDefault="2370BBE7" w14:paraId="63EDF60C" w14:textId="36684F55">
      <w:pPr>
        <w:pStyle w:val="ListParagraph"/>
        <w:numPr>
          <w:ilvl w:val="1"/>
          <w:numId w:val="42"/>
        </w:numPr>
        <w:spacing w:after="120" w:line="240" w:lineRule="auto"/>
        <w:ind w:left="1080" w:right="1440"/>
        <w:contextualSpacing w:val="0"/>
        <w:rPr>
          <w:rFonts w:eastAsia="Book Antiqua" w:cs="Book Antiqua"/>
          <w:szCs w:val="26"/>
        </w:rPr>
      </w:pPr>
      <w:r w:rsidRPr="0AD72574">
        <w:rPr>
          <w:rFonts w:eastAsia="Book Antiqua" w:cs="Book Antiqua"/>
          <w:szCs w:val="26"/>
        </w:rPr>
        <w:t>It is also reasonable for all funds from canceled projects and interest, not transferred to administrative budgets</w:t>
      </w:r>
      <w:r w:rsidR="00084739">
        <w:rPr>
          <w:rFonts w:eastAsia="Book Antiqua" w:cs="Book Antiqua"/>
          <w:szCs w:val="26"/>
        </w:rPr>
        <w:t>,</w:t>
      </w:r>
      <w:r w:rsidRPr="0AD72574">
        <w:rPr>
          <w:rFonts w:eastAsia="Book Antiqua" w:cs="Book Antiqua"/>
          <w:szCs w:val="26"/>
        </w:rPr>
        <w:t xml:space="preserve"> to be returned to ratepayers annually.</w:t>
      </w:r>
    </w:p>
    <w:p w:rsidR="2370BBE7" w:rsidP="00F705D0" w:rsidRDefault="2370BBE7" w14:paraId="32D1E158" w14:textId="4D982B9B">
      <w:pPr>
        <w:pStyle w:val="ListParagraph"/>
        <w:numPr>
          <w:ilvl w:val="1"/>
          <w:numId w:val="42"/>
        </w:numPr>
        <w:spacing w:after="120" w:line="240" w:lineRule="auto"/>
        <w:ind w:left="1080" w:right="1440"/>
        <w:contextualSpacing w:val="0"/>
        <w:rPr>
          <w:rFonts w:eastAsia="Book Antiqua" w:cs="Book Antiqua"/>
          <w:szCs w:val="26"/>
        </w:rPr>
      </w:pPr>
      <w:r w:rsidRPr="0AD72574">
        <w:rPr>
          <w:rFonts w:eastAsia="Book Antiqua" w:cs="Book Antiqua"/>
          <w:szCs w:val="26"/>
        </w:rPr>
        <w:t xml:space="preserve">PAs may use </w:t>
      </w:r>
      <w:r w:rsidRPr="0AD72574" w:rsidR="1DF65228">
        <w:rPr>
          <w:rFonts w:eastAsia="Book Antiqua" w:cs="Book Antiqua"/>
          <w:szCs w:val="26"/>
        </w:rPr>
        <w:t>the</w:t>
      </w:r>
      <w:r w:rsidRPr="0AD72574">
        <w:rPr>
          <w:rFonts w:eastAsia="Book Antiqua" w:cs="Book Antiqua"/>
          <w:szCs w:val="26"/>
        </w:rPr>
        <w:t xml:space="preserve"> Tier 1 </w:t>
      </w:r>
      <w:r w:rsidRPr="0AD72574" w:rsidR="3C205355">
        <w:rPr>
          <w:rFonts w:eastAsia="Book Antiqua" w:cs="Book Antiqua"/>
          <w:szCs w:val="26"/>
        </w:rPr>
        <w:t xml:space="preserve">budget </w:t>
      </w:r>
      <w:r w:rsidRPr="0AD72574" w:rsidR="19AEA97D">
        <w:rPr>
          <w:rFonts w:eastAsia="Book Antiqua" w:cs="Book Antiqua"/>
          <w:szCs w:val="26"/>
        </w:rPr>
        <w:t>advice letter to</w:t>
      </w:r>
      <w:r w:rsidRPr="0AD72574" w:rsidR="6EA92E38">
        <w:rPr>
          <w:rFonts w:eastAsia="Book Antiqua" w:cs="Book Antiqua"/>
          <w:szCs w:val="26"/>
        </w:rPr>
        <w:t xml:space="preserve"> request additional administrative budget up</w:t>
      </w:r>
      <w:r w:rsidR="00084739">
        <w:rPr>
          <w:rFonts w:eastAsia="Book Antiqua" w:cs="Book Antiqua"/>
          <w:szCs w:val="26"/>
        </w:rPr>
        <w:t xml:space="preserve"> of</w:t>
      </w:r>
      <w:r w:rsidRPr="0AD72574" w:rsidR="6EA92E38">
        <w:rPr>
          <w:rFonts w:eastAsia="Book Antiqua" w:cs="Book Antiqua"/>
          <w:szCs w:val="26"/>
        </w:rPr>
        <w:t xml:space="preserve"> to 10 </w:t>
      </w:r>
      <w:r w:rsidR="00E4258F">
        <w:rPr>
          <w:rFonts w:eastAsia="Book Antiqua" w:cs="Book Antiqua"/>
          <w:szCs w:val="26"/>
        </w:rPr>
        <w:t xml:space="preserve">percent </w:t>
      </w:r>
      <w:r w:rsidR="004974B3">
        <w:rPr>
          <w:rFonts w:eastAsia="Book Antiqua" w:cs="Book Antiqua"/>
          <w:szCs w:val="26"/>
        </w:rPr>
        <w:t>of the</w:t>
      </w:r>
      <w:r w:rsidR="008141C0">
        <w:rPr>
          <w:rFonts w:eastAsia="Book Antiqua" w:cs="Book Antiqua"/>
          <w:szCs w:val="26"/>
        </w:rPr>
        <w:t xml:space="preserve"> year’s</w:t>
      </w:r>
      <w:r w:rsidR="004974B3">
        <w:rPr>
          <w:rFonts w:eastAsia="Book Antiqua" w:cs="Book Antiqua"/>
          <w:szCs w:val="26"/>
        </w:rPr>
        <w:t xml:space="preserve"> accumulated </w:t>
      </w:r>
      <w:r w:rsidR="00321192">
        <w:rPr>
          <w:rFonts w:eastAsia="Book Antiqua" w:cs="Book Antiqua"/>
          <w:szCs w:val="26"/>
        </w:rPr>
        <w:t>interest</w:t>
      </w:r>
      <w:r w:rsidRPr="0AD72574" w:rsidR="0E78C0B9">
        <w:rPr>
          <w:rFonts w:eastAsia="Book Antiqua" w:cs="Book Antiqua"/>
          <w:szCs w:val="26"/>
        </w:rPr>
        <w:t>.</w:t>
      </w:r>
    </w:p>
    <w:p w:rsidR="0E78C0B9" w:rsidP="00F705D0" w:rsidRDefault="0E78C0B9" w14:paraId="172C09D0" w14:textId="4734C3AF">
      <w:pPr>
        <w:pStyle w:val="ListParagraph"/>
        <w:numPr>
          <w:ilvl w:val="1"/>
          <w:numId w:val="42"/>
        </w:numPr>
        <w:spacing w:after="120" w:line="240" w:lineRule="auto"/>
        <w:ind w:left="1080" w:right="1440"/>
        <w:contextualSpacing w:val="0"/>
        <w:rPr>
          <w:rFonts w:eastAsia="Book Antiqua" w:cs="Book Antiqua"/>
          <w:szCs w:val="26"/>
        </w:rPr>
      </w:pPr>
      <w:r w:rsidRPr="0AD72574">
        <w:rPr>
          <w:rFonts w:eastAsia="Book Antiqua" w:cs="Book Antiqua"/>
          <w:szCs w:val="26"/>
        </w:rPr>
        <w:t>PAs needing additional administrative budget above the authorized 10 percent cap</w:t>
      </w:r>
      <w:r w:rsidR="00593A9D">
        <w:rPr>
          <w:rFonts w:eastAsia="Book Antiqua" w:cs="Book Antiqua"/>
          <w:szCs w:val="26"/>
        </w:rPr>
        <w:t xml:space="preserve"> may</w:t>
      </w:r>
      <w:r w:rsidRPr="0AD72574">
        <w:rPr>
          <w:rFonts w:eastAsia="Book Antiqua" w:cs="Book Antiqua"/>
          <w:szCs w:val="26"/>
        </w:rPr>
        <w:t xml:space="preserve"> us</w:t>
      </w:r>
      <w:r w:rsidR="00593A9D">
        <w:rPr>
          <w:rFonts w:eastAsia="Book Antiqua" w:cs="Book Antiqua"/>
          <w:szCs w:val="26"/>
        </w:rPr>
        <w:t>e</w:t>
      </w:r>
      <w:r w:rsidRPr="0AD72574">
        <w:rPr>
          <w:rFonts w:eastAsia="Book Antiqua" w:cs="Book Antiqua"/>
          <w:szCs w:val="26"/>
        </w:rPr>
        <w:t xml:space="preserve"> a Tier 2 advice letter to justify the need for additional funds.</w:t>
      </w:r>
    </w:p>
    <w:p w:rsidR="0E78C0B9" w:rsidP="00F705D0" w:rsidRDefault="0E78C0B9" w14:paraId="1529FCA1" w14:textId="4E43E1A5">
      <w:pPr>
        <w:pStyle w:val="ListParagraph"/>
        <w:numPr>
          <w:ilvl w:val="1"/>
          <w:numId w:val="42"/>
        </w:numPr>
        <w:spacing w:after="120" w:line="240" w:lineRule="auto"/>
        <w:ind w:left="1080" w:right="1440"/>
        <w:contextualSpacing w:val="0"/>
        <w:rPr>
          <w:rFonts w:eastAsia="Book Antiqua" w:cs="Book Antiqua"/>
          <w:szCs w:val="26"/>
        </w:rPr>
      </w:pPr>
      <w:r w:rsidRPr="0AD72574">
        <w:rPr>
          <w:rFonts w:eastAsia="Book Antiqua" w:cs="Book Antiqua"/>
          <w:szCs w:val="26"/>
        </w:rPr>
        <w:lastRenderedPageBreak/>
        <w:t>SGIP projects already in PBI before December 30, 2025 w</w:t>
      </w:r>
      <w:r w:rsidR="00593A9D">
        <w:rPr>
          <w:rFonts w:eastAsia="Book Antiqua" w:cs="Book Antiqua"/>
          <w:szCs w:val="26"/>
        </w:rPr>
        <w:t>ill</w:t>
      </w:r>
      <w:r w:rsidRPr="0AD72574">
        <w:rPr>
          <w:rFonts w:eastAsia="Book Antiqua" w:cs="Book Antiqua"/>
          <w:szCs w:val="26"/>
        </w:rPr>
        <w:t xml:space="preserve"> retain their full five-year PBI evaluation period.</w:t>
      </w:r>
    </w:p>
    <w:p w:rsidR="0E78C0B9" w:rsidP="00F705D0" w:rsidRDefault="0E78C0B9" w14:paraId="6D132A93" w14:textId="4B0F53E2">
      <w:pPr>
        <w:pStyle w:val="ListParagraph"/>
        <w:numPr>
          <w:ilvl w:val="1"/>
          <w:numId w:val="42"/>
        </w:numPr>
        <w:spacing w:after="120" w:line="240" w:lineRule="auto"/>
        <w:ind w:left="1080" w:right="1440"/>
        <w:contextualSpacing w:val="0"/>
        <w:rPr>
          <w:rFonts w:eastAsia="Book Antiqua" w:cs="Book Antiqua"/>
          <w:szCs w:val="26"/>
        </w:rPr>
      </w:pPr>
      <w:r w:rsidRPr="0AD72574">
        <w:rPr>
          <w:rFonts w:eastAsia="Book Antiqua" w:cs="Book Antiqua"/>
          <w:szCs w:val="26"/>
        </w:rPr>
        <w:t>After December 30, 2025, all SGIP PBI extensions will be removed</w:t>
      </w:r>
      <w:r w:rsidRPr="0AD72574" w:rsidR="038A3BE6">
        <w:rPr>
          <w:rFonts w:eastAsia="Book Antiqua" w:cs="Book Antiqua"/>
          <w:szCs w:val="26"/>
        </w:rPr>
        <w:t>, this requirement will be entered into the SGIP Handbook</w:t>
      </w:r>
      <w:r w:rsidRPr="0AD72574" w:rsidR="6110FE71">
        <w:rPr>
          <w:rFonts w:eastAsia="Book Antiqua" w:cs="Book Antiqua"/>
          <w:szCs w:val="26"/>
        </w:rPr>
        <w:t xml:space="preserve"> after th</w:t>
      </w:r>
      <w:r w:rsidRPr="0AD72574" w:rsidR="2C936D92">
        <w:rPr>
          <w:rFonts w:eastAsia="Book Antiqua" w:cs="Book Antiqua"/>
          <w:szCs w:val="26"/>
        </w:rPr>
        <w:t>e effective date of this decision</w:t>
      </w:r>
      <w:r w:rsidRPr="0AD72574" w:rsidR="6110FE71">
        <w:rPr>
          <w:rFonts w:eastAsia="Book Antiqua" w:cs="Book Antiqua"/>
          <w:szCs w:val="26"/>
        </w:rPr>
        <w:t>.</w:t>
      </w:r>
    </w:p>
    <w:p w:rsidR="6110FE71" w:rsidP="00F705D0" w:rsidRDefault="6110FE71" w14:paraId="20C680BA" w14:textId="2D8C5007">
      <w:pPr>
        <w:pStyle w:val="ListParagraph"/>
        <w:numPr>
          <w:ilvl w:val="1"/>
          <w:numId w:val="42"/>
        </w:numPr>
        <w:spacing w:after="120" w:line="240" w:lineRule="auto"/>
        <w:ind w:left="1080" w:right="1440"/>
        <w:contextualSpacing w:val="0"/>
        <w:rPr>
          <w:rFonts w:eastAsia="Book Antiqua" w:cs="Book Antiqua"/>
          <w:szCs w:val="26"/>
        </w:rPr>
      </w:pPr>
      <w:r w:rsidRPr="0AD72574">
        <w:rPr>
          <w:rFonts w:eastAsia="Book Antiqua" w:cs="Book Antiqua"/>
          <w:szCs w:val="26"/>
        </w:rPr>
        <w:t xml:space="preserve">After December 30, 2025, </w:t>
      </w:r>
      <w:r w:rsidR="00162C41">
        <w:rPr>
          <w:rFonts w:eastAsia="Book Antiqua" w:cs="Book Antiqua"/>
          <w:szCs w:val="26"/>
        </w:rPr>
        <w:t>any</w:t>
      </w:r>
      <w:r w:rsidRPr="0AD72574">
        <w:rPr>
          <w:rFonts w:eastAsia="Book Antiqua" w:cs="Book Antiqua"/>
          <w:szCs w:val="26"/>
        </w:rPr>
        <w:t xml:space="preserve"> SGIP </w:t>
      </w:r>
      <w:r w:rsidRPr="0AD72574" w:rsidR="4F674D20">
        <w:rPr>
          <w:rFonts w:eastAsia="Book Antiqua" w:cs="Book Antiqua"/>
          <w:szCs w:val="26"/>
        </w:rPr>
        <w:t>projects entering PBI must complete PBI in two years.</w:t>
      </w:r>
    </w:p>
    <w:p w:rsidR="4164269C" w:rsidP="00F705D0" w:rsidRDefault="4164269C" w14:paraId="3752484F" w14:textId="143B5549">
      <w:pPr>
        <w:pStyle w:val="ListParagraph"/>
        <w:numPr>
          <w:ilvl w:val="1"/>
          <w:numId w:val="42"/>
        </w:numPr>
        <w:spacing w:after="120" w:line="240" w:lineRule="auto"/>
        <w:ind w:left="1080" w:right="1440"/>
        <w:contextualSpacing w:val="0"/>
        <w:rPr>
          <w:rFonts w:eastAsia="Book Antiqua" w:cs="Book Antiqua"/>
          <w:szCs w:val="26"/>
        </w:rPr>
      </w:pPr>
      <w:r w:rsidRPr="0AD72574">
        <w:rPr>
          <w:rFonts w:eastAsia="Book Antiqua" w:cs="Book Antiqua"/>
          <w:szCs w:val="26"/>
        </w:rPr>
        <w:t>All SGIP non-</w:t>
      </w:r>
      <w:r w:rsidRPr="00D075DB">
        <w:rPr>
          <w:rFonts w:eastAsia="Book Antiqua" w:cs="Book Antiqua"/>
          <w:szCs w:val="26"/>
        </w:rPr>
        <w:t>residential equity projects</w:t>
      </w:r>
      <w:r w:rsidR="00162C41">
        <w:rPr>
          <w:rFonts w:eastAsia="Book Antiqua" w:cs="Book Antiqua"/>
          <w:szCs w:val="26"/>
        </w:rPr>
        <w:t>, in both the Non</w:t>
      </w:r>
      <w:r w:rsidR="00C85574">
        <w:rPr>
          <w:rFonts w:eastAsia="Book Antiqua" w:cs="Book Antiqua"/>
          <w:szCs w:val="26"/>
        </w:rPr>
        <w:t>-Residential Equity and Equity Resiliency budgets,</w:t>
      </w:r>
      <w:r w:rsidRPr="00D075DB">
        <w:rPr>
          <w:rFonts w:eastAsia="Book Antiqua" w:cs="Book Antiqua"/>
          <w:szCs w:val="26"/>
        </w:rPr>
        <w:t xml:space="preserve"> are granted access to </w:t>
      </w:r>
      <w:r w:rsidRPr="00D075DB" w:rsidR="00324FAF">
        <w:rPr>
          <w:rFonts w:eastAsia="Book Antiqua" w:cs="Book Antiqua"/>
          <w:szCs w:val="26"/>
        </w:rPr>
        <w:t xml:space="preserve">up to </w:t>
      </w:r>
      <w:r w:rsidRPr="00D075DB">
        <w:rPr>
          <w:rFonts w:eastAsia="Book Antiqua" w:cs="Book Antiqua"/>
          <w:szCs w:val="26"/>
        </w:rPr>
        <w:t>four addition</w:t>
      </w:r>
      <w:r w:rsidRPr="00D075DB" w:rsidR="704119D8">
        <w:rPr>
          <w:rFonts w:eastAsia="Book Antiqua" w:cs="Book Antiqua"/>
          <w:szCs w:val="26"/>
        </w:rPr>
        <w:t xml:space="preserve">al six-month extensions retroactively from </w:t>
      </w:r>
      <w:r w:rsidRPr="00D075DB" w:rsidR="00F04996">
        <w:rPr>
          <w:rFonts w:eastAsia="Book Antiqua" w:cs="Book Antiqua"/>
          <w:szCs w:val="26"/>
        </w:rPr>
        <w:t xml:space="preserve">February </w:t>
      </w:r>
      <w:r w:rsidRPr="00D075DB" w:rsidR="704119D8">
        <w:rPr>
          <w:rFonts w:eastAsia="Book Antiqua" w:cs="Book Antiqua"/>
          <w:szCs w:val="26"/>
        </w:rPr>
        <w:t>1, 2025 if</w:t>
      </w:r>
      <w:r w:rsidRPr="00D075DB" w:rsidR="2266E5D2">
        <w:rPr>
          <w:rFonts w:eastAsia="Book Antiqua" w:cs="Book Antiqua"/>
          <w:szCs w:val="26"/>
        </w:rPr>
        <w:t>:</w:t>
      </w:r>
    </w:p>
    <w:p w:rsidR="2266E5D2" w:rsidP="0045704C" w:rsidRDefault="2266E5D2" w14:paraId="5192F205" w14:textId="603960ED">
      <w:pPr>
        <w:pStyle w:val="ListParagraph"/>
        <w:numPr>
          <w:ilvl w:val="2"/>
          <w:numId w:val="42"/>
        </w:numPr>
        <w:spacing w:after="120" w:line="240" w:lineRule="auto"/>
        <w:ind w:left="1454" w:right="1440" w:hanging="187"/>
        <w:contextualSpacing w:val="0"/>
        <w:rPr>
          <w:rFonts w:eastAsia="Book Antiqua" w:cs="Book Antiqua"/>
          <w:szCs w:val="26"/>
        </w:rPr>
      </w:pPr>
      <w:r w:rsidRPr="0AD72574">
        <w:rPr>
          <w:rFonts w:eastAsia="Book Antiqua" w:cs="Book Antiqua"/>
          <w:szCs w:val="26"/>
        </w:rPr>
        <w:t xml:space="preserve">The host customer has passed the Proof of Project Milestone submitted </w:t>
      </w:r>
      <w:r w:rsidRPr="0AD72574" w:rsidR="32BD86CD">
        <w:rPr>
          <w:rFonts w:eastAsia="Book Antiqua" w:cs="Book Antiqua"/>
          <w:szCs w:val="26"/>
        </w:rPr>
        <w:t>stage.</w:t>
      </w:r>
    </w:p>
    <w:p w:rsidR="32BD86CD" w:rsidP="0045704C" w:rsidRDefault="32BD86CD" w14:paraId="02A69835" w14:textId="2B189933">
      <w:pPr>
        <w:pStyle w:val="ListParagraph"/>
        <w:numPr>
          <w:ilvl w:val="2"/>
          <w:numId w:val="42"/>
        </w:numPr>
        <w:spacing w:after="120" w:line="240" w:lineRule="auto"/>
        <w:ind w:left="1454" w:right="1440" w:hanging="187"/>
        <w:contextualSpacing w:val="0"/>
        <w:rPr>
          <w:rFonts w:eastAsia="Book Antiqua" w:cs="Book Antiqua"/>
          <w:szCs w:val="26"/>
        </w:rPr>
      </w:pPr>
      <w:r w:rsidRPr="0AD72574">
        <w:rPr>
          <w:rFonts w:eastAsia="Book Antiqua" w:cs="Book Antiqua"/>
          <w:szCs w:val="26"/>
        </w:rPr>
        <w:t>The project will be completed before all extensions expire.</w:t>
      </w:r>
    </w:p>
    <w:p w:rsidR="32BD86CD" w:rsidP="0045704C" w:rsidRDefault="32BD86CD" w14:paraId="631EF019" w14:textId="453F80D7">
      <w:pPr>
        <w:pStyle w:val="ListParagraph"/>
        <w:numPr>
          <w:ilvl w:val="2"/>
          <w:numId w:val="42"/>
        </w:numPr>
        <w:spacing w:after="120" w:line="240" w:lineRule="auto"/>
        <w:ind w:left="1454" w:right="1440" w:hanging="187"/>
        <w:contextualSpacing w:val="0"/>
        <w:rPr>
          <w:rFonts w:eastAsia="Book Antiqua" w:cs="Book Antiqua"/>
          <w:szCs w:val="26"/>
        </w:rPr>
      </w:pPr>
      <w:r w:rsidRPr="0AD72574">
        <w:rPr>
          <w:rFonts w:eastAsia="Book Antiqua" w:cs="Book Antiqua"/>
          <w:szCs w:val="26"/>
        </w:rPr>
        <w:t xml:space="preserve">The host customer agrees to participate in an SGIP </w:t>
      </w:r>
      <w:r w:rsidRPr="0AD72574" w:rsidR="753CF02C">
        <w:rPr>
          <w:rFonts w:eastAsia="Book Antiqua" w:cs="Book Antiqua"/>
          <w:szCs w:val="26"/>
        </w:rPr>
        <w:t>qualifying</w:t>
      </w:r>
      <w:r w:rsidRPr="0AD72574">
        <w:rPr>
          <w:rFonts w:eastAsia="Book Antiqua" w:cs="Book Antiqua"/>
          <w:szCs w:val="26"/>
        </w:rPr>
        <w:t xml:space="preserve"> Dem</w:t>
      </w:r>
      <w:r w:rsidRPr="0AD72574" w:rsidR="645193A4">
        <w:rPr>
          <w:rFonts w:eastAsia="Book Antiqua" w:cs="Book Antiqua"/>
          <w:szCs w:val="26"/>
        </w:rPr>
        <w:t xml:space="preserve">and Response program for ten years from Incentive </w:t>
      </w:r>
      <w:r w:rsidRPr="0AD72574" w:rsidR="43D4D3F0">
        <w:rPr>
          <w:rFonts w:eastAsia="Book Antiqua" w:cs="Book Antiqua"/>
          <w:szCs w:val="26"/>
        </w:rPr>
        <w:t xml:space="preserve">Claim </w:t>
      </w:r>
      <w:r w:rsidRPr="0AD72574" w:rsidR="645193A4">
        <w:rPr>
          <w:rFonts w:eastAsia="Book Antiqua" w:cs="Book Antiqua"/>
          <w:szCs w:val="26"/>
        </w:rPr>
        <w:t>Form</w:t>
      </w:r>
      <w:r w:rsidRPr="0AD72574" w:rsidR="31F959B6">
        <w:rPr>
          <w:rFonts w:eastAsia="Book Antiqua" w:cs="Book Antiqua"/>
          <w:szCs w:val="26"/>
        </w:rPr>
        <w:t xml:space="preserve"> submission.</w:t>
      </w:r>
    </w:p>
    <w:p w:rsidRPr="00BE79DF" w:rsidR="00645408" w:rsidP="0045704C" w:rsidRDefault="31F959B6" w14:paraId="5763E5F7" w14:textId="65ABF912">
      <w:pPr>
        <w:pStyle w:val="ListParagraph"/>
        <w:numPr>
          <w:ilvl w:val="1"/>
          <w:numId w:val="42"/>
        </w:numPr>
        <w:spacing w:after="120" w:line="240" w:lineRule="auto"/>
        <w:ind w:left="1080" w:right="1440"/>
        <w:contextualSpacing w:val="0"/>
        <w:rPr>
          <w:rFonts w:eastAsia="Book Antiqua" w:cs="Book Antiqua"/>
          <w:szCs w:val="26"/>
        </w:rPr>
      </w:pPr>
      <w:r w:rsidRPr="0AD72574">
        <w:rPr>
          <w:rFonts w:eastAsia="Book Antiqua" w:cs="Book Antiqua"/>
          <w:szCs w:val="26"/>
        </w:rPr>
        <w:t xml:space="preserve">SGIP PAs </w:t>
      </w:r>
      <w:r w:rsidRPr="0AD72574" w:rsidR="2A9B5911">
        <w:rPr>
          <w:rFonts w:eastAsia="Book Antiqua" w:cs="Book Antiqua"/>
          <w:szCs w:val="26"/>
        </w:rPr>
        <w:t>are directed to remove all references to the COVID-19 Stay of Cancellation from the current SGIP Handbook as of the effective date of this decision.</w:t>
      </w:r>
    </w:p>
    <w:p w:rsidRPr="00D075DB" w:rsidR="154B9637" w:rsidP="00F705D0" w:rsidRDefault="154B9637" w14:paraId="7A382D44" w14:textId="2CA9534F">
      <w:pPr>
        <w:pStyle w:val="CoL"/>
        <w:numPr>
          <w:ilvl w:val="0"/>
          <w:numId w:val="42"/>
        </w:numPr>
        <w:ind w:left="0" w:firstLine="360"/>
        <w:rPr>
          <w:rFonts w:eastAsia="Book Antiqua" w:cs="Book Antiqua"/>
          <w:szCs w:val="26"/>
        </w:rPr>
      </w:pPr>
      <w:r w:rsidRPr="0AD72574">
        <w:rPr>
          <w:rFonts w:eastAsia="Book Antiqua" w:cs="Book Antiqua"/>
          <w:szCs w:val="26"/>
        </w:rPr>
        <w:t xml:space="preserve">The Commission finds it </w:t>
      </w:r>
      <w:r w:rsidRPr="00D075DB">
        <w:rPr>
          <w:rFonts w:eastAsia="Book Antiqua" w:cs="Book Antiqua"/>
          <w:szCs w:val="26"/>
        </w:rPr>
        <w:t xml:space="preserve">reasonable to adopt the following modifications </w:t>
      </w:r>
      <w:r w:rsidRPr="00D075DB" w:rsidR="00BE79DF">
        <w:rPr>
          <w:rFonts w:eastAsia="Book Antiqua" w:cs="Book Antiqua"/>
          <w:szCs w:val="26"/>
        </w:rPr>
        <w:t xml:space="preserve">to </w:t>
      </w:r>
      <w:r w:rsidRPr="00D075DB" w:rsidR="2BE26C08">
        <w:rPr>
          <w:rFonts w:eastAsia="Book Antiqua" w:cs="Book Antiqua"/>
          <w:szCs w:val="26"/>
        </w:rPr>
        <w:t>SGIP:</w:t>
      </w:r>
    </w:p>
    <w:p w:rsidRPr="00D075DB" w:rsidR="5C17BB01" w:rsidP="0045704C" w:rsidRDefault="5C17BB01" w14:paraId="4519E398" w14:textId="4686DCF1">
      <w:pPr>
        <w:pStyle w:val="ListParagraph"/>
        <w:numPr>
          <w:ilvl w:val="1"/>
          <w:numId w:val="42"/>
        </w:numPr>
        <w:spacing w:after="120" w:line="240" w:lineRule="auto"/>
        <w:ind w:left="1080" w:right="1440"/>
        <w:contextualSpacing w:val="0"/>
        <w:rPr>
          <w:rFonts w:eastAsia="Book Antiqua" w:cs="Book Antiqua"/>
          <w:szCs w:val="26"/>
        </w:rPr>
      </w:pPr>
      <w:r w:rsidRPr="00D075DB">
        <w:rPr>
          <w:rFonts w:eastAsia="Book Antiqua" w:cs="Book Antiqua"/>
          <w:szCs w:val="26"/>
        </w:rPr>
        <w:t xml:space="preserve">All </w:t>
      </w:r>
      <w:r w:rsidRPr="00D075DB" w:rsidR="00753CEC">
        <w:rPr>
          <w:rFonts w:eastAsia="Book Antiqua" w:cs="Book Antiqua"/>
          <w:szCs w:val="26"/>
        </w:rPr>
        <w:t>residential low-income</w:t>
      </w:r>
      <w:r w:rsidRPr="00D075DB">
        <w:rPr>
          <w:rFonts w:eastAsia="Book Antiqua" w:cs="Book Antiqua"/>
          <w:szCs w:val="26"/>
        </w:rPr>
        <w:t xml:space="preserve"> customers applying to the RSSE budget </w:t>
      </w:r>
      <w:r w:rsidR="001037DF">
        <w:rPr>
          <w:rFonts w:eastAsia="Book Antiqua" w:cs="Book Antiqua"/>
          <w:szCs w:val="26"/>
        </w:rPr>
        <w:t>(formerly the Residential Storage Equity)</w:t>
      </w:r>
      <w:r w:rsidR="006376B4">
        <w:rPr>
          <w:rFonts w:eastAsia="Book Antiqua" w:cs="Book Antiqua"/>
          <w:szCs w:val="26"/>
        </w:rPr>
        <w:t xml:space="preserve"> </w:t>
      </w:r>
      <w:r w:rsidRPr="00D075DB" w:rsidR="2F83BBE0">
        <w:rPr>
          <w:rFonts w:eastAsia="Book Antiqua" w:cs="Book Antiqua"/>
          <w:szCs w:val="26"/>
        </w:rPr>
        <w:t>are exempted from the requirement to participate in a qualifying demand response program.</w:t>
      </w:r>
      <w:r w:rsidR="006376B4">
        <w:rPr>
          <w:rFonts w:eastAsia="Book Antiqua" w:cs="Book Antiqua"/>
          <w:szCs w:val="26"/>
        </w:rPr>
        <w:t xml:space="preserve"> SGIP PAs are directed to inform RSSE customers at ICF of any SGIP approved qualified demand response program they can enroll in.</w:t>
      </w:r>
    </w:p>
    <w:p w:rsidR="49D9DB73" w:rsidP="0045704C" w:rsidRDefault="49D9DB73" w14:paraId="34AC768E" w14:textId="58CD62E6">
      <w:pPr>
        <w:pStyle w:val="ListParagraph"/>
        <w:numPr>
          <w:ilvl w:val="1"/>
          <w:numId w:val="42"/>
        </w:numPr>
        <w:spacing w:after="120" w:line="240" w:lineRule="auto"/>
        <w:ind w:left="1080" w:right="1440"/>
        <w:contextualSpacing w:val="0"/>
        <w:rPr>
          <w:rFonts w:eastAsia="Book Antiqua" w:cs="Book Antiqua"/>
          <w:szCs w:val="26"/>
        </w:rPr>
      </w:pPr>
      <w:r w:rsidRPr="00D075DB">
        <w:rPr>
          <w:rFonts w:eastAsia="Book Antiqua" w:cs="Book Antiqua"/>
          <w:szCs w:val="26"/>
        </w:rPr>
        <w:t>SGIP PAs can propose to modify the SGIP Handbook and application pro</w:t>
      </w:r>
      <w:r w:rsidRPr="00D075DB" w:rsidR="46AB4759">
        <w:rPr>
          <w:rFonts w:eastAsia="Book Antiqua" w:cs="Book Antiqua"/>
          <w:szCs w:val="26"/>
        </w:rPr>
        <w:t>cess to implement</w:t>
      </w:r>
      <w:r w:rsidRPr="0AD72574" w:rsidR="46AB4759">
        <w:rPr>
          <w:rFonts w:eastAsia="Book Antiqua" w:cs="Book Antiqua"/>
          <w:szCs w:val="26"/>
        </w:rPr>
        <w:t xml:space="preserve"> changes from the existing PA and Program Performance Reports and other M&amp;E reports to improve</w:t>
      </w:r>
      <w:r w:rsidRPr="0AD72574" w:rsidR="05DD800C">
        <w:rPr>
          <w:rFonts w:eastAsia="Book Antiqua" w:cs="Book Antiqua"/>
          <w:szCs w:val="26"/>
        </w:rPr>
        <w:t xml:space="preserve"> program performance using a Tier</w:t>
      </w:r>
      <w:r w:rsidR="006E59B1">
        <w:rPr>
          <w:rFonts w:eastAsia="Book Antiqua" w:cs="Book Antiqua"/>
          <w:szCs w:val="26"/>
        </w:rPr>
        <w:t xml:space="preserve"> </w:t>
      </w:r>
      <w:r w:rsidR="00C17957">
        <w:rPr>
          <w:rFonts w:eastAsia="Book Antiqua" w:cs="Book Antiqua"/>
          <w:szCs w:val="26"/>
        </w:rPr>
        <w:t>2</w:t>
      </w:r>
      <w:r w:rsidRPr="0AD72574" w:rsidR="05DD800C">
        <w:rPr>
          <w:rFonts w:eastAsia="Book Antiqua" w:cs="Book Antiqua"/>
          <w:szCs w:val="26"/>
        </w:rPr>
        <w:t xml:space="preserve"> </w:t>
      </w:r>
      <w:r w:rsidRPr="0AD72574" w:rsidR="05DD800C">
        <w:rPr>
          <w:rFonts w:eastAsia="Book Antiqua" w:cs="Book Antiqua"/>
          <w:szCs w:val="26"/>
        </w:rPr>
        <w:lastRenderedPageBreak/>
        <w:t>advice letter if the language was required by a Commis</w:t>
      </w:r>
      <w:r w:rsidR="002D5F21">
        <w:rPr>
          <w:rFonts w:eastAsia="Book Antiqua" w:cs="Book Antiqua"/>
          <w:szCs w:val="26"/>
        </w:rPr>
        <w:t>s</w:t>
      </w:r>
      <w:r w:rsidRPr="0AD72574" w:rsidR="05DD800C">
        <w:rPr>
          <w:rFonts w:eastAsia="Book Antiqua" w:cs="Book Antiqua"/>
          <w:szCs w:val="26"/>
        </w:rPr>
        <w:t xml:space="preserve">ion </w:t>
      </w:r>
      <w:r w:rsidRPr="0AD72574" w:rsidR="293D7E5B">
        <w:rPr>
          <w:rFonts w:eastAsia="Book Antiqua" w:cs="Book Antiqua"/>
          <w:szCs w:val="26"/>
        </w:rPr>
        <w:t>decision.</w:t>
      </w:r>
    </w:p>
    <w:p w:rsidR="293D7E5B" w:rsidP="0045704C" w:rsidRDefault="293D7E5B" w14:paraId="42ED76BA" w14:textId="1F12DF52">
      <w:pPr>
        <w:pStyle w:val="ListParagraph"/>
        <w:numPr>
          <w:ilvl w:val="1"/>
          <w:numId w:val="42"/>
        </w:numPr>
        <w:spacing w:after="120" w:line="240" w:lineRule="auto"/>
        <w:ind w:left="1080" w:right="1440"/>
        <w:contextualSpacing w:val="0"/>
        <w:rPr>
          <w:rFonts w:eastAsia="Book Antiqua" w:cs="Book Antiqua"/>
          <w:szCs w:val="26"/>
        </w:rPr>
      </w:pPr>
      <w:r w:rsidRPr="0AD72574">
        <w:rPr>
          <w:rFonts w:eastAsia="Book Antiqua" w:cs="Book Antiqua"/>
          <w:szCs w:val="26"/>
        </w:rPr>
        <w:t>PAs can continue to propose modifications to the SGIP Handbook language using a Tier 2 advice letter if the proposed lang</w:t>
      </w:r>
      <w:r w:rsidRPr="0AD72574" w:rsidR="0D787C48">
        <w:rPr>
          <w:rFonts w:eastAsia="Book Antiqua" w:cs="Book Antiqua"/>
          <w:szCs w:val="26"/>
        </w:rPr>
        <w:t>uage was required by a Resolution or added by advice letter</w:t>
      </w:r>
      <w:r w:rsidRPr="0AD72574" w:rsidR="035D1152">
        <w:rPr>
          <w:rFonts w:eastAsia="Book Antiqua" w:cs="Book Antiqua"/>
          <w:szCs w:val="26"/>
        </w:rPr>
        <w:t>s</w:t>
      </w:r>
      <w:r w:rsidRPr="0AD72574" w:rsidR="0D787C48">
        <w:rPr>
          <w:rFonts w:eastAsia="Book Antiqua" w:cs="Book Antiqua"/>
          <w:szCs w:val="26"/>
        </w:rPr>
        <w:t>.</w:t>
      </w:r>
    </w:p>
    <w:p w:rsidR="0EEAD0B0" w:rsidP="00F705D0" w:rsidRDefault="0EEAD0B0" w14:paraId="71F00098" w14:textId="59B41CF4">
      <w:pPr>
        <w:pStyle w:val="CoL"/>
        <w:numPr>
          <w:ilvl w:val="0"/>
          <w:numId w:val="42"/>
        </w:numPr>
        <w:ind w:left="0" w:firstLine="360"/>
        <w:rPr>
          <w:rFonts w:eastAsia="Book Antiqua" w:cs="Book Antiqua"/>
          <w:szCs w:val="26"/>
        </w:rPr>
      </w:pPr>
      <w:r w:rsidRPr="0AD72574">
        <w:rPr>
          <w:rFonts w:eastAsia="Book Antiqua" w:cs="Book Antiqua"/>
          <w:szCs w:val="26"/>
        </w:rPr>
        <w:t>The Commission finds it reasonable to adopt the following measurement and evaluation requirements to the ratepayer</w:t>
      </w:r>
      <w:r w:rsidR="00155B70">
        <w:rPr>
          <w:rFonts w:eastAsia="Book Antiqua" w:cs="Book Antiqua"/>
          <w:szCs w:val="26"/>
        </w:rPr>
        <w:t xml:space="preserve"> </w:t>
      </w:r>
      <w:r w:rsidRPr="0AD72574">
        <w:rPr>
          <w:rFonts w:eastAsia="Book Antiqua" w:cs="Book Antiqua"/>
          <w:szCs w:val="26"/>
        </w:rPr>
        <w:t xml:space="preserve">funded </w:t>
      </w:r>
      <w:r w:rsidR="00155B70">
        <w:rPr>
          <w:rFonts w:eastAsia="Book Antiqua" w:cs="Book Antiqua"/>
          <w:szCs w:val="26"/>
        </w:rPr>
        <w:t xml:space="preserve">and GGRF funded </w:t>
      </w:r>
      <w:r w:rsidRPr="0AD72574">
        <w:rPr>
          <w:rFonts w:eastAsia="Book Antiqua" w:cs="Book Antiqua"/>
          <w:szCs w:val="26"/>
        </w:rPr>
        <w:t>portion</w:t>
      </w:r>
      <w:r w:rsidR="00155B70">
        <w:rPr>
          <w:rFonts w:eastAsia="Book Antiqua" w:cs="Book Antiqua"/>
          <w:szCs w:val="26"/>
        </w:rPr>
        <w:t>s</w:t>
      </w:r>
      <w:r w:rsidRPr="0AD72574">
        <w:rPr>
          <w:rFonts w:eastAsia="Book Antiqua" w:cs="Book Antiqua"/>
          <w:szCs w:val="26"/>
        </w:rPr>
        <w:t xml:space="preserve"> of SGIP:</w:t>
      </w:r>
    </w:p>
    <w:p w:rsidRPr="0045704C" w:rsidR="464239B2" w:rsidP="0045704C" w:rsidRDefault="01B4F9B2" w14:paraId="77CDED1A" w14:textId="7BD2F1B9">
      <w:pPr>
        <w:pStyle w:val="ListParagraph"/>
        <w:numPr>
          <w:ilvl w:val="1"/>
          <w:numId w:val="42"/>
        </w:numPr>
        <w:spacing w:after="120" w:line="240" w:lineRule="auto"/>
        <w:ind w:left="1080" w:right="1440"/>
        <w:contextualSpacing w:val="0"/>
        <w:rPr>
          <w:rFonts w:eastAsia="Book Antiqua" w:cs="Book Antiqua"/>
          <w:szCs w:val="26"/>
        </w:rPr>
      </w:pPr>
      <w:r w:rsidRPr="7E9CACF8">
        <w:rPr>
          <w:rFonts w:eastAsia="Book Antiqua" w:cs="Book Antiqua"/>
        </w:rPr>
        <w:t>The M&amp;</w:t>
      </w:r>
      <w:r w:rsidRPr="0045704C">
        <w:rPr>
          <w:rFonts w:eastAsia="Book Antiqua" w:cs="Book Antiqua"/>
          <w:szCs w:val="26"/>
        </w:rPr>
        <w:t>E Plan attached to this decision as A</w:t>
      </w:r>
      <w:r w:rsidRPr="0045704C" w:rsidR="49D43BA7">
        <w:rPr>
          <w:rFonts w:eastAsia="Book Antiqua" w:cs="Book Antiqua"/>
          <w:szCs w:val="26"/>
        </w:rPr>
        <w:t>ttachment</w:t>
      </w:r>
      <w:r w:rsidRPr="0045704C">
        <w:rPr>
          <w:rFonts w:eastAsia="Book Antiqua" w:cs="Book Antiqua"/>
          <w:szCs w:val="26"/>
        </w:rPr>
        <w:t xml:space="preserve"> A should be adopted.</w:t>
      </w:r>
    </w:p>
    <w:p w:rsidR="464239B2" w:rsidP="0045704C" w:rsidRDefault="464239B2" w14:paraId="77A5A7C1" w14:textId="73D91889">
      <w:pPr>
        <w:pStyle w:val="ListParagraph"/>
        <w:numPr>
          <w:ilvl w:val="1"/>
          <w:numId w:val="42"/>
        </w:numPr>
        <w:spacing w:after="120" w:line="240" w:lineRule="auto"/>
        <w:ind w:left="1080" w:right="1440"/>
        <w:contextualSpacing w:val="0"/>
        <w:rPr>
          <w:rFonts w:eastAsia="Book Antiqua" w:cs="Book Antiqua"/>
          <w:szCs w:val="26"/>
        </w:rPr>
      </w:pPr>
      <w:r w:rsidRPr="0AD72574">
        <w:rPr>
          <w:rFonts w:eastAsia="Book Antiqua" w:cs="Book Antiqua"/>
          <w:szCs w:val="26"/>
        </w:rPr>
        <w:t xml:space="preserve">The final M&amp;E SGIP summary report </w:t>
      </w:r>
      <w:r w:rsidRPr="0AD72574" w:rsidR="30BD6B20">
        <w:rPr>
          <w:rFonts w:eastAsia="Book Antiqua" w:cs="Book Antiqua"/>
          <w:szCs w:val="26"/>
        </w:rPr>
        <w:t>should include an executive style summary to capture overall lessons from SGIP.</w:t>
      </w:r>
    </w:p>
    <w:p w:rsidR="18CA38A6" w:rsidP="0045704C" w:rsidRDefault="18CA38A6" w14:paraId="647969D1" w14:textId="2D90721D">
      <w:pPr>
        <w:pStyle w:val="ListParagraph"/>
        <w:numPr>
          <w:ilvl w:val="1"/>
          <w:numId w:val="42"/>
        </w:numPr>
        <w:spacing w:after="120" w:line="240" w:lineRule="auto"/>
        <w:ind w:left="1080" w:right="1440"/>
        <w:contextualSpacing w:val="0"/>
        <w:rPr>
          <w:rFonts w:eastAsia="Book Antiqua" w:cs="Book Antiqua"/>
          <w:szCs w:val="26"/>
        </w:rPr>
      </w:pPr>
      <w:r w:rsidRPr="0AD72574">
        <w:rPr>
          <w:rFonts w:eastAsia="Book Antiqua" w:cs="Book Antiqua"/>
          <w:szCs w:val="26"/>
        </w:rPr>
        <w:t xml:space="preserve">ED staff </w:t>
      </w:r>
      <w:r w:rsidR="00B75EA6">
        <w:rPr>
          <w:rFonts w:eastAsia="Book Antiqua" w:cs="Book Antiqua"/>
          <w:szCs w:val="26"/>
        </w:rPr>
        <w:t xml:space="preserve">may </w:t>
      </w:r>
      <w:r w:rsidRPr="0045704C" w:rsidR="00B75EA6">
        <w:rPr>
          <w:rFonts w:eastAsia="Book Antiqua" w:cs="Book Antiqua"/>
          <w:szCs w:val="26"/>
        </w:rPr>
        <w:t>modify the M&amp;E tasks and reporting in Attachment A</w:t>
      </w:r>
      <w:r w:rsidR="00B75EA6">
        <w:t xml:space="preserve"> as needed to improve M&amp;E efforts, including removing reports</w:t>
      </w:r>
      <w:r w:rsidRPr="0AD72574" w:rsidR="54AFEFCE">
        <w:rPr>
          <w:rFonts w:eastAsia="Book Antiqua" w:cs="Book Antiqua"/>
          <w:szCs w:val="26"/>
        </w:rPr>
        <w:t>.</w:t>
      </w:r>
    </w:p>
    <w:p w:rsidR="62DA0C2D" w:rsidP="00F705D0" w:rsidRDefault="62DA0C2D" w14:paraId="2D40BE3A" w14:textId="142E2050">
      <w:pPr>
        <w:pStyle w:val="CoL"/>
        <w:numPr>
          <w:ilvl w:val="0"/>
          <w:numId w:val="42"/>
        </w:numPr>
        <w:ind w:left="0" w:firstLine="360"/>
        <w:rPr>
          <w:rFonts w:eastAsia="Book Antiqua" w:cs="Book Antiqua"/>
        </w:rPr>
      </w:pPr>
      <w:r w:rsidRPr="4230B30A">
        <w:rPr>
          <w:rFonts w:eastAsia="Book Antiqua" w:cs="Book Antiqua"/>
        </w:rPr>
        <w:t xml:space="preserve">The </w:t>
      </w:r>
      <w:r w:rsidRPr="00F705D0">
        <w:rPr>
          <w:rFonts w:eastAsia="Book Antiqua" w:cs="Book Antiqua"/>
          <w:szCs w:val="26"/>
        </w:rPr>
        <w:t>Commission</w:t>
      </w:r>
      <w:r w:rsidRPr="4230B30A">
        <w:rPr>
          <w:rFonts w:eastAsia="Book Antiqua" w:cs="Book Antiqua"/>
        </w:rPr>
        <w:t xml:space="preserve"> finds it reasonable to adopt the following requirements for implementing</w:t>
      </w:r>
      <w:r w:rsidRPr="4230B30A" w:rsidR="72530865">
        <w:rPr>
          <w:rFonts w:eastAsia="Book Antiqua" w:cs="Book Antiqua"/>
        </w:rPr>
        <w:t xml:space="preserve"> and closing</w:t>
      </w:r>
      <w:r w:rsidRPr="4230B30A">
        <w:rPr>
          <w:rFonts w:eastAsia="Book Antiqua" w:cs="Book Antiqua"/>
        </w:rPr>
        <w:t xml:space="preserve"> the GGRF </w:t>
      </w:r>
      <w:r w:rsidRPr="198477AB" w:rsidR="18782150">
        <w:rPr>
          <w:rFonts w:eastAsia="Book Antiqua" w:cs="Book Antiqua"/>
        </w:rPr>
        <w:t>funded</w:t>
      </w:r>
      <w:r w:rsidRPr="4230B30A">
        <w:rPr>
          <w:rFonts w:eastAsia="Book Antiqua" w:cs="Book Antiqua"/>
        </w:rPr>
        <w:t xml:space="preserve"> portion of SGIP:</w:t>
      </w:r>
    </w:p>
    <w:p w:rsidR="7C6F2B9E" w:rsidP="0045704C" w:rsidRDefault="7C6F2B9E" w14:paraId="03CE2AF8" w14:textId="65BAC7B7">
      <w:pPr>
        <w:pStyle w:val="ListParagraph"/>
        <w:numPr>
          <w:ilvl w:val="1"/>
          <w:numId w:val="42"/>
        </w:numPr>
        <w:spacing w:after="120" w:line="240" w:lineRule="auto"/>
        <w:ind w:left="1080" w:right="1440"/>
        <w:contextualSpacing w:val="0"/>
        <w:rPr>
          <w:rFonts w:eastAsia="Book Antiqua" w:cs="Book Antiqua"/>
          <w:szCs w:val="26"/>
        </w:rPr>
      </w:pPr>
      <w:r w:rsidRPr="0AD72574">
        <w:rPr>
          <w:rFonts w:eastAsia="Book Antiqua" w:cs="Book Antiqua"/>
          <w:szCs w:val="26"/>
        </w:rPr>
        <w:t>GGRF SGIP will close to new applications on June 30, 2028</w:t>
      </w:r>
      <w:r w:rsidR="00B34EEB">
        <w:rPr>
          <w:rFonts w:eastAsia="Book Antiqua" w:cs="Book Antiqua"/>
          <w:szCs w:val="26"/>
        </w:rPr>
        <w:t>.</w:t>
      </w:r>
    </w:p>
    <w:p w:rsidRPr="0045704C" w:rsidR="11523DF2" w:rsidP="0045704C" w:rsidRDefault="11523DF2" w14:paraId="7E2E220A" w14:textId="6777BE21">
      <w:pPr>
        <w:pStyle w:val="ListParagraph"/>
        <w:numPr>
          <w:ilvl w:val="1"/>
          <w:numId w:val="42"/>
        </w:numPr>
        <w:spacing w:after="120" w:line="240" w:lineRule="auto"/>
        <w:ind w:left="1080" w:right="1440"/>
        <w:contextualSpacing w:val="0"/>
        <w:rPr>
          <w:rFonts w:eastAsia="Book Antiqua" w:cs="Book Antiqua"/>
          <w:szCs w:val="26"/>
        </w:rPr>
      </w:pPr>
      <w:r w:rsidRPr="0045704C">
        <w:rPr>
          <w:rFonts w:eastAsia="Book Antiqua" w:cs="Book Antiqua"/>
          <w:szCs w:val="26"/>
        </w:rPr>
        <w:t>PAs with unallocated incentive funds should transfer those funds to other PAs with waitlists after the final applications are reviewed.</w:t>
      </w:r>
    </w:p>
    <w:p w:rsidRPr="0045704C" w:rsidR="11523DF2" w:rsidP="0045704C" w:rsidRDefault="11523DF2" w14:paraId="3C383386" w14:textId="2C246617">
      <w:pPr>
        <w:pStyle w:val="ListParagraph"/>
        <w:numPr>
          <w:ilvl w:val="1"/>
          <w:numId w:val="42"/>
        </w:numPr>
        <w:spacing w:after="120" w:line="240" w:lineRule="auto"/>
        <w:ind w:left="1080" w:right="1440"/>
        <w:contextualSpacing w:val="0"/>
        <w:rPr>
          <w:rFonts w:eastAsia="Book Antiqua" w:cs="Book Antiqua"/>
          <w:szCs w:val="26"/>
        </w:rPr>
      </w:pPr>
      <w:r w:rsidRPr="0045704C">
        <w:rPr>
          <w:rFonts w:eastAsia="Book Antiqua" w:cs="Book Antiqua"/>
          <w:szCs w:val="26"/>
        </w:rPr>
        <w:t>PAs can use a Tier 1 advice letter to transfer funds between each other.</w:t>
      </w:r>
    </w:p>
    <w:p w:rsidR="11523DF2" w:rsidP="0045704C" w:rsidRDefault="00AE2029" w14:paraId="13DCCA81" w14:textId="2D8F46FD">
      <w:pPr>
        <w:pStyle w:val="ListParagraph"/>
        <w:numPr>
          <w:ilvl w:val="1"/>
          <w:numId w:val="42"/>
        </w:numPr>
        <w:spacing w:after="120" w:line="240" w:lineRule="auto"/>
        <w:ind w:left="1080" w:right="1440"/>
        <w:contextualSpacing w:val="0"/>
        <w:rPr>
          <w:rFonts w:eastAsia="Book Antiqua" w:cs="Book Antiqua"/>
          <w:color w:val="000000" w:themeColor="text1"/>
          <w:szCs w:val="26"/>
        </w:rPr>
      </w:pPr>
      <w:r w:rsidRPr="0045704C">
        <w:rPr>
          <w:rFonts w:eastAsia="Book Antiqua" w:cs="Book Antiqua"/>
          <w:szCs w:val="26"/>
        </w:rPr>
        <w:t>PG&amp;E, SCE,</w:t>
      </w:r>
      <w:r>
        <w:rPr>
          <w:rFonts w:eastAsia="Book Antiqua" w:cs="Book Antiqua"/>
          <w:color w:val="000000" w:themeColor="text1"/>
          <w:szCs w:val="26"/>
        </w:rPr>
        <w:t xml:space="preserve"> </w:t>
      </w:r>
      <w:r w:rsidR="00583469">
        <w:rPr>
          <w:rFonts w:eastAsia="Book Antiqua" w:cs="Book Antiqua"/>
          <w:color w:val="000000" w:themeColor="text1"/>
          <w:szCs w:val="26"/>
        </w:rPr>
        <w:t xml:space="preserve">LADWP, </w:t>
      </w:r>
      <w:r>
        <w:rPr>
          <w:rFonts w:eastAsia="Book Antiqua" w:cs="Book Antiqua"/>
          <w:color w:val="000000" w:themeColor="text1"/>
          <w:szCs w:val="26"/>
        </w:rPr>
        <w:t xml:space="preserve">and SoCalGas </w:t>
      </w:r>
      <w:r w:rsidRPr="0AD72574" w:rsidR="11523DF2">
        <w:rPr>
          <w:rFonts w:eastAsia="Book Antiqua" w:cs="Book Antiqua"/>
          <w:color w:val="000000" w:themeColor="text1"/>
          <w:szCs w:val="26"/>
        </w:rPr>
        <w:t>must return all GGRF administrative, incentive, and interest funds to the CPUC, by January 2033, following the last SGIP Impact Evaluation Report in 2032.</w:t>
      </w:r>
    </w:p>
    <w:p w:rsidRPr="0045704C" w:rsidR="3661AAC6" w:rsidP="0045704C" w:rsidRDefault="3661AAC6" w14:paraId="7368E513" w14:textId="36D50348">
      <w:pPr>
        <w:pStyle w:val="ListParagraph"/>
        <w:numPr>
          <w:ilvl w:val="1"/>
          <w:numId w:val="42"/>
        </w:numPr>
        <w:spacing w:after="120" w:line="240" w:lineRule="auto"/>
        <w:ind w:left="1080" w:right="1440"/>
        <w:contextualSpacing w:val="0"/>
        <w:rPr>
          <w:rFonts w:eastAsia="Book Antiqua" w:cs="Book Antiqua"/>
          <w:color w:val="000000" w:themeColor="text1"/>
          <w:szCs w:val="26"/>
        </w:rPr>
      </w:pPr>
      <w:r w:rsidRPr="0AD72574">
        <w:rPr>
          <w:rFonts w:eastAsia="Book Antiqua" w:cs="Book Antiqua"/>
          <w:color w:val="000000" w:themeColor="text1"/>
          <w:szCs w:val="26"/>
        </w:rPr>
        <w:t>CSE should return all GGRF administrative, incentive, and interest funds to SDG&amp;E</w:t>
      </w:r>
      <w:r w:rsidR="006C4442">
        <w:rPr>
          <w:rFonts w:eastAsia="Book Antiqua" w:cs="Book Antiqua"/>
          <w:color w:val="000000" w:themeColor="text1"/>
          <w:szCs w:val="26"/>
        </w:rPr>
        <w:t xml:space="preserve"> by January 2033</w:t>
      </w:r>
      <w:r w:rsidRPr="0AD72574">
        <w:rPr>
          <w:rFonts w:eastAsia="Book Antiqua" w:cs="Book Antiqua"/>
          <w:color w:val="000000" w:themeColor="text1"/>
          <w:szCs w:val="26"/>
        </w:rPr>
        <w:t>.</w:t>
      </w:r>
    </w:p>
    <w:p w:rsidR="3661AAC6" w:rsidP="0045704C" w:rsidRDefault="3661AAC6" w14:paraId="74F5F264" w14:textId="6CA31E31">
      <w:pPr>
        <w:pStyle w:val="ListParagraph"/>
        <w:numPr>
          <w:ilvl w:val="1"/>
          <w:numId w:val="42"/>
        </w:numPr>
        <w:spacing w:after="120" w:line="240" w:lineRule="auto"/>
        <w:ind w:left="1080" w:right="1440"/>
        <w:contextualSpacing w:val="0"/>
        <w:rPr>
          <w:rFonts w:eastAsia="Book Antiqua" w:cs="Book Antiqua"/>
          <w:color w:val="000000" w:themeColor="text1"/>
          <w:szCs w:val="26"/>
        </w:rPr>
      </w:pPr>
      <w:r w:rsidRPr="0AD72574">
        <w:rPr>
          <w:rFonts w:eastAsia="Book Antiqua" w:cs="Book Antiqua"/>
          <w:color w:val="000000" w:themeColor="text1"/>
          <w:szCs w:val="26"/>
        </w:rPr>
        <w:t xml:space="preserve">SDG&amp;E should have until </w:t>
      </w:r>
      <w:r w:rsidR="006C4442">
        <w:rPr>
          <w:rFonts w:eastAsia="Book Antiqua" w:cs="Book Antiqua"/>
          <w:color w:val="000000" w:themeColor="text1"/>
          <w:szCs w:val="26"/>
        </w:rPr>
        <w:t>February 28,</w:t>
      </w:r>
      <w:r w:rsidRPr="0AD72574">
        <w:rPr>
          <w:rFonts w:eastAsia="Book Antiqua" w:cs="Book Antiqua"/>
          <w:color w:val="000000" w:themeColor="text1"/>
          <w:szCs w:val="26"/>
        </w:rPr>
        <w:t xml:space="preserve"> 2033 to return </w:t>
      </w:r>
      <w:r w:rsidR="00A119E1">
        <w:rPr>
          <w:rFonts w:eastAsia="Book Antiqua" w:cs="Book Antiqua"/>
          <w:color w:val="000000" w:themeColor="text1"/>
          <w:szCs w:val="26"/>
        </w:rPr>
        <w:t xml:space="preserve">all GGRF </w:t>
      </w:r>
      <w:r w:rsidRPr="0AD72574">
        <w:rPr>
          <w:rFonts w:eastAsia="Book Antiqua" w:cs="Book Antiqua"/>
          <w:color w:val="000000" w:themeColor="text1"/>
          <w:szCs w:val="26"/>
        </w:rPr>
        <w:t>funds to the CPUC.</w:t>
      </w:r>
    </w:p>
    <w:p w:rsidR="43206C40" w:rsidP="0045704C" w:rsidRDefault="43206C40" w14:paraId="19B3D5F2" w14:textId="3681DFA6">
      <w:pPr>
        <w:pStyle w:val="ListParagraph"/>
        <w:numPr>
          <w:ilvl w:val="1"/>
          <w:numId w:val="42"/>
        </w:numPr>
        <w:spacing w:after="120" w:line="240" w:lineRule="auto"/>
        <w:ind w:left="1080" w:right="1440"/>
        <w:contextualSpacing w:val="0"/>
        <w:rPr>
          <w:rFonts w:eastAsia="Book Antiqua" w:cs="Book Antiqua"/>
          <w:color w:val="000000" w:themeColor="text1"/>
          <w:szCs w:val="26"/>
        </w:rPr>
      </w:pPr>
      <w:r w:rsidRPr="0AD72574">
        <w:rPr>
          <w:rFonts w:eastAsia="Book Antiqua" w:cs="Book Antiqua"/>
          <w:color w:val="000000" w:themeColor="text1"/>
          <w:szCs w:val="26"/>
        </w:rPr>
        <w:lastRenderedPageBreak/>
        <w:t>The details for the return of GGRF funds to the CPUC should be outlined in the Tier 1 SGIP budget advi</w:t>
      </w:r>
      <w:r w:rsidRPr="0AD72574" w:rsidR="711F8DE0">
        <w:rPr>
          <w:rFonts w:eastAsia="Book Antiqua" w:cs="Book Antiqua"/>
          <w:color w:val="000000" w:themeColor="text1"/>
          <w:szCs w:val="26"/>
        </w:rPr>
        <w:t>ce letter due January 30, 2033.</w:t>
      </w:r>
    </w:p>
    <w:p w:rsidRPr="0045704C" w:rsidR="004B576F" w:rsidP="004B576F" w:rsidRDefault="75908E4A" w14:paraId="74AAD159" w14:textId="77777777">
      <w:pPr>
        <w:pStyle w:val="ListParagraph"/>
        <w:numPr>
          <w:ilvl w:val="1"/>
          <w:numId w:val="42"/>
        </w:numPr>
        <w:spacing w:after="120" w:line="240" w:lineRule="auto"/>
        <w:ind w:left="1080" w:right="1440"/>
        <w:contextualSpacing w:val="0"/>
        <w:rPr>
          <w:rFonts w:eastAsia="Book Antiqua" w:cs="Book Antiqua"/>
          <w:color w:val="000000" w:themeColor="text1"/>
          <w:szCs w:val="26"/>
        </w:rPr>
      </w:pPr>
      <w:r w:rsidRPr="0045704C">
        <w:rPr>
          <w:rFonts w:eastAsia="Book Antiqua" w:cs="Book Antiqua"/>
          <w:color w:val="000000" w:themeColor="text1"/>
          <w:szCs w:val="26"/>
        </w:rPr>
        <w:t xml:space="preserve">PAs should send a list of all GGRF SGIP applicants and associated projects and the end of the respective project’s permanency period to the relevant </w:t>
      </w:r>
      <w:r w:rsidR="00851C20">
        <w:rPr>
          <w:rFonts w:eastAsia="Book Antiqua" w:cs="Book Antiqua"/>
          <w:color w:val="000000" w:themeColor="text1"/>
          <w:szCs w:val="26"/>
        </w:rPr>
        <w:t xml:space="preserve">IOU (PG&amp;E, SCE or SDG&amp;E) </w:t>
      </w:r>
      <w:r w:rsidRPr="0045704C">
        <w:rPr>
          <w:rFonts w:eastAsia="Book Antiqua" w:cs="Book Antiqua"/>
          <w:color w:val="000000" w:themeColor="text1"/>
          <w:szCs w:val="26"/>
        </w:rPr>
        <w:t>Rates teams.</w:t>
      </w:r>
      <w:r w:rsidR="00851C20">
        <w:rPr>
          <w:rFonts w:eastAsia="Book Antiqua" w:cs="Book Antiqua"/>
          <w:color w:val="000000" w:themeColor="text1"/>
          <w:szCs w:val="26"/>
        </w:rPr>
        <w:t xml:space="preserve"> </w:t>
      </w:r>
      <w:r w:rsidR="004B576F">
        <w:rPr>
          <w:rFonts w:eastAsia="Book Antiqua" w:cs="Book Antiqua"/>
          <w:szCs w:val="26"/>
        </w:rPr>
        <w:t xml:space="preserve">If another LSE requests a list to track compliance in the LSE territory, the PA must send the LSE a list of all projects still in the permanency period. </w:t>
      </w:r>
    </w:p>
    <w:p w:rsidRPr="0045704C" w:rsidR="4F83F72C" w:rsidP="0045704C" w:rsidRDefault="4F83F72C" w14:paraId="58EEEA7D" w14:textId="1CF510C0">
      <w:pPr>
        <w:pStyle w:val="ListParagraph"/>
        <w:numPr>
          <w:ilvl w:val="1"/>
          <w:numId w:val="42"/>
        </w:numPr>
        <w:spacing w:after="120" w:line="240" w:lineRule="auto"/>
        <w:ind w:left="1080" w:right="1440"/>
        <w:contextualSpacing w:val="0"/>
        <w:rPr>
          <w:rFonts w:eastAsia="Book Antiqua" w:cs="Book Antiqua"/>
          <w:color w:val="000000" w:themeColor="text1"/>
          <w:szCs w:val="26"/>
        </w:rPr>
      </w:pPr>
      <w:r w:rsidRPr="0045704C">
        <w:rPr>
          <w:rFonts w:eastAsia="Book Antiqua" w:cs="Book Antiqua"/>
          <w:color w:val="000000" w:themeColor="text1"/>
          <w:szCs w:val="26"/>
        </w:rPr>
        <w:t xml:space="preserve">SGIP PAs </w:t>
      </w:r>
      <w:r w:rsidRPr="0045704C" w:rsidR="00E71770">
        <w:rPr>
          <w:rFonts w:eastAsia="Book Antiqua" w:cs="Book Antiqua"/>
          <w:color w:val="000000" w:themeColor="text1"/>
          <w:szCs w:val="26"/>
        </w:rPr>
        <w:t>may</w:t>
      </w:r>
      <w:r w:rsidRPr="0045704C">
        <w:rPr>
          <w:rFonts w:eastAsia="Book Antiqua" w:cs="Book Antiqua"/>
          <w:color w:val="000000" w:themeColor="text1"/>
          <w:szCs w:val="26"/>
        </w:rPr>
        <w:t xml:space="preserve"> transfer up to 10 percent of the accumulated interest annually to the administrative budget, as needed, using the existing January 30 Tier 1 budget advice letter.</w:t>
      </w:r>
    </w:p>
    <w:p w:rsidRPr="0045704C" w:rsidR="25EF69CA" w:rsidP="0045704C" w:rsidRDefault="25EF69CA" w14:paraId="7A3BE93D" w14:textId="5FD677E0">
      <w:pPr>
        <w:pStyle w:val="ListParagraph"/>
        <w:numPr>
          <w:ilvl w:val="1"/>
          <w:numId w:val="42"/>
        </w:numPr>
        <w:spacing w:after="120" w:line="240" w:lineRule="auto"/>
        <w:ind w:left="1080" w:right="1440"/>
        <w:contextualSpacing w:val="0"/>
        <w:rPr>
          <w:rFonts w:eastAsia="Book Antiqua" w:cs="Book Antiqua"/>
          <w:color w:val="000000" w:themeColor="text1"/>
          <w:szCs w:val="26"/>
        </w:rPr>
      </w:pPr>
      <w:r w:rsidRPr="0045704C">
        <w:rPr>
          <w:rFonts w:eastAsia="Book Antiqua" w:cs="Book Antiqua"/>
          <w:color w:val="000000" w:themeColor="text1"/>
          <w:szCs w:val="26"/>
        </w:rPr>
        <w:t>Additional transfers to the administrative budget</w:t>
      </w:r>
      <w:r w:rsidRPr="0045704C" w:rsidR="00A12BBE">
        <w:rPr>
          <w:rFonts w:eastAsia="Book Antiqua" w:cs="Book Antiqua"/>
          <w:color w:val="000000" w:themeColor="text1"/>
          <w:szCs w:val="26"/>
        </w:rPr>
        <w:t xml:space="preserve"> require a</w:t>
      </w:r>
      <w:r w:rsidRPr="0045704C">
        <w:rPr>
          <w:rFonts w:eastAsia="Book Antiqua" w:cs="Book Antiqua"/>
          <w:color w:val="000000" w:themeColor="text1"/>
          <w:szCs w:val="26"/>
        </w:rPr>
        <w:t xml:space="preserve"> Tier 2 advice letter.</w:t>
      </w:r>
    </w:p>
    <w:p w:rsidRPr="0045704C" w:rsidR="25EF69CA" w:rsidP="0045704C" w:rsidRDefault="25EF69CA" w14:paraId="41AFC185" w14:textId="2189CCE1">
      <w:pPr>
        <w:pStyle w:val="ListParagraph"/>
        <w:numPr>
          <w:ilvl w:val="1"/>
          <w:numId w:val="42"/>
        </w:numPr>
        <w:spacing w:after="120" w:line="240" w:lineRule="auto"/>
        <w:ind w:left="1080" w:right="1440"/>
        <w:contextualSpacing w:val="0"/>
        <w:rPr>
          <w:rFonts w:eastAsia="Book Antiqua" w:cs="Book Antiqua"/>
          <w:color w:val="000000" w:themeColor="text1"/>
          <w:szCs w:val="26"/>
        </w:rPr>
      </w:pPr>
      <w:r w:rsidRPr="0045704C">
        <w:rPr>
          <w:rFonts w:eastAsia="Book Antiqua" w:cs="Book Antiqua"/>
          <w:color w:val="000000" w:themeColor="text1"/>
          <w:szCs w:val="26"/>
        </w:rPr>
        <w:t> Any interest not transferred to the administrative budget should be transferred to the incentive budget while the program is still accepting applications</w:t>
      </w:r>
      <w:r w:rsidRPr="0045704C" w:rsidR="00372F27">
        <w:rPr>
          <w:rFonts w:eastAsia="Book Antiqua" w:cs="Book Antiqua"/>
          <w:color w:val="000000" w:themeColor="text1"/>
          <w:szCs w:val="26"/>
        </w:rPr>
        <w:t xml:space="preserve"> in the Tier 1 budget advice letter</w:t>
      </w:r>
      <w:r w:rsidRPr="0045704C">
        <w:rPr>
          <w:rFonts w:eastAsia="Book Antiqua" w:cs="Book Antiqua"/>
          <w:color w:val="000000" w:themeColor="text1"/>
          <w:szCs w:val="26"/>
        </w:rPr>
        <w:t>.</w:t>
      </w:r>
    </w:p>
    <w:p w:rsidRPr="00812AC5" w:rsidR="0AD72574" w:rsidP="0045704C" w:rsidRDefault="25EF69CA" w14:paraId="63561F60" w14:textId="58D8606B">
      <w:pPr>
        <w:pStyle w:val="ListParagraph"/>
        <w:numPr>
          <w:ilvl w:val="1"/>
          <w:numId w:val="42"/>
        </w:numPr>
        <w:spacing w:after="120" w:line="240" w:lineRule="auto"/>
        <w:ind w:left="1080" w:right="1440"/>
        <w:contextualSpacing w:val="0"/>
      </w:pPr>
      <w:r w:rsidRPr="0045704C">
        <w:rPr>
          <w:rFonts w:eastAsia="Book Antiqua" w:cs="Book Antiqua"/>
          <w:color w:val="000000" w:themeColor="text1"/>
          <w:szCs w:val="26"/>
        </w:rPr>
        <w:t>When GGRF RSSE closes</w:t>
      </w:r>
      <w:r w:rsidRPr="0AD72574">
        <w:rPr>
          <w:rFonts w:eastAsia="Book Antiqua" w:cs="Book Antiqua"/>
          <w:szCs w:val="26"/>
        </w:rPr>
        <w:t xml:space="preserve"> and after administrative and incentive needs are met, any remaining interest accumulated should be returned to </w:t>
      </w:r>
      <w:r w:rsidR="00663736">
        <w:rPr>
          <w:rFonts w:eastAsia="Book Antiqua" w:cs="Book Antiqua"/>
          <w:szCs w:val="26"/>
        </w:rPr>
        <w:t>the CPUC</w:t>
      </w:r>
      <w:r w:rsidRPr="0AD72574">
        <w:rPr>
          <w:rFonts w:eastAsia="Book Antiqua" w:cs="Book Antiqua"/>
          <w:szCs w:val="26"/>
        </w:rPr>
        <w:t>.</w:t>
      </w:r>
    </w:p>
    <w:p w:rsidRPr="001E2A62" w:rsidR="008F143D" w:rsidP="577437FD" w:rsidRDefault="008F143D" w14:paraId="284B27B9" w14:textId="64140C4F">
      <w:pPr>
        <w:pStyle w:val="CoL"/>
        <w:ind w:firstLine="0"/>
      </w:pPr>
    </w:p>
    <w:p w:rsidR="00BB0243" w:rsidP="000A6E05" w:rsidRDefault="005939A5" w14:paraId="663F9B34" w14:textId="77777777">
      <w:pPr>
        <w:pStyle w:val="Mainex"/>
      </w:pPr>
      <w:bookmarkStart w:name="_Toc206771102" w:id="50"/>
      <w:r>
        <w:t>O</w:t>
      </w:r>
      <w:r w:rsidR="00722850">
        <w:t>RDER</w:t>
      </w:r>
      <w:bookmarkEnd w:id="50"/>
    </w:p>
    <w:p w:rsidR="00BB0243" w:rsidP="000A6E05" w:rsidRDefault="00BB0243" w14:paraId="3132002B" w14:textId="77777777">
      <w:pPr>
        <w:keepNext/>
      </w:pPr>
      <w:r w:rsidRPr="00BB0243">
        <w:rPr>
          <w:b/>
        </w:rPr>
        <w:t>IT IS ORDERED</w:t>
      </w:r>
      <w:r>
        <w:t xml:space="preserve"> that:</w:t>
      </w:r>
    </w:p>
    <w:p w:rsidR="6E03E336" w:rsidP="0045704C" w:rsidRDefault="6E03E336" w14:paraId="365B5416" w14:textId="2BFC66DC">
      <w:pPr>
        <w:pStyle w:val="OP"/>
        <w:numPr>
          <w:ilvl w:val="0"/>
          <w:numId w:val="41"/>
        </w:numPr>
        <w:ind w:left="0" w:firstLine="360"/>
      </w:pPr>
      <w:r w:rsidRPr="0E2275B4">
        <w:t xml:space="preserve">Within 30 days of the issuance of this decision, Southern California Gas Company, the Center for Sustainable Energy, Pacific Gas and Electric Company, </w:t>
      </w:r>
      <w:r w:rsidRPr="48F2995B" w:rsidR="208358A9">
        <w:t xml:space="preserve">Los Angeles </w:t>
      </w:r>
      <w:r w:rsidRPr="5892843E" w:rsidR="208358A9">
        <w:t>Department of Water and Power</w:t>
      </w:r>
      <w:r w:rsidRPr="5A400C81" w:rsidR="2484B4D3">
        <w:t>,</w:t>
      </w:r>
      <w:r w:rsidRPr="0E2275B4" w:rsidR="008C5479">
        <w:t xml:space="preserve"> </w:t>
      </w:r>
      <w:r w:rsidRPr="0E2275B4">
        <w:t xml:space="preserve">and Southern California Edison Company shall file a </w:t>
      </w:r>
      <w:r w:rsidRPr="0E2275B4" w:rsidR="008C5479">
        <w:t xml:space="preserve">joint </w:t>
      </w:r>
      <w:r w:rsidRPr="0E2275B4">
        <w:t xml:space="preserve">Tier 1 advice letter to confirm the implementation of the Self-Generation Incentive Program (SGIP) modifications required by the </w:t>
      </w:r>
      <w:r w:rsidRPr="0E2275B4">
        <w:lastRenderedPageBreak/>
        <w:t>conclusions of law of this decision, including all required modifications to the SGIP Handbook.</w:t>
      </w:r>
    </w:p>
    <w:p w:rsidR="6B17B8EB" w:rsidP="0045704C" w:rsidRDefault="6B17B8EB" w14:paraId="2FE83B51" w14:textId="719F3C34">
      <w:pPr>
        <w:pStyle w:val="OP"/>
        <w:numPr>
          <w:ilvl w:val="0"/>
          <w:numId w:val="41"/>
        </w:numPr>
        <w:ind w:left="0" w:firstLine="360"/>
      </w:pPr>
      <w:r w:rsidRPr="4A223B22">
        <w:t>Southern California Gas Company, the Center for Sustainable Energy, Pacific Gas and Electric Company, and Southern California Edison Company</w:t>
      </w:r>
      <w:r w:rsidRPr="4A223B22" w:rsidR="4A156574">
        <w:t xml:space="preserve"> shall submit their 2026 Tier 1 budget advice letter by </w:t>
      </w:r>
      <w:r w:rsidR="004B576F">
        <w:t>March 31</w:t>
      </w:r>
      <w:r w:rsidRPr="4A223B22" w:rsidR="4A156574">
        <w:t xml:space="preserve">, 2026. </w:t>
      </w:r>
      <w:r w:rsidRPr="4A223B22" w:rsidR="126EDD7F">
        <w:t xml:space="preserve">Los Angeles Department of Water and </w:t>
      </w:r>
      <w:r w:rsidRPr="7FF5D12A" w:rsidR="126EDD7F">
        <w:t>Power</w:t>
      </w:r>
      <w:r w:rsidRPr="7FF5D12A" w:rsidR="5FACE660">
        <w:t>’s</w:t>
      </w:r>
      <w:r w:rsidRPr="4A223B22" w:rsidR="00322A3B">
        <w:t xml:space="preserve"> </w:t>
      </w:r>
      <w:r w:rsidRPr="4A223B22" w:rsidR="008C5479">
        <w:t xml:space="preserve">2026 Tier 1 </w:t>
      </w:r>
      <w:r w:rsidRPr="4A223B22" w:rsidR="00A50DB3">
        <w:t>budget</w:t>
      </w:r>
      <w:r w:rsidRPr="4A223B22" w:rsidR="008C5479">
        <w:t xml:space="preserve"> advice letter and a</w:t>
      </w:r>
      <w:r w:rsidRPr="4A223B22" w:rsidR="4A156574">
        <w:t>ll subsequent Tier 1 budget advice letters shall be submitted by January 30</w:t>
      </w:r>
      <w:r w:rsidRPr="4A223B22" w:rsidR="4A156574">
        <w:rPr>
          <w:vertAlign w:val="superscript"/>
        </w:rPr>
        <w:t>th</w:t>
      </w:r>
      <w:r w:rsidRPr="4A223B22" w:rsidR="4A156574">
        <w:t xml:space="preserve"> of that year</w:t>
      </w:r>
      <w:r w:rsidR="00D02F1E">
        <w:t xml:space="preserve"> with the final budget advice letter occurring in 2033</w:t>
      </w:r>
      <w:r w:rsidRPr="4A223B22" w:rsidR="4A156574">
        <w:t xml:space="preserve">. </w:t>
      </w:r>
    </w:p>
    <w:p w:rsidR="5E9E6C01" w:rsidP="0045704C" w:rsidRDefault="5E9E6C01" w14:paraId="7761C915" w14:textId="71D0D596">
      <w:pPr>
        <w:pStyle w:val="OP"/>
        <w:numPr>
          <w:ilvl w:val="0"/>
          <w:numId w:val="41"/>
        </w:numPr>
        <w:ind w:left="0" w:firstLine="360"/>
      </w:pPr>
      <w:r w:rsidRPr="0AD72574">
        <w:rPr>
          <w:rFonts w:eastAsia="Book Antiqua" w:cs="Book Antiqua"/>
          <w:szCs w:val="26"/>
        </w:rPr>
        <w:t xml:space="preserve">Southern California Gas Company, Pacific Gas and Electric Company, </w:t>
      </w:r>
      <w:r w:rsidRPr="0045704C">
        <w:t>Southern California Edison Company, and San Diego Gas &amp; Electric Company on behalf of the Center for Sustainable Energy, shall return all unallocated ratepayer funds from the Self-Generation Incentive Program (SGIP) to ratepayers in the relevant rate true-up advice letter filings on an annual basis</w:t>
      </w:r>
      <w:r w:rsidRPr="0045704C" w:rsidR="00132BB9">
        <w:t>,</w:t>
      </w:r>
      <w:r w:rsidRPr="0045704C">
        <w:t xml:space="preserve"> starting in 2026</w:t>
      </w:r>
      <w:r w:rsidRPr="0045704C" w:rsidR="00132BB9">
        <w:t>,</w:t>
      </w:r>
      <w:r w:rsidRPr="0045704C">
        <w:t xml:space="preserve"> when funds to return to ratepayers are larger than $1 million. Final ratepayer repayment for SGIP should occur </w:t>
      </w:r>
      <w:r w:rsidRPr="0045704C" w:rsidR="0002091F">
        <w:t>by</w:t>
      </w:r>
      <w:r w:rsidRPr="0045704C">
        <w:t xml:space="preserve"> 2033.</w:t>
      </w:r>
    </w:p>
    <w:p w:rsidR="00CB7A3B" w:rsidP="0045704C" w:rsidRDefault="00A92E74" w14:paraId="70D5039B" w14:textId="25450A56">
      <w:pPr>
        <w:pStyle w:val="OP"/>
        <w:numPr>
          <w:ilvl w:val="0"/>
          <w:numId w:val="41"/>
        </w:numPr>
        <w:ind w:left="0" w:firstLine="360"/>
      </w:pPr>
      <w:r w:rsidRPr="3F05AB46">
        <w:t xml:space="preserve"> Southern California Gas Company, Pacific Gas and Electric Company, Southern California Edison Company, </w:t>
      </w:r>
      <w:r w:rsidRPr="3F05AB46" w:rsidR="11319423">
        <w:t xml:space="preserve">Los Angeles Department of Water and </w:t>
      </w:r>
      <w:r w:rsidRPr="3736ED1F" w:rsidR="11319423">
        <w:t>Power</w:t>
      </w:r>
      <w:r w:rsidRPr="72281E38" w:rsidR="55A6A753">
        <w:t>,</w:t>
      </w:r>
      <w:r w:rsidRPr="3F05AB46" w:rsidR="00D0575A">
        <w:t xml:space="preserve"> </w:t>
      </w:r>
      <w:r w:rsidRPr="3F05AB46">
        <w:t>and the Center for Sustainable Energy shall</w:t>
      </w:r>
      <w:r w:rsidR="004A11CF">
        <w:t>,</w:t>
      </w:r>
      <w:r w:rsidRPr="3F05AB46">
        <w:t xml:space="preserve"> for both ratepayer and Greenhouse Gas Reduction Fund SGIP</w:t>
      </w:r>
      <w:r w:rsidR="00B2431F">
        <w:t xml:space="preserve">, </w:t>
      </w:r>
      <w:r w:rsidRPr="3F05AB46">
        <w:t>transfer up to 10 percent of the accumulated interest annually to the administrative budget using the existing Tier 1 budget advice letter process</w:t>
      </w:r>
      <w:r w:rsidR="00B2431F">
        <w:t xml:space="preserve"> as necessary</w:t>
      </w:r>
      <w:r w:rsidRPr="3F05AB46">
        <w:t>. Any additional transfers to the administrative budget shall use a Tier 2 advice letter.</w:t>
      </w:r>
      <w:r w:rsidR="00250432">
        <w:t xml:space="preserve"> </w:t>
      </w:r>
    </w:p>
    <w:p w:rsidRPr="00CB7A3B" w:rsidR="15C3F60D" w:rsidP="0045704C" w:rsidRDefault="15C3F60D" w14:paraId="48C84CEC" w14:textId="75708CEC">
      <w:pPr>
        <w:pStyle w:val="OP"/>
        <w:numPr>
          <w:ilvl w:val="0"/>
          <w:numId w:val="41"/>
        </w:numPr>
        <w:ind w:left="0" w:firstLine="360"/>
      </w:pPr>
      <w:r w:rsidRPr="00CB7A3B">
        <w:t xml:space="preserve">Southern California Gas Company, Pacific Gas and Electric Company, Southern California Edison Company, and the Center for Sustainable Energy, shall, on an annual basis, include ratepayer accumulated interest not transferred </w:t>
      </w:r>
      <w:r w:rsidRPr="00CB7A3B">
        <w:lastRenderedPageBreak/>
        <w:t>to the administrative budget and funds from canceled projects as to be returned to ratepayers in the Tier 1 budget advice letter.</w:t>
      </w:r>
      <w:r w:rsidR="00250432">
        <w:t xml:space="preserve"> </w:t>
      </w:r>
    </w:p>
    <w:p w:rsidRPr="0045704C" w:rsidR="15C3F60D" w:rsidP="0045704C" w:rsidRDefault="15C3F60D" w14:paraId="13E8675A" w14:textId="73427CD5">
      <w:pPr>
        <w:pStyle w:val="OP"/>
        <w:numPr>
          <w:ilvl w:val="0"/>
          <w:numId w:val="41"/>
        </w:numPr>
        <w:ind w:left="0" w:firstLine="360"/>
      </w:pPr>
      <w:r w:rsidRPr="0045704C">
        <w:t xml:space="preserve">Southern California Gas Company, Pacific Gas and Electric Company, Southern California Edison Company, </w:t>
      </w:r>
      <w:r w:rsidRPr="0045704C" w:rsidR="0E7F5A4F">
        <w:t>Los Angeles Department of Water and Power</w:t>
      </w:r>
      <w:r w:rsidRPr="0045704C" w:rsidR="6F88FD2A">
        <w:t>,</w:t>
      </w:r>
      <w:r w:rsidRPr="0045704C" w:rsidR="00CB743A">
        <w:t xml:space="preserve"> </w:t>
      </w:r>
      <w:r w:rsidRPr="0045704C">
        <w:t xml:space="preserve">and the Center for Sustainable Energy shall, on an annual basis, transfer GGRF accumulated interest not transferred to the administrative budget to the incentive budget in the Tier 1 budget advice letter while the program is still accepting applications. </w:t>
      </w:r>
    </w:p>
    <w:p w:rsidRPr="0045704C" w:rsidR="4211E00E" w:rsidP="0045704C" w:rsidRDefault="4211E00E" w14:paraId="29BAC773" w14:textId="519E7415">
      <w:pPr>
        <w:pStyle w:val="OP"/>
        <w:numPr>
          <w:ilvl w:val="0"/>
          <w:numId w:val="41"/>
        </w:numPr>
        <w:ind w:left="0" w:firstLine="360"/>
      </w:pPr>
      <w:r w:rsidRPr="0045704C">
        <w:t>After June 30, 2028</w:t>
      </w:r>
      <w:r w:rsidRPr="0045704C" w:rsidR="007C6122">
        <w:t xml:space="preserve"> but before </w:t>
      </w:r>
      <w:r w:rsidRPr="0045704C" w:rsidR="00E0615E">
        <w:t>August 30, 2028</w:t>
      </w:r>
      <w:r w:rsidRPr="0045704C">
        <w:t xml:space="preserve">, Southern California Gas Company, Pacific Gas and Electric Company, Southern California Edison Company, </w:t>
      </w:r>
      <w:r w:rsidRPr="0045704C" w:rsidR="15A462CD">
        <w:t>Los Angeles Department of Water and Power</w:t>
      </w:r>
      <w:r w:rsidRPr="0045704C" w:rsidR="0AC31506">
        <w:t>,</w:t>
      </w:r>
      <w:r w:rsidRPr="0045704C" w:rsidR="00A52A55">
        <w:t xml:space="preserve"> </w:t>
      </w:r>
      <w:r w:rsidRPr="0045704C">
        <w:t xml:space="preserve">and </w:t>
      </w:r>
      <w:r w:rsidR="00267C6A">
        <w:t xml:space="preserve">San Diego Gas </w:t>
      </w:r>
      <w:r w:rsidR="00915145">
        <w:t xml:space="preserve">&amp; Electric Company via </w:t>
      </w:r>
      <w:r w:rsidRPr="0045704C">
        <w:t xml:space="preserve">the Center for Sustainable Energy shall transfer unallocated incentives funds for the Greenhouse Gas Reduction Funded SGIP to Program Administrators with waitlists after the final applications Request for Reservation Forms are reviewed using a joint </w:t>
      </w:r>
      <w:r w:rsidR="003242A8">
        <w:t xml:space="preserve">Program Administrator </w:t>
      </w:r>
      <w:r w:rsidRPr="0045704C">
        <w:t>Tier 1 advice letter.</w:t>
      </w:r>
      <w:r w:rsidRPr="0045704C" w:rsidR="00250432">
        <w:t xml:space="preserve"> </w:t>
      </w:r>
    </w:p>
    <w:p w:rsidRPr="0045704C" w:rsidR="4B5ED671" w:rsidP="0045704C" w:rsidRDefault="4B5ED671" w14:paraId="44AA3B11" w14:textId="373AB57A">
      <w:pPr>
        <w:pStyle w:val="OP"/>
        <w:numPr>
          <w:ilvl w:val="0"/>
          <w:numId w:val="41"/>
        </w:numPr>
        <w:ind w:left="0" w:firstLine="360"/>
      </w:pPr>
      <w:r w:rsidRPr="0045704C">
        <w:t xml:space="preserve">Southern California Gas Company, Pacific Gas and Electric Company, Southern California Edison Company, and </w:t>
      </w:r>
      <w:r w:rsidRPr="0045704C" w:rsidR="25325020">
        <w:t>Los Angeles Department of Water and Power</w:t>
      </w:r>
      <w:r w:rsidRPr="0045704C" w:rsidR="629FF537">
        <w:t xml:space="preserve"> </w:t>
      </w:r>
      <w:r w:rsidRPr="0045704C" w:rsidR="5422ECEA">
        <w:t>shall return all Greenhouse Gas Reduction Funds in SGIP administrative, incentive, and accumulated interest accounts to the Commission by January 31, 2033.</w:t>
      </w:r>
    </w:p>
    <w:p w:rsidRPr="0045704C" w:rsidR="51F447DF" w:rsidP="0045704C" w:rsidRDefault="51F447DF" w14:paraId="71BBB863" w14:textId="436067B6">
      <w:pPr>
        <w:pStyle w:val="OP"/>
        <w:numPr>
          <w:ilvl w:val="0"/>
          <w:numId w:val="41"/>
        </w:numPr>
        <w:ind w:left="0" w:firstLine="360"/>
      </w:pPr>
      <w:r w:rsidRPr="0045704C">
        <w:t xml:space="preserve">The Center for Sustainable Energy shall return all Greenhouse Gas Reduction Funds (GGRF) in Self-Generation Incentive Program (SGIP) administrative, incentive, and accumulated interest accounts to San Diego Gas &amp; </w:t>
      </w:r>
      <w:r w:rsidRPr="0045704C">
        <w:lastRenderedPageBreak/>
        <w:t xml:space="preserve">Electric Company by January 31, 2033; San Diego Gas &amp; Electric Company shall return all GGRF funds in SGIP accounts to the Commission by </w:t>
      </w:r>
      <w:r w:rsidRPr="0045704C" w:rsidR="008407C2">
        <w:t>February 28</w:t>
      </w:r>
      <w:r w:rsidRPr="0045704C">
        <w:t>, 2033.</w:t>
      </w:r>
    </w:p>
    <w:p w:rsidRPr="0045704C" w:rsidR="2CB74083" w:rsidP="0045704C" w:rsidRDefault="26CD9D82" w14:paraId="655ECB31" w14:textId="2023CF31">
      <w:pPr>
        <w:pStyle w:val="OP"/>
        <w:numPr>
          <w:ilvl w:val="0"/>
          <w:numId w:val="41"/>
        </w:numPr>
        <w:ind w:left="0" w:firstLine="360"/>
      </w:pPr>
      <w:r w:rsidRPr="0045704C">
        <w:t>Southern California Gas Company, the Center for Sustainable Energy, Pacific Gas and Electric Company</w:t>
      </w:r>
      <w:r w:rsidR="00E677DE">
        <w:t xml:space="preserve"> (PG&amp;E)</w:t>
      </w:r>
      <w:r w:rsidRPr="0045704C">
        <w:t>, Los Angeles Department of Water and Power, and Southern California Edison Company</w:t>
      </w:r>
      <w:r w:rsidRPr="0045704C" w:rsidR="00922CF1">
        <w:t xml:space="preserve"> </w:t>
      </w:r>
      <w:r w:rsidR="00E677DE">
        <w:t xml:space="preserve">(SCE) </w:t>
      </w:r>
      <w:r w:rsidRPr="0045704C" w:rsidR="00922CF1">
        <w:t>(SGIP PAs)</w:t>
      </w:r>
      <w:r w:rsidRPr="0045704C" w:rsidR="2CB74083">
        <w:t xml:space="preserve"> shall send a list of all SGIP projects and the respective project’s permanency period to the relevant </w:t>
      </w:r>
      <w:r w:rsidR="00DD0C17">
        <w:t xml:space="preserve">IOU (PG&amp;E, SCE or </w:t>
      </w:r>
      <w:r w:rsidR="0089026B">
        <w:t xml:space="preserve">San Diego Gas &amp; Electric Company) </w:t>
      </w:r>
      <w:r w:rsidRPr="0045704C" w:rsidR="2CB74083">
        <w:t>Demand Response and Rates teams to ensure compliance and tracking of Time-of-Use and Demand Response rules for both ratepayer and Greenhouse Gas Reduction Fund projects by January 2033.</w:t>
      </w:r>
      <w:r w:rsidR="00AA29FE">
        <w:t xml:space="preserve"> If another load serving entity (LSE) requests to track compliance for SGIP customers in the LSE territory</w:t>
      </w:r>
      <w:r w:rsidR="00AA29FE">
        <w:rPr>
          <w:rFonts w:eastAsia="Book Antiqua" w:cs="Book Antiqua"/>
          <w:szCs w:val="26"/>
        </w:rPr>
        <w:t>, the SGIP PA must send the LSE a list of all projects still in the permanency period.</w:t>
      </w:r>
      <w:r w:rsidRPr="0045704C" w:rsidR="2CB74083">
        <w:t xml:space="preserve"> The SGIP PAs shall submit a Tier 1 advice letter </w:t>
      </w:r>
      <w:r w:rsidRPr="0045704C" w:rsidR="008C231A">
        <w:t xml:space="preserve">to </w:t>
      </w:r>
      <w:r w:rsidRPr="0045704C" w:rsidR="2CB74083">
        <w:t>indicat</w:t>
      </w:r>
      <w:r w:rsidRPr="0045704C" w:rsidR="008C231A">
        <w:t>e</w:t>
      </w:r>
      <w:r w:rsidRPr="0045704C" w:rsidR="2CB74083">
        <w:t xml:space="preserve"> this has occurred by January 30, 2033.</w:t>
      </w:r>
      <w:r w:rsidRPr="0045704C" w:rsidR="00250432">
        <w:t xml:space="preserve"> </w:t>
      </w:r>
    </w:p>
    <w:p w:rsidR="00F6397D" w:rsidP="0045704C" w:rsidRDefault="6E03E336" w14:paraId="582BA38C" w14:textId="59CED5F9">
      <w:pPr>
        <w:pStyle w:val="OP"/>
        <w:numPr>
          <w:ilvl w:val="0"/>
          <w:numId w:val="41"/>
        </w:numPr>
        <w:ind w:left="0" w:firstLine="360"/>
      </w:pPr>
      <w:r>
        <w:t xml:space="preserve">This </w:t>
      </w:r>
      <w:r w:rsidR="7458C5B5">
        <w:t>Rulemaking</w:t>
      </w:r>
      <w:r w:rsidR="7C62F3A7">
        <w:t xml:space="preserve"> 2</w:t>
      </w:r>
      <w:r w:rsidR="00097F27">
        <w:t>0</w:t>
      </w:r>
      <w:r w:rsidR="7458C5B5">
        <w:t>-</w:t>
      </w:r>
      <w:r w:rsidR="684995B6">
        <w:t>05</w:t>
      </w:r>
      <w:r w:rsidR="7458C5B5">
        <w:t>-</w:t>
      </w:r>
      <w:r w:rsidR="5597A826">
        <w:t>012 remains open</w:t>
      </w:r>
      <w:r w:rsidR="7458C5B5">
        <w:t>.</w:t>
      </w:r>
    </w:p>
    <w:p w:rsidR="008F0116" w:rsidP="008F0116" w:rsidRDefault="008F0116" w14:paraId="1D2E17EA" w14:textId="77777777">
      <w:r>
        <w:t>This order is effective today.</w:t>
      </w:r>
    </w:p>
    <w:p w:rsidR="00714CF2" w:rsidP="00816E05" w:rsidRDefault="008F0116" w14:paraId="0C582E9F" w14:textId="21EC7F05">
      <w:r>
        <w:t xml:space="preserve">Dated </w:t>
      </w:r>
      <w:r w:rsidR="000743C0">
        <w:t>October _________, 2025</w:t>
      </w:r>
      <w:r>
        <w:t xml:space="preserve"> at </w:t>
      </w:r>
      <w:r w:rsidR="000743C0">
        <w:t>Bellflower</w:t>
      </w:r>
      <w:r>
        <w:t>, California</w:t>
      </w:r>
    </w:p>
    <w:p w:rsidR="00370312" w:rsidRDefault="00370312" w14:paraId="43100D7F" w14:textId="4F1F351A">
      <w:pPr>
        <w:spacing w:after="160" w:line="259" w:lineRule="auto"/>
        <w:ind w:firstLine="0"/>
      </w:pPr>
      <w:r>
        <w:br w:type="page"/>
      </w:r>
    </w:p>
    <w:p w:rsidR="00FB716D" w:rsidP="00D075DB" w:rsidRDefault="00370312" w14:paraId="79E7F362" w14:textId="6961A0E7">
      <w:pPr>
        <w:pStyle w:val="Heading1"/>
        <w:jc w:val="center"/>
        <w:rPr>
          <w:b w:val="0"/>
          <w:bCs/>
        </w:rPr>
      </w:pPr>
      <w:bookmarkStart w:name="_Toc206771103" w:id="51"/>
      <w:r w:rsidRPr="008E7507">
        <w:rPr>
          <w:bCs/>
        </w:rPr>
        <w:lastRenderedPageBreak/>
        <w:t xml:space="preserve">Attachment A: Final </w:t>
      </w:r>
      <w:r w:rsidRPr="008E7507" w:rsidR="00FB716D">
        <w:rPr>
          <w:bCs/>
        </w:rPr>
        <w:t xml:space="preserve">SGIP </w:t>
      </w:r>
      <w:r w:rsidRPr="008E7507">
        <w:rPr>
          <w:bCs/>
        </w:rPr>
        <w:t>M&amp;E Plan</w:t>
      </w:r>
      <w:bookmarkEnd w:id="51"/>
    </w:p>
    <w:p w:rsidRPr="008E7507" w:rsidR="004E1DD4" w:rsidP="008E7507" w:rsidRDefault="004E1DD4" w14:paraId="7A91E4BB" w14:textId="6061E880">
      <w:r w:rsidRPr="008E7507">
        <w:t>All reports are for both ratepayer and GGRF SGIP unless noted otherwise.</w:t>
      </w:r>
    </w:p>
    <w:tbl>
      <w:tblPr>
        <w:tblW w:w="934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6832"/>
        <w:gridCol w:w="2512"/>
      </w:tblGrid>
      <w:tr w:rsidRPr="00102C28" w:rsidR="00102C28" w:rsidTr="008E7507" w14:paraId="014BF534" w14:textId="77777777">
        <w:trPr>
          <w:trHeight w:val="360"/>
        </w:trPr>
        <w:tc>
          <w:tcPr>
            <w:tcW w:w="6832" w:type="dxa"/>
            <w:tcBorders>
              <w:top w:val="single" w:color="auto" w:sz="6" w:space="0"/>
              <w:left w:val="single" w:color="auto" w:sz="6" w:space="0"/>
              <w:bottom w:val="single" w:color="000000" w:sz="6" w:space="0"/>
              <w:right w:val="single" w:color="000000" w:sz="6" w:space="0"/>
            </w:tcBorders>
            <w:hideMark/>
          </w:tcPr>
          <w:p w:rsidRPr="00102C28" w:rsidR="00102C28" w:rsidP="008E7507" w:rsidRDefault="00102C28" w14:paraId="4FDFF419" w14:textId="77777777">
            <w:r w:rsidRPr="00102C28">
              <w:rPr>
                <w:i/>
                <w:iCs/>
              </w:rPr>
              <w:t>Report</w:t>
            </w:r>
            <w:r w:rsidRPr="00102C28">
              <w:t> </w:t>
            </w:r>
          </w:p>
        </w:tc>
        <w:tc>
          <w:tcPr>
            <w:tcW w:w="2512" w:type="dxa"/>
            <w:tcBorders>
              <w:top w:val="single" w:color="auto" w:sz="6" w:space="0"/>
              <w:left w:val="single" w:color="000000" w:sz="6" w:space="0"/>
              <w:bottom w:val="single" w:color="000000" w:sz="6" w:space="0"/>
              <w:right w:val="single" w:color="auto" w:sz="6" w:space="0"/>
            </w:tcBorders>
            <w:hideMark/>
          </w:tcPr>
          <w:p w:rsidRPr="00102C28" w:rsidR="00102C28" w:rsidP="008E7507" w:rsidRDefault="00102C28" w14:paraId="5DA44084" w14:textId="77777777">
            <w:r w:rsidRPr="00102C28">
              <w:rPr>
                <w:i/>
                <w:iCs/>
              </w:rPr>
              <w:t>Due Date</w:t>
            </w:r>
            <w:r w:rsidRPr="00102C28">
              <w:t> </w:t>
            </w:r>
          </w:p>
        </w:tc>
      </w:tr>
      <w:tr w:rsidRPr="00102C28" w:rsidR="007450CC" w:rsidTr="007450CC" w14:paraId="7CBE8373" w14:textId="77777777">
        <w:trPr>
          <w:trHeight w:val="360"/>
        </w:trPr>
        <w:tc>
          <w:tcPr>
            <w:tcW w:w="6832" w:type="dxa"/>
            <w:tcBorders>
              <w:top w:val="single" w:color="000000" w:sz="6" w:space="0"/>
              <w:left w:val="single" w:color="auto" w:sz="6" w:space="0"/>
              <w:bottom w:val="single" w:color="000000" w:sz="6" w:space="0"/>
              <w:right w:val="single" w:color="000000" w:sz="6" w:space="0"/>
            </w:tcBorders>
            <w:shd w:val="clear" w:color="auto" w:fill="FFFFFF"/>
            <w:hideMark/>
          </w:tcPr>
          <w:p w:rsidRPr="00102C28" w:rsidR="00CB3539" w:rsidP="008E7507" w:rsidRDefault="00CB3539" w14:paraId="14720337" w14:textId="2C5ADE36">
            <w:r w:rsidRPr="00102C28">
              <w:t>Biannual Fiscal Audit </w:t>
            </w:r>
            <w:r w:rsidR="00457DAD">
              <w:t>(Ratepayer only)</w:t>
            </w:r>
          </w:p>
        </w:tc>
        <w:tc>
          <w:tcPr>
            <w:tcW w:w="2512" w:type="dxa"/>
            <w:tcBorders>
              <w:top w:val="single" w:color="000000" w:sz="6" w:space="0"/>
              <w:left w:val="single" w:color="000000" w:sz="6" w:space="0"/>
              <w:bottom w:val="single" w:color="000000" w:sz="6" w:space="0"/>
              <w:right w:val="single" w:color="auto" w:sz="6" w:space="0"/>
            </w:tcBorders>
            <w:shd w:val="clear" w:color="auto" w:fill="FFFFFF"/>
            <w:hideMark/>
          </w:tcPr>
          <w:p w:rsidRPr="00102C28" w:rsidR="00CB3539" w:rsidP="008E7507" w:rsidRDefault="00CB3539" w14:paraId="74F20BFA" w14:textId="1FBBF604">
            <w:pPr>
              <w:ind w:firstLine="0"/>
            </w:pPr>
            <w:r w:rsidRPr="00102C28">
              <w:t>June 30, 2025 </w:t>
            </w:r>
          </w:p>
        </w:tc>
      </w:tr>
      <w:tr w:rsidRPr="00102C28" w:rsidR="007450CC" w:rsidTr="007450CC" w14:paraId="0EBC7C79" w14:textId="77777777">
        <w:trPr>
          <w:trHeight w:val="360"/>
        </w:trPr>
        <w:tc>
          <w:tcPr>
            <w:tcW w:w="6832" w:type="dxa"/>
            <w:tcBorders>
              <w:top w:val="single" w:color="000000" w:sz="6" w:space="0"/>
              <w:left w:val="single" w:color="auto" w:sz="6" w:space="0"/>
              <w:bottom w:val="single" w:color="000000" w:sz="6" w:space="0"/>
              <w:right w:val="single" w:color="000000" w:sz="6" w:space="0"/>
            </w:tcBorders>
            <w:shd w:val="clear" w:color="auto" w:fill="FFFFFF"/>
            <w:hideMark/>
          </w:tcPr>
          <w:p w:rsidRPr="00102C28" w:rsidR="00CB3539" w:rsidP="008E7507" w:rsidRDefault="00CB3539" w14:paraId="2F5402AD" w14:textId="0D5C3FC4">
            <w:r w:rsidRPr="00102C28">
              <w:t>Renewable Fuel Use Report No 34. for Q3 + Q4 PY 2024 and Q1 + Q2 PY 202</w:t>
            </w:r>
            <w:r w:rsidR="00F1601E">
              <w:t>5 (Ratepayer only)</w:t>
            </w:r>
          </w:p>
        </w:tc>
        <w:tc>
          <w:tcPr>
            <w:tcW w:w="2512" w:type="dxa"/>
            <w:tcBorders>
              <w:top w:val="single" w:color="000000" w:sz="6" w:space="0"/>
              <w:left w:val="single" w:color="000000" w:sz="6" w:space="0"/>
              <w:bottom w:val="single" w:color="000000" w:sz="6" w:space="0"/>
              <w:right w:val="single" w:color="auto" w:sz="6" w:space="0"/>
            </w:tcBorders>
            <w:shd w:val="clear" w:color="auto" w:fill="FFFFFF"/>
            <w:hideMark/>
          </w:tcPr>
          <w:p w:rsidRPr="00102C28" w:rsidR="00CB3539" w:rsidP="008E7507" w:rsidRDefault="00CB3539" w14:paraId="44F76749" w14:textId="12967B76">
            <w:pPr>
              <w:ind w:firstLine="0"/>
            </w:pPr>
            <w:r w:rsidRPr="00102C28">
              <w:t>August 31, 2025 </w:t>
            </w:r>
          </w:p>
        </w:tc>
      </w:tr>
      <w:tr w:rsidRPr="00102C28" w:rsidR="007450CC" w:rsidTr="007450CC" w14:paraId="3B93B36B" w14:textId="77777777">
        <w:trPr>
          <w:trHeight w:val="360"/>
        </w:trPr>
        <w:tc>
          <w:tcPr>
            <w:tcW w:w="6832" w:type="dxa"/>
            <w:tcBorders>
              <w:top w:val="single" w:color="000000" w:sz="6" w:space="0"/>
              <w:left w:val="single" w:color="auto" w:sz="6" w:space="0"/>
              <w:bottom w:val="single" w:color="000000" w:sz="6" w:space="0"/>
              <w:right w:val="single" w:color="000000" w:sz="6" w:space="0"/>
            </w:tcBorders>
            <w:shd w:val="clear" w:color="auto" w:fill="FFFFFF"/>
            <w:hideMark/>
          </w:tcPr>
          <w:p w:rsidRPr="00102C28" w:rsidR="00CB3539" w:rsidP="008E7507" w:rsidRDefault="00CB3539" w14:paraId="223C4E21" w14:textId="039DF9CF">
            <w:r w:rsidRPr="00102C28">
              <w:t>PY 2024 SGIP Impact Report </w:t>
            </w:r>
            <w:r w:rsidR="008138E9">
              <w:t>(Ratepayer only)</w:t>
            </w:r>
          </w:p>
        </w:tc>
        <w:tc>
          <w:tcPr>
            <w:tcW w:w="2512" w:type="dxa"/>
            <w:tcBorders>
              <w:top w:val="single" w:color="000000" w:sz="6" w:space="0"/>
              <w:left w:val="single" w:color="000000" w:sz="6" w:space="0"/>
              <w:bottom w:val="single" w:color="000000" w:sz="6" w:space="0"/>
              <w:right w:val="single" w:color="auto" w:sz="6" w:space="0"/>
            </w:tcBorders>
            <w:shd w:val="clear" w:color="auto" w:fill="FFFFFF"/>
            <w:hideMark/>
          </w:tcPr>
          <w:p w:rsidRPr="00102C28" w:rsidR="00CB3539" w:rsidP="008E7507" w:rsidRDefault="00CB3539" w14:paraId="7E8E0A4C" w14:textId="0A6B477F">
            <w:pPr>
              <w:ind w:firstLine="0"/>
            </w:pPr>
            <w:r w:rsidRPr="00102C28">
              <w:t>November 30, 2025 </w:t>
            </w:r>
          </w:p>
        </w:tc>
      </w:tr>
      <w:tr w:rsidRPr="00102C28" w:rsidR="007450CC" w:rsidTr="007450CC" w14:paraId="1F89CDA4" w14:textId="77777777">
        <w:trPr>
          <w:trHeight w:val="360"/>
        </w:trPr>
        <w:tc>
          <w:tcPr>
            <w:tcW w:w="6832" w:type="dxa"/>
            <w:tcBorders>
              <w:top w:val="single" w:color="000000" w:sz="6" w:space="0"/>
              <w:left w:val="single" w:color="auto" w:sz="6" w:space="0"/>
              <w:bottom w:val="single" w:color="000000" w:sz="6" w:space="0"/>
              <w:right w:val="single" w:color="000000" w:sz="6" w:space="0"/>
            </w:tcBorders>
            <w:shd w:val="clear" w:color="auto" w:fill="FFFFFF"/>
            <w:hideMark/>
          </w:tcPr>
          <w:p w:rsidRPr="00102C28" w:rsidR="00CB3539" w:rsidP="008E7507" w:rsidRDefault="00CB3539" w14:paraId="4134BEA9" w14:textId="7940ED21">
            <w:r w:rsidRPr="00102C28">
              <w:t>Renewable Fuel Use Report No. 35 for Q3 + Q4 PY 2025 </w:t>
            </w:r>
            <w:r w:rsidR="00F22D82">
              <w:t>(Ratepayer only)</w:t>
            </w:r>
          </w:p>
        </w:tc>
        <w:tc>
          <w:tcPr>
            <w:tcW w:w="2512" w:type="dxa"/>
            <w:tcBorders>
              <w:top w:val="single" w:color="000000" w:sz="6" w:space="0"/>
              <w:left w:val="single" w:color="000000" w:sz="6" w:space="0"/>
              <w:bottom w:val="single" w:color="000000" w:sz="6" w:space="0"/>
              <w:right w:val="single" w:color="auto" w:sz="6" w:space="0"/>
            </w:tcBorders>
            <w:shd w:val="clear" w:color="auto" w:fill="FFFFFF"/>
            <w:hideMark/>
          </w:tcPr>
          <w:p w:rsidRPr="00102C28" w:rsidR="00CB3539" w:rsidP="008E7507" w:rsidRDefault="00CB3539" w14:paraId="1F832513" w14:textId="55249D36">
            <w:pPr>
              <w:ind w:firstLine="0"/>
            </w:pPr>
            <w:r w:rsidRPr="00102C28">
              <w:t>March 31, 2026 </w:t>
            </w:r>
          </w:p>
        </w:tc>
      </w:tr>
      <w:tr w:rsidRPr="00AF42BB" w:rsidR="00E604D4" w:rsidTr="007450CC" w14:paraId="232198F9" w14:textId="77777777">
        <w:trPr>
          <w:trHeight w:val="360"/>
        </w:trPr>
        <w:tc>
          <w:tcPr>
            <w:tcW w:w="6832" w:type="dxa"/>
            <w:tcBorders>
              <w:top w:val="single" w:color="000000" w:sz="6" w:space="0"/>
              <w:left w:val="single" w:color="auto" w:sz="6" w:space="0"/>
              <w:bottom w:val="single" w:color="000000" w:sz="6" w:space="0"/>
              <w:right w:val="single" w:color="000000" w:sz="6" w:space="0"/>
            </w:tcBorders>
            <w:shd w:val="clear" w:color="auto" w:fill="FFFFFF"/>
          </w:tcPr>
          <w:p w:rsidRPr="00AF42BB" w:rsidR="00E604D4" w:rsidP="00E604D4" w:rsidRDefault="00E604D4" w14:paraId="7701D8C1" w14:textId="73C1BFF1">
            <w:r w:rsidRPr="000973F7">
              <w:t>PY 202</w:t>
            </w:r>
            <w:r>
              <w:t>5</w:t>
            </w:r>
            <w:r w:rsidRPr="000973F7">
              <w:t xml:space="preserve"> PA and Program Performance Evaluation </w:t>
            </w:r>
          </w:p>
        </w:tc>
        <w:tc>
          <w:tcPr>
            <w:tcW w:w="2512" w:type="dxa"/>
            <w:tcBorders>
              <w:top w:val="single" w:color="000000" w:sz="6" w:space="0"/>
              <w:left w:val="single" w:color="000000" w:sz="6" w:space="0"/>
              <w:bottom w:val="single" w:color="000000" w:sz="6" w:space="0"/>
              <w:right w:val="single" w:color="auto" w:sz="6" w:space="0"/>
            </w:tcBorders>
            <w:shd w:val="clear" w:color="auto" w:fill="FFFFFF"/>
          </w:tcPr>
          <w:p w:rsidRPr="00AF42BB" w:rsidR="00E604D4" w:rsidP="00E604D4" w:rsidRDefault="00E604D4" w14:paraId="1CE548AB" w14:textId="35B8EF1E">
            <w:pPr>
              <w:ind w:firstLine="0"/>
            </w:pPr>
            <w:r w:rsidRPr="000973F7">
              <w:t>June 1, 202</w:t>
            </w:r>
            <w:r>
              <w:t>6</w:t>
            </w:r>
            <w:r w:rsidRPr="000973F7">
              <w:t> </w:t>
            </w:r>
          </w:p>
        </w:tc>
      </w:tr>
      <w:tr w:rsidRPr="00AF42BB" w:rsidR="00E604D4" w:rsidTr="008E7507" w14:paraId="2FEBF971" w14:textId="77777777">
        <w:trPr>
          <w:trHeight w:val="360"/>
        </w:trPr>
        <w:tc>
          <w:tcPr>
            <w:tcW w:w="6832" w:type="dxa"/>
            <w:tcBorders>
              <w:top w:val="single" w:color="000000" w:sz="6" w:space="0"/>
              <w:left w:val="single" w:color="auto" w:sz="6" w:space="0"/>
              <w:bottom w:val="single" w:color="000000" w:sz="6" w:space="0"/>
              <w:right w:val="single" w:color="000000" w:sz="6" w:space="0"/>
            </w:tcBorders>
            <w:shd w:val="clear" w:color="auto" w:fill="FFFFFF"/>
          </w:tcPr>
          <w:p w:rsidRPr="00AF42BB" w:rsidR="00E604D4" w:rsidP="00E604D4" w:rsidRDefault="00E604D4" w14:paraId="79D3FC1D" w14:textId="77777777">
            <w:r w:rsidRPr="00AF42BB">
              <w:t>PY 2025 SGIP Impact Report </w:t>
            </w:r>
          </w:p>
        </w:tc>
        <w:tc>
          <w:tcPr>
            <w:tcW w:w="2512" w:type="dxa"/>
            <w:tcBorders>
              <w:top w:val="single" w:color="000000" w:sz="6" w:space="0"/>
              <w:left w:val="single" w:color="000000" w:sz="6" w:space="0"/>
              <w:bottom w:val="single" w:color="000000" w:sz="6" w:space="0"/>
              <w:right w:val="single" w:color="auto" w:sz="6" w:space="0"/>
            </w:tcBorders>
            <w:shd w:val="clear" w:color="auto" w:fill="FFFFFF"/>
          </w:tcPr>
          <w:p w:rsidRPr="00AF42BB" w:rsidR="00E604D4" w:rsidP="00E604D4" w:rsidRDefault="00E604D4" w14:paraId="547BE423" w14:textId="77777777">
            <w:pPr>
              <w:ind w:firstLine="0"/>
            </w:pPr>
            <w:r w:rsidRPr="00AF42BB">
              <w:t>November 30, 2026 </w:t>
            </w:r>
          </w:p>
        </w:tc>
      </w:tr>
      <w:tr w:rsidRPr="000102F0" w:rsidR="00E604D4" w:rsidTr="008E7507" w14:paraId="190B7630" w14:textId="77777777">
        <w:trPr>
          <w:trHeight w:val="360"/>
        </w:trPr>
        <w:tc>
          <w:tcPr>
            <w:tcW w:w="6832" w:type="dxa"/>
            <w:tcBorders>
              <w:top w:val="single" w:color="000000" w:sz="6" w:space="0"/>
              <w:left w:val="single" w:color="auto" w:sz="6" w:space="0"/>
              <w:bottom w:val="single" w:color="000000" w:sz="6" w:space="0"/>
              <w:right w:val="single" w:color="000000" w:sz="6" w:space="0"/>
            </w:tcBorders>
            <w:shd w:val="clear" w:color="auto" w:fill="FFFFFF"/>
          </w:tcPr>
          <w:p w:rsidRPr="000102F0" w:rsidR="00E604D4" w:rsidP="00E604D4" w:rsidRDefault="00E604D4" w14:paraId="6817BCE9" w14:textId="77777777">
            <w:r w:rsidRPr="000102F0">
              <w:t>Biannual Fiscal Audit </w:t>
            </w:r>
          </w:p>
        </w:tc>
        <w:tc>
          <w:tcPr>
            <w:tcW w:w="2512" w:type="dxa"/>
            <w:tcBorders>
              <w:top w:val="single" w:color="000000" w:sz="6" w:space="0"/>
              <w:left w:val="single" w:color="000000" w:sz="6" w:space="0"/>
              <w:bottom w:val="single" w:color="000000" w:sz="6" w:space="0"/>
              <w:right w:val="single" w:color="auto" w:sz="6" w:space="0"/>
            </w:tcBorders>
            <w:shd w:val="clear" w:color="auto" w:fill="FFFFFF"/>
          </w:tcPr>
          <w:p w:rsidRPr="000102F0" w:rsidR="00E604D4" w:rsidP="00E604D4" w:rsidRDefault="00E604D4" w14:paraId="71B71E1F" w14:textId="77777777">
            <w:pPr>
              <w:ind w:firstLine="0"/>
            </w:pPr>
            <w:r w:rsidRPr="000102F0">
              <w:t>June 30, 2027 </w:t>
            </w:r>
          </w:p>
        </w:tc>
      </w:tr>
      <w:tr w:rsidRPr="00102C28" w:rsidR="00E604D4" w:rsidTr="007450CC" w14:paraId="3D5FB72A" w14:textId="77777777">
        <w:trPr>
          <w:trHeight w:val="360"/>
        </w:trPr>
        <w:tc>
          <w:tcPr>
            <w:tcW w:w="6832" w:type="dxa"/>
            <w:tcBorders>
              <w:top w:val="single" w:color="000000" w:sz="6" w:space="0"/>
              <w:left w:val="single" w:color="auto" w:sz="6" w:space="0"/>
              <w:bottom w:val="single" w:color="000000" w:sz="6" w:space="0"/>
              <w:right w:val="single" w:color="000000" w:sz="6" w:space="0"/>
            </w:tcBorders>
            <w:shd w:val="clear" w:color="auto" w:fill="FFFFFF"/>
            <w:hideMark/>
          </w:tcPr>
          <w:p w:rsidRPr="00102C28" w:rsidR="00E604D4" w:rsidP="008E7507" w:rsidRDefault="00E604D4" w14:paraId="6C72E5A5" w14:textId="77777777">
            <w:r w:rsidRPr="00102C28">
              <w:t>PY 2026 SGIP Impact Report </w:t>
            </w:r>
          </w:p>
        </w:tc>
        <w:tc>
          <w:tcPr>
            <w:tcW w:w="2512" w:type="dxa"/>
            <w:tcBorders>
              <w:top w:val="single" w:color="000000" w:sz="6" w:space="0"/>
              <w:left w:val="single" w:color="000000" w:sz="6" w:space="0"/>
              <w:bottom w:val="single" w:color="000000" w:sz="6" w:space="0"/>
              <w:right w:val="single" w:color="auto" w:sz="6" w:space="0"/>
            </w:tcBorders>
            <w:shd w:val="clear" w:color="auto" w:fill="FFFFFF"/>
            <w:hideMark/>
          </w:tcPr>
          <w:p w:rsidRPr="00102C28" w:rsidR="00E604D4" w:rsidP="008E7507" w:rsidRDefault="00E604D4" w14:paraId="0EE0E574" w14:textId="77777777">
            <w:pPr>
              <w:ind w:firstLine="0"/>
            </w:pPr>
            <w:r w:rsidRPr="00102C28">
              <w:t>November 30, 2027 </w:t>
            </w:r>
          </w:p>
        </w:tc>
      </w:tr>
      <w:tr w:rsidRPr="00102C28" w:rsidR="000C1EC1" w:rsidTr="007450CC" w14:paraId="6E6683F4" w14:textId="77777777">
        <w:trPr>
          <w:trHeight w:val="360"/>
        </w:trPr>
        <w:tc>
          <w:tcPr>
            <w:tcW w:w="6832" w:type="dxa"/>
            <w:tcBorders>
              <w:top w:val="single" w:color="000000" w:sz="6" w:space="0"/>
              <w:left w:val="single" w:color="auto" w:sz="6" w:space="0"/>
              <w:bottom w:val="single" w:color="000000" w:sz="6" w:space="0"/>
              <w:right w:val="single" w:color="000000" w:sz="6" w:space="0"/>
            </w:tcBorders>
            <w:shd w:val="clear" w:color="auto" w:fill="FFFFFF"/>
          </w:tcPr>
          <w:p w:rsidRPr="00102C28" w:rsidR="000C1EC1" w:rsidP="000C1EC1" w:rsidRDefault="000C1EC1" w14:paraId="60122D1D" w14:textId="0877C38D">
            <w:r w:rsidRPr="00102C28">
              <w:t>PY 202</w:t>
            </w:r>
            <w:r>
              <w:t>7</w:t>
            </w:r>
            <w:r w:rsidRPr="00102C28">
              <w:t xml:space="preserve"> PA and Program Performance Evaluation</w:t>
            </w:r>
          </w:p>
        </w:tc>
        <w:tc>
          <w:tcPr>
            <w:tcW w:w="2512" w:type="dxa"/>
            <w:tcBorders>
              <w:top w:val="single" w:color="000000" w:sz="6" w:space="0"/>
              <w:left w:val="single" w:color="000000" w:sz="6" w:space="0"/>
              <w:bottom w:val="single" w:color="000000" w:sz="6" w:space="0"/>
              <w:right w:val="single" w:color="auto" w:sz="6" w:space="0"/>
            </w:tcBorders>
            <w:shd w:val="clear" w:color="auto" w:fill="FFFFFF"/>
          </w:tcPr>
          <w:p w:rsidRPr="00102C28" w:rsidR="000C1EC1" w:rsidP="000C1EC1" w:rsidRDefault="000C1EC1" w14:paraId="3459A6F3" w14:textId="17DCE04A">
            <w:pPr>
              <w:ind w:firstLine="0"/>
            </w:pPr>
            <w:r w:rsidRPr="00102C28">
              <w:t>June 1, 202</w:t>
            </w:r>
            <w:r w:rsidR="00EB6A6B">
              <w:t>8</w:t>
            </w:r>
            <w:r w:rsidRPr="00102C28">
              <w:t> </w:t>
            </w:r>
          </w:p>
        </w:tc>
      </w:tr>
      <w:tr w:rsidRPr="00102C28" w:rsidR="000C1EC1" w:rsidTr="007450CC" w14:paraId="5549FDA8" w14:textId="77777777">
        <w:trPr>
          <w:trHeight w:val="360"/>
        </w:trPr>
        <w:tc>
          <w:tcPr>
            <w:tcW w:w="6832" w:type="dxa"/>
            <w:tcBorders>
              <w:top w:val="single" w:color="000000" w:sz="6" w:space="0"/>
              <w:left w:val="single" w:color="auto" w:sz="6" w:space="0"/>
              <w:bottom w:val="single" w:color="000000" w:sz="6" w:space="0"/>
              <w:right w:val="single" w:color="000000" w:sz="6" w:space="0"/>
            </w:tcBorders>
            <w:shd w:val="clear" w:color="auto" w:fill="FFFFFF"/>
            <w:hideMark/>
          </w:tcPr>
          <w:p w:rsidRPr="00102C28" w:rsidR="000C1EC1" w:rsidP="008E7507" w:rsidRDefault="000C1EC1" w14:paraId="60DF2A59" w14:textId="77777777">
            <w:r w:rsidRPr="00102C28">
              <w:t>PY 2027 SGIP Impact Report </w:t>
            </w:r>
          </w:p>
        </w:tc>
        <w:tc>
          <w:tcPr>
            <w:tcW w:w="2512" w:type="dxa"/>
            <w:tcBorders>
              <w:top w:val="single" w:color="000000" w:sz="6" w:space="0"/>
              <w:left w:val="single" w:color="000000" w:sz="6" w:space="0"/>
              <w:bottom w:val="single" w:color="000000" w:sz="6" w:space="0"/>
              <w:right w:val="single" w:color="auto" w:sz="6" w:space="0"/>
            </w:tcBorders>
            <w:shd w:val="clear" w:color="auto" w:fill="FFFFFF"/>
            <w:hideMark/>
          </w:tcPr>
          <w:p w:rsidRPr="00102C28" w:rsidR="000C1EC1" w:rsidP="008E7507" w:rsidRDefault="000C1EC1" w14:paraId="6C689250" w14:textId="77777777">
            <w:pPr>
              <w:ind w:firstLine="0"/>
            </w:pPr>
            <w:r w:rsidRPr="00102C28">
              <w:t>November 30, 2028 </w:t>
            </w:r>
          </w:p>
        </w:tc>
      </w:tr>
      <w:tr w:rsidRPr="00102C28" w:rsidR="000C1EC1" w:rsidTr="007450CC" w14:paraId="54AD6FD4" w14:textId="77777777">
        <w:trPr>
          <w:trHeight w:val="360"/>
        </w:trPr>
        <w:tc>
          <w:tcPr>
            <w:tcW w:w="6832" w:type="dxa"/>
            <w:tcBorders>
              <w:top w:val="single" w:color="000000" w:sz="6" w:space="0"/>
              <w:left w:val="single" w:color="auto" w:sz="6" w:space="0"/>
              <w:bottom w:val="single" w:color="000000" w:sz="6" w:space="0"/>
              <w:right w:val="single" w:color="000000" w:sz="6" w:space="0"/>
            </w:tcBorders>
            <w:shd w:val="clear" w:color="auto" w:fill="FFFFFF"/>
            <w:hideMark/>
          </w:tcPr>
          <w:p w:rsidRPr="00102C28" w:rsidR="000C1EC1" w:rsidP="008E7507" w:rsidRDefault="000C1EC1" w14:paraId="02FFCFCE" w14:textId="77777777">
            <w:r w:rsidRPr="00102C28">
              <w:t>Biannual Fiscal Audit </w:t>
            </w:r>
          </w:p>
        </w:tc>
        <w:tc>
          <w:tcPr>
            <w:tcW w:w="2512" w:type="dxa"/>
            <w:tcBorders>
              <w:top w:val="single" w:color="000000" w:sz="6" w:space="0"/>
              <w:left w:val="single" w:color="000000" w:sz="6" w:space="0"/>
              <w:bottom w:val="single" w:color="000000" w:sz="6" w:space="0"/>
              <w:right w:val="single" w:color="auto" w:sz="6" w:space="0"/>
            </w:tcBorders>
            <w:shd w:val="clear" w:color="auto" w:fill="FFFFFF"/>
            <w:hideMark/>
          </w:tcPr>
          <w:p w:rsidRPr="00102C28" w:rsidR="000C1EC1" w:rsidP="008E7507" w:rsidRDefault="000C1EC1" w14:paraId="2AD3C550" w14:textId="77777777">
            <w:pPr>
              <w:ind w:firstLine="0"/>
            </w:pPr>
            <w:r w:rsidRPr="00102C28">
              <w:t>June 30, 2029 </w:t>
            </w:r>
          </w:p>
        </w:tc>
      </w:tr>
      <w:tr w:rsidRPr="00102C28" w:rsidR="000C1EC1" w:rsidTr="007450CC" w14:paraId="123AAFE9" w14:textId="77777777">
        <w:trPr>
          <w:trHeight w:val="360"/>
        </w:trPr>
        <w:tc>
          <w:tcPr>
            <w:tcW w:w="6832" w:type="dxa"/>
            <w:tcBorders>
              <w:top w:val="single" w:color="000000" w:sz="6" w:space="0"/>
              <w:left w:val="single" w:color="auto" w:sz="6" w:space="0"/>
              <w:bottom w:val="single" w:color="000000" w:sz="6" w:space="0"/>
              <w:right w:val="single" w:color="000000" w:sz="6" w:space="0"/>
            </w:tcBorders>
            <w:shd w:val="clear" w:color="auto" w:fill="FFFFFF"/>
            <w:hideMark/>
          </w:tcPr>
          <w:p w:rsidRPr="00102C28" w:rsidR="000C1EC1" w:rsidP="008E7507" w:rsidRDefault="000C1EC1" w14:paraId="15769FB1" w14:textId="77777777">
            <w:r w:rsidRPr="00102C28">
              <w:t>PY 2028 SGIP Impact Report </w:t>
            </w:r>
          </w:p>
        </w:tc>
        <w:tc>
          <w:tcPr>
            <w:tcW w:w="2512" w:type="dxa"/>
            <w:tcBorders>
              <w:top w:val="single" w:color="000000" w:sz="6" w:space="0"/>
              <w:left w:val="single" w:color="000000" w:sz="6" w:space="0"/>
              <w:bottom w:val="single" w:color="000000" w:sz="6" w:space="0"/>
              <w:right w:val="single" w:color="auto" w:sz="6" w:space="0"/>
            </w:tcBorders>
            <w:shd w:val="clear" w:color="auto" w:fill="FFFFFF"/>
            <w:hideMark/>
          </w:tcPr>
          <w:p w:rsidRPr="00102C28" w:rsidR="000C1EC1" w:rsidP="008E7507" w:rsidRDefault="000C1EC1" w14:paraId="02D90E77" w14:textId="77777777">
            <w:pPr>
              <w:ind w:firstLine="0"/>
            </w:pPr>
            <w:r w:rsidRPr="00102C28">
              <w:t>November 30, 2029 </w:t>
            </w:r>
          </w:p>
        </w:tc>
      </w:tr>
      <w:tr w:rsidRPr="00102C28" w:rsidR="000C1EC1" w:rsidTr="007450CC" w14:paraId="01F5BB80" w14:textId="77777777">
        <w:trPr>
          <w:trHeight w:val="360"/>
        </w:trPr>
        <w:tc>
          <w:tcPr>
            <w:tcW w:w="6832" w:type="dxa"/>
            <w:tcBorders>
              <w:top w:val="single" w:color="000000" w:sz="6" w:space="0"/>
              <w:left w:val="single" w:color="auto" w:sz="6" w:space="0"/>
              <w:bottom w:val="single" w:color="auto" w:sz="6" w:space="0"/>
              <w:right w:val="single" w:color="000000" w:sz="6" w:space="0"/>
            </w:tcBorders>
            <w:shd w:val="clear" w:color="auto" w:fill="FFFFFF"/>
            <w:hideMark/>
          </w:tcPr>
          <w:p w:rsidRPr="00102C28" w:rsidR="000C1EC1" w:rsidP="008E7507" w:rsidRDefault="000C1EC1" w14:paraId="69348E51" w14:textId="77777777">
            <w:r w:rsidRPr="00102C28">
              <w:t>PY 2029-2031 SGIP Impact Report* </w:t>
            </w:r>
          </w:p>
        </w:tc>
        <w:tc>
          <w:tcPr>
            <w:tcW w:w="2512" w:type="dxa"/>
            <w:tcBorders>
              <w:top w:val="single" w:color="000000" w:sz="6" w:space="0"/>
              <w:left w:val="single" w:color="000000" w:sz="6" w:space="0"/>
              <w:bottom w:val="single" w:color="auto" w:sz="6" w:space="0"/>
              <w:right w:val="single" w:color="auto" w:sz="6" w:space="0"/>
            </w:tcBorders>
            <w:shd w:val="clear" w:color="auto" w:fill="FFFFFF"/>
            <w:hideMark/>
          </w:tcPr>
          <w:p w:rsidRPr="00102C28" w:rsidR="000C1EC1" w:rsidP="008E7507" w:rsidRDefault="000C1EC1" w14:paraId="2044AA58" w14:textId="77777777">
            <w:pPr>
              <w:ind w:firstLine="0"/>
            </w:pPr>
            <w:r w:rsidRPr="00102C28">
              <w:t>November 30, 2032 </w:t>
            </w:r>
          </w:p>
        </w:tc>
      </w:tr>
    </w:tbl>
    <w:p w:rsidRPr="00102C28" w:rsidR="00102C28" w:rsidP="008E7507" w:rsidRDefault="00102C28" w14:paraId="2CD8C797" w14:textId="78E409C7">
      <w:pPr>
        <w:ind w:firstLine="0"/>
      </w:pPr>
      <w:r w:rsidRPr="00102C28">
        <w:t>*PY 2029-2031 SGIP Impact Report only to be completed if either the GGRF or Ratepayer components of the program have more than 10% of remaining incentive funds as of 12/31/2028. </w:t>
      </w:r>
    </w:p>
    <w:p w:rsidR="00872820" w:rsidP="00E425F7" w:rsidRDefault="00102C28" w14:paraId="4A8ACEC4" w14:textId="59E0D884">
      <w:pPr>
        <w:pStyle w:val="OP"/>
      </w:pPr>
      <w:r w:rsidRPr="00102C28">
        <w:t>Commission staff may modify the M&amp;E Plan</w:t>
      </w:r>
      <w:r w:rsidR="00872820">
        <w:t xml:space="preserve"> as needed, including removing or adding reports. </w:t>
      </w:r>
    </w:p>
    <w:p w:rsidR="000743C0" w:rsidP="008E7507" w:rsidRDefault="00250432" w14:paraId="136DBA62" w14:textId="4E619327">
      <w:pPr>
        <w:ind w:firstLine="0"/>
      </w:pPr>
      <w:r>
        <w:t xml:space="preserve"> </w:t>
      </w:r>
    </w:p>
    <w:p w:rsidR="000743C0" w:rsidRDefault="000743C0" w14:paraId="105719E9" w14:textId="77777777">
      <w:pPr>
        <w:spacing w:after="160" w:line="259" w:lineRule="auto"/>
        <w:ind w:firstLine="0"/>
      </w:pPr>
      <w:r>
        <w:br w:type="page"/>
      </w:r>
    </w:p>
    <w:p w:rsidRPr="00102C28" w:rsidR="00102C28" w:rsidP="008E7507" w:rsidRDefault="00102C28" w14:paraId="103EBA25" w14:textId="226832A1">
      <w:pPr>
        <w:ind w:firstLine="0"/>
      </w:pPr>
      <w:r w:rsidRPr="00102C28">
        <w:lastRenderedPageBreak/>
        <w:t>Summary of the M&amp;E Plan </w:t>
      </w:r>
    </w:p>
    <w:p w:rsidRPr="00102C28" w:rsidR="00102C28" w:rsidP="008E7507" w:rsidRDefault="00102C28" w14:paraId="5177D99C" w14:textId="76B1939A">
      <w:r w:rsidRPr="00102C28">
        <w:rPr>
          <w:u w:val="single"/>
        </w:rPr>
        <w:t>Biannual PA and Program Performance Evaluation</w:t>
      </w:r>
      <w:r w:rsidRPr="00102C28">
        <w:t> </w:t>
      </w:r>
    </w:p>
    <w:p w:rsidR="00B83B4E" w:rsidP="00990A11" w:rsidRDefault="00B83B4E" w14:paraId="3C0965E8" w14:textId="28423889">
      <w:pPr>
        <w:numPr>
          <w:ilvl w:val="0"/>
          <w:numId w:val="31"/>
        </w:numPr>
      </w:pPr>
      <w:r>
        <w:t>Reports a</w:t>
      </w:r>
      <w:r w:rsidRPr="00B83B4E">
        <w:t>re to include, at a minimum, a survey of program participants regarding the</w:t>
      </w:r>
      <w:r w:rsidR="00321435">
        <w:t xml:space="preserve"> participants experience with the program and the PAs.</w:t>
      </w:r>
      <w:r w:rsidR="00250432">
        <w:t xml:space="preserve"> </w:t>
      </w:r>
      <w:r w:rsidR="00321435">
        <w:t xml:space="preserve">Potential </w:t>
      </w:r>
      <w:r w:rsidR="00CD62A2">
        <w:t xml:space="preserve">survey topics include: </w:t>
      </w:r>
      <w:r w:rsidRPr="00B83B4E">
        <w:t xml:space="preserve">clarity and timeliness of oral and written communications, accessibility, applicants </w:t>
      </w:r>
      <w:r w:rsidR="0002331D">
        <w:t>experience of the submission and review process</w:t>
      </w:r>
      <w:r w:rsidRPr="00B83B4E">
        <w:t xml:space="preserve">, and the clarity and helpfulness of </w:t>
      </w:r>
      <w:r w:rsidR="00D93A68">
        <w:t>SGIP</w:t>
      </w:r>
      <w:r w:rsidRPr="00B83B4E">
        <w:t xml:space="preserve"> websites. </w:t>
      </w:r>
    </w:p>
    <w:p w:rsidRPr="00102C28" w:rsidR="00102C28" w:rsidP="008E7507" w:rsidRDefault="00102C28" w14:paraId="7DE40A0A" w14:textId="457531EF">
      <w:pPr>
        <w:numPr>
          <w:ilvl w:val="0"/>
          <w:numId w:val="31"/>
        </w:numPr>
      </w:pPr>
      <w:r w:rsidRPr="00102C28">
        <w:t>Separate sections for ratepayer and GGRF incented systems. </w:t>
      </w:r>
    </w:p>
    <w:p w:rsidRPr="00102C28" w:rsidR="00102C28" w:rsidP="008E7507" w:rsidRDefault="00102C28" w14:paraId="3D013FC9" w14:textId="77777777">
      <w:r w:rsidRPr="00102C28">
        <w:rPr>
          <w:u w:val="single"/>
        </w:rPr>
        <w:t>Annual SGIP Impact Reports</w:t>
      </w:r>
      <w:r w:rsidRPr="00102C28">
        <w:t> </w:t>
      </w:r>
    </w:p>
    <w:p w:rsidR="00F16CC6" w:rsidP="00990A11" w:rsidRDefault="00F16CC6" w14:paraId="28813300" w14:textId="569B24F3">
      <w:pPr>
        <w:numPr>
          <w:ilvl w:val="0"/>
          <w:numId w:val="33"/>
        </w:numPr>
      </w:pPr>
      <w:r>
        <w:t>These reports should follow the scope of previous SGIP Impact Reports</w:t>
      </w:r>
      <w:r w:rsidR="000C5618">
        <w:t xml:space="preserve"> with </w:t>
      </w:r>
      <w:r w:rsidR="00435931">
        <w:t xml:space="preserve">guidance from </w:t>
      </w:r>
      <w:r w:rsidR="00E63216">
        <w:t xml:space="preserve">Commission staff. </w:t>
      </w:r>
    </w:p>
    <w:p w:rsidRPr="00102C28" w:rsidR="00102C28" w:rsidP="008E7507" w:rsidRDefault="00102C28" w14:paraId="73F8E23A" w14:textId="5630C84E">
      <w:pPr>
        <w:numPr>
          <w:ilvl w:val="0"/>
          <w:numId w:val="33"/>
        </w:numPr>
      </w:pPr>
      <w:r w:rsidRPr="00102C28">
        <w:t>Separate sections for ratepayer and GGRF incented systems. </w:t>
      </w:r>
    </w:p>
    <w:p w:rsidRPr="00102C28" w:rsidR="00102C28" w:rsidP="008E7507" w:rsidRDefault="00102C28" w14:paraId="110FC165" w14:textId="77777777">
      <w:pPr>
        <w:numPr>
          <w:ilvl w:val="0"/>
          <w:numId w:val="35"/>
        </w:numPr>
      </w:pPr>
      <w:r w:rsidRPr="00102C28">
        <w:t>Ratepayer incented generation systems will only be evaluated through each project’s permanency period of ten years. </w:t>
      </w:r>
    </w:p>
    <w:p w:rsidRPr="00102C28" w:rsidR="00102C28" w:rsidP="008E7507" w:rsidRDefault="00102C28" w14:paraId="247AE801" w14:textId="2C9CA56C">
      <w:pPr>
        <w:numPr>
          <w:ilvl w:val="0"/>
          <w:numId w:val="36"/>
        </w:numPr>
      </w:pPr>
      <w:r w:rsidRPr="00102C28">
        <w:t>A one-time evaluation of energy storage system longevity will be included in the final SGIP Impact Report.</w:t>
      </w:r>
      <w:r w:rsidR="00250432">
        <w:t xml:space="preserve"> </w:t>
      </w:r>
    </w:p>
    <w:p w:rsidRPr="00102C28" w:rsidR="00102C28" w:rsidP="008E7507" w:rsidRDefault="00102C28" w14:paraId="54FD96ED" w14:textId="77777777">
      <w:r w:rsidRPr="00102C28">
        <w:rPr>
          <w:u w:val="single"/>
        </w:rPr>
        <w:t>Biannual Fiscal Audit Reports</w:t>
      </w:r>
      <w:r w:rsidRPr="00102C28">
        <w:t> </w:t>
      </w:r>
    </w:p>
    <w:p w:rsidR="00BF7562" w:rsidP="00990A11" w:rsidRDefault="00BF7562" w14:paraId="27C80A3F" w14:textId="47C4C2DC">
      <w:pPr>
        <w:numPr>
          <w:ilvl w:val="0"/>
          <w:numId w:val="38"/>
        </w:numPr>
      </w:pPr>
      <w:r>
        <w:t>T</w:t>
      </w:r>
      <w:r w:rsidRPr="00BF7562">
        <w:t>hese audits should ensure that SGIP funds are accounted for, are being spent appropriately, and that safeguards are the place to ensure this.</w:t>
      </w:r>
    </w:p>
    <w:p w:rsidRPr="00102C28" w:rsidR="00102C28" w:rsidP="008E7507" w:rsidRDefault="00102C28" w14:paraId="1F93E53B" w14:textId="092B5A53">
      <w:pPr>
        <w:numPr>
          <w:ilvl w:val="0"/>
          <w:numId w:val="38"/>
        </w:numPr>
      </w:pPr>
      <w:r w:rsidRPr="00102C28">
        <w:t>Separate sections for ratepayer and GGRF incented systems.</w:t>
      </w:r>
      <w:r w:rsidR="00250432">
        <w:t xml:space="preserve"> </w:t>
      </w:r>
    </w:p>
    <w:p w:rsidRPr="00FB716D" w:rsidR="00FB716D" w:rsidP="008E7507" w:rsidRDefault="00FB716D" w14:paraId="2B9F0F11" w14:textId="77777777">
      <w:pPr>
        <w:jc w:val="center"/>
      </w:pPr>
    </w:p>
    <w:p w:rsidRPr="00714CF2" w:rsidR="00370312" w:rsidP="008E7507" w:rsidRDefault="00370312" w14:paraId="7B44F75D" w14:textId="0905ABF8">
      <w:pPr>
        <w:jc w:val="center"/>
      </w:pPr>
      <w:r w:rsidRPr="00370312">
        <w:t>(END OF ATTACHMENT A)</w:t>
      </w:r>
    </w:p>
    <w:sectPr w:rsidRPr="00714CF2" w:rsidR="00370312" w:rsidSect="00F705D0">
      <w:headerReference w:type="default" r:id="rId15"/>
      <w:footerReference w:type="default" r:id="rId16"/>
      <w:headerReference w:type="first" r:id="rId17"/>
      <w:footerReference w:type="first" r:id="rId18"/>
      <w:pgSz w:w="12240" w:h="15840"/>
      <w:pgMar w:top="1728" w:right="1440" w:bottom="1440" w:left="1440" w:header="720" w:footer="720" w:gutter="0"/>
      <w:pgNumType w:start="2"/>
      <w:cols w:space="720"/>
      <w:titlePg/>
      <w:docGrid w:linePitch="360"/>
    </w:sectPr>
    <w:p>
      <w:r>
        <w:t xml:space="preserve"/>
      </w:r>
    </w:p>
    <w:p>
      <w:r>
        <w:t xml:space="preserve">Attachment 1: </w:t>
      </w:r>
    </w:p>
    <w:p>
      <w:hyperlink w:history="true" r:id="Rdeca05981f1c4c29">
        <w:r w:rsidRPr="00CB1292">
          <w:rPr>
            <w:rStyle w:val="Hyperlink"/>
            <w:color w:val="2E74B5" w:themeColor="accent1" w:themeShade="BF"/>
            <w:u w:val="single"/>
          </w:rPr>
          <w:t>REDLINE (Rev. 1) R.20-05-012 RETURNING SELF-GENERATION INCENTIVE PROGRAM FUNDS.pdf</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A4CB2" w14:textId="77777777" w:rsidR="00522EFD" w:rsidRDefault="00522EFD" w:rsidP="0098138E">
      <w:pPr>
        <w:spacing w:line="240" w:lineRule="auto"/>
      </w:pPr>
      <w:r>
        <w:separator/>
      </w:r>
    </w:p>
  </w:endnote>
  <w:endnote w:type="continuationSeparator" w:id="0">
    <w:p w14:paraId="2E30E30D" w14:textId="77777777" w:rsidR="00522EFD" w:rsidRDefault="00522EFD" w:rsidP="0098138E">
      <w:pPr>
        <w:spacing w:line="240" w:lineRule="auto"/>
      </w:pPr>
      <w:r>
        <w:continuationSeparator/>
      </w:r>
    </w:p>
  </w:endnote>
  <w:endnote w:type="continuationNotice" w:id="1">
    <w:p w14:paraId="57DE1E59" w14:textId="77777777" w:rsidR="00522EFD" w:rsidRDefault="00522EF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altName w:val="Cambri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785FD" w14:textId="3D5915AC" w:rsidR="00F705D0" w:rsidRDefault="00000000" w:rsidP="007E0FEE">
    <w:pPr>
      <w:tabs>
        <w:tab w:val="center" w:pos="4680"/>
      </w:tabs>
      <w:ind w:firstLine="0"/>
      <w:rPr>
        <w:noProof/>
      </w:rPr>
    </w:pPr>
    <w:sdt>
      <w:sdtPr>
        <w:id w:val="-915480678"/>
        <w:docPartObj>
          <w:docPartGallery w:val="Page Numbers (Bottom of Page)"/>
          <w:docPartUnique/>
        </w:docPartObj>
      </w:sdtPr>
      <w:sdtEndPr>
        <w:rPr>
          <w:noProof/>
        </w:rPr>
      </w:sdtEndPr>
      <w:sdtContent>
        <w:r w:rsidR="00D22CEA" w:rsidRPr="00D22CEA">
          <w:rPr>
            <w:sz w:val="18"/>
            <w:szCs w:val="18"/>
          </w:rPr>
          <w:t>587956934</w:t>
        </w:r>
        <w:r w:rsidR="00F705D0">
          <w:rPr>
            <w:rFonts w:ascii="Arial" w:hAnsi="Arial" w:cs="Arial"/>
            <w:sz w:val="16"/>
            <w:szCs w:val="16"/>
          </w:rPr>
          <w:tab/>
        </w:r>
        <w:r w:rsidR="00F705D0">
          <w:t xml:space="preserve">- </w:t>
        </w:r>
        <w:r w:rsidR="00F705D0">
          <w:fldChar w:fldCharType="begin"/>
        </w:r>
        <w:r w:rsidR="00F705D0">
          <w:instrText xml:space="preserve"> PAGE   \* MERGEFORMAT </w:instrText>
        </w:r>
        <w:r w:rsidR="00F705D0">
          <w:fldChar w:fldCharType="separate"/>
        </w:r>
        <w:r w:rsidR="00F705D0">
          <w:rPr>
            <w:noProof/>
          </w:rPr>
          <w:t>2</w:t>
        </w:r>
        <w:r w:rsidR="00F705D0">
          <w:rPr>
            <w:noProof/>
          </w:rPr>
          <w:fldChar w:fldCharType="end"/>
        </w:r>
      </w:sdtContent>
    </w:sdt>
    <w:r w:rsidR="00F705D0">
      <w:rPr>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C61B7" w14:textId="77777777" w:rsidR="00E23CBB" w:rsidRDefault="00E23CBB" w:rsidP="007E0FEE">
    <w:pPr>
      <w:ind w:firstLine="0"/>
      <w:jc w:val="center"/>
    </w:pPr>
    <w:r>
      <w:t>-</w:t>
    </w:r>
    <w:r w:rsidR="00EE4315">
      <w:t xml:space="preserve"> </w:t>
    </w:r>
    <w:sdt>
      <w:sdtPr>
        <w:id w:val="179316964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sidR="00EE4315">
          <w:rPr>
            <w:noProof/>
          </w:rPr>
          <w:t xml:space="preserve"> </w:t>
        </w:r>
        <w:r>
          <w:rPr>
            <w:noProof/>
          </w:rPr>
          <w:t>-</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80B23" w14:textId="77777777" w:rsidR="00E23CBB" w:rsidRDefault="00E23CBB" w:rsidP="007E0FEE">
    <w:pPr>
      <w:ind w:firstLine="0"/>
      <w:jc w:val="center"/>
    </w:pPr>
    <w:r>
      <w:t>-</w:t>
    </w:r>
    <w:sdt>
      <w:sdtPr>
        <w:id w:val="-1034043401"/>
        <w:docPartObj>
          <w:docPartGallery w:val="Page Numbers (Bottom of Page)"/>
          <w:docPartUnique/>
        </w:docPartObj>
      </w:sdtPr>
      <w:sdtEndPr>
        <w:rPr>
          <w:noProof/>
        </w:rPr>
      </w:sdtEndPr>
      <w:sdtContent>
        <w:r w:rsidR="00EE4315">
          <w:t xml:space="preserve"> </w:t>
        </w:r>
        <w:r>
          <w:fldChar w:fldCharType="begin"/>
        </w:r>
        <w:r>
          <w:instrText xml:space="preserve"> PAGE   \* MERGEFORMAT </w:instrText>
        </w:r>
        <w:r>
          <w:fldChar w:fldCharType="separate"/>
        </w:r>
        <w:r>
          <w:rPr>
            <w:noProof/>
          </w:rPr>
          <w:t>2</w:t>
        </w:r>
        <w:r>
          <w:rPr>
            <w:noProof/>
          </w:rPr>
          <w:fldChar w:fldCharType="end"/>
        </w:r>
        <w:r w:rsidR="00EE4315">
          <w:rPr>
            <w:noProof/>
          </w:rPr>
          <w:t xml:space="preserve"> </w:t>
        </w:r>
        <w:r>
          <w:rPr>
            <w:noProof/>
          </w:rPr>
          <w:t>-</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A762" w14:textId="4F804214" w:rsidR="00F705D0" w:rsidRDefault="00000000" w:rsidP="007E0FEE">
    <w:pPr>
      <w:tabs>
        <w:tab w:val="center" w:pos="4680"/>
      </w:tabs>
      <w:ind w:firstLine="0"/>
      <w:rPr>
        <w:noProof/>
      </w:rPr>
    </w:pPr>
    <w:sdt>
      <w:sdtPr>
        <w:id w:val="-1482769388"/>
        <w:docPartObj>
          <w:docPartGallery w:val="Page Numbers (Bottom of Page)"/>
          <w:docPartUnique/>
        </w:docPartObj>
      </w:sdtPr>
      <w:sdtEndPr>
        <w:rPr>
          <w:noProof/>
        </w:rPr>
      </w:sdtEndPr>
      <w:sdtContent>
        <w:r w:rsidR="00F705D0">
          <w:rPr>
            <w:rFonts w:ascii="Arial" w:hAnsi="Arial" w:cs="Arial"/>
            <w:sz w:val="16"/>
            <w:szCs w:val="16"/>
          </w:rPr>
          <w:tab/>
        </w:r>
        <w:r w:rsidR="00F705D0">
          <w:t xml:space="preserve">- </w:t>
        </w:r>
        <w:r w:rsidR="00F705D0">
          <w:fldChar w:fldCharType="begin"/>
        </w:r>
        <w:r w:rsidR="00F705D0">
          <w:instrText xml:space="preserve"> PAGE   \* MERGEFORMAT </w:instrText>
        </w:r>
        <w:r w:rsidR="00F705D0">
          <w:fldChar w:fldCharType="separate"/>
        </w:r>
        <w:r w:rsidR="00F705D0">
          <w:rPr>
            <w:noProof/>
          </w:rPr>
          <w:t>2</w:t>
        </w:r>
        <w:r w:rsidR="00F705D0">
          <w:rPr>
            <w:noProof/>
          </w:rPr>
          <w:fldChar w:fldCharType="end"/>
        </w:r>
      </w:sdtContent>
    </w:sdt>
    <w:r w:rsidR="00F705D0">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684CE" w14:textId="77777777" w:rsidR="00522EFD" w:rsidRDefault="00522EFD" w:rsidP="00DF58E7">
      <w:pPr>
        <w:spacing w:line="240" w:lineRule="auto"/>
        <w:ind w:firstLine="0"/>
      </w:pPr>
      <w:r>
        <w:separator/>
      </w:r>
    </w:p>
  </w:footnote>
  <w:footnote w:type="continuationSeparator" w:id="0">
    <w:p w14:paraId="051179CE" w14:textId="77777777" w:rsidR="00522EFD" w:rsidRDefault="00522EFD" w:rsidP="00DF58E7">
      <w:pPr>
        <w:spacing w:line="240" w:lineRule="auto"/>
        <w:ind w:firstLine="0"/>
      </w:pPr>
      <w:r>
        <w:continuationSeparator/>
      </w:r>
    </w:p>
  </w:footnote>
  <w:footnote w:type="continuationNotice" w:id="1">
    <w:p w14:paraId="1891E627" w14:textId="77777777" w:rsidR="00522EFD" w:rsidRPr="00DF58E7" w:rsidRDefault="00522EFD" w:rsidP="00DF58E7">
      <w:pPr>
        <w:spacing w:line="240" w:lineRule="auto"/>
        <w:ind w:firstLine="0"/>
        <w:jc w:val="right"/>
        <w:rPr>
          <w:i/>
          <w:sz w:val="22"/>
        </w:rPr>
      </w:pPr>
      <w:r w:rsidRPr="00DF58E7">
        <w:rPr>
          <w:i/>
          <w:sz w:val="22"/>
        </w:rPr>
        <w:t>Footnote continued on next page.</w:t>
      </w:r>
    </w:p>
  </w:footnote>
  <w:footnote w:id="2">
    <w:p w14:paraId="638832D2" w14:textId="73E09EA1" w:rsidR="00302863" w:rsidRDefault="00302863">
      <w:pPr>
        <w:pStyle w:val="FootnoteText"/>
      </w:pPr>
      <w:r>
        <w:rPr>
          <w:rStyle w:val="FootnoteReference"/>
        </w:rPr>
        <w:footnoteRef/>
      </w:r>
      <w:r w:rsidR="763945AA">
        <w:t xml:space="preserve"> </w:t>
      </w:r>
      <w:r w:rsidR="763945AA" w:rsidRPr="00302863">
        <w:t xml:space="preserve">AB 102. </w:t>
      </w:r>
    </w:p>
    <w:p w14:paraId="77BA1266" w14:textId="77777777" w:rsidR="00A56849" w:rsidRDefault="00A56849">
      <w:pPr>
        <w:pStyle w:val="FootnoteText"/>
      </w:pPr>
    </w:p>
  </w:footnote>
  <w:footnote w:id="3">
    <w:p w14:paraId="555ACDA6" w14:textId="123EAA16" w:rsidR="763945AA" w:rsidRDefault="763945AA" w:rsidP="00855E49">
      <w:pPr>
        <w:pStyle w:val="FootnoteText"/>
      </w:pPr>
      <w:r w:rsidRPr="763945AA">
        <w:rPr>
          <w:rStyle w:val="FootnoteReference"/>
        </w:rPr>
        <w:footnoteRef/>
      </w:r>
      <w:r>
        <w:t xml:space="preserve"> Unless otherwise specified in this decision, party comments referenced in this decision were filed in response to this ALJ ruling issued on </w:t>
      </w:r>
      <w:r w:rsidR="777A4D19">
        <w:t>April 28,</w:t>
      </w:r>
      <w:r w:rsidR="2B8B72C1">
        <w:t xml:space="preserve"> 2025.</w:t>
      </w:r>
    </w:p>
  </w:footnote>
  <w:footnote w:id="4">
    <w:p w14:paraId="0AC149B3" w14:textId="6609C3DB" w:rsidR="00073602" w:rsidRDefault="00073602">
      <w:pPr>
        <w:pStyle w:val="FootnoteText"/>
      </w:pPr>
      <w:r>
        <w:rPr>
          <w:rStyle w:val="FootnoteReference"/>
        </w:rPr>
        <w:footnoteRef/>
      </w:r>
      <w:r>
        <w:t xml:space="preserve"> SGIP applicants have at least a year</w:t>
      </w:r>
      <w:r w:rsidR="00487EE8">
        <w:t xml:space="preserve"> after submitting a RRF to submit the ICF</w:t>
      </w:r>
      <w:r w:rsidR="00B878D9">
        <w:t xml:space="preserve"> with access to timeline extensions.</w:t>
      </w:r>
    </w:p>
  </w:footnote>
  <w:footnote w:id="5">
    <w:p w14:paraId="4813EFC0" w14:textId="7D22F510" w:rsidR="001E2DAA" w:rsidRDefault="001E2DAA" w:rsidP="001E2DAA">
      <w:pPr>
        <w:pStyle w:val="FootnoteText"/>
      </w:pPr>
      <w:r>
        <w:rPr>
          <w:rStyle w:val="FootnoteReference"/>
        </w:rPr>
        <w:footnoteRef/>
      </w:r>
      <w:r w:rsidR="7E9CACF8">
        <w:t xml:space="preserve"> Opening Comments of CALSSA</w:t>
      </w:r>
      <w:r w:rsidR="00250432">
        <w:t xml:space="preserve"> </w:t>
      </w:r>
      <w:r w:rsidR="7E9CACF8">
        <w:t>at 1-2, Opening Comments of CSE</w:t>
      </w:r>
      <w:r w:rsidR="00250432">
        <w:t xml:space="preserve"> </w:t>
      </w:r>
      <w:r w:rsidR="7E9CACF8">
        <w:t>at 2, SBUA Opening Comments</w:t>
      </w:r>
      <w:r w:rsidR="00250432">
        <w:t xml:space="preserve"> </w:t>
      </w:r>
      <w:r w:rsidR="7E9CACF8">
        <w:t>at 3, Opening Comments of SCE</w:t>
      </w:r>
      <w:r w:rsidR="00250432">
        <w:t xml:space="preserve"> </w:t>
      </w:r>
      <w:r w:rsidR="7E9CACF8">
        <w:t>at 3-4, Opening Comments of SoCalGas</w:t>
      </w:r>
      <w:r w:rsidR="00250432">
        <w:t xml:space="preserve"> </w:t>
      </w:r>
      <w:r w:rsidR="7E9CACF8">
        <w:t>at 1, Opening Comments of PG&amp;E</w:t>
      </w:r>
      <w:r w:rsidR="00250432">
        <w:t xml:space="preserve"> </w:t>
      </w:r>
      <w:r w:rsidR="7E9CACF8">
        <w:t>at 1, Reply Comments of GRID</w:t>
      </w:r>
      <w:r w:rsidR="00250432">
        <w:t xml:space="preserve"> </w:t>
      </w:r>
      <w:r w:rsidR="7E9CACF8">
        <w:t xml:space="preserve"> at 3, Reply Comments of Free Energy/</w:t>
      </w:r>
      <w:r w:rsidR="7E9CACF8" w:rsidRPr="00A456D0">
        <w:t>QCS at</w:t>
      </w:r>
      <w:r w:rsidR="7E9CACF8">
        <w:t xml:space="preserve"> 2.</w:t>
      </w:r>
    </w:p>
  </w:footnote>
  <w:footnote w:id="6">
    <w:p w14:paraId="3FE1616E" w14:textId="3BBFEA6F" w:rsidR="001E2DAA" w:rsidRDefault="001E2DAA" w:rsidP="001E2DAA">
      <w:pPr>
        <w:pStyle w:val="FootnoteText"/>
      </w:pPr>
      <w:r>
        <w:rPr>
          <w:rStyle w:val="FootnoteReference"/>
        </w:rPr>
        <w:footnoteRef/>
      </w:r>
      <w:r w:rsidR="7E9CACF8">
        <w:t xml:space="preserve"> Opening Comments of CSE</w:t>
      </w:r>
      <w:r w:rsidR="00250432">
        <w:t xml:space="preserve"> </w:t>
      </w:r>
      <w:r w:rsidR="7E9CACF8">
        <w:t>at 1, Opening Comments of PG&amp;E</w:t>
      </w:r>
      <w:r w:rsidR="00250432">
        <w:t xml:space="preserve"> </w:t>
      </w:r>
      <w:r w:rsidR="7E9CACF8">
        <w:t>at 1, Opening Comments of SCE</w:t>
      </w:r>
      <w:r w:rsidR="00250432">
        <w:t xml:space="preserve"> </w:t>
      </w:r>
      <w:r w:rsidR="7E9CACF8">
        <w:t>at 3, Opening Comments of SoCalGas at 1.</w:t>
      </w:r>
    </w:p>
  </w:footnote>
  <w:footnote w:id="7">
    <w:p w14:paraId="44639A25" w14:textId="01A26577" w:rsidR="001E2DAA" w:rsidRDefault="001E2DAA" w:rsidP="001E2DAA">
      <w:pPr>
        <w:pStyle w:val="FootnoteText"/>
      </w:pPr>
      <w:r>
        <w:rPr>
          <w:rStyle w:val="FootnoteReference"/>
        </w:rPr>
        <w:footnoteRef/>
      </w:r>
      <w:r w:rsidR="7E9CACF8">
        <w:t xml:space="preserve"> Opening Comments of SCE</w:t>
      </w:r>
      <w:r w:rsidR="00250432">
        <w:t xml:space="preserve"> </w:t>
      </w:r>
      <w:r w:rsidR="7E9CACF8">
        <w:t>at 3, “Program Administrators will issue incentive reservations for any budget with available funds through December 31, 2025, SGIP Handbook at 10”.</w:t>
      </w:r>
    </w:p>
  </w:footnote>
  <w:footnote w:id="8">
    <w:p w14:paraId="3C1D4779" w14:textId="039BDC49" w:rsidR="001E2DAA" w:rsidRDefault="001E2DAA" w:rsidP="001E2DAA">
      <w:pPr>
        <w:pStyle w:val="FootnoteText"/>
      </w:pPr>
      <w:r>
        <w:rPr>
          <w:rStyle w:val="FootnoteReference"/>
        </w:rPr>
        <w:footnoteRef/>
      </w:r>
      <w:r w:rsidR="7E9CACF8">
        <w:t xml:space="preserve"> Opening Comments of SoCalGas</w:t>
      </w:r>
      <w:r w:rsidR="00250432">
        <w:t xml:space="preserve"> </w:t>
      </w:r>
      <w:r w:rsidR="7E9CACF8">
        <w:t>at 1.</w:t>
      </w:r>
    </w:p>
  </w:footnote>
  <w:footnote w:id="9">
    <w:p w14:paraId="4A4BB21E" w14:textId="02509E16" w:rsidR="001E2DAA" w:rsidRDefault="001E2DAA" w:rsidP="001E2DAA">
      <w:pPr>
        <w:pStyle w:val="FootnoteText"/>
      </w:pPr>
      <w:r>
        <w:rPr>
          <w:rStyle w:val="FootnoteReference"/>
        </w:rPr>
        <w:footnoteRef/>
      </w:r>
      <w:r w:rsidR="7E9CACF8">
        <w:t xml:space="preserve"> Reply Comments of SBUA</w:t>
      </w:r>
      <w:r w:rsidR="00250432">
        <w:t xml:space="preserve"> </w:t>
      </w:r>
      <w:r w:rsidR="7E9CACF8">
        <w:t>at 1.</w:t>
      </w:r>
    </w:p>
  </w:footnote>
  <w:footnote w:id="10">
    <w:p w14:paraId="54FCF579" w14:textId="4BABCBE8" w:rsidR="001E2DAA" w:rsidRDefault="001E2DAA" w:rsidP="001E2DAA">
      <w:pPr>
        <w:pStyle w:val="FootnoteText"/>
      </w:pPr>
      <w:r>
        <w:rPr>
          <w:rStyle w:val="FootnoteReference"/>
        </w:rPr>
        <w:footnoteRef/>
      </w:r>
      <w:r w:rsidR="7E9CACF8">
        <w:t xml:space="preserve"> Opening Comments of CALSSA</w:t>
      </w:r>
      <w:r w:rsidR="00250432">
        <w:t xml:space="preserve"> </w:t>
      </w:r>
      <w:r w:rsidR="7E9CACF8">
        <w:t>at 2, Opening Comments of SCE at 4, Opening Comments of CSE</w:t>
      </w:r>
      <w:r w:rsidR="00250432">
        <w:t xml:space="preserve"> </w:t>
      </w:r>
      <w:r w:rsidR="7E9CACF8">
        <w:t>at 3, Opening Comments of PG&amp;E</w:t>
      </w:r>
      <w:r w:rsidR="00250432">
        <w:t xml:space="preserve"> </w:t>
      </w:r>
      <w:r w:rsidR="7E9CACF8">
        <w:t>at 2, Reply Comments of GRID</w:t>
      </w:r>
      <w:r w:rsidR="00250432">
        <w:t xml:space="preserve"> </w:t>
      </w:r>
      <w:r w:rsidR="7E9CACF8">
        <w:t>at 3.</w:t>
      </w:r>
    </w:p>
  </w:footnote>
  <w:footnote w:id="11">
    <w:p w14:paraId="0762153A" w14:textId="428A494D" w:rsidR="001E2DAA" w:rsidRDefault="001E2DAA" w:rsidP="001E2DAA">
      <w:pPr>
        <w:pStyle w:val="FootnoteText"/>
      </w:pPr>
      <w:r>
        <w:rPr>
          <w:rStyle w:val="FootnoteReference"/>
        </w:rPr>
        <w:footnoteRef/>
      </w:r>
      <w:r w:rsidR="7E9CACF8">
        <w:t xml:space="preserve"> Opening Comments of SoCalGas</w:t>
      </w:r>
      <w:r w:rsidR="00250432">
        <w:t xml:space="preserve"> </w:t>
      </w:r>
      <w:r w:rsidR="7E9CACF8">
        <w:t>at 2.</w:t>
      </w:r>
    </w:p>
  </w:footnote>
  <w:footnote w:id="12">
    <w:p w14:paraId="245C07B0" w14:textId="77777777" w:rsidR="001E2DAA" w:rsidRDefault="001E2DAA" w:rsidP="001E2DAA">
      <w:pPr>
        <w:pStyle w:val="FootnoteText"/>
      </w:pPr>
      <w:r>
        <w:rPr>
          <w:rStyle w:val="FootnoteReference"/>
        </w:rPr>
        <w:footnoteRef/>
      </w:r>
      <w:r>
        <w:t xml:space="preserve"> </w:t>
      </w:r>
      <w:r w:rsidRPr="009B7011">
        <w:rPr>
          <w:i/>
          <w:iCs/>
        </w:rPr>
        <w:t>Ibid</w:t>
      </w:r>
      <w:r>
        <w:t>.</w:t>
      </w:r>
    </w:p>
  </w:footnote>
  <w:footnote w:id="13">
    <w:p w14:paraId="799FC11A" w14:textId="604918B0" w:rsidR="001E2DAA" w:rsidRDefault="001E2DAA" w:rsidP="001E2DAA">
      <w:pPr>
        <w:pStyle w:val="FootnoteText"/>
      </w:pPr>
      <w:r>
        <w:rPr>
          <w:rStyle w:val="FootnoteReference"/>
        </w:rPr>
        <w:footnoteRef/>
      </w:r>
      <w:r w:rsidR="7E9CACF8">
        <w:t xml:space="preserve"> Opening Comments of CALSSA</w:t>
      </w:r>
      <w:r w:rsidR="00250432">
        <w:t xml:space="preserve"> </w:t>
      </w:r>
      <w:r w:rsidR="7E9CACF8">
        <w:t>at 5.</w:t>
      </w:r>
    </w:p>
  </w:footnote>
  <w:footnote w:id="14">
    <w:p w14:paraId="00BFFE4E" w14:textId="77777777" w:rsidR="001E2DAA" w:rsidRDefault="001E2DAA" w:rsidP="001E2DAA">
      <w:pPr>
        <w:pStyle w:val="FootnoteText"/>
      </w:pPr>
      <w:r>
        <w:rPr>
          <w:rStyle w:val="FootnoteReference"/>
        </w:rPr>
        <w:footnoteRef/>
      </w:r>
      <w:r>
        <w:t xml:space="preserve"> </w:t>
      </w:r>
      <w:r w:rsidRPr="00F877CF">
        <w:rPr>
          <w:i/>
          <w:iCs/>
        </w:rPr>
        <w:t>Ibid</w:t>
      </w:r>
      <w:r>
        <w:t>.</w:t>
      </w:r>
    </w:p>
  </w:footnote>
  <w:footnote w:id="15">
    <w:p w14:paraId="6E332871" w14:textId="33322D41" w:rsidR="001B74E4" w:rsidRDefault="001B74E4">
      <w:pPr>
        <w:pStyle w:val="FootnoteText"/>
      </w:pPr>
      <w:r>
        <w:rPr>
          <w:rStyle w:val="FootnoteReference"/>
        </w:rPr>
        <w:footnoteRef/>
      </w:r>
      <w:r>
        <w:t xml:space="preserve"> </w:t>
      </w:r>
      <w:r w:rsidR="00C21068">
        <w:t xml:space="preserve">Opening Comments of SDG&amp;E </w:t>
      </w:r>
      <w:r w:rsidR="003046BD">
        <w:t xml:space="preserve">at </w:t>
      </w:r>
      <w:r w:rsidR="00095CE6">
        <w:t>1.</w:t>
      </w:r>
    </w:p>
  </w:footnote>
  <w:footnote w:id="16">
    <w:p w14:paraId="1766AFFE" w14:textId="26FEE7EA" w:rsidR="00F2424E" w:rsidRDefault="00F2424E">
      <w:pPr>
        <w:pStyle w:val="FootnoteText"/>
      </w:pPr>
      <w:r>
        <w:rPr>
          <w:rStyle w:val="FootnoteReference"/>
        </w:rPr>
        <w:footnoteRef/>
      </w:r>
      <w:r>
        <w:t xml:space="preserve"> Opening Comments of PG&amp;E at 2 -3.</w:t>
      </w:r>
    </w:p>
  </w:footnote>
  <w:footnote w:id="17">
    <w:p w14:paraId="073A4BBB" w14:textId="1C13B28F" w:rsidR="0081721A" w:rsidRDefault="0081721A">
      <w:pPr>
        <w:pStyle w:val="FootnoteText"/>
      </w:pPr>
      <w:r>
        <w:rPr>
          <w:rStyle w:val="FootnoteReference"/>
        </w:rPr>
        <w:footnoteRef/>
      </w:r>
      <w:r>
        <w:t xml:space="preserve"> </w:t>
      </w:r>
      <w:r w:rsidR="00E1378E">
        <w:t xml:space="preserve">Opening Comments of </w:t>
      </w:r>
      <w:r w:rsidR="0AD72574">
        <w:t>SoCalGas</w:t>
      </w:r>
      <w:r w:rsidR="00E1378E">
        <w:t xml:space="preserve"> at 3.</w:t>
      </w:r>
    </w:p>
  </w:footnote>
  <w:footnote w:id="18">
    <w:p w14:paraId="662CE13A" w14:textId="71660570" w:rsidR="00DE26F7" w:rsidRDefault="00DE26F7">
      <w:pPr>
        <w:pStyle w:val="FootnoteText"/>
      </w:pPr>
      <w:r>
        <w:rPr>
          <w:rStyle w:val="FootnoteReference"/>
        </w:rPr>
        <w:footnoteRef/>
      </w:r>
      <w:r>
        <w:t xml:space="preserve"> </w:t>
      </w:r>
      <w:r w:rsidRPr="00DE26F7">
        <w:rPr>
          <w:i/>
          <w:iCs/>
        </w:rPr>
        <w:t>Ibid</w:t>
      </w:r>
      <w:r>
        <w:t>.</w:t>
      </w:r>
    </w:p>
  </w:footnote>
  <w:footnote w:id="19">
    <w:p w14:paraId="2B6C92EA" w14:textId="4640AB55" w:rsidR="00976413" w:rsidRDefault="00976413">
      <w:pPr>
        <w:pStyle w:val="FootnoteText"/>
      </w:pPr>
      <w:r>
        <w:rPr>
          <w:rStyle w:val="FootnoteReference"/>
        </w:rPr>
        <w:footnoteRef/>
      </w:r>
      <w:r w:rsidR="7E9CACF8">
        <w:t xml:space="preserve"> SBUA Reply Comments</w:t>
      </w:r>
      <w:r w:rsidR="00250432">
        <w:t xml:space="preserve"> </w:t>
      </w:r>
      <w:r w:rsidR="7E9CACF8">
        <w:t>at 2.</w:t>
      </w:r>
    </w:p>
  </w:footnote>
  <w:footnote w:id="20">
    <w:p w14:paraId="0BF5BF65" w14:textId="2D8A4C37" w:rsidR="00B37F6F" w:rsidRDefault="00B37F6F">
      <w:pPr>
        <w:pStyle w:val="FootnoteText"/>
      </w:pPr>
      <w:r>
        <w:rPr>
          <w:rStyle w:val="FootnoteReference"/>
        </w:rPr>
        <w:footnoteRef/>
      </w:r>
      <w:r w:rsidR="7E9CACF8">
        <w:t xml:space="preserve"> </w:t>
      </w:r>
      <w:r w:rsidR="7E9CACF8" w:rsidRPr="001B3612">
        <w:t>SBUA Reply Comments</w:t>
      </w:r>
      <w:r w:rsidR="00250432">
        <w:t xml:space="preserve"> </w:t>
      </w:r>
      <w:r w:rsidR="7E9CACF8" w:rsidRPr="001B3612">
        <w:t xml:space="preserve">at 2; </w:t>
      </w:r>
      <w:r w:rsidR="7E9CACF8" w:rsidRPr="7E9CACF8">
        <w:rPr>
          <w:i/>
          <w:iCs/>
        </w:rPr>
        <w:t>See also</w:t>
      </w:r>
      <w:r w:rsidR="7E9CACF8">
        <w:t xml:space="preserve"> Opening Comments of SCE</w:t>
      </w:r>
      <w:r w:rsidR="00250432">
        <w:t xml:space="preserve"> </w:t>
      </w:r>
      <w:r w:rsidR="7E9CACF8">
        <w:t>at 5.</w:t>
      </w:r>
    </w:p>
  </w:footnote>
  <w:footnote w:id="21">
    <w:p w14:paraId="0412A552" w14:textId="67B9DC11" w:rsidR="00CC53AC" w:rsidRDefault="00CC53AC">
      <w:pPr>
        <w:pStyle w:val="FootnoteText"/>
      </w:pPr>
      <w:r>
        <w:rPr>
          <w:rStyle w:val="FootnoteReference"/>
        </w:rPr>
        <w:footnoteRef/>
      </w:r>
      <w:r>
        <w:t xml:space="preserve"> Comments of CSE at 3.</w:t>
      </w:r>
    </w:p>
  </w:footnote>
  <w:footnote w:id="22">
    <w:p w14:paraId="4218125B" w14:textId="69513131" w:rsidR="00ED644E" w:rsidRDefault="00ED644E">
      <w:pPr>
        <w:pStyle w:val="FootnoteText"/>
      </w:pPr>
      <w:r>
        <w:rPr>
          <w:rStyle w:val="FootnoteReference"/>
        </w:rPr>
        <w:footnoteRef/>
      </w:r>
      <w:r>
        <w:t xml:space="preserve"> Reply Comments of Free Energy/QCS at 3</w:t>
      </w:r>
      <w:r w:rsidR="00C82645">
        <w:t>-4</w:t>
      </w:r>
      <w:r>
        <w:t>.</w:t>
      </w:r>
    </w:p>
  </w:footnote>
  <w:footnote w:id="23">
    <w:p w14:paraId="0566BE32" w14:textId="1D55E23D" w:rsidR="00ED644E" w:rsidRDefault="00ED644E">
      <w:pPr>
        <w:pStyle w:val="FootnoteText"/>
      </w:pPr>
      <w:r>
        <w:rPr>
          <w:rStyle w:val="FootnoteReference"/>
        </w:rPr>
        <w:footnoteRef/>
      </w:r>
      <w:r>
        <w:t xml:space="preserve"> Opening Comments of SCE at 6.</w:t>
      </w:r>
    </w:p>
  </w:footnote>
  <w:footnote w:id="24">
    <w:p w14:paraId="39C295BE" w14:textId="69753B75" w:rsidR="00376D7E" w:rsidRDefault="00376D7E">
      <w:pPr>
        <w:pStyle w:val="FootnoteText"/>
      </w:pPr>
      <w:r>
        <w:rPr>
          <w:rStyle w:val="FootnoteReference"/>
        </w:rPr>
        <w:footnoteRef/>
      </w:r>
      <w:r>
        <w:t xml:space="preserve"> Opening Comments of PG&amp;E </w:t>
      </w:r>
      <w:r w:rsidR="00092BB1">
        <w:t xml:space="preserve">at </w:t>
      </w:r>
      <w:r>
        <w:t>3.</w:t>
      </w:r>
    </w:p>
  </w:footnote>
  <w:footnote w:id="25">
    <w:p w14:paraId="1F1BBF16" w14:textId="1EF1FF01" w:rsidR="00255AA7" w:rsidRDefault="00255AA7">
      <w:pPr>
        <w:pStyle w:val="FootnoteText"/>
      </w:pPr>
      <w:r>
        <w:rPr>
          <w:rStyle w:val="FootnoteReference"/>
        </w:rPr>
        <w:footnoteRef/>
      </w:r>
      <w:r>
        <w:t xml:space="preserve"> Opening Comments of SCE</w:t>
      </w:r>
      <w:r w:rsidR="00250432">
        <w:t xml:space="preserve"> </w:t>
      </w:r>
      <w:r>
        <w:t>at 8.</w:t>
      </w:r>
    </w:p>
  </w:footnote>
  <w:footnote w:id="26">
    <w:p w14:paraId="2DAD0CED" w14:textId="6EC2AF70" w:rsidR="00414031" w:rsidRDefault="00414031">
      <w:pPr>
        <w:pStyle w:val="FootnoteText"/>
      </w:pPr>
      <w:r>
        <w:rPr>
          <w:rStyle w:val="FootnoteReference"/>
        </w:rPr>
        <w:footnoteRef/>
      </w:r>
      <w:r>
        <w:t xml:space="preserve"> </w:t>
      </w:r>
      <w:r w:rsidRPr="00414031">
        <w:rPr>
          <w:i/>
          <w:iCs/>
        </w:rPr>
        <w:t>Id</w:t>
      </w:r>
      <w:r>
        <w:t>. at 8-9.</w:t>
      </w:r>
    </w:p>
  </w:footnote>
  <w:footnote w:id="27">
    <w:p w14:paraId="421DC38F" w14:textId="3BD2AC1F" w:rsidR="00B566B8" w:rsidRDefault="00B566B8">
      <w:pPr>
        <w:pStyle w:val="FootnoteText"/>
      </w:pPr>
      <w:r>
        <w:rPr>
          <w:rStyle w:val="FootnoteReference"/>
        </w:rPr>
        <w:footnoteRef/>
      </w:r>
      <w:r>
        <w:t xml:space="preserve"> </w:t>
      </w:r>
      <w:r w:rsidR="00C82645">
        <w:rPr>
          <w:i/>
          <w:iCs/>
        </w:rPr>
        <w:t>Id.</w:t>
      </w:r>
      <w:r w:rsidR="00C82645">
        <w:t xml:space="preserve"> at 9. </w:t>
      </w:r>
    </w:p>
  </w:footnote>
  <w:footnote w:id="28">
    <w:p w14:paraId="37E31C9C" w14:textId="1FD00925" w:rsidR="00F0755F" w:rsidRDefault="00F0755F">
      <w:pPr>
        <w:pStyle w:val="FootnoteText"/>
      </w:pPr>
      <w:r>
        <w:rPr>
          <w:rStyle w:val="FootnoteReference"/>
        </w:rPr>
        <w:footnoteRef/>
      </w:r>
      <w:r w:rsidR="7E9CACF8">
        <w:t xml:space="preserve"> Opening Comments of SDG&amp;E at 6.</w:t>
      </w:r>
    </w:p>
  </w:footnote>
  <w:footnote w:id="29">
    <w:p w14:paraId="0F64B44A" w14:textId="72441F8D" w:rsidR="00B15904" w:rsidRDefault="00B15904">
      <w:pPr>
        <w:pStyle w:val="FootnoteText"/>
      </w:pPr>
      <w:r>
        <w:rPr>
          <w:rStyle w:val="FootnoteReference"/>
        </w:rPr>
        <w:footnoteRef/>
      </w:r>
      <w:r>
        <w:t xml:space="preserve"> The additional two years come from the SGIP Project Extension Modifications discussed in Section 3.5.</w:t>
      </w:r>
    </w:p>
  </w:footnote>
  <w:footnote w:id="30">
    <w:p w14:paraId="76ED65E9" w14:textId="2316586C" w:rsidR="006A240D" w:rsidRDefault="006A240D">
      <w:pPr>
        <w:pStyle w:val="FootnoteText"/>
      </w:pPr>
      <w:r>
        <w:rPr>
          <w:rStyle w:val="FootnoteReference"/>
        </w:rPr>
        <w:footnoteRef/>
      </w:r>
      <w:r w:rsidR="7E9CACF8">
        <w:t xml:space="preserve"> Opening Comments SCTCA at 3. </w:t>
      </w:r>
    </w:p>
  </w:footnote>
  <w:footnote w:id="31">
    <w:p w14:paraId="5AFC6BD8" w14:textId="22831B13" w:rsidR="006A4E88" w:rsidRDefault="006A4E88">
      <w:pPr>
        <w:pStyle w:val="FootnoteText"/>
      </w:pPr>
      <w:r>
        <w:rPr>
          <w:rStyle w:val="FootnoteReference"/>
        </w:rPr>
        <w:footnoteRef/>
      </w:r>
      <w:r>
        <w:t xml:space="preserve"> </w:t>
      </w:r>
      <w:r w:rsidRPr="006A4E88">
        <w:rPr>
          <w:i/>
          <w:iCs/>
        </w:rPr>
        <w:t>Ibid</w:t>
      </w:r>
      <w:r>
        <w:t>.</w:t>
      </w:r>
    </w:p>
  </w:footnote>
  <w:footnote w:id="32">
    <w:p w14:paraId="54CD95E9" w14:textId="6EDF4281" w:rsidR="006A4E88" w:rsidRDefault="006A4E88">
      <w:pPr>
        <w:pStyle w:val="FootnoteText"/>
      </w:pPr>
      <w:r>
        <w:rPr>
          <w:rStyle w:val="FootnoteReference"/>
        </w:rPr>
        <w:footnoteRef/>
      </w:r>
      <w:r>
        <w:t xml:space="preserve"> </w:t>
      </w:r>
      <w:r w:rsidRPr="006A4E88">
        <w:rPr>
          <w:i/>
          <w:iCs/>
        </w:rPr>
        <w:t>Ibid</w:t>
      </w:r>
      <w:r>
        <w:t>.</w:t>
      </w:r>
      <w:r w:rsidR="00467565">
        <w:t xml:space="preserve"> </w:t>
      </w:r>
      <w:r w:rsidR="0AD72574">
        <w:t>(</w:t>
      </w:r>
      <w:r w:rsidR="00467565">
        <w:t>SCTCA</w:t>
      </w:r>
      <w:r w:rsidR="0AD72574">
        <w:t>‘s</w:t>
      </w:r>
      <w:r w:rsidR="00467565">
        <w:t xml:space="preserve"> Motion </w:t>
      </w:r>
      <w:r w:rsidR="00D4516C">
        <w:t>for Immediate Relief filed on July 14, 2025 requested a retroactive date of February 1, 2025</w:t>
      </w:r>
      <w:r w:rsidR="0AD72574">
        <w:t>.)</w:t>
      </w:r>
      <w:r w:rsidR="00D4516C">
        <w:t xml:space="preserve"> </w:t>
      </w:r>
    </w:p>
  </w:footnote>
  <w:footnote w:id="33">
    <w:p w14:paraId="2DF722F4" w14:textId="02E77295" w:rsidR="006A4E88" w:rsidRDefault="006A4E88">
      <w:pPr>
        <w:pStyle w:val="FootnoteText"/>
      </w:pPr>
      <w:r>
        <w:rPr>
          <w:rStyle w:val="FootnoteReference"/>
        </w:rPr>
        <w:footnoteRef/>
      </w:r>
      <w:r>
        <w:t xml:space="preserve"> </w:t>
      </w:r>
      <w:r w:rsidRPr="006A4E88">
        <w:rPr>
          <w:i/>
          <w:iCs/>
        </w:rPr>
        <w:t>Ibid</w:t>
      </w:r>
      <w:r>
        <w:t>.</w:t>
      </w:r>
    </w:p>
  </w:footnote>
  <w:footnote w:id="34">
    <w:p w14:paraId="6BBB251F" w14:textId="4442F27E" w:rsidR="00AE32C2" w:rsidRDefault="00AE32C2">
      <w:pPr>
        <w:pStyle w:val="FootnoteText"/>
      </w:pPr>
      <w:r>
        <w:rPr>
          <w:rStyle w:val="FootnoteReference"/>
        </w:rPr>
        <w:footnoteRef/>
      </w:r>
      <w:r>
        <w:t xml:space="preserve"> </w:t>
      </w:r>
      <w:r w:rsidRPr="00AE32C2">
        <w:rPr>
          <w:i/>
          <w:iCs/>
        </w:rPr>
        <w:t>Id</w:t>
      </w:r>
      <w:r>
        <w:t>. at 4</w:t>
      </w:r>
      <w:r w:rsidR="00C06996">
        <w:t>,</w:t>
      </w:r>
      <w:r>
        <w:t xml:space="preserve"> 9.</w:t>
      </w:r>
    </w:p>
  </w:footnote>
  <w:footnote w:id="35">
    <w:p w14:paraId="010FF1C4" w14:textId="26BEDF7E" w:rsidR="0078052E" w:rsidRDefault="0078052E">
      <w:pPr>
        <w:pStyle w:val="FootnoteText"/>
      </w:pPr>
      <w:r>
        <w:rPr>
          <w:rStyle w:val="FootnoteReference"/>
        </w:rPr>
        <w:footnoteRef/>
      </w:r>
      <w:r>
        <w:t xml:space="preserve"> </w:t>
      </w:r>
      <w:r w:rsidRPr="0078052E">
        <w:rPr>
          <w:i/>
          <w:iCs/>
        </w:rPr>
        <w:t>Id</w:t>
      </w:r>
      <w:r>
        <w:t>. at 8.</w:t>
      </w:r>
    </w:p>
  </w:footnote>
  <w:footnote w:id="36">
    <w:p w14:paraId="6F407D96" w14:textId="2FD7861C" w:rsidR="0012773C" w:rsidRDefault="0012773C">
      <w:pPr>
        <w:pStyle w:val="FootnoteText"/>
      </w:pPr>
      <w:r>
        <w:rPr>
          <w:rStyle w:val="FootnoteReference"/>
        </w:rPr>
        <w:footnoteRef/>
      </w:r>
      <w:r>
        <w:t xml:space="preserve"> </w:t>
      </w:r>
      <w:r w:rsidRPr="0012773C">
        <w:t>Reply Comments of SBUA at 3. </w:t>
      </w:r>
    </w:p>
  </w:footnote>
  <w:footnote w:id="37">
    <w:p w14:paraId="6F221503" w14:textId="3AB9BDED" w:rsidR="0078052E" w:rsidRDefault="0078052E">
      <w:pPr>
        <w:pStyle w:val="FootnoteText"/>
      </w:pPr>
      <w:r>
        <w:rPr>
          <w:rStyle w:val="FootnoteReference"/>
        </w:rPr>
        <w:footnoteRef/>
      </w:r>
      <w:r w:rsidR="7E9CACF8">
        <w:t xml:space="preserve"> Opening Comments of CALSSA at 6.</w:t>
      </w:r>
    </w:p>
  </w:footnote>
  <w:footnote w:id="38">
    <w:p w14:paraId="20EFF59F" w14:textId="77777777" w:rsidR="0078052E" w:rsidRDefault="0078052E" w:rsidP="0078052E">
      <w:pPr>
        <w:pStyle w:val="FootnoteText"/>
      </w:pPr>
      <w:r>
        <w:rPr>
          <w:rStyle w:val="FootnoteReference"/>
        </w:rPr>
        <w:footnoteRef/>
      </w:r>
      <w:r>
        <w:t xml:space="preserve"> </w:t>
      </w:r>
      <w:r w:rsidRPr="0078052E">
        <w:rPr>
          <w:i/>
          <w:iCs/>
        </w:rPr>
        <w:t>Ibid</w:t>
      </w:r>
      <w:r>
        <w:t>.</w:t>
      </w:r>
    </w:p>
  </w:footnote>
  <w:footnote w:id="39">
    <w:p w14:paraId="7FF11AA5" w14:textId="465503FC" w:rsidR="0054747F" w:rsidRDefault="0054747F">
      <w:pPr>
        <w:pStyle w:val="FootnoteText"/>
      </w:pPr>
      <w:r>
        <w:rPr>
          <w:rStyle w:val="FootnoteReference"/>
        </w:rPr>
        <w:footnoteRef/>
      </w:r>
      <w:r>
        <w:t xml:space="preserve"> Reply Comments of CSE at </w:t>
      </w:r>
      <w:r w:rsidR="007E130D">
        <w:t>6.</w:t>
      </w:r>
    </w:p>
  </w:footnote>
  <w:footnote w:id="40">
    <w:p w14:paraId="1CA15B4F" w14:textId="575D9EB8" w:rsidR="009F623D" w:rsidRDefault="009F623D">
      <w:pPr>
        <w:pStyle w:val="FootnoteText"/>
      </w:pPr>
      <w:r>
        <w:rPr>
          <w:rStyle w:val="FootnoteReference"/>
        </w:rPr>
        <w:footnoteRef/>
      </w:r>
      <w:r>
        <w:t xml:space="preserve"> </w:t>
      </w:r>
      <w:r w:rsidR="002B7A33" w:rsidRPr="002B7A33">
        <w:rPr>
          <w:i/>
          <w:iCs/>
        </w:rPr>
        <w:t>Id</w:t>
      </w:r>
      <w:r w:rsidR="002B7A33">
        <w:t>. 6-7.</w:t>
      </w:r>
    </w:p>
  </w:footnote>
  <w:footnote w:id="41">
    <w:p w14:paraId="0129B525" w14:textId="7CFF2BD7" w:rsidR="008644CC" w:rsidRDefault="008644CC">
      <w:pPr>
        <w:pStyle w:val="FootnoteText"/>
      </w:pPr>
      <w:r>
        <w:rPr>
          <w:rStyle w:val="FootnoteReference"/>
        </w:rPr>
        <w:footnoteRef/>
      </w:r>
      <w:r>
        <w:t xml:space="preserve"> </w:t>
      </w:r>
      <w:r w:rsidRPr="008644CC">
        <w:t>Reply Comments of Free Energy at 3. </w:t>
      </w:r>
    </w:p>
  </w:footnote>
  <w:footnote w:id="42">
    <w:p w14:paraId="3F88A7D9" w14:textId="72AD4180" w:rsidR="00E4116C" w:rsidRDefault="00E4116C">
      <w:pPr>
        <w:pStyle w:val="FootnoteText"/>
      </w:pPr>
      <w:r>
        <w:rPr>
          <w:rStyle w:val="FootnoteReference"/>
        </w:rPr>
        <w:footnoteRef/>
      </w:r>
      <w:r>
        <w:t xml:space="preserve"> </w:t>
      </w:r>
      <w:r w:rsidRPr="00E4116C">
        <w:t>Opening Comments of CALSSA at 6</w:t>
      </w:r>
      <w:r w:rsidR="008E0419">
        <w:t>-7</w:t>
      </w:r>
      <w:r w:rsidRPr="00E4116C">
        <w:t>. </w:t>
      </w:r>
    </w:p>
  </w:footnote>
  <w:footnote w:id="43">
    <w:p w14:paraId="678DB018" w14:textId="30CC068B" w:rsidR="00245BF6" w:rsidRDefault="00245BF6">
      <w:pPr>
        <w:pStyle w:val="FootnoteText"/>
      </w:pPr>
      <w:r>
        <w:rPr>
          <w:rStyle w:val="FootnoteReference"/>
        </w:rPr>
        <w:footnoteRef/>
      </w:r>
      <w:r>
        <w:t xml:space="preserve"> </w:t>
      </w:r>
      <w:hyperlink r:id="rId1" w:history="1">
        <w:r w:rsidRPr="00FC6385">
          <w:rPr>
            <w:rStyle w:val="Hyperlink"/>
          </w:rPr>
          <w:t xml:space="preserve">SGIP </w:t>
        </w:r>
        <w:r w:rsidR="0AD72574" w:rsidRPr="00FC6385">
          <w:rPr>
            <w:rStyle w:val="Hyperlink"/>
          </w:rPr>
          <w:t>project data</w:t>
        </w:r>
      </w:hyperlink>
      <w:r w:rsidR="0AD72574">
        <w:t xml:space="preserve"> analyzed by ED staff</w:t>
      </w:r>
      <w:r>
        <w:t xml:space="preserve"> on </w:t>
      </w:r>
      <w:r w:rsidR="0AD72574">
        <w:t>July</w:t>
      </w:r>
      <w:r w:rsidR="002E4D68">
        <w:t xml:space="preserve"> </w:t>
      </w:r>
      <w:r>
        <w:t>8</w:t>
      </w:r>
      <w:r w:rsidR="0AD72574">
        <w:t>,</w:t>
      </w:r>
      <w:r>
        <w:t>2025.</w:t>
      </w:r>
    </w:p>
  </w:footnote>
  <w:footnote w:id="44">
    <w:p w14:paraId="36C0E685" w14:textId="7BB12F88" w:rsidR="00B63A37" w:rsidRDefault="00B63A37">
      <w:pPr>
        <w:pStyle w:val="FootnoteText"/>
      </w:pPr>
      <w:r>
        <w:rPr>
          <w:rStyle w:val="FootnoteReference"/>
        </w:rPr>
        <w:footnoteRef/>
      </w:r>
      <w:r>
        <w:t xml:space="preserve"> D.24-03-071 at </w:t>
      </w:r>
      <w:r w:rsidR="00CA7267">
        <w:t xml:space="preserve">69 and 75. </w:t>
      </w:r>
    </w:p>
  </w:footnote>
  <w:footnote w:id="45">
    <w:p w14:paraId="2214C930" w14:textId="48D46DB0" w:rsidR="00307719" w:rsidRDefault="00307719">
      <w:pPr>
        <w:pStyle w:val="FootnoteText"/>
      </w:pPr>
      <w:r>
        <w:rPr>
          <w:rStyle w:val="FootnoteReference"/>
        </w:rPr>
        <w:footnoteRef/>
      </w:r>
      <w:r>
        <w:t xml:space="preserve"> SGIP</w:t>
      </w:r>
      <w:r w:rsidR="00580E56">
        <w:t xml:space="preserve"> Database</w:t>
      </w:r>
      <w:r>
        <w:t xml:space="preserve"> </w:t>
      </w:r>
      <w:r w:rsidR="0072793F">
        <w:t>p</w:t>
      </w:r>
      <w:r>
        <w:t xml:space="preserve">roject </w:t>
      </w:r>
      <w:r w:rsidR="0072793F">
        <w:t>d</w:t>
      </w:r>
      <w:r>
        <w:t xml:space="preserve">ata </w:t>
      </w:r>
      <w:r w:rsidR="0072793F">
        <w:t>a</w:t>
      </w:r>
      <w:r>
        <w:t xml:space="preserve">nalyzed </w:t>
      </w:r>
      <w:r w:rsidR="0072793F">
        <w:t xml:space="preserve">by ED Staff </w:t>
      </w:r>
      <w:r>
        <w:t>on</w:t>
      </w:r>
      <w:r w:rsidR="0072793F">
        <w:t xml:space="preserve"> July, </w:t>
      </w:r>
      <w:r>
        <w:t>8</w:t>
      </w:r>
      <w:r w:rsidR="0072793F">
        <w:t xml:space="preserve"> </w:t>
      </w:r>
      <w:r>
        <w:t>2025.</w:t>
      </w:r>
    </w:p>
  </w:footnote>
  <w:footnote w:id="46">
    <w:p w14:paraId="6039236A" w14:textId="116472F0" w:rsidR="001C3CBB" w:rsidRDefault="001C3CBB">
      <w:pPr>
        <w:pStyle w:val="FootnoteText"/>
      </w:pPr>
      <w:r>
        <w:rPr>
          <w:rStyle w:val="FootnoteReference"/>
        </w:rPr>
        <w:footnoteRef/>
      </w:r>
      <w:r>
        <w:t xml:space="preserve"> </w:t>
      </w:r>
      <w:r w:rsidR="00E15875" w:rsidRPr="00E15875">
        <w:t>D.21-03-009.</w:t>
      </w:r>
    </w:p>
  </w:footnote>
  <w:footnote w:id="47">
    <w:p w14:paraId="47E6BC11" w14:textId="3AD13DCD" w:rsidR="0AD72574" w:rsidRDefault="0AD72574" w:rsidP="00116D9D">
      <w:pPr>
        <w:pStyle w:val="FootnoteText"/>
      </w:pPr>
      <w:r w:rsidRPr="0AD72574">
        <w:rPr>
          <w:rStyle w:val="FootnoteReference"/>
        </w:rPr>
        <w:footnoteRef/>
      </w:r>
      <w:r>
        <w:t xml:space="preserve"> All references to the Assigned Commissioner’s Ruling hereafter refer to the Assigned Commissioner’s Ruling on July 7, 2025.</w:t>
      </w:r>
    </w:p>
  </w:footnote>
  <w:footnote w:id="48">
    <w:p w14:paraId="1C1F51FB" w14:textId="71D6A3B5" w:rsidR="12A55906" w:rsidRDefault="12A55906" w:rsidP="12A55906">
      <w:pPr>
        <w:pStyle w:val="FootnoteText"/>
      </w:pPr>
      <w:r w:rsidRPr="12A55906">
        <w:rPr>
          <w:rStyle w:val="FootnoteReference"/>
        </w:rPr>
        <w:footnoteRef/>
      </w:r>
      <w:r w:rsidR="0AD72574">
        <w:t xml:space="preserve"> Opening</w:t>
      </w:r>
      <w:r>
        <w:t xml:space="preserve"> Comments of</w:t>
      </w:r>
      <w:r w:rsidR="0AD72574">
        <w:t xml:space="preserve"> PG&amp;E</w:t>
      </w:r>
      <w:r>
        <w:t xml:space="preserve"> </w:t>
      </w:r>
      <w:r w:rsidR="7173E954">
        <w:t xml:space="preserve">July 15, </w:t>
      </w:r>
      <w:r w:rsidR="34F75C1D">
        <w:t>2025 at 2</w:t>
      </w:r>
      <w:r w:rsidR="30BA5D4A">
        <w:t>.</w:t>
      </w:r>
      <w:r w:rsidR="7173E954">
        <w:t xml:space="preserve"> </w:t>
      </w:r>
    </w:p>
  </w:footnote>
  <w:footnote w:id="49">
    <w:p w14:paraId="2B49C0FE" w14:textId="13FE41A1" w:rsidR="008D52A7" w:rsidRDefault="008D52A7">
      <w:pPr>
        <w:pStyle w:val="FootnoteText"/>
      </w:pPr>
      <w:r>
        <w:rPr>
          <w:rStyle w:val="FootnoteReference"/>
        </w:rPr>
        <w:footnoteRef/>
      </w:r>
      <w:r>
        <w:t xml:space="preserve"> </w:t>
      </w:r>
      <w:r w:rsidRPr="00116D9D">
        <w:rPr>
          <w:i/>
          <w:iCs/>
        </w:rPr>
        <w:t>Id</w:t>
      </w:r>
      <w:r>
        <w:t xml:space="preserve">. at </w:t>
      </w:r>
      <w:r w:rsidR="00403474">
        <w:t>7.</w:t>
      </w:r>
    </w:p>
  </w:footnote>
  <w:footnote w:id="50">
    <w:p w14:paraId="48C4B3A3" w14:textId="6B9A46B2" w:rsidR="1C67F429" w:rsidRDefault="1C67F429" w:rsidP="1C67F429">
      <w:pPr>
        <w:pStyle w:val="FootnoteText"/>
      </w:pPr>
      <w:r w:rsidRPr="1C67F429">
        <w:rPr>
          <w:rStyle w:val="FootnoteReference"/>
        </w:rPr>
        <w:footnoteRef/>
      </w:r>
      <w:r>
        <w:t xml:space="preserve"> </w:t>
      </w:r>
      <w:r w:rsidRPr="1C67F429">
        <w:rPr>
          <w:i/>
          <w:iCs/>
        </w:rPr>
        <w:t>Id</w:t>
      </w:r>
      <w:r>
        <w:t>. at 6.</w:t>
      </w:r>
    </w:p>
  </w:footnote>
  <w:footnote w:id="51">
    <w:p w14:paraId="47B768D3" w14:textId="599635F0" w:rsidR="1C67F429" w:rsidRDefault="1C67F429" w:rsidP="1C67F429">
      <w:pPr>
        <w:pStyle w:val="FootnoteText"/>
      </w:pPr>
      <w:r w:rsidRPr="1C67F429">
        <w:rPr>
          <w:rStyle w:val="FootnoteReference"/>
        </w:rPr>
        <w:footnoteRef/>
      </w:r>
      <w:r>
        <w:t xml:space="preserve"> Response of S</w:t>
      </w:r>
      <w:r w:rsidR="0AD72574">
        <w:t>CE</w:t>
      </w:r>
      <w:r>
        <w:t xml:space="preserve"> to the Assigned Commissioner’s Ruling, at 1</w:t>
      </w:r>
      <w:r w:rsidR="0AD72574">
        <w:t xml:space="preserve"> and</w:t>
      </w:r>
      <w:r>
        <w:t xml:space="preserve"> 5.</w:t>
      </w:r>
    </w:p>
  </w:footnote>
  <w:footnote w:id="52">
    <w:p w14:paraId="322B87CA" w14:textId="5B118F8C" w:rsidR="1C67F429" w:rsidRDefault="1C67F429" w:rsidP="1C67F429">
      <w:pPr>
        <w:pStyle w:val="FootnoteText"/>
      </w:pPr>
      <w:r w:rsidRPr="1C67F429">
        <w:rPr>
          <w:rStyle w:val="FootnoteReference"/>
        </w:rPr>
        <w:footnoteRef/>
      </w:r>
      <w:r>
        <w:t xml:space="preserve"> Comments of </w:t>
      </w:r>
      <w:r w:rsidR="0AD72574">
        <w:t>CSE</w:t>
      </w:r>
      <w:r>
        <w:t xml:space="preserve"> to the Assigned Commissioner’s Ruling at 3.</w:t>
      </w:r>
    </w:p>
  </w:footnote>
  <w:footnote w:id="53">
    <w:p w14:paraId="1E2FABE4" w14:textId="169BC592" w:rsidR="1C67F429" w:rsidRDefault="1C67F429" w:rsidP="1C67F429">
      <w:pPr>
        <w:pStyle w:val="FootnoteText"/>
      </w:pPr>
      <w:r w:rsidRPr="1C67F429">
        <w:rPr>
          <w:rStyle w:val="FootnoteReference"/>
        </w:rPr>
        <w:footnoteRef/>
      </w:r>
      <w:r>
        <w:t xml:space="preserve"> Opening Comments of The California Efficiency + Demand Management Council and Leap Frog Power, Inc.</w:t>
      </w:r>
      <w:r w:rsidR="00250432">
        <w:t xml:space="preserve"> </w:t>
      </w:r>
      <w:r>
        <w:t>on Assigned Commissioner’s Ruling at 6</w:t>
      </w:r>
      <w:r w:rsidR="0AD72574">
        <w:t xml:space="preserve"> and</w:t>
      </w:r>
      <w:r w:rsidR="007356F7">
        <w:t xml:space="preserve"> </w:t>
      </w:r>
      <w:r>
        <w:t>7.</w:t>
      </w:r>
    </w:p>
  </w:footnote>
  <w:footnote w:id="54">
    <w:p w14:paraId="5829D048" w14:textId="60D949D1" w:rsidR="1C67F429" w:rsidRDefault="1C67F429" w:rsidP="1C67F429">
      <w:pPr>
        <w:pStyle w:val="FootnoteText"/>
      </w:pPr>
      <w:r w:rsidRPr="1C67F429">
        <w:rPr>
          <w:rStyle w:val="FootnoteReference"/>
        </w:rPr>
        <w:footnoteRef/>
      </w:r>
      <w:r w:rsidR="7E9CACF8">
        <w:t xml:space="preserve"> Comments of the CALSSA July 15, 2025 at 7.</w:t>
      </w:r>
    </w:p>
  </w:footnote>
  <w:footnote w:id="55">
    <w:p w14:paraId="5CC34EA6" w14:textId="72D4789C" w:rsidR="0AD72574" w:rsidRDefault="0AD72574" w:rsidP="00116D9D">
      <w:pPr>
        <w:pStyle w:val="FootnoteText"/>
      </w:pPr>
      <w:r w:rsidRPr="0AD72574">
        <w:rPr>
          <w:rStyle w:val="FootnoteReference"/>
        </w:rPr>
        <w:footnoteRef/>
      </w:r>
      <w:r>
        <w:t xml:space="preserve"> </w:t>
      </w:r>
      <w:r w:rsidRPr="0AD72574">
        <w:rPr>
          <w:rFonts w:eastAsia="Book Antiqua" w:cs="Book Antiqua"/>
          <w:sz w:val="26"/>
          <w:szCs w:val="26"/>
        </w:rPr>
        <w:t>J</w:t>
      </w:r>
      <w:r w:rsidRPr="00723E27">
        <w:rPr>
          <w:rFonts w:eastAsia="Book Antiqua" w:cs="Book Antiqua"/>
          <w:szCs w:val="22"/>
        </w:rPr>
        <w:t>oint Comments of Ava Community Energy, California Choice Energy Authority, Clean Energy Alliance, Clean Power Alliance of Southern California, Marin Clean Energy, Peninsula Clean Energy Authority, Sonoma Clean Power Authority, San Diego Community Power and The City of San Jose on the Assigned Commissioner’s Ruling at ii.</w:t>
      </w:r>
    </w:p>
  </w:footnote>
  <w:footnote w:id="56">
    <w:p w14:paraId="2241945B" w14:textId="6D55482D" w:rsidR="1C67F429" w:rsidRDefault="1C67F429" w:rsidP="1C67F429">
      <w:pPr>
        <w:pStyle w:val="FootnoteText"/>
      </w:pPr>
      <w:r w:rsidRPr="1C67F429">
        <w:rPr>
          <w:rStyle w:val="FootnoteReference"/>
        </w:rPr>
        <w:footnoteRef/>
      </w:r>
      <w:r w:rsidR="7E9CACF8">
        <w:t xml:space="preserve"> Comments of SDG&amp;E on Assigned Commissioner’s Ruling at 1, Comments of GRID Alternatives at 2, Opening Comments of Vote Solar on Assigned Commissioner’s Ruling at 1.</w:t>
      </w:r>
    </w:p>
  </w:footnote>
  <w:footnote w:id="57">
    <w:p w14:paraId="4D5F8898" w14:textId="51DE2DE6" w:rsidR="1C67F429" w:rsidRDefault="1C67F429" w:rsidP="1C67F429">
      <w:pPr>
        <w:pStyle w:val="FootnoteText"/>
      </w:pPr>
      <w:r w:rsidRPr="1C67F429">
        <w:rPr>
          <w:rStyle w:val="FootnoteReference"/>
        </w:rPr>
        <w:footnoteRef/>
      </w:r>
      <w:r>
        <w:t xml:space="preserve"> Opening Comments of </w:t>
      </w:r>
      <w:r w:rsidR="0AD72574">
        <w:t>SoCalGas on Assigned Commissioner</w:t>
      </w:r>
      <w:r w:rsidR="00116D9D">
        <w:t>’</w:t>
      </w:r>
      <w:r w:rsidR="0AD72574">
        <w:t>s Ruling</w:t>
      </w:r>
      <w:r>
        <w:t xml:space="preserve"> at 1. </w:t>
      </w:r>
    </w:p>
  </w:footnote>
  <w:footnote w:id="58">
    <w:p w14:paraId="3C4F87A6" w14:textId="208054A7" w:rsidR="008A3D47" w:rsidRDefault="008A3D47">
      <w:pPr>
        <w:pStyle w:val="FootnoteText"/>
      </w:pPr>
      <w:r>
        <w:rPr>
          <w:rStyle w:val="FootnoteReference"/>
        </w:rPr>
        <w:footnoteRef/>
      </w:r>
      <w:r>
        <w:t xml:space="preserve"> </w:t>
      </w:r>
      <w:r w:rsidR="00015A66">
        <w:t>Assigned Commissioner’s Ruling on July 7, 2025 at 3.</w:t>
      </w:r>
    </w:p>
  </w:footnote>
  <w:footnote w:id="59">
    <w:p w14:paraId="00391D4B" w14:textId="77777777" w:rsidR="000822A1" w:rsidRDefault="000822A1" w:rsidP="000822A1">
      <w:pPr>
        <w:pStyle w:val="FootnoteText"/>
      </w:pPr>
      <w:r w:rsidRPr="1C67F429">
        <w:rPr>
          <w:rStyle w:val="FootnoteReference"/>
        </w:rPr>
        <w:footnoteRef/>
      </w:r>
      <w:r>
        <w:t xml:space="preserve"> Opening Comments of SoCalGas on Ruling Requesting Comments on Assigned Commissioner‘s Ruling at 3. </w:t>
      </w:r>
    </w:p>
  </w:footnote>
  <w:footnote w:id="60">
    <w:p w14:paraId="66C98884" w14:textId="66EFDE6D" w:rsidR="006A7E71" w:rsidRDefault="006A7E71">
      <w:pPr>
        <w:pStyle w:val="FootnoteText"/>
      </w:pPr>
      <w:r>
        <w:rPr>
          <w:rStyle w:val="FootnoteReference"/>
        </w:rPr>
        <w:footnoteRef/>
      </w:r>
      <w:r>
        <w:t xml:space="preserve"> </w:t>
      </w:r>
      <w:r w:rsidR="00F848BD">
        <w:t xml:space="preserve">Opening Comments of PG&amp;E at </w:t>
      </w:r>
      <w:r w:rsidR="00010974">
        <w:t>4</w:t>
      </w:r>
      <w:r w:rsidR="00F848BD">
        <w:t>.</w:t>
      </w:r>
    </w:p>
  </w:footnote>
  <w:footnote w:id="61">
    <w:p w14:paraId="789E2868" w14:textId="585E172B" w:rsidR="00C63E38" w:rsidRDefault="00C63E38">
      <w:pPr>
        <w:pStyle w:val="FootnoteText"/>
      </w:pPr>
      <w:r>
        <w:rPr>
          <w:rStyle w:val="FootnoteReference"/>
        </w:rPr>
        <w:footnoteRef/>
      </w:r>
      <w:r>
        <w:t xml:space="preserve"> </w:t>
      </w:r>
      <w:r w:rsidRPr="00C63E38">
        <w:rPr>
          <w:i/>
          <w:iCs/>
        </w:rPr>
        <w:t>Ibid</w:t>
      </w:r>
      <w:r>
        <w:t>.</w:t>
      </w:r>
    </w:p>
  </w:footnote>
  <w:footnote w:id="62">
    <w:p w14:paraId="6E5EECC0" w14:textId="61949010" w:rsidR="00927FA2" w:rsidRDefault="00927FA2">
      <w:pPr>
        <w:pStyle w:val="FootnoteText"/>
      </w:pPr>
      <w:r>
        <w:rPr>
          <w:rStyle w:val="FootnoteReference"/>
        </w:rPr>
        <w:footnoteRef/>
      </w:r>
      <w:r>
        <w:t xml:space="preserve"> </w:t>
      </w:r>
      <w:r w:rsidR="00F26B7F" w:rsidRPr="00F26B7F">
        <w:rPr>
          <w:i/>
          <w:iCs/>
        </w:rPr>
        <w:t>Ibid</w:t>
      </w:r>
      <w:r w:rsidR="00F26B7F">
        <w:t>.</w:t>
      </w:r>
    </w:p>
  </w:footnote>
  <w:footnote w:id="63">
    <w:p w14:paraId="5E07627B" w14:textId="50ED593C" w:rsidR="005E2B6D" w:rsidRDefault="005E2B6D" w:rsidP="005E2B6D">
      <w:pPr>
        <w:pStyle w:val="FootnoteText"/>
      </w:pPr>
      <w:r>
        <w:rPr>
          <w:rStyle w:val="FootnoteReference"/>
        </w:rPr>
        <w:footnoteRef/>
      </w:r>
      <w:r>
        <w:t xml:space="preserve"> </w:t>
      </w:r>
      <w:r w:rsidRPr="00E412C1">
        <w:t xml:space="preserve">Assigned Commissioner’s Ruling </w:t>
      </w:r>
      <w:r w:rsidR="0AD72574" w:rsidRPr="00E412C1">
        <w:t xml:space="preserve">in </w:t>
      </w:r>
      <w:r w:rsidR="0AD72574">
        <w:t>R.12-11-005, on November 8, 20212,</w:t>
      </w:r>
      <w:r w:rsidR="0AD72574" w:rsidRPr="00E412C1">
        <w:t xml:space="preserve"> p</w:t>
      </w:r>
      <w:r w:rsidRPr="00E412C1">
        <w:t xml:space="preserve">ursuant to Decision 02-09-051 Reducing the Frequency of the Renewable Fuel Use Reports for the Self-Generation Incentive Program. </w:t>
      </w:r>
    </w:p>
  </w:footnote>
  <w:footnote w:id="64">
    <w:p w14:paraId="00EC2DFE" w14:textId="4FCE2F65" w:rsidR="005E2B6D" w:rsidRDefault="005E2B6D">
      <w:pPr>
        <w:pStyle w:val="FootnoteText"/>
      </w:pPr>
      <w:r>
        <w:rPr>
          <w:rStyle w:val="FootnoteReference"/>
        </w:rPr>
        <w:footnoteRef/>
      </w:r>
      <w:r>
        <w:t xml:space="preserve"> </w:t>
      </w:r>
      <w:r w:rsidR="00790A4E" w:rsidRPr="00790A4E">
        <w:t>SGIP Handbook 2024 at 63.</w:t>
      </w:r>
    </w:p>
  </w:footnote>
  <w:footnote w:id="65">
    <w:p w14:paraId="68D208AD" w14:textId="77777777" w:rsidR="00497A6A" w:rsidRDefault="00497A6A" w:rsidP="00497A6A">
      <w:pPr>
        <w:pStyle w:val="FootnoteText"/>
      </w:pPr>
      <w:r>
        <w:rPr>
          <w:rStyle w:val="FootnoteReference"/>
        </w:rPr>
        <w:footnoteRef/>
      </w:r>
      <w:r>
        <w:t xml:space="preserve"> </w:t>
      </w:r>
      <w:r w:rsidRPr="002444BC">
        <w:t>D.16-06-055 at 47</w:t>
      </w:r>
      <w:r>
        <w:t>.</w:t>
      </w:r>
    </w:p>
  </w:footnote>
  <w:footnote w:id="66">
    <w:p w14:paraId="10E6EB4A" w14:textId="1D4F20BB" w:rsidR="00497A6A" w:rsidRDefault="00497A6A">
      <w:pPr>
        <w:pStyle w:val="FootnoteText"/>
      </w:pPr>
      <w:r>
        <w:rPr>
          <w:rStyle w:val="FootnoteReference"/>
        </w:rPr>
        <w:footnoteRef/>
      </w:r>
      <w:r>
        <w:t xml:space="preserve"> </w:t>
      </w:r>
      <w:r w:rsidRPr="00497A6A">
        <w:rPr>
          <w:i/>
          <w:iCs/>
        </w:rPr>
        <w:t>Ibid</w:t>
      </w:r>
      <w:r>
        <w:t>.</w:t>
      </w:r>
    </w:p>
  </w:footnote>
  <w:footnote w:id="67">
    <w:p w14:paraId="6169A3AB" w14:textId="702070C0" w:rsidR="00CB0943" w:rsidRDefault="00CB0943">
      <w:pPr>
        <w:pStyle w:val="FootnoteText"/>
      </w:pPr>
      <w:r>
        <w:rPr>
          <w:rStyle w:val="FootnoteReference"/>
        </w:rPr>
        <w:footnoteRef/>
      </w:r>
      <w:r>
        <w:t xml:space="preserve"> </w:t>
      </w:r>
      <w:r w:rsidRPr="00CB0943">
        <w:rPr>
          <w:i/>
          <w:iCs/>
        </w:rPr>
        <w:t>Ibid</w:t>
      </w:r>
      <w:r>
        <w:t>.</w:t>
      </w:r>
    </w:p>
  </w:footnote>
  <w:footnote w:id="68">
    <w:p w14:paraId="70EFEA4C" w14:textId="0417A1B5" w:rsidR="002C2166" w:rsidRDefault="002C2166">
      <w:pPr>
        <w:pStyle w:val="FootnoteText"/>
      </w:pPr>
      <w:r>
        <w:rPr>
          <w:rStyle w:val="FootnoteReference"/>
        </w:rPr>
        <w:footnoteRef/>
      </w:r>
      <w:r>
        <w:t xml:space="preserve"> </w:t>
      </w:r>
      <w:r w:rsidR="00E018E6">
        <w:t>Opening Comments of SCE at 7.</w:t>
      </w:r>
    </w:p>
  </w:footnote>
  <w:footnote w:id="69">
    <w:p w14:paraId="3F8F2FAF" w14:textId="552DA7B3" w:rsidR="00DC0DD2" w:rsidRDefault="00DC0DD2">
      <w:pPr>
        <w:pStyle w:val="FootnoteText"/>
      </w:pPr>
      <w:r>
        <w:rPr>
          <w:rStyle w:val="FootnoteReference"/>
        </w:rPr>
        <w:footnoteRef/>
      </w:r>
      <w:r>
        <w:t xml:space="preserve"> Opening Comments of </w:t>
      </w:r>
      <w:r w:rsidR="0AD72574">
        <w:t>SoCalGas</w:t>
      </w:r>
      <w:r>
        <w:t xml:space="preserve"> at 5.</w:t>
      </w:r>
    </w:p>
  </w:footnote>
  <w:footnote w:id="70">
    <w:p w14:paraId="1DC34C5A" w14:textId="65AE619D" w:rsidR="00F66FFD" w:rsidRDefault="00F66FFD">
      <w:pPr>
        <w:pStyle w:val="FootnoteText"/>
      </w:pPr>
      <w:r>
        <w:rPr>
          <w:rStyle w:val="FootnoteReference"/>
        </w:rPr>
        <w:footnoteRef/>
      </w:r>
      <w:r w:rsidR="0AD72574">
        <w:t xml:space="preserve"> Opening</w:t>
      </w:r>
      <w:r>
        <w:t xml:space="preserve"> Comments of CSE at </w:t>
      </w:r>
      <w:r w:rsidR="00D75394">
        <w:t>4</w:t>
      </w:r>
      <w:r>
        <w:t>.</w:t>
      </w:r>
    </w:p>
  </w:footnote>
  <w:footnote w:id="71">
    <w:p w14:paraId="21790607" w14:textId="7C89DCE5" w:rsidR="00AC2E52" w:rsidRDefault="00AC2E52">
      <w:pPr>
        <w:pStyle w:val="FootnoteText"/>
      </w:pPr>
      <w:r>
        <w:rPr>
          <w:rStyle w:val="FootnoteReference"/>
        </w:rPr>
        <w:footnoteRef/>
      </w:r>
      <w:r>
        <w:t xml:space="preserve"> Opening Comments of PG&amp;E at 5</w:t>
      </w:r>
      <w:r w:rsidR="00777569">
        <w:t>; Opening Comments of SDG&amp;E at 5.</w:t>
      </w:r>
    </w:p>
  </w:footnote>
  <w:footnote w:id="72">
    <w:p w14:paraId="040694E0" w14:textId="7902CB53" w:rsidR="008D577F" w:rsidRDefault="008D577F" w:rsidP="008D577F">
      <w:pPr>
        <w:pStyle w:val="FootnoteText"/>
      </w:pPr>
      <w:r w:rsidRPr="0E25C349">
        <w:rPr>
          <w:rStyle w:val="FootnoteReference"/>
        </w:rPr>
        <w:footnoteRef/>
      </w:r>
      <w:r>
        <w:t xml:space="preserve"> Opening Comments of SCE at 7.</w:t>
      </w:r>
    </w:p>
  </w:footnote>
  <w:footnote w:id="73">
    <w:p w14:paraId="5B122D24" w14:textId="69875A99" w:rsidR="00F03D7F" w:rsidRDefault="00F03D7F">
      <w:pPr>
        <w:pStyle w:val="FootnoteText"/>
      </w:pPr>
      <w:r>
        <w:rPr>
          <w:rStyle w:val="FootnoteReference"/>
        </w:rPr>
        <w:footnoteRef/>
      </w:r>
      <w:r w:rsidR="0AD72574">
        <w:t xml:space="preserve"> Opening</w:t>
      </w:r>
      <w:r>
        <w:t xml:space="preserve"> </w:t>
      </w:r>
      <w:r w:rsidR="0046440B">
        <w:t xml:space="preserve">Comments of CSE at 7; Opening Comments of </w:t>
      </w:r>
      <w:r w:rsidR="0AD72574">
        <w:t>SoCalGas</w:t>
      </w:r>
      <w:r w:rsidR="0046440B">
        <w:t xml:space="preserve"> at </w:t>
      </w:r>
      <w:r w:rsidR="00E64FA3">
        <w:t>6</w:t>
      </w:r>
      <w:r w:rsidR="0046440B">
        <w:t>.</w:t>
      </w:r>
    </w:p>
  </w:footnote>
  <w:footnote w:id="74">
    <w:p w14:paraId="624F7B9C" w14:textId="27FC91E9" w:rsidR="00FA3206" w:rsidRDefault="00FA3206">
      <w:pPr>
        <w:pStyle w:val="FootnoteText"/>
      </w:pPr>
      <w:r>
        <w:rPr>
          <w:rStyle w:val="FootnoteReference"/>
        </w:rPr>
        <w:footnoteRef/>
      </w:r>
      <w:r w:rsidR="0AD72574">
        <w:t xml:space="preserve"> Opening</w:t>
      </w:r>
      <w:r>
        <w:t xml:space="preserve"> </w:t>
      </w:r>
      <w:r w:rsidR="001A1346">
        <w:t xml:space="preserve">Comments of CALSSA at </w:t>
      </w:r>
      <w:r w:rsidR="009A0D3F">
        <w:t xml:space="preserve">3; </w:t>
      </w:r>
      <w:r w:rsidR="006730B9">
        <w:t>Reply Comments of GRID at 3.</w:t>
      </w:r>
    </w:p>
  </w:footnote>
  <w:footnote w:id="75">
    <w:p w14:paraId="6DA55533" w14:textId="7304C194" w:rsidR="00FB500C" w:rsidRDefault="00FB500C">
      <w:pPr>
        <w:pStyle w:val="FootnoteText"/>
      </w:pPr>
      <w:r>
        <w:rPr>
          <w:rStyle w:val="FootnoteReference"/>
        </w:rPr>
        <w:footnoteRef/>
      </w:r>
      <w:r>
        <w:t xml:space="preserve"> </w:t>
      </w:r>
      <w:r w:rsidR="00B627E3">
        <w:t xml:space="preserve">Reply Comments </w:t>
      </w:r>
      <w:r w:rsidR="00B94815">
        <w:t xml:space="preserve">of CALSSA </w:t>
      </w:r>
      <w:r w:rsidR="007D6EF4">
        <w:t xml:space="preserve">at </w:t>
      </w:r>
      <w:r w:rsidR="00385A10">
        <w:t>2.</w:t>
      </w:r>
    </w:p>
  </w:footnote>
  <w:footnote w:id="76">
    <w:p w14:paraId="2DC2E7A5" w14:textId="09F2DE04" w:rsidR="00B327D7" w:rsidRDefault="00B327D7">
      <w:pPr>
        <w:pStyle w:val="FootnoteText"/>
      </w:pPr>
      <w:r>
        <w:rPr>
          <w:rStyle w:val="FootnoteReference"/>
        </w:rPr>
        <w:footnoteRef/>
      </w:r>
      <w:r>
        <w:t xml:space="preserve"> </w:t>
      </w:r>
      <w:r w:rsidR="00DF3A05">
        <w:t>Reply Comments of CSE at 4.</w:t>
      </w:r>
    </w:p>
  </w:footnote>
  <w:footnote w:id="77">
    <w:p w14:paraId="09E93D3E" w14:textId="712D22BA" w:rsidR="000C445C" w:rsidRDefault="000C445C">
      <w:pPr>
        <w:pStyle w:val="FootnoteText"/>
      </w:pPr>
      <w:r>
        <w:rPr>
          <w:rStyle w:val="FootnoteReference"/>
        </w:rPr>
        <w:footnoteRef/>
      </w:r>
      <w:r>
        <w:t xml:space="preserve"> </w:t>
      </w:r>
      <w:r w:rsidR="00590C80">
        <w:t xml:space="preserve">Opening Comments of SDG&amp;E at </w:t>
      </w:r>
      <w:r w:rsidR="005B6FC8">
        <w:t>7</w:t>
      </w:r>
      <w:r w:rsidR="00590C80">
        <w:t>.</w:t>
      </w:r>
    </w:p>
  </w:footnote>
  <w:footnote w:id="78">
    <w:p w14:paraId="64BC76E8" w14:textId="29CEF005" w:rsidR="006825CC" w:rsidRDefault="006825CC">
      <w:pPr>
        <w:pStyle w:val="FootnoteText"/>
      </w:pPr>
      <w:r>
        <w:rPr>
          <w:rStyle w:val="FootnoteReference"/>
        </w:rPr>
        <w:footnoteRef/>
      </w:r>
      <w:r>
        <w:t xml:space="preserve"> Opening Comments of PG&amp;E at </w:t>
      </w:r>
      <w:r w:rsidR="00273F50">
        <w:t>6</w:t>
      </w:r>
      <w:r>
        <w:t>.</w:t>
      </w:r>
    </w:p>
  </w:footnote>
  <w:footnote w:id="79">
    <w:p w14:paraId="4FE7B27D" w14:textId="796EFC3D" w:rsidR="50714DCE" w:rsidRDefault="50714DCE" w:rsidP="3621528B">
      <w:pPr>
        <w:pStyle w:val="FootnoteText"/>
      </w:pPr>
      <w:r w:rsidRPr="50714DCE">
        <w:rPr>
          <w:rStyle w:val="FootnoteReference"/>
        </w:rPr>
        <w:footnoteRef/>
      </w:r>
      <w:r w:rsidR="3621528B">
        <w:t xml:space="preserve"> Opening Comments of SCE at </w:t>
      </w:r>
      <w:r w:rsidR="00B802EC">
        <w:t>8</w:t>
      </w:r>
      <w:r w:rsidR="3621528B">
        <w:t xml:space="preserve">; </w:t>
      </w:r>
      <w:r w:rsidR="0AD72574">
        <w:t xml:space="preserve">Opening </w:t>
      </w:r>
      <w:r w:rsidR="3621528B">
        <w:t>Comments of CSE at 7</w:t>
      </w:r>
      <w:r w:rsidR="00EE5496">
        <w:t>-8</w:t>
      </w:r>
      <w:r w:rsidR="3621528B">
        <w:t>.</w:t>
      </w:r>
    </w:p>
  </w:footnote>
  <w:footnote w:id="80">
    <w:p w14:paraId="61F72FDC" w14:textId="2A5DB548" w:rsidR="3621528B" w:rsidRDefault="3621528B" w:rsidP="3621528B">
      <w:pPr>
        <w:pStyle w:val="FootnoteText"/>
      </w:pPr>
      <w:r w:rsidRPr="3621528B">
        <w:rPr>
          <w:rStyle w:val="FootnoteReference"/>
        </w:rPr>
        <w:footnoteRef/>
      </w:r>
      <w:r w:rsidR="0AD72574">
        <w:t xml:space="preserve"> Opening</w:t>
      </w:r>
      <w:r>
        <w:t xml:space="preserve"> Comments of CALSSA at 4.</w:t>
      </w:r>
    </w:p>
  </w:footnote>
  <w:footnote w:id="81">
    <w:p w14:paraId="34DD1A65" w14:textId="6B4AC465" w:rsidR="3621528B" w:rsidRDefault="3621528B" w:rsidP="3621528B">
      <w:pPr>
        <w:pStyle w:val="FootnoteText"/>
      </w:pPr>
      <w:r w:rsidRPr="3621528B">
        <w:rPr>
          <w:rStyle w:val="FootnoteReference"/>
        </w:rPr>
        <w:footnoteRef/>
      </w:r>
      <w:r w:rsidR="0AD72574">
        <w:t xml:space="preserve"> Opening</w:t>
      </w:r>
      <w:r>
        <w:t xml:space="preserve"> Comments of CSE at 7</w:t>
      </w:r>
      <w:r w:rsidR="00EE5496">
        <w:t>-8</w:t>
      </w:r>
      <w:r>
        <w:t>.</w:t>
      </w:r>
    </w:p>
  </w:footnote>
  <w:footnote w:id="82">
    <w:p w14:paraId="5DCEF157" w14:textId="1BE64EEA" w:rsidR="3621528B" w:rsidRDefault="3621528B" w:rsidP="3621528B">
      <w:pPr>
        <w:pStyle w:val="FootnoteText"/>
      </w:pPr>
      <w:r w:rsidRPr="3621528B">
        <w:rPr>
          <w:rStyle w:val="FootnoteReference"/>
        </w:rPr>
        <w:footnoteRef/>
      </w:r>
      <w:r>
        <w:t xml:space="preserve"> Opening Comments of PG&amp;E at 5.</w:t>
      </w:r>
    </w:p>
  </w:footnote>
  <w:footnote w:id="83">
    <w:p w14:paraId="2F09E56F" w14:textId="67643A7D" w:rsidR="3621528B" w:rsidRDefault="3621528B" w:rsidP="3621528B">
      <w:pPr>
        <w:pStyle w:val="FootnoteText"/>
      </w:pPr>
      <w:r w:rsidRPr="3621528B">
        <w:rPr>
          <w:rStyle w:val="FootnoteReference"/>
        </w:rPr>
        <w:footnoteRef/>
      </w:r>
      <w:r>
        <w:t xml:space="preserve"> Reply Comments of GRID at 4; Reply Comments of Free Energy/QCS at 2; Small Business Utility Advocates Reply Comments at 2.</w:t>
      </w:r>
    </w:p>
  </w:footnote>
  <w:footnote w:id="84">
    <w:p w14:paraId="40680751" w14:textId="3E6F5CE5" w:rsidR="3621528B" w:rsidRDefault="3621528B" w:rsidP="3621528B">
      <w:pPr>
        <w:pStyle w:val="FootnoteText"/>
      </w:pPr>
      <w:r w:rsidRPr="3621528B">
        <w:rPr>
          <w:rStyle w:val="FootnoteReference"/>
        </w:rPr>
        <w:footnoteRef/>
      </w:r>
      <w:r>
        <w:t xml:space="preserve"> Opening Comments of </w:t>
      </w:r>
      <w:r w:rsidR="0AD72574">
        <w:t>SoCalGas</w:t>
      </w:r>
      <w:r>
        <w:t xml:space="preserve"> at 7.</w:t>
      </w:r>
    </w:p>
  </w:footnote>
  <w:footnote w:id="85">
    <w:p w14:paraId="56440169" w14:textId="29FBC09D" w:rsidR="0AD72574" w:rsidRDefault="0AD72574" w:rsidP="001A2575">
      <w:pPr>
        <w:pStyle w:val="FootnoteText"/>
      </w:pPr>
      <w:r w:rsidRPr="0AD72574">
        <w:rPr>
          <w:rStyle w:val="FootnoteReference"/>
        </w:rPr>
        <w:footnoteRef/>
      </w:r>
      <w:r>
        <w:t xml:space="preserve"> SGIP Handbook 2025 at 21.</w:t>
      </w:r>
    </w:p>
  </w:footnote>
  <w:footnote w:id="86">
    <w:p w14:paraId="38A0A254" w14:textId="1C2AD84B" w:rsidR="0AD72574" w:rsidRDefault="0AD72574" w:rsidP="0AD72574">
      <w:pPr>
        <w:pStyle w:val="FootnoteText"/>
      </w:pPr>
      <w:r w:rsidRPr="0AD72574">
        <w:rPr>
          <w:rStyle w:val="FootnoteReference"/>
        </w:rPr>
        <w:footnoteRef/>
      </w:r>
      <w:r>
        <w:t xml:space="preserve"> Opening Comments of PG&amp;E at 4; Opening Comments of SDG&amp;E at 5.</w:t>
      </w:r>
    </w:p>
  </w:footnote>
  <w:footnote w:id="87">
    <w:p w14:paraId="434B291B" w14:textId="533E580A" w:rsidR="00B36EFC" w:rsidRDefault="00B36EFC" w:rsidP="00B36EFC">
      <w:pPr>
        <w:pStyle w:val="FootnoteText"/>
      </w:pPr>
      <w:r>
        <w:rPr>
          <w:rStyle w:val="FootnoteReference"/>
        </w:rPr>
        <w:footnoteRef/>
      </w:r>
      <w:r w:rsidR="7E9CACF8">
        <w:t xml:space="preserve"> Reply Comments of CALSSA at 2.</w:t>
      </w:r>
    </w:p>
  </w:footnote>
  <w:footnote w:id="88">
    <w:p w14:paraId="5E2FE139" w14:textId="1547C6EF" w:rsidR="00B36EFC" w:rsidRDefault="00B36EFC" w:rsidP="00B36EFC">
      <w:pPr>
        <w:pStyle w:val="FootnoteText"/>
      </w:pPr>
      <w:r>
        <w:rPr>
          <w:rStyle w:val="FootnoteReference"/>
        </w:rPr>
        <w:footnoteRef/>
      </w:r>
      <w:r>
        <w:t xml:space="preserve"> Opening Comments of SCE at 7.</w:t>
      </w:r>
    </w:p>
  </w:footnote>
  <w:footnote w:id="89">
    <w:p w14:paraId="6DE0315A" w14:textId="4D59F873" w:rsidR="00B36EFC" w:rsidRDefault="00B36EFC" w:rsidP="00B36EFC">
      <w:pPr>
        <w:pStyle w:val="FootnoteText"/>
      </w:pPr>
      <w:r>
        <w:rPr>
          <w:rStyle w:val="FootnoteReference"/>
        </w:rPr>
        <w:footnoteRef/>
      </w:r>
      <w:r>
        <w:t xml:space="preserve"> Reply Comments of Free Energy/QCS at </w:t>
      </w:r>
      <w:r w:rsidR="00D95692">
        <w:t>3-</w:t>
      </w:r>
      <w:r>
        <w:t>4; Reply Comments of GRID at 3.</w:t>
      </w:r>
    </w:p>
  </w:footnote>
  <w:footnote w:id="90">
    <w:p w14:paraId="4CD24E3E" w14:textId="32B8834D" w:rsidR="00B36EFC" w:rsidRDefault="00B36EFC" w:rsidP="00B36EFC">
      <w:pPr>
        <w:pStyle w:val="FootnoteText"/>
      </w:pPr>
      <w:r>
        <w:rPr>
          <w:rStyle w:val="FootnoteReference"/>
        </w:rPr>
        <w:footnoteRef/>
      </w:r>
      <w:r w:rsidR="0AD72574">
        <w:t xml:space="preserve"> Opening</w:t>
      </w:r>
      <w:r>
        <w:t xml:space="preserve"> Comments of CSE at 5.</w:t>
      </w:r>
    </w:p>
  </w:footnote>
  <w:footnote w:id="91">
    <w:p w14:paraId="04103DFE" w14:textId="2F2D552D" w:rsidR="00B36EFC" w:rsidRDefault="00B36EFC" w:rsidP="00B36EFC">
      <w:pPr>
        <w:pStyle w:val="FootnoteText"/>
      </w:pPr>
      <w:r>
        <w:rPr>
          <w:rStyle w:val="FootnoteReference"/>
        </w:rPr>
        <w:footnoteRef/>
      </w:r>
      <w:r>
        <w:t xml:space="preserve"> Opening Comments of </w:t>
      </w:r>
      <w:r w:rsidR="0AD72574">
        <w:t>SoCalGas</w:t>
      </w:r>
      <w:r>
        <w:t xml:space="preserve"> at 5</w:t>
      </w:r>
      <w:r w:rsidR="00C00C30">
        <w:t>-6</w:t>
      </w:r>
      <w:r>
        <w:t>.</w:t>
      </w:r>
    </w:p>
  </w:footnote>
  <w:footnote w:id="92">
    <w:p w14:paraId="786F4706" w14:textId="77777777" w:rsidR="00B36EFC" w:rsidRDefault="00B36EFC" w:rsidP="00B36EFC">
      <w:pPr>
        <w:pStyle w:val="FootnoteText"/>
      </w:pPr>
      <w:r>
        <w:rPr>
          <w:rStyle w:val="FootnoteReference"/>
        </w:rPr>
        <w:footnoteRef/>
      </w:r>
      <w:r>
        <w:t xml:space="preserve"> LADWP AL 02-E-A, March 13, 2025 at Attachment A.</w:t>
      </w:r>
    </w:p>
  </w:footnote>
  <w:footnote w:id="93">
    <w:p w14:paraId="6004AB50" w14:textId="77777777" w:rsidR="00B36EFC" w:rsidRDefault="00B36EFC" w:rsidP="00B36EFC">
      <w:pPr>
        <w:pStyle w:val="FootnoteText"/>
      </w:pPr>
      <w:r>
        <w:rPr>
          <w:rStyle w:val="FootnoteReference"/>
        </w:rPr>
        <w:footnoteRef/>
      </w:r>
      <w:r>
        <w:t xml:space="preserve"> CSE AL 162-E, January 30, 2025 at 6.</w:t>
      </w:r>
    </w:p>
  </w:footnote>
  <w:footnote w:id="94">
    <w:p w14:paraId="2E2CF8E6" w14:textId="77777777" w:rsidR="00B36EFC" w:rsidRDefault="00B36EFC" w:rsidP="00B36EFC">
      <w:pPr>
        <w:pStyle w:val="FootnoteText"/>
      </w:pPr>
      <w:r>
        <w:rPr>
          <w:rStyle w:val="FootnoteReference"/>
        </w:rPr>
        <w:footnoteRef/>
      </w:r>
      <w:r>
        <w:t xml:space="preserve"> PG&amp;E AL 5030-G/7495-E, January 30, 2025 at Attachment B.</w:t>
      </w:r>
    </w:p>
  </w:footnote>
  <w:footnote w:id="95">
    <w:p w14:paraId="0E556B6C" w14:textId="77777777" w:rsidR="00B36EFC" w:rsidRDefault="00B36EFC" w:rsidP="00B36EFC">
      <w:pPr>
        <w:pStyle w:val="FootnoteText"/>
      </w:pPr>
      <w:r>
        <w:rPr>
          <w:rStyle w:val="FootnoteReference"/>
        </w:rPr>
        <w:footnoteRef/>
      </w:r>
      <w:r>
        <w:t xml:space="preserve"> SCE AL 5467-E, January 30, 2025 at Appendix B.</w:t>
      </w:r>
    </w:p>
  </w:footnote>
  <w:footnote w:id="96">
    <w:p w14:paraId="7E06B5DE" w14:textId="7774951F" w:rsidR="00B36EFC" w:rsidRDefault="00B36EFC" w:rsidP="00B36EFC">
      <w:pPr>
        <w:pStyle w:val="FootnoteText"/>
      </w:pPr>
      <w:r>
        <w:rPr>
          <w:rStyle w:val="FootnoteReference"/>
        </w:rPr>
        <w:footnoteRef/>
      </w:r>
      <w:r>
        <w:t xml:space="preserve"> SCG AL 6436-G, January 30, 2025 at 4.</w:t>
      </w:r>
    </w:p>
  </w:footnote>
  <w:footnote w:id="97">
    <w:p w14:paraId="627C0939" w14:textId="6ADF39FE" w:rsidR="00B36EFC" w:rsidRDefault="00B36EFC" w:rsidP="00B36EFC">
      <w:pPr>
        <w:pStyle w:val="FootnoteText"/>
      </w:pPr>
      <w:r>
        <w:rPr>
          <w:rStyle w:val="FootnoteReference"/>
        </w:rPr>
        <w:footnoteRef/>
      </w:r>
      <w:r>
        <w:t xml:space="preserve"> Opening Comments of PG&amp;E at 5.</w:t>
      </w:r>
    </w:p>
  </w:footnote>
  <w:footnote w:id="98">
    <w:p w14:paraId="4B7AA80C" w14:textId="3A0F46F4" w:rsidR="00B36EFC" w:rsidRDefault="00B36EFC" w:rsidP="00B36EFC">
      <w:pPr>
        <w:pStyle w:val="FootnoteText"/>
      </w:pPr>
      <w:r>
        <w:rPr>
          <w:rStyle w:val="FootnoteReference"/>
        </w:rPr>
        <w:footnoteRef/>
      </w:r>
      <w:r>
        <w:t xml:space="preserve"> D.24-</w:t>
      </w:r>
      <w:r w:rsidR="0AD72574">
        <w:t>03-071</w:t>
      </w:r>
      <w:r>
        <w:t xml:space="preserve"> at 77.</w:t>
      </w:r>
    </w:p>
  </w:footnote>
  <w:footnote w:id="99">
    <w:p w14:paraId="52F39CC5" w14:textId="77777777" w:rsidR="00B46F02" w:rsidRDefault="00B46F02" w:rsidP="00B46F02">
      <w:pPr>
        <w:pStyle w:val="FootnoteText"/>
      </w:pPr>
      <w:r w:rsidRPr="1875746E">
        <w:rPr>
          <w:rStyle w:val="FootnoteReference"/>
        </w:rPr>
        <w:footnoteRef/>
      </w:r>
      <w:r>
        <w:t xml:space="preserve"> </w:t>
      </w:r>
      <w:r w:rsidRPr="00A240A2">
        <w:rPr>
          <w:i/>
          <w:iCs/>
        </w:rPr>
        <w:t>Id.</w:t>
      </w:r>
      <w:r>
        <w:t xml:space="preserve">  at 4.</w:t>
      </w:r>
    </w:p>
  </w:footnote>
  <w:footnote w:id="100">
    <w:p w14:paraId="66D20DCD" w14:textId="77777777" w:rsidR="00B46F02" w:rsidRDefault="00B46F02" w:rsidP="00B46F02">
      <w:pPr>
        <w:pStyle w:val="FootnoteText"/>
      </w:pPr>
      <w:r w:rsidRPr="1875746E">
        <w:rPr>
          <w:rStyle w:val="FootnoteReference"/>
        </w:rPr>
        <w:footnoteRef/>
      </w:r>
      <w:r>
        <w:t xml:space="preserve"> Id, at 4-5.</w:t>
      </w:r>
    </w:p>
  </w:footnote>
  <w:footnote w:id="101">
    <w:p w14:paraId="23686251" w14:textId="77777777" w:rsidR="00B46F02" w:rsidRDefault="00B46F02" w:rsidP="00B46F02">
      <w:pPr>
        <w:pStyle w:val="FootnoteText"/>
      </w:pPr>
      <w:r w:rsidRPr="1875746E">
        <w:rPr>
          <w:rStyle w:val="FootnoteReference"/>
        </w:rPr>
        <w:footnoteRef/>
      </w:r>
      <w:r>
        <w:t xml:space="preserve"> Comments of Center for Sustainable Energy regarding Proposed Decision Returning Self-Generation Incentive Program Funds to Ratepayers and Implementing the Greenhouse Gas Reduction Fund Self-Generation Incentive Program and Other Program Modifications, September 18, 2025, at 3.</w:t>
      </w:r>
    </w:p>
  </w:footnote>
  <w:footnote w:id="102">
    <w:p w14:paraId="76908607" w14:textId="77777777" w:rsidR="00B46F02" w:rsidRDefault="00B46F02" w:rsidP="00B46F02">
      <w:pPr>
        <w:pStyle w:val="FootnoteText"/>
      </w:pPr>
      <w:r w:rsidRPr="1875746E">
        <w:rPr>
          <w:rStyle w:val="FootnoteReference"/>
        </w:rPr>
        <w:footnoteRef/>
      </w:r>
      <w:r>
        <w:t xml:space="preserve"> Reply Comments of Pacific Gas and Electric Company to Proposed Decision Returning Self-Generation Incentive Program Funds to Ratepayers and Implementing the Greenhouse Gas Reduction Fund Self-Generation Incentive Program and Other Program Modifications, September 23, 2025, at 1.</w:t>
      </w:r>
    </w:p>
  </w:footnote>
  <w:footnote w:id="103">
    <w:p w14:paraId="2172BB1F" w14:textId="77777777" w:rsidR="00B46F02" w:rsidRDefault="00B46F02" w:rsidP="00B46F02">
      <w:pPr>
        <w:pStyle w:val="FootnoteText"/>
      </w:pPr>
      <w:r w:rsidRPr="1875746E">
        <w:rPr>
          <w:rStyle w:val="FootnoteReference"/>
        </w:rPr>
        <w:footnoteRef/>
      </w:r>
      <w:r>
        <w:t xml:space="preserve"> Opening Comments of SCTCA on Proposed Decision, September 18, 2025, at 8-9.</w:t>
      </w:r>
    </w:p>
  </w:footnote>
  <w:footnote w:id="104">
    <w:p w14:paraId="49816269" w14:textId="77777777" w:rsidR="00B46F02" w:rsidRDefault="00B46F02" w:rsidP="00B46F02">
      <w:pPr>
        <w:pStyle w:val="FootnoteText"/>
      </w:pPr>
      <w:r w:rsidRPr="1875746E">
        <w:rPr>
          <w:rStyle w:val="FootnoteReference"/>
        </w:rPr>
        <w:footnoteRef/>
      </w:r>
      <w:r>
        <w:t xml:space="preserve"> CSE’s Reply Comments to the Proposed Decision, September 23, 2025, at 3.</w:t>
      </w:r>
    </w:p>
  </w:footnote>
  <w:footnote w:id="105">
    <w:p w14:paraId="03A9414C" w14:textId="77777777" w:rsidR="00B46F02" w:rsidRDefault="00B46F02" w:rsidP="00B46F02">
      <w:pPr>
        <w:pStyle w:val="FootnoteText"/>
      </w:pPr>
      <w:r w:rsidRPr="1875746E">
        <w:rPr>
          <w:rStyle w:val="FootnoteReference"/>
        </w:rPr>
        <w:footnoteRef/>
      </w:r>
      <w:r>
        <w:t xml:space="preserve"> Id.  at 10.</w:t>
      </w:r>
    </w:p>
  </w:footnote>
  <w:footnote w:id="106">
    <w:p w14:paraId="0F3AAA59" w14:textId="77777777" w:rsidR="00B46F02" w:rsidRDefault="00B46F02" w:rsidP="00B46F02">
      <w:pPr>
        <w:pStyle w:val="FootnoteText"/>
      </w:pPr>
      <w:r w:rsidRPr="1875746E">
        <w:rPr>
          <w:rStyle w:val="FootnoteReference"/>
        </w:rPr>
        <w:footnoteRef/>
      </w:r>
      <w:r>
        <w:t xml:space="preserve"> </w:t>
      </w:r>
      <w:r w:rsidRPr="00451091">
        <w:rPr>
          <w:i/>
          <w:iCs/>
        </w:rPr>
        <w:t>Ibid</w:t>
      </w:r>
      <w:r>
        <w:t>.</w:t>
      </w:r>
    </w:p>
  </w:footnote>
  <w:footnote w:id="107">
    <w:p w14:paraId="58A5D27A" w14:textId="77777777" w:rsidR="00B46F02" w:rsidRDefault="00B46F02" w:rsidP="00B46F02">
      <w:pPr>
        <w:pStyle w:val="FootnoteText"/>
      </w:pPr>
      <w:r w:rsidRPr="1875746E">
        <w:rPr>
          <w:rStyle w:val="FootnoteReference"/>
        </w:rPr>
        <w:footnoteRef/>
      </w:r>
      <w:r>
        <w:t xml:space="preserve"> Comments of California Solar &amp; Storage Association on Proposed Decision Returning Self-Generation Incentive Program Funds to Ratepayers and Implementing the Greenhouse Gas Reduction Fund Self-Generation Incentive Program and Other Program Modifications, September 18, 2025, at 4 – 5.</w:t>
      </w:r>
    </w:p>
  </w:footnote>
  <w:footnote w:id="108">
    <w:p w14:paraId="6C886A5C" w14:textId="77777777" w:rsidR="00B46F02" w:rsidRDefault="00B46F02" w:rsidP="00B46F02">
      <w:pPr>
        <w:pStyle w:val="FootnoteText"/>
      </w:pPr>
      <w:r w:rsidRPr="1875746E">
        <w:rPr>
          <w:rStyle w:val="FootnoteReference"/>
        </w:rPr>
        <w:footnoteRef/>
      </w:r>
      <w:r>
        <w:t xml:space="preserve"> Opening Comments of Southern California Gas Company on Proposed Decision Returning Self-Generation Incentive Program Funds to Ratepayers and Implementing the Greenhouse Gas Reduction Fund Self-Generation Incentive Program and Other Program Modifications, September 18, 2025, at 3.</w:t>
      </w:r>
    </w:p>
  </w:footnote>
  <w:footnote w:id="109">
    <w:p w14:paraId="486535AC" w14:textId="77777777" w:rsidR="00B46F02" w:rsidRDefault="00B46F02" w:rsidP="00B46F02">
      <w:pPr>
        <w:pStyle w:val="FootnoteText"/>
      </w:pPr>
      <w:r w:rsidRPr="1875746E">
        <w:rPr>
          <w:rStyle w:val="FootnoteReference"/>
        </w:rPr>
        <w:footnoteRef/>
      </w:r>
      <w:r>
        <w:t xml:space="preserve"> </w:t>
      </w:r>
      <w:r w:rsidRPr="00E661C2">
        <w:rPr>
          <w:i/>
          <w:iCs/>
        </w:rPr>
        <w:t>Ibid.</w:t>
      </w:r>
    </w:p>
  </w:footnote>
  <w:footnote w:id="110">
    <w:p w14:paraId="6DC8D0D6" w14:textId="77777777" w:rsidR="00B46F02" w:rsidRDefault="00B46F02" w:rsidP="00B46F02">
      <w:pPr>
        <w:pStyle w:val="FootnoteText"/>
      </w:pPr>
      <w:r w:rsidRPr="1875746E">
        <w:rPr>
          <w:rStyle w:val="FootnoteReference"/>
        </w:rPr>
        <w:footnoteRef/>
      </w:r>
      <w:r>
        <w:t xml:space="preserve"> PG&amp;E Reply Comments on the Proposed Decision, September 23, 2025, at 1.</w:t>
      </w:r>
    </w:p>
  </w:footnote>
  <w:footnote w:id="111">
    <w:p w14:paraId="4C009B47" w14:textId="77777777" w:rsidR="00B46F02" w:rsidRDefault="00B46F02" w:rsidP="00B46F02">
      <w:pPr>
        <w:pStyle w:val="FootnoteText"/>
      </w:pPr>
      <w:r w:rsidRPr="1875746E">
        <w:rPr>
          <w:rStyle w:val="FootnoteReference"/>
        </w:rPr>
        <w:footnoteRef/>
      </w:r>
      <w:r>
        <w:t xml:space="preserve"> Cal Advocates Reply Comments to the Proposed Decision, September 23, 2025, at 2.</w:t>
      </w:r>
    </w:p>
  </w:footnote>
  <w:footnote w:id="112">
    <w:p w14:paraId="4E51BE3F" w14:textId="77777777" w:rsidR="00B46F02" w:rsidRDefault="00B46F02" w:rsidP="00B46F02">
      <w:pPr>
        <w:pStyle w:val="FootnoteText"/>
        <w:rPr>
          <w:i/>
          <w:iCs/>
        </w:rPr>
      </w:pPr>
      <w:r w:rsidRPr="1875746E">
        <w:rPr>
          <w:rStyle w:val="FootnoteReference"/>
        </w:rPr>
        <w:footnoteRef/>
      </w:r>
      <w:r w:rsidRPr="00073261">
        <w:rPr>
          <w:i/>
          <w:iCs/>
        </w:rPr>
        <w:t xml:space="preserve"> Ibid.</w:t>
      </w:r>
    </w:p>
  </w:footnote>
  <w:footnote w:id="113">
    <w:p w14:paraId="30FC4D5B" w14:textId="77777777" w:rsidR="00B46F02" w:rsidRDefault="00B46F02" w:rsidP="00B46F02">
      <w:pPr>
        <w:pStyle w:val="FootnoteText"/>
      </w:pPr>
      <w:r w:rsidRPr="1875746E">
        <w:rPr>
          <w:rStyle w:val="FootnoteReference"/>
        </w:rPr>
        <w:footnoteRef/>
      </w:r>
      <w:r>
        <w:t xml:space="preserve"> Id. at 2-3.</w:t>
      </w:r>
    </w:p>
  </w:footnote>
  <w:footnote w:id="114">
    <w:p w14:paraId="557B83F0" w14:textId="7AA81DB7" w:rsidR="00A86D6E" w:rsidRDefault="00A86D6E">
      <w:pPr>
        <w:pStyle w:val="FootnoteText"/>
      </w:pPr>
      <w:r>
        <w:rPr>
          <w:rStyle w:val="FootnoteReference"/>
        </w:rPr>
        <w:footnoteRef/>
      </w:r>
      <w:r>
        <w:t xml:space="preserve"> Opening Comments of CALSSA at 5.</w:t>
      </w:r>
    </w:p>
  </w:footnote>
  <w:footnote w:id="115">
    <w:p w14:paraId="22770C82" w14:textId="3F6E154D" w:rsidR="00A86D6E" w:rsidRDefault="00A86D6E">
      <w:pPr>
        <w:pStyle w:val="FootnoteText"/>
      </w:pPr>
      <w:r>
        <w:rPr>
          <w:rStyle w:val="FootnoteReference"/>
        </w:rPr>
        <w:footnoteRef/>
      </w:r>
      <w:r>
        <w:t xml:space="preserve"> Comments of SCTCA on the Proposed Decision, September 18, 2025, at 9.</w:t>
      </w:r>
    </w:p>
  </w:footnote>
  <w:footnote w:id="116">
    <w:p w14:paraId="08BE9B75" w14:textId="3FDD97F0" w:rsidR="00A86D6E" w:rsidRDefault="00A86D6E">
      <w:pPr>
        <w:pStyle w:val="FootnoteText"/>
      </w:pPr>
      <w:r>
        <w:rPr>
          <w:rStyle w:val="FootnoteReference"/>
        </w:rPr>
        <w:footnoteRef/>
      </w:r>
      <w:r>
        <w:t xml:space="preserve"> Reply Comments of RCRC at 2.</w:t>
      </w:r>
    </w:p>
  </w:footnote>
  <w:footnote w:id="117">
    <w:p w14:paraId="0E24F2E8" w14:textId="1F3F1321" w:rsidR="00EF43B8" w:rsidRDefault="00EF43B8" w:rsidP="00EF43B8">
      <w:pPr>
        <w:pStyle w:val="FootnoteText"/>
      </w:pPr>
      <w:r>
        <w:rPr>
          <w:rStyle w:val="FootnoteReference"/>
        </w:rPr>
        <w:footnoteRef/>
      </w:r>
      <w:r>
        <w:t xml:space="preserve"> Comments of SCT</w:t>
      </w:r>
      <w:r w:rsidR="00A86D6E">
        <w:t>C</w:t>
      </w:r>
      <w:r>
        <w:t>A on the Proposed Decision, September 18, 2025, at 9.</w:t>
      </w:r>
    </w:p>
  </w:footnote>
  <w:footnote w:id="118">
    <w:p w14:paraId="3A87697A" w14:textId="77777777" w:rsidR="00EF43B8" w:rsidRDefault="00EF43B8" w:rsidP="00EF43B8">
      <w:pPr>
        <w:pStyle w:val="FootnoteText"/>
      </w:pPr>
      <w:r>
        <w:rPr>
          <w:rStyle w:val="FootnoteReference"/>
        </w:rPr>
        <w:footnoteRef/>
      </w:r>
      <w:r>
        <w:t xml:space="preserve"> AB 209 (2022) at Section 26, </w:t>
      </w:r>
      <w:hyperlink r:id="rId2" w:history="1">
        <w:r>
          <w:rPr>
            <w:rStyle w:val="Hyperlink"/>
          </w:rPr>
          <w:t>https://leginfo.legislature.ca.gov/faces/billTextClient.xhtml?bill_id=202120220AB209 </w:t>
        </w:r>
      </w:hyperlink>
    </w:p>
  </w:footnote>
  <w:footnote w:id="119">
    <w:p w14:paraId="0DEEA3D6" w14:textId="77777777" w:rsidR="00B46F02" w:rsidRDefault="00B46F02" w:rsidP="00B46F02">
      <w:pPr>
        <w:pStyle w:val="FootnoteText"/>
      </w:pPr>
      <w:r w:rsidRPr="72CCF104">
        <w:rPr>
          <w:rStyle w:val="FootnoteReference"/>
        </w:rPr>
        <w:footnoteRef/>
      </w:r>
      <w:r>
        <w:t xml:space="preserve"> LSE means Load Service Entities</w:t>
      </w:r>
    </w:p>
  </w:footnote>
  <w:footnote w:id="120">
    <w:p w14:paraId="1710061C" w14:textId="77777777" w:rsidR="00B46F02" w:rsidRDefault="00B46F02" w:rsidP="00B46F02">
      <w:pPr>
        <w:pStyle w:val="FootnoteText"/>
      </w:pPr>
      <w:r w:rsidRPr="2132EFF1">
        <w:rPr>
          <w:rStyle w:val="FootnoteReference"/>
        </w:rPr>
        <w:footnoteRef/>
      </w:r>
      <w:r>
        <w:t xml:space="preserve"> Opening Comments of Southern California Edison Company on the Proposed Decision Returning Self-Generation Incentive Program Funds to Ratepayers and Implementing the Greenhouse Gas Reduction Fund Self-Generation Incentive Program and Other Program Modifications, September 18, 2025, at 6.</w:t>
      </w:r>
    </w:p>
  </w:footnote>
  <w:footnote w:id="121">
    <w:p w14:paraId="5CC730F1" w14:textId="77777777" w:rsidR="00B46F02" w:rsidRDefault="00B46F02" w:rsidP="00B46F02">
      <w:pPr>
        <w:pStyle w:val="FootnoteText"/>
      </w:pPr>
      <w:r w:rsidRPr="097A26FD">
        <w:rPr>
          <w:rStyle w:val="FootnoteReference"/>
        </w:rPr>
        <w:footnoteRef/>
      </w:r>
      <w:r>
        <w:t xml:space="preserve"> LSE means Load Serving Entity</w:t>
      </w:r>
    </w:p>
  </w:footnote>
  <w:footnote w:id="122">
    <w:p w14:paraId="60AD8669" w14:textId="77777777" w:rsidR="00B46F02" w:rsidRDefault="00B46F02" w:rsidP="00B46F02">
      <w:pPr>
        <w:pStyle w:val="FootnoteText"/>
      </w:pPr>
      <w:r w:rsidRPr="165ECFEB">
        <w:rPr>
          <w:rStyle w:val="FootnoteReference"/>
        </w:rPr>
        <w:footnoteRef/>
      </w:r>
      <w:r>
        <w:t xml:space="preserve"> Opening Comments of SoCalGas on the Proposed Decision, September 18, 2025, at 4.</w:t>
      </w:r>
    </w:p>
  </w:footnote>
  <w:footnote w:id="123">
    <w:p w14:paraId="7C0A4375" w14:textId="77777777" w:rsidR="00B46F02" w:rsidRDefault="00B46F02" w:rsidP="00B46F02">
      <w:pPr>
        <w:pStyle w:val="FootnoteText"/>
      </w:pPr>
      <w:r w:rsidRPr="097A26FD">
        <w:rPr>
          <w:rStyle w:val="FootnoteReference"/>
        </w:rPr>
        <w:footnoteRef/>
      </w:r>
      <w:r>
        <w:t xml:space="preserve"> </w:t>
      </w:r>
      <w:r w:rsidRPr="007C5D6F">
        <w:rPr>
          <w:rFonts w:eastAsia="Book Antiqua" w:cs="Book Antiqua"/>
          <w:szCs w:val="22"/>
        </w:rPr>
        <w:t>CALSSA Opening Comments on the Proposed Decision, September 18, 2025, at 8; CSE Opening Comments to the Proposed Decision, September 23, 2025, at 1.</w:t>
      </w:r>
    </w:p>
  </w:footnote>
  <w:footnote w:id="124">
    <w:p w14:paraId="30CACD20" w14:textId="77777777" w:rsidR="00B46F02" w:rsidRDefault="00B46F02" w:rsidP="00B46F02">
      <w:pPr>
        <w:pStyle w:val="FootnoteText"/>
      </w:pPr>
      <w:r w:rsidRPr="097A26FD">
        <w:rPr>
          <w:rStyle w:val="FootnoteReference"/>
        </w:rPr>
        <w:footnoteRef/>
      </w:r>
      <w:r>
        <w:t xml:space="preserve"> </w:t>
      </w:r>
      <w:r w:rsidRPr="007C5D6F">
        <w:rPr>
          <w:rFonts w:eastAsia="Book Antiqua" w:cs="Book Antiqua"/>
          <w:szCs w:val="22"/>
        </w:rPr>
        <w:t>PG&amp;E Opening Comments to Proposed Decision, September 18, 2025, at 5.</w:t>
      </w:r>
    </w:p>
  </w:footnote>
  <w:footnote w:id="125">
    <w:p w14:paraId="23522354" w14:textId="77777777" w:rsidR="0031515D" w:rsidRPr="007C5D6F" w:rsidRDefault="0031515D" w:rsidP="0031515D">
      <w:pPr>
        <w:pStyle w:val="FootnoteText"/>
      </w:pPr>
      <w:r w:rsidRPr="097A26FD">
        <w:rPr>
          <w:rStyle w:val="FootnoteReference"/>
        </w:rPr>
        <w:footnoteRef/>
      </w:r>
      <w:r>
        <w:t xml:space="preserve"> </w:t>
      </w:r>
      <w:r w:rsidRPr="007C5D6F">
        <w:rPr>
          <w:rFonts w:eastAsia="Book Antiqua" w:cs="Book Antiqua"/>
          <w:szCs w:val="22"/>
        </w:rPr>
        <w:t>Joint CCA Reply Comments on the Proposed Decision, September 23, 2025, at 3.</w:t>
      </w:r>
    </w:p>
  </w:footnote>
  <w:footnote w:id="126">
    <w:p w14:paraId="091E1DFA" w14:textId="77777777" w:rsidR="00B46F02" w:rsidRDefault="00B46F02" w:rsidP="00B46F02">
      <w:pPr>
        <w:pStyle w:val="FootnoteText"/>
      </w:pPr>
      <w:r w:rsidRPr="112B16A0">
        <w:rPr>
          <w:rStyle w:val="FootnoteReference"/>
        </w:rPr>
        <w:footnoteRef/>
      </w:r>
      <w:r>
        <w:t xml:space="preserve"> CALSSA Opening Comments on the Proposed Decision, September 18, 20225, at 1.</w:t>
      </w:r>
    </w:p>
  </w:footnote>
  <w:footnote w:id="127">
    <w:p w14:paraId="6370B9E3" w14:textId="77777777" w:rsidR="00B46F02" w:rsidRDefault="00B46F02" w:rsidP="00B46F02">
      <w:pPr>
        <w:pStyle w:val="FootnoteText"/>
      </w:pPr>
      <w:r w:rsidRPr="112B16A0">
        <w:rPr>
          <w:rStyle w:val="FootnoteReference"/>
        </w:rPr>
        <w:footnoteRef/>
      </w:r>
      <w:r>
        <w:t xml:space="preserve"> </w:t>
      </w:r>
      <w:r w:rsidRPr="00B3509D">
        <w:rPr>
          <w:i/>
          <w:iCs/>
        </w:rPr>
        <w:t>Ibid.</w:t>
      </w:r>
    </w:p>
  </w:footnote>
  <w:footnote w:id="128">
    <w:p w14:paraId="769830E6" w14:textId="77777777" w:rsidR="00B46F02" w:rsidRDefault="00B46F02" w:rsidP="00B46F02">
      <w:pPr>
        <w:pStyle w:val="FootnoteText"/>
      </w:pPr>
      <w:r w:rsidRPr="112B16A0">
        <w:rPr>
          <w:rStyle w:val="FootnoteReference"/>
        </w:rPr>
        <w:footnoteRef/>
      </w:r>
      <w:r>
        <w:t xml:space="preserve"> PG&amp;E Opening Comments on the Proposed Decision, September 18, 2025, at 2.</w:t>
      </w:r>
    </w:p>
  </w:footnote>
  <w:footnote w:id="129">
    <w:p w14:paraId="4798D5ED" w14:textId="77777777" w:rsidR="00B46F02" w:rsidRDefault="00B46F02" w:rsidP="00B46F02">
      <w:pPr>
        <w:pStyle w:val="FootnoteText"/>
      </w:pPr>
      <w:r w:rsidRPr="112B16A0">
        <w:rPr>
          <w:rStyle w:val="FootnoteReference"/>
        </w:rPr>
        <w:footnoteRef/>
      </w:r>
      <w:r>
        <w:t xml:space="preserve"> Id. at 3.</w:t>
      </w:r>
    </w:p>
  </w:footnote>
  <w:footnote w:id="130">
    <w:p w14:paraId="4D53AE01" w14:textId="77777777" w:rsidR="00B46F02" w:rsidRDefault="00B46F02" w:rsidP="00B46F02">
      <w:pPr>
        <w:pStyle w:val="FootnoteText"/>
      </w:pPr>
      <w:r w:rsidRPr="112B16A0">
        <w:rPr>
          <w:rStyle w:val="FootnoteReference"/>
        </w:rPr>
        <w:footnoteRef/>
      </w:r>
      <w:r>
        <w:t xml:space="preserve"> SCE Opening Comments on the Proposed Decision, September 18, 2025, at 2.</w:t>
      </w:r>
    </w:p>
  </w:footnote>
  <w:footnote w:id="131">
    <w:p w14:paraId="1E472C17" w14:textId="77777777" w:rsidR="00B46F02" w:rsidRDefault="00B46F02" w:rsidP="00B46F02">
      <w:pPr>
        <w:pStyle w:val="FootnoteText"/>
      </w:pPr>
      <w:r w:rsidRPr="112B16A0">
        <w:rPr>
          <w:rStyle w:val="FootnoteReference"/>
        </w:rPr>
        <w:footnoteRef/>
      </w:r>
      <w:r>
        <w:t xml:space="preserve"> Id. at 3.</w:t>
      </w:r>
    </w:p>
  </w:footnote>
  <w:footnote w:id="132">
    <w:p w14:paraId="2B732C06" w14:textId="77777777" w:rsidR="00B46F02" w:rsidRDefault="00B46F02" w:rsidP="00B46F02">
      <w:pPr>
        <w:pStyle w:val="FootnoteText"/>
      </w:pPr>
      <w:r w:rsidRPr="112B16A0">
        <w:rPr>
          <w:rStyle w:val="FootnoteReference"/>
        </w:rPr>
        <w:footnoteRef/>
      </w:r>
      <w:r>
        <w:t xml:space="preserve"> Id. at 2.</w:t>
      </w:r>
    </w:p>
  </w:footnote>
  <w:footnote w:id="133">
    <w:p w14:paraId="7C6CA876" w14:textId="77777777" w:rsidR="00B46F02" w:rsidRDefault="00B46F02" w:rsidP="00B46F02">
      <w:pPr>
        <w:pStyle w:val="FootnoteText"/>
      </w:pPr>
      <w:r w:rsidRPr="112B16A0">
        <w:rPr>
          <w:rStyle w:val="FootnoteReference"/>
        </w:rPr>
        <w:footnoteRef/>
      </w:r>
      <w:r>
        <w:t xml:space="preserve"> SoCalGas Opening Comments on the Proposed Decision, September 18, 2025, at 2.</w:t>
      </w:r>
    </w:p>
  </w:footnote>
  <w:footnote w:id="134">
    <w:p w14:paraId="6F879F3D" w14:textId="77777777" w:rsidR="00B46F02" w:rsidRDefault="00B46F02" w:rsidP="00B46F02">
      <w:pPr>
        <w:pStyle w:val="FootnoteText"/>
      </w:pPr>
      <w:r w:rsidRPr="112B16A0">
        <w:rPr>
          <w:rStyle w:val="FootnoteReference"/>
        </w:rPr>
        <w:footnoteRef/>
      </w:r>
      <w:r>
        <w:t xml:space="preserve"> PG&amp;E Reply Comments to the Proposed Decision, September 23, 2025, at 4.</w:t>
      </w:r>
    </w:p>
  </w:footnote>
  <w:footnote w:id="135">
    <w:p w14:paraId="40F4E869" w14:textId="77777777" w:rsidR="00B46F02" w:rsidRDefault="00B46F02" w:rsidP="00B46F02">
      <w:pPr>
        <w:pStyle w:val="FootnoteText"/>
      </w:pPr>
      <w:r w:rsidRPr="112B16A0">
        <w:rPr>
          <w:rStyle w:val="FootnoteReference"/>
        </w:rPr>
        <w:footnoteRef/>
      </w:r>
      <w:r>
        <w:t xml:space="preserve"> </w:t>
      </w:r>
      <w:r w:rsidRPr="003C76ED">
        <w:rPr>
          <w:i/>
          <w:iCs/>
        </w:rPr>
        <w:t>Ibid.</w:t>
      </w:r>
    </w:p>
  </w:footnote>
  <w:footnote w:id="136">
    <w:p w14:paraId="0E84EABA" w14:textId="77777777" w:rsidR="00B46F02" w:rsidRDefault="00B46F02" w:rsidP="00B46F02">
      <w:pPr>
        <w:pStyle w:val="FootnoteText"/>
      </w:pPr>
      <w:r w:rsidRPr="112B16A0">
        <w:rPr>
          <w:rStyle w:val="FootnoteReference"/>
        </w:rPr>
        <w:footnoteRef/>
      </w:r>
      <w:r>
        <w:t xml:space="preserve"> Id. at 4.</w:t>
      </w:r>
    </w:p>
  </w:footnote>
  <w:footnote w:id="137">
    <w:p w14:paraId="1C2D883C" w14:textId="77777777" w:rsidR="00B46F02" w:rsidRDefault="00B46F02" w:rsidP="00B46F02">
      <w:pPr>
        <w:pStyle w:val="FootnoteText"/>
      </w:pPr>
      <w:r w:rsidRPr="112B16A0">
        <w:rPr>
          <w:rStyle w:val="FootnoteReference"/>
        </w:rPr>
        <w:footnoteRef/>
      </w:r>
      <w:r>
        <w:t xml:space="preserve"> CSE Opening Comments on the Proposed Decision, September 18, 2025, at 1.</w:t>
      </w:r>
    </w:p>
  </w:footnote>
  <w:footnote w:id="138">
    <w:p w14:paraId="19D03526" w14:textId="77777777" w:rsidR="00B46F02" w:rsidRDefault="00B46F02" w:rsidP="00B46F02">
      <w:pPr>
        <w:pStyle w:val="FootnoteText"/>
      </w:pPr>
      <w:r w:rsidRPr="112B16A0">
        <w:rPr>
          <w:rStyle w:val="FootnoteReference"/>
        </w:rPr>
        <w:footnoteRef/>
      </w:r>
      <w:r>
        <w:t xml:space="preserve"> Id. at 2.</w:t>
      </w:r>
    </w:p>
  </w:footnote>
  <w:footnote w:id="139">
    <w:p w14:paraId="6393B3FE" w14:textId="77777777" w:rsidR="00B46F02" w:rsidRDefault="00B46F02" w:rsidP="00B46F02">
      <w:pPr>
        <w:pStyle w:val="FootnoteText"/>
      </w:pPr>
      <w:r w:rsidRPr="112B16A0">
        <w:rPr>
          <w:rStyle w:val="FootnoteReference"/>
        </w:rPr>
        <w:footnoteRef/>
      </w:r>
      <w:r>
        <w:t xml:space="preserve"> SCE Opening Comments on the Proposed Decision, September 18, 2025, at 4.</w:t>
      </w:r>
    </w:p>
  </w:footnote>
  <w:footnote w:id="140">
    <w:p w14:paraId="346CF22A" w14:textId="77777777" w:rsidR="00B46F02" w:rsidRDefault="00B46F02" w:rsidP="00B46F02">
      <w:pPr>
        <w:pStyle w:val="FootnoteText"/>
      </w:pPr>
      <w:r w:rsidRPr="112B16A0">
        <w:rPr>
          <w:rStyle w:val="FootnoteReference"/>
        </w:rPr>
        <w:footnoteRef/>
      </w:r>
      <w:r>
        <w:t xml:space="preserve"> CALSSA Opening Comments to the Proposed Decision, September 18, 2025, at 4.</w:t>
      </w:r>
    </w:p>
  </w:footnote>
  <w:footnote w:id="141">
    <w:p w14:paraId="5292F565" w14:textId="77777777" w:rsidR="00B46F02" w:rsidRDefault="00B46F02" w:rsidP="00B46F02">
      <w:pPr>
        <w:pStyle w:val="FootnoteText"/>
      </w:pPr>
      <w:r w:rsidRPr="112B16A0">
        <w:rPr>
          <w:rStyle w:val="FootnoteReference"/>
        </w:rPr>
        <w:footnoteRef/>
      </w:r>
      <w:r>
        <w:t xml:space="preserve"> SDG&amp;E Opening Comments to the Proposed Decision, September 18, 2025, at 1.</w:t>
      </w:r>
    </w:p>
  </w:footnote>
  <w:footnote w:id="142">
    <w:p w14:paraId="6ADD101C" w14:textId="77777777" w:rsidR="00B46F02" w:rsidRDefault="00B46F02" w:rsidP="00B46F02">
      <w:pPr>
        <w:pStyle w:val="FootnoteText"/>
      </w:pPr>
      <w:r w:rsidRPr="112B16A0">
        <w:rPr>
          <w:rStyle w:val="FootnoteReference"/>
        </w:rPr>
        <w:footnoteRef/>
      </w:r>
      <w:r>
        <w:t xml:space="preserve"> CALSSA Opening Comments on the Proposed Decision, September 18, 2025, at 8.</w:t>
      </w:r>
    </w:p>
  </w:footnote>
  <w:footnote w:id="143">
    <w:p w14:paraId="3DBFFC01" w14:textId="77777777" w:rsidR="00B46F02" w:rsidRDefault="00B46F02" w:rsidP="00B46F02">
      <w:pPr>
        <w:pStyle w:val="FootnoteText"/>
      </w:pPr>
      <w:r w:rsidRPr="112B16A0">
        <w:rPr>
          <w:rStyle w:val="FootnoteReference"/>
        </w:rPr>
        <w:footnoteRef/>
      </w:r>
      <w:r>
        <w:t xml:space="preserve"> Id. at 9.</w:t>
      </w:r>
    </w:p>
  </w:footnote>
  <w:footnote w:id="144">
    <w:p w14:paraId="093399B1" w14:textId="77777777" w:rsidR="00B46F02" w:rsidRDefault="00B46F02" w:rsidP="00B46F02">
      <w:pPr>
        <w:pStyle w:val="FootnoteText"/>
      </w:pPr>
      <w:r w:rsidRPr="112B16A0">
        <w:rPr>
          <w:rStyle w:val="FootnoteReference"/>
        </w:rPr>
        <w:footnoteRef/>
      </w:r>
      <w:r>
        <w:t xml:space="preserve"> SoCalGas Opening Comments to the Proposed Decision, September 18, 2025, at 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96930" w14:textId="77777777" w:rsidR="00F705D0" w:rsidRPr="00F92385" w:rsidRDefault="00F705D0" w:rsidP="00F92385">
    <w:pPr>
      <w:pStyle w:val="Header"/>
      <w:ind w:firstLine="0"/>
      <w:rPr>
        <w:i/>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7C330" w14:textId="5FC4A7D9" w:rsidR="00B3087D" w:rsidRPr="000743C0" w:rsidRDefault="00F705D0" w:rsidP="00B3087D">
    <w:pPr>
      <w:pStyle w:val="Header"/>
      <w:tabs>
        <w:tab w:val="clear" w:pos="4680"/>
      </w:tabs>
      <w:ind w:firstLine="0"/>
      <w:rPr>
        <w:i/>
      </w:rPr>
    </w:pPr>
    <w:r>
      <w:t>R.20-05-012 COM/KDL/cmf</w:t>
    </w:r>
    <w:r w:rsidR="00E23CBB">
      <w:tab/>
    </w:r>
    <w:r w:rsidR="00E23CBB">
      <w:rPr>
        <w:b/>
      </w:rPr>
      <w:t>PROPOSED DECISION</w:t>
    </w:r>
    <w:r w:rsidR="000743C0">
      <w:rPr>
        <w:b/>
      </w:rPr>
      <w:t xml:space="preserve"> (Rev.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85C3D" w14:textId="035BFA3A" w:rsidR="00FE2351" w:rsidRPr="000743C0" w:rsidRDefault="00F705D0" w:rsidP="000743C0">
    <w:pPr>
      <w:pStyle w:val="Header"/>
      <w:tabs>
        <w:tab w:val="clear" w:pos="4680"/>
      </w:tabs>
      <w:ind w:firstLine="0"/>
      <w:rPr>
        <w:b/>
      </w:rPr>
    </w:pPr>
    <w:r>
      <w:t>R.20-05-012 COM/KDL/cmf</w:t>
    </w:r>
    <w:r>
      <w:tab/>
    </w:r>
    <w:r>
      <w:rPr>
        <w:b/>
      </w:rPr>
      <w:t>PROPOSED DECISION</w:t>
    </w:r>
    <w:r w:rsidR="000743C0">
      <w:rPr>
        <w:b/>
      </w:rPr>
      <w:t xml:space="preserve"> (Rev. 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4541F" w14:textId="67ACF82B" w:rsidR="00F705D0" w:rsidRPr="000743C0" w:rsidRDefault="00F705D0" w:rsidP="000743C0">
    <w:pPr>
      <w:pStyle w:val="Header"/>
      <w:tabs>
        <w:tab w:val="clear" w:pos="4680"/>
      </w:tabs>
      <w:ind w:firstLine="0"/>
      <w:rPr>
        <w:i/>
      </w:rPr>
    </w:pPr>
    <w:r>
      <w:t>R.20-05-012 ALJ/HCF/cmf</w:t>
    </w:r>
    <w:r>
      <w:tab/>
    </w:r>
    <w:r>
      <w:rPr>
        <w:b/>
      </w:rPr>
      <w:t>PROPOSED DECISION</w:t>
    </w:r>
    <w:r w:rsidR="000743C0">
      <w:rPr>
        <w:b/>
      </w:rPr>
      <w:t xml:space="preserve"> (Rev.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BE6723"/>
    <w:multiLevelType w:val="multilevel"/>
    <w:tmpl w:val="D5B080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89460C"/>
    <w:multiLevelType w:val="hybridMultilevel"/>
    <w:tmpl w:val="067ACDD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0E6612"/>
    <w:multiLevelType w:val="multilevel"/>
    <w:tmpl w:val="1350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BB641B"/>
    <w:multiLevelType w:val="multilevel"/>
    <w:tmpl w:val="755EF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E32351"/>
    <w:multiLevelType w:val="hybridMultilevel"/>
    <w:tmpl w:val="173A7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3A2956"/>
    <w:multiLevelType w:val="multilevel"/>
    <w:tmpl w:val="225A2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6C1C14"/>
    <w:multiLevelType w:val="multilevel"/>
    <w:tmpl w:val="18F4A5AC"/>
    <w:styleLink w:val="FoFCoLOP"/>
    <w:lvl w:ilvl="0">
      <w:start w:val="1"/>
      <w:numFmt w:val="decima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8" w15:restartNumberingAfterBreak="0">
    <w:nsid w:val="15F056CB"/>
    <w:multiLevelType w:val="multilevel"/>
    <w:tmpl w:val="18F4A5AC"/>
    <w:numStyleLink w:val="FoFCoLOP"/>
  </w:abstractNum>
  <w:abstractNum w:abstractNumId="9" w15:restartNumberingAfterBreak="0">
    <w:nsid w:val="19191CFB"/>
    <w:multiLevelType w:val="multilevel"/>
    <w:tmpl w:val="19F8A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AE7932"/>
    <w:multiLevelType w:val="hybridMultilevel"/>
    <w:tmpl w:val="80CC74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D70038F"/>
    <w:multiLevelType w:val="multilevel"/>
    <w:tmpl w:val="3C526EDE"/>
    <w:numStyleLink w:val="Headings"/>
  </w:abstractNum>
  <w:abstractNum w:abstractNumId="13" w15:restartNumberingAfterBreak="0">
    <w:nsid w:val="1E2242C9"/>
    <w:multiLevelType w:val="multilevel"/>
    <w:tmpl w:val="3C526EDE"/>
    <w:numStyleLink w:val="Headings"/>
  </w:abstractNum>
  <w:abstractNum w:abstractNumId="14" w15:restartNumberingAfterBreak="0">
    <w:nsid w:val="20227376"/>
    <w:multiLevelType w:val="multilevel"/>
    <w:tmpl w:val="7BA606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21FB58FE"/>
    <w:multiLevelType w:val="multilevel"/>
    <w:tmpl w:val="3C526EDE"/>
    <w:numStyleLink w:val="Headings"/>
  </w:abstractNum>
  <w:abstractNum w:abstractNumId="16" w15:restartNumberingAfterBreak="0">
    <w:nsid w:val="243663A0"/>
    <w:multiLevelType w:val="multilevel"/>
    <w:tmpl w:val="3C526EDE"/>
    <w:numStyleLink w:val="Headings"/>
  </w:abstractNum>
  <w:abstractNum w:abstractNumId="17" w15:restartNumberingAfterBreak="0">
    <w:nsid w:val="2B2A35DD"/>
    <w:multiLevelType w:val="multilevel"/>
    <w:tmpl w:val="597C4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B8124D7"/>
    <w:multiLevelType w:val="multilevel"/>
    <w:tmpl w:val="3C526EDE"/>
    <w:numStyleLink w:val="Headings"/>
  </w:abstractNum>
  <w:abstractNum w:abstractNumId="19" w15:restartNumberingAfterBreak="0">
    <w:nsid w:val="30142EC1"/>
    <w:multiLevelType w:val="multilevel"/>
    <w:tmpl w:val="A9F6F1D2"/>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20" w15:restartNumberingAfterBreak="0">
    <w:nsid w:val="313904C8"/>
    <w:multiLevelType w:val="multilevel"/>
    <w:tmpl w:val="34AC3CD8"/>
    <w:lvl w:ilvl="0">
      <w:start w:val="1"/>
      <w:numFmt w:val="decimal"/>
      <w:lvlText w:val="%1."/>
      <w:lvlJc w:val="left"/>
      <w:pPr>
        <w:ind w:left="1080" w:hanging="360"/>
      </w:p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Zero"/>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1" w15:restartNumberingAfterBreak="0">
    <w:nsid w:val="331F6D42"/>
    <w:multiLevelType w:val="multilevel"/>
    <w:tmpl w:val="3C526EDE"/>
    <w:styleLink w:val="Headings"/>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lvlText w:val="%1.%2.%3.%4.%5."/>
      <w:lvlJc w:val="left"/>
      <w:pPr>
        <w:tabs>
          <w:tab w:val="num" w:pos="2880"/>
        </w:tabs>
        <w:ind w:left="2880" w:hanging="1440"/>
      </w:pPr>
      <w:rPr>
        <w:rFonts w:ascii="Arial" w:hAnsi="Arial" w:hint="default"/>
        <w:b/>
        <w:i w:val="0"/>
        <w:sz w:val="26"/>
      </w:rPr>
    </w:lvl>
    <w:lvl w:ilvl="5">
      <w:start w:val="1"/>
      <w:numFmt w:val="decimal"/>
      <w:lvlText w:val="%1.%2.%3.%4.%5.%6."/>
      <w:lvlJc w:val="left"/>
      <w:pPr>
        <w:tabs>
          <w:tab w:val="num" w:pos="3528"/>
        </w:tabs>
        <w:ind w:left="3528" w:hanging="1728"/>
      </w:pPr>
      <w:rPr>
        <w:rFonts w:ascii="Arial" w:hAnsi="Arial" w:hint="default"/>
        <w:b/>
        <w:i w:val="0"/>
        <w:sz w:val="26"/>
      </w:rPr>
    </w:lvl>
    <w:lvl w:ilvl="6">
      <w:start w:val="1"/>
      <w:numFmt w:val="decimal"/>
      <w:lvlText w:val="%7."/>
      <w:lvlJc w:val="left"/>
      <w:pPr>
        <w:tabs>
          <w:tab w:val="num" w:pos="1080"/>
        </w:tabs>
        <w:ind w:left="1080" w:hanging="360"/>
      </w:pPr>
      <w:rPr>
        <w:rFonts w:ascii="Book Antiqua" w:hAnsi="Book Antiqua" w:hint="default"/>
        <w:b w:val="0"/>
        <w:i w:val="0"/>
        <w:sz w:val="26"/>
      </w:rPr>
    </w:lvl>
    <w:lvl w:ilvl="7">
      <w:start w:val="1"/>
      <w:numFmt w:val="lowerLetter"/>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22" w15:restartNumberingAfterBreak="0">
    <w:nsid w:val="34D870AF"/>
    <w:multiLevelType w:val="hybridMultilevel"/>
    <w:tmpl w:val="651424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D608F9"/>
    <w:multiLevelType w:val="multilevel"/>
    <w:tmpl w:val="DB6EA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77D7C5E"/>
    <w:multiLevelType w:val="hybridMultilevel"/>
    <w:tmpl w:val="D08C01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BC81CB3"/>
    <w:multiLevelType w:val="multilevel"/>
    <w:tmpl w:val="7CFAF8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D337D86"/>
    <w:multiLevelType w:val="hybridMultilevel"/>
    <w:tmpl w:val="09D46966"/>
    <w:lvl w:ilvl="0" w:tplc="0409000F">
      <w:start w:val="1"/>
      <w:numFmt w:val="decimal"/>
      <w:lvlText w:val="%1."/>
      <w:lvlJc w:val="left"/>
      <w:pPr>
        <w:ind w:left="720" w:hanging="360"/>
      </w:pPr>
    </w:lvl>
    <w:lvl w:ilvl="1" w:tplc="FFFFFFFF" w:tentative="1">
      <w:start w:val="1"/>
      <w:numFmt w:val="lowerLetter"/>
      <w:lvlText w:val="%2."/>
      <w:lvlJc w:val="left"/>
      <w:pPr>
        <w:ind w:left="0" w:hanging="360"/>
      </w:pPr>
    </w:lvl>
    <w:lvl w:ilvl="2" w:tplc="FFFFFFFF" w:tentative="1">
      <w:start w:val="1"/>
      <w:numFmt w:val="lowerRoman"/>
      <w:lvlText w:val="%3."/>
      <w:lvlJc w:val="right"/>
      <w:pPr>
        <w:ind w:left="720" w:hanging="180"/>
      </w:pPr>
    </w:lvl>
    <w:lvl w:ilvl="3" w:tplc="FFFFFFFF" w:tentative="1">
      <w:start w:val="1"/>
      <w:numFmt w:val="decimal"/>
      <w:lvlText w:val="%4."/>
      <w:lvlJc w:val="left"/>
      <w:pPr>
        <w:ind w:left="1440" w:hanging="360"/>
      </w:pPr>
    </w:lvl>
    <w:lvl w:ilvl="4" w:tplc="FFFFFFFF" w:tentative="1">
      <w:start w:val="1"/>
      <w:numFmt w:val="lowerLetter"/>
      <w:lvlText w:val="%5."/>
      <w:lvlJc w:val="left"/>
      <w:pPr>
        <w:ind w:left="2160" w:hanging="360"/>
      </w:pPr>
    </w:lvl>
    <w:lvl w:ilvl="5" w:tplc="FFFFFFFF" w:tentative="1">
      <w:start w:val="1"/>
      <w:numFmt w:val="lowerRoman"/>
      <w:lvlText w:val="%6."/>
      <w:lvlJc w:val="right"/>
      <w:pPr>
        <w:ind w:left="2880" w:hanging="180"/>
      </w:pPr>
    </w:lvl>
    <w:lvl w:ilvl="6" w:tplc="FFFFFFFF" w:tentative="1">
      <w:start w:val="1"/>
      <w:numFmt w:val="decimal"/>
      <w:lvlText w:val="%7."/>
      <w:lvlJc w:val="left"/>
      <w:pPr>
        <w:ind w:left="3600" w:hanging="360"/>
      </w:pPr>
    </w:lvl>
    <w:lvl w:ilvl="7" w:tplc="FFFFFFFF" w:tentative="1">
      <w:start w:val="1"/>
      <w:numFmt w:val="lowerLetter"/>
      <w:lvlText w:val="%8."/>
      <w:lvlJc w:val="left"/>
      <w:pPr>
        <w:ind w:left="4320" w:hanging="360"/>
      </w:pPr>
    </w:lvl>
    <w:lvl w:ilvl="8" w:tplc="FFFFFFFF" w:tentative="1">
      <w:start w:val="1"/>
      <w:numFmt w:val="lowerRoman"/>
      <w:lvlText w:val="%9."/>
      <w:lvlJc w:val="right"/>
      <w:pPr>
        <w:ind w:left="5040" w:hanging="180"/>
      </w:pPr>
    </w:lvl>
  </w:abstractNum>
  <w:abstractNum w:abstractNumId="27" w15:restartNumberingAfterBreak="0">
    <w:nsid w:val="450F202D"/>
    <w:multiLevelType w:val="hybridMultilevel"/>
    <w:tmpl w:val="19EA73F8"/>
    <w:lvl w:ilvl="0" w:tplc="F29CFA2C">
      <w:start w:val="1"/>
      <w:numFmt w:val="lowerLetter"/>
      <w:lvlText w:val="%1."/>
      <w:lvlJc w:val="left"/>
      <w:pPr>
        <w:ind w:left="72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8" w15:restartNumberingAfterBreak="0">
    <w:nsid w:val="494D76D2"/>
    <w:multiLevelType w:val="hybridMultilevel"/>
    <w:tmpl w:val="2AC2C1BA"/>
    <w:lvl w:ilvl="0" w:tplc="ABD6C3C2">
      <w:start w:val="1"/>
      <w:numFmt w:val="lowerRoman"/>
      <w:lvlText w:val="%1."/>
      <w:lvlJc w:val="right"/>
      <w:pPr>
        <w:ind w:left="1080" w:hanging="360"/>
      </w:pPr>
    </w:lvl>
    <w:lvl w:ilvl="1" w:tplc="842C0BEE">
      <w:start w:val="1"/>
      <w:numFmt w:val="lowerLetter"/>
      <w:lvlText w:val="%2."/>
      <w:lvlJc w:val="left"/>
      <w:pPr>
        <w:ind w:left="1800" w:hanging="360"/>
      </w:pPr>
    </w:lvl>
    <w:lvl w:ilvl="2" w:tplc="2F0AE2FC">
      <w:start w:val="1"/>
      <w:numFmt w:val="lowerRoman"/>
      <w:lvlText w:val="%3."/>
      <w:lvlJc w:val="right"/>
      <w:pPr>
        <w:ind w:left="2520" w:hanging="180"/>
      </w:pPr>
    </w:lvl>
    <w:lvl w:ilvl="3" w:tplc="71646874">
      <w:start w:val="1"/>
      <w:numFmt w:val="decimal"/>
      <w:lvlText w:val="%4."/>
      <w:lvlJc w:val="left"/>
      <w:pPr>
        <w:ind w:left="3240" w:hanging="360"/>
      </w:pPr>
    </w:lvl>
    <w:lvl w:ilvl="4" w:tplc="AAD88ED0">
      <w:start w:val="1"/>
      <w:numFmt w:val="lowerLetter"/>
      <w:lvlText w:val="%5."/>
      <w:lvlJc w:val="left"/>
      <w:pPr>
        <w:ind w:left="3960" w:hanging="360"/>
      </w:pPr>
    </w:lvl>
    <w:lvl w:ilvl="5" w:tplc="6664618C">
      <w:start w:val="1"/>
      <w:numFmt w:val="lowerRoman"/>
      <w:lvlText w:val="%6."/>
      <w:lvlJc w:val="right"/>
      <w:pPr>
        <w:ind w:left="4680" w:hanging="180"/>
      </w:pPr>
    </w:lvl>
    <w:lvl w:ilvl="6" w:tplc="A484FCCA">
      <w:start w:val="1"/>
      <w:numFmt w:val="decimal"/>
      <w:lvlText w:val="%7."/>
      <w:lvlJc w:val="left"/>
      <w:pPr>
        <w:ind w:left="5400" w:hanging="360"/>
      </w:pPr>
    </w:lvl>
    <w:lvl w:ilvl="7" w:tplc="8AC66C78">
      <w:start w:val="1"/>
      <w:numFmt w:val="lowerLetter"/>
      <w:lvlText w:val="%8."/>
      <w:lvlJc w:val="left"/>
      <w:pPr>
        <w:ind w:left="6120" w:hanging="360"/>
      </w:pPr>
    </w:lvl>
    <w:lvl w:ilvl="8" w:tplc="AA144F84">
      <w:start w:val="1"/>
      <w:numFmt w:val="lowerRoman"/>
      <w:lvlText w:val="%9."/>
      <w:lvlJc w:val="right"/>
      <w:pPr>
        <w:ind w:left="6840" w:hanging="180"/>
      </w:pPr>
    </w:lvl>
  </w:abstractNum>
  <w:abstractNum w:abstractNumId="29" w15:restartNumberingAfterBreak="0">
    <w:nsid w:val="4E2950F0"/>
    <w:multiLevelType w:val="multilevel"/>
    <w:tmpl w:val="A566B9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04E7835"/>
    <w:multiLevelType w:val="multilevel"/>
    <w:tmpl w:val="C29EA8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0E12102"/>
    <w:multiLevelType w:val="hybridMultilevel"/>
    <w:tmpl w:val="075EDC5A"/>
    <w:lvl w:ilvl="0" w:tplc="FAEAAFE6">
      <w:start w:val="1"/>
      <w:numFmt w:val="decimal"/>
      <w:lvlText w:val="%1."/>
      <w:lvlJc w:val="right"/>
      <w:pPr>
        <w:ind w:left="1800" w:hanging="360"/>
      </w:pPr>
    </w:lvl>
    <w:lvl w:ilvl="1" w:tplc="97C4CDBC">
      <w:start w:val="1"/>
      <w:numFmt w:val="lowerLetter"/>
      <w:lvlText w:val="%2."/>
      <w:lvlJc w:val="left"/>
      <w:pPr>
        <w:ind w:left="2520" w:hanging="360"/>
      </w:pPr>
    </w:lvl>
    <w:lvl w:ilvl="2" w:tplc="34A4D80C">
      <w:start w:val="1"/>
      <w:numFmt w:val="lowerRoman"/>
      <w:lvlText w:val="%3."/>
      <w:lvlJc w:val="right"/>
      <w:pPr>
        <w:ind w:left="3240" w:hanging="180"/>
      </w:pPr>
    </w:lvl>
    <w:lvl w:ilvl="3" w:tplc="BCD6DA94">
      <w:start w:val="1"/>
      <w:numFmt w:val="decimal"/>
      <w:lvlText w:val="%4."/>
      <w:lvlJc w:val="left"/>
      <w:pPr>
        <w:ind w:left="3960" w:hanging="360"/>
      </w:pPr>
    </w:lvl>
    <w:lvl w:ilvl="4" w:tplc="DFF2DF92">
      <w:start w:val="1"/>
      <w:numFmt w:val="lowerLetter"/>
      <w:lvlText w:val="%5."/>
      <w:lvlJc w:val="left"/>
      <w:pPr>
        <w:ind w:left="4680" w:hanging="360"/>
      </w:pPr>
    </w:lvl>
    <w:lvl w:ilvl="5" w:tplc="9778753E">
      <w:start w:val="1"/>
      <w:numFmt w:val="lowerRoman"/>
      <w:lvlText w:val="%6."/>
      <w:lvlJc w:val="right"/>
      <w:pPr>
        <w:ind w:left="5400" w:hanging="180"/>
      </w:pPr>
    </w:lvl>
    <w:lvl w:ilvl="6" w:tplc="68C25F18">
      <w:start w:val="1"/>
      <w:numFmt w:val="decimal"/>
      <w:lvlText w:val="%7."/>
      <w:lvlJc w:val="left"/>
      <w:pPr>
        <w:ind w:left="6120" w:hanging="360"/>
      </w:pPr>
    </w:lvl>
    <w:lvl w:ilvl="7" w:tplc="806AEA0E">
      <w:start w:val="1"/>
      <w:numFmt w:val="lowerLetter"/>
      <w:lvlText w:val="%8."/>
      <w:lvlJc w:val="left"/>
      <w:pPr>
        <w:ind w:left="6840" w:hanging="360"/>
      </w:pPr>
    </w:lvl>
    <w:lvl w:ilvl="8" w:tplc="B66A9CFC">
      <w:start w:val="1"/>
      <w:numFmt w:val="lowerRoman"/>
      <w:lvlText w:val="%9."/>
      <w:lvlJc w:val="right"/>
      <w:pPr>
        <w:ind w:left="7560" w:hanging="180"/>
      </w:pPr>
    </w:lvl>
  </w:abstractNum>
  <w:abstractNum w:abstractNumId="32" w15:restartNumberingAfterBreak="0">
    <w:nsid w:val="55A970C1"/>
    <w:multiLevelType w:val="hybridMultilevel"/>
    <w:tmpl w:val="F0AC78CE"/>
    <w:lvl w:ilvl="0" w:tplc="04090017">
      <w:start w:val="1"/>
      <w:numFmt w:val="lowerLetter"/>
      <w:lvlText w:val="%1)"/>
      <w:lvlJc w:val="left"/>
      <w:pPr>
        <w:ind w:left="117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3" w15:restartNumberingAfterBreak="0">
    <w:nsid w:val="59D042D7"/>
    <w:multiLevelType w:val="multilevel"/>
    <w:tmpl w:val="18F4A5AC"/>
    <w:numStyleLink w:val="FoFCoLOP"/>
  </w:abstractNum>
  <w:abstractNum w:abstractNumId="34" w15:restartNumberingAfterBreak="0">
    <w:nsid w:val="5A9E2171"/>
    <w:multiLevelType w:val="multilevel"/>
    <w:tmpl w:val="3C526EDE"/>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lvlText w:val="%1.%2.%3.%4.%5."/>
      <w:lvlJc w:val="left"/>
      <w:pPr>
        <w:tabs>
          <w:tab w:val="num" w:pos="2880"/>
        </w:tabs>
        <w:ind w:left="2880" w:hanging="1440"/>
      </w:pPr>
      <w:rPr>
        <w:rFonts w:ascii="Arial" w:hAnsi="Arial" w:hint="default"/>
        <w:b/>
        <w:i w:val="0"/>
        <w:sz w:val="26"/>
      </w:rPr>
    </w:lvl>
    <w:lvl w:ilvl="5">
      <w:start w:val="1"/>
      <w:numFmt w:val="decimal"/>
      <w:lvlText w:val="%1.%2.%3.%4.%5.%6."/>
      <w:lvlJc w:val="left"/>
      <w:pPr>
        <w:tabs>
          <w:tab w:val="num" w:pos="3528"/>
        </w:tabs>
        <w:ind w:left="3528" w:hanging="1728"/>
      </w:pPr>
      <w:rPr>
        <w:rFonts w:ascii="Arial" w:hAnsi="Arial" w:hint="default"/>
        <w:b/>
        <w:i w:val="0"/>
        <w:sz w:val="26"/>
      </w:rPr>
    </w:lvl>
    <w:lvl w:ilvl="6">
      <w:start w:val="1"/>
      <w:numFmt w:val="decimal"/>
      <w:lvlText w:val="%7."/>
      <w:lvlJc w:val="left"/>
      <w:pPr>
        <w:tabs>
          <w:tab w:val="num" w:pos="1080"/>
        </w:tabs>
        <w:ind w:left="1080" w:hanging="360"/>
      </w:pPr>
      <w:rPr>
        <w:rFonts w:ascii="Book Antiqua" w:hAnsi="Book Antiqua" w:hint="default"/>
        <w:b w:val="0"/>
        <w:i w:val="0"/>
        <w:sz w:val="26"/>
      </w:rPr>
    </w:lvl>
    <w:lvl w:ilvl="7">
      <w:start w:val="1"/>
      <w:numFmt w:val="lowerLetter"/>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35" w15:restartNumberingAfterBreak="0">
    <w:nsid w:val="5D0C5279"/>
    <w:multiLevelType w:val="hybridMultilevel"/>
    <w:tmpl w:val="6FFA67D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5DA24D4D"/>
    <w:multiLevelType w:val="hybridMultilevel"/>
    <w:tmpl w:val="3B9E7C8A"/>
    <w:lvl w:ilvl="0" w:tplc="0409000F">
      <w:start w:val="1"/>
      <w:numFmt w:val="decimal"/>
      <w:lvlText w:val="%1."/>
      <w:lvlJc w:val="left"/>
      <w:pPr>
        <w:ind w:left="1267" w:hanging="360"/>
      </w:pPr>
    </w:lvl>
    <w:lvl w:ilvl="1" w:tplc="5ED0B16E">
      <w:start w:val="1"/>
      <w:numFmt w:val="lowerLetter"/>
      <w:lvlText w:val="%2."/>
      <w:lvlJc w:val="left"/>
      <w:pPr>
        <w:ind w:left="1987" w:hanging="360"/>
      </w:pPr>
      <w:rPr>
        <w:rFonts w:ascii="Book Antiqua" w:eastAsia="Book Antiqua" w:hAnsi="Book Antiqua" w:cs="Book Antiqua"/>
      </w:rPr>
    </w:lvl>
    <w:lvl w:ilvl="2" w:tplc="0409001B">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37" w15:restartNumberingAfterBreak="0">
    <w:nsid w:val="61A25780"/>
    <w:multiLevelType w:val="multilevel"/>
    <w:tmpl w:val="3C526EDE"/>
    <w:numStyleLink w:val="Headings"/>
  </w:abstractNum>
  <w:abstractNum w:abstractNumId="38" w15:restartNumberingAfterBreak="0">
    <w:nsid w:val="61A921A3"/>
    <w:multiLevelType w:val="hybridMultilevel"/>
    <w:tmpl w:val="E53244E4"/>
    <w:lvl w:ilvl="0" w:tplc="5D7837F6">
      <w:start w:val="1"/>
      <w:numFmt w:val="lowerLetter"/>
      <w:lvlText w:val="%1."/>
      <w:lvlJc w:val="left"/>
      <w:pPr>
        <w:ind w:left="1800" w:hanging="360"/>
      </w:pPr>
    </w:lvl>
    <w:lvl w:ilvl="1" w:tplc="51105470">
      <w:start w:val="1"/>
      <w:numFmt w:val="lowerLetter"/>
      <w:lvlText w:val="%2."/>
      <w:lvlJc w:val="left"/>
      <w:pPr>
        <w:ind w:left="2520" w:hanging="360"/>
      </w:pPr>
    </w:lvl>
    <w:lvl w:ilvl="2" w:tplc="BE9CE54C">
      <w:start w:val="1"/>
      <w:numFmt w:val="lowerRoman"/>
      <w:lvlText w:val="%3."/>
      <w:lvlJc w:val="right"/>
      <w:pPr>
        <w:ind w:left="3240" w:hanging="180"/>
      </w:pPr>
    </w:lvl>
    <w:lvl w:ilvl="3" w:tplc="1A20C344">
      <w:start w:val="1"/>
      <w:numFmt w:val="decimal"/>
      <w:lvlText w:val="%4."/>
      <w:lvlJc w:val="left"/>
      <w:pPr>
        <w:ind w:left="3960" w:hanging="360"/>
      </w:pPr>
    </w:lvl>
    <w:lvl w:ilvl="4" w:tplc="7D966BA8">
      <w:start w:val="1"/>
      <w:numFmt w:val="lowerLetter"/>
      <w:lvlText w:val="%5."/>
      <w:lvlJc w:val="left"/>
      <w:pPr>
        <w:ind w:left="4680" w:hanging="360"/>
      </w:pPr>
    </w:lvl>
    <w:lvl w:ilvl="5" w:tplc="716474BE">
      <w:start w:val="1"/>
      <w:numFmt w:val="lowerRoman"/>
      <w:lvlText w:val="%6."/>
      <w:lvlJc w:val="right"/>
      <w:pPr>
        <w:ind w:left="5400" w:hanging="180"/>
      </w:pPr>
    </w:lvl>
    <w:lvl w:ilvl="6" w:tplc="F8EE5DDA">
      <w:start w:val="1"/>
      <w:numFmt w:val="decimal"/>
      <w:lvlText w:val="%7."/>
      <w:lvlJc w:val="left"/>
      <w:pPr>
        <w:ind w:left="6120" w:hanging="360"/>
      </w:pPr>
    </w:lvl>
    <w:lvl w:ilvl="7" w:tplc="D9B22C30">
      <w:start w:val="1"/>
      <w:numFmt w:val="lowerLetter"/>
      <w:lvlText w:val="%8."/>
      <w:lvlJc w:val="left"/>
      <w:pPr>
        <w:ind w:left="6840" w:hanging="360"/>
      </w:pPr>
    </w:lvl>
    <w:lvl w:ilvl="8" w:tplc="80B63996">
      <w:start w:val="1"/>
      <w:numFmt w:val="lowerRoman"/>
      <w:lvlText w:val="%9."/>
      <w:lvlJc w:val="right"/>
      <w:pPr>
        <w:ind w:left="7560" w:hanging="180"/>
      </w:pPr>
    </w:lvl>
  </w:abstractNum>
  <w:abstractNum w:abstractNumId="39" w15:restartNumberingAfterBreak="0">
    <w:nsid w:val="631664CA"/>
    <w:multiLevelType w:val="hybridMultilevel"/>
    <w:tmpl w:val="B470B2C2"/>
    <w:lvl w:ilvl="0" w:tplc="541E5632">
      <w:start w:val="1"/>
      <w:numFmt w:val="decimal"/>
      <w:lvlText w:val="%1."/>
      <w:lvlJc w:val="left"/>
      <w:pPr>
        <w:ind w:left="1440" w:hanging="360"/>
      </w:pPr>
      <w:rPr>
        <w:rFonts w:ascii="Book Antiqua" w:eastAsiaTheme="minorHAnsi" w:hAnsi="Book Antiqua" w:cstheme="minorBidi"/>
      </w:rPr>
    </w:lvl>
    <w:lvl w:ilvl="1" w:tplc="F29CFA2C">
      <w:start w:val="1"/>
      <w:numFmt w:val="lowerLetter"/>
      <w:lvlText w:val="%2."/>
      <w:lvlJc w:val="left"/>
      <w:pPr>
        <w:ind w:left="2160" w:hanging="360"/>
      </w:pPr>
    </w:lvl>
    <w:lvl w:ilvl="2" w:tplc="2F6CA064">
      <w:start w:val="1"/>
      <w:numFmt w:val="lowerRoman"/>
      <w:lvlText w:val="%3."/>
      <w:lvlJc w:val="right"/>
      <w:pPr>
        <w:ind w:left="2880" w:hanging="180"/>
      </w:pPr>
    </w:lvl>
    <w:lvl w:ilvl="3" w:tplc="BBFC39FE">
      <w:start w:val="1"/>
      <w:numFmt w:val="decimal"/>
      <w:lvlText w:val="%4."/>
      <w:lvlJc w:val="left"/>
      <w:pPr>
        <w:ind w:left="3600" w:hanging="360"/>
      </w:pPr>
    </w:lvl>
    <w:lvl w:ilvl="4" w:tplc="209A0D80">
      <w:start w:val="1"/>
      <w:numFmt w:val="lowerLetter"/>
      <w:lvlText w:val="%5."/>
      <w:lvlJc w:val="left"/>
      <w:pPr>
        <w:ind w:left="4320" w:hanging="360"/>
      </w:pPr>
    </w:lvl>
    <w:lvl w:ilvl="5" w:tplc="5CB4F1E8">
      <w:start w:val="1"/>
      <w:numFmt w:val="lowerRoman"/>
      <w:lvlText w:val="%6."/>
      <w:lvlJc w:val="right"/>
      <w:pPr>
        <w:ind w:left="5040" w:hanging="180"/>
      </w:pPr>
    </w:lvl>
    <w:lvl w:ilvl="6" w:tplc="1B6C4B3A">
      <w:start w:val="1"/>
      <w:numFmt w:val="decimal"/>
      <w:lvlText w:val="%7."/>
      <w:lvlJc w:val="left"/>
      <w:pPr>
        <w:ind w:left="5760" w:hanging="360"/>
      </w:pPr>
    </w:lvl>
    <w:lvl w:ilvl="7" w:tplc="799CB776">
      <w:start w:val="1"/>
      <w:numFmt w:val="lowerLetter"/>
      <w:lvlText w:val="%8."/>
      <w:lvlJc w:val="left"/>
      <w:pPr>
        <w:ind w:left="6480" w:hanging="360"/>
      </w:pPr>
    </w:lvl>
    <w:lvl w:ilvl="8" w:tplc="DCA0A5C2">
      <w:start w:val="1"/>
      <w:numFmt w:val="lowerRoman"/>
      <w:lvlText w:val="%9."/>
      <w:lvlJc w:val="right"/>
      <w:pPr>
        <w:ind w:left="7200" w:hanging="180"/>
      </w:pPr>
    </w:lvl>
  </w:abstractNum>
  <w:abstractNum w:abstractNumId="40" w15:restartNumberingAfterBreak="0">
    <w:nsid w:val="63499CD4"/>
    <w:multiLevelType w:val="hybridMultilevel"/>
    <w:tmpl w:val="4628E622"/>
    <w:lvl w:ilvl="0" w:tplc="6710685A">
      <w:start w:val="1"/>
      <w:numFmt w:val="lowerLetter"/>
      <w:lvlText w:val="%1."/>
      <w:lvlJc w:val="left"/>
      <w:pPr>
        <w:ind w:left="1080" w:hanging="360"/>
      </w:pPr>
    </w:lvl>
    <w:lvl w:ilvl="1" w:tplc="DF766D0C">
      <w:start w:val="1"/>
      <w:numFmt w:val="lowerLetter"/>
      <w:lvlText w:val="%2."/>
      <w:lvlJc w:val="left"/>
      <w:pPr>
        <w:ind w:left="1800" w:hanging="360"/>
      </w:pPr>
    </w:lvl>
    <w:lvl w:ilvl="2" w:tplc="D868AE5A">
      <w:start w:val="1"/>
      <w:numFmt w:val="lowerRoman"/>
      <w:lvlText w:val="%3."/>
      <w:lvlJc w:val="right"/>
      <w:pPr>
        <w:ind w:left="2520" w:hanging="180"/>
      </w:pPr>
    </w:lvl>
    <w:lvl w:ilvl="3" w:tplc="33D86354">
      <w:start w:val="1"/>
      <w:numFmt w:val="decimal"/>
      <w:lvlText w:val="%4."/>
      <w:lvlJc w:val="left"/>
      <w:pPr>
        <w:ind w:left="3240" w:hanging="360"/>
      </w:pPr>
    </w:lvl>
    <w:lvl w:ilvl="4" w:tplc="170EB162">
      <w:start w:val="1"/>
      <w:numFmt w:val="lowerLetter"/>
      <w:lvlText w:val="%5."/>
      <w:lvlJc w:val="left"/>
      <w:pPr>
        <w:ind w:left="3960" w:hanging="360"/>
      </w:pPr>
    </w:lvl>
    <w:lvl w:ilvl="5" w:tplc="AB36EA28">
      <w:start w:val="1"/>
      <w:numFmt w:val="lowerRoman"/>
      <w:lvlText w:val="%6."/>
      <w:lvlJc w:val="right"/>
      <w:pPr>
        <w:ind w:left="4680" w:hanging="180"/>
      </w:pPr>
    </w:lvl>
    <w:lvl w:ilvl="6" w:tplc="C1BCCE3E">
      <w:start w:val="1"/>
      <w:numFmt w:val="decimal"/>
      <w:lvlText w:val="%7."/>
      <w:lvlJc w:val="left"/>
      <w:pPr>
        <w:ind w:left="5400" w:hanging="360"/>
      </w:pPr>
    </w:lvl>
    <w:lvl w:ilvl="7" w:tplc="DC52E770">
      <w:start w:val="1"/>
      <w:numFmt w:val="lowerLetter"/>
      <w:lvlText w:val="%8."/>
      <w:lvlJc w:val="left"/>
      <w:pPr>
        <w:ind w:left="6120" w:hanging="360"/>
      </w:pPr>
    </w:lvl>
    <w:lvl w:ilvl="8" w:tplc="49BC3916">
      <w:start w:val="1"/>
      <w:numFmt w:val="lowerRoman"/>
      <w:lvlText w:val="%9."/>
      <w:lvlJc w:val="right"/>
      <w:pPr>
        <w:ind w:left="6840" w:hanging="180"/>
      </w:pPr>
    </w:lvl>
  </w:abstractNum>
  <w:abstractNum w:abstractNumId="41" w15:restartNumberingAfterBreak="0">
    <w:nsid w:val="63E50918"/>
    <w:multiLevelType w:val="multilevel"/>
    <w:tmpl w:val="B3FE8786"/>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isLgl/>
      <w:lvlText w:val="%1.%2.%3"/>
      <w:lvlJc w:val="left"/>
      <w:pPr>
        <w:ind w:left="1440" w:hanging="720"/>
      </w:pPr>
      <w:rPr>
        <w:rFonts w:hint="default"/>
      </w:rPr>
    </w:lvl>
    <w:lvl w:ilvl="3">
      <w:start w:val="1"/>
      <w:numFmt w:val="decimalZero"/>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2" w15:restartNumberingAfterBreak="0">
    <w:nsid w:val="67C36434"/>
    <w:multiLevelType w:val="multilevel"/>
    <w:tmpl w:val="E4B246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81A0D4A"/>
    <w:multiLevelType w:val="multilevel"/>
    <w:tmpl w:val="EDB4C1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94D0137"/>
    <w:multiLevelType w:val="hybridMultilevel"/>
    <w:tmpl w:val="B21A3E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41A4882"/>
    <w:multiLevelType w:val="multilevel"/>
    <w:tmpl w:val="CEBEC3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6492D3E"/>
    <w:multiLevelType w:val="multilevel"/>
    <w:tmpl w:val="B8FE7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89A0AFE"/>
    <w:multiLevelType w:val="multilevel"/>
    <w:tmpl w:val="18F4A5AC"/>
    <w:numStyleLink w:val="FoFCoLOP"/>
  </w:abstractNum>
  <w:abstractNum w:abstractNumId="49" w15:restartNumberingAfterBreak="0">
    <w:nsid w:val="79C438CD"/>
    <w:multiLevelType w:val="multilevel"/>
    <w:tmpl w:val="88CA2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B1D6212"/>
    <w:multiLevelType w:val="multilevel"/>
    <w:tmpl w:val="35D80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E33470E"/>
    <w:multiLevelType w:val="multilevel"/>
    <w:tmpl w:val="478AD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E391313"/>
    <w:multiLevelType w:val="multilevel"/>
    <w:tmpl w:val="34AC3CD8"/>
    <w:lvl w:ilvl="0">
      <w:start w:val="1"/>
      <w:numFmt w:val="decimal"/>
      <w:lvlText w:val="%1."/>
      <w:lvlJc w:val="left"/>
      <w:pPr>
        <w:ind w:left="1080" w:hanging="360"/>
      </w:p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Zero"/>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3" w15:restartNumberingAfterBreak="0">
    <w:nsid w:val="7E640D00"/>
    <w:multiLevelType w:val="multilevel"/>
    <w:tmpl w:val="D80E34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E810025"/>
    <w:multiLevelType w:val="multilevel"/>
    <w:tmpl w:val="7B8AC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63245676">
    <w:abstractNumId w:val="31"/>
  </w:num>
  <w:num w:numId="2" w16cid:durableId="112789920">
    <w:abstractNumId w:val="34"/>
  </w:num>
  <w:num w:numId="3" w16cid:durableId="786584511">
    <w:abstractNumId w:val="7"/>
  </w:num>
  <w:num w:numId="4" w16cid:durableId="1511021420">
    <w:abstractNumId w:val="33"/>
  </w:num>
  <w:num w:numId="5" w16cid:durableId="128522467">
    <w:abstractNumId w:val="8"/>
  </w:num>
  <w:num w:numId="6" w16cid:durableId="589966300">
    <w:abstractNumId w:val="48"/>
  </w:num>
  <w:num w:numId="7" w16cid:durableId="918442091">
    <w:abstractNumId w:val="21"/>
  </w:num>
  <w:num w:numId="8" w16cid:durableId="812719765">
    <w:abstractNumId w:val="13"/>
  </w:num>
  <w:num w:numId="9" w16cid:durableId="1292439631">
    <w:abstractNumId w:val="45"/>
  </w:num>
  <w:num w:numId="10" w16cid:durableId="80610023">
    <w:abstractNumId w:val="0"/>
  </w:num>
  <w:num w:numId="11" w16cid:durableId="1248997558">
    <w:abstractNumId w:val="12"/>
  </w:num>
  <w:num w:numId="12" w16cid:durableId="2024628642">
    <w:abstractNumId w:val="15"/>
  </w:num>
  <w:num w:numId="13" w16cid:durableId="1438794425">
    <w:abstractNumId w:val="11"/>
  </w:num>
  <w:num w:numId="14" w16cid:durableId="1896693728">
    <w:abstractNumId w:val="16"/>
  </w:num>
  <w:num w:numId="15" w16cid:durableId="1778987286">
    <w:abstractNumId w:val="18"/>
  </w:num>
  <w:num w:numId="16" w16cid:durableId="1295672894">
    <w:abstractNumId w:val="37"/>
  </w:num>
  <w:num w:numId="17" w16cid:durableId="139292750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03693094">
    <w:abstractNumId w:val="37"/>
  </w:num>
  <w:num w:numId="19" w16cid:durableId="33607607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9808605">
    <w:abstractNumId w:val="30"/>
  </w:num>
  <w:num w:numId="21" w16cid:durableId="1359038328">
    <w:abstractNumId w:val="29"/>
  </w:num>
  <w:num w:numId="22" w16cid:durableId="637031607">
    <w:abstractNumId w:val="17"/>
  </w:num>
  <w:num w:numId="23" w16cid:durableId="154499189">
    <w:abstractNumId w:val="25"/>
  </w:num>
  <w:num w:numId="24" w16cid:durableId="1678459057">
    <w:abstractNumId w:val="42"/>
  </w:num>
  <w:num w:numId="25" w16cid:durableId="171651561">
    <w:abstractNumId w:val="53"/>
  </w:num>
  <w:num w:numId="26" w16cid:durableId="1687291561">
    <w:abstractNumId w:val="1"/>
  </w:num>
  <w:num w:numId="27" w16cid:durableId="1617566454">
    <w:abstractNumId w:val="19"/>
  </w:num>
  <w:num w:numId="28" w16cid:durableId="701249229">
    <w:abstractNumId w:val="50"/>
  </w:num>
  <w:num w:numId="29" w16cid:durableId="153617953">
    <w:abstractNumId w:val="43"/>
  </w:num>
  <w:num w:numId="30" w16cid:durableId="1080295592">
    <w:abstractNumId w:val="46"/>
  </w:num>
  <w:num w:numId="31" w16cid:durableId="77531241">
    <w:abstractNumId w:val="49"/>
  </w:num>
  <w:num w:numId="32" w16cid:durableId="1627545276">
    <w:abstractNumId w:val="9"/>
  </w:num>
  <w:num w:numId="33" w16cid:durableId="1132291567">
    <w:abstractNumId w:val="4"/>
  </w:num>
  <w:num w:numId="34" w16cid:durableId="1805582419">
    <w:abstractNumId w:val="14"/>
  </w:num>
  <w:num w:numId="35" w16cid:durableId="857085947">
    <w:abstractNumId w:val="23"/>
  </w:num>
  <w:num w:numId="36" w16cid:durableId="625935853">
    <w:abstractNumId w:val="6"/>
  </w:num>
  <w:num w:numId="37" w16cid:durableId="1023094904">
    <w:abstractNumId w:val="47"/>
  </w:num>
  <w:num w:numId="38" w16cid:durableId="584537216">
    <w:abstractNumId w:val="51"/>
  </w:num>
  <w:num w:numId="39" w16cid:durableId="1973443871">
    <w:abstractNumId w:val="54"/>
  </w:num>
  <w:num w:numId="40" w16cid:durableId="834343591">
    <w:abstractNumId w:val="3"/>
  </w:num>
  <w:num w:numId="41" w16cid:durableId="154348245">
    <w:abstractNumId w:val="35"/>
  </w:num>
  <w:num w:numId="42" w16cid:durableId="847599230">
    <w:abstractNumId w:val="36"/>
  </w:num>
  <w:num w:numId="43" w16cid:durableId="430711146">
    <w:abstractNumId w:val="5"/>
  </w:num>
  <w:num w:numId="44" w16cid:durableId="1140465349">
    <w:abstractNumId w:val="22"/>
  </w:num>
  <w:num w:numId="45" w16cid:durableId="2078894644">
    <w:abstractNumId w:val="10"/>
  </w:num>
  <w:num w:numId="46" w16cid:durableId="639650994">
    <w:abstractNumId w:val="52"/>
  </w:num>
  <w:num w:numId="47" w16cid:durableId="1755741128">
    <w:abstractNumId w:val="2"/>
  </w:num>
  <w:num w:numId="48" w16cid:durableId="685450488">
    <w:abstractNumId w:val="44"/>
  </w:num>
  <w:num w:numId="49" w16cid:durableId="977339776">
    <w:abstractNumId w:val="20"/>
  </w:num>
  <w:num w:numId="50" w16cid:durableId="557010507">
    <w:abstractNumId w:val="41"/>
  </w:num>
  <w:num w:numId="51" w16cid:durableId="129252516">
    <w:abstractNumId w:val="39"/>
  </w:num>
  <w:num w:numId="52" w16cid:durableId="2097629314">
    <w:abstractNumId w:val="40"/>
  </w:num>
  <w:num w:numId="53" w16cid:durableId="1066150733">
    <w:abstractNumId w:val="38"/>
  </w:num>
  <w:num w:numId="54" w16cid:durableId="1559122037">
    <w:abstractNumId w:val="32"/>
  </w:num>
  <w:num w:numId="55" w16cid:durableId="1695112696">
    <w:abstractNumId w:val="24"/>
  </w:num>
  <w:num w:numId="56" w16cid:durableId="216015521">
    <w:abstractNumId w:val="27"/>
  </w:num>
  <w:num w:numId="57" w16cid:durableId="1287545925">
    <w:abstractNumId w:val="26"/>
  </w:num>
  <w:num w:numId="58" w16cid:durableId="966812675">
    <w:abstractNumId w:val="2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37B"/>
    <w:rsid w:val="000006E7"/>
    <w:rsid w:val="00000C59"/>
    <w:rsid w:val="00000F6A"/>
    <w:rsid w:val="0000124C"/>
    <w:rsid w:val="00001AA9"/>
    <w:rsid w:val="00001ACD"/>
    <w:rsid w:val="000021A2"/>
    <w:rsid w:val="00002316"/>
    <w:rsid w:val="000025B1"/>
    <w:rsid w:val="00002771"/>
    <w:rsid w:val="00002E29"/>
    <w:rsid w:val="00003538"/>
    <w:rsid w:val="0000490F"/>
    <w:rsid w:val="000050A8"/>
    <w:rsid w:val="00005766"/>
    <w:rsid w:val="0000578A"/>
    <w:rsid w:val="0000580A"/>
    <w:rsid w:val="000065CF"/>
    <w:rsid w:val="00006D2D"/>
    <w:rsid w:val="000072BB"/>
    <w:rsid w:val="000102F0"/>
    <w:rsid w:val="00010396"/>
    <w:rsid w:val="000103FC"/>
    <w:rsid w:val="00010974"/>
    <w:rsid w:val="000110A5"/>
    <w:rsid w:val="00012042"/>
    <w:rsid w:val="000123D1"/>
    <w:rsid w:val="00012BF2"/>
    <w:rsid w:val="00013AFB"/>
    <w:rsid w:val="000147E7"/>
    <w:rsid w:val="00015021"/>
    <w:rsid w:val="00015A66"/>
    <w:rsid w:val="000173C7"/>
    <w:rsid w:val="0002091F"/>
    <w:rsid w:val="00020956"/>
    <w:rsid w:val="00021239"/>
    <w:rsid w:val="0002331D"/>
    <w:rsid w:val="000233F6"/>
    <w:rsid w:val="00023418"/>
    <w:rsid w:val="00023703"/>
    <w:rsid w:val="000247F4"/>
    <w:rsid w:val="00024D74"/>
    <w:rsid w:val="00025456"/>
    <w:rsid w:val="00026E62"/>
    <w:rsid w:val="00027F0A"/>
    <w:rsid w:val="000303D2"/>
    <w:rsid w:val="0003046A"/>
    <w:rsid w:val="0003046D"/>
    <w:rsid w:val="000315D0"/>
    <w:rsid w:val="00031AFE"/>
    <w:rsid w:val="00031FCA"/>
    <w:rsid w:val="00033140"/>
    <w:rsid w:val="000336E4"/>
    <w:rsid w:val="0003475E"/>
    <w:rsid w:val="00034EF3"/>
    <w:rsid w:val="00035038"/>
    <w:rsid w:val="0003551E"/>
    <w:rsid w:val="00035870"/>
    <w:rsid w:val="00035BB2"/>
    <w:rsid w:val="00035D6F"/>
    <w:rsid w:val="000377E6"/>
    <w:rsid w:val="00040B82"/>
    <w:rsid w:val="00040F0C"/>
    <w:rsid w:val="0004106F"/>
    <w:rsid w:val="00041801"/>
    <w:rsid w:val="000430B8"/>
    <w:rsid w:val="0004367B"/>
    <w:rsid w:val="00043A56"/>
    <w:rsid w:val="00043BAD"/>
    <w:rsid w:val="00043BBE"/>
    <w:rsid w:val="00043E56"/>
    <w:rsid w:val="0004477D"/>
    <w:rsid w:val="00045845"/>
    <w:rsid w:val="000477BD"/>
    <w:rsid w:val="00047CEC"/>
    <w:rsid w:val="000507AC"/>
    <w:rsid w:val="00050AA9"/>
    <w:rsid w:val="00050DD7"/>
    <w:rsid w:val="0005155D"/>
    <w:rsid w:val="00051E15"/>
    <w:rsid w:val="00054998"/>
    <w:rsid w:val="00055619"/>
    <w:rsid w:val="00055747"/>
    <w:rsid w:val="00056977"/>
    <w:rsid w:val="00056AC4"/>
    <w:rsid w:val="00057031"/>
    <w:rsid w:val="00057531"/>
    <w:rsid w:val="00057CA8"/>
    <w:rsid w:val="00061361"/>
    <w:rsid w:val="00061CFE"/>
    <w:rsid w:val="00061EBE"/>
    <w:rsid w:val="000622DE"/>
    <w:rsid w:val="00062DEB"/>
    <w:rsid w:val="00064A3C"/>
    <w:rsid w:val="00064D46"/>
    <w:rsid w:val="00064FD8"/>
    <w:rsid w:val="0006562E"/>
    <w:rsid w:val="000660C3"/>
    <w:rsid w:val="00066380"/>
    <w:rsid w:val="0006681F"/>
    <w:rsid w:val="0006F4FB"/>
    <w:rsid w:val="00070351"/>
    <w:rsid w:val="0007072B"/>
    <w:rsid w:val="000709CE"/>
    <w:rsid w:val="0007115A"/>
    <w:rsid w:val="00072075"/>
    <w:rsid w:val="0007243E"/>
    <w:rsid w:val="000724AB"/>
    <w:rsid w:val="000724E3"/>
    <w:rsid w:val="00072C6F"/>
    <w:rsid w:val="00073602"/>
    <w:rsid w:val="00073670"/>
    <w:rsid w:val="00073A62"/>
    <w:rsid w:val="000743C0"/>
    <w:rsid w:val="000750B3"/>
    <w:rsid w:val="00075FB6"/>
    <w:rsid w:val="00076183"/>
    <w:rsid w:val="00076781"/>
    <w:rsid w:val="000775F3"/>
    <w:rsid w:val="00077F66"/>
    <w:rsid w:val="00080301"/>
    <w:rsid w:val="0008030C"/>
    <w:rsid w:val="00080A93"/>
    <w:rsid w:val="0008173D"/>
    <w:rsid w:val="000822A1"/>
    <w:rsid w:val="0008236A"/>
    <w:rsid w:val="000838D7"/>
    <w:rsid w:val="00083E68"/>
    <w:rsid w:val="00084739"/>
    <w:rsid w:val="00084D7A"/>
    <w:rsid w:val="0008587C"/>
    <w:rsid w:val="00085EB6"/>
    <w:rsid w:val="00085F22"/>
    <w:rsid w:val="000870EC"/>
    <w:rsid w:val="00087BE9"/>
    <w:rsid w:val="00090F7E"/>
    <w:rsid w:val="00091500"/>
    <w:rsid w:val="0009180B"/>
    <w:rsid w:val="00091A53"/>
    <w:rsid w:val="00092BB1"/>
    <w:rsid w:val="0009384C"/>
    <w:rsid w:val="00093C50"/>
    <w:rsid w:val="00094DCF"/>
    <w:rsid w:val="0009521F"/>
    <w:rsid w:val="00095C09"/>
    <w:rsid w:val="00095CE6"/>
    <w:rsid w:val="00096C6D"/>
    <w:rsid w:val="000973C8"/>
    <w:rsid w:val="000973F7"/>
    <w:rsid w:val="00097F27"/>
    <w:rsid w:val="000A00C5"/>
    <w:rsid w:val="000A0977"/>
    <w:rsid w:val="000A0ACD"/>
    <w:rsid w:val="000A0D52"/>
    <w:rsid w:val="000A162D"/>
    <w:rsid w:val="000A1ECD"/>
    <w:rsid w:val="000A2636"/>
    <w:rsid w:val="000A2816"/>
    <w:rsid w:val="000A2AA9"/>
    <w:rsid w:val="000A2FDD"/>
    <w:rsid w:val="000A37D7"/>
    <w:rsid w:val="000A39FA"/>
    <w:rsid w:val="000A3FEE"/>
    <w:rsid w:val="000A4346"/>
    <w:rsid w:val="000A4EFD"/>
    <w:rsid w:val="000A5024"/>
    <w:rsid w:val="000A56F2"/>
    <w:rsid w:val="000A59C0"/>
    <w:rsid w:val="000A6E05"/>
    <w:rsid w:val="000A78A8"/>
    <w:rsid w:val="000A7B34"/>
    <w:rsid w:val="000B0B4B"/>
    <w:rsid w:val="000B0EFA"/>
    <w:rsid w:val="000B12FA"/>
    <w:rsid w:val="000B1783"/>
    <w:rsid w:val="000B1F46"/>
    <w:rsid w:val="000B25F9"/>
    <w:rsid w:val="000B28FC"/>
    <w:rsid w:val="000B2C90"/>
    <w:rsid w:val="000B2EC7"/>
    <w:rsid w:val="000B2FDC"/>
    <w:rsid w:val="000B31AF"/>
    <w:rsid w:val="000B336C"/>
    <w:rsid w:val="000B3EDC"/>
    <w:rsid w:val="000B4495"/>
    <w:rsid w:val="000B4B96"/>
    <w:rsid w:val="000B4DB9"/>
    <w:rsid w:val="000B5584"/>
    <w:rsid w:val="000B56B5"/>
    <w:rsid w:val="000B5755"/>
    <w:rsid w:val="000B5B05"/>
    <w:rsid w:val="000B5B86"/>
    <w:rsid w:val="000B7405"/>
    <w:rsid w:val="000B7D48"/>
    <w:rsid w:val="000C05B3"/>
    <w:rsid w:val="000C08BF"/>
    <w:rsid w:val="000C0DFD"/>
    <w:rsid w:val="000C1ADA"/>
    <w:rsid w:val="000C1EC1"/>
    <w:rsid w:val="000C2C71"/>
    <w:rsid w:val="000C2CED"/>
    <w:rsid w:val="000C2D8F"/>
    <w:rsid w:val="000C380D"/>
    <w:rsid w:val="000C389E"/>
    <w:rsid w:val="000C3B9A"/>
    <w:rsid w:val="000C445C"/>
    <w:rsid w:val="000C5618"/>
    <w:rsid w:val="000C5BB0"/>
    <w:rsid w:val="000C6F81"/>
    <w:rsid w:val="000C7908"/>
    <w:rsid w:val="000D040B"/>
    <w:rsid w:val="000D0B0B"/>
    <w:rsid w:val="000D0EDA"/>
    <w:rsid w:val="000D0F5E"/>
    <w:rsid w:val="000D1177"/>
    <w:rsid w:val="000D1552"/>
    <w:rsid w:val="000D1855"/>
    <w:rsid w:val="000D1A34"/>
    <w:rsid w:val="000D1B9B"/>
    <w:rsid w:val="000D1DB7"/>
    <w:rsid w:val="000D246A"/>
    <w:rsid w:val="000D25A8"/>
    <w:rsid w:val="000D2FA3"/>
    <w:rsid w:val="000D30A2"/>
    <w:rsid w:val="000D4C29"/>
    <w:rsid w:val="000D59BC"/>
    <w:rsid w:val="000D62F8"/>
    <w:rsid w:val="000D7076"/>
    <w:rsid w:val="000D7163"/>
    <w:rsid w:val="000E04E5"/>
    <w:rsid w:val="000E060F"/>
    <w:rsid w:val="000E067A"/>
    <w:rsid w:val="000E0A74"/>
    <w:rsid w:val="000E1B76"/>
    <w:rsid w:val="000E2015"/>
    <w:rsid w:val="000E270A"/>
    <w:rsid w:val="000E3440"/>
    <w:rsid w:val="000E38FC"/>
    <w:rsid w:val="000E3C4C"/>
    <w:rsid w:val="000E3DDC"/>
    <w:rsid w:val="000E3E49"/>
    <w:rsid w:val="000E41C8"/>
    <w:rsid w:val="000E4642"/>
    <w:rsid w:val="000E4C53"/>
    <w:rsid w:val="000E5726"/>
    <w:rsid w:val="000E60C2"/>
    <w:rsid w:val="000E6D5B"/>
    <w:rsid w:val="000E7C45"/>
    <w:rsid w:val="000F082C"/>
    <w:rsid w:val="000F0DA9"/>
    <w:rsid w:val="000F0E4F"/>
    <w:rsid w:val="000F25FF"/>
    <w:rsid w:val="000F376D"/>
    <w:rsid w:val="000F3ABF"/>
    <w:rsid w:val="000F4040"/>
    <w:rsid w:val="000F4749"/>
    <w:rsid w:val="000F566C"/>
    <w:rsid w:val="000F5F8C"/>
    <w:rsid w:val="000F616F"/>
    <w:rsid w:val="000F66BE"/>
    <w:rsid w:val="000F73DA"/>
    <w:rsid w:val="000F7C7A"/>
    <w:rsid w:val="000F7EED"/>
    <w:rsid w:val="0010044B"/>
    <w:rsid w:val="001010FA"/>
    <w:rsid w:val="00101C76"/>
    <w:rsid w:val="00102268"/>
    <w:rsid w:val="001028A9"/>
    <w:rsid w:val="00102C28"/>
    <w:rsid w:val="00102E52"/>
    <w:rsid w:val="001037DF"/>
    <w:rsid w:val="001037E4"/>
    <w:rsid w:val="001046AC"/>
    <w:rsid w:val="00105B68"/>
    <w:rsid w:val="00105FD3"/>
    <w:rsid w:val="0010748B"/>
    <w:rsid w:val="00107656"/>
    <w:rsid w:val="0010E37F"/>
    <w:rsid w:val="001106A1"/>
    <w:rsid w:val="00110BD0"/>
    <w:rsid w:val="00110DDB"/>
    <w:rsid w:val="001125A2"/>
    <w:rsid w:val="00112B0F"/>
    <w:rsid w:val="00112E8C"/>
    <w:rsid w:val="00112FD2"/>
    <w:rsid w:val="0011401D"/>
    <w:rsid w:val="001141C5"/>
    <w:rsid w:val="001144E4"/>
    <w:rsid w:val="0011492C"/>
    <w:rsid w:val="00115088"/>
    <w:rsid w:val="00115790"/>
    <w:rsid w:val="00115A3F"/>
    <w:rsid w:val="00115A9F"/>
    <w:rsid w:val="00116200"/>
    <w:rsid w:val="00116D9D"/>
    <w:rsid w:val="00117B3D"/>
    <w:rsid w:val="00117BB4"/>
    <w:rsid w:val="00117E19"/>
    <w:rsid w:val="00120707"/>
    <w:rsid w:val="00121089"/>
    <w:rsid w:val="00121BF1"/>
    <w:rsid w:val="00121E37"/>
    <w:rsid w:val="001222FD"/>
    <w:rsid w:val="00122673"/>
    <w:rsid w:val="001229E4"/>
    <w:rsid w:val="00124DD7"/>
    <w:rsid w:val="0012509B"/>
    <w:rsid w:val="00125121"/>
    <w:rsid w:val="00126077"/>
    <w:rsid w:val="001267DE"/>
    <w:rsid w:val="00126DF1"/>
    <w:rsid w:val="00126E39"/>
    <w:rsid w:val="00127357"/>
    <w:rsid w:val="0012773C"/>
    <w:rsid w:val="00127AB5"/>
    <w:rsid w:val="00130AD3"/>
    <w:rsid w:val="00130E41"/>
    <w:rsid w:val="001312A5"/>
    <w:rsid w:val="00132BB9"/>
    <w:rsid w:val="00133227"/>
    <w:rsid w:val="00133715"/>
    <w:rsid w:val="00133967"/>
    <w:rsid w:val="001339CD"/>
    <w:rsid w:val="0013438D"/>
    <w:rsid w:val="00134D96"/>
    <w:rsid w:val="001353E0"/>
    <w:rsid w:val="00135ED8"/>
    <w:rsid w:val="00136302"/>
    <w:rsid w:val="00136F75"/>
    <w:rsid w:val="00137158"/>
    <w:rsid w:val="001373A9"/>
    <w:rsid w:val="00140336"/>
    <w:rsid w:val="00140F1B"/>
    <w:rsid w:val="00141D40"/>
    <w:rsid w:val="00141D53"/>
    <w:rsid w:val="00141F3C"/>
    <w:rsid w:val="0014266C"/>
    <w:rsid w:val="00142686"/>
    <w:rsid w:val="00142888"/>
    <w:rsid w:val="00143595"/>
    <w:rsid w:val="00143DD6"/>
    <w:rsid w:val="001461F4"/>
    <w:rsid w:val="00147695"/>
    <w:rsid w:val="00147E00"/>
    <w:rsid w:val="0015016D"/>
    <w:rsid w:val="00150374"/>
    <w:rsid w:val="00150C4A"/>
    <w:rsid w:val="00150F4C"/>
    <w:rsid w:val="001514B7"/>
    <w:rsid w:val="0015356B"/>
    <w:rsid w:val="00155937"/>
    <w:rsid w:val="00155B70"/>
    <w:rsid w:val="00155E86"/>
    <w:rsid w:val="00157BA9"/>
    <w:rsid w:val="00160321"/>
    <w:rsid w:val="00160A71"/>
    <w:rsid w:val="0016130B"/>
    <w:rsid w:val="00161975"/>
    <w:rsid w:val="00161C66"/>
    <w:rsid w:val="00161F75"/>
    <w:rsid w:val="00162310"/>
    <w:rsid w:val="00162912"/>
    <w:rsid w:val="00162A13"/>
    <w:rsid w:val="00162C41"/>
    <w:rsid w:val="00162E6A"/>
    <w:rsid w:val="00163D0A"/>
    <w:rsid w:val="001643A7"/>
    <w:rsid w:val="0016479C"/>
    <w:rsid w:val="00164E44"/>
    <w:rsid w:val="00164F8D"/>
    <w:rsid w:val="00165544"/>
    <w:rsid w:val="001665C5"/>
    <w:rsid w:val="001669C9"/>
    <w:rsid w:val="00166E64"/>
    <w:rsid w:val="0016703E"/>
    <w:rsid w:val="00167238"/>
    <w:rsid w:val="001672F6"/>
    <w:rsid w:val="0017076A"/>
    <w:rsid w:val="0017140F"/>
    <w:rsid w:val="0017177B"/>
    <w:rsid w:val="00171BD3"/>
    <w:rsid w:val="00171C50"/>
    <w:rsid w:val="00171D4D"/>
    <w:rsid w:val="00172909"/>
    <w:rsid w:val="0017375F"/>
    <w:rsid w:val="00173D35"/>
    <w:rsid w:val="00175E83"/>
    <w:rsid w:val="00176A60"/>
    <w:rsid w:val="001772BC"/>
    <w:rsid w:val="00177431"/>
    <w:rsid w:val="00177D0B"/>
    <w:rsid w:val="00180282"/>
    <w:rsid w:val="00180D19"/>
    <w:rsid w:val="00181806"/>
    <w:rsid w:val="00181D0C"/>
    <w:rsid w:val="001827C1"/>
    <w:rsid w:val="00182C84"/>
    <w:rsid w:val="001831D8"/>
    <w:rsid w:val="00183547"/>
    <w:rsid w:val="00183C1E"/>
    <w:rsid w:val="00184EBE"/>
    <w:rsid w:val="00184F75"/>
    <w:rsid w:val="00186513"/>
    <w:rsid w:val="0018658F"/>
    <w:rsid w:val="00186A2C"/>
    <w:rsid w:val="00186DDA"/>
    <w:rsid w:val="001872C2"/>
    <w:rsid w:val="001872EC"/>
    <w:rsid w:val="001904CA"/>
    <w:rsid w:val="001910AE"/>
    <w:rsid w:val="00191436"/>
    <w:rsid w:val="001915D3"/>
    <w:rsid w:val="001918B0"/>
    <w:rsid w:val="00191BC1"/>
    <w:rsid w:val="001921FE"/>
    <w:rsid w:val="001937FA"/>
    <w:rsid w:val="001940AB"/>
    <w:rsid w:val="00194300"/>
    <w:rsid w:val="001943E0"/>
    <w:rsid w:val="0019535C"/>
    <w:rsid w:val="001954B4"/>
    <w:rsid w:val="001956A3"/>
    <w:rsid w:val="00195DED"/>
    <w:rsid w:val="001960B3"/>
    <w:rsid w:val="00196443"/>
    <w:rsid w:val="00197397"/>
    <w:rsid w:val="001A0B25"/>
    <w:rsid w:val="001A1346"/>
    <w:rsid w:val="001A1C30"/>
    <w:rsid w:val="001A2575"/>
    <w:rsid w:val="001A2980"/>
    <w:rsid w:val="001A2F7A"/>
    <w:rsid w:val="001A356F"/>
    <w:rsid w:val="001A3BD0"/>
    <w:rsid w:val="001A4130"/>
    <w:rsid w:val="001A460E"/>
    <w:rsid w:val="001A4649"/>
    <w:rsid w:val="001A4BF9"/>
    <w:rsid w:val="001A4E8E"/>
    <w:rsid w:val="001A5525"/>
    <w:rsid w:val="001A5A1A"/>
    <w:rsid w:val="001A6908"/>
    <w:rsid w:val="001A6F37"/>
    <w:rsid w:val="001A72E8"/>
    <w:rsid w:val="001A7313"/>
    <w:rsid w:val="001B1653"/>
    <w:rsid w:val="001B2D27"/>
    <w:rsid w:val="001B33EB"/>
    <w:rsid w:val="001B3612"/>
    <w:rsid w:val="001B50CC"/>
    <w:rsid w:val="001B5E20"/>
    <w:rsid w:val="001B5EC6"/>
    <w:rsid w:val="001B602A"/>
    <w:rsid w:val="001B6175"/>
    <w:rsid w:val="001B74E4"/>
    <w:rsid w:val="001C1399"/>
    <w:rsid w:val="001C21EC"/>
    <w:rsid w:val="001C22BC"/>
    <w:rsid w:val="001C2ABE"/>
    <w:rsid w:val="001C2B22"/>
    <w:rsid w:val="001C363F"/>
    <w:rsid w:val="001C3CBB"/>
    <w:rsid w:val="001C4A96"/>
    <w:rsid w:val="001C4D26"/>
    <w:rsid w:val="001C4D65"/>
    <w:rsid w:val="001C5562"/>
    <w:rsid w:val="001C5CBE"/>
    <w:rsid w:val="001C73EB"/>
    <w:rsid w:val="001C78AC"/>
    <w:rsid w:val="001D02FB"/>
    <w:rsid w:val="001D0DA9"/>
    <w:rsid w:val="001D107C"/>
    <w:rsid w:val="001D1170"/>
    <w:rsid w:val="001D2834"/>
    <w:rsid w:val="001D405D"/>
    <w:rsid w:val="001D42F2"/>
    <w:rsid w:val="001D4CBD"/>
    <w:rsid w:val="001D4EEE"/>
    <w:rsid w:val="001D5D20"/>
    <w:rsid w:val="001D6564"/>
    <w:rsid w:val="001D6DAD"/>
    <w:rsid w:val="001D7776"/>
    <w:rsid w:val="001E0F14"/>
    <w:rsid w:val="001E1182"/>
    <w:rsid w:val="001E1AA4"/>
    <w:rsid w:val="001E22C7"/>
    <w:rsid w:val="001E25D0"/>
    <w:rsid w:val="001E2A62"/>
    <w:rsid w:val="001E2DAA"/>
    <w:rsid w:val="001E37C3"/>
    <w:rsid w:val="001E38E3"/>
    <w:rsid w:val="001E44CC"/>
    <w:rsid w:val="001E4509"/>
    <w:rsid w:val="001E4BFE"/>
    <w:rsid w:val="001E6403"/>
    <w:rsid w:val="001E64C9"/>
    <w:rsid w:val="001E6EDC"/>
    <w:rsid w:val="001E714C"/>
    <w:rsid w:val="001E721D"/>
    <w:rsid w:val="001E74D2"/>
    <w:rsid w:val="001E7770"/>
    <w:rsid w:val="001E7E80"/>
    <w:rsid w:val="001F03DD"/>
    <w:rsid w:val="001F0CCC"/>
    <w:rsid w:val="001F1165"/>
    <w:rsid w:val="001F19C5"/>
    <w:rsid w:val="001F2289"/>
    <w:rsid w:val="001F2819"/>
    <w:rsid w:val="001F2CF7"/>
    <w:rsid w:val="001F2F39"/>
    <w:rsid w:val="001F4653"/>
    <w:rsid w:val="001F51BD"/>
    <w:rsid w:val="001F51FA"/>
    <w:rsid w:val="001F52AB"/>
    <w:rsid w:val="001F54B2"/>
    <w:rsid w:val="001F556C"/>
    <w:rsid w:val="001F59A6"/>
    <w:rsid w:val="001F5F70"/>
    <w:rsid w:val="001F662C"/>
    <w:rsid w:val="001F66A8"/>
    <w:rsid w:val="001F740E"/>
    <w:rsid w:val="00200450"/>
    <w:rsid w:val="00200EC4"/>
    <w:rsid w:val="00200F31"/>
    <w:rsid w:val="00201E15"/>
    <w:rsid w:val="002027C8"/>
    <w:rsid w:val="002033F6"/>
    <w:rsid w:val="00204373"/>
    <w:rsid w:val="002043EC"/>
    <w:rsid w:val="00204821"/>
    <w:rsid w:val="002048E2"/>
    <w:rsid w:val="00205E2F"/>
    <w:rsid w:val="00206D5F"/>
    <w:rsid w:val="002079A6"/>
    <w:rsid w:val="00207E1E"/>
    <w:rsid w:val="00210179"/>
    <w:rsid w:val="0021029C"/>
    <w:rsid w:val="0021032A"/>
    <w:rsid w:val="0021267A"/>
    <w:rsid w:val="00213783"/>
    <w:rsid w:val="002142C8"/>
    <w:rsid w:val="00214589"/>
    <w:rsid w:val="00214A17"/>
    <w:rsid w:val="00214FA2"/>
    <w:rsid w:val="00215717"/>
    <w:rsid w:val="00215C13"/>
    <w:rsid w:val="00216118"/>
    <w:rsid w:val="00217521"/>
    <w:rsid w:val="00217A4B"/>
    <w:rsid w:val="00217CB3"/>
    <w:rsid w:val="00217DB5"/>
    <w:rsid w:val="002210E4"/>
    <w:rsid w:val="0022184F"/>
    <w:rsid w:val="002231B4"/>
    <w:rsid w:val="00224074"/>
    <w:rsid w:val="00224BBC"/>
    <w:rsid w:val="00225027"/>
    <w:rsid w:val="00226407"/>
    <w:rsid w:val="00230C86"/>
    <w:rsid w:val="00230D85"/>
    <w:rsid w:val="00231F94"/>
    <w:rsid w:val="00232333"/>
    <w:rsid w:val="00232A85"/>
    <w:rsid w:val="00232F62"/>
    <w:rsid w:val="00233294"/>
    <w:rsid w:val="00233326"/>
    <w:rsid w:val="0023425B"/>
    <w:rsid w:val="0023433A"/>
    <w:rsid w:val="00234867"/>
    <w:rsid w:val="00234CAE"/>
    <w:rsid w:val="00234F6B"/>
    <w:rsid w:val="00235680"/>
    <w:rsid w:val="00235E63"/>
    <w:rsid w:val="00235FC8"/>
    <w:rsid w:val="0023732E"/>
    <w:rsid w:val="002374E0"/>
    <w:rsid w:val="00237B97"/>
    <w:rsid w:val="00240C75"/>
    <w:rsid w:val="00242756"/>
    <w:rsid w:val="00243DC0"/>
    <w:rsid w:val="00243E41"/>
    <w:rsid w:val="00243F03"/>
    <w:rsid w:val="002444BC"/>
    <w:rsid w:val="002448C3"/>
    <w:rsid w:val="00244E1C"/>
    <w:rsid w:val="00245503"/>
    <w:rsid w:val="00245BF6"/>
    <w:rsid w:val="00247477"/>
    <w:rsid w:val="00247DD3"/>
    <w:rsid w:val="00250432"/>
    <w:rsid w:val="002508A8"/>
    <w:rsid w:val="002524B3"/>
    <w:rsid w:val="00252505"/>
    <w:rsid w:val="00253DB2"/>
    <w:rsid w:val="0025442F"/>
    <w:rsid w:val="00254603"/>
    <w:rsid w:val="00254914"/>
    <w:rsid w:val="00255535"/>
    <w:rsid w:val="00255AA7"/>
    <w:rsid w:val="00256998"/>
    <w:rsid w:val="002576F6"/>
    <w:rsid w:val="0025786B"/>
    <w:rsid w:val="00257A11"/>
    <w:rsid w:val="00260135"/>
    <w:rsid w:val="00261FA8"/>
    <w:rsid w:val="0026282F"/>
    <w:rsid w:val="002631B0"/>
    <w:rsid w:val="00263216"/>
    <w:rsid w:val="0026336A"/>
    <w:rsid w:val="002635DD"/>
    <w:rsid w:val="00263C81"/>
    <w:rsid w:val="002646F6"/>
    <w:rsid w:val="0026515A"/>
    <w:rsid w:val="00265635"/>
    <w:rsid w:val="00266E48"/>
    <w:rsid w:val="0026714F"/>
    <w:rsid w:val="00267C6A"/>
    <w:rsid w:val="00267C90"/>
    <w:rsid w:val="00267F51"/>
    <w:rsid w:val="002701EA"/>
    <w:rsid w:val="00270440"/>
    <w:rsid w:val="00270E3A"/>
    <w:rsid w:val="002710E8"/>
    <w:rsid w:val="002714DB"/>
    <w:rsid w:val="002715D7"/>
    <w:rsid w:val="002718D6"/>
    <w:rsid w:val="002719B5"/>
    <w:rsid w:val="0027242F"/>
    <w:rsid w:val="00272DD9"/>
    <w:rsid w:val="00273446"/>
    <w:rsid w:val="002739D6"/>
    <w:rsid w:val="00273F09"/>
    <w:rsid w:val="00273F50"/>
    <w:rsid w:val="00274219"/>
    <w:rsid w:val="0027457B"/>
    <w:rsid w:val="00274966"/>
    <w:rsid w:val="00274EA5"/>
    <w:rsid w:val="00275055"/>
    <w:rsid w:val="00275210"/>
    <w:rsid w:val="00275C10"/>
    <w:rsid w:val="00276649"/>
    <w:rsid w:val="00276BB8"/>
    <w:rsid w:val="002776E9"/>
    <w:rsid w:val="00277D91"/>
    <w:rsid w:val="00277DF2"/>
    <w:rsid w:val="002807B8"/>
    <w:rsid w:val="00280E5E"/>
    <w:rsid w:val="002819AF"/>
    <w:rsid w:val="00281FCE"/>
    <w:rsid w:val="00282032"/>
    <w:rsid w:val="00282047"/>
    <w:rsid w:val="00282084"/>
    <w:rsid w:val="00282115"/>
    <w:rsid w:val="00282814"/>
    <w:rsid w:val="002829AE"/>
    <w:rsid w:val="00282D1A"/>
    <w:rsid w:val="0028327A"/>
    <w:rsid w:val="00283D23"/>
    <w:rsid w:val="0028403D"/>
    <w:rsid w:val="0028493D"/>
    <w:rsid w:val="002849A8"/>
    <w:rsid w:val="00285288"/>
    <w:rsid w:val="00285396"/>
    <w:rsid w:val="00285524"/>
    <w:rsid w:val="00285797"/>
    <w:rsid w:val="00285F5F"/>
    <w:rsid w:val="00286234"/>
    <w:rsid w:val="0028709E"/>
    <w:rsid w:val="002870A7"/>
    <w:rsid w:val="00287197"/>
    <w:rsid w:val="00287548"/>
    <w:rsid w:val="00287642"/>
    <w:rsid w:val="00287B54"/>
    <w:rsid w:val="00287BC5"/>
    <w:rsid w:val="00287CA3"/>
    <w:rsid w:val="00290334"/>
    <w:rsid w:val="00290658"/>
    <w:rsid w:val="00290805"/>
    <w:rsid w:val="00290E0D"/>
    <w:rsid w:val="00291208"/>
    <w:rsid w:val="00291DC8"/>
    <w:rsid w:val="002921E2"/>
    <w:rsid w:val="00292508"/>
    <w:rsid w:val="00292591"/>
    <w:rsid w:val="00292930"/>
    <w:rsid w:val="00293DEE"/>
    <w:rsid w:val="002940DB"/>
    <w:rsid w:val="002941CC"/>
    <w:rsid w:val="00294AD8"/>
    <w:rsid w:val="00294B77"/>
    <w:rsid w:val="00294E57"/>
    <w:rsid w:val="0029656D"/>
    <w:rsid w:val="00297E1E"/>
    <w:rsid w:val="002A09BB"/>
    <w:rsid w:val="002A0B5D"/>
    <w:rsid w:val="002A0BC7"/>
    <w:rsid w:val="002A29F5"/>
    <w:rsid w:val="002A2AFC"/>
    <w:rsid w:val="002A4024"/>
    <w:rsid w:val="002A4520"/>
    <w:rsid w:val="002A59D1"/>
    <w:rsid w:val="002A63BB"/>
    <w:rsid w:val="002A6634"/>
    <w:rsid w:val="002A74E6"/>
    <w:rsid w:val="002A7F07"/>
    <w:rsid w:val="002B03E7"/>
    <w:rsid w:val="002B1E28"/>
    <w:rsid w:val="002B26AA"/>
    <w:rsid w:val="002B2B9E"/>
    <w:rsid w:val="002B321F"/>
    <w:rsid w:val="002B4DEC"/>
    <w:rsid w:val="002B52AC"/>
    <w:rsid w:val="002B5544"/>
    <w:rsid w:val="002B5647"/>
    <w:rsid w:val="002B6B6F"/>
    <w:rsid w:val="002B6F7F"/>
    <w:rsid w:val="002B7A33"/>
    <w:rsid w:val="002B7FBD"/>
    <w:rsid w:val="002C0563"/>
    <w:rsid w:val="002C0873"/>
    <w:rsid w:val="002C16D7"/>
    <w:rsid w:val="002C2022"/>
    <w:rsid w:val="002C2166"/>
    <w:rsid w:val="002C2534"/>
    <w:rsid w:val="002C27BD"/>
    <w:rsid w:val="002C3568"/>
    <w:rsid w:val="002C4EEA"/>
    <w:rsid w:val="002C50F3"/>
    <w:rsid w:val="002C5160"/>
    <w:rsid w:val="002C552E"/>
    <w:rsid w:val="002C566F"/>
    <w:rsid w:val="002C5D63"/>
    <w:rsid w:val="002C5EBB"/>
    <w:rsid w:val="002C6580"/>
    <w:rsid w:val="002C7B6F"/>
    <w:rsid w:val="002C7FE9"/>
    <w:rsid w:val="002D0B39"/>
    <w:rsid w:val="002D0DC5"/>
    <w:rsid w:val="002D1FB9"/>
    <w:rsid w:val="002D29BD"/>
    <w:rsid w:val="002D2F14"/>
    <w:rsid w:val="002D3B62"/>
    <w:rsid w:val="002D4EFD"/>
    <w:rsid w:val="002D4F06"/>
    <w:rsid w:val="002D5009"/>
    <w:rsid w:val="002D59A8"/>
    <w:rsid w:val="002D5C0C"/>
    <w:rsid w:val="002D5E00"/>
    <w:rsid w:val="002D5F21"/>
    <w:rsid w:val="002D72C3"/>
    <w:rsid w:val="002D7549"/>
    <w:rsid w:val="002D7D7F"/>
    <w:rsid w:val="002E0492"/>
    <w:rsid w:val="002E0CE2"/>
    <w:rsid w:val="002E10DB"/>
    <w:rsid w:val="002E13DE"/>
    <w:rsid w:val="002E1E3B"/>
    <w:rsid w:val="002E4B8A"/>
    <w:rsid w:val="002E4D68"/>
    <w:rsid w:val="002E5253"/>
    <w:rsid w:val="002E6048"/>
    <w:rsid w:val="002E7CDF"/>
    <w:rsid w:val="002F11DE"/>
    <w:rsid w:val="002F120C"/>
    <w:rsid w:val="002F2142"/>
    <w:rsid w:val="002F3584"/>
    <w:rsid w:val="002F3FB6"/>
    <w:rsid w:val="002F4167"/>
    <w:rsid w:val="002F4DCD"/>
    <w:rsid w:val="002F5902"/>
    <w:rsid w:val="002F5F5E"/>
    <w:rsid w:val="002F6820"/>
    <w:rsid w:val="002F69E9"/>
    <w:rsid w:val="002F79C5"/>
    <w:rsid w:val="003000FA"/>
    <w:rsid w:val="0030082E"/>
    <w:rsid w:val="00300897"/>
    <w:rsid w:val="0030133D"/>
    <w:rsid w:val="0030206F"/>
    <w:rsid w:val="00302863"/>
    <w:rsid w:val="00302DF0"/>
    <w:rsid w:val="003046BD"/>
    <w:rsid w:val="00304AF6"/>
    <w:rsid w:val="003052F5"/>
    <w:rsid w:val="003066FD"/>
    <w:rsid w:val="00306890"/>
    <w:rsid w:val="00306F79"/>
    <w:rsid w:val="00307719"/>
    <w:rsid w:val="00307F89"/>
    <w:rsid w:val="00310135"/>
    <w:rsid w:val="00310566"/>
    <w:rsid w:val="00311055"/>
    <w:rsid w:val="00311347"/>
    <w:rsid w:val="003113BE"/>
    <w:rsid w:val="00311D90"/>
    <w:rsid w:val="00312181"/>
    <w:rsid w:val="00312C7A"/>
    <w:rsid w:val="003144E7"/>
    <w:rsid w:val="0031515D"/>
    <w:rsid w:val="003154E2"/>
    <w:rsid w:val="00315A97"/>
    <w:rsid w:val="00315C81"/>
    <w:rsid w:val="00316071"/>
    <w:rsid w:val="00316467"/>
    <w:rsid w:val="003166EA"/>
    <w:rsid w:val="00316C91"/>
    <w:rsid w:val="00317C22"/>
    <w:rsid w:val="00317F51"/>
    <w:rsid w:val="0032012E"/>
    <w:rsid w:val="003203CC"/>
    <w:rsid w:val="00320ED5"/>
    <w:rsid w:val="00321192"/>
    <w:rsid w:val="00321435"/>
    <w:rsid w:val="0032169B"/>
    <w:rsid w:val="0032169F"/>
    <w:rsid w:val="003224AB"/>
    <w:rsid w:val="00322A3B"/>
    <w:rsid w:val="00322D6B"/>
    <w:rsid w:val="00322F20"/>
    <w:rsid w:val="003242A8"/>
    <w:rsid w:val="00324416"/>
    <w:rsid w:val="00324530"/>
    <w:rsid w:val="003248DB"/>
    <w:rsid w:val="00324AB8"/>
    <w:rsid w:val="00324FAF"/>
    <w:rsid w:val="00325F09"/>
    <w:rsid w:val="00326300"/>
    <w:rsid w:val="00326DFD"/>
    <w:rsid w:val="00327184"/>
    <w:rsid w:val="003272E5"/>
    <w:rsid w:val="003304CF"/>
    <w:rsid w:val="00331A9B"/>
    <w:rsid w:val="00331FCB"/>
    <w:rsid w:val="003341B4"/>
    <w:rsid w:val="00337A5F"/>
    <w:rsid w:val="00341687"/>
    <w:rsid w:val="00341900"/>
    <w:rsid w:val="00341DB8"/>
    <w:rsid w:val="003421E9"/>
    <w:rsid w:val="00342D2B"/>
    <w:rsid w:val="00342EA0"/>
    <w:rsid w:val="00343B41"/>
    <w:rsid w:val="00343D06"/>
    <w:rsid w:val="00343E5C"/>
    <w:rsid w:val="003440C5"/>
    <w:rsid w:val="00344FB8"/>
    <w:rsid w:val="00345A15"/>
    <w:rsid w:val="00345A30"/>
    <w:rsid w:val="003460EC"/>
    <w:rsid w:val="00346AF3"/>
    <w:rsid w:val="00346BD4"/>
    <w:rsid w:val="00347DAD"/>
    <w:rsid w:val="0035148C"/>
    <w:rsid w:val="00351752"/>
    <w:rsid w:val="003517AE"/>
    <w:rsid w:val="003517F3"/>
    <w:rsid w:val="00351994"/>
    <w:rsid w:val="00355B08"/>
    <w:rsid w:val="00355C41"/>
    <w:rsid w:val="00355E0C"/>
    <w:rsid w:val="0036017B"/>
    <w:rsid w:val="003626D4"/>
    <w:rsid w:val="00362755"/>
    <w:rsid w:val="00362F20"/>
    <w:rsid w:val="003630D3"/>
    <w:rsid w:val="003631BF"/>
    <w:rsid w:val="00363EA9"/>
    <w:rsid w:val="00364761"/>
    <w:rsid w:val="003649A7"/>
    <w:rsid w:val="00364C95"/>
    <w:rsid w:val="00364D90"/>
    <w:rsid w:val="003652A5"/>
    <w:rsid w:val="00365536"/>
    <w:rsid w:val="00365B22"/>
    <w:rsid w:val="00365BD0"/>
    <w:rsid w:val="003663B5"/>
    <w:rsid w:val="00366E68"/>
    <w:rsid w:val="00367295"/>
    <w:rsid w:val="003675BD"/>
    <w:rsid w:val="00367B3F"/>
    <w:rsid w:val="00367DBD"/>
    <w:rsid w:val="00370312"/>
    <w:rsid w:val="0037097E"/>
    <w:rsid w:val="0037126C"/>
    <w:rsid w:val="00371A4F"/>
    <w:rsid w:val="0037281A"/>
    <w:rsid w:val="00372F27"/>
    <w:rsid w:val="00373B93"/>
    <w:rsid w:val="0037559A"/>
    <w:rsid w:val="00375A8B"/>
    <w:rsid w:val="00375C60"/>
    <w:rsid w:val="00375D48"/>
    <w:rsid w:val="00376194"/>
    <w:rsid w:val="0037694D"/>
    <w:rsid w:val="00376D7E"/>
    <w:rsid w:val="00377556"/>
    <w:rsid w:val="00377813"/>
    <w:rsid w:val="0037790E"/>
    <w:rsid w:val="003803DC"/>
    <w:rsid w:val="003809DD"/>
    <w:rsid w:val="00380A84"/>
    <w:rsid w:val="00380CD1"/>
    <w:rsid w:val="00381413"/>
    <w:rsid w:val="00381632"/>
    <w:rsid w:val="00382F8E"/>
    <w:rsid w:val="003842D1"/>
    <w:rsid w:val="003843F3"/>
    <w:rsid w:val="00384490"/>
    <w:rsid w:val="003845FF"/>
    <w:rsid w:val="00384F42"/>
    <w:rsid w:val="00385A10"/>
    <w:rsid w:val="00385DB5"/>
    <w:rsid w:val="003860D8"/>
    <w:rsid w:val="003868EB"/>
    <w:rsid w:val="0038766E"/>
    <w:rsid w:val="003912B6"/>
    <w:rsid w:val="00391768"/>
    <w:rsid w:val="00391890"/>
    <w:rsid w:val="00391D85"/>
    <w:rsid w:val="00392766"/>
    <w:rsid w:val="00392B0A"/>
    <w:rsid w:val="003934F4"/>
    <w:rsid w:val="00393DB3"/>
    <w:rsid w:val="00393FF1"/>
    <w:rsid w:val="0039468F"/>
    <w:rsid w:val="003948A0"/>
    <w:rsid w:val="00395FE6"/>
    <w:rsid w:val="0039629D"/>
    <w:rsid w:val="003968F0"/>
    <w:rsid w:val="00396B7F"/>
    <w:rsid w:val="00396B92"/>
    <w:rsid w:val="00396FD3"/>
    <w:rsid w:val="00397CF4"/>
    <w:rsid w:val="00397FDA"/>
    <w:rsid w:val="003A0357"/>
    <w:rsid w:val="003A0765"/>
    <w:rsid w:val="003A0F47"/>
    <w:rsid w:val="003A1A79"/>
    <w:rsid w:val="003A1B7E"/>
    <w:rsid w:val="003A1B81"/>
    <w:rsid w:val="003A289F"/>
    <w:rsid w:val="003A38F0"/>
    <w:rsid w:val="003A3C48"/>
    <w:rsid w:val="003A48AA"/>
    <w:rsid w:val="003A4932"/>
    <w:rsid w:val="003A4A09"/>
    <w:rsid w:val="003A52E0"/>
    <w:rsid w:val="003A52EC"/>
    <w:rsid w:val="003A5501"/>
    <w:rsid w:val="003A69AA"/>
    <w:rsid w:val="003A6D80"/>
    <w:rsid w:val="003A775D"/>
    <w:rsid w:val="003B0177"/>
    <w:rsid w:val="003B018B"/>
    <w:rsid w:val="003B0BF7"/>
    <w:rsid w:val="003B0C28"/>
    <w:rsid w:val="003B1029"/>
    <w:rsid w:val="003B1E76"/>
    <w:rsid w:val="003B1F02"/>
    <w:rsid w:val="003B25B3"/>
    <w:rsid w:val="003B287A"/>
    <w:rsid w:val="003B3767"/>
    <w:rsid w:val="003B3859"/>
    <w:rsid w:val="003B46B5"/>
    <w:rsid w:val="003B4B5C"/>
    <w:rsid w:val="003B586A"/>
    <w:rsid w:val="003B63A9"/>
    <w:rsid w:val="003B74E9"/>
    <w:rsid w:val="003C07AE"/>
    <w:rsid w:val="003C086B"/>
    <w:rsid w:val="003C0EBA"/>
    <w:rsid w:val="003C2A17"/>
    <w:rsid w:val="003C2BAC"/>
    <w:rsid w:val="003C2CB0"/>
    <w:rsid w:val="003C3913"/>
    <w:rsid w:val="003C4050"/>
    <w:rsid w:val="003C476C"/>
    <w:rsid w:val="003C47E2"/>
    <w:rsid w:val="003C486C"/>
    <w:rsid w:val="003C4B50"/>
    <w:rsid w:val="003C4F95"/>
    <w:rsid w:val="003C5DE6"/>
    <w:rsid w:val="003C631A"/>
    <w:rsid w:val="003C66D9"/>
    <w:rsid w:val="003C67A9"/>
    <w:rsid w:val="003C7362"/>
    <w:rsid w:val="003C74ED"/>
    <w:rsid w:val="003C764F"/>
    <w:rsid w:val="003D032D"/>
    <w:rsid w:val="003D0D55"/>
    <w:rsid w:val="003D19DE"/>
    <w:rsid w:val="003D1F16"/>
    <w:rsid w:val="003D2B63"/>
    <w:rsid w:val="003D305C"/>
    <w:rsid w:val="003D40CF"/>
    <w:rsid w:val="003D460F"/>
    <w:rsid w:val="003D6755"/>
    <w:rsid w:val="003D69A5"/>
    <w:rsid w:val="003D6DC7"/>
    <w:rsid w:val="003D6E32"/>
    <w:rsid w:val="003D7D21"/>
    <w:rsid w:val="003E126E"/>
    <w:rsid w:val="003E1C57"/>
    <w:rsid w:val="003E2E7E"/>
    <w:rsid w:val="003E3080"/>
    <w:rsid w:val="003E33F5"/>
    <w:rsid w:val="003E4B49"/>
    <w:rsid w:val="003E526B"/>
    <w:rsid w:val="003E56EF"/>
    <w:rsid w:val="003E695A"/>
    <w:rsid w:val="003E7165"/>
    <w:rsid w:val="003E7832"/>
    <w:rsid w:val="003E7E7F"/>
    <w:rsid w:val="003F069A"/>
    <w:rsid w:val="003F0798"/>
    <w:rsid w:val="003F08FB"/>
    <w:rsid w:val="003F13C9"/>
    <w:rsid w:val="003F2030"/>
    <w:rsid w:val="003F4329"/>
    <w:rsid w:val="003F49AC"/>
    <w:rsid w:val="003F4E71"/>
    <w:rsid w:val="003F4EB2"/>
    <w:rsid w:val="003F5DEA"/>
    <w:rsid w:val="003F646B"/>
    <w:rsid w:val="003F673B"/>
    <w:rsid w:val="003F6AEF"/>
    <w:rsid w:val="003F6DF1"/>
    <w:rsid w:val="004006F4"/>
    <w:rsid w:val="00400761"/>
    <w:rsid w:val="004019E2"/>
    <w:rsid w:val="00401B7B"/>
    <w:rsid w:val="004027A4"/>
    <w:rsid w:val="00402F2A"/>
    <w:rsid w:val="00403474"/>
    <w:rsid w:val="00403A4C"/>
    <w:rsid w:val="00403ADE"/>
    <w:rsid w:val="00404599"/>
    <w:rsid w:val="00405535"/>
    <w:rsid w:val="0040605D"/>
    <w:rsid w:val="004063B5"/>
    <w:rsid w:val="004067E8"/>
    <w:rsid w:val="00406A8C"/>
    <w:rsid w:val="00406E75"/>
    <w:rsid w:val="00407689"/>
    <w:rsid w:val="004077BC"/>
    <w:rsid w:val="00407D0C"/>
    <w:rsid w:val="004103BE"/>
    <w:rsid w:val="00410EEA"/>
    <w:rsid w:val="004117C7"/>
    <w:rsid w:val="00411A93"/>
    <w:rsid w:val="00412534"/>
    <w:rsid w:val="00412C83"/>
    <w:rsid w:val="00413DB9"/>
    <w:rsid w:val="00414031"/>
    <w:rsid w:val="0041412F"/>
    <w:rsid w:val="00414C75"/>
    <w:rsid w:val="00414D93"/>
    <w:rsid w:val="00414E50"/>
    <w:rsid w:val="00415CB4"/>
    <w:rsid w:val="004168F9"/>
    <w:rsid w:val="00416D43"/>
    <w:rsid w:val="00416FC0"/>
    <w:rsid w:val="0041720F"/>
    <w:rsid w:val="00420562"/>
    <w:rsid w:val="004205AA"/>
    <w:rsid w:val="004205F7"/>
    <w:rsid w:val="00421273"/>
    <w:rsid w:val="00421977"/>
    <w:rsid w:val="004224D5"/>
    <w:rsid w:val="00422609"/>
    <w:rsid w:val="004236A3"/>
    <w:rsid w:val="00423BB4"/>
    <w:rsid w:val="00423D96"/>
    <w:rsid w:val="00423F24"/>
    <w:rsid w:val="00424409"/>
    <w:rsid w:val="00426014"/>
    <w:rsid w:val="00426435"/>
    <w:rsid w:val="0042655B"/>
    <w:rsid w:val="004272D5"/>
    <w:rsid w:val="0042750A"/>
    <w:rsid w:val="00427DC2"/>
    <w:rsid w:val="00430510"/>
    <w:rsid w:val="0043173B"/>
    <w:rsid w:val="004318B8"/>
    <w:rsid w:val="0043198E"/>
    <w:rsid w:val="004328AA"/>
    <w:rsid w:val="0043329D"/>
    <w:rsid w:val="00433B35"/>
    <w:rsid w:val="00433E87"/>
    <w:rsid w:val="00434C56"/>
    <w:rsid w:val="00434CD6"/>
    <w:rsid w:val="004354E7"/>
    <w:rsid w:val="00435931"/>
    <w:rsid w:val="004362EE"/>
    <w:rsid w:val="00436A46"/>
    <w:rsid w:val="0043737E"/>
    <w:rsid w:val="00437412"/>
    <w:rsid w:val="00437873"/>
    <w:rsid w:val="004400FB"/>
    <w:rsid w:val="00440E0A"/>
    <w:rsid w:val="00441326"/>
    <w:rsid w:val="0044161B"/>
    <w:rsid w:val="00442193"/>
    <w:rsid w:val="00442405"/>
    <w:rsid w:val="00442607"/>
    <w:rsid w:val="00443B12"/>
    <w:rsid w:val="004441C6"/>
    <w:rsid w:val="00444253"/>
    <w:rsid w:val="00444600"/>
    <w:rsid w:val="0044617E"/>
    <w:rsid w:val="00446298"/>
    <w:rsid w:val="00446DDF"/>
    <w:rsid w:val="00446DE4"/>
    <w:rsid w:val="00447EAD"/>
    <w:rsid w:val="0045029B"/>
    <w:rsid w:val="00450327"/>
    <w:rsid w:val="0045068E"/>
    <w:rsid w:val="00450D49"/>
    <w:rsid w:val="004511D4"/>
    <w:rsid w:val="00452376"/>
    <w:rsid w:val="00452FF4"/>
    <w:rsid w:val="004538DA"/>
    <w:rsid w:val="00454AF2"/>
    <w:rsid w:val="00454B20"/>
    <w:rsid w:val="00454CF6"/>
    <w:rsid w:val="00455033"/>
    <w:rsid w:val="00455267"/>
    <w:rsid w:val="00455939"/>
    <w:rsid w:val="00455BE8"/>
    <w:rsid w:val="004564F1"/>
    <w:rsid w:val="00456B01"/>
    <w:rsid w:val="00456E87"/>
    <w:rsid w:val="0045704C"/>
    <w:rsid w:val="00457121"/>
    <w:rsid w:val="004573D2"/>
    <w:rsid w:val="004575C7"/>
    <w:rsid w:val="004579F1"/>
    <w:rsid w:val="00457DAD"/>
    <w:rsid w:val="00460B7D"/>
    <w:rsid w:val="00460EBF"/>
    <w:rsid w:val="00461072"/>
    <w:rsid w:val="00461851"/>
    <w:rsid w:val="004619CE"/>
    <w:rsid w:val="00461AAC"/>
    <w:rsid w:val="00461B16"/>
    <w:rsid w:val="00461F84"/>
    <w:rsid w:val="0046315B"/>
    <w:rsid w:val="004632F7"/>
    <w:rsid w:val="0046337B"/>
    <w:rsid w:val="0046440B"/>
    <w:rsid w:val="00464B2E"/>
    <w:rsid w:val="00464EC4"/>
    <w:rsid w:val="004655D5"/>
    <w:rsid w:val="0046595A"/>
    <w:rsid w:val="00465985"/>
    <w:rsid w:val="00465B76"/>
    <w:rsid w:val="00465E44"/>
    <w:rsid w:val="004668EF"/>
    <w:rsid w:val="00466BBE"/>
    <w:rsid w:val="00467565"/>
    <w:rsid w:val="00467963"/>
    <w:rsid w:val="004679FB"/>
    <w:rsid w:val="00470000"/>
    <w:rsid w:val="00470FD1"/>
    <w:rsid w:val="004712E9"/>
    <w:rsid w:val="0047168B"/>
    <w:rsid w:val="004718E6"/>
    <w:rsid w:val="00472C6B"/>
    <w:rsid w:val="00473978"/>
    <w:rsid w:val="00474F27"/>
    <w:rsid w:val="00476997"/>
    <w:rsid w:val="004770F1"/>
    <w:rsid w:val="00477538"/>
    <w:rsid w:val="00477D18"/>
    <w:rsid w:val="004804BC"/>
    <w:rsid w:val="00480CB0"/>
    <w:rsid w:val="00481062"/>
    <w:rsid w:val="0048115A"/>
    <w:rsid w:val="00481220"/>
    <w:rsid w:val="00481633"/>
    <w:rsid w:val="00481A95"/>
    <w:rsid w:val="00481D02"/>
    <w:rsid w:val="00481D8B"/>
    <w:rsid w:val="0048239A"/>
    <w:rsid w:val="0048269F"/>
    <w:rsid w:val="00482A92"/>
    <w:rsid w:val="00482BE7"/>
    <w:rsid w:val="00482EA2"/>
    <w:rsid w:val="00483165"/>
    <w:rsid w:val="00483194"/>
    <w:rsid w:val="00484AFA"/>
    <w:rsid w:val="00485074"/>
    <w:rsid w:val="004855B2"/>
    <w:rsid w:val="00485B91"/>
    <w:rsid w:val="00485FD1"/>
    <w:rsid w:val="00486300"/>
    <w:rsid w:val="004865BB"/>
    <w:rsid w:val="004865C9"/>
    <w:rsid w:val="00486643"/>
    <w:rsid w:val="0048689C"/>
    <w:rsid w:val="004871DE"/>
    <w:rsid w:val="00487901"/>
    <w:rsid w:val="00487EE8"/>
    <w:rsid w:val="004902CA"/>
    <w:rsid w:val="00492011"/>
    <w:rsid w:val="004928B2"/>
    <w:rsid w:val="00492EBF"/>
    <w:rsid w:val="004932FB"/>
    <w:rsid w:val="00493C70"/>
    <w:rsid w:val="0049441E"/>
    <w:rsid w:val="0049448F"/>
    <w:rsid w:val="0049493D"/>
    <w:rsid w:val="00494D3F"/>
    <w:rsid w:val="00495283"/>
    <w:rsid w:val="00496078"/>
    <w:rsid w:val="004964F9"/>
    <w:rsid w:val="00496F14"/>
    <w:rsid w:val="00497334"/>
    <w:rsid w:val="004974B3"/>
    <w:rsid w:val="004977D3"/>
    <w:rsid w:val="00497A6A"/>
    <w:rsid w:val="0049850F"/>
    <w:rsid w:val="004A00C2"/>
    <w:rsid w:val="004A0935"/>
    <w:rsid w:val="004A0DB7"/>
    <w:rsid w:val="004A11CF"/>
    <w:rsid w:val="004A13F9"/>
    <w:rsid w:val="004A2231"/>
    <w:rsid w:val="004A3446"/>
    <w:rsid w:val="004A5298"/>
    <w:rsid w:val="004A5345"/>
    <w:rsid w:val="004A658B"/>
    <w:rsid w:val="004A6C1A"/>
    <w:rsid w:val="004A717E"/>
    <w:rsid w:val="004A760C"/>
    <w:rsid w:val="004A7AB6"/>
    <w:rsid w:val="004B0585"/>
    <w:rsid w:val="004B0B87"/>
    <w:rsid w:val="004B1262"/>
    <w:rsid w:val="004B14C6"/>
    <w:rsid w:val="004B1881"/>
    <w:rsid w:val="004B222C"/>
    <w:rsid w:val="004B271B"/>
    <w:rsid w:val="004B2A8B"/>
    <w:rsid w:val="004B2D74"/>
    <w:rsid w:val="004B34EA"/>
    <w:rsid w:val="004B3512"/>
    <w:rsid w:val="004B365E"/>
    <w:rsid w:val="004B3EEF"/>
    <w:rsid w:val="004B4374"/>
    <w:rsid w:val="004B5494"/>
    <w:rsid w:val="004B5578"/>
    <w:rsid w:val="004B568B"/>
    <w:rsid w:val="004B576F"/>
    <w:rsid w:val="004B5FAF"/>
    <w:rsid w:val="004B66CF"/>
    <w:rsid w:val="004B66E6"/>
    <w:rsid w:val="004B6CA0"/>
    <w:rsid w:val="004B7113"/>
    <w:rsid w:val="004B7457"/>
    <w:rsid w:val="004C0472"/>
    <w:rsid w:val="004C10FF"/>
    <w:rsid w:val="004C1226"/>
    <w:rsid w:val="004C1B7F"/>
    <w:rsid w:val="004C2622"/>
    <w:rsid w:val="004C370D"/>
    <w:rsid w:val="004C422D"/>
    <w:rsid w:val="004C42DF"/>
    <w:rsid w:val="004C5E15"/>
    <w:rsid w:val="004C6C11"/>
    <w:rsid w:val="004C7312"/>
    <w:rsid w:val="004C7493"/>
    <w:rsid w:val="004C7A2B"/>
    <w:rsid w:val="004C7D3A"/>
    <w:rsid w:val="004CB8CA"/>
    <w:rsid w:val="004D08C5"/>
    <w:rsid w:val="004D12CF"/>
    <w:rsid w:val="004D1C31"/>
    <w:rsid w:val="004D1EAF"/>
    <w:rsid w:val="004D230C"/>
    <w:rsid w:val="004D249B"/>
    <w:rsid w:val="004D29BA"/>
    <w:rsid w:val="004D29F7"/>
    <w:rsid w:val="004D4124"/>
    <w:rsid w:val="004D4925"/>
    <w:rsid w:val="004D4967"/>
    <w:rsid w:val="004D54F2"/>
    <w:rsid w:val="004D585A"/>
    <w:rsid w:val="004D6780"/>
    <w:rsid w:val="004D69FF"/>
    <w:rsid w:val="004D7BBC"/>
    <w:rsid w:val="004E024F"/>
    <w:rsid w:val="004E048E"/>
    <w:rsid w:val="004E102F"/>
    <w:rsid w:val="004E1395"/>
    <w:rsid w:val="004E1DD4"/>
    <w:rsid w:val="004E1E59"/>
    <w:rsid w:val="004E2360"/>
    <w:rsid w:val="004E282C"/>
    <w:rsid w:val="004E2DEE"/>
    <w:rsid w:val="004E3703"/>
    <w:rsid w:val="004E3AEA"/>
    <w:rsid w:val="004E441F"/>
    <w:rsid w:val="004E5480"/>
    <w:rsid w:val="004E5689"/>
    <w:rsid w:val="004E5720"/>
    <w:rsid w:val="004E5860"/>
    <w:rsid w:val="004E5DB0"/>
    <w:rsid w:val="004E62A1"/>
    <w:rsid w:val="004E681E"/>
    <w:rsid w:val="004E6FB0"/>
    <w:rsid w:val="004F048B"/>
    <w:rsid w:val="004F04CB"/>
    <w:rsid w:val="004F11C1"/>
    <w:rsid w:val="004F1330"/>
    <w:rsid w:val="004F1346"/>
    <w:rsid w:val="004F1B18"/>
    <w:rsid w:val="004F1CDB"/>
    <w:rsid w:val="004F265B"/>
    <w:rsid w:val="004F2D37"/>
    <w:rsid w:val="004F2F88"/>
    <w:rsid w:val="004F3582"/>
    <w:rsid w:val="004F3593"/>
    <w:rsid w:val="004F3918"/>
    <w:rsid w:val="004F5288"/>
    <w:rsid w:val="004F5F8D"/>
    <w:rsid w:val="004F615F"/>
    <w:rsid w:val="004F67DE"/>
    <w:rsid w:val="004F74D7"/>
    <w:rsid w:val="004F76F1"/>
    <w:rsid w:val="004F7DF2"/>
    <w:rsid w:val="005000B6"/>
    <w:rsid w:val="00500471"/>
    <w:rsid w:val="005006F6"/>
    <w:rsid w:val="005007FF"/>
    <w:rsid w:val="005014C3"/>
    <w:rsid w:val="005018A8"/>
    <w:rsid w:val="00501F64"/>
    <w:rsid w:val="005020A1"/>
    <w:rsid w:val="00503405"/>
    <w:rsid w:val="0050346B"/>
    <w:rsid w:val="00503557"/>
    <w:rsid w:val="005039D1"/>
    <w:rsid w:val="00503A11"/>
    <w:rsid w:val="00503F1E"/>
    <w:rsid w:val="00504344"/>
    <w:rsid w:val="005044E3"/>
    <w:rsid w:val="00504FD0"/>
    <w:rsid w:val="00505A39"/>
    <w:rsid w:val="00505B34"/>
    <w:rsid w:val="00505CB6"/>
    <w:rsid w:val="00505DB4"/>
    <w:rsid w:val="0050627B"/>
    <w:rsid w:val="005074E7"/>
    <w:rsid w:val="0050751B"/>
    <w:rsid w:val="0050790C"/>
    <w:rsid w:val="00507F47"/>
    <w:rsid w:val="0051019B"/>
    <w:rsid w:val="005107A9"/>
    <w:rsid w:val="0051081F"/>
    <w:rsid w:val="00510BB9"/>
    <w:rsid w:val="005129E7"/>
    <w:rsid w:val="00512AB0"/>
    <w:rsid w:val="0051315C"/>
    <w:rsid w:val="005140C2"/>
    <w:rsid w:val="005140E0"/>
    <w:rsid w:val="005150E1"/>
    <w:rsid w:val="0051558B"/>
    <w:rsid w:val="0051648F"/>
    <w:rsid w:val="00516709"/>
    <w:rsid w:val="00517990"/>
    <w:rsid w:val="00520181"/>
    <w:rsid w:val="00520CC8"/>
    <w:rsid w:val="00521CAA"/>
    <w:rsid w:val="00522EFD"/>
    <w:rsid w:val="005230AD"/>
    <w:rsid w:val="005240BF"/>
    <w:rsid w:val="005258BB"/>
    <w:rsid w:val="005266EE"/>
    <w:rsid w:val="00526E98"/>
    <w:rsid w:val="005271DD"/>
    <w:rsid w:val="00527867"/>
    <w:rsid w:val="00527CD2"/>
    <w:rsid w:val="00530C4F"/>
    <w:rsid w:val="00530D50"/>
    <w:rsid w:val="0053128C"/>
    <w:rsid w:val="00532402"/>
    <w:rsid w:val="00532636"/>
    <w:rsid w:val="00532E6F"/>
    <w:rsid w:val="0053319B"/>
    <w:rsid w:val="005343F2"/>
    <w:rsid w:val="00534A44"/>
    <w:rsid w:val="005351F3"/>
    <w:rsid w:val="005378B0"/>
    <w:rsid w:val="00537AFA"/>
    <w:rsid w:val="005403FD"/>
    <w:rsid w:val="0054106E"/>
    <w:rsid w:val="00541106"/>
    <w:rsid w:val="0054121B"/>
    <w:rsid w:val="0054174F"/>
    <w:rsid w:val="00541EBD"/>
    <w:rsid w:val="0054324C"/>
    <w:rsid w:val="005452C2"/>
    <w:rsid w:val="00545EF2"/>
    <w:rsid w:val="0054747F"/>
    <w:rsid w:val="0054752B"/>
    <w:rsid w:val="0054754B"/>
    <w:rsid w:val="005475BE"/>
    <w:rsid w:val="00547D48"/>
    <w:rsid w:val="00549FE7"/>
    <w:rsid w:val="00550580"/>
    <w:rsid w:val="00550C72"/>
    <w:rsid w:val="005519E0"/>
    <w:rsid w:val="00552408"/>
    <w:rsid w:val="00552E26"/>
    <w:rsid w:val="00553485"/>
    <w:rsid w:val="00553521"/>
    <w:rsid w:val="005556C2"/>
    <w:rsid w:val="00555804"/>
    <w:rsid w:val="0055592E"/>
    <w:rsid w:val="00555E4E"/>
    <w:rsid w:val="00556125"/>
    <w:rsid w:val="00556762"/>
    <w:rsid w:val="0055682B"/>
    <w:rsid w:val="00557B12"/>
    <w:rsid w:val="00557B40"/>
    <w:rsid w:val="00557E0F"/>
    <w:rsid w:val="0055A8C7"/>
    <w:rsid w:val="0056000C"/>
    <w:rsid w:val="005601D2"/>
    <w:rsid w:val="0056033F"/>
    <w:rsid w:val="0056194A"/>
    <w:rsid w:val="00561BC0"/>
    <w:rsid w:val="00561C05"/>
    <w:rsid w:val="00561D28"/>
    <w:rsid w:val="005621A4"/>
    <w:rsid w:val="0056330C"/>
    <w:rsid w:val="005635C0"/>
    <w:rsid w:val="005642A1"/>
    <w:rsid w:val="0056475F"/>
    <w:rsid w:val="0056582A"/>
    <w:rsid w:val="005663A6"/>
    <w:rsid w:val="005663E8"/>
    <w:rsid w:val="0056678A"/>
    <w:rsid w:val="005668E9"/>
    <w:rsid w:val="00566BD2"/>
    <w:rsid w:val="00567077"/>
    <w:rsid w:val="0056712A"/>
    <w:rsid w:val="00570221"/>
    <w:rsid w:val="005704AF"/>
    <w:rsid w:val="005712C6"/>
    <w:rsid w:val="005715A3"/>
    <w:rsid w:val="00571A06"/>
    <w:rsid w:val="00571C7C"/>
    <w:rsid w:val="00572E64"/>
    <w:rsid w:val="00573752"/>
    <w:rsid w:val="00573797"/>
    <w:rsid w:val="0057389B"/>
    <w:rsid w:val="00573BCE"/>
    <w:rsid w:val="00573DC2"/>
    <w:rsid w:val="00573ED2"/>
    <w:rsid w:val="00574D62"/>
    <w:rsid w:val="005752DD"/>
    <w:rsid w:val="00575A2B"/>
    <w:rsid w:val="00575A37"/>
    <w:rsid w:val="00575B89"/>
    <w:rsid w:val="00575D44"/>
    <w:rsid w:val="00575DEA"/>
    <w:rsid w:val="00576821"/>
    <w:rsid w:val="00576F7D"/>
    <w:rsid w:val="00580452"/>
    <w:rsid w:val="00580C06"/>
    <w:rsid w:val="00580E56"/>
    <w:rsid w:val="00581285"/>
    <w:rsid w:val="00581743"/>
    <w:rsid w:val="005819BA"/>
    <w:rsid w:val="00581CD9"/>
    <w:rsid w:val="0058273B"/>
    <w:rsid w:val="00582D82"/>
    <w:rsid w:val="00583469"/>
    <w:rsid w:val="00583AA7"/>
    <w:rsid w:val="00583F3B"/>
    <w:rsid w:val="00584091"/>
    <w:rsid w:val="005849BF"/>
    <w:rsid w:val="005851D5"/>
    <w:rsid w:val="00585265"/>
    <w:rsid w:val="00585390"/>
    <w:rsid w:val="00585415"/>
    <w:rsid w:val="00586074"/>
    <w:rsid w:val="00587A46"/>
    <w:rsid w:val="00590C38"/>
    <w:rsid w:val="00590C80"/>
    <w:rsid w:val="00590ED2"/>
    <w:rsid w:val="0059133C"/>
    <w:rsid w:val="00591521"/>
    <w:rsid w:val="005925F8"/>
    <w:rsid w:val="005928E6"/>
    <w:rsid w:val="00592C95"/>
    <w:rsid w:val="005939A5"/>
    <w:rsid w:val="00593A9D"/>
    <w:rsid w:val="0059426E"/>
    <w:rsid w:val="00594326"/>
    <w:rsid w:val="00594930"/>
    <w:rsid w:val="00594AFA"/>
    <w:rsid w:val="0059572A"/>
    <w:rsid w:val="00596183"/>
    <w:rsid w:val="00597891"/>
    <w:rsid w:val="005A0300"/>
    <w:rsid w:val="005A0339"/>
    <w:rsid w:val="005A0DFD"/>
    <w:rsid w:val="005A148C"/>
    <w:rsid w:val="005A15F5"/>
    <w:rsid w:val="005A232B"/>
    <w:rsid w:val="005A2EDB"/>
    <w:rsid w:val="005A34DB"/>
    <w:rsid w:val="005A433C"/>
    <w:rsid w:val="005A43E4"/>
    <w:rsid w:val="005A48FB"/>
    <w:rsid w:val="005A4B96"/>
    <w:rsid w:val="005A4F15"/>
    <w:rsid w:val="005A5630"/>
    <w:rsid w:val="005A587E"/>
    <w:rsid w:val="005A6867"/>
    <w:rsid w:val="005A6A64"/>
    <w:rsid w:val="005A74F7"/>
    <w:rsid w:val="005A91F9"/>
    <w:rsid w:val="005B017F"/>
    <w:rsid w:val="005B025C"/>
    <w:rsid w:val="005B0A6B"/>
    <w:rsid w:val="005B10A5"/>
    <w:rsid w:val="005B12BE"/>
    <w:rsid w:val="005B16A0"/>
    <w:rsid w:val="005B22C3"/>
    <w:rsid w:val="005B3752"/>
    <w:rsid w:val="005B43B3"/>
    <w:rsid w:val="005B490A"/>
    <w:rsid w:val="005B4AA3"/>
    <w:rsid w:val="005B6FC8"/>
    <w:rsid w:val="005B7622"/>
    <w:rsid w:val="005B78AE"/>
    <w:rsid w:val="005B7B01"/>
    <w:rsid w:val="005B7F2A"/>
    <w:rsid w:val="005B7F6B"/>
    <w:rsid w:val="005C00D7"/>
    <w:rsid w:val="005C33AD"/>
    <w:rsid w:val="005C3457"/>
    <w:rsid w:val="005C353B"/>
    <w:rsid w:val="005C3EE3"/>
    <w:rsid w:val="005C446F"/>
    <w:rsid w:val="005C48BD"/>
    <w:rsid w:val="005C512A"/>
    <w:rsid w:val="005C51AE"/>
    <w:rsid w:val="005C536C"/>
    <w:rsid w:val="005C58FA"/>
    <w:rsid w:val="005C604F"/>
    <w:rsid w:val="005C621F"/>
    <w:rsid w:val="005C64FB"/>
    <w:rsid w:val="005C690D"/>
    <w:rsid w:val="005C69B9"/>
    <w:rsid w:val="005C6BF0"/>
    <w:rsid w:val="005C7521"/>
    <w:rsid w:val="005C775A"/>
    <w:rsid w:val="005C7C7A"/>
    <w:rsid w:val="005C7E06"/>
    <w:rsid w:val="005D0E2E"/>
    <w:rsid w:val="005D11D0"/>
    <w:rsid w:val="005D13F3"/>
    <w:rsid w:val="005D1A75"/>
    <w:rsid w:val="005D1D1C"/>
    <w:rsid w:val="005D26B5"/>
    <w:rsid w:val="005D2891"/>
    <w:rsid w:val="005D2B24"/>
    <w:rsid w:val="005D2E1B"/>
    <w:rsid w:val="005D30CF"/>
    <w:rsid w:val="005D3249"/>
    <w:rsid w:val="005D3653"/>
    <w:rsid w:val="005D369F"/>
    <w:rsid w:val="005D3BC0"/>
    <w:rsid w:val="005D40DA"/>
    <w:rsid w:val="005D49DF"/>
    <w:rsid w:val="005D5BE4"/>
    <w:rsid w:val="005D6848"/>
    <w:rsid w:val="005D6E32"/>
    <w:rsid w:val="005E07F2"/>
    <w:rsid w:val="005E1035"/>
    <w:rsid w:val="005E125B"/>
    <w:rsid w:val="005E1E4B"/>
    <w:rsid w:val="005E1FAE"/>
    <w:rsid w:val="005E231A"/>
    <w:rsid w:val="005E239B"/>
    <w:rsid w:val="005E2B6D"/>
    <w:rsid w:val="005E2CFD"/>
    <w:rsid w:val="005E3135"/>
    <w:rsid w:val="005E4444"/>
    <w:rsid w:val="005E496A"/>
    <w:rsid w:val="005E5831"/>
    <w:rsid w:val="005E685B"/>
    <w:rsid w:val="005E78DF"/>
    <w:rsid w:val="005E79A2"/>
    <w:rsid w:val="005E7B59"/>
    <w:rsid w:val="005E7BC8"/>
    <w:rsid w:val="005E7C57"/>
    <w:rsid w:val="005E7D21"/>
    <w:rsid w:val="005E7E59"/>
    <w:rsid w:val="005F02AB"/>
    <w:rsid w:val="005F041F"/>
    <w:rsid w:val="005F048D"/>
    <w:rsid w:val="005F0C32"/>
    <w:rsid w:val="005F0E9F"/>
    <w:rsid w:val="005F2B31"/>
    <w:rsid w:val="005F3789"/>
    <w:rsid w:val="005F3D2F"/>
    <w:rsid w:val="005F4560"/>
    <w:rsid w:val="005F71CA"/>
    <w:rsid w:val="005F7367"/>
    <w:rsid w:val="00600087"/>
    <w:rsid w:val="006012E2"/>
    <w:rsid w:val="006012EA"/>
    <w:rsid w:val="00602B44"/>
    <w:rsid w:val="006031E4"/>
    <w:rsid w:val="00604888"/>
    <w:rsid w:val="006051BB"/>
    <w:rsid w:val="006052CF"/>
    <w:rsid w:val="00605562"/>
    <w:rsid w:val="0060651D"/>
    <w:rsid w:val="006067A3"/>
    <w:rsid w:val="006068B0"/>
    <w:rsid w:val="00606A55"/>
    <w:rsid w:val="006104F2"/>
    <w:rsid w:val="006105C3"/>
    <w:rsid w:val="00610785"/>
    <w:rsid w:val="00611456"/>
    <w:rsid w:val="00611BCF"/>
    <w:rsid w:val="00611F91"/>
    <w:rsid w:val="006121C6"/>
    <w:rsid w:val="00612A74"/>
    <w:rsid w:val="006135E2"/>
    <w:rsid w:val="00613C89"/>
    <w:rsid w:val="00614470"/>
    <w:rsid w:val="00614811"/>
    <w:rsid w:val="006148ED"/>
    <w:rsid w:val="00615225"/>
    <w:rsid w:val="0061626F"/>
    <w:rsid w:val="00622057"/>
    <w:rsid w:val="006228E0"/>
    <w:rsid w:val="00622B2B"/>
    <w:rsid w:val="00622C31"/>
    <w:rsid w:val="00622F37"/>
    <w:rsid w:val="00623FA9"/>
    <w:rsid w:val="00624231"/>
    <w:rsid w:val="006251D7"/>
    <w:rsid w:val="00625EDD"/>
    <w:rsid w:val="00626094"/>
    <w:rsid w:val="006261D5"/>
    <w:rsid w:val="006264E0"/>
    <w:rsid w:val="006309B9"/>
    <w:rsid w:val="00630A57"/>
    <w:rsid w:val="0063103C"/>
    <w:rsid w:val="00631142"/>
    <w:rsid w:val="00631F8C"/>
    <w:rsid w:val="0063204F"/>
    <w:rsid w:val="00632207"/>
    <w:rsid w:val="00632677"/>
    <w:rsid w:val="00632B8B"/>
    <w:rsid w:val="00633200"/>
    <w:rsid w:val="00633A49"/>
    <w:rsid w:val="00633D9A"/>
    <w:rsid w:val="0063491C"/>
    <w:rsid w:val="00634D7A"/>
    <w:rsid w:val="00635DF9"/>
    <w:rsid w:val="00635F74"/>
    <w:rsid w:val="006365E3"/>
    <w:rsid w:val="006376B4"/>
    <w:rsid w:val="00637971"/>
    <w:rsid w:val="006403E4"/>
    <w:rsid w:val="0064049F"/>
    <w:rsid w:val="006409D2"/>
    <w:rsid w:val="00640C6B"/>
    <w:rsid w:val="006411BA"/>
    <w:rsid w:val="00641411"/>
    <w:rsid w:val="00641826"/>
    <w:rsid w:val="00641B36"/>
    <w:rsid w:val="00643516"/>
    <w:rsid w:val="00644455"/>
    <w:rsid w:val="00645408"/>
    <w:rsid w:val="0064553E"/>
    <w:rsid w:val="006457E9"/>
    <w:rsid w:val="00645BCB"/>
    <w:rsid w:val="00646D5E"/>
    <w:rsid w:val="0065047C"/>
    <w:rsid w:val="0065079E"/>
    <w:rsid w:val="006515BE"/>
    <w:rsid w:val="00651809"/>
    <w:rsid w:val="00651B48"/>
    <w:rsid w:val="00651D9D"/>
    <w:rsid w:val="00652EA2"/>
    <w:rsid w:val="0065421B"/>
    <w:rsid w:val="00654E6A"/>
    <w:rsid w:val="006559C5"/>
    <w:rsid w:val="00655B32"/>
    <w:rsid w:val="00655DAF"/>
    <w:rsid w:val="00655F66"/>
    <w:rsid w:val="00656F81"/>
    <w:rsid w:val="00660256"/>
    <w:rsid w:val="006609A7"/>
    <w:rsid w:val="006611C7"/>
    <w:rsid w:val="00661AFE"/>
    <w:rsid w:val="006629C1"/>
    <w:rsid w:val="006630F9"/>
    <w:rsid w:val="00663736"/>
    <w:rsid w:val="00664032"/>
    <w:rsid w:val="0066416D"/>
    <w:rsid w:val="0066462D"/>
    <w:rsid w:val="006646C0"/>
    <w:rsid w:val="00665BAF"/>
    <w:rsid w:val="00666316"/>
    <w:rsid w:val="00666F69"/>
    <w:rsid w:val="0066707C"/>
    <w:rsid w:val="00667112"/>
    <w:rsid w:val="0066725B"/>
    <w:rsid w:val="00667B82"/>
    <w:rsid w:val="006705FC"/>
    <w:rsid w:val="006716EE"/>
    <w:rsid w:val="00671EDE"/>
    <w:rsid w:val="006730B9"/>
    <w:rsid w:val="006739DD"/>
    <w:rsid w:val="00673D35"/>
    <w:rsid w:val="00673E81"/>
    <w:rsid w:val="0067477E"/>
    <w:rsid w:val="006748E4"/>
    <w:rsid w:val="00675463"/>
    <w:rsid w:val="00675A90"/>
    <w:rsid w:val="00675DD5"/>
    <w:rsid w:val="00676F0B"/>
    <w:rsid w:val="006773AA"/>
    <w:rsid w:val="006803DE"/>
    <w:rsid w:val="00680589"/>
    <w:rsid w:val="006805AB"/>
    <w:rsid w:val="00680F19"/>
    <w:rsid w:val="00681BBE"/>
    <w:rsid w:val="00681F73"/>
    <w:rsid w:val="0068236B"/>
    <w:rsid w:val="006824BE"/>
    <w:rsid w:val="006825CC"/>
    <w:rsid w:val="006826CD"/>
    <w:rsid w:val="00682E2A"/>
    <w:rsid w:val="00684E54"/>
    <w:rsid w:val="006852B0"/>
    <w:rsid w:val="00685665"/>
    <w:rsid w:val="00685C41"/>
    <w:rsid w:val="006873F7"/>
    <w:rsid w:val="006927CA"/>
    <w:rsid w:val="006929E4"/>
    <w:rsid w:val="00692B2F"/>
    <w:rsid w:val="00692EED"/>
    <w:rsid w:val="0069300F"/>
    <w:rsid w:val="00696906"/>
    <w:rsid w:val="0069737F"/>
    <w:rsid w:val="00697E6C"/>
    <w:rsid w:val="006A06F5"/>
    <w:rsid w:val="006A0AFB"/>
    <w:rsid w:val="006A1762"/>
    <w:rsid w:val="006A19AA"/>
    <w:rsid w:val="006A240D"/>
    <w:rsid w:val="006A2639"/>
    <w:rsid w:val="006A3341"/>
    <w:rsid w:val="006A3FA0"/>
    <w:rsid w:val="006A4B56"/>
    <w:rsid w:val="006A4E88"/>
    <w:rsid w:val="006A6597"/>
    <w:rsid w:val="006A724D"/>
    <w:rsid w:val="006A7E0F"/>
    <w:rsid w:val="006A7E71"/>
    <w:rsid w:val="006B095C"/>
    <w:rsid w:val="006B09D4"/>
    <w:rsid w:val="006B0E81"/>
    <w:rsid w:val="006B115C"/>
    <w:rsid w:val="006B1F57"/>
    <w:rsid w:val="006B25EA"/>
    <w:rsid w:val="006B2D89"/>
    <w:rsid w:val="006B321E"/>
    <w:rsid w:val="006B34A7"/>
    <w:rsid w:val="006B537D"/>
    <w:rsid w:val="006B6A39"/>
    <w:rsid w:val="006B6DF9"/>
    <w:rsid w:val="006B7549"/>
    <w:rsid w:val="006C02A0"/>
    <w:rsid w:val="006C0634"/>
    <w:rsid w:val="006C081E"/>
    <w:rsid w:val="006C0A5C"/>
    <w:rsid w:val="006C1012"/>
    <w:rsid w:val="006C11E9"/>
    <w:rsid w:val="006C1229"/>
    <w:rsid w:val="006C1A57"/>
    <w:rsid w:val="006C1F10"/>
    <w:rsid w:val="006C2E3F"/>
    <w:rsid w:val="006C2ECF"/>
    <w:rsid w:val="006C3F07"/>
    <w:rsid w:val="006C3F84"/>
    <w:rsid w:val="006C4442"/>
    <w:rsid w:val="006C458F"/>
    <w:rsid w:val="006C4A7A"/>
    <w:rsid w:val="006C4D27"/>
    <w:rsid w:val="006C6376"/>
    <w:rsid w:val="006C6F41"/>
    <w:rsid w:val="006C7529"/>
    <w:rsid w:val="006C796A"/>
    <w:rsid w:val="006C7A01"/>
    <w:rsid w:val="006D074F"/>
    <w:rsid w:val="006D0C67"/>
    <w:rsid w:val="006D2E50"/>
    <w:rsid w:val="006D3023"/>
    <w:rsid w:val="006D3155"/>
    <w:rsid w:val="006D38F3"/>
    <w:rsid w:val="006D4CC5"/>
    <w:rsid w:val="006D5538"/>
    <w:rsid w:val="006D5843"/>
    <w:rsid w:val="006D5F0F"/>
    <w:rsid w:val="006D6531"/>
    <w:rsid w:val="006D7031"/>
    <w:rsid w:val="006D70BA"/>
    <w:rsid w:val="006D75C0"/>
    <w:rsid w:val="006E0BD2"/>
    <w:rsid w:val="006E29CC"/>
    <w:rsid w:val="006E2C2D"/>
    <w:rsid w:val="006E31F7"/>
    <w:rsid w:val="006E35B8"/>
    <w:rsid w:val="006E3948"/>
    <w:rsid w:val="006E3CDD"/>
    <w:rsid w:val="006E3D14"/>
    <w:rsid w:val="006E441C"/>
    <w:rsid w:val="006E4551"/>
    <w:rsid w:val="006E4C6F"/>
    <w:rsid w:val="006E533F"/>
    <w:rsid w:val="006E54B7"/>
    <w:rsid w:val="006E550C"/>
    <w:rsid w:val="006E5840"/>
    <w:rsid w:val="006E5852"/>
    <w:rsid w:val="006E59B1"/>
    <w:rsid w:val="006E5E28"/>
    <w:rsid w:val="006E6574"/>
    <w:rsid w:val="006E670C"/>
    <w:rsid w:val="006E75C2"/>
    <w:rsid w:val="006E78A9"/>
    <w:rsid w:val="006E7F4A"/>
    <w:rsid w:val="006F0524"/>
    <w:rsid w:val="006F09AE"/>
    <w:rsid w:val="006F103A"/>
    <w:rsid w:val="006F1142"/>
    <w:rsid w:val="006F1467"/>
    <w:rsid w:val="006F2535"/>
    <w:rsid w:val="006F27F5"/>
    <w:rsid w:val="006F29D9"/>
    <w:rsid w:val="006F2E39"/>
    <w:rsid w:val="006F401A"/>
    <w:rsid w:val="006F4507"/>
    <w:rsid w:val="006F4764"/>
    <w:rsid w:val="006F52FF"/>
    <w:rsid w:val="006F57BE"/>
    <w:rsid w:val="006F5BAD"/>
    <w:rsid w:val="006F6039"/>
    <w:rsid w:val="006F6B53"/>
    <w:rsid w:val="006F6BCA"/>
    <w:rsid w:val="006F6E5F"/>
    <w:rsid w:val="006F7DF2"/>
    <w:rsid w:val="0070070A"/>
    <w:rsid w:val="0070070B"/>
    <w:rsid w:val="00701A20"/>
    <w:rsid w:val="00701B28"/>
    <w:rsid w:val="00703247"/>
    <w:rsid w:val="00703444"/>
    <w:rsid w:val="00703809"/>
    <w:rsid w:val="00703942"/>
    <w:rsid w:val="007053D1"/>
    <w:rsid w:val="007055A3"/>
    <w:rsid w:val="007055B9"/>
    <w:rsid w:val="00707150"/>
    <w:rsid w:val="007078C9"/>
    <w:rsid w:val="00707A83"/>
    <w:rsid w:val="00710312"/>
    <w:rsid w:val="00710FD5"/>
    <w:rsid w:val="00711A66"/>
    <w:rsid w:val="00711D9B"/>
    <w:rsid w:val="007129ED"/>
    <w:rsid w:val="00712F34"/>
    <w:rsid w:val="00713564"/>
    <w:rsid w:val="00714BAB"/>
    <w:rsid w:val="00714CF2"/>
    <w:rsid w:val="00715196"/>
    <w:rsid w:val="007153FC"/>
    <w:rsid w:val="007156B9"/>
    <w:rsid w:val="007159BF"/>
    <w:rsid w:val="00715A2B"/>
    <w:rsid w:val="00716155"/>
    <w:rsid w:val="0071628C"/>
    <w:rsid w:val="00716606"/>
    <w:rsid w:val="007167D8"/>
    <w:rsid w:val="00716BC0"/>
    <w:rsid w:val="007171E8"/>
    <w:rsid w:val="00717D0E"/>
    <w:rsid w:val="007203CA"/>
    <w:rsid w:val="00720817"/>
    <w:rsid w:val="007214A8"/>
    <w:rsid w:val="007214D9"/>
    <w:rsid w:val="007220D4"/>
    <w:rsid w:val="00722850"/>
    <w:rsid w:val="00723376"/>
    <w:rsid w:val="00723784"/>
    <w:rsid w:val="00723994"/>
    <w:rsid w:val="00723C2D"/>
    <w:rsid w:val="00723E27"/>
    <w:rsid w:val="00725287"/>
    <w:rsid w:val="007256F6"/>
    <w:rsid w:val="00725D50"/>
    <w:rsid w:val="00726D69"/>
    <w:rsid w:val="0072793F"/>
    <w:rsid w:val="00727E66"/>
    <w:rsid w:val="00727E9B"/>
    <w:rsid w:val="00730E37"/>
    <w:rsid w:val="00731AB8"/>
    <w:rsid w:val="007334C9"/>
    <w:rsid w:val="0073353F"/>
    <w:rsid w:val="00733559"/>
    <w:rsid w:val="00733FC2"/>
    <w:rsid w:val="00734CF1"/>
    <w:rsid w:val="007356F7"/>
    <w:rsid w:val="00735977"/>
    <w:rsid w:val="00735A91"/>
    <w:rsid w:val="00736638"/>
    <w:rsid w:val="00736F80"/>
    <w:rsid w:val="00737B16"/>
    <w:rsid w:val="00740C2B"/>
    <w:rsid w:val="007413CE"/>
    <w:rsid w:val="00741667"/>
    <w:rsid w:val="007418D1"/>
    <w:rsid w:val="0074195F"/>
    <w:rsid w:val="00742703"/>
    <w:rsid w:val="00742E45"/>
    <w:rsid w:val="00743659"/>
    <w:rsid w:val="007436A8"/>
    <w:rsid w:val="00743CB3"/>
    <w:rsid w:val="00743ED4"/>
    <w:rsid w:val="00743F9D"/>
    <w:rsid w:val="007441D3"/>
    <w:rsid w:val="007447AF"/>
    <w:rsid w:val="007450CC"/>
    <w:rsid w:val="00745E3A"/>
    <w:rsid w:val="0074640B"/>
    <w:rsid w:val="007469E3"/>
    <w:rsid w:val="007471D9"/>
    <w:rsid w:val="007478C2"/>
    <w:rsid w:val="00747CD4"/>
    <w:rsid w:val="00747E8B"/>
    <w:rsid w:val="007504C3"/>
    <w:rsid w:val="00750816"/>
    <w:rsid w:val="0075099E"/>
    <w:rsid w:val="00751375"/>
    <w:rsid w:val="00751598"/>
    <w:rsid w:val="00752B0D"/>
    <w:rsid w:val="00752B79"/>
    <w:rsid w:val="00753CEC"/>
    <w:rsid w:val="00754015"/>
    <w:rsid w:val="00754322"/>
    <w:rsid w:val="00755307"/>
    <w:rsid w:val="0075595F"/>
    <w:rsid w:val="00755C3C"/>
    <w:rsid w:val="00755F8A"/>
    <w:rsid w:val="0075633C"/>
    <w:rsid w:val="00756485"/>
    <w:rsid w:val="007568C7"/>
    <w:rsid w:val="0075745C"/>
    <w:rsid w:val="00757E31"/>
    <w:rsid w:val="00757FC2"/>
    <w:rsid w:val="00760F2A"/>
    <w:rsid w:val="00761259"/>
    <w:rsid w:val="0076188D"/>
    <w:rsid w:val="00761CA9"/>
    <w:rsid w:val="007629D9"/>
    <w:rsid w:val="00762A69"/>
    <w:rsid w:val="00762C67"/>
    <w:rsid w:val="00763035"/>
    <w:rsid w:val="00763DD8"/>
    <w:rsid w:val="0076431C"/>
    <w:rsid w:val="00764B24"/>
    <w:rsid w:val="00764CBC"/>
    <w:rsid w:val="00765612"/>
    <w:rsid w:val="007657C1"/>
    <w:rsid w:val="00766460"/>
    <w:rsid w:val="00766ACB"/>
    <w:rsid w:val="007678C4"/>
    <w:rsid w:val="007701D5"/>
    <w:rsid w:val="00770D96"/>
    <w:rsid w:val="00770E76"/>
    <w:rsid w:val="00772032"/>
    <w:rsid w:val="00772345"/>
    <w:rsid w:val="007725A3"/>
    <w:rsid w:val="00772E42"/>
    <w:rsid w:val="0077447E"/>
    <w:rsid w:val="00775303"/>
    <w:rsid w:val="0077540B"/>
    <w:rsid w:val="0077551A"/>
    <w:rsid w:val="00775D7B"/>
    <w:rsid w:val="00777402"/>
    <w:rsid w:val="0077755F"/>
    <w:rsid w:val="00777569"/>
    <w:rsid w:val="0078052E"/>
    <w:rsid w:val="00780EE3"/>
    <w:rsid w:val="0078151B"/>
    <w:rsid w:val="00781AF5"/>
    <w:rsid w:val="0078236D"/>
    <w:rsid w:val="00783380"/>
    <w:rsid w:val="007849F5"/>
    <w:rsid w:val="00785FDB"/>
    <w:rsid w:val="007862A8"/>
    <w:rsid w:val="00786958"/>
    <w:rsid w:val="00786F37"/>
    <w:rsid w:val="00787668"/>
    <w:rsid w:val="0079030C"/>
    <w:rsid w:val="0079084A"/>
    <w:rsid w:val="00790A4E"/>
    <w:rsid w:val="00790A5A"/>
    <w:rsid w:val="00790F35"/>
    <w:rsid w:val="007911F0"/>
    <w:rsid w:val="00791B86"/>
    <w:rsid w:val="00791CB6"/>
    <w:rsid w:val="00791E35"/>
    <w:rsid w:val="007922B3"/>
    <w:rsid w:val="00792925"/>
    <w:rsid w:val="00793266"/>
    <w:rsid w:val="007939E5"/>
    <w:rsid w:val="00793A23"/>
    <w:rsid w:val="00793F1D"/>
    <w:rsid w:val="0079415E"/>
    <w:rsid w:val="00795BAF"/>
    <w:rsid w:val="00796733"/>
    <w:rsid w:val="00797F1B"/>
    <w:rsid w:val="007A0468"/>
    <w:rsid w:val="007A055C"/>
    <w:rsid w:val="007A0A37"/>
    <w:rsid w:val="007A16D7"/>
    <w:rsid w:val="007A1D7B"/>
    <w:rsid w:val="007A1E44"/>
    <w:rsid w:val="007A1F93"/>
    <w:rsid w:val="007A22DE"/>
    <w:rsid w:val="007A2E37"/>
    <w:rsid w:val="007A39EC"/>
    <w:rsid w:val="007A3F08"/>
    <w:rsid w:val="007A406D"/>
    <w:rsid w:val="007A4916"/>
    <w:rsid w:val="007A4C77"/>
    <w:rsid w:val="007A5017"/>
    <w:rsid w:val="007A510B"/>
    <w:rsid w:val="007A54AE"/>
    <w:rsid w:val="007A593C"/>
    <w:rsid w:val="007A6023"/>
    <w:rsid w:val="007A62B0"/>
    <w:rsid w:val="007A6310"/>
    <w:rsid w:val="007A670B"/>
    <w:rsid w:val="007A6D0A"/>
    <w:rsid w:val="007A780D"/>
    <w:rsid w:val="007B132F"/>
    <w:rsid w:val="007B1A27"/>
    <w:rsid w:val="007B1E65"/>
    <w:rsid w:val="007B1F34"/>
    <w:rsid w:val="007B23B2"/>
    <w:rsid w:val="007B24C1"/>
    <w:rsid w:val="007B24CE"/>
    <w:rsid w:val="007B2D03"/>
    <w:rsid w:val="007B3205"/>
    <w:rsid w:val="007B3231"/>
    <w:rsid w:val="007B3AB4"/>
    <w:rsid w:val="007B3C7B"/>
    <w:rsid w:val="007B4E36"/>
    <w:rsid w:val="007B54C8"/>
    <w:rsid w:val="007B5DF7"/>
    <w:rsid w:val="007B6750"/>
    <w:rsid w:val="007B7608"/>
    <w:rsid w:val="007B769E"/>
    <w:rsid w:val="007B7915"/>
    <w:rsid w:val="007C10D5"/>
    <w:rsid w:val="007C1187"/>
    <w:rsid w:val="007C171A"/>
    <w:rsid w:val="007C2845"/>
    <w:rsid w:val="007C2B02"/>
    <w:rsid w:val="007C4351"/>
    <w:rsid w:val="007C47D6"/>
    <w:rsid w:val="007C4CC3"/>
    <w:rsid w:val="007C50E1"/>
    <w:rsid w:val="007C537A"/>
    <w:rsid w:val="007C56B3"/>
    <w:rsid w:val="007C581A"/>
    <w:rsid w:val="007C5A0C"/>
    <w:rsid w:val="007C5ED2"/>
    <w:rsid w:val="007C6122"/>
    <w:rsid w:val="007C7C90"/>
    <w:rsid w:val="007D0576"/>
    <w:rsid w:val="007D089F"/>
    <w:rsid w:val="007D1138"/>
    <w:rsid w:val="007D20EC"/>
    <w:rsid w:val="007D2124"/>
    <w:rsid w:val="007D2EF0"/>
    <w:rsid w:val="007D34E5"/>
    <w:rsid w:val="007D5E7C"/>
    <w:rsid w:val="007D62BC"/>
    <w:rsid w:val="007D63EF"/>
    <w:rsid w:val="007D6724"/>
    <w:rsid w:val="007D6B0F"/>
    <w:rsid w:val="007D6CA5"/>
    <w:rsid w:val="007D6EF4"/>
    <w:rsid w:val="007D6F90"/>
    <w:rsid w:val="007D75AE"/>
    <w:rsid w:val="007E0000"/>
    <w:rsid w:val="007E0435"/>
    <w:rsid w:val="007E0FEE"/>
    <w:rsid w:val="007E130D"/>
    <w:rsid w:val="007E1E25"/>
    <w:rsid w:val="007E1F6F"/>
    <w:rsid w:val="007E2544"/>
    <w:rsid w:val="007E3378"/>
    <w:rsid w:val="007E365A"/>
    <w:rsid w:val="007E474A"/>
    <w:rsid w:val="007E52ED"/>
    <w:rsid w:val="007E54BE"/>
    <w:rsid w:val="007E6560"/>
    <w:rsid w:val="007E6D9D"/>
    <w:rsid w:val="007E748C"/>
    <w:rsid w:val="007E76EC"/>
    <w:rsid w:val="007E7883"/>
    <w:rsid w:val="007F1AAC"/>
    <w:rsid w:val="007F1D5F"/>
    <w:rsid w:val="007F2017"/>
    <w:rsid w:val="007F270C"/>
    <w:rsid w:val="007F2826"/>
    <w:rsid w:val="007F28CC"/>
    <w:rsid w:val="007F3197"/>
    <w:rsid w:val="007F3B51"/>
    <w:rsid w:val="007F5B59"/>
    <w:rsid w:val="007F698E"/>
    <w:rsid w:val="007F6D5E"/>
    <w:rsid w:val="007F753D"/>
    <w:rsid w:val="007F7D7E"/>
    <w:rsid w:val="007F7DA6"/>
    <w:rsid w:val="00800F15"/>
    <w:rsid w:val="00801054"/>
    <w:rsid w:val="008013A6"/>
    <w:rsid w:val="00801AD9"/>
    <w:rsid w:val="00801DC0"/>
    <w:rsid w:val="00801F3B"/>
    <w:rsid w:val="008021D0"/>
    <w:rsid w:val="0080231B"/>
    <w:rsid w:val="00802E10"/>
    <w:rsid w:val="00803852"/>
    <w:rsid w:val="00804C36"/>
    <w:rsid w:val="0080637F"/>
    <w:rsid w:val="008066FE"/>
    <w:rsid w:val="00807737"/>
    <w:rsid w:val="008105EE"/>
    <w:rsid w:val="00810792"/>
    <w:rsid w:val="00810A96"/>
    <w:rsid w:val="0081158E"/>
    <w:rsid w:val="00811866"/>
    <w:rsid w:val="00811B1D"/>
    <w:rsid w:val="00812326"/>
    <w:rsid w:val="00812AC5"/>
    <w:rsid w:val="00812E63"/>
    <w:rsid w:val="008138E9"/>
    <w:rsid w:val="0081409F"/>
    <w:rsid w:val="008141C0"/>
    <w:rsid w:val="0081473C"/>
    <w:rsid w:val="008159CF"/>
    <w:rsid w:val="00815A74"/>
    <w:rsid w:val="008164AB"/>
    <w:rsid w:val="008166CF"/>
    <w:rsid w:val="00816E05"/>
    <w:rsid w:val="0081721A"/>
    <w:rsid w:val="00820255"/>
    <w:rsid w:val="00820C3E"/>
    <w:rsid w:val="0082171E"/>
    <w:rsid w:val="00821820"/>
    <w:rsid w:val="008218EC"/>
    <w:rsid w:val="00822219"/>
    <w:rsid w:val="0082236C"/>
    <w:rsid w:val="0082292A"/>
    <w:rsid w:val="00823220"/>
    <w:rsid w:val="008234A7"/>
    <w:rsid w:val="00823541"/>
    <w:rsid w:val="00823B28"/>
    <w:rsid w:val="00823DFC"/>
    <w:rsid w:val="00824F27"/>
    <w:rsid w:val="008252A1"/>
    <w:rsid w:val="008258B2"/>
    <w:rsid w:val="008258D8"/>
    <w:rsid w:val="008268D1"/>
    <w:rsid w:val="0082704E"/>
    <w:rsid w:val="00827121"/>
    <w:rsid w:val="0082759B"/>
    <w:rsid w:val="008300BC"/>
    <w:rsid w:val="00831FF6"/>
    <w:rsid w:val="008339BB"/>
    <w:rsid w:val="00833A32"/>
    <w:rsid w:val="00833EEF"/>
    <w:rsid w:val="0083493B"/>
    <w:rsid w:val="00834DE3"/>
    <w:rsid w:val="0083511C"/>
    <w:rsid w:val="0083691E"/>
    <w:rsid w:val="00836A08"/>
    <w:rsid w:val="008407C2"/>
    <w:rsid w:val="00840A0C"/>
    <w:rsid w:val="00840B54"/>
    <w:rsid w:val="008416B2"/>
    <w:rsid w:val="00842C2D"/>
    <w:rsid w:val="00843C3C"/>
    <w:rsid w:val="00843FE8"/>
    <w:rsid w:val="008443FA"/>
    <w:rsid w:val="008449F9"/>
    <w:rsid w:val="00845DE2"/>
    <w:rsid w:val="00846CD7"/>
    <w:rsid w:val="00846EE7"/>
    <w:rsid w:val="00847051"/>
    <w:rsid w:val="0084719F"/>
    <w:rsid w:val="00847B3F"/>
    <w:rsid w:val="00847F42"/>
    <w:rsid w:val="0085059E"/>
    <w:rsid w:val="00851C20"/>
    <w:rsid w:val="00851DA5"/>
    <w:rsid w:val="00852586"/>
    <w:rsid w:val="0085350C"/>
    <w:rsid w:val="00853932"/>
    <w:rsid w:val="008545EB"/>
    <w:rsid w:val="008548D3"/>
    <w:rsid w:val="00855E49"/>
    <w:rsid w:val="00856162"/>
    <w:rsid w:val="00857694"/>
    <w:rsid w:val="00861BE7"/>
    <w:rsid w:val="00861EBD"/>
    <w:rsid w:val="0086297E"/>
    <w:rsid w:val="00863454"/>
    <w:rsid w:val="008637DE"/>
    <w:rsid w:val="0086419A"/>
    <w:rsid w:val="00864348"/>
    <w:rsid w:val="008644CC"/>
    <w:rsid w:val="00864659"/>
    <w:rsid w:val="00864F01"/>
    <w:rsid w:val="00865158"/>
    <w:rsid w:val="00866017"/>
    <w:rsid w:val="00866058"/>
    <w:rsid w:val="00866314"/>
    <w:rsid w:val="00867FC7"/>
    <w:rsid w:val="0087023B"/>
    <w:rsid w:val="0087067B"/>
    <w:rsid w:val="0087093B"/>
    <w:rsid w:val="0087181A"/>
    <w:rsid w:val="008719B9"/>
    <w:rsid w:val="008724ED"/>
    <w:rsid w:val="00872820"/>
    <w:rsid w:val="00872893"/>
    <w:rsid w:val="00872CF2"/>
    <w:rsid w:val="00873250"/>
    <w:rsid w:val="008761E7"/>
    <w:rsid w:val="00880100"/>
    <w:rsid w:val="008811D4"/>
    <w:rsid w:val="00881FEC"/>
    <w:rsid w:val="00882A3A"/>
    <w:rsid w:val="00882B83"/>
    <w:rsid w:val="0088366C"/>
    <w:rsid w:val="00883A54"/>
    <w:rsid w:val="00884205"/>
    <w:rsid w:val="008849C0"/>
    <w:rsid w:val="008861AF"/>
    <w:rsid w:val="00887684"/>
    <w:rsid w:val="00887CE1"/>
    <w:rsid w:val="00887E60"/>
    <w:rsid w:val="00887EF4"/>
    <w:rsid w:val="0089026B"/>
    <w:rsid w:val="00890539"/>
    <w:rsid w:val="0089070C"/>
    <w:rsid w:val="00893857"/>
    <w:rsid w:val="00894640"/>
    <w:rsid w:val="00896744"/>
    <w:rsid w:val="00897586"/>
    <w:rsid w:val="008975E6"/>
    <w:rsid w:val="00897852"/>
    <w:rsid w:val="00897FA8"/>
    <w:rsid w:val="008A0459"/>
    <w:rsid w:val="008A179F"/>
    <w:rsid w:val="008A2896"/>
    <w:rsid w:val="008A32A0"/>
    <w:rsid w:val="008A32A9"/>
    <w:rsid w:val="008A3D47"/>
    <w:rsid w:val="008A4553"/>
    <w:rsid w:val="008A5334"/>
    <w:rsid w:val="008A5EE4"/>
    <w:rsid w:val="008A7481"/>
    <w:rsid w:val="008A7636"/>
    <w:rsid w:val="008A7FE9"/>
    <w:rsid w:val="008B020A"/>
    <w:rsid w:val="008B0864"/>
    <w:rsid w:val="008B116D"/>
    <w:rsid w:val="008B2716"/>
    <w:rsid w:val="008B282E"/>
    <w:rsid w:val="008B28DB"/>
    <w:rsid w:val="008B3B16"/>
    <w:rsid w:val="008B58F8"/>
    <w:rsid w:val="008B5A9D"/>
    <w:rsid w:val="008B6536"/>
    <w:rsid w:val="008B74AF"/>
    <w:rsid w:val="008B78E1"/>
    <w:rsid w:val="008B7BA5"/>
    <w:rsid w:val="008B7DAB"/>
    <w:rsid w:val="008C033A"/>
    <w:rsid w:val="008C1571"/>
    <w:rsid w:val="008C1EAB"/>
    <w:rsid w:val="008C231A"/>
    <w:rsid w:val="008C2C4B"/>
    <w:rsid w:val="008C35E9"/>
    <w:rsid w:val="008C38DD"/>
    <w:rsid w:val="008C4B01"/>
    <w:rsid w:val="008C4D87"/>
    <w:rsid w:val="008C4E1C"/>
    <w:rsid w:val="008C4F24"/>
    <w:rsid w:val="008C5479"/>
    <w:rsid w:val="008C570A"/>
    <w:rsid w:val="008C6168"/>
    <w:rsid w:val="008C671B"/>
    <w:rsid w:val="008C6FC6"/>
    <w:rsid w:val="008C72BC"/>
    <w:rsid w:val="008C7413"/>
    <w:rsid w:val="008C75EE"/>
    <w:rsid w:val="008D0CA3"/>
    <w:rsid w:val="008D0D62"/>
    <w:rsid w:val="008D0E74"/>
    <w:rsid w:val="008D119B"/>
    <w:rsid w:val="008D16B7"/>
    <w:rsid w:val="008D2204"/>
    <w:rsid w:val="008D2BC8"/>
    <w:rsid w:val="008D3058"/>
    <w:rsid w:val="008D3200"/>
    <w:rsid w:val="008D34D1"/>
    <w:rsid w:val="008D383A"/>
    <w:rsid w:val="008D4511"/>
    <w:rsid w:val="008D472C"/>
    <w:rsid w:val="008D512E"/>
    <w:rsid w:val="008D5138"/>
    <w:rsid w:val="008D5154"/>
    <w:rsid w:val="008D52A7"/>
    <w:rsid w:val="008D5395"/>
    <w:rsid w:val="008D565F"/>
    <w:rsid w:val="008D573F"/>
    <w:rsid w:val="008D574A"/>
    <w:rsid w:val="008D577F"/>
    <w:rsid w:val="008D5DEE"/>
    <w:rsid w:val="008D63B2"/>
    <w:rsid w:val="008D74D0"/>
    <w:rsid w:val="008E0419"/>
    <w:rsid w:val="008E05A4"/>
    <w:rsid w:val="008E08C3"/>
    <w:rsid w:val="008E18A5"/>
    <w:rsid w:val="008E1949"/>
    <w:rsid w:val="008E198E"/>
    <w:rsid w:val="008E1E48"/>
    <w:rsid w:val="008E1E81"/>
    <w:rsid w:val="008E202A"/>
    <w:rsid w:val="008E2D2D"/>
    <w:rsid w:val="008E43E5"/>
    <w:rsid w:val="008E555A"/>
    <w:rsid w:val="008E56EF"/>
    <w:rsid w:val="008E6AE6"/>
    <w:rsid w:val="008E748C"/>
    <w:rsid w:val="008E7507"/>
    <w:rsid w:val="008E785B"/>
    <w:rsid w:val="008F000F"/>
    <w:rsid w:val="008F0116"/>
    <w:rsid w:val="008F0AFA"/>
    <w:rsid w:val="008F0D50"/>
    <w:rsid w:val="008F0F11"/>
    <w:rsid w:val="008F101C"/>
    <w:rsid w:val="008F143D"/>
    <w:rsid w:val="008F1766"/>
    <w:rsid w:val="008F1939"/>
    <w:rsid w:val="008F1E1B"/>
    <w:rsid w:val="008F2AEF"/>
    <w:rsid w:val="008F3124"/>
    <w:rsid w:val="008F4737"/>
    <w:rsid w:val="008F4A97"/>
    <w:rsid w:val="008F4E87"/>
    <w:rsid w:val="008F566A"/>
    <w:rsid w:val="008F5C98"/>
    <w:rsid w:val="008F5F73"/>
    <w:rsid w:val="008F65C0"/>
    <w:rsid w:val="008F6AB8"/>
    <w:rsid w:val="008F72D7"/>
    <w:rsid w:val="008F7ACA"/>
    <w:rsid w:val="008F7FAA"/>
    <w:rsid w:val="0090045D"/>
    <w:rsid w:val="009017D3"/>
    <w:rsid w:val="0090201A"/>
    <w:rsid w:val="0090238F"/>
    <w:rsid w:val="00902F23"/>
    <w:rsid w:val="009030A0"/>
    <w:rsid w:val="0090368B"/>
    <w:rsid w:val="009037D6"/>
    <w:rsid w:val="00903947"/>
    <w:rsid w:val="00904247"/>
    <w:rsid w:val="00904643"/>
    <w:rsid w:val="009056B6"/>
    <w:rsid w:val="009056D4"/>
    <w:rsid w:val="00905FEB"/>
    <w:rsid w:val="009066E5"/>
    <w:rsid w:val="0090728D"/>
    <w:rsid w:val="0090777F"/>
    <w:rsid w:val="009113BE"/>
    <w:rsid w:val="00911D32"/>
    <w:rsid w:val="00913024"/>
    <w:rsid w:val="00913742"/>
    <w:rsid w:val="009143F9"/>
    <w:rsid w:val="00915145"/>
    <w:rsid w:val="0091578B"/>
    <w:rsid w:val="00916450"/>
    <w:rsid w:val="0091685F"/>
    <w:rsid w:val="0092235F"/>
    <w:rsid w:val="00922B88"/>
    <w:rsid w:val="00922CF1"/>
    <w:rsid w:val="00923476"/>
    <w:rsid w:val="009255A3"/>
    <w:rsid w:val="00925993"/>
    <w:rsid w:val="00925A02"/>
    <w:rsid w:val="00925D3B"/>
    <w:rsid w:val="009264A1"/>
    <w:rsid w:val="0092651B"/>
    <w:rsid w:val="00926538"/>
    <w:rsid w:val="0092725B"/>
    <w:rsid w:val="0092776F"/>
    <w:rsid w:val="00927A61"/>
    <w:rsid w:val="00927A8B"/>
    <w:rsid w:val="00927D2D"/>
    <w:rsid w:val="00927FA2"/>
    <w:rsid w:val="00932865"/>
    <w:rsid w:val="00932EBE"/>
    <w:rsid w:val="009334D8"/>
    <w:rsid w:val="009340BC"/>
    <w:rsid w:val="009349D3"/>
    <w:rsid w:val="009354DD"/>
    <w:rsid w:val="00935682"/>
    <w:rsid w:val="00935C8B"/>
    <w:rsid w:val="00936FDF"/>
    <w:rsid w:val="009372AC"/>
    <w:rsid w:val="009374B1"/>
    <w:rsid w:val="009376B9"/>
    <w:rsid w:val="0094068C"/>
    <w:rsid w:val="009411FB"/>
    <w:rsid w:val="00941E26"/>
    <w:rsid w:val="00942116"/>
    <w:rsid w:val="00942364"/>
    <w:rsid w:val="009426F6"/>
    <w:rsid w:val="00944C21"/>
    <w:rsid w:val="00945D12"/>
    <w:rsid w:val="009461B5"/>
    <w:rsid w:val="009473BC"/>
    <w:rsid w:val="00947C35"/>
    <w:rsid w:val="009502C9"/>
    <w:rsid w:val="009510C0"/>
    <w:rsid w:val="00952CBD"/>
    <w:rsid w:val="009534B8"/>
    <w:rsid w:val="00955453"/>
    <w:rsid w:val="00955A6E"/>
    <w:rsid w:val="0095635D"/>
    <w:rsid w:val="00956651"/>
    <w:rsid w:val="00956A10"/>
    <w:rsid w:val="00956D63"/>
    <w:rsid w:val="009572E3"/>
    <w:rsid w:val="00957854"/>
    <w:rsid w:val="00957BC2"/>
    <w:rsid w:val="00957C4A"/>
    <w:rsid w:val="00957D25"/>
    <w:rsid w:val="00957D40"/>
    <w:rsid w:val="0096005F"/>
    <w:rsid w:val="009603B4"/>
    <w:rsid w:val="0096055C"/>
    <w:rsid w:val="00960EB5"/>
    <w:rsid w:val="0096110C"/>
    <w:rsid w:val="00961F35"/>
    <w:rsid w:val="009620CB"/>
    <w:rsid w:val="00962345"/>
    <w:rsid w:val="009628BE"/>
    <w:rsid w:val="00962C86"/>
    <w:rsid w:val="00962FD8"/>
    <w:rsid w:val="0096303F"/>
    <w:rsid w:val="009630CF"/>
    <w:rsid w:val="00963BE9"/>
    <w:rsid w:val="009652FF"/>
    <w:rsid w:val="009656DA"/>
    <w:rsid w:val="00966193"/>
    <w:rsid w:val="009663EB"/>
    <w:rsid w:val="00966C78"/>
    <w:rsid w:val="00967F1B"/>
    <w:rsid w:val="00970054"/>
    <w:rsid w:val="00970183"/>
    <w:rsid w:val="00970708"/>
    <w:rsid w:val="00970CF0"/>
    <w:rsid w:val="009710F1"/>
    <w:rsid w:val="009719C9"/>
    <w:rsid w:val="0097338B"/>
    <w:rsid w:val="00974AB5"/>
    <w:rsid w:val="00974D43"/>
    <w:rsid w:val="0097570A"/>
    <w:rsid w:val="00975BC0"/>
    <w:rsid w:val="00975C53"/>
    <w:rsid w:val="00976368"/>
    <w:rsid w:val="00976413"/>
    <w:rsid w:val="00977B26"/>
    <w:rsid w:val="00981267"/>
    <w:rsid w:val="00981365"/>
    <w:rsid w:val="0098138E"/>
    <w:rsid w:val="00983554"/>
    <w:rsid w:val="009838DF"/>
    <w:rsid w:val="009847C6"/>
    <w:rsid w:val="00984A0A"/>
    <w:rsid w:val="00984DAF"/>
    <w:rsid w:val="0098573D"/>
    <w:rsid w:val="00986208"/>
    <w:rsid w:val="0098655A"/>
    <w:rsid w:val="009871B7"/>
    <w:rsid w:val="00987774"/>
    <w:rsid w:val="009877FF"/>
    <w:rsid w:val="00987DFC"/>
    <w:rsid w:val="00990A11"/>
    <w:rsid w:val="009915B2"/>
    <w:rsid w:val="009916E6"/>
    <w:rsid w:val="0099237A"/>
    <w:rsid w:val="00992E38"/>
    <w:rsid w:val="009935EE"/>
    <w:rsid w:val="00993908"/>
    <w:rsid w:val="00993971"/>
    <w:rsid w:val="00993C61"/>
    <w:rsid w:val="009941C5"/>
    <w:rsid w:val="0099501A"/>
    <w:rsid w:val="009963BC"/>
    <w:rsid w:val="00996D76"/>
    <w:rsid w:val="009971C5"/>
    <w:rsid w:val="009978BD"/>
    <w:rsid w:val="009A08B4"/>
    <w:rsid w:val="009A0AEC"/>
    <w:rsid w:val="009A0D3F"/>
    <w:rsid w:val="009A1214"/>
    <w:rsid w:val="009A1F15"/>
    <w:rsid w:val="009A2709"/>
    <w:rsid w:val="009A2ACA"/>
    <w:rsid w:val="009A2F9C"/>
    <w:rsid w:val="009A3DB5"/>
    <w:rsid w:val="009A4C3F"/>
    <w:rsid w:val="009A5F95"/>
    <w:rsid w:val="009A6E36"/>
    <w:rsid w:val="009A6E55"/>
    <w:rsid w:val="009A74C5"/>
    <w:rsid w:val="009A7B15"/>
    <w:rsid w:val="009B0239"/>
    <w:rsid w:val="009B0D6F"/>
    <w:rsid w:val="009B0DA4"/>
    <w:rsid w:val="009B22FF"/>
    <w:rsid w:val="009B26F7"/>
    <w:rsid w:val="009B2B34"/>
    <w:rsid w:val="009B2F7D"/>
    <w:rsid w:val="009B4102"/>
    <w:rsid w:val="009B550C"/>
    <w:rsid w:val="009B59C6"/>
    <w:rsid w:val="009B5C20"/>
    <w:rsid w:val="009B6585"/>
    <w:rsid w:val="009B7011"/>
    <w:rsid w:val="009B71AE"/>
    <w:rsid w:val="009C0218"/>
    <w:rsid w:val="009C0488"/>
    <w:rsid w:val="009C1227"/>
    <w:rsid w:val="009C1A8C"/>
    <w:rsid w:val="009C1B07"/>
    <w:rsid w:val="009C1ECE"/>
    <w:rsid w:val="009C3658"/>
    <w:rsid w:val="009C391E"/>
    <w:rsid w:val="009C4457"/>
    <w:rsid w:val="009C4727"/>
    <w:rsid w:val="009C4FF7"/>
    <w:rsid w:val="009C53A7"/>
    <w:rsid w:val="009C57DD"/>
    <w:rsid w:val="009C5E3F"/>
    <w:rsid w:val="009C6738"/>
    <w:rsid w:val="009C6935"/>
    <w:rsid w:val="009D1424"/>
    <w:rsid w:val="009D16E4"/>
    <w:rsid w:val="009D17FA"/>
    <w:rsid w:val="009D343E"/>
    <w:rsid w:val="009D34C8"/>
    <w:rsid w:val="009D3BD2"/>
    <w:rsid w:val="009D45D8"/>
    <w:rsid w:val="009D4890"/>
    <w:rsid w:val="009D5986"/>
    <w:rsid w:val="009D7433"/>
    <w:rsid w:val="009D7F8B"/>
    <w:rsid w:val="009E185B"/>
    <w:rsid w:val="009E1973"/>
    <w:rsid w:val="009E1F2A"/>
    <w:rsid w:val="009E216E"/>
    <w:rsid w:val="009E2196"/>
    <w:rsid w:val="009E2A82"/>
    <w:rsid w:val="009E32B7"/>
    <w:rsid w:val="009E3387"/>
    <w:rsid w:val="009E39ED"/>
    <w:rsid w:val="009E56F9"/>
    <w:rsid w:val="009E5DFE"/>
    <w:rsid w:val="009E6052"/>
    <w:rsid w:val="009E6255"/>
    <w:rsid w:val="009E62C1"/>
    <w:rsid w:val="009E6415"/>
    <w:rsid w:val="009E6A27"/>
    <w:rsid w:val="009E7394"/>
    <w:rsid w:val="009E745E"/>
    <w:rsid w:val="009E7C7F"/>
    <w:rsid w:val="009F0F66"/>
    <w:rsid w:val="009F184C"/>
    <w:rsid w:val="009F1924"/>
    <w:rsid w:val="009F1FAF"/>
    <w:rsid w:val="009F286A"/>
    <w:rsid w:val="009F2AA6"/>
    <w:rsid w:val="009F33DB"/>
    <w:rsid w:val="009F3A50"/>
    <w:rsid w:val="009F42ED"/>
    <w:rsid w:val="009F44B9"/>
    <w:rsid w:val="009F44D1"/>
    <w:rsid w:val="009F623D"/>
    <w:rsid w:val="009F64EB"/>
    <w:rsid w:val="009F6AEC"/>
    <w:rsid w:val="009F7520"/>
    <w:rsid w:val="00A00CD3"/>
    <w:rsid w:val="00A02FFD"/>
    <w:rsid w:val="00A03299"/>
    <w:rsid w:val="00A03B78"/>
    <w:rsid w:val="00A03F50"/>
    <w:rsid w:val="00A03FC3"/>
    <w:rsid w:val="00A046C8"/>
    <w:rsid w:val="00A065F2"/>
    <w:rsid w:val="00A0677B"/>
    <w:rsid w:val="00A06EAE"/>
    <w:rsid w:val="00A07444"/>
    <w:rsid w:val="00A077B9"/>
    <w:rsid w:val="00A07D44"/>
    <w:rsid w:val="00A10900"/>
    <w:rsid w:val="00A119E1"/>
    <w:rsid w:val="00A12B4A"/>
    <w:rsid w:val="00A12BBE"/>
    <w:rsid w:val="00A12D01"/>
    <w:rsid w:val="00A1377B"/>
    <w:rsid w:val="00A138DC"/>
    <w:rsid w:val="00A13E42"/>
    <w:rsid w:val="00A14D74"/>
    <w:rsid w:val="00A14E83"/>
    <w:rsid w:val="00A153CB"/>
    <w:rsid w:val="00A15766"/>
    <w:rsid w:val="00A15989"/>
    <w:rsid w:val="00A1617B"/>
    <w:rsid w:val="00A161FD"/>
    <w:rsid w:val="00A1640F"/>
    <w:rsid w:val="00A16EE2"/>
    <w:rsid w:val="00A1710F"/>
    <w:rsid w:val="00A1726D"/>
    <w:rsid w:val="00A1746A"/>
    <w:rsid w:val="00A175BC"/>
    <w:rsid w:val="00A17999"/>
    <w:rsid w:val="00A17CE0"/>
    <w:rsid w:val="00A17E4E"/>
    <w:rsid w:val="00A203E8"/>
    <w:rsid w:val="00A20640"/>
    <w:rsid w:val="00A20749"/>
    <w:rsid w:val="00A20DE9"/>
    <w:rsid w:val="00A20EA3"/>
    <w:rsid w:val="00A222E6"/>
    <w:rsid w:val="00A2281E"/>
    <w:rsid w:val="00A22B3D"/>
    <w:rsid w:val="00A22C9C"/>
    <w:rsid w:val="00A22DD4"/>
    <w:rsid w:val="00A2383C"/>
    <w:rsid w:val="00A23899"/>
    <w:rsid w:val="00A23BA0"/>
    <w:rsid w:val="00A23D48"/>
    <w:rsid w:val="00A241CC"/>
    <w:rsid w:val="00A241CD"/>
    <w:rsid w:val="00A24391"/>
    <w:rsid w:val="00A25A72"/>
    <w:rsid w:val="00A267CE"/>
    <w:rsid w:val="00A26BBD"/>
    <w:rsid w:val="00A270F4"/>
    <w:rsid w:val="00A2790A"/>
    <w:rsid w:val="00A30187"/>
    <w:rsid w:val="00A301C6"/>
    <w:rsid w:val="00A31F28"/>
    <w:rsid w:val="00A32BF9"/>
    <w:rsid w:val="00A330E4"/>
    <w:rsid w:val="00A33C77"/>
    <w:rsid w:val="00A343A8"/>
    <w:rsid w:val="00A34BAB"/>
    <w:rsid w:val="00A3524B"/>
    <w:rsid w:val="00A35E03"/>
    <w:rsid w:val="00A35F15"/>
    <w:rsid w:val="00A35F85"/>
    <w:rsid w:val="00A362FB"/>
    <w:rsid w:val="00A364E1"/>
    <w:rsid w:val="00A37CE3"/>
    <w:rsid w:val="00A40A97"/>
    <w:rsid w:val="00A40BCB"/>
    <w:rsid w:val="00A411A9"/>
    <w:rsid w:val="00A41878"/>
    <w:rsid w:val="00A42306"/>
    <w:rsid w:val="00A4311D"/>
    <w:rsid w:val="00A43E10"/>
    <w:rsid w:val="00A4421A"/>
    <w:rsid w:val="00A4486F"/>
    <w:rsid w:val="00A44DD4"/>
    <w:rsid w:val="00A44E8D"/>
    <w:rsid w:val="00A4537B"/>
    <w:rsid w:val="00A455D0"/>
    <w:rsid w:val="00A456D0"/>
    <w:rsid w:val="00A456E5"/>
    <w:rsid w:val="00A45A9F"/>
    <w:rsid w:val="00A46EA8"/>
    <w:rsid w:val="00A504EA"/>
    <w:rsid w:val="00A50AD0"/>
    <w:rsid w:val="00A50D03"/>
    <w:rsid w:val="00A50D99"/>
    <w:rsid w:val="00A50DB3"/>
    <w:rsid w:val="00A51F84"/>
    <w:rsid w:val="00A52127"/>
    <w:rsid w:val="00A52A55"/>
    <w:rsid w:val="00A53476"/>
    <w:rsid w:val="00A53779"/>
    <w:rsid w:val="00A5483A"/>
    <w:rsid w:val="00A555E9"/>
    <w:rsid w:val="00A55ACD"/>
    <w:rsid w:val="00A55B18"/>
    <w:rsid w:val="00A5680C"/>
    <w:rsid w:val="00A56849"/>
    <w:rsid w:val="00A56E24"/>
    <w:rsid w:val="00A57A75"/>
    <w:rsid w:val="00A57C2A"/>
    <w:rsid w:val="00A57DA2"/>
    <w:rsid w:val="00A600FB"/>
    <w:rsid w:val="00A60183"/>
    <w:rsid w:val="00A60919"/>
    <w:rsid w:val="00A609EE"/>
    <w:rsid w:val="00A60BAE"/>
    <w:rsid w:val="00A617F2"/>
    <w:rsid w:val="00A61ECD"/>
    <w:rsid w:val="00A62468"/>
    <w:rsid w:val="00A62D68"/>
    <w:rsid w:val="00A62E33"/>
    <w:rsid w:val="00A63527"/>
    <w:rsid w:val="00A63D3E"/>
    <w:rsid w:val="00A63FC7"/>
    <w:rsid w:val="00A64429"/>
    <w:rsid w:val="00A654C0"/>
    <w:rsid w:val="00A65813"/>
    <w:rsid w:val="00A65921"/>
    <w:rsid w:val="00A66072"/>
    <w:rsid w:val="00A6777C"/>
    <w:rsid w:val="00A713F5"/>
    <w:rsid w:val="00A7189D"/>
    <w:rsid w:val="00A7285C"/>
    <w:rsid w:val="00A72FDA"/>
    <w:rsid w:val="00A7491C"/>
    <w:rsid w:val="00A74BF3"/>
    <w:rsid w:val="00A759FE"/>
    <w:rsid w:val="00A75EB5"/>
    <w:rsid w:val="00A761DE"/>
    <w:rsid w:val="00A76352"/>
    <w:rsid w:val="00A76969"/>
    <w:rsid w:val="00A769BF"/>
    <w:rsid w:val="00A76B54"/>
    <w:rsid w:val="00A7728A"/>
    <w:rsid w:val="00A776AB"/>
    <w:rsid w:val="00A81597"/>
    <w:rsid w:val="00A828E6"/>
    <w:rsid w:val="00A82CF0"/>
    <w:rsid w:val="00A838F1"/>
    <w:rsid w:val="00A842DB"/>
    <w:rsid w:val="00A853AF"/>
    <w:rsid w:val="00A8567A"/>
    <w:rsid w:val="00A856E9"/>
    <w:rsid w:val="00A85D27"/>
    <w:rsid w:val="00A868FB"/>
    <w:rsid w:val="00A86D6E"/>
    <w:rsid w:val="00A9005E"/>
    <w:rsid w:val="00A90E27"/>
    <w:rsid w:val="00A90ED2"/>
    <w:rsid w:val="00A915E8"/>
    <w:rsid w:val="00A91BF1"/>
    <w:rsid w:val="00A91C26"/>
    <w:rsid w:val="00A91F18"/>
    <w:rsid w:val="00A92E74"/>
    <w:rsid w:val="00A94CB8"/>
    <w:rsid w:val="00A9556F"/>
    <w:rsid w:val="00A960A1"/>
    <w:rsid w:val="00A97766"/>
    <w:rsid w:val="00A97A6E"/>
    <w:rsid w:val="00AA0007"/>
    <w:rsid w:val="00AA1121"/>
    <w:rsid w:val="00AA1387"/>
    <w:rsid w:val="00AA177B"/>
    <w:rsid w:val="00AA20F2"/>
    <w:rsid w:val="00AA261E"/>
    <w:rsid w:val="00AA29FE"/>
    <w:rsid w:val="00AA2AF6"/>
    <w:rsid w:val="00AA4867"/>
    <w:rsid w:val="00AA4CC1"/>
    <w:rsid w:val="00AA54EC"/>
    <w:rsid w:val="00AA67EF"/>
    <w:rsid w:val="00AB00A1"/>
    <w:rsid w:val="00AB047C"/>
    <w:rsid w:val="00AB080C"/>
    <w:rsid w:val="00AB261E"/>
    <w:rsid w:val="00AB2913"/>
    <w:rsid w:val="00AB2E05"/>
    <w:rsid w:val="00AB2E0A"/>
    <w:rsid w:val="00AB3728"/>
    <w:rsid w:val="00AB39BD"/>
    <w:rsid w:val="00AB3F3D"/>
    <w:rsid w:val="00AB3FCC"/>
    <w:rsid w:val="00AB43B2"/>
    <w:rsid w:val="00AB5421"/>
    <w:rsid w:val="00AB5873"/>
    <w:rsid w:val="00AB5B7D"/>
    <w:rsid w:val="00AB5C10"/>
    <w:rsid w:val="00AB62C0"/>
    <w:rsid w:val="00AB6E66"/>
    <w:rsid w:val="00AB6FBD"/>
    <w:rsid w:val="00AB7875"/>
    <w:rsid w:val="00AB7A3F"/>
    <w:rsid w:val="00AC0068"/>
    <w:rsid w:val="00AC0CCA"/>
    <w:rsid w:val="00AC11FF"/>
    <w:rsid w:val="00AC1D15"/>
    <w:rsid w:val="00AC207E"/>
    <w:rsid w:val="00AC24F1"/>
    <w:rsid w:val="00AC2513"/>
    <w:rsid w:val="00AC2B97"/>
    <w:rsid w:val="00AC2E52"/>
    <w:rsid w:val="00AC3406"/>
    <w:rsid w:val="00AC3AC3"/>
    <w:rsid w:val="00AC551F"/>
    <w:rsid w:val="00AC5876"/>
    <w:rsid w:val="00AC6710"/>
    <w:rsid w:val="00AC68EE"/>
    <w:rsid w:val="00AC6A8C"/>
    <w:rsid w:val="00AC7797"/>
    <w:rsid w:val="00AC7CC5"/>
    <w:rsid w:val="00AD08A2"/>
    <w:rsid w:val="00AD0DA1"/>
    <w:rsid w:val="00AD0F90"/>
    <w:rsid w:val="00AD2492"/>
    <w:rsid w:val="00AD28C9"/>
    <w:rsid w:val="00AD2E25"/>
    <w:rsid w:val="00AD31C3"/>
    <w:rsid w:val="00AD441E"/>
    <w:rsid w:val="00AD44F5"/>
    <w:rsid w:val="00AD5AEB"/>
    <w:rsid w:val="00AD6686"/>
    <w:rsid w:val="00AD705C"/>
    <w:rsid w:val="00AD7652"/>
    <w:rsid w:val="00AE09AC"/>
    <w:rsid w:val="00AE109F"/>
    <w:rsid w:val="00AE2029"/>
    <w:rsid w:val="00AE32C2"/>
    <w:rsid w:val="00AE3423"/>
    <w:rsid w:val="00AE378E"/>
    <w:rsid w:val="00AE47FB"/>
    <w:rsid w:val="00AE55D0"/>
    <w:rsid w:val="00AE624D"/>
    <w:rsid w:val="00AE6332"/>
    <w:rsid w:val="00AE6B6F"/>
    <w:rsid w:val="00AE6BD8"/>
    <w:rsid w:val="00AE6DB0"/>
    <w:rsid w:val="00AE7BA0"/>
    <w:rsid w:val="00AF00A2"/>
    <w:rsid w:val="00AF03F0"/>
    <w:rsid w:val="00AF097D"/>
    <w:rsid w:val="00AF0B98"/>
    <w:rsid w:val="00AF1049"/>
    <w:rsid w:val="00AF3015"/>
    <w:rsid w:val="00AF3165"/>
    <w:rsid w:val="00AF354A"/>
    <w:rsid w:val="00AF42BB"/>
    <w:rsid w:val="00AF4363"/>
    <w:rsid w:val="00AF45DA"/>
    <w:rsid w:val="00AF4973"/>
    <w:rsid w:val="00AF62E6"/>
    <w:rsid w:val="00AF658D"/>
    <w:rsid w:val="00AF6B2D"/>
    <w:rsid w:val="00AF6B71"/>
    <w:rsid w:val="00AF7078"/>
    <w:rsid w:val="00AF7C14"/>
    <w:rsid w:val="00AF7D6D"/>
    <w:rsid w:val="00AF7F1A"/>
    <w:rsid w:val="00B0056C"/>
    <w:rsid w:val="00B00E1F"/>
    <w:rsid w:val="00B00ECB"/>
    <w:rsid w:val="00B01675"/>
    <w:rsid w:val="00B01F7E"/>
    <w:rsid w:val="00B02B0E"/>
    <w:rsid w:val="00B0415C"/>
    <w:rsid w:val="00B04224"/>
    <w:rsid w:val="00B0427B"/>
    <w:rsid w:val="00B04AD7"/>
    <w:rsid w:val="00B05306"/>
    <w:rsid w:val="00B056BF"/>
    <w:rsid w:val="00B0607F"/>
    <w:rsid w:val="00B06978"/>
    <w:rsid w:val="00B06A03"/>
    <w:rsid w:val="00B06E39"/>
    <w:rsid w:val="00B06F9C"/>
    <w:rsid w:val="00B10042"/>
    <w:rsid w:val="00B102A6"/>
    <w:rsid w:val="00B10E8D"/>
    <w:rsid w:val="00B1133E"/>
    <w:rsid w:val="00B11949"/>
    <w:rsid w:val="00B12CFB"/>
    <w:rsid w:val="00B13085"/>
    <w:rsid w:val="00B146B1"/>
    <w:rsid w:val="00B14F04"/>
    <w:rsid w:val="00B14F12"/>
    <w:rsid w:val="00B15220"/>
    <w:rsid w:val="00B155EF"/>
    <w:rsid w:val="00B15904"/>
    <w:rsid w:val="00B15FED"/>
    <w:rsid w:val="00B16518"/>
    <w:rsid w:val="00B16635"/>
    <w:rsid w:val="00B16BE0"/>
    <w:rsid w:val="00B16C2A"/>
    <w:rsid w:val="00B16C59"/>
    <w:rsid w:val="00B172EC"/>
    <w:rsid w:val="00B17DB9"/>
    <w:rsid w:val="00B22646"/>
    <w:rsid w:val="00B22704"/>
    <w:rsid w:val="00B22C64"/>
    <w:rsid w:val="00B22FC4"/>
    <w:rsid w:val="00B237AD"/>
    <w:rsid w:val="00B23824"/>
    <w:rsid w:val="00B2431F"/>
    <w:rsid w:val="00B2510F"/>
    <w:rsid w:val="00B25FE8"/>
    <w:rsid w:val="00B26DE6"/>
    <w:rsid w:val="00B27597"/>
    <w:rsid w:val="00B27FD8"/>
    <w:rsid w:val="00B30156"/>
    <w:rsid w:val="00B30733"/>
    <w:rsid w:val="00B30850"/>
    <w:rsid w:val="00B3087D"/>
    <w:rsid w:val="00B30CC2"/>
    <w:rsid w:val="00B3215F"/>
    <w:rsid w:val="00B32450"/>
    <w:rsid w:val="00B327D7"/>
    <w:rsid w:val="00B34794"/>
    <w:rsid w:val="00B3481F"/>
    <w:rsid w:val="00B34DF8"/>
    <w:rsid w:val="00B34EEB"/>
    <w:rsid w:val="00B34F58"/>
    <w:rsid w:val="00B35379"/>
    <w:rsid w:val="00B35605"/>
    <w:rsid w:val="00B36357"/>
    <w:rsid w:val="00B366EE"/>
    <w:rsid w:val="00B36869"/>
    <w:rsid w:val="00B36A25"/>
    <w:rsid w:val="00B36DAF"/>
    <w:rsid w:val="00B36EFC"/>
    <w:rsid w:val="00B370C1"/>
    <w:rsid w:val="00B37F6F"/>
    <w:rsid w:val="00B40025"/>
    <w:rsid w:val="00B40633"/>
    <w:rsid w:val="00B41011"/>
    <w:rsid w:val="00B4116C"/>
    <w:rsid w:val="00B4149B"/>
    <w:rsid w:val="00B41973"/>
    <w:rsid w:val="00B41EDC"/>
    <w:rsid w:val="00B423F4"/>
    <w:rsid w:val="00B4260D"/>
    <w:rsid w:val="00B42D02"/>
    <w:rsid w:val="00B43011"/>
    <w:rsid w:val="00B4356A"/>
    <w:rsid w:val="00B43F93"/>
    <w:rsid w:val="00B441BF"/>
    <w:rsid w:val="00B4424D"/>
    <w:rsid w:val="00B4486D"/>
    <w:rsid w:val="00B44927"/>
    <w:rsid w:val="00B4497D"/>
    <w:rsid w:val="00B44ACE"/>
    <w:rsid w:val="00B45419"/>
    <w:rsid w:val="00B46493"/>
    <w:rsid w:val="00B468AE"/>
    <w:rsid w:val="00B46941"/>
    <w:rsid w:val="00B46F02"/>
    <w:rsid w:val="00B471D9"/>
    <w:rsid w:val="00B479BB"/>
    <w:rsid w:val="00B50229"/>
    <w:rsid w:val="00B50854"/>
    <w:rsid w:val="00B50AC1"/>
    <w:rsid w:val="00B50E3D"/>
    <w:rsid w:val="00B51013"/>
    <w:rsid w:val="00B51D4F"/>
    <w:rsid w:val="00B52B40"/>
    <w:rsid w:val="00B52E0C"/>
    <w:rsid w:val="00B534D4"/>
    <w:rsid w:val="00B548D0"/>
    <w:rsid w:val="00B566B8"/>
    <w:rsid w:val="00B57FBB"/>
    <w:rsid w:val="00B60247"/>
    <w:rsid w:val="00B60421"/>
    <w:rsid w:val="00B62357"/>
    <w:rsid w:val="00B627E3"/>
    <w:rsid w:val="00B6330E"/>
    <w:rsid w:val="00B63818"/>
    <w:rsid w:val="00B63A37"/>
    <w:rsid w:val="00B6437B"/>
    <w:rsid w:val="00B6465F"/>
    <w:rsid w:val="00B64B41"/>
    <w:rsid w:val="00B64B9E"/>
    <w:rsid w:val="00B65EA8"/>
    <w:rsid w:val="00B660AC"/>
    <w:rsid w:val="00B66827"/>
    <w:rsid w:val="00B66A54"/>
    <w:rsid w:val="00B67BBE"/>
    <w:rsid w:val="00B70220"/>
    <w:rsid w:val="00B70E72"/>
    <w:rsid w:val="00B71822"/>
    <w:rsid w:val="00B72791"/>
    <w:rsid w:val="00B729A3"/>
    <w:rsid w:val="00B73185"/>
    <w:rsid w:val="00B73732"/>
    <w:rsid w:val="00B73855"/>
    <w:rsid w:val="00B73ABE"/>
    <w:rsid w:val="00B742E1"/>
    <w:rsid w:val="00B7454E"/>
    <w:rsid w:val="00B746E7"/>
    <w:rsid w:val="00B752BA"/>
    <w:rsid w:val="00B75EA6"/>
    <w:rsid w:val="00B763C8"/>
    <w:rsid w:val="00B767CB"/>
    <w:rsid w:val="00B76D03"/>
    <w:rsid w:val="00B76D4B"/>
    <w:rsid w:val="00B7703C"/>
    <w:rsid w:val="00B773F9"/>
    <w:rsid w:val="00B77C42"/>
    <w:rsid w:val="00B80178"/>
    <w:rsid w:val="00B802EC"/>
    <w:rsid w:val="00B80363"/>
    <w:rsid w:val="00B804C2"/>
    <w:rsid w:val="00B80ED8"/>
    <w:rsid w:val="00B810AB"/>
    <w:rsid w:val="00B81305"/>
    <w:rsid w:val="00B814E3"/>
    <w:rsid w:val="00B81E58"/>
    <w:rsid w:val="00B81EB6"/>
    <w:rsid w:val="00B82055"/>
    <w:rsid w:val="00B8253F"/>
    <w:rsid w:val="00B82875"/>
    <w:rsid w:val="00B830B5"/>
    <w:rsid w:val="00B832EC"/>
    <w:rsid w:val="00B83B4E"/>
    <w:rsid w:val="00B83E00"/>
    <w:rsid w:val="00B83E2D"/>
    <w:rsid w:val="00B849FF"/>
    <w:rsid w:val="00B852A8"/>
    <w:rsid w:val="00B85586"/>
    <w:rsid w:val="00B8569E"/>
    <w:rsid w:val="00B85E36"/>
    <w:rsid w:val="00B86048"/>
    <w:rsid w:val="00B8636F"/>
    <w:rsid w:val="00B86A24"/>
    <w:rsid w:val="00B8736D"/>
    <w:rsid w:val="00B878D9"/>
    <w:rsid w:val="00B87A8A"/>
    <w:rsid w:val="00B90088"/>
    <w:rsid w:val="00B90327"/>
    <w:rsid w:val="00B906E8"/>
    <w:rsid w:val="00B90E1A"/>
    <w:rsid w:val="00B913F3"/>
    <w:rsid w:val="00B91A22"/>
    <w:rsid w:val="00B91E0D"/>
    <w:rsid w:val="00B92063"/>
    <w:rsid w:val="00B929D0"/>
    <w:rsid w:val="00B9310F"/>
    <w:rsid w:val="00B93ACB"/>
    <w:rsid w:val="00B94069"/>
    <w:rsid w:val="00B94108"/>
    <w:rsid w:val="00B94177"/>
    <w:rsid w:val="00B94815"/>
    <w:rsid w:val="00B9483E"/>
    <w:rsid w:val="00B94C59"/>
    <w:rsid w:val="00B95207"/>
    <w:rsid w:val="00B955CB"/>
    <w:rsid w:val="00B95744"/>
    <w:rsid w:val="00B95884"/>
    <w:rsid w:val="00B95985"/>
    <w:rsid w:val="00B95BE1"/>
    <w:rsid w:val="00B96361"/>
    <w:rsid w:val="00B97161"/>
    <w:rsid w:val="00B971B7"/>
    <w:rsid w:val="00B97338"/>
    <w:rsid w:val="00B97985"/>
    <w:rsid w:val="00B97ABC"/>
    <w:rsid w:val="00B97BC9"/>
    <w:rsid w:val="00B97D17"/>
    <w:rsid w:val="00BA0871"/>
    <w:rsid w:val="00BA099F"/>
    <w:rsid w:val="00BA296C"/>
    <w:rsid w:val="00BA4496"/>
    <w:rsid w:val="00BA487B"/>
    <w:rsid w:val="00BA4902"/>
    <w:rsid w:val="00BA535A"/>
    <w:rsid w:val="00BA5476"/>
    <w:rsid w:val="00BA5AC8"/>
    <w:rsid w:val="00BA6412"/>
    <w:rsid w:val="00BA65E4"/>
    <w:rsid w:val="00BA6973"/>
    <w:rsid w:val="00BA7011"/>
    <w:rsid w:val="00BA7336"/>
    <w:rsid w:val="00BA7B00"/>
    <w:rsid w:val="00BA7C40"/>
    <w:rsid w:val="00BA7DD9"/>
    <w:rsid w:val="00BB0243"/>
    <w:rsid w:val="00BB0E16"/>
    <w:rsid w:val="00BB126A"/>
    <w:rsid w:val="00BB21AF"/>
    <w:rsid w:val="00BB2A51"/>
    <w:rsid w:val="00BB2FD8"/>
    <w:rsid w:val="00BB3463"/>
    <w:rsid w:val="00BB3A14"/>
    <w:rsid w:val="00BB3C6E"/>
    <w:rsid w:val="00BB3D88"/>
    <w:rsid w:val="00BB4009"/>
    <w:rsid w:val="00BB4207"/>
    <w:rsid w:val="00BB4A67"/>
    <w:rsid w:val="00BB4FFC"/>
    <w:rsid w:val="00BB52BC"/>
    <w:rsid w:val="00BB6932"/>
    <w:rsid w:val="00BB6AF4"/>
    <w:rsid w:val="00BB6D24"/>
    <w:rsid w:val="00BB76B5"/>
    <w:rsid w:val="00BC0124"/>
    <w:rsid w:val="00BC1AF9"/>
    <w:rsid w:val="00BC1E10"/>
    <w:rsid w:val="00BC3008"/>
    <w:rsid w:val="00BC44F1"/>
    <w:rsid w:val="00BC4988"/>
    <w:rsid w:val="00BC4B24"/>
    <w:rsid w:val="00BC545D"/>
    <w:rsid w:val="00BC5557"/>
    <w:rsid w:val="00BC664F"/>
    <w:rsid w:val="00BC691A"/>
    <w:rsid w:val="00BC6CAA"/>
    <w:rsid w:val="00BC6CB3"/>
    <w:rsid w:val="00BC6E4B"/>
    <w:rsid w:val="00BC73D1"/>
    <w:rsid w:val="00BD0194"/>
    <w:rsid w:val="00BD0DD8"/>
    <w:rsid w:val="00BD14FA"/>
    <w:rsid w:val="00BD1738"/>
    <w:rsid w:val="00BD192E"/>
    <w:rsid w:val="00BD1D41"/>
    <w:rsid w:val="00BD1DEE"/>
    <w:rsid w:val="00BD27FC"/>
    <w:rsid w:val="00BD3D92"/>
    <w:rsid w:val="00BD3E19"/>
    <w:rsid w:val="00BD3F80"/>
    <w:rsid w:val="00BD41F3"/>
    <w:rsid w:val="00BD4245"/>
    <w:rsid w:val="00BD480E"/>
    <w:rsid w:val="00BD50CB"/>
    <w:rsid w:val="00BD5145"/>
    <w:rsid w:val="00BD5392"/>
    <w:rsid w:val="00BD5625"/>
    <w:rsid w:val="00BD5CF7"/>
    <w:rsid w:val="00BD7070"/>
    <w:rsid w:val="00BD7091"/>
    <w:rsid w:val="00BD72B7"/>
    <w:rsid w:val="00BD7FFC"/>
    <w:rsid w:val="00BE0666"/>
    <w:rsid w:val="00BE09E6"/>
    <w:rsid w:val="00BE0CB7"/>
    <w:rsid w:val="00BE351E"/>
    <w:rsid w:val="00BE393E"/>
    <w:rsid w:val="00BE3BC4"/>
    <w:rsid w:val="00BE40FC"/>
    <w:rsid w:val="00BE4609"/>
    <w:rsid w:val="00BE468F"/>
    <w:rsid w:val="00BE46EB"/>
    <w:rsid w:val="00BE575B"/>
    <w:rsid w:val="00BE5D55"/>
    <w:rsid w:val="00BE6D61"/>
    <w:rsid w:val="00BE7350"/>
    <w:rsid w:val="00BE79DF"/>
    <w:rsid w:val="00BF0060"/>
    <w:rsid w:val="00BF0890"/>
    <w:rsid w:val="00BF0E8E"/>
    <w:rsid w:val="00BF17CD"/>
    <w:rsid w:val="00BF1D8C"/>
    <w:rsid w:val="00BF1F7A"/>
    <w:rsid w:val="00BF2E2C"/>
    <w:rsid w:val="00BF3CDF"/>
    <w:rsid w:val="00BF409E"/>
    <w:rsid w:val="00BF42CC"/>
    <w:rsid w:val="00BF46CE"/>
    <w:rsid w:val="00BF493B"/>
    <w:rsid w:val="00BF4E02"/>
    <w:rsid w:val="00BF5C44"/>
    <w:rsid w:val="00BF62FD"/>
    <w:rsid w:val="00BF6344"/>
    <w:rsid w:val="00BF6A8D"/>
    <w:rsid w:val="00BF7562"/>
    <w:rsid w:val="00BF7A4E"/>
    <w:rsid w:val="00C00B46"/>
    <w:rsid w:val="00C00C30"/>
    <w:rsid w:val="00C01B52"/>
    <w:rsid w:val="00C01CB8"/>
    <w:rsid w:val="00C0239B"/>
    <w:rsid w:val="00C03919"/>
    <w:rsid w:val="00C0398E"/>
    <w:rsid w:val="00C03B6D"/>
    <w:rsid w:val="00C045C6"/>
    <w:rsid w:val="00C04707"/>
    <w:rsid w:val="00C04928"/>
    <w:rsid w:val="00C063AD"/>
    <w:rsid w:val="00C06996"/>
    <w:rsid w:val="00C07872"/>
    <w:rsid w:val="00C1078F"/>
    <w:rsid w:val="00C10B5F"/>
    <w:rsid w:val="00C10C78"/>
    <w:rsid w:val="00C10FC5"/>
    <w:rsid w:val="00C11904"/>
    <w:rsid w:val="00C11929"/>
    <w:rsid w:val="00C11DDB"/>
    <w:rsid w:val="00C12331"/>
    <w:rsid w:val="00C128D5"/>
    <w:rsid w:val="00C13755"/>
    <w:rsid w:val="00C137A0"/>
    <w:rsid w:val="00C14755"/>
    <w:rsid w:val="00C14BC1"/>
    <w:rsid w:val="00C15503"/>
    <w:rsid w:val="00C165A2"/>
    <w:rsid w:val="00C1678E"/>
    <w:rsid w:val="00C17136"/>
    <w:rsid w:val="00C17321"/>
    <w:rsid w:val="00C1754B"/>
    <w:rsid w:val="00C17858"/>
    <w:rsid w:val="00C17957"/>
    <w:rsid w:val="00C17AA4"/>
    <w:rsid w:val="00C1EB08"/>
    <w:rsid w:val="00C20229"/>
    <w:rsid w:val="00C21068"/>
    <w:rsid w:val="00C2217E"/>
    <w:rsid w:val="00C22B8F"/>
    <w:rsid w:val="00C23788"/>
    <w:rsid w:val="00C23C1F"/>
    <w:rsid w:val="00C24305"/>
    <w:rsid w:val="00C248EB"/>
    <w:rsid w:val="00C24CEF"/>
    <w:rsid w:val="00C24F62"/>
    <w:rsid w:val="00C2586D"/>
    <w:rsid w:val="00C267A1"/>
    <w:rsid w:val="00C26B1C"/>
    <w:rsid w:val="00C27ECB"/>
    <w:rsid w:val="00C3027B"/>
    <w:rsid w:val="00C31343"/>
    <w:rsid w:val="00C32E64"/>
    <w:rsid w:val="00C33C3E"/>
    <w:rsid w:val="00C34144"/>
    <w:rsid w:val="00C34333"/>
    <w:rsid w:val="00C347B4"/>
    <w:rsid w:val="00C34E85"/>
    <w:rsid w:val="00C3554F"/>
    <w:rsid w:val="00C355E7"/>
    <w:rsid w:val="00C3647B"/>
    <w:rsid w:val="00C37344"/>
    <w:rsid w:val="00C378D4"/>
    <w:rsid w:val="00C379F4"/>
    <w:rsid w:val="00C403DE"/>
    <w:rsid w:val="00C41222"/>
    <w:rsid w:val="00C41517"/>
    <w:rsid w:val="00C41667"/>
    <w:rsid w:val="00C41B82"/>
    <w:rsid w:val="00C4246F"/>
    <w:rsid w:val="00C424A7"/>
    <w:rsid w:val="00C4477D"/>
    <w:rsid w:val="00C447BC"/>
    <w:rsid w:val="00C44880"/>
    <w:rsid w:val="00C46A1E"/>
    <w:rsid w:val="00C46B30"/>
    <w:rsid w:val="00C47635"/>
    <w:rsid w:val="00C505E8"/>
    <w:rsid w:val="00C50855"/>
    <w:rsid w:val="00C50BD7"/>
    <w:rsid w:val="00C50BF2"/>
    <w:rsid w:val="00C50E3F"/>
    <w:rsid w:val="00C52092"/>
    <w:rsid w:val="00C52C94"/>
    <w:rsid w:val="00C53C9E"/>
    <w:rsid w:val="00C54064"/>
    <w:rsid w:val="00C542E4"/>
    <w:rsid w:val="00C5434B"/>
    <w:rsid w:val="00C54612"/>
    <w:rsid w:val="00C54867"/>
    <w:rsid w:val="00C55D98"/>
    <w:rsid w:val="00C55F3D"/>
    <w:rsid w:val="00C56807"/>
    <w:rsid w:val="00C5688B"/>
    <w:rsid w:val="00C56F6F"/>
    <w:rsid w:val="00C575C8"/>
    <w:rsid w:val="00C600AB"/>
    <w:rsid w:val="00C60674"/>
    <w:rsid w:val="00C613FF"/>
    <w:rsid w:val="00C61410"/>
    <w:rsid w:val="00C628FF"/>
    <w:rsid w:val="00C636FA"/>
    <w:rsid w:val="00C6370E"/>
    <w:rsid w:val="00C6389C"/>
    <w:rsid w:val="00C63E38"/>
    <w:rsid w:val="00C63EC6"/>
    <w:rsid w:val="00C63FF5"/>
    <w:rsid w:val="00C648AC"/>
    <w:rsid w:val="00C65314"/>
    <w:rsid w:val="00C658DE"/>
    <w:rsid w:val="00C65B4B"/>
    <w:rsid w:val="00C66291"/>
    <w:rsid w:val="00C6656F"/>
    <w:rsid w:val="00C70118"/>
    <w:rsid w:val="00C7183E"/>
    <w:rsid w:val="00C72D29"/>
    <w:rsid w:val="00C740E0"/>
    <w:rsid w:val="00C748BA"/>
    <w:rsid w:val="00C748D4"/>
    <w:rsid w:val="00C74FD9"/>
    <w:rsid w:val="00C756AA"/>
    <w:rsid w:val="00C75E24"/>
    <w:rsid w:val="00C76263"/>
    <w:rsid w:val="00C7699B"/>
    <w:rsid w:val="00C76F4D"/>
    <w:rsid w:val="00C77512"/>
    <w:rsid w:val="00C80214"/>
    <w:rsid w:val="00C81C4E"/>
    <w:rsid w:val="00C825F2"/>
    <w:rsid w:val="00C82645"/>
    <w:rsid w:val="00C82BDD"/>
    <w:rsid w:val="00C83A14"/>
    <w:rsid w:val="00C84255"/>
    <w:rsid w:val="00C84714"/>
    <w:rsid w:val="00C84C95"/>
    <w:rsid w:val="00C85201"/>
    <w:rsid w:val="00C85574"/>
    <w:rsid w:val="00C85757"/>
    <w:rsid w:val="00C859D3"/>
    <w:rsid w:val="00C85A40"/>
    <w:rsid w:val="00C866C0"/>
    <w:rsid w:val="00C86CCB"/>
    <w:rsid w:val="00C878D5"/>
    <w:rsid w:val="00C87D66"/>
    <w:rsid w:val="00C90186"/>
    <w:rsid w:val="00C901C5"/>
    <w:rsid w:val="00C9033B"/>
    <w:rsid w:val="00C90AD1"/>
    <w:rsid w:val="00C90D47"/>
    <w:rsid w:val="00C90FA1"/>
    <w:rsid w:val="00C913A1"/>
    <w:rsid w:val="00C91D05"/>
    <w:rsid w:val="00C92C62"/>
    <w:rsid w:val="00C93FA3"/>
    <w:rsid w:val="00C94698"/>
    <w:rsid w:val="00C94DED"/>
    <w:rsid w:val="00C94F28"/>
    <w:rsid w:val="00C952A3"/>
    <w:rsid w:val="00C95596"/>
    <w:rsid w:val="00C95FEA"/>
    <w:rsid w:val="00C96458"/>
    <w:rsid w:val="00C96A59"/>
    <w:rsid w:val="00C96F3E"/>
    <w:rsid w:val="00C979C5"/>
    <w:rsid w:val="00C97F66"/>
    <w:rsid w:val="00CA0CCF"/>
    <w:rsid w:val="00CA21C6"/>
    <w:rsid w:val="00CA284E"/>
    <w:rsid w:val="00CA404C"/>
    <w:rsid w:val="00CA4514"/>
    <w:rsid w:val="00CA4797"/>
    <w:rsid w:val="00CA484B"/>
    <w:rsid w:val="00CA4B4B"/>
    <w:rsid w:val="00CA50A6"/>
    <w:rsid w:val="00CA54B6"/>
    <w:rsid w:val="00CA640C"/>
    <w:rsid w:val="00CA6945"/>
    <w:rsid w:val="00CA7267"/>
    <w:rsid w:val="00CA7318"/>
    <w:rsid w:val="00CB0943"/>
    <w:rsid w:val="00CB116C"/>
    <w:rsid w:val="00CB14DE"/>
    <w:rsid w:val="00CB15A0"/>
    <w:rsid w:val="00CB25D3"/>
    <w:rsid w:val="00CB2654"/>
    <w:rsid w:val="00CB2A7E"/>
    <w:rsid w:val="00CB2ECF"/>
    <w:rsid w:val="00CB340E"/>
    <w:rsid w:val="00CB3539"/>
    <w:rsid w:val="00CB35C0"/>
    <w:rsid w:val="00CB386D"/>
    <w:rsid w:val="00CB4AB3"/>
    <w:rsid w:val="00CB4C38"/>
    <w:rsid w:val="00CB537D"/>
    <w:rsid w:val="00CB5786"/>
    <w:rsid w:val="00CB5A87"/>
    <w:rsid w:val="00CB6C9E"/>
    <w:rsid w:val="00CB702F"/>
    <w:rsid w:val="00CB73A9"/>
    <w:rsid w:val="00CB743A"/>
    <w:rsid w:val="00CB7A3B"/>
    <w:rsid w:val="00CC0143"/>
    <w:rsid w:val="00CC07C3"/>
    <w:rsid w:val="00CC280C"/>
    <w:rsid w:val="00CC2D40"/>
    <w:rsid w:val="00CC3483"/>
    <w:rsid w:val="00CC34F8"/>
    <w:rsid w:val="00CC535E"/>
    <w:rsid w:val="00CC53AC"/>
    <w:rsid w:val="00CC56B4"/>
    <w:rsid w:val="00CC5F2F"/>
    <w:rsid w:val="00CC618A"/>
    <w:rsid w:val="00CC69F3"/>
    <w:rsid w:val="00CC6A99"/>
    <w:rsid w:val="00CCD7C3"/>
    <w:rsid w:val="00CD0051"/>
    <w:rsid w:val="00CD005C"/>
    <w:rsid w:val="00CD0278"/>
    <w:rsid w:val="00CD0A4C"/>
    <w:rsid w:val="00CD32A4"/>
    <w:rsid w:val="00CD39D0"/>
    <w:rsid w:val="00CD3EC2"/>
    <w:rsid w:val="00CD487D"/>
    <w:rsid w:val="00CD49FE"/>
    <w:rsid w:val="00CD4C0A"/>
    <w:rsid w:val="00CD5A19"/>
    <w:rsid w:val="00CD61DA"/>
    <w:rsid w:val="00CD62A2"/>
    <w:rsid w:val="00CD6304"/>
    <w:rsid w:val="00CD6CE9"/>
    <w:rsid w:val="00CD6FC0"/>
    <w:rsid w:val="00CD74DA"/>
    <w:rsid w:val="00CE03AF"/>
    <w:rsid w:val="00CE04E1"/>
    <w:rsid w:val="00CE0AEF"/>
    <w:rsid w:val="00CE1036"/>
    <w:rsid w:val="00CE1111"/>
    <w:rsid w:val="00CE21AB"/>
    <w:rsid w:val="00CE2373"/>
    <w:rsid w:val="00CE263C"/>
    <w:rsid w:val="00CE2B48"/>
    <w:rsid w:val="00CE3F66"/>
    <w:rsid w:val="00CE445F"/>
    <w:rsid w:val="00CE447E"/>
    <w:rsid w:val="00CE53EE"/>
    <w:rsid w:val="00CE5840"/>
    <w:rsid w:val="00CE5A16"/>
    <w:rsid w:val="00CE657A"/>
    <w:rsid w:val="00CE67C1"/>
    <w:rsid w:val="00CE7AEC"/>
    <w:rsid w:val="00CE7C41"/>
    <w:rsid w:val="00CF2798"/>
    <w:rsid w:val="00CF3308"/>
    <w:rsid w:val="00CF392B"/>
    <w:rsid w:val="00CF3AD7"/>
    <w:rsid w:val="00CF46C6"/>
    <w:rsid w:val="00CF6493"/>
    <w:rsid w:val="00CF6552"/>
    <w:rsid w:val="00CF6FE3"/>
    <w:rsid w:val="00CF740B"/>
    <w:rsid w:val="00CF7746"/>
    <w:rsid w:val="00CF7ACB"/>
    <w:rsid w:val="00CF7F9D"/>
    <w:rsid w:val="00D00AA3"/>
    <w:rsid w:val="00D011E9"/>
    <w:rsid w:val="00D014CE"/>
    <w:rsid w:val="00D01690"/>
    <w:rsid w:val="00D01F55"/>
    <w:rsid w:val="00D02F1E"/>
    <w:rsid w:val="00D038CB"/>
    <w:rsid w:val="00D042CE"/>
    <w:rsid w:val="00D0504E"/>
    <w:rsid w:val="00D05658"/>
    <w:rsid w:val="00D0575A"/>
    <w:rsid w:val="00D059DE"/>
    <w:rsid w:val="00D05AA6"/>
    <w:rsid w:val="00D06213"/>
    <w:rsid w:val="00D064AF"/>
    <w:rsid w:val="00D075DB"/>
    <w:rsid w:val="00D07CC1"/>
    <w:rsid w:val="00D07F73"/>
    <w:rsid w:val="00D103A1"/>
    <w:rsid w:val="00D10417"/>
    <w:rsid w:val="00D110A4"/>
    <w:rsid w:val="00D1247C"/>
    <w:rsid w:val="00D1314B"/>
    <w:rsid w:val="00D144BE"/>
    <w:rsid w:val="00D14844"/>
    <w:rsid w:val="00D1542F"/>
    <w:rsid w:val="00D16ABC"/>
    <w:rsid w:val="00D1A432"/>
    <w:rsid w:val="00D20204"/>
    <w:rsid w:val="00D2041C"/>
    <w:rsid w:val="00D22C5D"/>
    <w:rsid w:val="00D22CEA"/>
    <w:rsid w:val="00D23053"/>
    <w:rsid w:val="00D2311A"/>
    <w:rsid w:val="00D2404D"/>
    <w:rsid w:val="00D25ADE"/>
    <w:rsid w:val="00D260FF"/>
    <w:rsid w:val="00D2639C"/>
    <w:rsid w:val="00D2695F"/>
    <w:rsid w:val="00D26CBC"/>
    <w:rsid w:val="00D27987"/>
    <w:rsid w:val="00D30FA8"/>
    <w:rsid w:val="00D31A5C"/>
    <w:rsid w:val="00D32034"/>
    <w:rsid w:val="00D32646"/>
    <w:rsid w:val="00D32756"/>
    <w:rsid w:val="00D33B8C"/>
    <w:rsid w:val="00D34046"/>
    <w:rsid w:val="00D3421B"/>
    <w:rsid w:val="00D346BC"/>
    <w:rsid w:val="00D35CBE"/>
    <w:rsid w:val="00D35F02"/>
    <w:rsid w:val="00D36097"/>
    <w:rsid w:val="00D361AC"/>
    <w:rsid w:val="00D368EA"/>
    <w:rsid w:val="00D37431"/>
    <w:rsid w:val="00D37FDE"/>
    <w:rsid w:val="00D404A0"/>
    <w:rsid w:val="00D4168B"/>
    <w:rsid w:val="00D429F3"/>
    <w:rsid w:val="00D42D48"/>
    <w:rsid w:val="00D43297"/>
    <w:rsid w:val="00D44837"/>
    <w:rsid w:val="00D44B97"/>
    <w:rsid w:val="00D44DB6"/>
    <w:rsid w:val="00D4516C"/>
    <w:rsid w:val="00D45244"/>
    <w:rsid w:val="00D4553E"/>
    <w:rsid w:val="00D45A79"/>
    <w:rsid w:val="00D45C36"/>
    <w:rsid w:val="00D46811"/>
    <w:rsid w:val="00D46FF7"/>
    <w:rsid w:val="00D470DF"/>
    <w:rsid w:val="00D47481"/>
    <w:rsid w:val="00D474A8"/>
    <w:rsid w:val="00D50119"/>
    <w:rsid w:val="00D50987"/>
    <w:rsid w:val="00D50B0C"/>
    <w:rsid w:val="00D51A26"/>
    <w:rsid w:val="00D51FA6"/>
    <w:rsid w:val="00D5243A"/>
    <w:rsid w:val="00D52841"/>
    <w:rsid w:val="00D53820"/>
    <w:rsid w:val="00D53D87"/>
    <w:rsid w:val="00D54C48"/>
    <w:rsid w:val="00D56367"/>
    <w:rsid w:val="00D56738"/>
    <w:rsid w:val="00D56765"/>
    <w:rsid w:val="00D56DA1"/>
    <w:rsid w:val="00D578B6"/>
    <w:rsid w:val="00D608C6"/>
    <w:rsid w:val="00D60E32"/>
    <w:rsid w:val="00D61329"/>
    <w:rsid w:val="00D6139B"/>
    <w:rsid w:val="00D61A89"/>
    <w:rsid w:val="00D61D0C"/>
    <w:rsid w:val="00D62856"/>
    <w:rsid w:val="00D629FF"/>
    <w:rsid w:val="00D62A04"/>
    <w:rsid w:val="00D63A14"/>
    <w:rsid w:val="00D6465D"/>
    <w:rsid w:val="00D64AF1"/>
    <w:rsid w:val="00D64DBD"/>
    <w:rsid w:val="00D660CA"/>
    <w:rsid w:val="00D66196"/>
    <w:rsid w:val="00D66388"/>
    <w:rsid w:val="00D71020"/>
    <w:rsid w:val="00D71A07"/>
    <w:rsid w:val="00D71F1A"/>
    <w:rsid w:val="00D73324"/>
    <w:rsid w:val="00D73DFB"/>
    <w:rsid w:val="00D74480"/>
    <w:rsid w:val="00D745FB"/>
    <w:rsid w:val="00D74983"/>
    <w:rsid w:val="00D74F12"/>
    <w:rsid w:val="00D75394"/>
    <w:rsid w:val="00D756C3"/>
    <w:rsid w:val="00D75707"/>
    <w:rsid w:val="00D76275"/>
    <w:rsid w:val="00D76513"/>
    <w:rsid w:val="00D76FFC"/>
    <w:rsid w:val="00D77160"/>
    <w:rsid w:val="00D77F5A"/>
    <w:rsid w:val="00D8174B"/>
    <w:rsid w:val="00D81894"/>
    <w:rsid w:val="00D82A31"/>
    <w:rsid w:val="00D82A43"/>
    <w:rsid w:val="00D8354C"/>
    <w:rsid w:val="00D85EC5"/>
    <w:rsid w:val="00D862DB"/>
    <w:rsid w:val="00D86C9A"/>
    <w:rsid w:val="00D907D2"/>
    <w:rsid w:val="00D9191D"/>
    <w:rsid w:val="00D92182"/>
    <w:rsid w:val="00D925C7"/>
    <w:rsid w:val="00D92E49"/>
    <w:rsid w:val="00D9346A"/>
    <w:rsid w:val="00D93A41"/>
    <w:rsid w:val="00D93A68"/>
    <w:rsid w:val="00D93EB0"/>
    <w:rsid w:val="00D94860"/>
    <w:rsid w:val="00D9509F"/>
    <w:rsid w:val="00D95692"/>
    <w:rsid w:val="00D95E20"/>
    <w:rsid w:val="00DA03B7"/>
    <w:rsid w:val="00DA1829"/>
    <w:rsid w:val="00DA3455"/>
    <w:rsid w:val="00DA3D69"/>
    <w:rsid w:val="00DA4393"/>
    <w:rsid w:val="00DA455A"/>
    <w:rsid w:val="00DA4961"/>
    <w:rsid w:val="00DA4A0C"/>
    <w:rsid w:val="00DA549F"/>
    <w:rsid w:val="00DA6208"/>
    <w:rsid w:val="00DA6D9D"/>
    <w:rsid w:val="00DA71CE"/>
    <w:rsid w:val="00DA734B"/>
    <w:rsid w:val="00DA7B5D"/>
    <w:rsid w:val="00DB00F9"/>
    <w:rsid w:val="00DB0422"/>
    <w:rsid w:val="00DB0E8B"/>
    <w:rsid w:val="00DB0FD1"/>
    <w:rsid w:val="00DB18AB"/>
    <w:rsid w:val="00DB2507"/>
    <w:rsid w:val="00DB29C1"/>
    <w:rsid w:val="00DB4754"/>
    <w:rsid w:val="00DB47C0"/>
    <w:rsid w:val="00DB4CFB"/>
    <w:rsid w:val="00DB6EA8"/>
    <w:rsid w:val="00DB6EF0"/>
    <w:rsid w:val="00DB70B4"/>
    <w:rsid w:val="00DB773A"/>
    <w:rsid w:val="00DB7755"/>
    <w:rsid w:val="00DC05D3"/>
    <w:rsid w:val="00DC0DD2"/>
    <w:rsid w:val="00DC2381"/>
    <w:rsid w:val="00DC2A2B"/>
    <w:rsid w:val="00DC31A6"/>
    <w:rsid w:val="00DC33DC"/>
    <w:rsid w:val="00DC45A1"/>
    <w:rsid w:val="00DC50F7"/>
    <w:rsid w:val="00DC663D"/>
    <w:rsid w:val="00DC6FAA"/>
    <w:rsid w:val="00DC71EF"/>
    <w:rsid w:val="00DC7693"/>
    <w:rsid w:val="00DC7BB1"/>
    <w:rsid w:val="00DD0A2A"/>
    <w:rsid w:val="00DD0C17"/>
    <w:rsid w:val="00DD214F"/>
    <w:rsid w:val="00DD3576"/>
    <w:rsid w:val="00DD3D11"/>
    <w:rsid w:val="00DD4117"/>
    <w:rsid w:val="00DD4612"/>
    <w:rsid w:val="00DD46AA"/>
    <w:rsid w:val="00DD5275"/>
    <w:rsid w:val="00DD558F"/>
    <w:rsid w:val="00DD5896"/>
    <w:rsid w:val="00DD5B8A"/>
    <w:rsid w:val="00DD5D61"/>
    <w:rsid w:val="00DD5EBC"/>
    <w:rsid w:val="00DD6023"/>
    <w:rsid w:val="00DD6965"/>
    <w:rsid w:val="00DD7212"/>
    <w:rsid w:val="00DD7737"/>
    <w:rsid w:val="00DD77ED"/>
    <w:rsid w:val="00DD7CD8"/>
    <w:rsid w:val="00DE085E"/>
    <w:rsid w:val="00DE0DF4"/>
    <w:rsid w:val="00DE1842"/>
    <w:rsid w:val="00DE1E30"/>
    <w:rsid w:val="00DE22C4"/>
    <w:rsid w:val="00DE26F7"/>
    <w:rsid w:val="00DE284B"/>
    <w:rsid w:val="00DE2BFB"/>
    <w:rsid w:val="00DE36A0"/>
    <w:rsid w:val="00DE3CF3"/>
    <w:rsid w:val="00DE42D7"/>
    <w:rsid w:val="00DE4912"/>
    <w:rsid w:val="00DE5006"/>
    <w:rsid w:val="00DE5235"/>
    <w:rsid w:val="00DE5376"/>
    <w:rsid w:val="00DE569A"/>
    <w:rsid w:val="00DE61AE"/>
    <w:rsid w:val="00DE69BE"/>
    <w:rsid w:val="00DE7265"/>
    <w:rsid w:val="00DE7275"/>
    <w:rsid w:val="00DF144A"/>
    <w:rsid w:val="00DF2180"/>
    <w:rsid w:val="00DF2605"/>
    <w:rsid w:val="00DF39FB"/>
    <w:rsid w:val="00DF3A05"/>
    <w:rsid w:val="00DF4514"/>
    <w:rsid w:val="00DF49D3"/>
    <w:rsid w:val="00DF4AD8"/>
    <w:rsid w:val="00DF4B43"/>
    <w:rsid w:val="00DF516E"/>
    <w:rsid w:val="00DF5256"/>
    <w:rsid w:val="00DF56DB"/>
    <w:rsid w:val="00DF58E7"/>
    <w:rsid w:val="00DF5DD6"/>
    <w:rsid w:val="00DF6A6A"/>
    <w:rsid w:val="00DF6C08"/>
    <w:rsid w:val="00DF6E0F"/>
    <w:rsid w:val="00DF7245"/>
    <w:rsid w:val="00E00599"/>
    <w:rsid w:val="00E00C03"/>
    <w:rsid w:val="00E00FB2"/>
    <w:rsid w:val="00E01630"/>
    <w:rsid w:val="00E01676"/>
    <w:rsid w:val="00E018E6"/>
    <w:rsid w:val="00E01C6B"/>
    <w:rsid w:val="00E03137"/>
    <w:rsid w:val="00E032ED"/>
    <w:rsid w:val="00E041C5"/>
    <w:rsid w:val="00E054DC"/>
    <w:rsid w:val="00E05791"/>
    <w:rsid w:val="00E05BBB"/>
    <w:rsid w:val="00E05C99"/>
    <w:rsid w:val="00E0615E"/>
    <w:rsid w:val="00E06E56"/>
    <w:rsid w:val="00E07011"/>
    <w:rsid w:val="00E106AC"/>
    <w:rsid w:val="00E1072E"/>
    <w:rsid w:val="00E11876"/>
    <w:rsid w:val="00E11E2C"/>
    <w:rsid w:val="00E1218C"/>
    <w:rsid w:val="00E12EE9"/>
    <w:rsid w:val="00E130FC"/>
    <w:rsid w:val="00E1378E"/>
    <w:rsid w:val="00E13D22"/>
    <w:rsid w:val="00E141D6"/>
    <w:rsid w:val="00E1530B"/>
    <w:rsid w:val="00E15875"/>
    <w:rsid w:val="00E1593B"/>
    <w:rsid w:val="00E15EB7"/>
    <w:rsid w:val="00E16266"/>
    <w:rsid w:val="00E16373"/>
    <w:rsid w:val="00E16D8A"/>
    <w:rsid w:val="00E177DD"/>
    <w:rsid w:val="00E17B93"/>
    <w:rsid w:val="00E209CD"/>
    <w:rsid w:val="00E20CD7"/>
    <w:rsid w:val="00E2203F"/>
    <w:rsid w:val="00E22A71"/>
    <w:rsid w:val="00E23CBB"/>
    <w:rsid w:val="00E24B5D"/>
    <w:rsid w:val="00E24E54"/>
    <w:rsid w:val="00E27066"/>
    <w:rsid w:val="00E27AA9"/>
    <w:rsid w:val="00E27B11"/>
    <w:rsid w:val="00E3049D"/>
    <w:rsid w:val="00E31310"/>
    <w:rsid w:val="00E31AA8"/>
    <w:rsid w:val="00E3265D"/>
    <w:rsid w:val="00E32F59"/>
    <w:rsid w:val="00E33B23"/>
    <w:rsid w:val="00E33F18"/>
    <w:rsid w:val="00E344D4"/>
    <w:rsid w:val="00E34D11"/>
    <w:rsid w:val="00E352AC"/>
    <w:rsid w:val="00E3598E"/>
    <w:rsid w:val="00E36C7D"/>
    <w:rsid w:val="00E37B59"/>
    <w:rsid w:val="00E37D3C"/>
    <w:rsid w:val="00E4038E"/>
    <w:rsid w:val="00E4116C"/>
    <w:rsid w:val="00E412C1"/>
    <w:rsid w:val="00E41D0E"/>
    <w:rsid w:val="00E41F2F"/>
    <w:rsid w:val="00E4258F"/>
    <w:rsid w:val="00E425F7"/>
    <w:rsid w:val="00E42688"/>
    <w:rsid w:val="00E426E6"/>
    <w:rsid w:val="00E42EB2"/>
    <w:rsid w:val="00E42F47"/>
    <w:rsid w:val="00E4354F"/>
    <w:rsid w:val="00E435E9"/>
    <w:rsid w:val="00E43990"/>
    <w:rsid w:val="00E43BEB"/>
    <w:rsid w:val="00E44185"/>
    <w:rsid w:val="00E44296"/>
    <w:rsid w:val="00E447D7"/>
    <w:rsid w:val="00E44F00"/>
    <w:rsid w:val="00E44F88"/>
    <w:rsid w:val="00E4530E"/>
    <w:rsid w:val="00E453A0"/>
    <w:rsid w:val="00E455EE"/>
    <w:rsid w:val="00E45AF5"/>
    <w:rsid w:val="00E46243"/>
    <w:rsid w:val="00E4682B"/>
    <w:rsid w:val="00E46A3A"/>
    <w:rsid w:val="00E47128"/>
    <w:rsid w:val="00E4746F"/>
    <w:rsid w:val="00E47ADF"/>
    <w:rsid w:val="00E47BC1"/>
    <w:rsid w:val="00E47C6C"/>
    <w:rsid w:val="00E47FF5"/>
    <w:rsid w:val="00E50369"/>
    <w:rsid w:val="00E5052E"/>
    <w:rsid w:val="00E51225"/>
    <w:rsid w:val="00E5162E"/>
    <w:rsid w:val="00E516BE"/>
    <w:rsid w:val="00E51B6B"/>
    <w:rsid w:val="00E51BFA"/>
    <w:rsid w:val="00E521A1"/>
    <w:rsid w:val="00E52C93"/>
    <w:rsid w:val="00E53004"/>
    <w:rsid w:val="00E53438"/>
    <w:rsid w:val="00E53909"/>
    <w:rsid w:val="00E54AD5"/>
    <w:rsid w:val="00E54FB9"/>
    <w:rsid w:val="00E55499"/>
    <w:rsid w:val="00E5677A"/>
    <w:rsid w:val="00E56865"/>
    <w:rsid w:val="00E56A4D"/>
    <w:rsid w:val="00E5724E"/>
    <w:rsid w:val="00E57326"/>
    <w:rsid w:val="00E57BF0"/>
    <w:rsid w:val="00E57E08"/>
    <w:rsid w:val="00E6032E"/>
    <w:rsid w:val="00E604D4"/>
    <w:rsid w:val="00E60572"/>
    <w:rsid w:val="00E6188A"/>
    <w:rsid w:val="00E62D44"/>
    <w:rsid w:val="00E631BF"/>
    <w:rsid w:val="00E63216"/>
    <w:rsid w:val="00E642D1"/>
    <w:rsid w:val="00E64310"/>
    <w:rsid w:val="00E64CDE"/>
    <w:rsid w:val="00E64F46"/>
    <w:rsid w:val="00E64FA3"/>
    <w:rsid w:val="00E651C8"/>
    <w:rsid w:val="00E65A3B"/>
    <w:rsid w:val="00E65CE8"/>
    <w:rsid w:val="00E6706A"/>
    <w:rsid w:val="00E677DE"/>
    <w:rsid w:val="00E702A3"/>
    <w:rsid w:val="00E7071E"/>
    <w:rsid w:val="00E70932"/>
    <w:rsid w:val="00E70B2E"/>
    <w:rsid w:val="00E71592"/>
    <w:rsid w:val="00E7166E"/>
    <w:rsid w:val="00E71770"/>
    <w:rsid w:val="00E7221E"/>
    <w:rsid w:val="00E725FC"/>
    <w:rsid w:val="00E738E9"/>
    <w:rsid w:val="00E73923"/>
    <w:rsid w:val="00E73BDE"/>
    <w:rsid w:val="00E7437F"/>
    <w:rsid w:val="00E75672"/>
    <w:rsid w:val="00E75839"/>
    <w:rsid w:val="00E770FF"/>
    <w:rsid w:val="00E77188"/>
    <w:rsid w:val="00E77B9D"/>
    <w:rsid w:val="00E80C99"/>
    <w:rsid w:val="00E81331"/>
    <w:rsid w:val="00E81844"/>
    <w:rsid w:val="00E81A25"/>
    <w:rsid w:val="00E81BCD"/>
    <w:rsid w:val="00E81E0B"/>
    <w:rsid w:val="00E8218C"/>
    <w:rsid w:val="00E822B0"/>
    <w:rsid w:val="00E8258F"/>
    <w:rsid w:val="00E8306E"/>
    <w:rsid w:val="00E83B6F"/>
    <w:rsid w:val="00E84091"/>
    <w:rsid w:val="00E85A06"/>
    <w:rsid w:val="00E85D2C"/>
    <w:rsid w:val="00E8654C"/>
    <w:rsid w:val="00E86FB9"/>
    <w:rsid w:val="00E90118"/>
    <w:rsid w:val="00E904C4"/>
    <w:rsid w:val="00E9091B"/>
    <w:rsid w:val="00E914B4"/>
    <w:rsid w:val="00E917CC"/>
    <w:rsid w:val="00E920F0"/>
    <w:rsid w:val="00E92D1D"/>
    <w:rsid w:val="00E95077"/>
    <w:rsid w:val="00E95ACE"/>
    <w:rsid w:val="00E97348"/>
    <w:rsid w:val="00E9789A"/>
    <w:rsid w:val="00E97992"/>
    <w:rsid w:val="00E97F45"/>
    <w:rsid w:val="00EA063B"/>
    <w:rsid w:val="00EA116E"/>
    <w:rsid w:val="00EA120A"/>
    <w:rsid w:val="00EA1858"/>
    <w:rsid w:val="00EA1A71"/>
    <w:rsid w:val="00EA1E88"/>
    <w:rsid w:val="00EA1F4B"/>
    <w:rsid w:val="00EA24CB"/>
    <w:rsid w:val="00EA36C6"/>
    <w:rsid w:val="00EA4754"/>
    <w:rsid w:val="00EA640C"/>
    <w:rsid w:val="00EA6630"/>
    <w:rsid w:val="00EA6F99"/>
    <w:rsid w:val="00EA7168"/>
    <w:rsid w:val="00EA7BA3"/>
    <w:rsid w:val="00EA7C39"/>
    <w:rsid w:val="00EB0620"/>
    <w:rsid w:val="00EB06D4"/>
    <w:rsid w:val="00EB0BB3"/>
    <w:rsid w:val="00EB10DF"/>
    <w:rsid w:val="00EB1409"/>
    <w:rsid w:val="00EB204A"/>
    <w:rsid w:val="00EB23A5"/>
    <w:rsid w:val="00EB28E1"/>
    <w:rsid w:val="00EB2DFE"/>
    <w:rsid w:val="00EB33C7"/>
    <w:rsid w:val="00EB34DC"/>
    <w:rsid w:val="00EB39F1"/>
    <w:rsid w:val="00EB3BE5"/>
    <w:rsid w:val="00EB49BC"/>
    <w:rsid w:val="00EB5248"/>
    <w:rsid w:val="00EB5274"/>
    <w:rsid w:val="00EB562D"/>
    <w:rsid w:val="00EB5799"/>
    <w:rsid w:val="00EB5BCA"/>
    <w:rsid w:val="00EB5EE6"/>
    <w:rsid w:val="00EB6954"/>
    <w:rsid w:val="00EB6A6B"/>
    <w:rsid w:val="00EB6ADF"/>
    <w:rsid w:val="00EB7597"/>
    <w:rsid w:val="00EB75B2"/>
    <w:rsid w:val="00EB76AD"/>
    <w:rsid w:val="00EB7809"/>
    <w:rsid w:val="00EB7998"/>
    <w:rsid w:val="00EC21BE"/>
    <w:rsid w:val="00EC254C"/>
    <w:rsid w:val="00EC279C"/>
    <w:rsid w:val="00EC2E0E"/>
    <w:rsid w:val="00EC30F9"/>
    <w:rsid w:val="00EC35E3"/>
    <w:rsid w:val="00EC3E53"/>
    <w:rsid w:val="00EC46A7"/>
    <w:rsid w:val="00EC58A8"/>
    <w:rsid w:val="00EC700F"/>
    <w:rsid w:val="00EC74F7"/>
    <w:rsid w:val="00EC765B"/>
    <w:rsid w:val="00ED0229"/>
    <w:rsid w:val="00ED0D2F"/>
    <w:rsid w:val="00ED19F5"/>
    <w:rsid w:val="00ED1F92"/>
    <w:rsid w:val="00ED31DC"/>
    <w:rsid w:val="00ED399F"/>
    <w:rsid w:val="00ED3E81"/>
    <w:rsid w:val="00ED4568"/>
    <w:rsid w:val="00ED528F"/>
    <w:rsid w:val="00ED5725"/>
    <w:rsid w:val="00ED644E"/>
    <w:rsid w:val="00ED7031"/>
    <w:rsid w:val="00ED70B0"/>
    <w:rsid w:val="00ED73BA"/>
    <w:rsid w:val="00ED757B"/>
    <w:rsid w:val="00ED7B5A"/>
    <w:rsid w:val="00EE081B"/>
    <w:rsid w:val="00EE0E82"/>
    <w:rsid w:val="00EE121C"/>
    <w:rsid w:val="00EE1301"/>
    <w:rsid w:val="00EE3060"/>
    <w:rsid w:val="00EE4315"/>
    <w:rsid w:val="00EE4FE7"/>
    <w:rsid w:val="00EE5496"/>
    <w:rsid w:val="00EE5814"/>
    <w:rsid w:val="00EE5AFA"/>
    <w:rsid w:val="00EE658D"/>
    <w:rsid w:val="00EE70FC"/>
    <w:rsid w:val="00EE74CF"/>
    <w:rsid w:val="00EF0C10"/>
    <w:rsid w:val="00EF130F"/>
    <w:rsid w:val="00EF136C"/>
    <w:rsid w:val="00EF2453"/>
    <w:rsid w:val="00EF29B6"/>
    <w:rsid w:val="00EF2B7F"/>
    <w:rsid w:val="00EF2CF6"/>
    <w:rsid w:val="00EF3865"/>
    <w:rsid w:val="00EF43B8"/>
    <w:rsid w:val="00EF457E"/>
    <w:rsid w:val="00EF4CB3"/>
    <w:rsid w:val="00EF4F78"/>
    <w:rsid w:val="00EF5C0A"/>
    <w:rsid w:val="00EF6925"/>
    <w:rsid w:val="00EF69C9"/>
    <w:rsid w:val="00EF6BCD"/>
    <w:rsid w:val="00EF7D03"/>
    <w:rsid w:val="00F0008B"/>
    <w:rsid w:val="00F0070C"/>
    <w:rsid w:val="00F00AC5"/>
    <w:rsid w:val="00F0123F"/>
    <w:rsid w:val="00F0176A"/>
    <w:rsid w:val="00F01D4F"/>
    <w:rsid w:val="00F02284"/>
    <w:rsid w:val="00F027E8"/>
    <w:rsid w:val="00F028F8"/>
    <w:rsid w:val="00F033A3"/>
    <w:rsid w:val="00F0342C"/>
    <w:rsid w:val="00F034AD"/>
    <w:rsid w:val="00F0373C"/>
    <w:rsid w:val="00F03D7F"/>
    <w:rsid w:val="00F0455E"/>
    <w:rsid w:val="00F04735"/>
    <w:rsid w:val="00F04996"/>
    <w:rsid w:val="00F04FD4"/>
    <w:rsid w:val="00F05E98"/>
    <w:rsid w:val="00F06A77"/>
    <w:rsid w:val="00F0755F"/>
    <w:rsid w:val="00F10AF7"/>
    <w:rsid w:val="00F10D69"/>
    <w:rsid w:val="00F12118"/>
    <w:rsid w:val="00F1252E"/>
    <w:rsid w:val="00F12673"/>
    <w:rsid w:val="00F12FEC"/>
    <w:rsid w:val="00F14BBD"/>
    <w:rsid w:val="00F1515F"/>
    <w:rsid w:val="00F1601E"/>
    <w:rsid w:val="00F16CC6"/>
    <w:rsid w:val="00F170F8"/>
    <w:rsid w:val="00F171B1"/>
    <w:rsid w:val="00F209D8"/>
    <w:rsid w:val="00F20A2A"/>
    <w:rsid w:val="00F20ACF"/>
    <w:rsid w:val="00F20E87"/>
    <w:rsid w:val="00F2132F"/>
    <w:rsid w:val="00F215EC"/>
    <w:rsid w:val="00F22262"/>
    <w:rsid w:val="00F22315"/>
    <w:rsid w:val="00F22CD2"/>
    <w:rsid w:val="00F22D7D"/>
    <w:rsid w:val="00F22D82"/>
    <w:rsid w:val="00F2397A"/>
    <w:rsid w:val="00F23F4B"/>
    <w:rsid w:val="00F23F51"/>
    <w:rsid w:val="00F2424E"/>
    <w:rsid w:val="00F24BD7"/>
    <w:rsid w:val="00F24CA5"/>
    <w:rsid w:val="00F251AD"/>
    <w:rsid w:val="00F25FBB"/>
    <w:rsid w:val="00F2649A"/>
    <w:rsid w:val="00F26B7F"/>
    <w:rsid w:val="00F26ED3"/>
    <w:rsid w:val="00F3010D"/>
    <w:rsid w:val="00F305F9"/>
    <w:rsid w:val="00F30CBA"/>
    <w:rsid w:val="00F31994"/>
    <w:rsid w:val="00F32439"/>
    <w:rsid w:val="00F33744"/>
    <w:rsid w:val="00F33A06"/>
    <w:rsid w:val="00F33FF9"/>
    <w:rsid w:val="00F34BD4"/>
    <w:rsid w:val="00F34FE2"/>
    <w:rsid w:val="00F3659D"/>
    <w:rsid w:val="00F37AF5"/>
    <w:rsid w:val="00F37B00"/>
    <w:rsid w:val="00F37F81"/>
    <w:rsid w:val="00F40C0C"/>
    <w:rsid w:val="00F40EFB"/>
    <w:rsid w:val="00F417D3"/>
    <w:rsid w:val="00F4228A"/>
    <w:rsid w:val="00F4248F"/>
    <w:rsid w:val="00F42974"/>
    <w:rsid w:val="00F42D00"/>
    <w:rsid w:val="00F4315D"/>
    <w:rsid w:val="00F44C4C"/>
    <w:rsid w:val="00F44F6F"/>
    <w:rsid w:val="00F45529"/>
    <w:rsid w:val="00F45D9B"/>
    <w:rsid w:val="00F45FD5"/>
    <w:rsid w:val="00F463EC"/>
    <w:rsid w:val="00F467D9"/>
    <w:rsid w:val="00F4700E"/>
    <w:rsid w:val="00F50400"/>
    <w:rsid w:val="00F50972"/>
    <w:rsid w:val="00F5148C"/>
    <w:rsid w:val="00F52491"/>
    <w:rsid w:val="00F54365"/>
    <w:rsid w:val="00F549D1"/>
    <w:rsid w:val="00F54AD9"/>
    <w:rsid w:val="00F54C41"/>
    <w:rsid w:val="00F54C6A"/>
    <w:rsid w:val="00F54F61"/>
    <w:rsid w:val="00F55501"/>
    <w:rsid w:val="00F55A4B"/>
    <w:rsid w:val="00F55CFE"/>
    <w:rsid w:val="00F55EA2"/>
    <w:rsid w:val="00F5622E"/>
    <w:rsid w:val="00F56710"/>
    <w:rsid w:val="00F57340"/>
    <w:rsid w:val="00F57CAD"/>
    <w:rsid w:val="00F60C04"/>
    <w:rsid w:val="00F60DF9"/>
    <w:rsid w:val="00F61257"/>
    <w:rsid w:val="00F61FA8"/>
    <w:rsid w:val="00F62A7D"/>
    <w:rsid w:val="00F62B7A"/>
    <w:rsid w:val="00F63238"/>
    <w:rsid w:val="00F635BC"/>
    <w:rsid w:val="00F63782"/>
    <w:rsid w:val="00F6397D"/>
    <w:rsid w:val="00F64787"/>
    <w:rsid w:val="00F649A7"/>
    <w:rsid w:val="00F64E9F"/>
    <w:rsid w:val="00F64F1D"/>
    <w:rsid w:val="00F64FF2"/>
    <w:rsid w:val="00F65CB8"/>
    <w:rsid w:val="00F65E6F"/>
    <w:rsid w:val="00F66DA1"/>
    <w:rsid w:val="00F66FFD"/>
    <w:rsid w:val="00F678DD"/>
    <w:rsid w:val="00F67941"/>
    <w:rsid w:val="00F67FD8"/>
    <w:rsid w:val="00F705D0"/>
    <w:rsid w:val="00F716AB"/>
    <w:rsid w:val="00F72393"/>
    <w:rsid w:val="00F724D1"/>
    <w:rsid w:val="00F7293E"/>
    <w:rsid w:val="00F72DB6"/>
    <w:rsid w:val="00F72F12"/>
    <w:rsid w:val="00F75E54"/>
    <w:rsid w:val="00F75EF5"/>
    <w:rsid w:val="00F75F00"/>
    <w:rsid w:val="00F76650"/>
    <w:rsid w:val="00F773F0"/>
    <w:rsid w:val="00F77772"/>
    <w:rsid w:val="00F77B51"/>
    <w:rsid w:val="00F8014B"/>
    <w:rsid w:val="00F81701"/>
    <w:rsid w:val="00F82539"/>
    <w:rsid w:val="00F830EE"/>
    <w:rsid w:val="00F83158"/>
    <w:rsid w:val="00F83D5E"/>
    <w:rsid w:val="00F83E4A"/>
    <w:rsid w:val="00F8422E"/>
    <w:rsid w:val="00F8475E"/>
    <w:rsid w:val="00F847F1"/>
    <w:rsid w:val="00F848BD"/>
    <w:rsid w:val="00F84CDA"/>
    <w:rsid w:val="00F86547"/>
    <w:rsid w:val="00F8654A"/>
    <w:rsid w:val="00F877CF"/>
    <w:rsid w:val="00F9037C"/>
    <w:rsid w:val="00F90B97"/>
    <w:rsid w:val="00F91689"/>
    <w:rsid w:val="00F9187B"/>
    <w:rsid w:val="00F92385"/>
    <w:rsid w:val="00F9311E"/>
    <w:rsid w:val="00F93507"/>
    <w:rsid w:val="00F93A47"/>
    <w:rsid w:val="00F93D36"/>
    <w:rsid w:val="00F942C5"/>
    <w:rsid w:val="00F943F5"/>
    <w:rsid w:val="00F94C08"/>
    <w:rsid w:val="00F9565B"/>
    <w:rsid w:val="00F96B0B"/>
    <w:rsid w:val="00F9723F"/>
    <w:rsid w:val="00F9739E"/>
    <w:rsid w:val="00F97E33"/>
    <w:rsid w:val="00FA034A"/>
    <w:rsid w:val="00FA0759"/>
    <w:rsid w:val="00FA086A"/>
    <w:rsid w:val="00FA1B4F"/>
    <w:rsid w:val="00FA26D6"/>
    <w:rsid w:val="00FA283B"/>
    <w:rsid w:val="00FA3206"/>
    <w:rsid w:val="00FA3BAE"/>
    <w:rsid w:val="00FA3C4A"/>
    <w:rsid w:val="00FA414A"/>
    <w:rsid w:val="00FA461B"/>
    <w:rsid w:val="00FA4EE0"/>
    <w:rsid w:val="00FA4F7E"/>
    <w:rsid w:val="00FA535A"/>
    <w:rsid w:val="00FA6443"/>
    <w:rsid w:val="00FA6765"/>
    <w:rsid w:val="00FA6CF0"/>
    <w:rsid w:val="00FA717D"/>
    <w:rsid w:val="00FB126F"/>
    <w:rsid w:val="00FB1CDB"/>
    <w:rsid w:val="00FB1E14"/>
    <w:rsid w:val="00FB25CA"/>
    <w:rsid w:val="00FB2E1E"/>
    <w:rsid w:val="00FB3AEE"/>
    <w:rsid w:val="00FB3D2E"/>
    <w:rsid w:val="00FB44ED"/>
    <w:rsid w:val="00FB47BF"/>
    <w:rsid w:val="00FB4EBC"/>
    <w:rsid w:val="00FB500C"/>
    <w:rsid w:val="00FB5E7B"/>
    <w:rsid w:val="00FB6D44"/>
    <w:rsid w:val="00FB716D"/>
    <w:rsid w:val="00FB7628"/>
    <w:rsid w:val="00FB77EC"/>
    <w:rsid w:val="00FB77F4"/>
    <w:rsid w:val="00FC02E7"/>
    <w:rsid w:val="00FC08CF"/>
    <w:rsid w:val="00FC1B62"/>
    <w:rsid w:val="00FC214B"/>
    <w:rsid w:val="00FC2EF0"/>
    <w:rsid w:val="00FC43BF"/>
    <w:rsid w:val="00FC4411"/>
    <w:rsid w:val="00FC4420"/>
    <w:rsid w:val="00FC4794"/>
    <w:rsid w:val="00FC47F9"/>
    <w:rsid w:val="00FC58B2"/>
    <w:rsid w:val="00FC58CE"/>
    <w:rsid w:val="00FC5BD4"/>
    <w:rsid w:val="00FC6385"/>
    <w:rsid w:val="00FC762E"/>
    <w:rsid w:val="00FC7CC7"/>
    <w:rsid w:val="00FD1667"/>
    <w:rsid w:val="00FD1A7B"/>
    <w:rsid w:val="00FD1E06"/>
    <w:rsid w:val="00FD438D"/>
    <w:rsid w:val="00FD43B0"/>
    <w:rsid w:val="00FD5DC0"/>
    <w:rsid w:val="00FD6A74"/>
    <w:rsid w:val="00FD6A80"/>
    <w:rsid w:val="00FD772C"/>
    <w:rsid w:val="00FD7F46"/>
    <w:rsid w:val="00FE0E24"/>
    <w:rsid w:val="00FE1B60"/>
    <w:rsid w:val="00FE2351"/>
    <w:rsid w:val="00FE337D"/>
    <w:rsid w:val="00FE40A1"/>
    <w:rsid w:val="00FE48DB"/>
    <w:rsid w:val="00FE49AC"/>
    <w:rsid w:val="00FE4B0D"/>
    <w:rsid w:val="00FE504A"/>
    <w:rsid w:val="00FE5471"/>
    <w:rsid w:val="00FE5580"/>
    <w:rsid w:val="00FE5895"/>
    <w:rsid w:val="00FE5DDE"/>
    <w:rsid w:val="00FE6A87"/>
    <w:rsid w:val="00FE6EE1"/>
    <w:rsid w:val="00FE73EE"/>
    <w:rsid w:val="00FE7E75"/>
    <w:rsid w:val="00FED489"/>
    <w:rsid w:val="00FF0BB6"/>
    <w:rsid w:val="00FF0F4B"/>
    <w:rsid w:val="00FF110C"/>
    <w:rsid w:val="00FF1A6E"/>
    <w:rsid w:val="00FF1ACA"/>
    <w:rsid w:val="00FF21BA"/>
    <w:rsid w:val="00FF288F"/>
    <w:rsid w:val="00FF28C2"/>
    <w:rsid w:val="00FF2C35"/>
    <w:rsid w:val="00FF457A"/>
    <w:rsid w:val="00FF490C"/>
    <w:rsid w:val="00FF4BA3"/>
    <w:rsid w:val="00FF4C16"/>
    <w:rsid w:val="00FF5398"/>
    <w:rsid w:val="00FF5419"/>
    <w:rsid w:val="00FF5B36"/>
    <w:rsid w:val="00FF604C"/>
    <w:rsid w:val="00FF60FD"/>
    <w:rsid w:val="00FF645E"/>
    <w:rsid w:val="00FF65B5"/>
    <w:rsid w:val="00FF7559"/>
    <w:rsid w:val="00FF7E0E"/>
    <w:rsid w:val="00FF7E43"/>
    <w:rsid w:val="01014B02"/>
    <w:rsid w:val="0106F899"/>
    <w:rsid w:val="0114E683"/>
    <w:rsid w:val="012A753C"/>
    <w:rsid w:val="012B156B"/>
    <w:rsid w:val="013BF9A4"/>
    <w:rsid w:val="014C0368"/>
    <w:rsid w:val="01647B28"/>
    <w:rsid w:val="0167CD2B"/>
    <w:rsid w:val="016B2511"/>
    <w:rsid w:val="01708C7A"/>
    <w:rsid w:val="0185522F"/>
    <w:rsid w:val="01869275"/>
    <w:rsid w:val="01885FD2"/>
    <w:rsid w:val="0194E7AB"/>
    <w:rsid w:val="01ACABE4"/>
    <w:rsid w:val="01B2A7D4"/>
    <w:rsid w:val="01B4F9B2"/>
    <w:rsid w:val="01B9E4D7"/>
    <w:rsid w:val="01C0DF7C"/>
    <w:rsid w:val="01C45B57"/>
    <w:rsid w:val="01E4B540"/>
    <w:rsid w:val="01EBB685"/>
    <w:rsid w:val="01F9C12D"/>
    <w:rsid w:val="01FF3A4A"/>
    <w:rsid w:val="020E5D15"/>
    <w:rsid w:val="022E4971"/>
    <w:rsid w:val="022F7D19"/>
    <w:rsid w:val="023C50FB"/>
    <w:rsid w:val="023F7D1F"/>
    <w:rsid w:val="02447BFE"/>
    <w:rsid w:val="026D2BFF"/>
    <w:rsid w:val="02750A1B"/>
    <w:rsid w:val="027CC0B0"/>
    <w:rsid w:val="02868AAD"/>
    <w:rsid w:val="02971C48"/>
    <w:rsid w:val="029EEB5F"/>
    <w:rsid w:val="02A1CC66"/>
    <w:rsid w:val="02A316BC"/>
    <w:rsid w:val="02AC6848"/>
    <w:rsid w:val="02B33932"/>
    <w:rsid w:val="02E8381E"/>
    <w:rsid w:val="02EC714A"/>
    <w:rsid w:val="030393CA"/>
    <w:rsid w:val="0304B4AF"/>
    <w:rsid w:val="03059CFF"/>
    <w:rsid w:val="0309BAF6"/>
    <w:rsid w:val="0310AF06"/>
    <w:rsid w:val="03434068"/>
    <w:rsid w:val="035D1152"/>
    <w:rsid w:val="0362F92B"/>
    <w:rsid w:val="0375DF87"/>
    <w:rsid w:val="0381A10D"/>
    <w:rsid w:val="0381B5C7"/>
    <w:rsid w:val="0389F9DD"/>
    <w:rsid w:val="038A3BE6"/>
    <w:rsid w:val="038E2361"/>
    <w:rsid w:val="03A1DAE6"/>
    <w:rsid w:val="03C1E0EE"/>
    <w:rsid w:val="03CC3A04"/>
    <w:rsid w:val="03D26056"/>
    <w:rsid w:val="03DDAF3F"/>
    <w:rsid w:val="03E427CE"/>
    <w:rsid w:val="03E614F6"/>
    <w:rsid w:val="03F31D7F"/>
    <w:rsid w:val="03F40776"/>
    <w:rsid w:val="03FA5679"/>
    <w:rsid w:val="0407D1A1"/>
    <w:rsid w:val="04089A39"/>
    <w:rsid w:val="040F16ED"/>
    <w:rsid w:val="0413E669"/>
    <w:rsid w:val="041BDD5F"/>
    <w:rsid w:val="042FCD79"/>
    <w:rsid w:val="0430AB79"/>
    <w:rsid w:val="0434AEEE"/>
    <w:rsid w:val="0439C1DD"/>
    <w:rsid w:val="0443085C"/>
    <w:rsid w:val="04442E8B"/>
    <w:rsid w:val="0489353E"/>
    <w:rsid w:val="048BFECF"/>
    <w:rsid w:val="048D24B8"/>
    <w:rsid w:val="049E9648"/>
    <w:rsid w:val="04A1A737"/>
    <w:rsid w:val="04AD89A0"/>
    <w:rsid w:val="04B34219"/>
    <w:rsid w:val="04C4578B"/>
    <w:rsid w:val="04C7DD99"/>
    <w:rsid w:val="04E22231"/>
    <w:rsid w:val="04ED4CFA"/>
    <w:rsid w:val="04EFE478"/>
    <w:rsid w:val="04F03A08"/>
    <w:rsid w:val="04F1604E"/>
    <w:rsid w:val="04F24021"/>
    <w:rsid w:val="04F2D3C3"/>
    <w:rsid w:val="04F7DEB7"/>
    <w:rsid w:val="04FEDF40"/>
    <w:rsid w:val="050375AD"/>
    <w:rsid w:val="050EB5B4"/>
    <w:rsid w:val="05127AAC"/>
    <w:rsid w:val="05133334"/>
    <w:rsid w:val="05155294"/>
    <w:rsid w:val="0517C55D"/>
    <w:rsid w:val="0532E959"/>
    <w:rsid w:val="05431285"/>
    <w:rsid w:val="054D60EB"/>
    <w:rsid w:val="0557E513"/>
    <w:rsid w:val="0564C8A1"/>
    <w:rsid w:val="057C8AB2"/>
    <w:rsid w:val="0587C04B"/>
    <w:rsid w:val="058B5B22"/>
    <w:rsid w:val="05A24CA6"/>
    <w:rsid w:val="05B16CD3"/>
    <w:rsid w:val="05C227DD"/>
    <w:rsid w:val="05DD800C"/>
    <w:rsid w:val="05FD792F"/>
    <w:rsid w:val="060787FD"/>
    <w:rsid w:val="060A44F1"/>
    <w:rsid w:val="060AF594"/>
    <w:rsid w:val="060B19FC"/>
    <w:rsid w:val="060E2F2B"/>
    <w:rsid w:val="064BFBD2"/>
    <w:rsid w:val="06523A4D"/>
    <w:rsid w:val="06602DD2"/>
    <w:rsid w:val="0662691E"/>
    <w:rsid w:val="066464EB"/>
    <w:rsid w:val="06721DD4"/>
    <w:rsid w:val="06765A85"/>
    <w:rsid w:val="0676B616"/>
    <w:rsid w:val="06804C1B"/>
    <w:rsid w:val="06A37F98"/>
    <w:rsid w:val="06A45CE2"/>
    <w:rsid w:val="06A8917E"/>
    <w:rsid w:val="06B4F6C1"/>
    <w:rsid w:val="06EBDA39"/>
    <w:rsid w:val="06ED6E84"/>
    <w:rsid w:val="06F31E08"/>
    <w:rsid w:val="06F485E7"/>
    <w:rsid w:val="072B067C"/>
    <w:rsid w:val="0742A064"/>
    <w:rsid w:val="074808A5"/>
    <w:rsid w:val="0748EDE7"/>
    <w:rsid w:val="076AD197"/>
    <w:rsid w:val="0774A09D"/>
    <w:rsid w:val="07834AAC"/>
    <w:rsid w:val="0788DFF4"/>
    <w:rsid w:val="07986F99"/>
    <w:rsid w:val="07A62A08"/>
    <w:rsid w:val="07A693C9"/>
    <w:rsid w:val="07A822BF"/>
    <w:rsid w:val="07A852C3"/>
    <w:rsid w:val="07B1D1CE"/>
    <w:rsid w:val="07B333DB"/>
    <w:rsid w:val="07B47F36"/>
    <w:rsid w:val="07BEE830"/>
    <w:rsid w:val="07C2815E"/>
    <w:rsid w:val="07D97002"/>
    <w:rsid w:val="07E51444"/>
    <w:rsid w:val="0822053A"/>
    <w:rsid w:val="082E0559"/>
    <w:rsid w:val="084C1A43"/>
    <w:rsid w:val="08534944"/>
    <w:rsid w:val="085854C8"/>
    <w:rsid w:val="085AAC2B"/>
    <w:rsid w:val="08710D53"/>
    <w:rsid w:val="0872BD31"/>
    <w:rsid w:val="0884DE98"/>
    <w:rsid w:val="088BBB71"/>
    <w:rsid w:val="089238B3"/>
    <w:rsid w:val="089AA86F"/>
    <w:rsid w:val="08A2055A"/>
    <w:rsid w:val="08A5B1E4"/>
    <w:rsid w:val="08AD263B"/>
    <w:rsid w:val="08BAD25F"/>
    <w:rsid w:val="08C1A43F"/>
    <w:rsid w:val="08D5FD8C"/>
    <w:rsid w:val="08FC6FFC"/>
    <w:rsid w:val="09007A21"/>
    <w:rsid w:val="090D5C18"/>
    <w:rsid w:val="091319ED"/>
    <w:rsid w:val="091FF7C5"/>
    <w:rsid w:val="09226547"/>
    <w:rsid w:val="09282BA3"/>
    <w:rsid w:val="09310118"/>
    <w:rsid w:val="096007F2"/>
    <w:rsid w:val="096AC81D"/>
    <w:rsid w:val="097F19F5"/>
    <w:rsid w:val="09AF81B1"/>
    <w:rsid w:val="09C7B2EE"/>
    <w:rsid w:val="09F4512F"/>
    <w:rsid w:val="0A20E2DF"/>
    <w:rsid w:val="0A31CDDF"/>
    <w:rsid w:val="0A359C47"/>
    <w:rsid w:val="0A4F1917"/>
    <w:rsid w:val="0A58A07D"/>
    <w:rsid w:val="0A5FFDC5"/>
    <w:rsid w:val="0A6124E0"/>
    <w:rsid w:val="0A7277C9"/>
    <w:rsid w:val="0A76EA7A"/>
    <w:rsid w:val="0A86872E"/>
    <w:rsid w:val="0A9A7D9F"/>
    <w:rsid w:val="0AA861CE"/>
    <w:rsid w:val="0AB2F1DE"/>
    <w:rsid w:val="0AB3DFBB"/>
    <w:rsid w:val="0AC111D3"/>
    <w:rsid w:val="0AC31506"/>
    <w:rsid w:val="0AD72574"/>
    <w:rsid w:val="0ADD25CA"/>
    <w:rsid w:val="0AE70AA4"/>
    <w:rsid w:val="0AE7E8D3"/>
    <w:rsid w:val="0AF9F291"/>
    <w:rsid w:val="0B057D28"/>
    <w:rsid w:val="0B08B399"/>
    <w:rsid w:val="0B361335"/>
    <w:rsid w:val="0B429B4A"/>
    <w:rsid w:val="0B458669"/>
    <w:rsid w:val="0B458F6E"/>
    <w:rsid w:val="0B8AAE0A"/>
    <w:rsid w:val="0B8F7146"/>
    <w:rsid w:val="0B9CF840"/>
    <w:rsid w:val="0BABBF31"/>
    <w:rsid w:val="0BB7E78B"/>
    <w:rsid w:val="0BB94D5E"/>
    <w:rsid w:val="0BC2288B"/>
    <w:rsid w:val="0BC7B7FE"/>
    <w:rsid w:val="0BC92B66"/>
    <w:rsid w:val="0BCEC7C5"/>
    <w:rsid w:val="0BD44D46"/>
    <w:rsid w:val="0BD61016"/>
    <w:rsid w:val="0BEE6FE2"/>
    <w:rsid w:val="0BF782BE"/>
    <w:rsid w:val="0BF9E9ED"/>
    <w:rsid w:val="0C0D1649"/>
    <w:rsid w:val="0C1A1D56"/>
    <w:rsid w:val="0C20F91D"/>
    <w:rsid w:val="0C2D563F"/>
    <w:rsid w:val="0C34BFAE"/>
    <w:rsid w:val="0C35FA84"/>
    <w:rsid w:val="0C3AE96C"/>
    <w:rsid w:val="0C3F9E71"/>
    <w:rsid w:val="0C577442"/>
    <w:rsid w:val="0C589BE3"/>
    <w:rsid w:val="0C5E23F3"/>
    <w:rsid w:val="0C68AEFC"/>
    <w:rsid w:val="0C761CA6"/>
    <w:rsid w:val="0C875953"/>
    <w:rsid w:val="0C9C56A8"/>
    <w:rsid w:val="0C9F0A1E"/>
    <w:rsid w:val="0CA1363B"/>
    <w:rsid w:val="0CABA299"/>
    <w:rsid w:val="0CAF8F4B"/>
    <w:rsid w:val="0CB8D682"/>
    <w:rsid w:val="0CBA4ECB"/>
    <w:rsid w:val="0CC31935"/>
    <w:rsid w:val="0CC88730"/>
    <w:rsid w:val="0CCA0D41"/>
    <w:rsid w:val="0CCC0D0D"/>
    <w:rsid w:val="0CD97D02"/>
    <w:rsid w:val="0CE22CE9"/>
    <w:rsid w:val="0CE69135"/>
    <w:rsid w:val="0CE6D194"/>
    <w:rsid w:val="0D1AD15F"/>
    <w:rsid w:val="0D35703B"/>
    <w:rsid w:val="0D369F48"/>
    <w:rsid w:val="0D5CCDD7"/>
    <w:rsid w:val="0D628261"/>
    <w:rsid w:val="0D6BC669"/>
    <w:rsid w:val="0D6F1585"/>
    <w:rsid w:val="0D787C48"/>
    <w:rsid w:val="0D79185C"/>
    <w:rsid w:val="0D7AD795"/>
    <w:rsid w:val="0D7C8B8E"/>
    <w:rsid w:val="0D9518B4"/>
    <w:rsid w:val="0D962EB7"/>
    <w:rsid w:val="0DA923FA"/>
    <w:rsid w:val="0DB3D3C4"/>
    <w:rsid w:val="0DC456F5"/>
    <w:rsid w:val="0DCC21AA"/>
    <w:rsid w:val="0DCF93FE"/>
    <w:rsid w:val="0DD07953"/>
    <w:rsid w:val="0DD7DE18"/>
    <w:rsid w:val="0DE07A30"/>
    <w:rsid w:val="0DE12E92"/>
    <w:rsid w:val="0DE168CD"/>
    <w:rsid w:val="0E0548EC"/>
    <w:rsid w:val="0E0CCD7F"/>
    <w:rsid w:val="0E108ECF"/>
    <w:rsid w:val="0E2275B4"/>
    <w:rsid w:val="0E25C349"/>
    <w:rsid w:val="0E2CDAB5"/>
    <w:rsid w:val="0E335241"/>
    <w:rsid w:val="0E382C26"/>
    <w:rsid w:val="0E52926D"/>
    <w:rsid w:val="0E52AD98"/>
    <w:rsid w:val="0E52BDA6"/>
    <w:rsid w:val="0E78C0B9"/>
    <w:rsid w:val="0E7BFDC9"/>
    <w:rsid w:val="0E7D773D"/>
    <w:rsid w:val="0E7F5A4F"/>
    <w:rsid w:val="0E8BA013"/>
    <w:rsid w:val="0E98E756"/>
    <w:rsid w:val="0EA0BB8E"/>
    <w:rsid w:val="0EA3B58C"/>
    <w:rsid w:val="0EA8B018"/>
    <w:rsid w:val="0EAA2737"/>
    <w:rsid w:val="0EB47B58"/>
    <w:rsid w:val="0EB594D7"/>
    <w:rsid w:val="0EB8B112"/>
    <w:rsid w:val="0EBC2062"/>
    <w:rsid w:val="0ECD57DB"/>
    <w:rsid w:val="0EEAD0B0"/>
    <w:rsid w:val="0EECD6B7"/>
    <w:rsid w:val="0EF0918B"/>
    <w:rsid w:val="0F103E3A"/>
    <w:rsid w:val="0F1C9F6C"/>
    <w:rsid w:val="0F2E0E67"/>
    <w:rsid w:val="0F362F00"/>
    <w:rsid w:val="0F44F690"/>
    <w:rsid w:val="0F4E2BAB"/>
    <w:rsid w:val="0F5C6995"/>
    <w:rsid w:val="0F63F5D5"/>
    <w:rsid w:val="0F69D7CE"/>
    <w:rsid w:val="0F69FADB"/>
    <w:rsid w:val="0F75520F"/>
    <w:rsid w:val="0F7BA2CB"/>
    <w:rsid w:val="0F9C0758"/>
    <w:rsid w:val="0FA25B7C"/>
    <w:rsid w:val="0FA43F09"/>
    <w:rsid w:val="0FACDFD4"/>
    <w:rsid w:val="0FB9635E"/>
    <w:rsid w:val="0FBFD353"/>
    <w:rsid w:val="0FE177F8"/>
    <w:rsid w:val="0FF65369"/>
    <w:rsid w:val="0FF6E590"/>
    <w:rsid w:val="0FF6E7B1"/>
    <w:rsid w:val="10016ECF"/>
    <w:rsid w:val="100907BE"/>
    <w:rsid w:val="100C3BEA"/>
    <w:rsid w:val="10167A53"/>
    <w:rsid w:val="101A3AD6"/>
    <w:rsid w:val="101AB643"/>
    <w:rsid w:val="10290C98"/>
    <w:rsid w:val="103D6346"/>
    <w:rsid w:val="104FB0AA"/>
    <w:rsid w:val="10563456"/>
    <w:rsid w:val="105CC519"/>
    <w:rsid w:val="1067B82A"/>
    <w:rsid w:val="106F75DD"/>
    <w:rsid w:val="107BDFD2"/>
    <w:rsid w:val="108A81A5"/>
    <w:rsid w:val="108DB8D5"/>
    <w:rsid w:val="10AD3832"/>
    <w:rsid w:val="10AD7DEC"/>
    <w:rsid w:val="10B2C5B5"/>
    <w:rsid w:val="10B3D9F0"/>
    <w:rsid w:val="10C16A68"/>
    <w:rsid w:val="10DFFA53"/>
    <w:rsid w:val="1105130A"/>
    <w:rsid w:val="1128F867"/>
    <w:rsid w:val="112B286D"/>
    <w:rsid w:val="112F8E46"/>
    <w:rsid w:val="11314537"/>
    <w:rsid w:val="11319423"/>
    <w:rsid w:val="1139B16F"/>
    <w:rsid w:val="11510607"/>
    <w:rsid w:val="11523DF2"/>
    <w:rsid w:val="115570EF"/>
    <w:rsid w:val="1155A198"/>
    <w:rsid w:val="1156CE4F"/>
    <w:rsid w:val="11642E08"/>
    <w:rsid w:val="1182C594"/>
    <w:rsid w:val="11908AA5"/>
    <w:rsid w:val="11920744"/>
    <w:rsid w:val="11C14C13"/>
    <w:rsid w:val="11CFB324"/>
    <w:rsid w:val="11D21950"/>
    <w:rsid w:val="11D70EDF"/>
    <w:rsid w:val="11DBFE25"/>
    <w:rsid w:val="11E0C0EC"/>
    <w:rsid w:val="120EE037"/>
    <w:rsid w:val="123A495E"/>
    <w:rsid w:val="123AB772"/>
    <w:rsid w:val="1259D068"/>
    <w:rsid w:val="126EDD7F"/>
    <w:rsid w:val="127043C7"/>
    <w:rsid w:val="1287CE9C"/>
    <w:rsid w:val="12A55906"/>
    <w:rsid w:val="12A8E411"/>
    <w:rsid w:val="12DD7DFB"/>
    <w:rsid w:val="12E0A271"/>
    <w:rsid w:val="12E59B9C"/>
    <w:rsid w:val="12E67CF4"/>
    <w:rsid w:val="12FAC31D"/>
    <w:rsid w:val="131A0F43"/>
    <w:rsid w:val="133041B5"/>
    <w:rsid w:val="13316719"/>
    <w:rsid w:val="1331E0A4"/>
    <w:rsid w:val="133B2BEC"/>
    <w:rsid w:val="133BED28"/>
    <w:rsid w:val="133C168A"/>
    <w:rsid w:val="134B48F5"/>
    <w:rsid w:val="13557547"/>
    <w:rsid w:val="1356271B"/>
    <w:rsid w:val="1359DE07"/>
    <w:rsid w:val="13626B8F"/>
    <w:rsid w:val="1368DC77"/>
    <w:rsid w:val="1370F453"/>
    <w:rsid w:val="1399754B"/>
    <w:rsid w:val="13AE1F31"/>
    <w:rsid w:val="13CEE331"/>
    <w:rsid w:val="13E30D40"/>
    <w:rsid w:val="14032C2B"/>
    <w:rsid w:val="1411CF63"/>
    <w:rsid w:val="14132C30"/>
    <w:rsid w:val="14141F23"/>
    <w:rsid w:val="1416A1AA"/>
    <w:rsid w:val="1424EE9E"/>
    <w:rsid w:val="142F086C"/>
    <w:rsid w:val="143C11E4"/>
    <w:rsid w:val="1443F512"/>
    <w:rsid w:val="1475D65F"/>
    <w:rsid w:val="14874F59"/>
    <w:rsid w:val="148FDF68"/>
    <w:rsid w:val="14946089"/>
    <w:rsid w:val="14A36779"/>
    <w:rsid w:val="14AE95CD"/>
    <w:rsid w:val="14B685B6"/>
    <w:rsid w:val="14B86D41"/>
    <w:rsid w:val="14BEF964"/>
    <w:rsid w:val="14CB8FCF"/>
    <w:rsid w:val="14CBA54A"/>
    <w:rsid w:val="14D09EEC"/>
    <w:rsid w:val="1502BA7B"/>
    <w:rsid w:val="15110115"/>
    <w:rsid w:val="152D37A1"/>
    <w:rsid w:val="152DB3B3"/>
    <w:rsid w:val="152DF448"/>
    <w:rsid w:val="15488D89"/>
    <w:rsid w:val="154B9637"/>
    <w:rsid w:val="155A8788"/>
    <w:rsid w:val="155C8C41"/>
    <w:rsid w:val="156FC1AC"/>
    <w:rsid w:val="157A3B0C"/>
    <w:rsid w:val="1586451D"/>
    <w:rsid w:val="158B9D1F"/>
    <w:rsid w:val="159873C7"/>
    <w:rsid w:val="15A44C1C"/>
    <w:rsid w:val="15A462CD"/>
    <w:rsid w:val="15A55A28"/>
    <w:rsid w:val="15AA459B"/>
    <w:rsid w:val="15B73687"/>
    <w:rsid w:val="15B877C4"/>
    <w:rsid w:val="15C3F60D"/>
    <w:rsid w:val="15DE693D"/>
    <w:rsid w:val="15FB5A16"/>
    <w:rsid w:val="16014885"/>
    <w:rsid w:val="16055558"/>
    <w:rsid w:val="160A7EAB"/>
    <w:rsid w:val="1625FD73"/>
    <w:rsid w:val="162E24ED"/>
    <w:rsid w:val="162F2E0E"/>
    <w:rsid w:val="1632289C"/>
    <w:rsid w:val="1640622A"/>
    <w:rsid w:val="16418B4A"/>
    <w:rsid w:val="1650E8A0"/>
    <w:rsid w:val="167E828D"/>
    <w:rsid w:val="1690BDDA"/>
    <w:rsid w:val="169B191F"/>
    <w:rsid w:val="169D5799"/>
    <w:rsid w:val="16A068B3"/>
    <w:rsid w:val="16A0FBBF"/>
    <w:rsid w:val="16A37A69"/>
    <w:rsid w:val="16B941D2"/>
    <w:rsid w:val="16BDC759"/>
    <w:rsid w:val="16C65048"/>
    <w:rsid w:val="16D4164B"/>
    <w:rsid w:val="16F4549A"/>
    <w:rsid w:val="16FE550D"/>
    <w:rsid w:val="17164BBA"/>
    <w:rsid w:val="17193CA3"/>
    <w:rsid w:val="17221501"/>
    <w:rsid w:val="1747F7AC"/>
    <w:rsid w:val="174FFFF5"/>
    <w:rsid w:val="1757F981"/>
    <w:rsid w:val="179270B9"/>
    <w:rsid w:val="17966A7C"/>
    <w:rsid w:val="17996E85"/>
    <w:rsid w:val="17A36025"/>
    <w:rsid w:val="17C25C9A"/>
    <w:rsid w:val="17C48D95"/>
    <w:rsid w:val="17D09A32"/>
    <w:rsid w:val="17D1C4D2"/>
    <w:rsid w:val="17D457B4"/>
    <w:rsid w:val="17EF31BC"/>
    <w:rsid w:val="17F67B74"/>
    <w:rsid w:val="18129937"/>
    <w:rsid w:val="182591B8"/>
    <w:rsid w:val="18313FF2"/>
    <w:rsid w:val="1833A1F3"/>
    <w:rsid w:val="183C5E95"/>
    <w:rsid w:val="1848D658"/>
    <w:rsid w:val="184BD9C8"/>
    <w:rsid w:val="18583026"/>
    <w:rsid w:val="1859F0EB"/>
    <w:rsid w:val="186BDFAF"/>
    <w:rsid w:val="186C9BD2"/>
    <w:rsid w:val="18782150"/>
    <w:rsid w:val="188BDC33"/>
    <w:rsid w:val="189357AD"/>
    <w:rsid w:val="18BE4F10"/>
    <w:rsid w:val="18C74C6A"/>
    <w:rsid w:val="18CA38A6"/>
    <w:rsid w:val="18D72B73"/>
    <w:rsid w:val="18D7FEA1"/>
    <w:rsid w:val="18DBB6BF"/>
    <w:rsid w:val="18DD9F8C"/>
    <w:rsid w:val="18EE525C"/>
    <w:rsid w:val="18EFDD3B"/>
    <w:rsid w:val="18F72C25"/>
    <w:rsid w:val="18F9D18C"/>
    <w:rsid w:val="18FC6170"/>
    <w:rsid w:val="18FF1E32"/>
    <w:rsid w:val="1905BCCD"/>
    <w:rsid w:val="1914F9BE"/>
    <w:rsid w:val="1919E90D"/>
    <w:rsid w:val="191BEC5C"/>
    <w:rsid w:val="193881B2"/>
    <w:rsid w:val="194374A5"/>
    <w:rsid w:val="194DFF31"/>
    <w:rsid w:val="195DE185"/>
    <w:rsid w:val="196D301B"/>
    <w:rsid w:val="1973FF89"/>
    <w:rsid w:val="19761E59"/>
    <w:rsid w:val="1983B645"/>
    <w:rsid w:val="198477AB"/>
    <w:rsid w:val="1989D79C"/>
    <w:rsid w:val="1997D5AA"/>
    <w:rsid w:val="199F3BC5"/>
    <w:rsid w:val="19AEA97D"/>
    <w:rsid w:val="19BD4D5C"/>
    <w:rsid w:val="19C578B3"/>
    <w:rsid w:val="19D7C596"/>
    <w:rsid w:val="19E86F05"/>
    <w:rsid w:val="19F83327"/>
    <w:rsid w:val="1A0193E4"/>
    <w:rsid w:val="1A14C550"/>
    <w:rsid w:val="1A18C98A"/>
    <w:rsid w:val="1A1AB56C"/>
    <w:rsid w:val="1A322F57"/>
    <w:rsid w:val="1A42ECDC"/>
    <w:rsid w:val="1A509ACA"/>
    <w:rsid w:val="1A51652C"/>
    <w:rsid w:val="1A60F59C"/>
    <w:rsid w:val="1A635822"/>
    <w:rsid w:val="1A658AD9"/>
    <w:rsid w:val="1A65E5E6"/>
    <w:rsid w:val="1A71DCFB"/>
    <w:rsid w:val="1A74F07D"/>
    <w:rsid w:val="1AA0297A"/>
    <w:rsid w:val="1AA71764"/>
    <w:rsid w:val="1AAB127A"/>
    <w:rsid w:val="1AB02889"/>
    <w:rsid w:val="1AB0C9E1"/>
    <w:rsid w:val="1ABA6D29"/>
    <w:rsid w:val="1ABE2DE4"/>
    <w:rsid w:val="1ABF8219"/>
    <w:rsid w:val="1AC18AF5"/>
    <w:rsid w:val="1AC773A7"/>
    <w:rsid w:val="1AD14CB3"/>
    <w:rsid w:val="1ADC7E2E"/>
    <w:rsid w:val="1ADE0711"/>
    <w:rsid w:val="1AE6B186"/>
    <w:rsid w:val="1AEBB60D"/>
    <w:rsid w:val="1AEE0F50"/>
    <w:rsid w:val="1AF44003"/>
    <w:rsid w:val="1B1AAAA1"/>
    <w:rsid w:val="1B31F52D"/>
    <w:rsid w:val="1B35B423"/>
    <w:rsid w:val="1B516216"/>
    <w:rsid w:val="1B58F9E0"/>
    <w:rsid w:val="1B59A8E5"/>
    <w:rsid w:val="1B59F82B"/>
    <w:rsid w:val="1B6BF6FC"/>
    <w:rsid w:val="1B775AE3"/>
    <w:rsid w:val="1B87DA70"/>
    <w:rsid w:val="1B8B325C"/>
    <w:rsid w:val="1B920B62"/>
    <w:rsid w:val="1B948E33"/>
    <w:rsid w:val="1B9BAEF6"/>
    <w:rsid w:val="1B9D14A2"/>
    <w:rsid w:val="1BA8B4B0"/>
    <w:rsid w:val="1BB6ED1F"/>
    <w:rsid w:val="1BC60313"/>
    <w:rsid w:val="1C06931A"/>
    <w:rsid w:val="1C1A3420"/>
    <w:rsid w:val="1C28A188"/>
    <w:rsid w:val="1C3091E5"/>
    <w:rsid w:val="1C4414E1"/>
    <w:rsid w:val="1C483D98"/>
    <w:rsid w:val="1C4D25F3"/>
    <w:rsid w:val="1C4F189E"/>
    <w:rsid w:val="1C6099E7"/>
    <w:rsid w:val="1C67F429"/>
    <w:rsid w:val="1C820B21"/>
    <w:rsid w:val="1C872437"/>
    <w:rsid w:val="1C8D9F2F"/>
    <w:rsid w:val="1CA37B7C"/>
    <w:rsid w:val="1CAD0F46"/>
    <w:rsid w:val="1CC10923"/>
    <w:rsid w:val="1CC5BD32"/>
    <w:rsid w:val="1CC95B24"/>
    <w:rsid w:val="1CE32F91"/>
    <w:rsid w:val="1CEA4F95"/>
    <w:rsid w:val="1CFB80AF"/>
    <w:rsid w:val="1D130B80"/>
    <w:rsid w:val="1D218815"/>
    <w:rsid w:val="1D236AF2"/>
    <w:rsid w:val="1D2414DF"/>
    <w:rsid w:val="1D26BB5F"/>
    <w:rsid w:val="1D3577C8"/>
    <w:rsid w:val="1D3B38C9"/>
    <w:rsid w:val="1D57A423"/>
    <w:rsid w:val="1D5CCDE6"/>
    <w:rsid w:val="1D7DC068"/>
    <w:rsid w:val="1D837565"/>
    <w:rsid w:val="1D95B366"/>
    <w:rsid w:val="1D9BB9B5"/>
    <w:rsid w:val="1DA11664"/>
    <w:rsid w:val="1DADB88C"/>
    <w:rsid w:val="1DC5FB3A"/>
    <w:rsid w:val="1DC63E1B"/>
    <w:rsid w:val="1DD40F00"/>
    <w:rsid w:val="1DE10C0C"/>
    <w:rsid w:val="1DE7268D"/>
    <w:rsid w:val="1DEB2CCB"/>
    <w:rsid w:val="1DF0A5C0"/>
    <w:rsid w:val="1DF65228"/>
    <w:rsid w:val="1DF68103"/>
    <w:rsid w:val="1DFC1C47"/>
    <w:rsid w:val="1E076C0C"/>
    <w:rsid w:val="1E0A832D"/>
    <w:rsid w:val="1E1AE89D"/>
    <w:rsid w:val="1E2DBCA1"/>
    <w:rsid w:val="1E469FE6"/>
    <w:rsid w:val="1E4D849C"/>
    <w:rsid w:val="1E53062A"/>
    <w:rsid w:val="1E5CC8AC"/>
    <w:rsid w:val="1E6100D4"/>
    <w:rsid w:val="1E7D5BB5"/>
    <w:rsid w:val="1E818735"/>
    <w:rsid w:val="1E875EDC"/>
    <w:rsid w:val="1E8A6BB1"/>
    <w:rsid w:val="1E90731B"/>
    <w:rsid w:val="1E96DCA3"/>
    <w:rsid w:val="1E97CBEC"/>
    <w:rsid w:val="1EACB042"/>
    <w:rsid w:val="1EADC679"/>
    <w:rsid w:val="1EBB6C2A"/>
    <w:rsid w:val="1EC30178"/>
    <w:rsid w:val="1EC9485A"/>
    <w:rsid w:val="1EDAD465"/>
    <w:rsid w:val="1EDB60DA"/>
    <w:rsid w:val="1EE17B1A"/>
    <w:rsid w:val="1EE56C28"/>
    <w:rsid w:val="1EE9362C"/>
    <w:rsid w:val="1EF1D0E0"/>
    <w:rsid w:val="1EF84447"/>
    <w:rsid w:val="1EF85344"/>
    <w:rsid w:val="1EF89A23"/>
    <w:rsid w:val="1F0B0155"/>
    <w:rsid w:val="1F2A1498"/>
    <w:rsid w:val="1F3C2CEF"/>
    <w:rsid w:val="1F424CC8"/>
    <w:rsid w:val="1F48197B"/>
    <w:rsid w:val="1F4A0AD1"/>
    <w:rsid w:val="1F4D55C7"/>
    <w:rsid w:val="1F703F20"/>
    <w:rsid w:val="1F8EF901"/>
    <w:rsid w:val="1F991471"/>
    <w:rsid w:val="1FA0F39E"/>
    <w:rsid w:val="1FC1AAF0"/>
    <w:rsid w:val="1FD087AE"/>
    <w:rsid w:val="1FD1ADAB"/>
    <w:rsid w:val="1FD5A17E"/>
    <w:rsid w:val="20042B7C"/>
    <w:rsid w:val="200B43D2"/>
    <w:rsid w:val="20137D3D"/>
    <w:rsid w:val="20157831"/>
    <w:rsid w:val="20166C5B"/>
    <w:rsid w:val="2020FE1D"/>
    <w:rsid w:val="2042416E"/>
    <w:rsid w:val="20490971"/>
    <w:rsid w:val="20563F48"/>
    <w:rsid w:val="2066C726"/>
    <w:rsid w:val="206DAA65"/>
    <w:rsid w:val="206EE50E"/>
    <w:rsid w:val="20768C47"/>
    <w:rsid w:val="208358A9"/>
    <w:rsid w:val="20B147F3"/>
    <w:rsid w:val="20BA59ED"/>
    <w:rsid w:val="20C6E3CF"/>
    <w:rsid w:val="20E3FB04"/>
    <w:rsid w:val="21265C35"/>
    <w:rsid w:val="2127BF28"/>
    <w:rsid w:val="212C7F2F"/>
    <w:rsid w:val="21475904"/>
    <w:rsid w:val="2162EA27"/>
    <w:rsid w:val="2169EE71"/>
    <w:rsid w:val="2178BCE7"/>
    <w:rsid w:val="217D68CB"/>
    <w:rsid w:val="218F34C8"/>
    <w:rsid w:val="21905C4A"/>
    <w:rsid w:val="21908C2E"/>
    <w:rsid w:val="219F821A"/>
    <w:rsid w:val="21A4CDA9"/>
    <w:rsid w:val="21A9FE3A"/>
    <w:rsid w:val="21B27229"/>
    <w:rsid w:val="21C1459C"/>
    <w:rsid w:val="21C2217E"/>
    <w:rsid w:val="21E9D329"/>
    <w:rsid w:val="21F00749"/>
    <w:rsid w:val="22037069"/>
    <w:rsid w:val="22061F9E"/>
    <w:rsid w:val="2207F481"/>
    <w:rsid w:val="220D1EF9"/>
    <w:rsid w:val="2210D13C"/>
    <w:rsid w:val="22156B1D"/>
    <w:rsid w:val="224FDE82"/>
    <w:rsid w:val="225C050C"/>
    <w:rsid w:val="2266E5D2"/>
    <w:rsid w:val="228089B8"/>
    <w:rsid w:val="228F1F0E"/>
    <w:rsid w:val="228F7E60"/>
    <w:rsid w:val="229DB6A5"/>
    <w:rsid w:val="22A8A91A"/>
    <w:rsid w:val="22BA8201"/>
    <w:rsid w:val="22DF8454"/>
    <w:rsid w:val="22EB3028"/>
    <w:rsid w:val="22F7DF60"/>
    <w:rsid w:val="22F91F43"/>
    <w:rsid w:val="22F9D598"/>
    <w:rsid w:val="230D1C51"/>
    <w:rsid w:val="231AF1E8"/>
    <w:rsid w:val="23251257"/>
    <w:rsid w:val="23437D2B"/>
    <w:rsid w:val="2344CE4E"/>
    <w:rsid w:val="2345E86F"/>
    <w:rsid w:val="234D1661"/>
    <w:rsid w:val="235552F8"/>
    <w:rsid w:val="235BF56B"/>
    <w:rsid w:val="235DCCE6"/>
    <w:rsid w:val="2366CDA3"/>
    <w:rsid w:val="2370BBE7"/>
    <w:rsid w:val="237DA06E"/>
    <w:rsid w:val="23812C0C"/>
    <w:rsid w:val="2386A870"/>
    <w:rsid w:val="238BF05A"/>
    <w:rsid w:val="2397A877"/>
    <w:rsid w:val="23AA0119"/>
    <w:rsid w:val="23B1131B"/>
    <w:rsid w:val="23BAC25A"/>
    <w:rsid w:val="23BBB25A"/>
    <w:rsid w:val="23D8A1BF"/>
    <w:rsid w:val="23E0601C"/>
    <w:rsid w:val="23E30FCF"/>
    <w:rsid w:val="23E3B4C5"/>
    <w:rsid w:val="23EA6A5A"/>
    <w:rsid w:val="23ED4C36"/>
    <w:rsid w:val="23FBDD70"/>
    <w:rsid w:val="23FC049E"/>
    <w:rsid w:val="2403E2C4"/>
    <w:rsid w:val="242C796F"/>
    <w:rsid w:val="243D3461"/>
    <w:rsid w:val="243EC6EB"/>
    <w:rsid w:val="244D2BBE"/>
    <w:rsid w:val="2459D701"/>
    <w:rsid w:val="246B0D74"/>
    <w:rsid w:val="2474C89B"/>
    <w:rsid w:val="24752052"/>
    <w:rsid w:val="2484B4D3"/>
    <w:rsid w:val="248A2E9E"/>
    <w:rsid w:val="24999376"/>
    <w:rsid w:val="249DC34C"/>
    <w:rsid w:val="24A73584"/>
    <w:rsid w:val="24CCEC0E"/>
    <w:rsid w:val="24D12058"/>
    <w:rsid w:val="24D6A5F5"/>
    <w:rsid w:val="24EC0367"/>
    <w:rsid w:val="2505A771"/>
    <w:rsid w:val="2509B3D3"/>
    <w:rsid w:val="25252F40"/>
    <w:rsid w:val="253063B8"/>
    <w:rsid w:val="25325020"/>
    <w:rsid w:val="253E3EC0"/>
    <w:rsid w:val="2547A934"/>
    <w:rsid w:val="256DD562"/>
    <w:rsid w:val="25899BD7"/>
    <w:rsid w:val="259BF34A"/>
    <w:rsid w:val="25A6EADA"/>
    <w:rsid w:val="25B91D3D"/>
    <w:rsid w:val="25B92B1D"/>
    <w:rsid w:val="25B9B47A"/>
    <w:rsid w:val="25CE4E1B"/>
    <w:rsid w:val="25D6D8DE"/>
    <w:rsid w:val="25DA2963"/>
    <w:rsid w:val="25DA7620"/>
    <w:rsid w:val="25EC8CF9"/>
    <w:rsid w:val="25EF69CA"/>
    <w:rsid w:val="25FDE496"/>
    <w:rsid w:val="26041998"/>
    <w:rsid w:val="260BD985"/>
    <w:rsid w:val="2613DDB2"/>
    <w:rsid w:val="262E9B1E"/>
    <w:rsid w:val="262FC225"/>
    <w:rsid w:val="2632D096"/>
    <w:rsid w:val="263AC5A5"/>
    <w:rsid w:val="263C3747"/>
    <w:rsid w:val="264C0A85"/>
    <w:rsid w:val="266E8153"/>
    <w:rsid w:val="266FED6A"/>
    <w:rsid w:val="26755202"/>
    <w:rsid w:val="26773A22"/>
    <w:rsid w:val="26788D48"/>
    <w:rsid w:val="2689F458"/>
    <w:rsid w:val="26950413"/>
    <w:rsid w:val="269F51D3"/>
    <w:rsid w:val="26B6CFDC"/>
    <w:rsid w:val="26B85421"/>
    <w:rsid w:val="26BD9E6F"/>
    <w:rsid w:val="26C7E504"/>
    <w:rsid w:val="26C8B99D"/>
    <w:rsid w:val="26CD9D82"/>
    <w:rsid w:val="26E5F03C"/>
    <w:rsid w:val="26F50992"/>
    <w:rsid w:val="26F8691E"/>
    <w:rsid w:val="26FD8F27"/>
    <w:rsid w:val="2714191A"/>
    <w:rsid w:val="2719AC92"/>
    <w:rsid w:val="2719E227"/>
    <w:rsid w:val="2742A5E6"/>
    <w:rsid w:val="2759B078"/>
    <w:rsid w:val="275C20BB"/>
    <w:rsid w:val="275C217A"/>
    <w:rsid w:val="276B6E8B"/>
    <w:rsid w:val="277A9FE0"/>
    <w:rsid w:val="2790D047"/>
    <w:rsid w:val="279AED9A"/>
    <w:rsid w:val="27A247F1"/>
    <w:rsid w:val="27A375C3"/>
    <w:rsid w:val="27ACB58B"/>
    <w:rsid w:val="27C3DF7D"/>
    <w:rsid w:val="27D7A6C8"/>
    <w:rsid w:val="2809C56F"/>
    <w:rsid w:val="280FCD67"/>
    <w:rsid w:val="2812F1F7"/>
    <w:rsid w:val="28140A8B"/>
    <w:rsid w:val="28156991"/>
    <w:rsid w:val="282F0D5A"/>
    <w:rsid w:val="2834BEC8"/>
    <w:rsid w:val="2835F747"/>
    <w:rsid w:val="2839C699"/>
    <w:rsid w:val="285C72FA"/>
    <w:rsid w:val="2861E096"/>
    <w:rsid w:val="28640D67"/>
    <w:rsid w:val="287A3B87"/>
    <w:rsid w:val="28822F99"/>
    <w:rsid w:val="28874EE9"/>
    <w:rsid w:val="288D04E0"/>
    <w:rsid w:val="28A6CF2B"/>
    <w:rsid w:val="28B04F68"/>
    <w:rsid w:val="28B15291"/>
    <w:rsid w:val="28BFCB87"/>
    <w:rsid w:val="28C3D15A"/>
    <w:rsid w:val="28D0AAB4"/>
    <w:rsid w:val="28EAD43C"/>
    <w:rsid w:val="28EDCC17"/>
    <w:rsid w:val="28FD3A67"/>
    <w:rsid w:val="28FDF900"/>
    <w:rsid w:val="290FE687"/>
    <w:rsid w:val="2915EEAD"/>
    <w:rsid w:val="293D7E5B"/>
    <w:rsid w:val="294EE4FB"/>
    <w:rsid w:val="29524DE1"/>
    <w:rsid w:val="29594EA8"/>
    <w:rsid w:val="296215AD"/>
    <w:rsid w:val="2980F144"/>
    <w:rsid w:val="29878C62"/>
    <w:rsid w:val="298D4233"/>
    <w:rsid w:val="2990A2B8"/>
    <w:rsid w:val="299D6B30"/>
    <w:rsid w:val="29A53D28"/>
    <w:rsid w:val="29A97581"/>
    <w:rsid w:val="29AFDD0C"/>
    <w:rsid w:val="29EC215A"/>
    <w:rsid w:val="2A029D3B"/>
    <w:rsid w:val="2A06220B"/>
    <w:rsid w:val="2A070F91"/>
    <w:rsid w:val="2A10A0A2"/>
    <w:rsid w:val="2A1B768C"/>
    <w:rsid w:val="2A2AF240"/>
    <w:rsid w:val="2A344DDB"/>
    <w:rsid w:val="2A36B019"/>
    <w:rsid w:val="2A582A66"/>
    <w:rsid w:val="2A598A5D"/>
    <w:rsid w:val="2A5AA95A"/>
    <w:rsid w:val="2A6D9294"/>
    <w:rsid w:val="2A75A507"/>
    <w:rsid w:val="2A7C4F34"/>
    <w:rsid w:val="2A853FEC"/>
    <w:rsid w:val="2A977D07"/>
    <w:rsid w:val="2A97F03B"/>
    <w:rsid w:val="2A9B5911"/>
    <w:rsid w:val="2A9F117F"/>
    <w:rsid w:val="2A9F25E3"/>
    <w:rsid w:val="2AACAA4B"/>
    <w:rsid w:val="2AB1B1D5"/>
    <w:rsid w:val="2AB6A97E"/>
    <w:rsid w:val="2AC8E225"/>
    <w:rsid w:val="2ACB5244"/>
    <w:rsid w:val="2AE0844B"/>
    <w:rsid w:val="2AE93881"/>
    <w:rsid w:val="2AECFC36"/>
    <w:rsid w:val="2AEDF050"/>
    <w:rsid w:val="2AEEEDB4"/>
    <w:rsid w:val="2B1CC6F3"/>
    <w:rsid w:val="2B1CCEC0"/>
    <w:rsid w:val="2B585A95"/>
    <w:rsid w:val="2B5A98D2"/>
    <w:rsid w:val="2B5FDADD"/>
    <w:rsid w:val="2B6EAD99"/>
    <w:rsid w:val="2B759EE9"/>
    <w:rsid w:val="2B8B72C1"/>
    <w:rsid w:val="2B9B0D67"/>
    <w:rsid w:val="2B9D4A8F"/>
    <w:rsid w:val="2B9DC4CE"/>
    <w:rsid w:val="2BA5C96E"/>
    <w:rsid w:val="2BA71A49"/>
    <w:rsid w:val="2BAB2094"/>
    <w:rsid w:val="2BC6E82B"/>
    <w:rsid w:val="2BDBC603"/>
    <w:rsid w:val="2BE26C08"/>
    <w:rsid w:val="2BF5C332"/>
    <w:rsid w:val="2BF68817"/>
    <w:rsid w:val="2BF98E85"/>
    <w:rsid w:val="2BFAA4BA"/>
    <w:rsid w:val="2C00B147"/>
    <w:rsid w:val="2C0CE933"/>
    <w:rsid w:val="2C19F95D"/>
    <w:rsid w:val="2C1B2F03"/>
    <w:rsid w:val="2C3EC6AE"/>
    <w:rsid w:val="2C44D926"/>
    <w:rsid w:val="2C4541DB"/>
    <w:rsid w:val="2C5AC3DA"/>
    <w:rsid w:val="2C6CE3EE"/>
    <w:rsid w:val="2C7430AB"/>
    <w:rsid w:val="2C8E4468"/>
    <w:rsid w:val="2C936D92"/>
    <w:rsid w:val="2C9FB7AF"/>
    <w:rsid w:val="2CA4811C"/>
    <w:rsid w:val="2CB74083"/>
    <w:rsid w:val="2CB98F58"/>
    <w:rsid w:val="2CDF6439"/>
    <w:rsid w:val="2D0678D0"/>
    <w:rsid w:val="2D2A673B"/>
    <w:rsid w:val="2D3866B4"/>
    <w:rsid w:val="2D4AAE1A"/>
    <w:rsid w:val="2D61C2E9"/>
    <w:rsid w:val="2D63F0C8"/>
    <w:rsid w:val="2D722442"/>
    <w:rsid w:val="2D726F9E"/>
    <w:rsid w:val="2D7C66C4"/>
    <w:rsid w:val="2D860871"/>
    <w:rsid w:val="2D9ACAB2"/>
    <w:rsid w:val="2DA93DD7"/>
    <w:rsid w:val="2DB4C3C4"/>
    <w:rsid w:val="2DB9BEE2"/>
    <w:rsid w:val="2DE7A2FA"/>
    <w:rsid w:val="2DEB71FC"/>
    <w:rsid w:val="2DFEF431"/>
    <w:rsid w:val="2DFF1B93"/>
    <w:rsid w:val="2DFFD8B5"/>
    <w:rsid w:val="2E10EEC7"/>
    <w:rsid w:val="2E143EF2"/>
    <w:rsid w:val="2E19530D"/>
    <w:rsid w:val="2E3C5C54"/>
    <w:rsid w:val="2E4160D8"/>
    <w:rsid w:val="2E41B79B"/>
    <w:rsid w:val="2E66D494"/>
    <w:rsid w:val="2E6BDA5B"/>
    <w:rsid w:val="2E6D0544"/>
    <w:rsid w:val="2E8514CD"/>
    <w:rsid w:val="2E963C1D"/>
    <w:rsid w:val="2E9E70F0"/>
    <w:rsid w:val="2EA237AB"/>
    <w:rsid w:val="2EAE1784"/>
    <w:rsid w:val="2EBC7B6B"/>
    <w:rsid w:val="2EC29074"/>
    <w:rsid w:val="2EF02C7E"/>
    <w:rsid w:val="2EF7A7C9"/>
    <w:rsid w:val="2F03EFB3"/>
    <w:rsid w:val="2F3C995D"/>
    <w:rsid w:val="2F3D7D9F"/>
    <w:rsid w:val="2F605FA7"/>
    <w:rsid w:val="2F6D2503"/>
    <w:rsid w:val="2F7B7AA3"/>
    <w:rsid w:val="2F7B87A9"/>
    <w:rsid w:val="2F81DB48"/>
    <w:rsid w:val="2F83BBE0"/>
    <w:rsid w:val="2F85215C"/>
    <w:rsid w:val="2F862DEA"/>
    <w:rsid w:val="2F9894F2"/>
    <w:rsid w:val="2FB633B4"/>
    <w:rsid w:val="2FB861A4"/>
    <w:rsid w:val="2FCB0796"/>
    <w:rsid w:val="2FD4D58F"/>
    <w:rsid w:val="2FDA4B14"/>
    <w:rsid w:val="2FDEC543"/>
    <w:rsid w:val="2FDF283D"/>
    <w:rsid w:val="2FDF2D48"/>
    <w:rsid w:val="2FF6ABD5"/>
    <w:rsid w:val="300B4391"/>
    <w:rsid w:val="3011A77B"/>
    <w:rsid w:val="3023532E"/>
    <w:rsid w:val="3023B85E"/>
    <w:rsid w:val="3025E7AF"/>
    <w:rsid w:val="303E42D7"/>
    <w:rsid w:val="304631DC"/>
    <w:rsid w:val="304AF210"/>
    <w:rsid w:val="304C883E"/>
    <w:rsid w:val="3057CF83"/>
    <w:rsid w:val="30749D56"/>
    <w:rsid w:val="3077BC5B"/>
    <w:rsid w:val="3081D2D7"/>
    <w:rsid w:val="308294EE"/>
    <w:rsid w:val="308D36E5"/>
    <w:rsid w:val="30A6ED7A"/>
    <w:rsid w:val="30B2BD06"/>
    <w:rsid w:val="30BA5D4A"/>
    <w:rsid w:val="30BD6B20"/>
    <w:rsid w:val="30C8BD84"/>
    <w:rsid w:val="30DC3749"/>
    <w:rsid w:val="30F54147"/>
    <w:rsid w:val="30F7F123"/>
    <w:rsid w:val="30F941D8"/>
    <w:rsid w:val="30FF714A"/>
    <w:rsid w:val="312A59BB"/>
    <w:rsid w:val="31465A26"/>
    <w:rsid w:val="315188B0"/>
    <w:rsid w:val="316119DA"/>
    <w:rsid w:val="3187AA9A"/>
    <w:rsid w:val="3193E5EE"/>
    <w:rsid w:val="31B9EF8A"/>
    <w:rsid w:val="31BA482F"/>
    <w:rsid w:val="31DD6936"/>
    <w:rsid w:val="31E21333"/>
    <w:rsid w:val="31E52E93"/>
    <w:rsid w:val="31F1DD27"/>
    <w:rsid w:val="31F959B6"/>
    <w:rsid w:val="320798D7"/>
    <w:rsid w:val="3216B734"/>
    <w:rsid w:val="322B98CC"/>
    <w:rsid w:val="3239F9B5"/>
    <w:rsid w:val="3264F944"/>
    <w:rsid w:val="326F5599"/>
    <w:rsid w:val="3270A1CE"/>
    <w:rsid w:val="32757D3E"/>
    <w:rsid w:val="329A7B8D"/>
    <w:rsid w:val="32B5A7E3"/>
    <w:rsid w:val="32BD86CD"/>
    <w:rsid w:val="32CE4812"/>
    <w:rsid w:val="32FFF316"/>
    <w:rsid w:val="331964D2"/>
    <w:rsid w:val="3322CAE5"/>
    <w:rsid w:val="332FD615"/>
    <w:rsid w:val="3332F44D"/>
    <w:rsid w:val="333BF205"/>
    <w:rsid w:val="3340C665"/>
    <w:rsid w:val="33433E27"/>
    <w:rsid w:val="334C891A"/>
    <w:rsid w:val="334E8E05"/>
    <w:rsid w:val="335A63EA"/>
    <w:rsid w:val="33627026"/>
    <w:rsid w:val="3378F792"/>
    <w:rsid w:val="33806637"/>
    <w:rsid w:val="338C2573"/>
    <w:rsid w:val="3394204B"/>
    <w:rsid w:val="339657AA"/>
    <w:rsid w:val="33A34686"/>
    <w:rsid w:val="33AA75DB"/>
    <w:rsid w:val="33AC4E22"/>
    <w:rsid w:val="33B50540"/>
    <w:rsid w:val="33B580DA"/>
    <w:rsid w:val="33C8150D"/>
    <w:rsid w:val="33D78D8C"/>
    <w:rsid w:val="341D4945"/>
    <w:rsid w:val="342B93E4"/>
    <w:rsid w:val="342E73B3"/>
    <w:rsid w:val="3437134B"/>
    <w:rsid w:val="343B3898"/>
    <w:rsid w:val="343BCE83"/>
    <w:rsid w:val="344ADD01"/>
    <w:rsid w:val="344EE6C8"/>
    <w:rsid w:val="3455967C"/>
    <w:rsid w:val="3457F6EB"/>
    <w:rsid w:val="345F33B1"/>
    <w:rsid w:val="3469D87B"/>
    <w:rsid w:val="3472B8FB"/>
    <w:rsid w:val="3474D2D5"/>
    <w:rsid w:val="347FC125"/>
    <w:rsid w:val="3482EDC1"/>
    <w:rsid w:val="34834CBC"/>
    <w:rsid w:val="34837B06"/>
    <w:rsid w:val="348CF676"/>
    <w:rsid w:val="348EA509"/>
    <w:rsid w:val="34937D0D"/>
    <w:rsid w:val="34A21DA5"/>
    <w:rsid w:val="34E31617"/>
    <w:rsid w:val="34F75C1D"/>
    <w:rsid w:val="34FB97C1"/>
    <w:rsid w:val="3505A521"/>
    <w:rsid w:val="35107EC8"/>
    <w:rsid w:val="35159F58"/>
    <w:rsid w:val="355E25BA"/>
    <w:rsid w:val="356C4FB9"/>
    <w:rsid w:val="359458A4"/>
    <w:rsid w:val="35969BAE"/>
    <w:rsid w:val="359B54D9"/>
    <w:rsid w:val="35A0AEE8"/>
    <w:rsid w:val="35A0F18B"/>
    <w:rsid w:val="35A3364F"/>
    <w:rsid w:val="35A9B4A7"/>
    <w:rsid w:val="35B13E6E"/>
    <w:rsid w:val="35B9EBA3"/>
    <w:rsid w:val="35C38E3D"/>
    <w:rsid w:val="35CC5580"/>
    <w:rsid w:val="35CDE067"/>
    <w:rsid w:val="35D6886E"/>
    <w:rsid w:val="35D82876"/>
    <w:rsid w:val="35E3F581"/>
    <w:rsid w:val="35FD9386"/>
    <w:rsid w:val="361F0F51"/>
    <w:rsid w:val="3621528B"/>
    <w:rsid w:val="36283C4F"/>
    <w:rsid w:val="362C76BC"/>
    <w:rsid w:val="36351DD5"/>
    <w:rsid w:val="363538C7"/>
    <w:rsid w:val="3659D63B"/>
    <w:rsid w:val="365F3C9B"/>
    <w:rsid w:val="3661AAC6"/>
    <w:rsid w:val="366D70ED"/>
    <w:rsid w:val="36739A89"/>
    <w:rsid w:val="367826B0"/>
    <w:rsid w:val="367C3791"/>
    <w:rsid w:val="3684E3C8"/>
    <w:rsid w:val="36909067"/>
    <w:rsid w:val="3693069D"/>
    <w:rsid w:val="3695A660"/>
    <w:rsid w:val="36A14134"/>
    <w:rsid w:val="36CCC794"/>
    <w:rsid w:val="36CF7AD9"/>
    <w:rsid w:val="36EDEB83"/>
    <w:rsid w:val="371A24D4"/>
    <w:rsid w:val="37330470"/>
    <w:rsid w:val="3736ED1F"/>
    <w:rsid w:val="37484883"/>
    <w:rsid w:val="374D7457"/>
    <w:rsid w:val="3760D7F6"/>
    <w:rsid w:val="377D7F65"/>
    <w:rsid w:val="37B1A097"/>
    <w:rsid w:val="37B34006"/>
    <w:rsid w:val="37B3B278"/>
    <w:rsid w:val="37B713BD"/>
    <w:rsid w:val="37C33E07"/>
    <w:rsid w:val="37E5403A"/>
    <w:rsid w:val="37E83F95"/>
    <w:rsid w:val="37ED0E77"/>
    <w:rsid w:val="37F659E6"/>
    <w:rsid w:val="37FBCCC1"/>
    <w:rsid w:val="37FF4688"/>
    <w:rsid w:val="381F36B5"/>
    <w:rsid w:val="38363A83"/>
    <w:rsid w:val="383EC16D"/>
    <w:rsid w:val="38489A4A"/>
    <w:rsid w:val="3849F181"/>
    <w:rsid w:val="38501A53"/>
    <w:rsid w:val="385F464D"/>
    <w:rsid w:val="3870E369"/>
    <w:rsid w:val="3872F0EC"/>
    <w:rsid w:val="387D475B"/>
    <w:rsid w:val="387E52C9"/>
    <w:rsid w:val="388C2B08"/>
    <w:rsid w:val="388E2EFF"/>
    <w:rsid w:val="38A0D255"/>
    <w:rsid w:val="38A83901"/>
    <w:rsid w:val="38B7995B"/>
    <w:rsid w:val="38C1106C"/>
    <w:rsid w:val="38C419E8"/>
    <w:rsid w:val="38CA9E1B"/>
    <w:rsid w:val="38CD2B83"/>
    <w:rsid w:val="38D6CF49"/>
    <w:rsid w:val="38DFF4C1"/>
    <w:rsid w:val="38E974AD"/>
    <w:rsid w:val="38EB8CDF"/>
    <w:rsid w:val="38EFA794"/>
    <w:rsid w:val="39072BA1"/>
    <w:rsid w:val="390AC747"/>
    <w:rsid w:val="390B711F"/>
    <w:rsid w:val="391E2796"/>
    <w:rsid w:val="3943BD75"/>
    <w:rsid w:val="3944364D"/>
    <w:rsid w:val="394DA13E"/>
    <w:rsid w:val="396A6D11"/>
    <w:rsid w:val="396D9376"/>
    <w:rsid w:val="39862BFE"/>
    <w:rsid w:val="39932787"/>
    <w:rsid w:val="3994287C"/>
    <w:rsid w:val="399AF747"/>
    <w:rsid w:val="39B8FD4D"/>
    <w:rsid w:val="39B929C1"/>
    <w:rsid w:val="39BF90A1"/>
    <w:rsid w:val="39D8E60B"/>
    <w:rsid w:val="39D921D3"/>
    <w:rsid w:val="39F0F30D"/>
    <w:rsid w:val="39F90FE1"/>
    <w:rsid w:val="39FB0D36"/>
    <w:rsid w:val="39FBD1E1"/>
    <w:rsid w:val="39FF36FC"/>
    <w:rsid w:val="3A009F32"/>
    <w:rsid w:val="3A09ACDD"/>
    <w:rsid w:val="3A0F81B2"/>
    <w:rsid w:val="3A10453E"/>
    <w:rsid w:val="3A11811B"/>
    <w:rsid w:val="3A13015B"/>
    <w:rsid w:val="3A1925A1"/>
    <w:rsid w:val="3A1F80A6"/>
    <w:rsid w:val="3A338FC4"/>
    <w:rsid w:val="3A3990DB"/>
    <w:rsid w:val="3A405C87"/>
    <w:rsid w:val="3A4BA52B"/>
    <w:rsid w:val="3A5F725E"/>
    <w:rsid w:val="3A649B8A"/>
    <w:rsid w:val="3A6E08C6"/>
    <w:rsid w:val="3A74EE57"/>
    <w:rsid w:val="3A85A7F1"/>
    <w:rsid w:val="3AA1D2E2"/>
    <w:rsid w:val="3AB99183"/>
    <w:rsid w:val="3ABA1CA8"/>
    <w:rsid w:val="3ABC6BA1"/>
    <w:rsid w:val="3AC03B62"/>
    <w:rsid w:val="3ACE58E2"/>
    <w:rsid w:val="3AD10A14"/>
    <w:rsid w:val="3AD8B15C"/>
    <w:rsid w:val="3AE0905A"/>
    <w:rsid w:val="3AEACFF7"/>
    <w:rsid w:val="3AEB577E"/>
    <w:rsid w:val="3AFC94EB"/>
    <w:rsid w:val="3B0D709E"/>
    <w:rsid w:val="3B147411"/>
    <w:rsid w:val="3B2D1FAB"/>
    <w:rsid w:val="3B4F866E"/>
    <w:rsid w:val="3B530A87"/>
    <w:rsid w:val="3B75661B"/>
    <w:rsid w:val="3B814ED4"/>
    <w:rsid w:val="3B835045"/>
    <w:rsid w:val="3B85C9F0"/>
    <w:rsid w:val="3B8CA870"/>
    <w:rsid w:val="3B96E6C6"/>
    <w:rsid w:val="3B9D746D"/>
    <w:rsid w:val="3BA03DDD"/>
    <w:rsid w:val="3BA969CB"/>
    <w:rsid w:val="3BBA5C11"/>
    <w:rsid w:val="3BDE3FDA"/>
    <w:rsid w:val="3C09F530"/>
    <w:rsid w:val="3C190D25"/>
    <w:rsid w:val="3C205355"/>
    <w:rsid w:val="3C221C28"/>
    <w:rsid w:val="3C2336F9"/>
    <w:rsid w:val="3C2EEC58"/>
    <w:rsid w:val="3C30E1DB"/>
    <w:rsid w:val="3C33895F"/>
    <w:rsid w:val="3C55171D"/>
    <w:rsid w:val="3C61ECF7"/>
    <w:rsid w:val="3C68F7F6"/>
    <w:rsid w:val="3C7697BC"/>
    <w:rsid w:val="3C861BEF"/>
    <w:rsid w:val="3C8A3FFB"/>
    <w:rsid w:val="3C8BE6E0"/>
    <w:rsid w:val="3C8FEB90"/>
    <w:rsid w:val="3C9378B3"/>
    <w:rsid w:val="3C9AD880"/>
    <w:rsid w:val="3CBC5379"/>
    <w:rsid w:val="3CBFF22F"/>
    <w:rsid w:val="3CD92D1A"/>
    <w:rsid w:val="3CDDBAB0"/>
    <w:rsid w:val="3CE1E8BA"/>
    <w:rsid w:val="3CEDDC77"/>
    <w:rsid w:val="3CF0A688"/>
    <w:rsid w:val="3CF79D7D"/>
    <w:rsid w:val="3D17F7FA"/>
    <w:rsid w:val="3D1BAE19"/>
    <w:rsid w:val="3D27A30B"/>
    <w:rsid w:val="3D2C168C"/>
    <w:rsid w:val="3D32A572"/>
    <w:rsid w:val="3D3A949A"/>
    <w:rsid w:val="3D463F6C"/>
    <w:rsid w:val="3D5198F0"/>
    <w:rsid w:val="3D6902FC"/>
    <w:rsid w:val="3D84E3C9"/>
    <w:rsid w:val="3D8C6F6A"/>
    <w:rsid w:val="3DC0433B"/>
    <w:rsid w:val="3DC0600A"/>
    <w:rsid w:val="3DC3872F"/>
    <w:rsid w:val="3DC8F3B2"/>
    <w:rsid w:val="3DCDD98E"/>
    <w:rsid w:val="3DD3828F"/>
    <w:rsid w:val="3DDAAC9D"/>
    <w:rsid w:val="3DDFA4CC"/>
    <w:rsid w:val="3DE121F7"/>
    <w:rsid w:val="3DF00C1C"/>
    <w:rsid w:val="3DF1CC36"/>
    <w:rsid w:val="3DF6FBA6"/>
    <w:rsid w:val="3DFA14F6"/>
    <w:rsid w:val="3E02586D"/>
    <w:rsid w:val="3E04670F"/>
    <w:rsid w:val="3E09ED0E"/>
    <w:rsid w:val="3E0A4D66"/>
    <w:rsid w:val="3E1B7D15"/>
    <w:rsid w:val="3E205FFB"/>
    <w:rsid w:val="3E27C20C"/>
    <w:rsid w:val="3E332269"/>
    <w:rsid w:val="3E39403F"/>
    <w:rsid w:val="3E645226"/>
    <w:rsid w:val="3E9E90EC"/>
    <w:rsid w:val="3EA60CE8"/>
    <w:rsid w:val="3ECE986D"/>
    <w:rsid w:val="3ED74207"/>
    <w:rsid w:val="3EDF0DD3"/>
    <w:rsid w:val="3EDF159B"/>
    <w:rsid w:val="3EEB7A98"/>
    <w:rsid w:val="3EF31160"/>
    <w:rsid w:val="3F05AB46"/>
    <w:rsid w:val="3F0CFD88"/>
    <w:rsid w:val="3F1C5B70"/>
    <w:rsid w:val="3F1CE641"/>
    <w:rsid w:val="3F38BE8F"/>
    <w:rsid w:val="3F4A286F"/>
    <w:rsid w:val="3F55451D"/>
    <w:rsid w:val="3F59C2F4"/>
    <w:rsid w:val="3F732F7D"/>
    <w:rsid w:val="3F75FBDE"/>
    <w:rsid w:val="3F7F1626"/>
    <w:rsid w:val="3F8507C7"/>
    <w:rsid w:val="3F8B9974"/>
    <w:rsid w:val="3F9AF803"/>
    <w:rsid w:val="3FA1DEF3"/>
    <w:rsid w:val="3FA210E4"/>
    <w:rsid w:val="3FAF1463"/>
    <w:rsid w:val="3FCE9287"/>
    <w:rsid w:val="3FD9CC43"/>
    <w:rsid w:val="3FEB1105"/>
    <w:rsid w:val="3FF4A9BA"/>
    <w:rsid w:val="3FF817F1"/>
    <w:rsid w:val="3FF8D0C4"/>
    <w:rsid w:val="400E2606"/>
    <w:rsid w:val="405DFE9E"/>
    <w:rsid w:val="4062272E"/>
    <w:rsid w:val="407C25DB"/>
    <w:rsid w:val="407DB957"/>
    <w:rsid w:val="408E42F4"/>
    <w:rsid w:val="4098D29E"/>
    <w:rsid w:val="40A8E243"/>
    <w:rsid w:val="40C2F2CF"/>
    <w:rsid w:val="40C6B330"/>
    <w:rsid w:val="40D3AA1C"/>
    <w:rsid w:val="40F6223B"/>
    <w:rsid w:val="411FACB1"/>
    <w:rsid w:val="4125B768"/>
    <w:rsid w:val="4127602E"/>
    <w:rsid w:val="41358062"/>
    <w:rsid w:val="4152CC73"/>
    <w:rsid w:val="4164269C"/>
    <w:rsid w:val="4166657D"/>
    <w:rsid w:val="41716CBA"/>
    <w:rsid w:val="4171FC68"/>
    <w:rsid w:val="417F8A94"/>
    <w:rsid w:val="418A514B"/>
    <w:rsid w:val="4198F7C6"/>
    <w:rsid w:val="419A5D03"/>
    <w:rsid w:val="41AE98DB"/>
    <w:rsid w:val="41AF1394"/>
    <w:rsid w:val="41BE7051"/>
    <w:rsid w:val="41CAAF7B"/>
    <w:rsid w:val="41D256BB"/>
    <w:rsid w:val="41D651BB"/>
    <w:rsid w:val="41D865EF"/>
    <w:rsid w:val="41E1EDA9"/>
    <w:rsid w:val="41F07025"/>
    <w:rsid w:val="42008903"/>
    <w:rsid w:val="420E3856"/>
    <w:rsid w:val="420FEFFE"/>
    <w:rsid w:val="421028A2"/>
    <w:rsid w:val="4211E00E"/>
    <w:rsid w:val="4214E619"/>
    <w:rsid w:val="42280059"/>
    <w:rsid w:val="422CDEF3"/>
    <w:rsid w:val="4230B30A"/>
    <w:rsid w:val="4240361F"/>
    <w:rsid w:val="424126DB"/>
    <w:rsid w:val="42450355"/>
    <w:rsid w:val="4247240B"/>
    <w:rsid w:val="425DDA09"/>
    <w:rsid w:val="42640A36"/>
    <w:rsid w:val="4265419F"/>
    <w:rsid w:val="42705AD9"/>
    <w:rsid w:val="4271D130"/>
    <w:rsid w:val="427398A2"/>
    <w:rsid w:val="4277BF71"/>
    <w:rsid w:val="4281991B"/>
    <w:rsid w:val="428EF38A"/>
    <w:rsid w:val="4292FC02"/>
    <w:rsid w:val="429CD342"/>
    <w:rsid w:val="42A51A38"/>
    <w:rsid w:val="42A65EB3"/>
    <w:rsid w:val="42B715A2"/>
    <w:rsid w:val="42C2CDF8"/>
    <w:rsid w:val="42CC7F2F"/>
    <w:rsid w:val="42D0D359"/>
    <w:rsid w:val="42D21169"/>
    <w:rsid w:val="42D39A6F"/>
    <w:rsid w:val="42DF27B7"/>
    <w:rsid w:val="42EE915A"/>
    <w:rsid w:val="4318BE38"/>
    <w:rsid w:val="431B97B5"/>
    <w:rsid w:val="43206C40"/>
    <w:rsid w:val="4334A9FA"/>
    <w:rsid w:val="433D902D"/>
    <w:rsid w:val="43401A92"/>
    <w:rsid w:val="4341B730"/>
    <w:rsid w:val="43433644"/>
    <w:rsid w:val="434A01A4"/>
    <w:rsid w:val="43572D1F"/>
    <w:rsid w:val="43630072"/>
    <w:rsid w:val="4365DEF9"/>
    <w:rsid w:val="43683007"/>
    <w:rsid w:val="43806DC5"/>
    <w:rsid w:val="4389054D"/>
    <w:rsid w:val="43951D7E"/>
    <w:rsid w:val="43996A57"/>
    <w:rsid w:val="439F6B67"/>
    <w:rsid w:val="43BB85E3"/>
    <w:rsid w:val="43C194FB"/>
    <w:rsid w:val="43C52E09"/>
    <w:rsid w:val="43D4D3F0"/>
    <w:rsid w:val="43DB17CE"/>
    <w:rsid w:val="43DE47EA"/>
    <w:rsid w:val="43F463F1"/>
    <w:rsid w:val="43F56DDE"/>
    <w:rsid w:val="43FA4E7C"/>
    <w:rsid w:val="43FAFD41"/>
    <w:rsid w:val="4410DD1F"/>
    <w:rsid w:val="4417B5AB"/>
    <w:rsid w:val="441941C8"/>
    <w:rsid w:val="441B8F62"/>
    <w:rsid w:val="441CD081"/>
    <w:rsid w:val="44239178"/>
    <w:rsid w:val="44370801"/>
    <w:rsid w:val="4471954B"/>
    <w:rsid w:val="44777D99"/>
    <w:rsid w:val="4485B5A9"/>
    <w:rsid w:val="44872B12"/>
    <w:rsid w:val="4487B331"/>
    <w:rsid w:val="448BBF87"/>
    <w:rsid w:val="44B961D5"/>
    <w:rsid w:val="44C3CB63"/>
    <w:rsid w:val="44C77F5A"/>
    <w:rsid w:val="44E39B76"/>
    <w:rsid w:val="452388C7"/>
    <w:rsid w:val="452D1744"/>
    <w:rsid w:val="4536D34A"/>
    <w:rsid w:val="4546526B"/>
    <w:rsid w:val="4553BED6"/>
    <w:rsid w:val="455B2DE7"/>
    <w:rsid w:val="455D9D65"/>
    <w:rsid w:val="4561FACA"/>
    <w:rsid w:val="456C5828"/>
    <w:rsid w:val="456E2E6F"/>
    <w:rsid w:val="4582A5F1"/>
    <w:rsid w:val="459050F7"/>
    <w:rsid w:val="4594CB5E"/>
    <w:rsid w:val="459636AD"/>
    <w:rsid w:val="45A1B41C"/>
    <w:rsid w:val="45A300D5"/>
    <w:rsid w:val="45A8D9B9"/>
    <w:rsid w:val="45B98D32"/>
    <w:rsid w:val="45BB0868"/>
    <w:rsid w:val="45E8677A"/>
    <w:rsid w:val="45ED16C4"/>
    <w:rsid w:val="45FAB6E0"/>
    <w:rsid w:val="46009806"/>
    <w:rsid w:val="46124A5C"/>
    <w:rsid w:val="461DCC41"/>
    <w:rsid w:val="462B9D86"/>
    <w:rsid w:val="4630084D"/>
    <w:rsid w:val="4634044F"/>
    <w:rsid w:val="464239B2"/>
    <w:rsid w:val="464732AD"/>
    <w:rsid w:val="46620538"/>
    <w:rsid w:val="46626A7A"/>
    <w:rsid w:val="466C09AF"/>
    <w:rsid w:val="46753347"/>
    <w:rsid w:val="467E7848"/>
    <w:rsid w:val="4685AD8F"/>
    <w:rsid w:val="468CE7F9"/>
    <w:rsid w:val="468F7016"/>
    <w:rsid w:val="46929FC0"/>
    <w:rsid w:val="46A6EE79"/>
    <w:rsid w:val="46A7C264"/>
    <w:rsid w:val="46AB4759"/>
    <w:rsid w:val="46C4513C"/>
    <w:rsid w:val="46C82E79"/>
    <w:rsid w:val="46D55CAA"/>
    <w:rsid w:val="46F1BE7F"/>
    <w:rsid w:val="47037ACE"/>
    <w:rsid w:val="470D7845"/>
    <w:rsid w:val="470E18DF"/>
    <w:rsid w:val="4757DCBF"/>
    <w:rsid w:val="476B1B95"/>
    <w:rsid w:val="478044D7"/>
    <w:rsid w:val="47899774"/>
    <w:rsid w:val="4789C0D5"/>
    <w:rsid w:val="478F0A9E"/>
    <w:rsid w:val="478F3C1B"/>
    <w:rsid w:val="479233FD"/>
    <w:rsid w:val="4797B5A4"/>
    <w:rsid w:val="47B12BAA"/>
    <w:rsid w:val="47B8216A"/>
    <w:rsid w:val="47BDFE4D"/>
    <w:rsid w:val="47BEA319"/>
    <w:rsid w:val="47BEAA9B"/>
    <w:rsid w:val="47C1D572"/>
    <w:rsid w:val="47C66885"/>
    <w:rsid w:val="47C807A0"/>
    <w:rsid w:val="47C90BA3"/>
    <w:rsid w:val="47D27E95"/>
    <w:rsid w:val="47D43D99"/>
    <w:rsid w:val="47D9FD27"/>
    <w:rsid w:val="47DA625C"/>
    <w:rsid w:val="47DB814D"/>
    <w:rsid w:val="47E01AD1"/>
    <w:rsid w:val="47EBDA88"/>
    <w:rsid w:val="47FB123E"/>
    <w:rsid w:val="47FDB831"/>
    <w:rsid w:val="481CB58A"/>
    <w:rsid w:val="48285D7E"/>
    <w:rsid w:val="482A5E2A"/>
    <w:rsid w:val="483F165E"/>
    <w:rsid w:val="483FE63F"/>
    <w:rsid w:val="48425A27"/>
    <w:rsid w:val="48531A96"/>
    <w:rsid w:val="4864EADF"/>
    <w:rsid w:val="4866E516"/>
    <w:rsid w:val="48692556"/>
    <w:rsid w:val="486CA449"/>
    <w:rsid w:val="48775497"/>
    <w:rsid w:val="487EF9B2"/>
    <w:rsid w:val="4894CF9F"/>
    <w:rsid w:val="48993493"/>
    <w:rsid w:val="48A1F2CE"/>
    <w:rsid w:val="48C0C2C0"/>
    <w:rsid w:val="48CCA720"/>
    <w:rsid w:val="48F2995B"/>
    <w:rsid w:val="48F6305C"/>
    <w:rsid w:val="48FFDC9C"/>
    <w:rsid w:val="490AEB5C"/>
    <w:rsid w:val="494093EB"/>
    <w:rsid w:val="4945995B"/>
    <w:rsid w:val="4945DE1E"/>
    <w:rsid w:val="49467CDA"/>
    <w:rsid w:val="494FFC7D"/>
    <w:rsid w:val="49622C41"/>
    <w:rsid w:val="497C5BD7"/>
    <w:rsid w:val="49819CEA"/>
    <w:rsid w:val="4998ACEA"/>
    <w:rsid w:val="49A52D3C"/>
    <w:rsid w:val="49A9887E"/>
    <w:rsid w:val="49B75CA2"/>
    <w:rsid w:val="49C4016B"/>
    <w:rsid w:val="49D43BA7"/>
    <w:rsid w:val="49D9DB73"/>
    <w:rsid w:val="4A032AD2"/>
    <w:rsid w:val="4A07A413"/>
    <w:rsid w:val="4A0B0EC7"/>
    <w:rsid w:val="4A13B7B5"/>
    <w:rsid w:val="4A156574"/>
    <w:rsid w:val="4A223B22"/>
    <w:rsid w:val="4A260439"/>
    <w:rsid w:val="4A2BAAE1"/>
    <w:rsid w:val="4A31FE2F"/>
    <w:rsid w:val="4A5EE9D4"/>
    <w:rsid w:val="4A9BFDD2"/>
    <w:rsid w:val="4AC0EA47"/>
    <w:rsid w:val="4ACF59B5"/>
    <w:rsid w:val="4ADC895A"/>
    <w:rsid w:val="4AFDD0BF"/>
    <w:rsid w:val="4B143EC9"/>
    <w:rsid w:val="4B187D52"/>
    <w:rsid w:val="4B2038DD"/>
    <w:rsid w:val="4B241E1B"/>
    <w:rsid w:val="4B26C88A"/>
    <w:rsid w:val="4B37B639"/>
    <w:rsid w:val="4B413ED8"/>
    <w:rsid w:val="4B55A42B"/>
    <w:rsid w:val="4B5ED671"/>
    <w:rsid w:val="4B674996"/>
    <w:rsid w:val="4B7852F2"/>
    <w:rsid w:val="4B82155A"/>
    <w:rsid w:val="4B97B50B"/>
    <w:rsid w:val="4BA5024B"/>
    <w:rsid w:val="4BB77740"/>
    <w:rsid w:val="4BB8891B"/>
    <w:rsid w:val="4BC27B08"/>
    <w:rsid w:val="4BC65877"/>
    <w:rsid w:val="4BE038F4"/>
    <w:rsid w:val="4BE72686"/>
    <w:rsid w:val="4BFDDE25"/>
    <w:rsid w:val="4BFFA746"/>
    <w:rsid w:val="4C026CCF"/>
    <w:rsid w:val="4C0437AB"/>
    <w:rsid w:val="4C0E552B"/>
    <w:rsid w:val="4C0E640A"/>
    <w:rsid w:val="4C131C34"/>
    <w:rsid w:val="4C2B3F2E"/>
    <w:rsid w:val="4C2CBBF6"/>
    <w:rsid w:val="4C2F3CAE"/>
    <w:rsid w:val="4C3CAE8D"/>
    <w:rsid w:val="4C3D7920"/>
    <w:rsid w:val="4C4E2396"/>
    <w:rsid w:val="4C4EA5E6"/>
    <w:rsid w:val="4C4EAD7E"/>
    <w:rsid w:val="4C6EC414"/>
    <w:rsid w:val="4C756C97"/>
    <w:rsid w:val="4C79FC06"/>
    <w:rsid w:val="4C7B473E"/>
    <w:rsid w:val="4C8B05D4"/>
    <w:rsid w:val="4CA600EE"/>
    <w:rsid w:val="4CBF081F"/>
    <w:rsid w:val="4CD228CE"/>
    <w:rsid w:val="4CEC3125"/>
    <w:rsid w:val="4CF1B528"/>
    <w:rsid w:val="4CF73824"/>
    <w:rsid w:val="4D136AE4"/>
    <w:rsid w:val="4D18EB82"/>
    <w:rsid w:val="4D2A6E01"/>
    <w:rsid w:val="4D42E03F"/>
    <w:rsid w:val="4D55419F"/>
    <w:rsid w:val="4D576933"/>
    <w:rsid w:val="4D68F47D"/>
    <w:rsid w:val="4D74C7E6"/>
    <w:rsid w:val="4D859FD4"/>
    <w:rsid w:val="4D8C0D1F"/>
    <w:rsid w:val="4D8EC70E"/>
    <w:rsid w:val="4DB4A2B3"/>
    <w:rsid w:val="4DB69A2D"/>
    <w:rsid w:val="4DD83004"/>
    <w:rsid w:val="4DE84A12"/>
    <w:rsid w:val="4DF0F30E"/>
    <w:rsid w:val="4DF95F89"/>
    <w:rsid w:val="4E2B3802"/>
    <w:rsid w:val="4E36A318"/>
    <w:rsid w:val="4E4DE211"/>
    <w:rsid w:val="4E537809"/>
    <w:rsid w:val="4E643AED"/>
    <w:rsid w:val="4E7233B7"/>
    <w:rsid w:val="4E991889"/>
    <w:rsid w:val="4EA0C000"/>
    <w:rsid w:val="4EA9C523"/>
    <w:rsid w:val="4EACE9CD"/>
    <w:rsid w:val="4EAD8224"/>
    <w:rsid w:val="4EB64162"/>
    <w:rsid w:val="4EBE6698"/>
    <w:rsid w:val="4EC390B2"/>
    <w:rsid w:val="4ED81577"/>
    <w:rsid w:val="4EDEDE5D"/>
    <w:rsid w:val="4EF04734"/>
    <w:rsid w:val="4EF24D0A"/>
    <w:rsid w:val="4F01DA6E"/>
    <w:rsid w:val="4F0FF383"/>
    <w:rsid w:val="4F13CD45"/>
    <w:rsid w:val="4F1DAB32"/>
    <w:rsid w:val="4F274BEE"/>
    <w:rsid w:val="4F2BB3C8"/>
    <w:rsid w:val="4F3B1903"/>
    <w:rsid w:val="4F616FCE"/>
    <w:rsid w:val="4F674D20"/>
    <w:rsid w:val="4F801BE0"/>
    <w:rsid w:val="4F83F72C"/>
    <w:rsid w:val="4F871D21"/>
    <w:rsid w:val="4F954BFE"/>
    <w:rsid w:val="4F986D5B"/>
    <w:rsid w:val="4F9D662B"/>
    <w:rsid w:val="4FA49F46"/>
    <w:rsid w:val="4FB4DABB"/>
    <w:rsid w:val="4FB73C96"/>
    <w:rsid w:val="4FCFED65"/>
    <w:rsid w:val="4FF0A6DF"/>
    <w:rsid w:val="4FFF3703"/>
    <w:rsid w:val="50052EC1"/>
    <w:rsid w:val="5006A5AE"/>
    <w:rsid w:val="5043A14F"/>
    <w:rsid w:val="505D4196"/>
    <w:rsid w:val="50714DCE"/>
    <w:rsid w:val="508C4AE3"/>
    <w:rsid w:val="508E1EA0"/>
    <w:rsid w:val="5097213E"/>
    <w:rsid w:val="5099694E"/>
    <w:rsid w:val="50A5F63B"/>
    <w:rsid w:val="50BCE47F"/>
    <w:rsid w:val="50CAAB98"/>
    <w:rsid w:val="50DDF455"/>
    <w:rsid w:val="50EA3F90"/>
    <w:rsid w:val="50F7C45A"/>
    <w:rsid w:val="50FEEF8C"/>
    <w:rsid w:val="511899B2"/>
    <w:rsid w:val="513293BF"/>
    <w:rsid w:val="5136EB22"/>
    <w:rsid w:val="51423BEB"/>
    <w:rsid w:val="514403FF"/>
    <w:rsid w:val="5151E325"/>
    <w:rsid w:val="515511CD"/>
    <w:rsid w:val="515AD73B"/>
    <w:rsid w:val="51623CC5"/>
    <w:rsid w:val="51796E0F"/>
    <w:rsid w:val="51879467"/>
    <w:rsid w:val="518E887F"/>
    <w:rsid w:val="5195C1EA"/>
    <w:rsid w:val="519BAF65"/>
    <w:rsid w:val="51A46367"/>
    <w:rsid w:val="51B45749"/>
    <w:rsid w:val="51B97001"/>
    <w:rsid w:val="51CED211"/>
    <w:rsid w:val="51D90319"/>
    <w:rsid w:val="51E46B98"/>
    <w:rsid w:val="51F447DF"/>
    <w:rsid w:val="5210D9BD"/>
    <w:rsid w:val="521EA7E6"/>
    <w:rsid w:val="521FA14B"/>
    <w:rsid w:val="52302E39"/>
    <w:rsid w:val="523444C4"/>
    <w:rsid w:val="52476BD9"/>
    <w:rsid w:val="525C95AE"/>
    <w:rsid w:val="525E3713"/>
    <w:rsid w:val="5262F1A2"/>
    <w:rsid w:val="52721166"/>
    <w:rsid w:val="52863644"/>
    <w:rsid w:val="528A9ED3"/>
    <w:rsid w:val="528B2CF9"/>
    <w:rsid w:val="528F437E"/>
    <w:rsid w:val="52985019"/>
    <w:rsid w:val="52A37267"/>
    <w:rsid w:val="52A98BF5"/>
    <w:rsid w:val="52ACD884"/>
    <w:rsid w:val="52BD8A22"/>
    <w:rsid w:val="52EE61BD"/>
    <w:rsid w:val="531CFB8A"/>
    <w:rsid w:val="532383EA"/>
    <w:rsid w:val="5339E7B0"/>
    <w:rsid w:val="53525D9C"/>
    <w:rsid w:val="53543227"/>
    <w:rsid w:val="53616B80"/>
    <w:rsid w:val="5366CDEE"/>
    <w:rsid w:val="5367E991"/>
    <w:rsid w:val="536F922E"/>
    <w:rsid w:val="53862A6A"/>
    <w:rsid w:val="538A9524"/>
    <w:rsid w:val="53A186C4"/>
    <w:rsid w:val="53ADA369"/>
    <w:rsid w:val="53AF6291"/>
    <w:rsid w:val="53B05A41"/>
    <w:rsid w:val="53B7A6FF"/>
    <w:rsid w:val="53CB7EB6"/>
    <w:rsid w:val="53CD28D5"/>
    <w:rsid w:val="53CD9A1B"/>
    <w:rsid w:val="53EFA078"/>
    <w:rsid w:val="54007F9B"/>
    <w:rsid w:val="54020914"/>
    <w:rsid w:val="541DCB59"/>
    <w:rsid w:val="5422ECEA"/>
    <w:rsid w:val="5427CA34"/>
    <w:rsid w:val="54384983"/>
    <w:rsid w:val="5445F10A"/>
    <w:rsid w:val="54477F72"/>
    <w:rsid w:val="54546922"/>
    <w:rsid w:val="5460A812"/>
    <w:rsid w:val="5477896F"/>
    <w:rsid w:val="5479AA50"/>
    <w:rsid w:val="54839742"/>
    <w:rsid w:val="54846B00"/>
    <w:rsid w:val="548BA6A5"/>
    <w:rsid w:val="549032F9"/>
    <w:rsid w:val="54A9A47B"/>
    <w:rsid w:val="54AFEFCE"/>
    <w:rsid w:val="54C18B98"/>
    <w:rsid w:val="54D3D84A"/>
    <w:rsid w:val="54DAEACF"/>
    <w:rsid w:val="54DCBF7C"/>
    <w:rsid w:val="550ECA03"/>
    <w:rsid w:val="551B289F"/>
    <w:rsid w:val="552C4B1F"/>
    <w:rsid w:val="5535DA46"/>
    <w:rsid w:val="553CA52B"/>
    <w:rsid w:val="5546016B"/>
    <w:rsid w:val="554972F1"/>
    <w:rsid w:val="5559383A"/>
    <w:rsid w:val="5560F7CD"/>
    <w:rsid w:val="556D8C04"/>
    <w:rsid w:val="556F5F0B"/>
    <w:rsid w:val="557FA32B"/>
    <w:rsid w:val="558642EB"/>
    <w:rsid w:val="5596FFFE"/>
    <w:rsid w:val="55978EC2"/>
    <w:rsid w:val="5597A826"/>
    <w:rsid w:val="55A6A753"/>
    <w:rsid w:val="55B99821"/>
    <w:rsid w:val="55C4E540"/>
    <w:rsid w:val="55C7328D"/>
    <w:rsid w:val="55D81BC8"/>
    <w:rsid w:val="55DC22B8"/>
    <w:rsid w:val="55E51E0F"/>
    <w:rsid w:val="55EAFC00"/>
    <w:rsid w:val="55FC4A64"/>
    <w:rsid w:val="5603BE5A"/>
    <w:rsid w:val="560DF73F"/>
    <w:rsid w:val="562171D6"/>
    <w:rsid w:val="5632BEB2"/>
    <w:rsid w:val="5647EDB3"/>
    <w:rsid w:val="56548027"/>
    <w:rsid w:val="56588397"/>
    <w:rsid w:val="566CFDEB"/>
    <w:rsid w:val="568B5DB6"/>
    <w:rsid w:val="56983DEA"/>
    <w:rsid w:val="569F789C"/>
    <w:rsid w:val="56B0E3EA"/>
    <w:rsid w:val="56B57586"/>
    <w:rsid w:val="56CA5636"/>
    <w:rsid w:val="56CE39E7"/>
    <w:rsid w:val="56F51C41"/>
    <w:rsid w:val="57283817"/>
    <w:rsid w:val="57348EC5"/>
    <w:rsid w:val="573C1048"/>
    <w:rsid w:val="57484419"/>
    <w:rsid w:val="575B1D57"/>
    <w:rsid w:val="577437FD"/>
    <w:rsid w:val="5780BD6B"/>
    <w:rsid w:val="5781BB48"/>
    <w:rsid w:val="57895AE3"/>
    <w:rsid w:val="579ED3F5"/>
    <w:rsid w:val="579F9398"/>
    <w:rsid w:val="57AB68C4"/>
    <w:rsid w:val="57B2F140"/>
    <w:rsid w:val="57BA218C"/>
    <w:rsid w:val="57BBD774"/>
    <w:rsid w:val="57C32BC8"/>
    <w:rsid w:val="57D47EFB"/>
    <w:rsid w:val="57F6FB64"/>
    <w:rsid w:val="580C66C4"/>
    <w:rsid w:val="581FEA70"/>
    <w:rsid w:val="5827BA72"/>
    <w:rsid w:val="583A6A04"/>
    <w:rsid w:val="5853BC4B"/>
    <w:rsid w:val="585688B3"/>
    <w:rsid w:val="5859F585"/>
    <w:rsid w:val="5864301D"/>
    <w:rsid w:val="5865CBC5"/>
    <w:rsid w:val="586B2C67"/>
    <w:rsid w:val="5875F93D"/>
    <w:rsid w:val="58913996"/>
    <w:rsid w:val="5892843E"/>
    <w:rsid w:val="58A2461F"/>
    <w:rsid w:val="58A9641F"/>
    <w:rsid w:val="58ACD34B"/>
    <w:rsid w:val="58C5D902"/>
    <w:rsid w:val="58E4A70B"/>
    <w:rsid w:val="58E4E21E"/>
    <w:rsid w:val="58F3B24A"/>
    <w:rsid w:val="58F7CF44"/>
    <w:rsid w:val="590A861A"/>
    <w:rsid w:val="591519AD"/>
    <w:rsid w:val="591A6079"/>
    <w:rsid w:val="59242294"/>
    <w:rsid w:val="59265E59"/>
    <w:rsid w:val="5935F8EB"/>
    <w:rsid w:val="593A93F9"/>
    <w:rsid w:val="593C26CC"/>
    <w:rsid w:val="594627B0"/>
    <w:rsid w:val="5952DC59"/>
    <w:rsid w:val="595F708A"/>
    <w:rsid w:val="596BC4A8"/>
    <w:rsid w:val="5970CC44"/>
    <w:rsid w:val="5973A94B"/>
    <w:rsid w:val="598A5A3D"/>
    <w:rsid w:val="598AF52C"/>
    <w:rsid w:val="598E3154"/>
    <w:rsid w:val="598FE87F"/>
    <w:rsid w:val="599299FA"/>
    <w:rsid w:val="59A744EF"/>
    <w:rsid w:val="59B38716"/>
    <w:rsid w:val="59C709B7"/>
    <w:rsid w:val="59DCCEC8"/>
    <w:rsid w:val="59F3D130"/>
    <w:rsid w:val="59F429EC"/>
    <w:rsid w:val="5A01FBFD"/>
    <w:rsid w:val="5A070CE7"/>
    <w:rsid w:val="5A0DE9F7"/>
    <w:rsid w:val="5A158A34"/>
    <w:rsid w:val="5A3CB782"/>
    <w:rsid w:val="5A400C81"/>
    <w:rsid w:val="5A454FC7"/>
    <w:rsid w:val="5A81B206"/>
    <w:rsid w:val="5A82F437"/>
    <w:rsid w:val="5A893B4B"/>
    <w:rsid w:val="5A8A17A7"/>
    <w:rsid w:val="5A9CEDB7"/>
    <w:rsid w:val="5AAD5868"/>
    <w:rsid w:val="5AB38E54"/>
    <w:rsid w:val="5ABC6318"/>
    <w:rsid w:val="5AC7AE9B"/>
    <w:rsid w:val="5ADB4BE5"/>
    <w:rsid w:val="5ADCF4A1"/>
    <w:rsid w:val="5AE4AA11"/>
    <w:rsid w:val="5AF50AE9"/>
    <w:rsid w:val="5AF7FBC8"/>
    <w:rsid w:val="5B00BE70"/>
    <w:rsid w:val="5B0279CB"/>
    <w:rsid w:val="5B07C0C0"/>
    <w:rsid w:val="5B0D0BD2"/>
    <w:rsid w:val="5B11B6A1"/>
    <w:rsid w:val="5B257462"/>
    <w:rsid w:val="5B37F6FD"/>
    <w:rsid w:val="5B390430"/>
    <w:rsid w:val="5B3AB233"/>
    <w:rsid w:val="5B3D3012"/>
    <w:rsid w:val="5B47D7F5"/>
    <w:rsid w:val="5B48F8E4"/>
    <w:rsid w:val="5B496601"/>
    <w:rsid w:val="5B60581C"/>
    <w:rsid w:val="5B69385C"/>
    <w:rsid w:val="5B7DF699"/>
    <w:rsid w:val="5B97225F"/>
    <w:rsid w:val="5BB1D974"/>
    <w:rsid w:val="5BBD7230"/>
    <w:rsid w:val="5BC317EF"/>
    <w:rsid w:val="5BCF7ADC"/>
    <w:rsid w:val="5BD35C58"/>
    <w:rsid w:val="5BDE8EC0"/>
    <w:rsid w:val="5BE020CC"/>
    <w:rsid w:val="5C17BB01"/>
    <w:rsid w:val="5C219909"/>
    <w:rsid w:val="5C5FB727"/>
    <w:rsid w:val="5C6DF1C4"/>
    <w:rsid w:val="5C6F913C"/>
    <w:rsid w:val="5C82923D"/>
    <w:rsid w:val="5C8BFDED"/>
    <w:rsid w:val="5C8CB4DF"/>
    <w:rsid w:val="5C9B2D7C"/>
    <w:rsid w:val="5CAAB594"/>
    <w:rsid w:val="5CB08A8A"/>
    <w:rsid w:val="5CBB1F8E"/>
    <w:rsid w:val="5CC68168"/>
    <w:rsid w:val="5CD3B71B"/>
    <w:rsid w:val="5D3D4EAA"/>
    <w:rsid w:val="5D4770BC"/>
    <w:rsid w:val="5D4DDE12"/>
    <w:rsid w:val="5D54ED17"/>
    <w:rsid w:val="5D5A7E22"/>
    <w:rsid w:val="5D5C033C"/>
    <w:rsid w:val="5D749D97"/>
    <w:rsid w:val="5D7A3737"/>
    <w:rsid w:val="5DAF5303"/>
    <w:rsid w:val="5DEB96D2"/>
    <w:rsid w:val="5DEF797D"/>
    <w:rsid w:val="5DF0053D"/>
    <w:rsid w:val="5E002044"/>
    <w:rsid w:val="5E0BF86B"/>
    <w:rsid w:val="5E1CE752"/>
    <w:rsid w:val="5E204383"/>
    <w:rsid w:val="5E246090"/>
    <w:rsid w:val="5E285B2B"/>
    <w:rsid w:val="5E42890D"/>
    <w:rsid w:val="5E4B91EC"/>
    <w:rsid w:val="5E5782F3"/>
    <w:rsid w:val="5E623CC6"/>
    <w:rsid w:val="5E65F42F"/>
    <w:rsid w:val="5E89DDAD"/>
    <w:rsid w:val="5E956583"/>
    <w:rsid w:val="5E9E6C01"/>
    <w:rsid w:val="5EAD4715"/>
    <w:rsid w:val="5EC3BCB9"/>
    <w:rsid w:val="5EE2C0A0"/>
    <w:rsid w:val="5EE39681"/>
    <w:rsid w:val="5EED2DE9"/>
    <w:rsid w:val="5EED55B0"/>
    <w:rsid w:val="5EF007B8"/>
    <w:rsid w:val="5EF091BD"/>
    <w:rsid w:val="5EF3616D"/>
    <w:rsid w:val="5F005634"/>
    <w:rsid w:val="5F0D258E"/>
    <w:rsid w:val="5F1514CD"/>
    <w:rsid w:val="5F26965A"/>
    <w:rsid w:val="5F482F47"/>
    <w:rsid w:val="5F591688"/>
    <w:rsid w:val="5F67A828"/>
    <w:rsid w:val="5F7BD50D"/>
    <w:rsid w:val="5F8C9291"/>
    <w:rsid w:val="5F9E910C"/>
    <w:rsid w:val="5FACE660"/>
    <w:rsid w:val="5FBD6BC7"/>
    <w:rsid w:val="5FC4EF82"/>
    <w:rsid w:val="5FD3DA7D"/>
    <w:rsid w:val="5FE6D68C"/>
    <w:rsid w:val="5FE7526F"/>
    <w:rsid w:val="6002796B"/>
    <w:rsid w:val="60133D27"/>
    <w:rsid w:val="602D230F"/>
    <w:rsid w:val="603D7191"/>
    <w:rsid w:val="6048614D"/>
    <w:rsid w:val="604A7278"/>
    <w:rsid w:val="606A9CF6"/>
    <w:rsid w:val="607DFAD2"/>
    <w:rsid w:val="608490F1"/>
    <w:rsid w:val="609B148E"/>
    <w:rsid w:val="60A35F3D"/>
    <w:rsid w:val="60A7C877"/>
    <w:rsid w:val="60ADE946"/>
    <w:rsid w:val="60B4DD3C"/>
    <w:rsid w:val="60C7A5FB"/>
    <w:rsid w:val="60C8B897"/>
    <w:rsid w:val="60D07198"/>
    <w:rsid w:val="60E2A8F4"/>
    <w:rsid w:val="60FA7A0A"/>
    <w:rsid w:val="610B3DDB"/>
    <w:rsid w:val="6110FE71"/>
    <w:rsid w:val="611437ED"/>
    <w:rsid w:val="611B1D25"/>
    <w:rsid w:val="612D269B"/>
    <w:rsid w:val="612E6137"/>
    <w:rsid w:val="61365C6A"/>
    <w:rsid w:val="615EC5E0"/>
    <w:rsid w:val="61709802"/>
    <w:rsid w:val="6172D364"/>
    <w:rsid w:val="617406B6"/>
    <w:rsid w:val="6179CC90"/>
    <w:rsid w:val="618D991A"/>
    <w:rsid w:val="618EE6EA"/>
    <w:rsid w:val="6191D528"/>
    <w:rsid w:val="61984533"/>
    <w:rsid w:val="619F18FF"/>
    <w:rsid w:val="61A32096"/>
    <w:rsid w:val="61A53EA5"/>
    <w:rsid w:val="61AF5A74"/>
    <w:rsid w:val="61C0C177"/>
    <w:rsid w:val="61C1BED0"/>
    <w:rsid w:val="61CB7A51"/>
    <w:rsid w:val="61D56D1B"/>
    <w:rsid w:val="61DB8AC1"/>
    <w:rsid w:val="61DC948F"/>
    <w:rsid w:val="61E042D2"/>
    <w:rsid w:val="61F2088A"/>
    <w:rsid w:val="61FDC0AF"/>
    <w:rsid w:val="6205C3EA"/>
    <w:rsid w:val="6206521D"/>
    <w:rsid w:val="621C2693"/>
    <w:rsid w:val="6236A6EE"/>
    <w:rsid w:val="6238C0A0"/>
    <w:rsid w:val="623F5760"/>
    <w:rsid w:val="626297C0"/>
    <w:rsid w:val="629FF537"/>
    <w:rsid w:val="62A97846"/>
    <w:rsid w:val="62AD6245"/>
    <w:rsid w:val="62BCCAB7"/>
    <w:rsid w:val="62C9A23A"/>
    <w:rsid w:val="62CE0539"/>
    <w:rsid w:val="62CF183C"/>
    <w:rsid w:val="62D880A8"/>
    <w:rsid w:val="62DA0C2D"/>
    <w:rsid w:val="62DA478A"/>
    <w:rsid w:val="62DF6932"/>
    <w:rsid w:val="62EEB9D9"/>
    <w:rsid w:val="62F425FD"/>
    <w:rsid w:val="630B225A"/>
    <w:rsid w:val="631A8165"/>
    <w:rsid w:val="631F12C6"/>
    <w:rsid w:val="63209E35"/>
    <w:rsid w:val="63247328"/>
    <w:rsid w:val="6331669B"/>
    <w:rsid w:val="63377496"/>
    <w:rsid w:val="635FADA2"/>
    <w:rsid w:val="6371F4C0"/>
    <w:rsid w:val="63773BBC"/>
    <w:rsid w:val="6378B1EC"/>
    <w:rsid w:val="637D983D"/>
    <w:rsid w:val="6386AF58"/>
    <w:rsid w:val="639DEE9F"/>
    <w:rsid w:val="63B15B13"/>
    <w:rsid w:val="63D14DBA"/>
    <w:rsid w:val="63D39787"/>
    <w:rsid w:val="63FF8340"/>
    <w:rsid w:val="6429AB8C"/>
    <w:rsid w:val="643416DB"/>
    <w:rsid w:val="645193A4"/>
    <w:rsid w:val="64554CAB"/>
    <w:rsid w:val="645C251D"/>
    <w:rsid w:val="6472BF52"/>
    <w:rsid w:val="647AABA3"/>
    <w:rsid w:val="648F5BB8"/>
    <w:rsid w:val="64944193"/>
    <w:rsid w:val="649BF9A4"/>
    <w:rsid w:val="649FEFD3"/>
    <w:rsid w:val="64B39A6D"/>
    <w:rsid w:val="64BC9CA4"/>
    <w:rsid w:val="64C7EC94"/>
    <w:rsid w:val="64E4D650"/>
    <w:rsid w:val="64E7FB17"/>
    <w:rsid w:val="64F78F17"/>
    <w:rsid w:val="650413FC"/>
    <w:rsid w:val="650595F1"/>
    <w:rsid w:val="65129AC5"/>
    <w:rsid w:val="65177140"/>
    <w:rsid w:val="651FBE78"/>
    <w:rsid w:val="652C0C36"/>
    <w:rsid w:val="6540072A"/>
    <w:rsid w:val="65488AFE"/>
    <w:rsid w:val="654DBB07"/>
    <w:rsid w:val="656FE6A9"/>
    <w:rsid w:val="65749D86"/>
    <w:rsid w:val="658CF26B"/>
    <w:rsid w:val="6594A1BA"/>
    <w:rsid w:val="65A290FD"/>
    <w:rsid w:val="65AE5E4A"/>
    <w:rsid w:val="65CA16FC"/>
    <w:rsid w:val="65D3831F"/>
    <w:rsid w:val="65D3CF9D"/>
    <w:rsid w:val="65E7373F"/>
    <w:rsid w:val="65EFDB89"/>
    <w:rsid w:val="66108494"/>
    <w:rsid w:val="66320FA2"/>
    <w:rsid w:val="66321445"/>
    <w:rsid w:val="664AF864"/>
    <w:rsid w:val="665C09D8"/>
    <w:rsid w:val="6666E49D"/>
    <w:rsid w:val="666CA804"/>
    <w:rsid w:val="66725CD2"/>
    <w:rsid w:val="6681E5AA"/>
    <w:rsid w:val="66898C3F"/>
    <w:rsid w:val="6694C3BB"/>
    <w:rsid w:val="66B9F8EA"/>
    <w:rsid w:val="66BF95E4"/>
    <w:rsid w:val="66C35864"/>
    <w:rsid w:val="66C4A58B"/>
    <w:rsid w:val="66C94557"/>
    <w:rsid w:val="66CF36B7"/>
    <w:rsid w:val="66D1F36A"/>
    <w:rsid w:val="66DDF1B6"/>
    <w:rsid w:val="66FF1BFB"/>
    <w:rsid w:val="670E0D9B"/>
    <w:rsid w:val="670FEA5C"/>
    <w:rsid w:val="6721ED1F"/>
    <w:rsid w:val="6728F143"/>
    <w:rsid w:val="67427322"/>
    <w:rsid w:val="674CEC6F"/>
    <w:rsid w:val="67557446"/>
    <w:rsid w:val="675F1445"/>
    <w:rsid w:val="67619846"/>
    <w:rsid w:val="676AAF5D"/>
    <w:rsid w:val="67713203"/>
    <w:rsid w:val="678BCCD1"/>
    <w:rsid w:val="67A0F20D"/>
    <w:rsid w:val="67A10E7B"/>
    <w:rsid w:val="67A5548E"/>
    <w:rsid w:val="67A6794D"/>
    <w:rsid w:val="67CAD873"/>
    <w:rsid w:val="67E36A35"/>
    <w:rsid w:val="67EFBEF9"/>
    <w:rsid w:val="67F04C47"/>
    <w:rsid w:val="6812384B"/>
    <w:rsid w:val="6816862B"/>
    <w:rsid w:val="681F03AD"/>
    <w:rsid w:val="6823B5A0"/>
    <w:rsid w:val="6825B807"/>
    <w:rsid w:val="682F0F52"/>
    <w:rsid w:val="68316245"/>
    <w:rsid w:val="6837B283"/>
    <w:rsid w:val="683E758D"/>
    <w:rsid w:val="684995B6"/>
    <w:rsid w:val="684D765E"/>
    <w:rsid w:val="684F9C35"/>
    <w:rsid w:val="68536451"/>
    <w:rsid w:val="6876F316"/>
    <w:rsid w:val="6889D163"/>
    <w:rsid w:val="6891BF41"/>
    <w:rsid w:val="68A763AF"/>
    <w:rsid w:val="68ABA291"/>
    <w:rsid w:val="68ABB300"/>
    <w:rsid w:val="68BBBAB9"/>
    <w:rsid w:val="68BC16AC"/>
    <w:rsid w:val="68BC3FE1"/>
    <w:rsid w:val="68BDF523"/>
    <w:rsid w:val="68CA60AD"/>
    <w:rsid w:val="68D3A49C"/>
    <w:rsid w:val="68D9E5EF"/>
    <w:rsid w:val="68EE16AF"/>
    <w:rsid w:val="6903F175"/>
    <w:rsid w:val="6912CD61"/>
    <w:rsid w:val="691E89C7"/>
    <w:rsid w:val="692B2500"/>
    <w:rsid w:val="693D7FB8"/>
    <w:rsid w:val="693EB67D"/>
    <w:rsid w:val="693FCF73"/>
    <w:rsid w:val="6940812A"/>
    <w:rsid w:val="6944C866"/>
    <w:rsid w:val="6956C9AA"/>
    <w:rsid w:val="6977481D"/>
    <w:rsid w:val="6989CC30"/>
    <w:rsid w:val="69B04B46"/>
    <w:rsid w:val="69B1624A"/>
    <w:rsid w:val="69B564E1"/>
    <w:rsid w:val="69D1BCC7"/>
    <w:rsid w:val="69E727F8"/>
    <w:rsid w:val="69FFE234"/>
    <w:rsid w:val="6A0E70EF"/>
    <w:rsid w:val="6A112FD6"/>
    <w:rsid w:val="6A2D48FC"/>
    <w:rsid w:val="6A32FB5E"/>
    <w:rsid w:val="6A3A919C"/>
    <w:rsid w:val="6A48A846"/>
    <w:rsid w:val="6A8AEA3C"/>
    <w:rsid w:val="6AA15F0A"/>
    <w:rsid w:val="6AB77166"/>
    <w:rsid w:val="6ABDCDB8"/>
    <w:rsid w:val="6ABE3568"/>
    <w:rsid w:val="6ACEF0AC"/>
    <w:rsid w:val="6AE3ED1C"/>
    <w:rsid w:val="6AE5D2B2"/>
    <w:rsid w:val="6AEAFBD4"/>
    <w:rsid w:val="6AFCB6EB"/>
    <w:rsid w:val="6AFDB327"/>
    <w:rsid w:val="6B00209E"/>
    <w:rsid w:val="6B0FACAC"/>
    <w:rsid w:val="6B17B8EB"/>
    <w:rsid w:val="6B2E21B4"/>
    <w:rsid w:val="6B31F430"/>
    <w:rsid w:val="6B35AE34"/>
    <w:rsid w:val="6B535E7E"/>
    <w:rsid w:val="6B9C8978"/>
    <w:rsid w:val="6BA64B8B"/>
    <w:rsid w:val="6BA9F167"/>
    <w:rsid w:val="6BB23102"/>
    <w:rsid w:val="6BB23313"/>
    <w:rsid w:val="6BBFE676"/>
    <w:rsid w:val="6BC09F71"/>
    <w:rsid w:val="6BD5C7F8"/>
    <w:rsid w:val="6BDB5E6A"/>
    <w:rsid w:val="6BE6A0DF"/>
    <w:rsid w:val="6BE73910"/>
    <w:rsid w:val="6BF143FB"/>
    <w:rsid w:val="6BFAB271"/>
    <w:rsid w:val="6C1431B5"/>
    <w:rsid w:val="6C170CAF"/>
    <w:rsid w:val="6C2DFF81"/>
    <w:rsid w:val="6C333346"/>
    <w:rsid w:val="6C3981D0"/>
    <w:rsid w:val="6C3F4107"/>
    <w:rsid w:val="6C4CDBE0"/>
    <w:rsid w:val="6C5AD87A"/>
    <w:rsid w:val="6C655D28"/>
    <w:rsid w:val="6C6887F9"/>
    <w:rsid w:val="6C898628"/>
    <w:rsid w:val="6C9CE2D7"/>
    <w:rsid w:val="6CAA1784"/>
    <w:rsid w:val="6CB50CA0"/>
    <w:rsid w:val="6CCE3163"/>
    <w:rsid w:val="6CDE1873"/>
    <w:rsid w:val="6CE3E0D7"/>
    <w:rsid w:val="6CECA142"/>
    <w:rsid w:val="6CF52F98"/>
    <w:rsid w:val="6CF69B51"/>
    <w:rsid w:val="6CF954D4"/>
    <w:rsid w:val="6CFC1AE9"/>
    <w:rsid w:val="6D137BD1"/>
    <w:rsid w:val="6D272BCF"/>
    <w:rsid w:val="6D2F02AE"/>
    <w:rsid w:val="6D609E2E"/>
    <w:rsid w:val="6D708928"/>
    <w:rsid w:val="6D73DB9C"/>
    <w:rsid w:val="6D7502B9"/>
    <w:rsid w:val="6D831B04"/>
    <w:rsid w:val="6D94187D"/>
    <w:rsid w:val="6DA5BA44"/>
    <w:rsid w:val="6DAD5F7B"/>
    <w:rsid w:val="6DBFDED6"/>
    <w:rsid w:val="6DC6C663"/>
    <w:rsid w:val="6DE94932"/>
    <w:rsid w:val="6DF90D2F"/>
    <w:rsid w:val="6DFB77EF"/>
    <w:rsid w:val="6E002155"/>
    <w:rsid w:val="6E03E336"/>
    <w:rsid w:val="6E0A4A08"/>
    <w:rsid w:val="6E0EC263"/>
    <w:rsid w:val="6E126D9F"/>
    <w:rsid w:val="6E141C26"/>
    <w:rsid w:val="6E1B781B"/>
    <w:rsid w:val="6E1D2890"/>
    <w:rsid w:val="6E3806AC"/>
    <w:rsid w:val="6E3E5B0B"/>
    <w:rsid w:val="6E48D3A1"/>
    <w:rsid w:val="6E53F7EE"/>
    <w:rsid w:val="6E573608"/>
    <w:rsid w:val="6E5E5207"/>
    <w:rsid w:val="6E651130"/>
    <w:rsid w:val="6E6BEE62"/>
    <w:rsid w:val="6E77933A"/>
    <w:rsid w:val="6E96ED46"/>
    <w:rsid w:val="6EA92E38"/>
    <w:rsid w:val="6EABAC6D"/>
    <w:rsid w:val="6EB11A2A"/>
    <w:rsid w:val="6EB141FC"/>
    <w:rsid w:val="6EB26E7A"/>
    <w:rsid w:val="6EB331D5"/>
    <w:rsid w:val="6EB36BFB"/>
    <w:rsid w:val="6EC03E6F"/>
    <w:rsid w:val="6EC3E9C5"/>
    <w:rsid w:val="6EC46B9C"/>
    <w:rsid w:val="6ECF7372"/>
    <w:rsid w:val="6ED6CA9F"/>
    <w:rsid w:val="6EE2E83B"/>
    <w:rsid w:val="6EE763EC"/>
    <w:rsid w:val="6F021B6F"/>
    <w:rsid w:val="6F10E233"/>
    <w:rsid w:val="6F12FF74"/>
    <w:rsid w:val="6F2FBF3D"/>
    <w:rsid w:val="6F5613F4"/>
    <w:rsid w:val="6F57E749"/>
    <w:rsid w:val="6F705D7C"/>
    <w:rsid w:val="6F72C4B4"/>
    <w:rsid w:val="6F88FD2A"/>
    <w:rsid w:val="6F8921E6"/>
    <w:rsid w:val="6F8EAB11"/>
    <w:rsid w:val="6F9467CC"/>
    <w:rsid w:val="6F9F2994"/>
    <w:rsid w:val="6FD89F63"/>
    <w:rsid w:val="6FF98B35"/>
    <w:rsid w:val="70018A10"/>
    <w:rsid w:val="700591A8"/>
    <w:rsid w:val="7007144B"/>
    <w:rsid w:val="70100F2C"/>
    <w:rsid w:val="7020E2AF"/>
    <w:rsid w:val="70389839"/>
    <w:rsid w:val="704119D8"/>
    <w:rsid w:val="705BDE3A"/>
    <w:rsid w:val="7067A891"/>
    <w:rsid w:val="708F05A7"/>
    <w:rsid w:val="70A10DDA"/>
    <w:rsid w:val="70A57C38"/>
    <w:rsid w:val="70AEC345"/>
    <w:rsid w:val="70B2CFF4"/>
    <w:rsid w:val="70CD3DC0"/>
    <w:rsid w:val="70D03E04"/>
    <w:rsid w:val="70D4E0D8"/>
    <w:rsid w:val="70E510F1"/>
    <w:rsid w:val="70ED74C9"/>
    <w:rsid w:val="70F22431"/>
    <w:rsid w:val="711F8DE0"/>
    <w:rsid w:val="712047CB"/>
    <w:rsid w:val="7126EF44"/>
    <w:rsid w:val="712F441A"/>
    <w:rsid w:val="712F7D30"/>
    <w:rsid w:val="713ED044"/>
    <w:rsid w:val="7140E7B9"/>
    <w:rsid w:val="714CF2BD"/>
    <w:rsid w:val="71520A76"/>
    <w:rsid w:val="715446E9"/>
    <w:rsid w:val="716404E3"/>
    <w:rsid w:val="7173E954"/>
    <w:rsid w:val="71786E1E"/>
    <w:rsid w:val="71A29824"/>
    <w:rsid w:val="71BC0D7E"/>
    <w:rsid w:val="71CB32ED"/>
    <w:rsid w:val="71E47FD7"/>
    <w:rsid w:val="71E7D0AD"/>
    <w:rsid w:val="71ECEBA4"/>
    <w:rsid w:val="720A6044"/>
    <w:rsid w:val="7216D136"/>
    <w:rsid w:val="7225E8E9"/>
    <w:rsid w:val="72269920"/>
    <w:rsid w:val="72281E38"/>
    <w:rsid w:val="722A7036"/>
    <w:rsid w:val="7238C04F"/>
    <w:rsid w:val="72397847"/>
    <w:rsid w:val="72530865"/>
    <w:rsid w:val="7253BC3C"/>
    <w:rsid w:val="7254D8BB"/>
    <w:rsid w:val="726E3C2D"/>
    <w:rsid w:val="72B0EFA4"/>
    <w:rsid w:val="72C27CF4"/>
    <w:rsid w:val="72CB1CD2"/>
    <w:rsid w:val="72D68ABB"/>
    <w:rsid w:val="72FB32BD"/>
    <w:rsid w:val="730D2681"/>
    <w:rsid w:val="730D772D"/>
    <w:rsid w:val="73369910"/>
    <w:rsid w:val="7337BF2C"/>
    <w:rsid w:val="73382F93"/>
    <w:rsid w:val="733C17C8"/>
    <w:rsid w:val="733C327D"/>
    <w:rsid w:val="73493ACB"/>
    <w:rsid w:val="734AAEBC"/>
    <w:rsid w:val="735250CA"/>
    <w:rsid w:val="7361A00F"/>
    <w:rsid w:val="7366E97A"/>
    <w:rsid w:val="73672DFC"/>
    <w:rsid w:val="736C20B7"/>
    <w:rsid w:val="736CF553"/>
    <w:rsid w:val="7377F80F"/>
    <w:rsid w:val="737A9A1F"/>
    <w:rsid w:val="7388181D"/>
    <w:rsid w:val="738C2844"/>
    <w:rsid w:val="738FE08E"/>
    <w:rsid w:val="739451BD"/>
    <w:rsid w:val="739A3428"/>
    <w:rsid w:val="739B63BE"/>
    <w:rsid w:val="739F8F7D"/>
    <w:rsid w:val="73B3B30E"/>
    <w:rsid w:val="73BACD15"/>
    <w:rsid w:val="73D56DAF"/>
    <w:rsid w:val="73DDF1E6"/>
    <w:rsid w:val="740758CD"/>
    <w:rsid w:val="74131E02"/>
    <w:rsid w:val="74236E94"/>
    <w:rsid w:val="742C909A"/>
    <w:rsid w:val="74445744"/>
    <w:rsid w:val="74510673"/>
    <w:rsid w:val="7458C5B5"/>
    <w:rsid w:val="745F2179"/>
    <w:rsid w:val="74646972"/>
    <w:rsid w:val="74909857"/>
    <w:rsid w:val="7493A17F"/>
    <w:rsid w:val="749888EF"/>
    <w:rsid w:val="74D25333"/>
    <w:rsid w:val="74D8AA99"/>
    <w:rsid w:val="74DA9B62"/>
    <w:rsid w:val="74EBF566"/>
    <w:rsid w:val="74F1B1B3"/>
    <w:rsid w:val="750301A4"/>
    <w:rsid w:val="7505B1A9"/>
    <w:rsid w:val="750AF315"/>
    <w:rsid w:val="75168421"/>
    <w:rsid w:val="751750E8"/>
    <w:rsid w:val="75247C6F"/>
    <w:rsid w:val="753CF02C"/>
    <w:rsid w:val="754E363B"/>
    <w:rsid w:val="755FB9EF"/>
    <w:rsid w:val="756A9584"/>
    <w:rsid w:val="7574C64D"/>
    <w:rsid w:val="758385E6"/>
    <w:rsid w:val="758C3EA1"/>
    <w:rsid w:val="75908E4A"/>
    <w:rsid w:val="75A5C6BA"/>
    <w:rsid w:val="75A6A261"/>
    <w:rsid w:val="75B8646D"/>
    <w:rsid w:val="75C2FF2F"/>
    <w:rsid w:val="75CB71D2"/>
    <w:rsid w:val="760A0724"/>
    <w:rsid w:val="760AE0B2"/>
    <w:rsid w:val="761257FA"/>
    <w:rsid w:val="7635949B"/>
    <w:rsid w:val="763945AA"/>
    <w:rsid w:val="76407D51"/>
    <w:rsid w:val="7649B5A0"/>
    <w:rsid w:val="765BF997"/>
    <w:rsid w:val="766BF135"/>
    <w:rsid w:val="769484F1"/>
    <w:rsid w:val="76A6DF78"/>
    <w:rsid w:val="76BB02F8"/>
    <w:rsid w:val="76BCE101"/>
    <w:rsid w:val="76C23D91"/>
    <w:rsid w:val="76C258E2"/>
    <w:rsid w:val="76E57D06"/>
    <w:rsid w:val="76E80E02"/>
    <w:rsid w:val="771ADCE1"/>
    <w:rsid w:val="7739F6F7"/>
    <w:rsid w:val="773E5552"/>
    <w:rsid w:val="77400423"/>
    <w:rsid w:val="7753584A"/>
    <w:rsid w:val="775A2363"/>
    <w:rsid w:val="775A5C53"/>
    <w:rsid w:val="776D3B86"/>
    <w:rsid w:val="777120BF"/>
    <w:rsid w:val="777487FF"/>
    <w:rsid w:val="777A4D19"/>
    <w:rsid w:val="778BDBD7"/>
    <w:rsid w:val="778E81F8"/>
    <w:rsid w:val="77AE622B"/>
    <w:rsid w:val="77C86D55"/>
    <w:rsid w:val="77EDF7CD"/>
    <w:rsid w:val="77F2040F"/>
    <w:rsid w:val="77FD4443"/>
    <w:rsid w:val="77FDBE5E"/>
    <w:rsid w:val="7807C689"/>
    <w:rsid w:val="7815350D"/>
    <w:rsid w:val="7815DB24"/>
    <w:rsid w:val="781A4F2D"/>
    <w:rsid w:val="786098F1"/>
    <w:rsid w:val="78769CBC"/>
    <w:rsid w:val="7889A50E"/>
    <w:rsid w:val="78A6D810"/>
    <w:rsid w:val="78BBD4B8"/>
    <w:rsid w:val="78D18430"/>
    <w:rsid w:val="78D6E749"/>
    <w:rsid w:val="78E04739"/>
    <w:rsid w:val="78E0A93E"/>
    <w:rsid w:val="78E5C4BC"/>
    <w:rsid w:val="78F6DCB0"/>
    <w:rsid w:val="79038AA4"/>
    <w:rsid w:val="7916A272"/>
    <w:rsid w:val="791998D5"/>
    <w:rsid w:val="7928B34C"/>
    <w:rsid w:val="7942B905"/>
    <w:rsid w:val="794F09BB"/>
    <w:rsid w:val="7954B768"/>
    <w:rsid w:val="795BDFA3"/>
    <w:rsid w:val="795C4557"/>
    <w:rsid w:val="796D5C70"/>
    <w:rsid w:val="796F3387"/>
    <w:rsid w:val="797B90D5"/>
    <w:rsid w:val="797CDC33"/>
    <w:rsid w:val="797EA96B"/>
    <w:rsid w:val="79888D13"/>
    <w:rsid w:val="798CDD73"/>
    <w:rsid w:val="79988D2F"/>
    <w:rsid w:val="79A2AE72"/>
    <w:rsid w:val="79B27917"/>
    <w:rsid w:val="79BEA163"/>
    <w:rsid w:val="79CA983F"/>
    <w:rsid w:val="79D8E045"/>
    <w:rsid w:val="79E35783"/>
    <w:rsid w:val="79E75CA3"/>
    <w:rsid w:val="7A02CAA5"/>
    <w:rsid w:val="7A0335E7"/>
    <w:rsid w:val="7A05EEFD"/>
    <w:rsid w:val="7A081788"/>
    <w:rsid w:val="7A126547"/>
    <w:rsid w:val="7A14C4EA"/>
    <w:rsid w:val="7A16AE35"/>
    <w:rsid w:val="7A282C15"/>
    <w:rsid w:val="7A37A1AD"/>
    <w:rsid w:val="7A3A0F52"/>
    <w:rsid w:val="7A407A62"/>
    <w:rsid w:val="7A661258"/>
    <w:rsid w:val="7A676982"/>
    <w:rsid w:val="7A6A258E"/>
    <w:rsid w:val="7A6F9C58"/>
    <w:rsid w:val="7A800BB9"/>
    <w:rsid w:val="7A88AC29"/>
    <w:rsid w:val="7A8CD56C"/>
    <w:rsid w:val="7A966BCA"/>
    <w:rsid w:val="7A9D6B8B"/>
    <w:rsid w:val="7AB48CD1"/>
    <w:rsid w:val="7AB75E8D"/>
    <w:rsid w:val="7AB7B406"/>
    <w:rsid w:val="7ABB70DC"/>
    <w:rsid w:val="7ABE544E"/>
    <w:rsid w:val="7AC199CE"/>
    <w:rsid w:val="7AD8AE7C"/>
    <w:rsid w:val="7AE1EE91"/>
    <w:rsid w:val="7AF47D57"/>
    <w:rsid w:val="7AF6CD5E"/>
    <w:rsid w:val="7AFE49B5"/>
    <w:rsid w:val="7B08FD0C"/>
    <w:rsid w:val="7B3F14F4"/>
    <w:rsid w:val="7B432247"/>
    <w:rsid w:val="7B490B89"/>
    <w:rsid w:val="7B5AE001"/>
    <w:rsid w:val="7B657A47"/>
    <w:rsid w:val="7B67CAE2"/>
    <w:rsid w:val="7B6C32AF"/>
    <w:rsid w:val="7B6F308A"/>
    <w:rsid w:val="7B73B1B8"/>
    <w:rsid w:val="7B93D4EE"/>
    <w:rsid w:val="7B9C2B2C"/>
    <w:rsid w:val="7B9F8EF1"/>
    <w:rsid w:val="7BA6AF84"/>
    <w:rsid w:val="7BB134D0"/>
    <w:rsid w:val="7BBC8B38"/>
    <w:rsid w:val="7BC4DD3E"/>
    <w:rsid w:val="7BDE4FCE"/>
    <w:rsid w:val="7BE57224"/>
    <w:rsid w:val="7BED07E5"/>
    <w:rsid w:val="7BEF1E06"/>
    <w:rsid w:val="7BF3799B"/>
    <w:rsid w:val="7C0B953B"/>
    <w:rsid w:val="7C2B2D90"/>
    <w:rsid w:val="7C2B98E9"/>
    <w:rsid w:val="7C323878"/>
    <w:rsid w:val="7C3329BF"/>
    <w:rsid w:val="7C3C2E53"/>
    <w:rsid w:val="7C400685"/>
    <w:rsid w:val="7C4086F7"/>
    <w:rsid w:val="7C44B9F0"/>
    <w:rsid w:val="7C46020E"/>
    <w:rsid w:val="7C5CE09C"/>
    <w:rsid w:val="7C62F3A7"/>
    <w:rsid w:val="7C6F2B9E"/>
    <w:rsid w:val="7C7A512D"/>
    <w:rsid w:val="7CAA9F7D"/>
    <w:rsid w:val="7CCC1B32"/>
    <w:rsid w:val="7CCC40B7"/>
    <w:rsid w:val="7CDE0CC4"/>
    <w:rsid w:val="7CE26C60"/>
    <w:rsid w:val="7CE498FF"/>
    <w:rsid w:val="7CE5A73B"/>
    <w:rsid w:val="7CF62849"/>
    <w:rsid w:val="7D0E36AB"/>
    <w:rsid w:val="7D1BB64E"/>
    <w:rsid w:val="7D1C7ABA"/>
    <w:rsid w:val="7D224395"/>
    <w:rsid w:val="7D27C20B"/>
    <w:rsid w:val="7D2CBB19"/>
    <w:rsid w:val="7D38A4EE"/>
    <w:rsid w:val="7D4C8670"/>
    <w:rsid w:val="7D5ACE3A"/>
    <w:rsid w:val="7D6FCB95"/>
    <w:rsid w:val="7D8C8CB6"/>
    <w:rsid w:val="7D90C624"/>
    <w:rsid w:val="7D945AD2"/>
    <w:rsid w:val="7D998DD1"/>
    <w:rsid w:val="7DA1BC81"/>
    <w:rsid w:val="7DB2EBC2"/>
    <w:rsid w:val="7DC3A7C3"/>
    <w:rsid w:val="7DDCE700"/>
    <w:rsid w:val="7DECDF8F"/>
    <w:rsid w:val="7E0CAC74"/>
    <w:rsid w:val="7E13E8B6"/>
    <w:rsid w:val="7E1A0D89"/>
    <w:rsid w:val="7E20A1A6"/>
    <w:rsid w:val="7E22486D"/>
    <w:rsid w:val="7E240DA3"/>
    <w:rsid w:val="7E29D030"/>
    <w:rsid w:val="7E3D253E"/>
    <w:rsid w:val="7E4D391E"/>
    <w:rsid w:val="7E559D2B"/>
    <w:rsid w:val="7E7D0BA2"/>
    <w:rsid w:val="7E87F91D"/>
    <w:rsid w:val="7E9CACF8"/>
    <w:rsid w:val="7EA9B531"/>
    <w:rsid w:val="7EC56F38"/>
    <w:rsid w:val="7EDBFFA1"/>
    <w:rsid w:val="7EDEE92A"/>
    <w:rsid w:val="7EE9A327"/>
    <w:rsid w:val="7EF67ED9"/>
    <w:rsid w:val="7F20397A"/>
    <w:rsid w:val="7F2ADD8C"/>
    <w:rsid w:val="7F457613"/>
    <w:rsid w:val="7F74A249"/>
    <w:rsid w:val="7F76C35D"/>
    <w:rsid w:val="7FA292F5"/>
    <w:rsid w:val="7FA7C460"/>
    <w:rsid w:val="7FBDD25F"/>
    <w:rsid w:val="7FC20CFB"/>
    <w:rsid w:val="7FCE60A4"/>
    <w:rsid w:val="7FE45739"/>
    <w:rsid w:val="7FEF6337"/>
    <w:rsid w:val="7FF190E5"/>
    <w:rsid w:val="7FF5D1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FC7455"/>
  <w15:chartTrackingRefBased/>
  <w15:docId w15:val="{B031B113-F018-4273-8A28-FD38FB213368}"/>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ind w:left="720" w:right="2160" w:hanging="720"/>
    </w:pPr>
    <w:rPr>
      <w:rFonts w:eastAsiaTheme="majorEastAsia" w:cstheme="majorBidi"/>
      <w:szCs w:val="32"/>
    </w:rPr>
  </w:style>
  <w:style w:type="paragraph" w:styleId="Heading2">
    <w:name w:val="heading 2"/>
    <w:basedOn w:val="Dummy"/>
    <w:next w:val="Standard"/>
    <w:link w:val="Heading2Char"/>
    <w:uiPriority w:val="4"/>
    <w:qFormat/>
    <w:rsid w:val="000E270A"/>
    <w:pPr>
      <w:tabs>
        <w:tab w:val="num" w:pos="1080"/>
      </w:tabs>
      <w:ind w:left="1080" w:right="2160" w:hanging="720"/>
      <w:outlineLvl w:val="1"/>
    </w:pPr>
  </w:style>
  <w:style w:type="paragraph" w:styleId="Heading3">
    <w:name w:val="heading 3"/>
    <w:basedOn w:val="Dummy"/>
    <w:next w:val="Standard"/>
    <w:link w:val="Heading3Char"/>
    <w:uiPriority w:val="4"/>
    <w:qFormat/>
    <w:rsid w:val="000E270A"/>
    <w:pPr>
      <w:tabs>
        <w:tab w:val="num" w:pos="1656"/>
      </w:tabs>
      <w:ind w:left="1656" w:right="2160" w:hanging="936"/>
      <w:outlineLvl w:val="2"/>
    </w:pPr>
    <w:rPr>
      <w:rFonts w:eastAsiaTheme="majorEastAsia" w:cstheme="majorBidi"/>
      <w:szCs w:val="24"/>
    </w:rPr>
  </w:style>
  <w:style w:type="paragraph" w:styleId="Heading4">
    <w:name w:val="heading 4"/>
    <w:basedOn w:val="Dummy"/>
    <w:next w:val="Standard"/>
    <w:link w:val="Heading4Char"/>
    <w:uiPriority w:val="4"/>
    <w:rsid w:val="000E270A"/>
    <w:pPr>
      <w:tabs>
        <w:tab w:val="num" w:pos="2232"/>
      </w:tabs>
      <w:ind w:left="2232" w:right="2160" w:hanging="1152"/>
      <w:outlineLvl w:val="3"/>
    </w:pPr>
    <w:rPr>
      <w:rFonts w:eastAsiaTheme="majorEastAsia" w:cstheme="majorBidi"/>
      <w:iCs/>
    </w:rPr>
  </w:style>
  <w:style w:type="paragraph" w:styleId="Heading5">
    <w:name w:val="heading 5"/>
    <w:basedOn w:val="Dummy"/>
    <w:next w:val="Standard"/>
    <w:link w:val="Heading5Char"/>
    <w:uiPriority w:val="4"/>
    <w:rsid w:val="000E270A"/>
    <w:pPr>
      <w:tabs>
        <w:tab w:val="num" w:pos="2880"/>
      </w:tabs>
      <w:ind w:left="2880" w:right="2160" w:hanging="1440"/>
      <w:outlineLvl w:val="4"/>
    </w:pPr>
    <w:rPr>
      <w:rFonts w:eastAsiaTheme="majorEastAsia" w:cstheme="majorBidi"/>
    </w:rPr>
  </w:style>
  <w:style w:type="paragraph" w:styleId="Heading6">
    <w:name w:val="heading 6"/>
    <w:basedOn w:val="Dummy"/>
    <w:next w:val="Standard"/>
    <w:link w:val="Heading6Char"/>
    <w:uiPriority w:val="4"/>
    <w:rsid w:val="000E270A"/>
    <w:pPr>
      <w:tabs>
        <w:tab w:val="num" w:pos="3528"/>
      </w:tabs>
      <w:spacing w:before="40"/>
      <w:ind w:left="3528" w:right="2160" w:hanging="1728"/>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287BC5"/>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3"/>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semiHidden/>
    <w:rsid w:val="00EE3060"/>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basedOn w:val="Normal"/>
    <w:link w:val="FootnoteTextChar"/>
    <w:uiPriority w:val="40"/>
    <w:rsid w:val="00B01F7E"/>
    <w:pPr>
      <w:spacing w:after="120" w:line="240" w:lineRule="auto"/>
      <w:ind w:firstLine="0"/>
    </w:pPr>
    <w:rPr>
      <w:sz w:val="22"/>
      <w:szCs w:val="20"/>
    </w:rPr>
  </w:style>
  <w:style w:type="character" w:customStyle="1" w:styleId="FootnoteTextChar">
    <w:name w:val="Footnote Text Char"/>
    <w:basedOn w:val="DefaultParagraphFont"/>
    <w:link w:val="FootnoteText"/>
    <w:uiPriority w:val="40"/>
    <w:rsid w:val="007657C1"/>
    <w:rPr>
      <w:rFonts w:ascii="Book Antiqua" w:hAnsi="Book Antiqua"/>
      <w:szCs w:val="20"/>
    </w:rPr>
  </w:style>
  <w:style w:type="character" w:styleId="FootnoteReference">
    <w:name w:val="footnote reference"/>
    <w:basedOn w:val="DefaultParagraphFont"/>
    <w:uiPriority w:val="99"/>
    <w:semiHidden/>
    <w:unhideWhenUsed/>
    <w:rsid w:val="00DF58E7"/>
    <w:rPr>
      <w:vertAlign w:val="superscript"/>
    </w:rPr>
  </w:style>
  <w:style w:type="paragraph" w:customStyle="1" w:styleId="FoF">
    <w:name w:val="FoF"/>
    <w:basedOn w:val="Standard"/>
    <w:uiPriority w:val="6"/>
    <w:qFormat/>
    <w:rsid w:val="001E2A62"/>
    <w:pPr>
      <w:ind w:firstLine="540"/>
    </w:pPr>
  </w:style>
  <w:style w:type="paragraph" w:customStyle="1" w:styleId="CoL">
    <w:name w:val="CoL"/>
    <w:basedOn w:val="Standard"/>
    <w:uiPriority w:val="7"/>
    <w:qFormat/>
    <w:rsid w:val="001E2A62"/>
    <w:pPr>
      <w:ind w:firstLine="547"/>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Normal"/>
    <w:uiPriority w:val="8"/>
    <w:qFormat/>
    <w:rsid w:val="00E425F7"/>
    <w:pPr>
      <w:keepNext/>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7"/>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spacing w:after="120" w:line="240" w:lineRule="auto"/>
      <w:ind w:left="1080" w:hanging="360"/>
    </w:pPr>
  </w:style>
  <w:style w:type="paragraph" w:styleId="ListBullet">
    <w:name w:val="List Bullet"/>
    <w:basedOn w:val="Standard"/>
    <w:uiPriority w:val="4"/>
    <w:qFormat/>
    <w:rsid w:val="001F2819"/>
    <w:pPr>
      <w:numPr>
        <w:numId w:val="10"/>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tabs>
        <w:tab w:val="num" w:pos="1080"/>
      </w:tabs>
      <w:spacing w:after="120" w:line="240" w:lineRule="auto"/>
      <w:ind w:left="1080" w:hanging="360"/>
    </w:pPr>
  </w:style>
  <w:style w:type="character" w:styleId="UnresolvedMention">
    <w:name w:val="Unresolved Mention"/>
    <w:basedOn w:val="DefaultParagraphFont"/>
    <w:uiPriority w:val="99"/>
    <w:semiHidden/>
    <w:unhideWhenUsed/>
    <w:rsid w:val="00A56849"/>
    <w:rPr>
      <w:color w:val="605E5C"/>
      <w:shd w:val="clear" w:color="auto" w:fill="E1DFDD"/>
    </w:rPr>
  </w:style>
  <w:style w:type="character" w:styleId="CommentReference">
    <w:name w:val="annotation reference"/>
    <w:basedOn w:val="DefaultParagraphFont"/>
    <w:uiPriority w:val="99"/>
    <w:semiHidden/>
    <w:unhideWhenUsed/>
    <w:rsid w:val="00003538"/>
    <w:rPr>
      <w:sz w:val="16"/>
      <w:szCs w:val="16"/>
    </w:rPr>
  </w:style>
  <w:style w:type="paragraph" w:styleId="CommentText">
    <w:name w:val="annotation text"/>
    <w:basedOn w:val="Normal"/>
    <w:link w:val="CommentTextChar"/>
    <w:uiPriority w:val="99"/>
    <w:unhideWhenUsed/>
    <w:rsid w:val="00003538"/>
    <w:pPr>
      <w:spacing w:line="240" w:lineRule="auto"/>
    </w:pPr>
    <w:rPr>
      <w:sz w:val="20"/>
      <w:szCs w:val="20"/>
    </w:rPr>
  </w:style>
  <w:style w:type="character" w:customStyle="1" w:styleId="CommentTextChar">
    <w:name w:val="Comment Text Char"/>
    <w:basedOn w:val="DefaultParagraphFont"/>
    <w:link w:val="CommentText"/>
    <w:uiPriority w:val="99"/>
    <w:rsid w:val="00003538"/>
    <w:rPr>
      <w:rFonts w:ascii="Book Antiqua" w:hAnsi="Book Antiqua"/>
      <w:sz w:val="20"/>
      <w:szCs w:val="20"/>
    </w:rPr>
  </w:style>
  <w:style w:type="paragraph" w:customStyle="1" w:styleId="paragraph">
    <w:name w:val="paragraph"/>
    <w:basedOn w:val="Normal"/>
    <w:rsid w:val="0037559A"/>
    <w:pPr>
      <w:spacing w:before="100" w:beforeAutospacing="1" w:after="100" w:afterAutospacing="1" w:line="240" w:lineRule="auto"/>
      <w:ind w:firstLine="0"/>
    </w:pPr>
    <w:rPr>
      <w:rFonts w:ascii="Times New Roman" w:eastAsia="Times New Roman" w:hAnsi="Times New Roman" w:cs="Times New Roman"/>
      <w:sz w:val="24"/>
      <w:szCs w:val="24"/>
    </w:rPr>
  </w:style>
  <w:style w:type="character" w:customStyle="1" w:styleId="normaltextrun">
    <w:name w:val="normaltextrun"/>
    <w:basedOn w:val="DefaultParagraphFont"/>
    <w:rsid w:val="0037559A"/>
  </w:style>
  <w:style w:type="character" w:customStyle="1" w:styleId="eop">
    <w:name w:val="eop"/>
    <w:basedOn w:val="DefaultParagraphFont"/>
    <w:rsid w:val="0037559A"/>
  </w:style>
  <w:style w:type="character" w:customStyle="1" w:styleId="superscript">
    <w:name w:val="superscript"/>
    <w:basedOn w:val="DefaultParagraphFont"/>
    <w:rsid w:val="00D77F5A"/>
  </w:style>
  <w:style w:type="paragraph" w:styleId="Revision">
    <w:name w:val="Revision"/>
    <w:hidden/>
    <w:uiPriority w:val="99"/>
    <w:semiHidden/>
    <w:rsid w:val="00B97985"/>
    <w:pPr>
      <w:spacing w:after="0" w:line="240" w:lineRule="auto"/>
    </w:pPr>
    <w:rPr>
      <w:rFonts w:ascii="Book Antiqua" w:hAnsi="Book Antiqua"/>
      <w:sz w:val="26"/>
    </w:rPr>
  </w:style>
  <w:style w:type="paragraph" w:styleId="CommentSubject">
    <w:name w:val="annotation subject"/>
    <w:basedOn w:val="CommentText"/>
    <w:next w:val="CommentText"/>
    <w:link w:val="CommentSubjectChar"/>
    <w:uiPriority w:val="99"/>
    <w:semiHidden/>
    <w:unhideWhenUsed/>
    <w:rsid w:val="005C690D"/>
    <w:rPr>
      <w:b/>
      <w:bCs/>
    </w:rPr>
  </w:style>
  <w:style w:type="character" w:customStyle="1" w:styleId="CommentSubjectChar">
    <w:name w:val="Comment Subject Char"/>
    <w:basedOn w:val="CommentTextChar"/>
    <w:link w:val="CommentSubject"/>
    <w:uiPriority w:val="99"/>
    <w:semiHidden/>
    <w:rsid w:val="005C690D"/>
    <w:rPr>
      <w:rFonts w:ascii="Book Antiqua" w:hAnsi="Book Antiqua"/>
      <w:b/>
      <w:bCs/>
      <w:sz w:val="20"/>
      <w:szCs w:val="20"/>
    </w:rPr>
  </w:style>
  <w:style w:type="paragraph" w:styleId="ListParagraph">
    <w:name w:val="List Paragraph"/>
    <w:basedOn w:val="Normal"/>
    <w:uiPriority w:val="34"/>
    <w:qFormat/>
    <w:rsid w:val="00723E27"/>
    <w:pPr>
      <w:ind w:left="720"/>
      <w:contextualSpacing/>
    </w:pPr>
  </w:style>
  <w:style w:type="character" w:styleId="Mention">
    <w:name w:val="Mention"/>
    <w:basedOn w:val="DefaultParagraphFont"/>
    <w:uiPriority w:val="99"/>
    <w:unhideWhenUsed/>
    <w:rsid w:val="00CB14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10592">
      <w:bodyDiv w:val="1"/>
      <w:marLeft w:val="0"/>
      <w:marRight w:val="0"/>
      <w:marTop w:val="0"/>
      <w:marBottom w:val="0"/>
      <w:divBdr>
        <w:top w:val="none" w:sz="0" w:space="0" w:color="auto"/>
        <w:left w:val="none" w:sz="0" w:space="0" w:color="auto"/>
        <w:bottom w:val="none" w:sz="0" w:space="0" w:color="auto"/>
        <w:right w:val="none" w:sz="0" w:space="0" w:color="auto"/>
      </w:divBdr>
    </w:div>
    <w:div w:id="171140844">
      <w:bodyDiv w:val="1"/>
      <w:marLeft w:val="0"/>
      <w:marRight w:val="0"/>
      <w:marTop w:val="0"/>
      <w:marBottom w:val="0"/>
      <w:divBdr>
        <w:top w:val="none" w:sz="0" w:space="0" w:color="auto"/>
        <w:left w:val="none" w:sz="0" w:space="0" w:color="auto"/>
        <w:bottom w:val="none" w:sz="0" w:space="0" w:color="auto"/>
        <w:right w:val="none" w:sz="0" w:space="0" w:color="auto"/>
      </w:divBdr>
      <w:divsChild>
        <w:div w:id="1610316775">
          <w:marLeft w:val="0"/>
          <w:marRight w:val="0"/>
          <w:marTop w:val="0"/>
          <w:marBottom w:val="0"/>
          <w:divBdr>
            <w:top w:val="none" w:sz="0" w:space="0" w:color="auto"/>
            <w:left w:val="none" w:sz="0" w:space="0" w:color="auto"/>
            <w:bottom w:val="none" w:sz="0" w:space="0" w:color="auto"/>
            <w:right w:val="none" w:sz="0" w:space="0" w:color="auto"/>
          </w:divBdr>
          <w:divsChild>
            <w:div w:id="311643968">
              <w:marLeft w:val="0"/>
              <w:marRight w:val="0"/>
              <w:marTop w:val="0"/>
              <w:marBottom w:val="0"/>
              <w:divBdr>
                <w:top w:val="none" w:sz="0" w:space="0" w:color="auto"/>
                <w:left w:val="none" w:sz="0" w:space="0" w:color="auto"/>
                <w:bottom w:val="none" w:sz="0" w:space="0" w:color="auto"/>
                <w:right w:val="none" w:sz="0" w:space="0" w:color="auto"/>
              </w:divBdr>
            </w:div>
          </w:divsChild>
        </w:div>
        <w:div w:id="2033451281">
          <w:marLeft w:val="0"/>
          <w:marRight w:val="0"/>
          <w:marTop w:val="0"/>
          <w:marBottom w:val="0"/>
          <w:divBdr>
            <w:top w:val="none" w:sz="0" w:space="0" w:color="auto"/>
            <w:left w:val="none" w:sz="0" w:space="0" w:color="auto"/>
            <w:bottom w:val="none" w:sz="0" w:space="0" w:color="auto"/>
            <w:right w:val="none" w:sz="0" w:space="0" w:color="auto"/>
          </w:divBdr>
          <w:divsChild>
            <w:div w:id="183051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93784">
      <w:bodyDiv w:val="1"/>
      <w:marLeft w:val="0"/>
      <w:marRight w:val="0"/>
      <w:marTop w:val="0"/>
      <w:marBottom w:val="0"/>
      <w:divBdr>
        <w:top w:val="none" w:sz="0" w:space="0" w:color="auto"/>
        <w:left w:val="none" w:sz="0" w:space="0" w:color="auto"/>
        <w:bottom w:val="none" w:sz="0" w:space="0" w:color="auto"/>
        <w:right w:val="none" w:sz="0" w:space="0" w:color="auto"/>
      </w:divBdr>
    </w:div>
    <w:div w:id="275447867">
      <w:bodyDiv w:val="1"/>
      <w:marLeft w:val="0"/>
      <w:marRight w:val="0"/>
      <w:marTop w:val="0"/>
      <w:marBottom w:val="0"/>
      <w:divBdr>
        <w:top w:val="none" w:sz="0" w:space="0" w:color="auto"/>
        <w:left w:val="none" w:sz="0" w:space="0" w:color="auto"/>
        <w:bottom w:val="none" w:sz="0" w:space="0" w:color="auto"/>
        <w:right w:val="none" w:sz="0" w:space="0" w:color="auto"/>
      </w:divBdr>
    </w:div>
    <w:div w:id="300353182">
      <w:bodyDiv w:val="1"/>
      <w:marLeft w:val="0"/>
      <w:marRight w:val="0"/>
      <w:marTop w:val="0"/>
      <w:marBottom w:val="0"/>
      <w:divBdr>
        <w:top w:val="none" w:sz="0" w:space="0" w:color="auto"/>
        <w:left w:val="none" w:sz="0" w:space="0" w:color="auto"/>
        <w:bottom w:val="none" w:sz="0" w:space="0" w:color="auto"/>
        <w:right w:val="none" w:sz="0" w:space="0" w:color="auto"/>
      </w:divBdr>
      <w:divsChild>
        <w:div w:id="327709488">
          <w:marLeft w:val="0"/>
          <w:marRight w:val="0"/>
          <w:marTop w:val="0"/>
          <w:marBottom w:val="0"/>
          <w:divBdr>
            <w:top w:val="none" w:sz="0" w:space="0" w:color="auto"/>
            <w:left w:val="none" w:sz="0" w:space="0" w:color="auto"/>
            <w:bottom w:val="none" w:sz="0" w:space="0" w:color="auto"/>
            <w:right w:val="none" w:sz="0" w:space="0" w:color="auto"/>
          </w:divBdr>
          <w:divsChild>
            <w:div w:id="118425968">
              <w:marLeft w:val="-75"/>
              <w:marRight w:val="0"/>
              <w:marTop w:val="30"/>
              <w:marBottom w:val="30"/>
              <w:divBdr>
                <w:top w:val="none" w:sz="0" w:space="0" w:color="auto"/>
                <w:left w:val="none" w:sz="0" w:space="0" w:color="auto"/>
                <w:bottom w:val="none" w:sz="0" w:space="0" w:color="auto"/>
                <w:right w:val="none" w:sz="0" w:space="0" w:color="auto"/>
              </w:divBdr>
              <w:divsChild>
                <w:div w:id="49310268">
                  <w:marLeft w:val="0"/>
                  <w:marRight w:val="0"/>
                  <w:marTop w:val="0"/>
                  <w:marBottom w:val="0"/>
                  <w:divBdr>
                    <w:top w:val="none" w:sz="0" w:space="0" w:color="auto"/>
                    <w:left w:val="none" w:sz="0" w:space="0" w:color="auto"/>
                    <w:bottom w:val="none" w:sz="0" w:space="0" w:color="auto"/>
                    <w:right w:val="none" w:sz="0" w:space="0" w:color="auto"/>
                  </w:divBdr>
                  <w:divsChild>
                    <w:div w:id="442112643">
                      <w:marLeft w:val="0"/>
                      <w:marRight w:val="0"/>
                      <w:marTop w:val="0"/>
                      <w:marBottom w:val="0"/>
                      <w:divBdr>
                        <w:top w:val="none" w:sz="0" w:space="0" w:color="auto"/>
                        <w:left w:val="none" w:sz="0" w:space="0" w:color="auto"/>
                        <w:bottom w:val="none" w:sz="0" w:space="0" w:color="auto"/>
                        <w:right w:val="none" w:sz="0" w:space="0" w:color="auto"/>
                      </w:divBdr>
                    </w:div>
                    <w:div w:id="897201653">
                      <w:marLeft w:val="0"/>
                      <w:marRight w:val="0"/>
                      <w:marTop w:val="0"/>
                      <w:marBottom w:val="0"/>
                      <w:divBdr>
                        <w:top w:val="none" w:sz="0" w:space="0" w:color="auto"/>
                        <w:left w:val="none" w:sz="0" w:space="0" w:color="auto"/>
                        <w:bottom w:val="none" w:sz="0" w:space="0" w:color="auto"/>
                        <w:right w:val="none" w:sz="0" w:space="0" w:color="auto"/>
                      </w:divBdr>
                    </w:div>
                  </w:divsChild>
                </w:div>
                <w:div w:id="77748668">
                  <w:marLeft w:val="0"/>
                  <w:marRight w:val="0"/>
                  <w:marTop w:val="0"/>
                  <w:marBottom w:val="0"/>
                  <w:divBdr>
                    <w:top w:val="none" w:sz="0" w:space="0" w:color="auto"/>
                    <w:left w:val="none" w:sz="0" w:space="0" w:color="auto"/>
                    <w:bottom w:val="none" w:sz="0" w:space="0" w:color="auto"/>
                    <w:right w:val="none" w:sz="0" w:space="0" w:color="auto"/>
                  </w:divBdr>
                  <w:divsChild>
                    <w:div w:id="184173463">
                      <w:marLeft w:val="0"/>
                      <w:marRight w:val="0"/>
                      <w:marTop w:val="0"/>
                      <w:marBottom w:val="0"/>
                      <w:divBdr>
                        <w:top w:val="none" w:sz="0" w:space="0" w:color="auto"/>
                        <w:left w:val="none" w:sz="0" w:space="0" w:color="auto"/>
                        <w:bottom w:val="none" w:sz="0" w:space="0" w:color="auto"/>
                        <w:right w:val="none" w:sz="0" w:space="0" w:color="auto"/>
                      </w:divBdr>
                    </w:div>
                    <w:div w:id="1377926133">
                      <w:marLeft w:val="0"/>
                      <w:marRight w:val="0"/>
                      <w:marTop w:val="0"/>
                      <w:marBottom w:val="0"/>
                      <w:divBdr>
                        <w:top w:val="none" w:sz="0" w:space="0" w:color="auto"/>
                        <w:left w:val="none" w:sz="0" w:space="0" w:color="auto"/>
                        <w:bottom w:val="none" w:sz="0" w:space="0" w:color="auto"/>
                        <w:right w:val="none" w:sz="0" w:space="0" w:color="auto"/>
                      </w:divBdr>
                    </w:div>
                  </w:divsChild>
                </w:div>
                <w:div w:id="166288567">
                  <w:marLeft w:val="0"/>
                  <w:marRight w:val="0"/>
                  <w:marTop w:val="0"/>
                  <w:marBottom w:val="0"/>
                  <w:divBdr>
                    <w:top w:val="none" w:sz="0" w:space="0" w:color="auto"/>
                    <w:left w:val="none" w:sz="0" w:space="0" w:color="auto"/>
                    <w:bottom w:val="none" w:sz="0" w:space="0" w:color="auto"/>
                    <w:right w:val="none" w:sz="0" w:space="0" w:color="auto"/>
                  </w:divBdr>
                  <w:divsChild>
                    <w:div w:id="423497132">
                      <w:marLeft w:val="0"/>
                      <w:marRight w:val="0"/>
                      <w:marTop w:val="0"/>
                      <w:marBottom w:val="0"/>
                      <w:divBdr>
                        <w:top w:val="none" w:sz="0" w:space="0" w:color="auto"/>
                        <w:left w:val="none" w:sz="0" w:space="0" w:color="auto"/>
                        <w:bottom w:val="none" w:sz="0" w:space="0" w:color="auto"/>
                        <w:right w:val="none" w:sz="0" w:space="0" w:color="auto"/>
                      </w:divBdr>
                    </w:div>
                  </w:divsChild>
                </w:div>
                <w:div w:id="263809816">
                  <w:marLeft w:val="0"/>
                  <w:marRight w:val="0"/>
                  <w:marTop w:val="0"/>
                  <w:marBottom w:val="0"/>
                  <w:divBdr>
                    <w:top w:val="none" w:sz="0" w:space="0" w:color="auto"/>
                    <w:left w:val="none" w:sz="0" w:space="0" w:color="auto"/>
                    <w:bottom w:val="none" w:sz="0" w:space="0" w:color="auto"/>
                    <w:right w:val="none" w:sz="0" w:space="0" w:color="auto"/>
                  </w:divBdr>
                  <w:divsChild>
                    <w:div w:id="248275455">
                      <w:marLeft w:val="0"/>
                      <w:marRight w:val="0"/>
                      <w:marTop w:val="0"/>
                      <w:marBottom w:val="0"/>
                      <w:divBdr>
                        <w:top w:val="none" w:sz="0" w:space="0" w:color="auto"/>
                        <w:left w:val="none" w:sz="0" w:space="0" w:color="auto"/>
                        <w:bottom w:val="none" w:sz="0" w:space="0" w:color="auto"/>
                        <w:right w:val="none" w:sz="0" w:space="0" w:color="auto"/>
                      </w:divBdr>
                    </w:div>
                  </w:divsChild>
                </w:div>
                <w:div w:id="311642615">
                  <w:marLeft w:val="0"/>
                  <w:marRight w:val="0"/>
                  <w:marTop w:val="0"/>
                  <w:marBottom w:val="0"/>
                  <w:divBdr>
                    <w:top w:val="none" w:sz="0" w:space="0" w:color="auto"/>
                    <w:left w:val="none" w:sz="0" w:space="0" w:color="auto"/>
                    <w:bottom w:val="none" w:sz="0" w:space="0" w:color="auto"/>
                    <w:right w:val="none" w:sz="0" w:space="0" w:color="auto"/>
                  </w:divBdr>
                  <w:divsChild>
                    <w:div w:id="1039554667">
                      <w:marLeft w:val="0"/>
                      <w:marRight w:val="0"/>
                      <w:marTop w:val="0"/>
                      <w:marBottom w:val="0"/>
                      <w:divBdr>
                        <w:top w:val="none" w:sz="0" w:space="0" w:color="auto"/>
                        <w:left w:val="none" w:sz="0" w:space="0" w:color="auto"/>
                        <w:bottom w:val="none" w:sz="0" w:space="0" w:color="auto"/>
                        <w:right w:val="none" w:sz="0" w:space="0" w:color="auto"/>
                      </w:divBdr>
                    </w:div>
                  </w:divsChild>
                </w:div>
                <w:div w:id="366686367">
                  <w:marLeft w:val="0"/>
                  <w:marRight w:val="0"/>
                  <w:marTop w:val="0"/>
                  <w:marBottom w:val="0"/>
                  <w:divBdr>
                    <w:top w:val="none" w:sz="0" w:space="0" w:color="auto"/>
                    <w:left w:val="none" w:sz="0" w:space="0" w:color="auto"/>
                    <w:bottom w:val="none" w:sz="0" w:space="0" w:color="auto"/>
                    <w:right w:val="none" w:sz="0" w:space="0" w:color="auto"/>
                  </w:divBdr>
                  <w:divsChild>
                    <w:div w:id="2001616274">
                      <w:marLeft w:val="0"/>
                      <w:marRight w:val="0"/>
                      <w:marTop w:val="0"/>
                      <w:marBottom w:val="0"/>
                      <w:divBdr>
                        <w:top w:val="none" w:sz="0" w:space="0" w:color="auto"/>
                        <w:left w:val="none" w:sz="0" w:space="0" w:color="auto"/>
                        <w:bottom w:val="none" w:sz="0" w:space="0" w:color="auto"/>
                        <w:right w:val="none" w:sz="0" w:space="0" w:color="auto"/>
                      </w:divBdr>
                    </w:div>
                  </w:divsChild>
                </w:div>
                <w:div w:id="373163848">
                  <w:marLeft w:val="0"/>
                  <w:marRight w:val="0"/>
                  <w:marTop w:val="0"/>
                  <w:marBottom w:val="0"/>
                  <w:divBdr>
                    <w:top w:val="none" w:sz="0" w:space="0" w:color="auto"/>
                    <w:left w:val="none" w:sz="0" w:space="0" w:color="auto"/>
                    <w:bottom w:val="none" w:sz="0" w:space="0" w:color="auto"/>
                    <w:right w:val="none" w:sz="0" w:space="0" w:color="auto"/>
                  </w:divBdr>
                  <w:divsChild>
                    <w:div w:id="1358964629">
                      <w:marLeft w:val="0"/>
                      <w:marRight w:val="0"/>
                      <w:marTop w:val="0"/>
                      <w:marBottom w:val="0"/>
                      <w:divBdr>
                        <w:top w:val="none" w:sz="0" w:space="0" w:color="auto"/>
                        <w:left w:val="none" w:sz="0" w:space="0" w:color="auto"/>
                        <w:bottom w:val="none" w:sz="0" w:space="0" w:color="auto"/>
                        <w:right w:val="none" w:sz="0" w:space="0" w:color="auto"/>
                      </w:divBdr>
                    </w:div>
                  </w:divsChild>
                </w:div>
                <w:div w:id="386295642">
                  <w:marLeft w:val="0"/>
                  <w:marRight w:val="0"/>
                  <w:marTop w:val="0"/>
                  <w:marBottom w:val="0"/>
                  <w:divBdr>
                    <w:top w:val="none" w:sz="0" w:space="0" w:color="auto"/>
                    <w:left w:val="none" w:sz="0" w:space="0" w:color="auto"/>
                    <w:bottom w:val="none" w:sz="0" w:space="0" w:color="auto"/>
                    <w:right w:val="none" w:sz="0" w:space="0" w:color="auto"/>
                  </w:divBdr>
                  <w:divsChild>
                    <w:div w:id="287013827">
                      <w:marLeft w:val="0"/>
                      <w:marRight w:val="0"/>
                      <w:marTop w:val="0"/>
                      <w:marBottom w:val="0"/>
                      <w:divBdr>
                        <w:top w:val="none" w:sz="0" w:space="0" w:color="auto"/>
                        <w:left w:val="none" w:sz="0" w:space="0" w:color="auto"/>
                        <w:bottom w:val="none" w:sz="0" w:space="0" w:color="auto"/>
                        <w:right w:val="none" w:sz="0" w:space="0" w:color="auto"/>
                      </w:divBdr>
                    </w:div>
                  </w:divsChild>
                </w:div>
                <w:div w:id="409236063">
                  <w:marLeft w:val="0"/>
                  <w:marRight w:val="0"/>
                  <w:marTop w:val="0"/>
                  <w:marBottom w:val="0"/>
                  <w:divBdr>
                    <w:top w:val="none" w:sz="0" w:space="0" w:color="auto"/>
                    <w:left w:val="none" w:sz="0" w:space="0" w:color="auto"/>
                    <w:bottom w:val="none" w:sz="0" w:space="0" w:color="auto"/>
                    <w:right w:val="none" w:sz="0" w:space="0" w:color="auto"/>
                  </w:divBdr>
                  <w:divsChild>
                    <w:div w:id="815992697">
                      <w:marLeft w:val="0"/>
                      <w:marRight w:val="0"/>
                      <w:marTop w:val="0"/>
                      <w:marBottom w:val="0"/>
                      <w:divBdr>
                        <w:top w:val="none" w:sz="0" w:space="0" w:color="auto"/>
                        <w:left w:val="none" w:sz="0" w:space="0" w:color="auto"/>
                        <w:bottom w:val="none" w:sz="0" w:space="0" w:color="auto"/>
                        <w:right w:val="none" w:sz="0" w:space="0" w:color="auto"/>
                      </w:divBdr>
                    </w:div>
                  </w:divsChild>
                </w:div>
                <w:div w:id="419718992">
                  <w:marLeft w:val="0"/>
                  <w:marRight w:val="0"/>
                  <w:marTop w:val="0"/>
                  <w:marBottom w:val="0"/>
                  <w:divBdr>
                    <w:top w:val="none" w:sz="0" w:space="0" w:color="auto"/>
                    <w:left w:val="none" w:sz="0" w:space="0" w:color="auto"/>
                    <w:bottom w:val="none" w:sz="0" w:space="0" w:color="auto"/>
                    <w:right w:val="none" w:sz="0" w:space="0" w:color="auto"/>
                  </w:divBdr>
                  <w:divsChild>
                    <w:div w:id="427501181">
                      <w:marLeft w:val="0"/>
                      <w:marRight w:val="0"/>
                      <w:marTop w:val="0"/>
                      <w:marBottom w:val="0"/>
                      <w:divBdr>
                        <w:top w:val="none" w:sz="0" w:space="0" w:color="auto"/>
                        <w:left w:val="none" w:sz="0" w:space="0" w:color="auto"/>
                        <w:bottom w:val="none" w:sz="0" w:space="0" w:color="auto"/>
                        <w:right w:val="none" w:sz="0" w:space="0" w:color="auto"/>
                      </w:divBdr>
                    </w:div>
                  </w:divsChild>
                </w:div>
                <w:div w:id="491454849">
                  <w:marLeft w:val="0"/>
                  <w:marRight w:val="0"/>
                  <w:marTop w:val="0"/>
                  <w:marBottom w:val="0"/>
                  <w:divBdr>
                    <w:top w:val="none" w:sz="0" w:space="0" w:color="auto"/>
                    <w:left w:val="none" w:sz="0" w:space="0" w:color="auto"/>
                    <w:bottom w:val="none" w:sz="0" w:space="0" w:color="auto"/>
                    <w:right w:val="none" w:sz="0" w:space="0" w:color="auto"/>
                  </w:divBdr>
                  <w:divsChild>
                    <w:div w:id="99422020">
                      <w:marLeft w:val="0"/>
                      <w:marRight w:val="0"/>
                      <w:marTop w:val="0"/>
                      <w:marBottom w:val="0"/>
                      <w:divBdr>
                        <w:top w:val="none" w:sz="0" w:space="0" w:color="auto"/>
                        <w:left w:val="none" w:sz="0" w:space="0" w:color="auto"/>
                        <w:bottom w:val="none" w:sz="0" w:space="0" w:color="auto"/>
                        <w:right w:val="none" w:sz="0" w:space="0" w:color="auto"/>
                      </w:divBdr>
                    </w:div>
                  </w:divsChild>
                </w:div>
                <w:div w:id="587616128">
                  <w:marLeft w:val="0"/>
                  <w:marRight w:val="0"/>
                  <w:marTop w:val="0"/>
                  <w:marBottom w:val="0"/>
                  <w:divBdr>
                    <w:top w:val="none" w:sz="0" w:space="0" w:color="auto"/>
                    <w:left w:val="none" w:sz="0" w:space="0" w:color="auto"/>
                    <w:bottom w:val="none" w:sz="0" w:space="0" w:color="auto"/>
                    <w:right w:val="none" w:sz="0" w:space="0" w:color="auto"/>
                  </w:divBdr>
                  <w:divsChild>
                    <w:div w:id="1093159709">
                      <w:marLeft w:val="0"/>
                      <w:marRight w:val="0"/>
                      <w:marTop w:val="0"/>
                      <w:marBottom w:val="0"/>
                      <w:divBdr>
                        <w:top w:val="none" w:sz="0" w:space="0" w:color="auto"/>
                        <w:left w:val="none" w:sz="0" w:space="0" w:color="auto"/>
                        <w:bottom w:val="none" w:sz="0" w:space="0" w:color="auto"/>
                        <w:right w:val="none" w:sz="0" w:space="0" w:color="auto"/>
                      </w:divBdr>
                    </w:div>
                  </w:divsChild>
                </w:div>
                <w:div w:id="611088261">
                  <w:marLeft w:val="0"/>
                  <w:marRight w:val="0"/>
                  <w:marTop w:val="0"/>
                  <w:marBottom w:val="0"/>
                  <w:divBdr>
                    <w:top w:val="none" w:sz="0" w:space="0" w:color="auto"/>
                    <w:left w:val="none" w:sz="0" w:space="0" w:color="auto"/>
                    <w:bottom w:val="none" w:sz="0" w:space="0" w:color="auto"/>
                    <w:right w:val="none" w:sz="0" w:space="0" w:color="auto"/>
                  </w:divBdr>
                  <w:divsChild>
                    <w:div w:id="2079356317">
                      <w:marLeft w:val="0"/>
                      <w:marRight w:val="0"/>
                      <w:marTop w:val="0"/>
                      <w:marBottom w:val="0"/>
                      <w:divBdr>
                        <w:top w:val="none" w:sz="0" w:space="0" w:color="auto"/>
                        <w:left w:val="none" w:sz="0" w:space="0" w:color="auto"/>
                        <w:bottom w:val="none" w:sz="0" w:space="0" w:color="auto"/>
                        <w:right w:val="none" w:sz="0" w:space="0" w:color="auto"/>
                      </w:divBdr>
                    </w:div>
                  </w:divsChild>
                </w:div>
                <w:div w:id="733623705">
                  <w:marLeft w:val="0"/>
                  <w:marRight w:val="0"/>
                  <w:marTop w:val="0"/>
                  <w:marBottom w:val="0"/>
                  <w:divBdr>
                    <w:top w:val="none" w:sz="0" w:space="0" w:color="auto"/>
                    <w:left w:val="none" w:sz="0" w:space="0" w:color="auto"/>
                    <w:bottom w:val="none" w:sz="0" w:space="0" w:color="auto"/>
                    <w:right w:val="none" w:sz="0" w:space="0" w:color="auto"/>
                  </w:divBdr>
                  <w:divsChild>
                    <w:div w:id="1106731960">
                      <w:marLeft w:val="0"/>
                      <w:marRight w:val="0"/>
                      <w:marTop w:val="0"/>
                      <w:marBottom w:val="0"/>
                      <w:divBdr>
                        <w:top w:val="none" w:sz="0" w:space="0" w:color="auto"/>
                        <w:left w:val="none" w:sz="0" w:space="0" w:color="auto"/>
                        <w:bottom w:val="none" w:sz="0" w:space="0" w:color="auto"/>
                        <w:right w:val="none" w:sz="0" w:space="0" w:color="auto"/>
                      </w:divBdr>
                    </w:div>
                  </w:divsChild>
                </w:div>
                <w:div w:id="824711902">
                  <w:marLeft w:val="0"/>
                  <w:marRight w:val="0"/>
                  <w:marTop w:val="0"/>
                  <w:marBottom w:val="0"/>
                  <w:divBdr>
                    <w:top w:val="none" w:sz="0" w:space="0" w:color="auto"/>
                    <w:left w:val="none" w:sz="0" w:space="0" w:color="auto"/>
                    <w:bottom w:val="none" w:sz="0" w:space="0" w:color="auto"/>
                    <w:right w:val="none" w:sz="0" w:space="0" w:color="auto"/>
                  </w:divBdr>
                  <w:divsChild>
                    <w:div w:id="1828938997">
                      <w:marLeft w:val="0"/>
                      <w:marRight w:val="0"/>
                      <w:marTop w:val="0"/>
                      <w:marBottom w:val="0"/>
                      <w:divBdr>
                        <w:top w:val="none" w:sz="0" w:space="0" w:color="auto"/>
                        <w:left w:val="none" w:sz="0" w:space="0" w:color="auto"/>
                        <w:bottom w:val="none" w:sz="0" w:space="0" w:color="auto"/>
                        <w:right w:val="none" w:sz="0" w:space="0" w:color="auto"/>
                      </w:divBdr>
                    </w:div>
                  </w:divsChild>
                </w:div>
                <w:div w:id="901018723">
                  <w:marLeft w:val="0"/>
                  <w:marRight w:val="0"/>
                  <w:marTop w:val="0"/>
                  <w:marBottom w:val="0"/>
                  <w:divBdr>
                    <w:top w:val="none" w:sz="0" w:space="0" w:color="auto"/>
                    <w:left w:val="none" w:sz="0" w:space="0" w:color="auto"/>
                    <w:bottom w:val="none" w:sz="0" w:space="0" w:color="auto"/>
                    <w:right w:val="none" w:sz="0" w:space="0" w:color="auto"/>
                  </w:divBdr>
                  <w:divsChild>
                    <w:div w:id="224797980">
                      <w:marLeft w:val="0"/>
                      <w:marRight w:val="0"/>
                      <w:marTop w:val="0"/>
                      <w:marBottom w:val="0"/>
                      <w:divBdr>
                        <w:top w:val="none" w:sz="0" w:space="0" w:color="auto"/>
                        <w:left w:val="none" w:sz="0" w:space="0" w:color="auto"/>
                        <w:bottom w:val="none" w:sz="0" w:space="0" w:color="auto"/>
                        <w:right w:val="none" w:sz="0" w:space="0" w:color="auto"/>
                      </w:divBdr>
                    </w:div>
                  </w:divsChild>
                </w:div>
                <w:div w:id="999503997">
                  <w:marLeft w:val="0"/>
                  <w:marRight w:val="0"/>
                  <w:marTop w:val="0"/>
                  <w:marBottom w:val="0"/>
                  <w:divBdr>
                    <w:top w:val="none" w:sz="0" w:space="0" w:color="auto"/>
                    <w:left w:val="none" w:sz="0" w:space="0" w:color="auto"/>
                    <w:bottom w:val="none" w:sz="0" w:space="0" w:color="auto"/>
                    <w:right w:val="none" w:sz="0" w:space="0" w:color="auto"/>
                  </w:divBdr>
                  <w:divsChild>
                    <w:div w:id="1785881245">
                      <w:marLeft w:val="0"/>
                      <w:marRight w:val="0"/>
                      <w:marTop w:val="0"/>
                      <w:marBottom w:val="0"/>
                      <w:divBdr>
                        <w:top w:val="none" w:sz="0" w:space="0" w:color="auto"/>
                        <w:left w:val="none" w:sz="0" w:space="0" w:color="auto"/>
                        <w:bottom w:val="none" w:sz="0" w:space="0" w:color="auto"/>
                        <w:right w:val="none" w:sz="0" w:space="0" w:color="auto"/>
                      </w:divBdr>
                    </w:div>
                  </w:divsChild>
                </w:div>
                <w:div w:id="1120496544">
                  <w:marLeft w:val="0"/>
                  <w:marRight w:val="0"/>
                  <w:marTop w:val="0"/>
                  <w:marBottom w:val="0"/>
                  <w:divBdr>
                    <w:top w:val="none" w:sz="0" w:space="0" w:color="auto"/>
                    <w:left w:val="none" w:sz="0" w:space="0" w:color="auto"/>
                    <w:bottom w:val="none" w:sz="0" w:space="0" w:color="auto"/>
                    <w:right w:val="none" w:sz="0" w:space="0" w:color="auto"/>
                  </w:divBdr>
                  <w:divsChild>
                    <w:div w:id="103766331">
                      <w:marLeft w:val="0"/>
                      <w:marRight w:val="0"/>
                      <w:marTop w:val="0"/>
                      <w:marBottom w:val="0"/>
                      <w:divBdr>
                        <w:top w:val="none" w:sz="0" w:space="0" w:color="auto"/>
                        <w:left w:val="none" w:sz="0" w:space="0" w:color="auto"/>
                        <w:bottom w:val="none" w:sz="0" w:space="0" w:color="auto"/>
                        <w:right w:val="none" w:sz="0" w:space="0" w:color="auto"/>
                      </w:divBdr>
                    </w:div>
                  </w:divsChild>
                </w:div>
                <w:div w:id="1177236922">
                  <w:marLeft w:val="0"/>
                  <w:marRight w:val="0"/>
                  <w:marTop w:val="0"/>
                  <w:marBottom w:val="0"/>
                  <w:divBdr>
                    <w:top w:val="none" w:sz="0" w:space="0" w:color="auto"/>
                    <w:left w:val="none" w:sz="0" w:space="0" w:color="auto"/>
                    <w:bottom w:val="none" w:sz="0" w:space="0" w:color="auto"/>
                    <w:right w:val="none" w:sz="0" w:space="0" w:color="auto"/>
                  </w:divBdr>
                  <w:divsChild>
                    <w:div w:id="56170826">
                      <w:marLeft w:val="0"/>
                      <w:marRight w:val="0"/>
                      <w:marTop w:val="0"/>
                      <w:marBottom w:val="0"/>
                      <w:divBdr>
                        <w:top w:val="none" w:sz="0" w:space="0" w:color="auto"/>
                        <w:left w:val="none" w:sz="0" w:space="0" w:color="auto"/>
                        <w:bottom w:val="none" w:sz="0" w:space="0" w:color="auto"/>
                        <w:right w:val="none" w:sz="0" w:space="0" w:color="auto"/>
                      </w:divBdr>
                    </w:div>
                  </w:divsChild>
                </w:div>
                <w:div w:id="1182358621">
                  <w:marLeft w:val="0"/>
                  <w:marRight w:val="0"/>
                  <w:marTop w:val="0"/>
                  <w:marBottom w:val="0"/>
                  <w:divBdr>
                    <w:top w:val="none" w:sz="0" w:space="0" w:color="auto"/>
                    <w:left w:val="none" w:sz="0" w:space="0" w:color="auto"/>
                    <w:bottom w:val="none" w:sz="0" w:space="0" w:color="auto"/>
                    <w:right w:val="none" w:sz="0" w:space="0" w:color="auto"/>
                  </w:divBdr>
                  <w:divsChild>
                    <w:div w:id="331300510">
                      <w:marLeft w:val="0"/>
                      <w:marRight w:val="0"/>
                      <w:marTop w:val="0"/>
                      <w:marBottom w:val="0"/>
                      <w:divBdr>
                        <w:top w:val="none" w:sz="0" w:space="0" w:color="auto"/>
                        <w:left w:val="none" w:sz="0" w:space="0" w:color="auto"/>
                        <w:bottom w:val="none" w:sz="0" w:space="0" w:color="auto"/>
                        <w:right w:val="none" w:sz="0" w:space="0" w:color="auto"/>
                      </w:divBdr>
                    </w:div>
                  </w:divsChild>
                </w:div>
                <w:div w:id="1234853664">
                  <w:marLeft w:val="0"/>
                  <w:marRight w:val="0"/>
                  <w:marTop w:val="0"/>
                  <w:marBottom w:val="0"/>
                  <w:divBdr>
                    <w:top w:val="none" w:sz="0" w:space="0" w:color="auto"/>
                    <w:left w:val="none" w:sz="0" w:space="0" w:color="auto"/>
                    <w:bottom w:val="none" w:sz="0" w:space="0" w:color="auto"/>
                    <w:right w:val="none" w:sz="0" w:space="0" w:color="auto"/>
                  </w:divBdr>
                  <w:divsChild>
                    <w:div w:id="1236621727">
                      <w:marLeft w:val="0"/>
                      <w:marRight w:val="0"/>
                      <w:marTop w:val="0"/>
                      <w:marBottom w:val="0"/>
                      <w:divBdr>
                        <w:top w:val="none" w:sz="0" w:space="0" w:color="auto"/>
                        <w:left w:val="none" w:sz="0" w:space="0" w:color="auto"/>
                        <w:bottom w:val="none" w:sz="0" w:space="0" w:color="auto"/>
                        <w:right w:val="none" w:sz="0" w:space="0" w:color="auto"/>
                      </w:divBdr>
                    </w:div>
                  </w:divsChild>
                </w:div>
                <w:div w:id="1293242921">
                  <w:marLeft w:val="0"/>
                  <w:marRight w:val="0"/>
                  <w:marTop w:val="0"/>
                  <w:marBottom w:val="0"/>
                  <w:divBdr>
                    <w:top w:val="none" w:sz="0" w:space="0" w:color="auto"/>
                    <w:left w:val="none" w:sz="0" w:space="0" w:color="auto"/>
                    <w:bottom w:val="none" w:sz="0" w:space="0" w:color="auto"/>
                    <w:right w:val="none" w:sz="0" w:space="0" w:color="auto"/>
                  </w:divBdr>
                  <w:divsChild>
                    <w:div w:id="58791696">
                      <w:marLeft w:val="0"/>
                      <w:marRight w:val="0"/>
                      <w:marTop w:val="0"/>
                      <w:marBottom w:val="0"/>
                      <w:divBdr>
                        <w:top w:val="none" w:sz="0" w:space="0" w:color="auto"/>
                        <w:left w:val="none" w:sz="0" w:space="0" w:color="auto"/>
                        <w:bottom w:val="none" w:sz="0" w:space="0" w:color="auto"/>
                        <w:right w:val="none" w:sz="0" w:space="0" w:color="auto"/>
                      </w:divBdr>
                    </w:div>
                  </w:divsChild>
                </w:div>
                <w:div w:id="1297905389">
                  <w:marLeft w:val="0"/>
                  <w:marRight w:val="0"/>
                  <w:marTop w:val="0"/>
                  <w:marBottom w:val="0"/>
                  <w:divBdr>
                    <w:top w:val="none" w:sz="0" w:space="0" w:color="auto"/>
                    <w:left w:val="none" w:sz="0" w:space="0" w:color="auto"/>
                    <w:bottom w:val="none" w:sz="0" w:space="0" w:color="auto"/>
                    <w:right w:val="none" w:sz="0" w:space="0" w:color="auto"/>
                  </w:divBdr>
                  <w:divsChild>
                    <w:div w:id="913707328">
                      <w:marLeft w:val="0"/>
                      <w:marRight w:val="0"/>
                      <w:marTop w:val="0"/>
                      <w:marBottom w:val="0"/>
                      <w:divBdr>
                        <w:top w:val="none" w:sz="0" w:space="0" w:color="auto"/>
                        <w:left w:val="none" w:sz="0" w:space="0" w:color="auto"/>
                        <w:bottom w:val="none" w:sz="0" w:space="0" w:color="auto"/>
                        <w:right w:val="none" w:sz="0" w:space="0" w:color="auto"/>
                      </w:divBdr>
                    </w:div>
                  </w:divsChild>
                </w:div>
                <w:div w:id="1300497701">
                  <w:marLeft w:val="0"/>
                  <w:marRight w:val="0"/>
                  <w:marTop w:val="0"/>
                  <w:marBottom w:val="0"/>
                  <w:divBdr>
                    <w:top w:val="none" w:sz="0" w:space="0" w:color="auto"/>
                    <w:left w:val="none" w:sz="0" w:space="0" w:color="auto"/>
                    <w:bottom w:val="none" w:sz="0" w:space="0" w:color="auto"/>
                    <w:right w:val="none" w:sz="0" w:space="0" w:color="auto"/>
                  </w:divBdr>
                  <w:divsChild>
                    <w:div w:id="920485098">
                      <w:marLeft w:val="0"/>
                      <w:marRight w:val="0"/>
                      <w:marTop w:val="0"/>
                      <w:marBottom w:val="0"/>
                      <w:divBdr>
                        <w:top w:val="none" w:sz="0" w:space="0" w:color="auto"/>
                        <w:left w:val="none" w:sz="0" w:space="0" w:color="auto"/>
                        <w:bottom w:val="none" w:sz="0" w:space="0" w:color="auto"/>
                        <w:right w:val="none" w:sz="0" w:space="0" w:color="auto"/>
                      </w:divBdr>
                    </w:div>
                  </w:divsChild>
                </w:div>
                <w:div w:id="1347094388">
                  <w:marLeft w:val="0"/>
                  <w:marRight w:val="0"/>
                  <w:marTop w:val="0"/>
                  <w:marBottom w:val="0"/>
                  <w:divBdr>
                    <w:top w:val="none" w:sz="0" w:space="0" w:color="auto"/>
                    <w:left w:val="none" w:sz="0" w:space="0" w:color="auto"/>
                    <w:bottom w:val="none" w:sz="0" w:space="0" w:color="auto"/>
                    <w:right w:val="none" w:sz="0" w:space="0" w:color="auto"/>
                  </w:divBdr>
                  <w:divsChild>
                    <w:div w:id="1993489077">
                      <w:marLeft w:val="0"/>
                      <w:marRight w:val="0"/>
                      <w:marTop w:val="0"/>
                      <w:marBottom w:val="0"/>
                      <w:divBdr>
                        <w:top w:val="none" w:sz="0" w:space="0" w:color="auto"/>
                        <w:left w:val="none" w:sz="0" w:space="0" w:color="auto"/>
                        <w:bottom w:val="none" w:sz="0" w:space="0" w:color="auto"/>
                        <w:right w:val="none" w:sz="0" w:space="0" w:color="auto"/>
                      </w:divBdr>
                    </w:div>
                  </w:divsChild>
                </w:div>
                <w:div w:id="1362055184">
                  <w:marLeft w:val="0"/>
                  <w:marRight w:val="0"/>
                  <w:marTop w:val="0"/>
                  <w:marBottom w:val="0"/>
                  <w:divBdr>
                    <w:top w:val="none" w:sz="0" w:space="0" w:color="auto"/>
                    <w:left w:val="none" w:sz="0" w:space="0" w:color="auto"/>
                    <w:bottom w:val="none" w:sz="0" w:space="0" w:color="auto"/>
                    <w:right w:val="none" w:sz="0" w:space="0" w:color="auto"/>
                  </w:divBdr>
                  <w:divsChild>
                    <w:div w:id="1897007650">
                      <w:marLeft w:val="0"/>
                      <w:marRight w:val="0"/>
                      <w:marTop w:val="0"/>
                      <w:marBottom w:val="0"/>
                      <w:divBdr>
                        <w:top w:val="none" w:sz="0" w:space="0" w:color="auto"/>
                        <w:left w:val="none" w:sz="0" w:space="0" w:color="auto"/>
                        <w:bottom w:val="none" w:sz="0" w:space="0" w:color="auto"/>
                        <w:right w:val="none" w:sz="0" w:space="0" w:color="auto"/>
                      </w:divBdr>
                    </w:div>
                  </w:divsChild>
                </w:div>
                <w:div w:id="1381589549">
                  <w:marLeft w:val="0"/>
                  <w:marRight w:val="0"/>
                  <w:marTop w:val="0"/>
                  <w:marBottom w:val="0"/>
                  <w:divBdr>
                    <w:top w:val="none" w:sz="0" w:space="0" w:color="auto"/>
                    <w:left w:val="none" w:sz="0" w:space="0" w:color="auto"/>
                    <w:bottom w:val="none" w:sz="0" w:space="0" w:color="auto"/>
                    <w:right w:val="none" w:sz="0" w:space="0" w:color="auto"/>
                  </w:divBdr>
                  <w:divsChild>
                    <w:div w:id="144129815">
                      <w:marLeft w:val="0"/>
                      <w:marRight w:val="0"/>
                      <w:marTop w:val="0"/>
                      <w:marBottom w:val="0"/>
                      <w:divBdr>
                        <w:top w:val="none" w:sz="0" w:space="0" w:color="auto"/>
                        <w:left w:val="none" w:sz="0" w:space="0" w:color="auto"/>
                        <w:bottom w:val="none" w:sz="0" w:space="0" w:color="auto"/>
                        <w:right w:val="none" w:sz="0" w:space="0" w:color="auto"/>
                      </w:divBdr>
                    </w:div>
                    <w:div w:id="1870682380">
                      <w:marLeft w:val="0"/>
                      <w:marRight w:val="0"/>
                      <w:marTop w:val="0"/>
                      <w:marBottom w:val="0"/>
                      <w:divBdr>
                        <w:top w:val="none" w:sz="0" w:space="0" w:color="auto"/>
                        <w:left w:val="none" w:sz="0" w:space="0" w:color="auto"/>
                        <w:bottom w:val="none" w:sz="0" w:space="0" w:color="auto"/>
                        <w:right w:val="none" w:sz="0" w:space="0" w:color="auto"/>
                      </w:divBdr>
                    </w:div>
                  </w:divsChild>
                </w:div>
                <w:div w:id="1454715524">
                  <w:marLeft w:val="0"/>
                  <w:marRight w:val="0"/>
                  <w:marTop w:val="0"/>
                  <w:marBottom w:val="0"/>
                  <w:divBdr>
                    <w:top w:val="none" w:sz="0" w:space="0" w:color="auto"/>
                    <w:left w:val="none" w:sz="0" w:space="0" w:color="auto"/>
                    <w:bottom w:val="none" w:sz="0" w:space="0" w:color="auto"/>
                    <w:right w:val="none" w:sz="0" w:space="0" w:color="auto"/>
                  </w:divBdr>
                  <w:divsChild>
                    <w:div w:id="1438216926">
                      <w:marLeft w:val="0"/>
                      <w:marRight w:val="0"/>
                      <w:marTop w:val="0"/>
                      <w:marBottom w:val="0"/>
                      <w:divBdr>
                        <w:top w:val="none" w:sz="0" w:space="0" w:color="auto"/>
                        <w:left w:val="none" w:sz="0" w:space="0" w:color="auto"/>
                        <w:bottom w:val="none" w:sz="0" w:space="0" w:color="auto"/>
                        <w:right w:val="none" w:sz="0" w:space="0" w:color="auto"/>
                      </w:divBdr>
                    </w:div>
                  </w:divsChild>
                </w:div>
                <w:div w:id="1485656006">
                  <w:marLeft w:val="0"/>
                  <w:marRight w:val="0"/>
                  <w:marTop w:val="0"/>
                  <w:marBottom w:val="0"/>
                  <w:divBdr>
                    <w:top w:val="none" w:sz="0" w:space="0" w:color="auto"/>
                    <w:left w:val="none" w:sz="0" w:space="0" w:color="auto"/>
                    <w:bottom w:val="none" w:sz="0" w:space="0" w:color="auto"/>
                    <w:right w:val="none" w:sz="0" w:space="0" w:color="auto"/>
                  </w:divBdr>
                  <w:divsChild>
                    <w:div w:id="39592251">
                      <w:marLeft w:val="0"/>
                      <w:marRight w:val="0"/>
                      <w:marTop w:val="0"/>
                      <w:marBottom w:val="0"/>
                      <w:divBdr>
                        <w:top w:val="none" w:sz="0" w:space="0" w:color="auto"/>
                        <w:left w:val="none" w:sz="0" w:space="0" w:color="auto"/>
                        <w:bottom w:val="none" w:sz="0" w:space="0" w:color="auto"/>
                        <w:right w:val="none" w:sz="0" w:space="0" w:color="auto"/>
                      </w:divBdr>
                    </w:div>
                  </w:divsChild>
                </w:div>
                <w:div w:id="1543052079">
                  <w:marLeft w:val="0"/>
                  <w:marRight w:val="0"/>
                  <w:marTop w:val="0"/>
                  <w:marBottom w:val="0"/>
                  <w:divBdr>
                    <w:top w:val="none" w:sz="0" w:space="0" w:color="auto"/>
                    <w:left w:val="none" w:sz="0" w:space="0" w:color="auto"/>
                    <w:bottom w:val="none" w:sz="0" w:space="0" w:color="auto"/>
                    <w:right w:val="none" w:sz="0" w:space="0" w:color="auto"/>
                  </w:divBdr>
                  <w:divsChild>
                    <w:div w:id="386875295">
                      <w:marLeft w:val="0"/>
                      <w:marRight w:val="0"/>
                      <w:marTop w:val="0"/>
                      <w:marBottom w:val="0"/>
                      <w:divBdr>
                        <w:top w:val="none" w:sz="0" w:space="0" w:color="auto"/>
                        <w:left w:val="none" w:sz="0" w:space="0" w:color="auto"/>
                        <w:bottom w:val="none" w:sz="0" w:space="0" w:color="auto"/>
                        <w:right w:val="none" w:sz="0" w:space="0" w:color="auto"/>
                      </w:divBdr>
                    </w:div>
                  </w:divsChild>
                </w:div>
                <w:div w:id="1595432443">
                  <w:marLeft w:val="0"/>
                  <w:marRight w:val="0"/>
                  <w:marTop w:val="0"/>
                  <w:marBottom w:val="0"/>
                  <w:divBdr>
                    <w:top w:val="none" w:sz="0" w:space="0" w:color="auto"/>
                    <w:left w:val="none" w:sz="0" w:space="0" w:color="auto"/>
                    <w:bottom w:val="none" w:sz="0" w:space="0" w:color="auto"/>
                    <w:right w:val="none" w:sz="0" w:space="0" w:color="auto"/>
                  </w:divBdr>
                  <w:divsChild>
                    <w:div w:id="2096171531">
                      <w:marLeft w:val="0"/>
                      <w:marRight w:val="0"/>
                      <w:marTop w:val="0"/>
                      <w:marBottom w:val="0"/>
                      <w:divBdr>
                        <w:top w:val="none" w:sz="0" w:space="0" w:color="auto"/>
                        <w:left w:val="none" w:sz="0" w:space="0" w:color="auto"/>
                        <w:bottom w:val="none" w:sz="0" w:space="0" w:color="auto"/>
                        <w:right w:val="none" w:sz="0" w:space="0" w:color="auto"/>
                      </w:divBdr>
                    </w:div>
                  </w:divsChild>
                </w:div>
                <w:div w:id="1620837325">
                  <w:marLeft w:val="0"/>
                  <w:marRight w:val="0"/>
                  <w:marTop w:val="0"/>
                  <w:marBottom w:val="0"/>
                  <w:divBdr>
                    <w:top w:val="none" w:sz="0" w:space="0" w:color="auto"/>
                    <w:left w:val="none" w:sz="0" w:space="0" w:color="auto"/>
                    <w:bottom w:val="none" w:sz="0" w:space="0" w:color="auto"/>
                    <w:right w:val="none" w:sz="0" w:space="0" w:color="auto"/>
                  </w:divBdr>
                  <w:divsChild>
                    <w:div w:id="1021975566">
                      <w:marLeft w:val="0"/>
                      <w:marRight w:val="0"/>
                      <w:marTop w:val="0"/>
                      <w:marBottom w:val="0"/>
                      <w:divBdr>
                        <w:top w:val="none" w:sz="0" w:space="0" w:color="auto"/>
                        <w:left w:val="none" w:sz="0" w:space="0" w:color="auto"/>
                        <w:bottom w:val="none" w:sz="0" w:space="0" w:color="auto"/>
                        <w:right w:val="none" w:sz="0" w:space="0" w:color="auto"/>
                      </w:divBdr>
                    </w:div>
                  </w:divsChild>
                </w:div>
                <w:div w:id="1674643884">
                  <w:marLeft w:val="0"/>
                  <w:marRight w:val="0"/>
                  <w:marTop w:val="0"/>
                  <w:marBottom w:val="0"/>
                  <w:divBdr>
                    <w:top w:val="none" w:sz="0" w:space="0" w:color="auto"/>
                    <w:left w:val="none" w:sz="0" w:space="0" w:color="auto"/>
                    <w:bottom w:val="none" w:sz="0" w:space="0" w:color="auto"/>
                    <w:right w:val="none" w:sz="0" w:space="0" w:color="auto"/>
                  </w:divBdr>
                  <w:divsChild>
                    <w:div w:id="217597029">
                      <w:marLeft w:val="0"/>
                      <w:marRight w:val="0"/>
                      <w:marTop w:val="0"/>
                      <w:marBottom w:val="0"/>
                      <w:divBdr>
                        <w:top w:val="none" w:sz="0" w:space="0" w:color="auto"/>
                        <w:left w:val="none" w:sz="0" w:space="0" w:color="auto"/>
                        <w:bottom w:val="none" w:sz="0" w:space="0" w:color="auto"/>
                        <w:right w:val="none" w:sz="0" w:space="0" w:color="auto"/>
                      </w:divBdr>
                    </w:div>
                  </w:divsChild>
                </w:div>
                <w:div w:id="1747338605">
                  <w:marLeft w:val="0"/>
                  <w:marRight w:val="0"/>
                  <w:marTop w:val="0"/>
                  <w:marBottom w:val="0"/>
                  <w:divBdr>
                    <w:top w:val="none" w:sz="0" w:space="0" w:color="auto"/>
                    <w:left w:val="none" w:sz="0" w:space="0" w:color="auto"/>
                    <w:bottom w:val="none" w:sz="0" w:space="0" w:color="auto"/>
                    <w:right w:val="none" w:sz="0" w:space="0" w:color="auto"/>
                  </w:divBdr>
                  <w:divsChild>
                    <w:div w:id="1201087136">
                      <w:marLeft w:val="0"/>
                      <w:marRight w:val="0"/>
                      <w:marTop w:val="0"/>
                      <w:marBottom w:val="0"/>
                      <w:divBdr>
                        <w:top w:val="none" w:sz="0" w:space="0" w:color="auto"/>
                        <w:left w:val="none" w:sz="0" w:space="0" w:color="auto"/>
                        <w:bottom w:val="none" w:sz="0" w:space="0" w:color="auto"/>
                        <w:right w:val="none" w:sz="0" w:space="0" w:color="auto"/>
                      </w:divBdr>
                    </w:div>
                  </w:divsChild>
                </w:div>
                <w:div w:id="1769426015">
                  <w:marLeft w:val="0"/>
                  <w:marRight w:val="0"/>
                  <w:marTop w:val="0"/>
                  <w:marBottom w:val="0"/>
                  <w:divBdr>
                    <w:top w:val="none" w:sz="0" w:space="0" w:color="auto"/>
                    <w:left w:val="none" w:sz="0" w:space="0" w:color="auto"/>
                    <w:bottom w:val="none" w:sz="0" w:space="0" w:color="auto"/>
                    <w:right w:val="none" w:sz="0" w:space="0" w:color="auto"/>
                  </w:divBdr>
                  <w:divsChild>
                    <w:div w:id="1372613105">
                      <w:marLeft w:val="0"/>
                      <w:marRight w:val="0"/>
                      <w:marTop w:val="0"/>
                      <w:marBottom w:val="0"/>
                      <w:divBdr>
                        <w:top w:val="none" w:sz="0" w:space="0" w:color="auto"/>
                        <w:left w:val="none" w:sz="0" w:space="0" w:color="auto"/>
                        <w:bottom w:val="none" w:sz="0" w:space="0" w:color="auto"/>
                        <w:right w:val="none" w:sz="0" w:space="0" w:color="auto"/>
                      </w:divBdr>
                    </w:div>
                  </w:divsChild>
                </w:div>
                <w:div w:id="1795754318">
                  <w:marLeft w:val="0"/>
                  <w:marRight w:val="0"/>
                  <w:marTop w:val="0"/>
                  <w:marBottom w:val="0"/>
                  <w:divBdr>
                    <w:top w:val="none" w:sz="0" w:space="0" w:color="auto"/>
                    <w:left w:val="none" w:sz="0" w:space="0" w:color="auto"/>
                    <w:bottom w:val="none" w:sz="0" w:space="0" w:color="auto"/>
                    <w:right w:val="none" w:sz="0" w:space="0" w:color="auto"/>
                  </w:divBdr>
                  <w:divsChild>
                    <w:div w:id="579019060">
                      <w:marLeft w:val="0"/>
                      <w:marRight w:val="0"/>
                      <w:marTop w:val="0"/>
                      <w:marBottom w:val="0"/>
                      <w:divBdr>
                        <w:top w:val="none" w:sz="0" w:space="0" w:color="auto"/>
                        <w:left w:val="none" w:sz="0" w:space="0" w:color="auto"/>
                        <w:bottom w:val="none" w:sz="0" w:space="0" w:color="auto"/>
                        <w:right w:val="none" w:sz="0" w:space="0" w:color="auto"/>
                      </w:divBdr>
                    </w:div>
                  </w:divsChild>
                </w:div>
                <w:div w:id="1812552709">
                  <w:marLeft w:val="0"/>
                  <w:marRight w:val="0"/>
                  <w:marTop w:val="0"/>
                  <w:marBottom w:val="0"/>
                  <w:divBdr>
                    <w:top w:val="none" w:sz="0" w:space="0" w:color="auto"/>
                    <w:left w:val="none" w:sz="0" w:space="0" w:color="auto"/>
                    <w:bottom w:val="none" w:sz="0" w:space="0" w:color="auto"/>
                    <w:right w:val="none" w:sz="0" w:space="0" w:color="auto"/>
                  </w:divBdr>
                  <w:divsChild>
                    <w:div w:id="2013140092">
                      <w:marLeft w:val="0"/>
                      <w:marRight w:val="0"/>
                      <w:marTop w:val="0"/>
                      <w:marBottom w:val="0"/>
                      <w:divBdr>
                        <w:top w:val="none" w:sz="0" w:space="0" w:color="auto"/>
                        <w:left w:val="none" w:sz="0" w:space="0" w:color="auto"/>
                        <w:bottom w:val="none" w:sz="0" w:space="0" w:color="auto"/>
                        <w:right w:val="none" w:sz="0" w:space="0" w:color="auto"/>
                      </w:divBdr>
                    </w:div>
                  </w:divsChild>
                </w:div>
                <w:div w:id="1879196686">
                  <w:marLeft w:val="0"/>
                  <w:marRight w:val="0"/>
                  <w:marTop w:val="0"/>
                  <w:marBottom w:val="0"/>
                  <w:divBdr>
                    <w:top w:val="none" w:sz="0" w:space="0" w:color="auto"/>
                    <w:left w:val="none" w:sz="0" w:space="0" w:color="auto"/>
                    <w:bottom w:val="none" w:sz="0" w:space="0" w:color="auto"/>
                    <w:right w:val="none" w:sz="0" w:space="0" w:color="auto"/>
                  </w:divBdr>
                  <w:divsChild>
                    <w:div w:id="1427457122">
                      <w:marLeft w:val="0"/>
                      <w:marRight w:val="0"/>
                      <w:marTop w:val="0"/>
                      <w:marBottom w:val="0"/>
                      <w:divBdr>
                        <w:top w:val="none" w:sz="0" w:space="0" w:color="auto"/>
                        <w:left w:val="none" w:sz="0" w:space="0" w:color="auto"/>
                        <w:bottom w:val="none" w:sz="0" w:space="0" w:color="auto"/>
                        <w:right w:val="none" w:sz="0" w:space="0" w:color="auto"/>
                      </w:divBdr>
                    </w:div>
                  </w:divsChild>
                </w:div>
                <w:div w:id="1923297278">
                  <w:marLeft w:val="0"/>
                  <w:marRight w:val="0"/>
                  <w:marTop w:val="0"/>
                  <w:marBottom w:val="0"/>
                  <w:divBdr>
                    <w:top w:val="none" w:sz="0" w:space="0" w:color="auto"/>
                    <w:left w:val="none" w:sz="0" w:space="0" w:color="auto"/>
                    <w:bottom w:val="none" w:sz="0" w:space="0" w:color="auto"/>
                    <w:right w:val="none" w:sz="0" w:space="0" w:color="auto"/>
                  </w:divBdr>
                  <w:divsChild>
                    <w:div w:id="194660603">
                      <w:marLeft w:val="0"/>
                      <w:marRight w:val="0"/>
                      <w:marTop w:val="0"/>
                      <w:marBottom w:val="0"/>
                      <w:divBdr>
                        <w:top w:val="none" w:sz="0" w:space="0" w:color="auto"/>
                        <w:left w:val="none" w:sz="0" w:space="0" w:color="auto"/>
                        <w:bottom w:val="none" w:sz="0" w:space="0" w:color="auto"/>
                        <w:right w:val="none" w:sz="0" w:space="0" w:color="auto"/>
                      </w:divBdr>
                    </w:div>
                  </w:divsChild>
                </w:div>
                <w:div w:id="1930045012">
                  <w:marLeft w:val="0"/>
                  <w:marRight w:val="0"/>
                  <w:marTop w:val="0"/>
                  <w:marBottom w:val="0"/>
                  <w:divBdr>
                    <w:top w:val="none" w:sz="0" w:space="0" w:color="auto"/>
                    <w:left w:val="none" w:sz="0" w:space="0" w:color="auto"/>
                    <w:bottom w:val="none" w:sz="0" w:space="0" w:color="auto"/>
                    <w:right w:val="none" w:sz="0" w:space="0" w:color="auto"/>
                  </w:divBdr>
                  <w:divsChild>
                    <w:div w:id="823592289">
                      <w:marLeft w:val="0"/>
                      <w:marRight w:val="0"/>
                      <w:marTop w:val="0"/>
                      <w:marBottom w:val="0"/>
                      <w:divBdr>
                        <w:top w:val="none" w:sz="0" w:space="0" w:color="auto"/>
                        <w:left w:val="none" w:sz="0" w:space="0" w:color="auto"/>
                        <w:bottom w:val="none" w:sz="0" w:space="0" w:color="auto"/>
                        <w:right w:val="none" w:sz="0" w:space="0" w:color="auto"/>
                      </w:divBdr>
                    </w:div>
                  </w:divsChild>
                </w:div>
                <w:div w:id="1943107316">
                  <w:marLeft w:val="0"/>
                  <w:marRight w:val="0"/>
                  <w:marTop w:val="0"/>
                  <w:marBottom w:val="0"/>
                  <w:divBdr>
                    <w:top w:val="none" w:sz="0" w:space="0" w:color="auto"/>
                    <w:left w:val="none" w:sz="0" w:space="0" w:color="auto"/>
                    <w:bottom w:val="none" w:sz="0" w:space="0" w:color="auto"/>
                    <w:right w:val="none" w:sz="0" w:space="0" w:color="auto"/>
                  </w:divBdr>
                  <w:divsChild>
                    <w:div w:id="1074624603">
                      <w:marLeft w:val="0"/>
                      <w:marRight w:val="0"/>
                      <w:marTop w:val="0"/>
                      <w:marBottom w:val="0"/>
                      <w:divBdr>
                        <w:top w:val="none" w:sz="0" w:space="0" w:color="auto"/>
                        <w:left w:val="none" w:sz="0" w:space="0" w:color="auto"/>
                        <w:bottom w:val="none" w:sz="0" w:space="0" w:color="auto"/>
                        <w:right w:val="none" w:sz="0" w:space="0" w:color="auto"/>
                      </w:divBdr>
                    </w:div>
                  </w:divsChild>
                </w:div>
                <w:div w:id="2015184451">
                  <w:marLeft w:val="0"/>
                  <w:marRight w:val="0"/>
                  <w:marTop w:val="0"/>
                  <w:marBottom w:val="0"/>
                  <w:divBdr>
                    <w:top w:val="none" w:sz="0" w:space="0" w:color="auto"/>
                    <w:left w:val="none" w:sz="0" w:space="0" w:color="auto"/>
                    <w:bottom w:val="none" w:sz="0" w:space="0" w:color="auto"/>
                    <w:right w:val="none" w:sz="0" w:space="0" w:color="auto"/>
                  </w:divBdr>
                  <w:divsChild>
                    <w:div w:id="242645547">
                      <w:marLeft w:val="0"/>
                      <w:marRight w:val="0"/>
                      <w:marTop w:val="0"/>
                      <w:marBottom w:val="0"/>
                      <w:divBdr>
                        <w:top w:val="none" w:sz="0" w:space="0" w:color="auto"/>
                        <w:left w:val="none" w:sz="0" w:space="0" w:color="auto"/>
                        <w:bottom w:val="none" w:sz="0" w:space="0" w:color="auto"/>
                        <w:right w:val="none" w:sz="0" w:space="0" w:color="auto"/>
                      </w:divBdr>
                    </w:div>
                  </w:divsChild>
                </w:div>
                <w:div w:id="2070423343">
                  <w:marLeft w:val="0"/>
                  <w:marRight w:val="0"/>
                  <w:marTop w:val="0"/>
                  <w:marBottom w:val="0"/>
                  <w:divBdr>
                    <w:top w:val="none" w:sz="0" w:space="0" w:color="auto"/>
                    <w:left w:val="none" w:sz="0" w:space="0" w:color="auto"/>
                    <w:bottom w:val="none" w:sz="0" w:space="0" w:color="auto"/>
                    <w:right w:val="none" w:sz="0" w:space="0" w:color="auto"/>
                  </w:divBdr>
                  <w:divsChild>
                    <w:div w:id="541409661">
                      <w:marLeft w:val="0"/>
                      <w:marRight w:val="0"/>
                      <w:marTop w:val="0"/>
                      <w:marBottom w:val="0"/>
                      <w:divBdr>
                        <w:top w:val="none" w:sz="0" w:space="0" w:color="auto"/>
                        <w:left w:val="none" w:sz="0" w:space="0" w:color="auto"/>
                        <w:bottom w:val="none" w:sz="0" w:space="0" w:color="auto"/>
                        <w:right w:val="none" w:sz="0" w:space="0" w:color="auto"/>
                      </w:divBdr>
                    </w:div>
                  </w:divsChild>
                </w:div>
                <w:div w:id="2085494103">
                  <w:marLeft w:val="0"/>
                  <w:marRight w:val="0"/>
                  <w:marTop w:val="0"/>
                  <w:marBottom w:val="0"/>
                  <w:divBdr>
                    <w:top w:val="none" w:sz="0" w:space="0" w:color="auto"/>
                    <w:left w:val="none" w:sz="0" w:space="0" w:color="auto"/>
                    <w:bottom w:val="none" w:sz="0" w:space="0" w:color="auto"/>
                    <w:right w:val="none" w:sz="0" w:space="0" w:color="auto"/>
                  </w:divBdr>
                  <w:divsChild>
                    <w:div w:id="513694886">
                      <w:marLeft w:val="0"/>
                      <w:marRight w:val="0"/>
                      <w:marTop w:val="0"/>
                      <w:marBottom w:val="0"/>
                      <w:divBdr>
                        <w:top w:val="none" w:sz="0" w:space="0" w:color="auto"/>
                        <w:left w:val="none" w:sz="0" w:space="0" w:color="auto"/>
                        <w:bottom w:val="none" w:sz="0" w:space="0" w:color="auto"/>
                        <w:right w:val="none" w:sz="0" w:space="0" w:color="auto"/>
                      </w:divBdr>
                    </w:div>
                  </w:divsChild>
                </w:div>
                <w:div w:id="2091610331">
                  <w:marLeft w:val="0"/>
                  <w:marRight w:val="0"/>
                  <w:marTop w:val="0"/>
                  <w:marBottom w:val="0"/>
                  <w:divBdr>
                    <w:top w:val="none" w:sz="0" w:space="0" w:color="auto"/>
                    <w:left w:val="none" w:sz="0" w:space="0" w:color="auto"/>
                    <w:bottom w:val="none" w:sz="0" w:space="0" w:color="auto"/>
                    <w:right w:val="none" w:sz="0" w:space="0" w:color="auto"/>
                  </w:divBdr>
                  <w:divsChild>
                    <w:div w:id="221913785">
                      <w:marLeft w:val="0"/>
                      <w:marRight w:val="0"/>
                      <w:marTop w:val="0"/>
                      <w:marBottom w:val="0"/>
                      <w:divBdr>
                        <w:top w:val="none" w:sz="0" w:space="0" w:color="auto"/>
                        <w:left w:val="none" w:sz="0" w:space="0" w:color="auto"/>
                        <w:bottom w:val="none" w:sz="0" w:space="0" w:color="auto"/>
                        <w:right w:val="none" w:sz="0" w:space="0" w:color="auto"/>
                      </w:divBdr>
                    </w:div>
                    <w:div w:id="779104815">
                      <w:marLeft w:val="0"/>
                      <w:marRight w:val="0"/>
                      <w:marTop w:val="0"/>
                      <w:marBottom w:val="0"/>
                      <w:divBdr>
                        <w:top w:val="none" w:sz="0" w:space="0" w:color="auto"/>
                        <w:left w:val="none" w:sz="0" w:space="0" w:color="auto"/>
                        <w:bottom w:val="none" w:sz="0" w:space="0" w:color="auto"/>
                        <w:right w:val="none" w:sz="0" w:space="0" w:color="auto"/>
                      </w:divBdr>
                    </w:div>
                    <w:div w:id="125882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273946">
          <w:marLeft w:val="0"/>
          <w:marRight w:val="0"/>
          <w:marTop w:val="0"/>
          <w:marBottom w:val="0"/>
          <w:divBdr>
            <w:top w:val="none" w:sz="0" w:space="0" w:color="auto"/>
            <w:left w:val="none" w:sz="0" w:space="0" w:color="auto"/>
            <w:bottom w:val="none" w:sz="0" w:space="0" w:color="auto"/>
            <w:right w:val="none" w:sz="0" w:space="0" w:color="auto"/>
          </w:divBdr>
        </w:div>
      </w:divsChild>
    </w:div>
    <w:div w:id="440103019">
      <w:bodyDiv w:val="1"/>
      <w:marLeft w:val="0"/>
      <w:marRight w:val="0"/>
      <w:marTop w:val="0"/>
      <w:marBottom w:val="0"/>
      <w:divBdr>
        <w:top w:val="none" w:sz="0" w:space="0" w:color="auto"/>
        <w:left w:val="none" w:sz="0" w:space="0" w:color="auto"/>
        <w:bottom w:val="none" w:sz="0" w:space="0" w:color="auto"/>
        <w:right w:val="none" w:sz="0" w:space="0" w:color="auto"/>
      </w:divBdr>
      <w:divsChild>
        <w:div w:id="97675840">
          <w:marLeft w:val="0"/>
          <w:marRight w:val="0"/>
          <w:marTop w:val="0"/>
          <w:marBottom w:val="0"/>
          <w:divBdr>
            <w:top w:val="none" w:sz="0" w:space="0" w:color="auto"/>
            <w:left w:val="none" w:sz="0" w:space="0" w:color="auto"/>
            <w:bottom w:val="none" w:sz="0" w:space="0" w:color="auto"/>
            <w:right w:val="none" w:sz="0" w:space="0" w:color="auto"/>
          </w:divBdr>
        </w:div>
        <w:div w:id="832644943">
          <w:marLeft w:val="0"/>
          <w:marRight w:val="0"/>
          <w:marTop w:val="0"/>
          <w:marBottom w:val="0"/>
          <w:divBdr>
            <w:top w:val="none" w:sz="0" w:space="0" w:color="auto"/>
            <w:left w:val="none" w:sz="0" w:space="0" w:color="auto"/>
            <w:bottom w:val="none" w:sz="0" w:space="0" w:color="auto"/>
            <w:right w:val="none" w:sz="0" w:space="0" w:color="auto"/>
          </w:divBdr>
        </w:div>
        <w:div w:id="1075468195">
          <w:marLeft w:val="0"/>
          <w:marRight w:val="0"/>
          <w:marTop w:val="0"/>
          <w:marBottom w:val="0"/>
          <w:divBdr>
            <w:top w:val="none" w:sz="0" w:space="0" w:color="auto"/>
            <w:left w:val="none" w:sz="0" w:space="0" w:color="auto"/>
            <w:bottom w:val="none" w:sz="0" w:space="0" w:color="auto"/>
            <w:right w:val="none" w:sz="0" w:space="0" w:color="auto"/>
          </w:divBdr>
        </w:div>
        <w:div w:id="1775054227">
          <w:marLeft w:val="0"/>
          <w:marRight w:val="0"/>
          <w:marTop w:val="0"/>
          <w:marBottom w:val="0"/>
          <w:divBdr>
            <w:top w:val="none" w:sz="0" w:space="0" w:color="auto"/>
            <w:left w:val="none" w:sz="0" w:space="0" w:color="auto"/>
            <w:bottom w:val="none" w:sz="0" w:space="0" w:color="auto"/>
            <w:right w:val="none" w:sz="0" w:space="0" w:color="auto"/>
          </w:divBdr>
          <w:divsChild>
            <w:div w:id="966469991">
              <w:marLeft w:val="-75"/>
              <w:marRight w:val="0"/>
              <w:marTop w:val="30"/>
              <w:marBottom w:val="30"/>
              <w:divBdr>
                <w:top w:val="none" w:sz="0" w:space="0" w:color="auto"/>
                <w:left w:val="none" w:sz="0" w:space="0" w:color="auto"/>
                <w:bottom w:val="none" w:sz="0" w:space="0" w:color="auto"/>
                <w:right w:val="none" w:sz="0" w:space="0" w:color="auto"/>
              </w:divBdr>
              <w:divsChild>
                <w:div w:id="101195714">
                  <w:marLeft w:val="0"/>
                  <w:marRight w:val="0"/>
                  <w:marTop w:val="0"/>
                  <w:marBottom w:val="0"/>
                  <w:divBdr>
                    <w:top w:val="none" w:sz="0" w:space="0" w:color="auto"/>
                    <w:left w:val="none" w:sz="0" w:space="0" w:color="auto"/>
                    <w:bottom w:val="none" w:sz="0" w:space="0" w:color="auto"/>
                    <w:right w:val="none" w:sz="0" w:space="0" w:color="auto"/>
                  </w:divBdr>
                  <w:divsChild>
                    <w:div w:id="642349178">
                      <w:marLeft w:val="0"/>
                      <w:marRight w:val="0"/>
                      <w:marTop w:val="0"/>
                      <w:marBottom w:val="0"/>
                      <w:divBdr>
                        <w:top w:val="none" w:sz="0" w:space="0" w:color="auto"/>
                        <w:left w:val="none" w:sz="0" w:space="0" w:color="auto"/>
                        <w:bottom w:val="none" w:sz="0" w:space="0" w:color="auto"/>
                        <w:right w:val="none" w:sz="0" w:space="0" w:color="auto"/>
                      </w:divBdr>
                    </w:div>
                  </w:divsChild>
                </w:div>
                <w:div w:id="146020773">
                  <w:marLeft w:val="0"/>
                  <w:marRight w:val="0"/>
                  <w:marTop w:val="0"/>
                  <w:marBottom w:val="0"/>
                  <w:divBdr>
                    <w:top w:val="none" w:sz="0" w:space="0" w:color="auto"/>
                    <w:left w:val="none" w:sz="0" w:space="0" w:color="auto"/>
                    <w:bottom w:val="none" w:sz="0" w:space="0" w:color="auto"/>
                    <w:right w:val="none" w:sz="0" w:space="0" w:color="auto"/>
                  </w:divBdr>
                  <w:divsChild>
                    <w:div w:id="266620116">
                      <w:marLeft w:val="0"/>
                      <w:marRight w:val="0"/>
                      <w:marTop w:val="0"/>
                      <w:marBottom w:val="0"/>
                      <w:divBdr>
                        <w:top w:val="none" w:sz="0" w:space="0" w:color="auto"/>
                        <w:left w:val="none" w:sz="0" w:space="0" w:color="auto"/>
                        <w:bottom w:val="none" w:sz="0" w:space="0" w:color="auto"/>
                        <w:right w:val="none" w:sz="0" w:space="0" w:color="auto"/>
                      </w:divBdr>
                    </w:div>
                  </w:divsChild>
                </w:div>
                <w:div w:id="154222206">
                  <w:marLeft w:val="0"/>
                  <w:marRight w:val="0"/>
                  <w:marTop w:val="0"/>
                  <w:marBottom w:val="0"/>
                  <w:divBdr>
                    <w:top w:val="none" w:sz="0" w:space="0" w:color="auto"/>
                    <w:left w:val="none" w:sz="0" w:space="0" w:color="auto"/>
                    <w:bottom w:val="none" w:sz="0" w:space="0" w:color="auto"/>
                    <w:right w:val="none" w:sz="0" w:space="0" w:color="auto"/>
                  </w:divBdr>
                  <w:divsChild>
                    <w:div w:id="1172140637">
                      <w:marLeft w:val="0"/>
                      <w:marRight w:val="0"/>
                      <w:marTop w:val="0"/>
                      <w:marBottom w:val="0"/>
                      <w:divBdr>
                        <w:top w:val="none" w:sz="0" w:space="0" w:color="auto"/>
                        <w:left w:val="none" w:sz="0" w:space="0" w:color="auto"/>
                        <w:bottom w:val="none" w:sz="0" w:space="0" w:color="auto"/>
                        <w:right w:val="none" w:sz="0" w:space="0" w:color="auto"/>
                      </w:divBdr>
                    </w:div>
                  </w:divsChild>
                </w:div>
                <w:div w:id="226503064">
                  <w:marLeft w:val="0"/>
                  <w:marRight w:val="0"/>
                  <w:marTop w:val="0"/>
                  <w:marBottom w:val="0"/>
                  <w:divBdr>
                    <w:top w:val="none" w:sz="0" w:space="0" w:color="auto"/>
                    <w:left w:val="none" w:sz="0" w:space="0" w:color="auto"/>
                    <w:bottom w:val="none" w:sz="0" w:space="0" w:color="auto"/>
                    <w:right w:val="none" w:sz="0" w:space="0" w:color="auto"/>
                  </w:divBdr>
                  <w:divsChild>
                    <w:div w:id="1489050816">
                      <w:marLeft w:val="0"/>
                      <w:marRight w:val="0"/>
                      <w:marTop w:val="0"/>
                      <w:marBottom w:val="0"/>
                      <w:divBdr>
                        <w:top w:val="none" w:sz="0" w:space="0" w:color="auto"/>
                        <w:left w:val="none" w:sz="0" w:space="0" w:color="auto"/>
                        <w:bottom w:val="none" w:sz="0" w:space="0" w:color="auto"/>
                        <w:right w:val="none" w:sz="0" w:space="0" w:color="auto"/>
                      </w:divBdr>
                    </w:div>
                  </w:divsChild>
                </w:div>
                <w:div w:id="427819853">
                  <w:marLeft w:val="0"/>
                  <w:marRight w:val="0"/>
                  <w:marTop w:val="0"/>
                  <w:marBottom w:val="0"/>
                  <w:divBdr>
                    <w:top w:val="none" w:sz="0" w:space="0" w:color="auto"/>
                    <w:left w:val="none" w:sz="0" w:space="0" w:color="auto"/>
                    <w:bottom w:val="none" w:sz="0" w:space="0" w:color="auto"/>
                    <w:right w:val="none" w:sz="0" w:space="0" w:color="auto"/>
                  </w:divBdr>
                  <w:divsChild>
                    <w:div w:id="1337268286">
                      <w:marLeft w:val="0"/>
                      <w:marRight w:val="0"/>
                      <w:marTop w:val="0"/>
                      <w:marBottom w:val="0"/>
                      <w:divBdr>
                        <w:top w:val="none" w:sz="0" w:space="0" w:color="auto"/>
                        <w:left w:val="none" w:sz="0" w:space="0" w:color="auto"/>
                        <w:bottom w:val="none" w:sz="0" w:space="0" w:color="auto"/>
                        <w:right w:val="none" w:sz="0" w:space="0" w:color="auto"/>
                      </w:divBdr>
                    </w:div>
                  </w:divsChild>
                </w:div>
                <w:div w:id="655887920">
                  <w:marLeft w:val="0"/>
                  <w:marRight w:val="0"/>
                  <w:marTop w:val="0"/>
                  <w:marBottom w:val="0"/>
                  <w:divBdr>
                    <w:top w:val="none" w:sz="0" w:space="0" w:color="auto"/>
                    <w:left w:val="none" w:sz="0" w:space="0" w:color="auto"/>
                    <w:bottom w:val="none" w:sz="0" w:space="0" w:color="auto"/>
                    <w:right w:val="none" w:sz="0" w:space="0" w:color="auto"/>
                  </w:divBdr>
                  <w:divsChild>
                    <w:div w:id="1734162954">
                      <w:marLeft w:val="0"/>
                      <w:marRight w:val="0"/>
                      <w:marTop w:val="0"/>
                      <w:marBottom w:val="0"/>
                      <w:divBdr>
                        <w:top w:val="none" w:sz="0" w:space="0" w:color="auto"/>
                        <w:left w:val="none" w:sz="0" w:space="0" w:color="auto"/>
                        <w:bottom w:val="none" w:sz="0" w:space="0" w:color="auto"/>
                        <w:right w:val="none" w:sz="0" w:space="0" w:color="auto"/>
                      </w:divBdr>
                    </w:div>
                  </w:divsChild>
                </w:div>
                <w:div w:id="742096879">
                  <w:marLeft w:val="0"/>
                  <w:marRight w:val="0"/>
                  <w:marTop w:val="0"/>
                  <w:marBottom w:val="0"/>
                  <w:divBdr>
                    <w:top w:val="none" w:sz="0" w:space="0" w:color="auto"/>
                    <w:left w:val="none" w:sz="0" w:space="0" w:color="auto"/>
                    <w:bottom w:val="none" w:sz="0" w:space="0" w:color="auto"/>
                    <w:right w:val="none" w:sz="0" w:space="0" w:color="auto"/>
                  </w:divBdr>
                  <w:divsChild>
                    <w:div w:id="1294212012">
                      <w:marLeft w:val="0"/>
                      <w:marRight w:val="0"/>
                      <w:marTop w:val="0"/>
                      <w:marBottom w:val="0"/>
                      <w:divBdr>
                        <w:top w:val="none" w:sz="0" w:space="0" w:color="auto"/>
                        <w:left w:val="none" w:sz="0" w:space="0" w:color="auto"/>
                        <w:bottom w:val="none" w:sz="0" w:space="0" w:color="auto"/>
                        <w:right w:val="none" w:sz="0" w:space="0" w:color="auto"/>
                      </w:divBdr>
                    </w:div>
                  </w:divsChild>
                </w:div>
                <w:div w:id="905997171">
                  <w:marLeft w:val="0"/>
                  <w:marRight w:val="0"/>
                  <w:marTop w:val="0"/>
                  <w:marBottom w:val="0"/>
                  <w:divBdr>
                    <w:top w:val="none" w:sz="0" w:space="0" w:color="auto"/>
                    <w:left w:val="none" w:sz="0" w:space="0" w:color="auto"/>
                    <w:bottom w:val="none" w:sz="0" w:space="0" w:color="auto"/>
                    <w:right w:val="none" w:sz="0" w:space="0" w:color="auto"/>
                  </w:divBdr>
                  <w:divsChild>
                    <w:div w:id="651523719">
                      <w:marLeft w:val="0"/>
                      <w:marRight w:val="0"/>
                      <w:marTop w:val="0"/>
                      <w:marBottom w:val="0"/>
                      <w:divBdr>
                        <w:top w:val="none" w:sz="0" w:space="0" w:color="auto"/>
                        <w:left w:val="none" w:sz="0" w:space="0" w:color="auto"/>
                        <w:bottom w:val="none" w:sz="0" w:space="0" w:color="auto"/>
                        <w:right w:val="none" w:sz="0" w:space="0" w:color="auto"/>
                      </w:divBdr>
                    </w:div>
                  </w:divsChild>
                </w:div>
                <w:div w:id="1056780586">
                  <w:marLeft w:val="0"/>
                  <w:marRight w:val="0"/>
                  <w:marTop w:val="0"/>
                  <w:marBottom w:val="0"/>
                  <w:divBdr>
                    <w:top w:val="none" w:sz="0" w:space="0" w:color="auto"/>
                    <w:left w:val="none" w:sz="0" w:space="0" w:color="auto"/>
                    <w:bottom w:val="none" w:sz="0" w:space="0" w:color="auto"/>
                    <w:right w:val="none" w:sz="0" w:space="0" w:color="auto"/>
                  </w:divBdr>
                  <w:divsChild>
                    <w:div w:id="1266042152">
                      <w:marLeft w:val="0"/>
                      <w:marRight w:val="0"/>
                      <w:marTop w:val="0"/>
                      <w:marBottom w:val="0"/>
                      <w:divBdr>
                        <w:top w:val="none" w:sz="0" w:space="0" w:color="auto"/>
                        <w:left w:val="none" w:sz="0" w:space="0" w:color="auto"/>
                        <w:bottom w:val="none" w:sz="0" w:space="0" w:color="auto"/>
                        <w:right w:val="none" w:sz="0" w:space="0" w:color="auto"/>
                      </w:divBdr>
                    </w:div>
                  </w:divsChild>
                </w:div>
                <w:div w:id="1120228523">
                  <w:marLeft w:val="0"/>
                  <w:marRight w:val="0"/>
                  <w:marTop w:val="0"/>
                  <w:marBottom w:val="0"/>
                  <w:divBdr>
                    <w:top w:val="none" w:sz="0" w:space="0" w:color="auto"/>
                    <w:left w:val="none" w:sz="0" w:space="0" w:color="auto"/>
                    <w:bottom w:val="none" w:sz="0" w:space="0" w:color="auto"/>
                    <w:right w:val="none" w:sz="0" w:space="0" w:color="auto"/>
                  </w:divBdr>
                  <w:divsChild>
                    <w:div w:id="601567701">
                      <w:marLeft w:val="0"/>
                      <w:marRight w:val="0"/>
                      <w:marTop w:val="0"/>
                      <w:marBottom w:val="0"/>
                      <w:divBdr>
                        <w:top w:val="none" w:sz="0" w:space="0" w:color="auto"/>
                        <w:left w:val="none" w:sz="0" w:space="0" w:color="auto"/>
                        <w:bottom w:val="none" w:sz="0" w:space="0" w:color="auto"/>
                        <w:right w:val="none" w:sz="0" w:space="0" w:color="auto"/>
                      </w:divBdr>
                    </w:div>
                  </w:divsChild>
                </w:div>
                <w:div w:id="1148210322">
                  <w:marLeft w:val="0"/>
                  <w:marRight w:val="0"/>
                  <w:marTop w:val="0"/>
                  <w:marBottom w:val="0"/>
                  <w:divBdr>
                    <w:top w:val="none" w:sz="0" w:space="0" w:color="auto"/>
                    <w:left w:val="none" w:sz="0" w:space="0" w:color="auto"/>
                    <w:bottom w:val="none" w:sz="0" w:space="0" w:color="auto"/>
                    <w:right w:val="none" w:sz="0" w:space="0" w:color="auto"/>
                  </w:divBdr>
                  <w:divsChild>
                    <w:div w:id="99760254">
                      <w:marLeft w:val="0"/>
                      <w:marRight w:val="0"/>
                      <w:marTop w:val="0"/>
                      <w:marBottom w:val="0"/>
                      <w:divBdr>
                        <w:top w:val="none" w:sz="0" w:space="0" w:color="auto"/>
                        <w:left w:val="none" w:sz="0" w:space="0" w:color="auto"/>
                        <w:bottom w:val="none" w:sz="0" w:space="0" w:color="auto"/>
                        <w:right w:val="none" w:sz="0" w:space="0" w:color="auto"/>
                      </w:divBdr>
                    </w:div>
                  </w:divsChild>
                </w:div>
                <w:div w:id="1374696002">
                  <w:marLeft w:val="0"/>
                  <w:marRight w:val="0"/>
                  <w:marTop w:val="0"/>
                  <w:marBottom w:val="0"/>
                  <w:divBdr>
                    <w:top w:val="none" w:sz="0" w:space="0" w:color="auto"/>
                    <w:left w:val="none" w:sz="0" w:space="0" w:color="auto"/>
                    <w:bottom w:val="none" w:sz="0" w:space="0" w:color="auto"/>
                    <w:right w:val="none" w:sz="0" w:space="0" w:color="auto"/>
                  </w:divBdr>
                  <w:divsChild>
                    <w:div w:id="1344014569">
                      <w:marLeft w:val="0"/>
                      <w:marRight w:val="0"/>
                      <w:marTop w:val="0"/>
                      <w:marBottom w:val="0"/>
                      <w:divBdr>
                        <w:top w:val="none" w:sz="0" w:space="0" w:color="auto"/>
                        <w:left w:val="none" w:sz="0" w:space="0" w:color="auto"/>
                        <w:bottom w:val="none" w:sz="0" w:space="0" w:color="auto"/>
                        <w:right w:val="none" w:sz="0" w:space="0" w:color="auto"/>
                      </w:divBdr>
                    </w:div>
                  </w:divsChild>
                </w:div>
                <w:div w:id="1644700820">
                  <w:marLeft w:val="0"/>
                  <w:marRight w:val="0"/>
                  <w:marTop w:val="0"/>
                  <w:marBottom w:val="0"/>
                  <w:divBdr>
                    <w:top w:val="none" w:sz="0" w:space="0" w:color="auto"/>
                    <w:left w:val="none" w:sz="0" w:space="0" w:color="auto"/>
                    <w:bottom w:val="none" w:sz="0" w:space="0" w:color="auto"/>
                    <w:right w:val="none" w:sz="0" w:space="0" w:color="auto"/>
                  </w:divBdr>
                  <w:divsChild>
                    <w:div w:id="294068712">
                      <w:marLeft w:val="0"/>
                      <w:marRight w:val="0"/>
                      <w:marTop w:val="0"/>
                      <w:marBottom w:val="0"/>
                      <w:divBdr>
                        <w:top w:val="none" w:sz="0" w:space="0" w:color="auto"/>
                        <w:left w:val="none" w:sz="0" w:space="0" w:color="auto"/>
                        <w:bottom w:val="none" w:sz="0" w:space="0" w:color="auto"/>
                        <w:right w:val="none" w:sz="0" w:space="0" w:color="auto"/>
                      </w:divBdr>
                    </w:div>
                  </w:divsChild>
                </w:div>
                <w:div w:id="1734231797">
                  <w:marLeft w:val="0"/>
                  <w:marRight w:val="0"/>
                  <w:marTop w:val="0"/>
                  <w:marBottom w:val="0"/>
                  <w:divBdr>
                    <w:top w:val="none" w:sz="0" w:space="0" w:color="auto"/>
                    <w:left w:val="none" w:sz="0" w:space="0" w:color="auto"/>
                    <w:bottom w:val="none" w:sz="0" w:space="0" w:color="auto"/>
                    <w:right w:val="none" w:sz="0" w:space="0" w:color="auto"/>
                  </w:divBdr>
                  <w:divsChild>
                    <w:div w:id="1731802682">
                      <w:marLeft w:val="0"/>
                      <w:marRight w:val="0"/>
                      <w:marTop w:val="0"/>
                      <w:marBottom w:val="0"/>
                      <w:divBdr>
                        <w:top w:val="none" w:sz="0" w:space="0" w:color="auto"/>
                        <w:left w:val="none" w:sz="0" w:space="0" w:color="auto"/>
                        <w:bottom w:val="none" w:sz="0" w:space="0" w:color="auto"/>
                        <w:right w:val="none" w:sz="0" w:space="0" w:color="auto"/>
                      </w:divBdr>
                    </w:div>
                  </w:divsChild>
                </w:div>
                <w:div w:id="2048723320">
                  <w:marLeft w:val="0"/>
                  <w:marRight w:val="0"/>
                  <w:marTop w:val="0"/>
                  <w:marBottom w:val="0"/>
                  <w:divBdr>
                    <w:top w:val="none" w:sz="0" w:space="0" w:color="auto"/>
                    <w:left w:val="none" w:sz="0" w:space="0" w:color="auto"/>
                    <w:bottom w:val="none" w:sz="0" w:space="0" w:color="auto"/>
                    <w:right w:val="none" w:sz="0" w:space="0" w:color="auto"/>
                  </w:divBdr>
                  <w:divsChild>
                    <w:div w:id="1890728530">
                      <w:marLeft w:val="0"/>
                      <w:marRight w:val="0"/>
                      <w:marTop w:val="0"/>
                      <w:marBottom w:val="0"/>
                      <w:divBdr>
                        <w:top w:val="none" w:sz="0" w:space="0" w:color="auto"/>
                        <w:left w:val="none" w:sz="0" w:space="0" w:color="auto"/>
                        <w:bottom w:val="none" w:sz="0" w:space="0" w:color="auto"/>
                        <w:right w:val="none" w:sz="0" w:space="0" w:color="auto"/>
                      </w:divBdr>
                    </w:div>
                  </w:divsChild>
                </w:div>
                <w:div w:id="2050106781">
                  <w:marLeft w:val="0"/>
                  <w:marRight w:val="0"/>
                  <w:marTop w:val="0"/>
                  <w:marBottom w:val="0"/>
                  <w:divBdr>
                    <w:top w:val="none" w:sz="0" w:space="0" w:color="auto"/>
                    <w:left w:val="none" w:sz="0" w:space="0" w:color="auto"/>
                    <w:bottom w:val="none" w:sz="0" w:space="0" w:color="auto"/>
                    <w:right w:val="none" w:sz="0" w:space="0" w:color="auto"/>
                  </w:divBdr>
                  <w:divsChild>
                    <w:div w:id="1379086226">
                      <w:marLeft w:val="0"/>
                      <w:marRight w:val="0"/>
                      <w:marTop w:val="0"/>
                      <w:marBottom w:val="0"/>
                      <w:divBdr>
                        <w:top w:val="none" w:sz="0" w:space="0" w:color="auto"/>
                        <w:left w:val="none" w:sz="0" w:space="0" w:color="auto"/>
                        <w:bottom w:val="none" w:sz="0" w:space="0" w:color="auto"/>
                        <w:right w:val="none" w:sz="0" w:space="0" w:color="auto"/>
                      </w:divBdr>
                    </w:div>
                  </w:divsChild>
                </w:div>
                <w:div w:id="2116049025">
                  <w:marLeft w:val="0"/>
                  <w:marRight w:val="0"/>
                  <w:marTop w:val="0"/>
                  <w:marBottom w:val="0"/>
                  <w:divBdr>
                    <w:top w:val="none" w:sz="0" w:space="0" w:color="auto"/>
                    <w:left w:val="none" w:sz="0" w:space="0" w:color="auto"/>
                    <w:bottom w:val="none" w:sz="0" w:space="0" w:color="auto"/>
                    <w:right w:val="none" w:sz="0" w:space="0" w:color="auto"/>
                  </w:divBdr>
                  <w:divsChild>
                    <w:div w:id="1050373725">
                      <w:marLeft w:val="0"/>
                      <w:marRight w:val="0"/>
                      <w:marTop w:val="0"/>
                      <w:marBottom w:val="0"/>
                      <w:divBdr>
                        <w:top w:val="none" w:sz="0" w:space="0" w:color="auto"/>
                        <w:left w:val="none" w:sz="0" w:space="0" w:color="auto"/>
                        <w:bottom w:val="none" w:sz="0" w:space="0" w:color="auto"/>
                        <w:right w:val="none" w:sz="0" w:space="0" w:color="auto"/>
                      </w:divBdr>
                    </w:div>
                  </w:divsChild>
                </w:div>
                <w:div w:id="2122257403">
                  <w:marLeft w:val="0"/>
                  <w:marRight w:val="0"/>
                  <w:marTop w:val="0"/>
                  <w:marBottom w:val="0"/>
                  <w:divBdr>
                    <w:top w:val="none" w:sz="0" w:space="0" w:color="auto"/>
                    <w:left w:val="none" w:sz="0" w:space="0" w:color="auto"/>
                    <w:bottom w:val="none" w:sz="0" w:space="0" w:color="auto"/>
                    <w:right w:val="none" w:sz="0" w:space="0" w:color="auto"/>
                  </w:divBdr>
                  <w:divsChild>
                    <w:div w:id="79626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120018">
      <w:bodyDiv w:val="1"/>
      <w:marLeft w:val="0"/>
      <w:marRight w:val="0"/>
      <w:marTop w:val="0"/>
      <w:marBottom w:val="0"/>
      <w:divBdr>
        <w:top w:val="none" w:sz="0" w:space="0" w:color="auto"/>
        <w:left w:val="none" w:sz="0" w:space="0" w:color="auto"/>
        <w:bottom w:val="none" w:sz="0" w:space="0" w:color="auto"/>
        <w:right w:val="none" w:sz="0" w:space="0" w:color="auto"/>
      </w:divBdr>
      <w:divsChild>
        <w:div w:id="705445159">
          <w:marLeft w:val="0"/>
          <w:marRight w:val="0"/>
          <w:marTop w:val="0"/>
          <w:marBottom w:val="0"/>
          <w:divBdr>
            <w:top w:val="none" w:sz="0" w:space="0" w:color="auto"/>
            <w:left w:val="none" w:sz="0" w:space="0" w:color="auto"/>
            <w:bottom w:val="none" w:sz="0" w:space="0" w:color="auto"/>
            <w:right w:val="none" w:sz="0" w:space="0" w:color="auto"/>
          </w:divBdr>
        </w:div>
        <w:div w:id="2122187821">
          <w:marLeft w:val="0"/>
          <w:marRight w:val="0"/>
          <w:marTop w:val="0"/>
          <w:marBottom w:val="0"/>
          <w:divBdr>
            <w:top w:val="none" w:sz="0" w:space="0" w:color="auto"/>
            <w:left w:val="none" w:sz="0" w:space="0" w:color="auto"/>
            <w:bottom w:val="none" w:sz="0" w:space="0" w:color="auto"/>
            <w:right w:val="none" w:sz="0" w:space="0" w:color="auto"/>
          </w:divBdr>
          <w:divsChild>
            <w:div w:id="1485505112">
              <w:marLeft w:val="-75"/>
              <w:marRight w:val="0"/>
              <w:marTop w:val="30"/>
              <w:marBottom w:val="30"/>
              <w:divBdr>
                <w:top w:val="none" w:sz="0" w:space="0" w:color="auto"/>
                <w:left w:val="none" w:sz="0" w:space="0" w:color="auto"/>
                <w:bottom w:val="none" w:sz="0" w:space="0" w:color="auto"/>
                <w:right w:val="none" w:sz="0" w:space="0" w:color="auto"/>
              </w:divBdr>
              <w:divsChild>
                <w:div w:id="33389507">
                  <w:marLeft w:val="0"/>
                  <w:marRight w:val="0"/>
                  <w:marTop w:val="0"/>
                  <w:marBottom w:val="0"/>
                  <w:divBdr>
                    <w:top w:val="none" w:sz="0" w:space="0" w:color="auto"/>
                    <w:left w:val="none" w:sz="0" w:space="0" w:color="auto"/>
                    <w:bottom w:val="none" w:sz="0" w:space="0" w:color="auto"/>
                    <w:right w:val="none" w:sz="0" w:space="0" w:color="auto"/>
                  </w:divBdr>
                  <w:divsChild>
                    <w:div w:id="1651135978">
                      <w:marLeft w:val="0"/>
                      <w:marRight w:val="0"/>
                      <w:marTop w:val="0"/>
                      <w:marBottom w:val="0"/>
                      <w:divBdr>
                        <w:top w:val="none" w:sz="0" w:space="0" w:color="auto"/>
                        <w:left w:val="none" w:sz="0" w:space="0" w:color="auto"/>
                        <w:bottom w:val="none" w:sz="0" w:space="0" w:color="auto"/>
                        <w:right w:val="none" w:sz="0" w:space="0" w:color="auto"/>
                      </w:divBdr>
                    </w:div>
                  </w:divsChild>
                </w:div>
                <w:div w:id="44793260">
                  <w:marLeft w:val="0"/>
                  <w:marRight w:val="0"/>
                  <w:marTop w:val="0"/>
                  <w:marBottom w:val="0"/>
                  <w:divBdr>
                    <w:top w:val="none" w:sz="0" w:space="0" w:color="auto"/>
                    <w:left w:val="none" w:sz="0" w:space="0" w:color="auto"/>
                    <w:bottom w:val="none" w:sz="0" w:space="0" w:color="auto"/>
                    <w:right w:val="none" w:sz="0" w:space="0" w:color="auto"/>
                  </w:divBdr>
                  <w:divsChild>
                    <w:div w:id="1808813061">
                      <w:marLeft w:val="0"/>
                      <w:marRight w:val="0"/>
                      <w:marTop w:val="0"/>
                      <w:marBottom w:val="0"/>
                      <w:divBdr>
                        <w:top w:val="none" w:sz="0" w:space="0" w:color="auto"/>
                        <w:left w:val="none" w:sz="0" w:space="0" w:color="auto"/>
                        <w:bottom w:val="none" w:sz="0" w:space="0" w:color="auto"/>
                        <w:right w:val="none" w:sz="0" w:space="0" w:color="auto"/>
                      </w:divBdr>
                    </w:div>
                  </w:divsChild>
                </w:div>
                <w:div w:id="70003851">
                  <w:marLeft w:val="0"/>
                  <w:marRight w:val="0"/>
                  <w:marTop w:val="0"/>
                  <w:marBottom w:val="0"/>
                  <w:divBdr>
                    <w:top w:val="none" w:sz="0" w:space="0" w:color="auto"/>
                    <w:left w:val="none" w:sz="0" w:space="0" w:color="auto"/>
                    <w:bottom w:val="none" w:sz="0" w:space="0" w:color="auto"/>
                    <w:right w:val="none" w:sz="0" w:space="0" w:color="auto"/>
                  </w:divBdr>
                  <w:divsChild>
                    <w:div w:id="1370766767">
                      <w:marLeft w:val="0"/>
                      <w:marRight w:val="0"/>
                      <w:marTop w:val="0"/>
                      <w:marBottom w:val="0"/>
                      <w:divBdr>
                        <w:top w:val="none" w:sz="0" w:space="0" w:color="auto"/>
                        <w:left w:val="none" w:sz="0" w:space="0" w:color="auto"/>
                        <w:bottom w:val="none" w:sz="0" w:space="0" w:color="auto"/>
                        <w:right w:val="none" w:sz="0" w:space="0" w:color="auto"/>
                      </w:divBdr>
                    </w:div>
                  </w:divsChild>
                </w:div>
                <w:div w:id="76173430">
                  <w:marLeft w:val="0"/>
                  <w:marRight w:val="0"/>
                  <w:marTop w:val="0"/>
                  <w:marBottom w:val="0"/>
                  <w:divBdr>
                    <w:top w:val="none" w:sz="0" w:space="0" w:color="auto"/>
                    <w:left w:val="none" w:sz="0" w:space="0" w:color="auto"/>
                    <w:bottom w:val="none" w:sz="0" w:space="0" w:color="auto"/>
                    <w:right w:val="none" w:sz="0" w:space="0" w:color="auto"/>
                  </w:divBdr>
                  <w:divsChild>
                    <w:div w:id="224922542">
                      <w:marLeft w:val="0"/>
                      <w:marRight w:val="0"/>
                      <w:marTop w:val="0"/>
                      <w:marBottom w:val="0"/>
                      <w:divBdr>
                        <w:top w:val="none" w:sz="0" w:space="0" w:color="auto"/>
                        <w:left w:val="none" w:sz="0" w:space="0" w:color="auto"/>
                        <w:bottom w:val="none" w:sz="0" w:space="0" w:color="auto"/>
                        <w:right w:val="none" w:sz="0" w:space="0" w:color="auto"/>
                      </w:divBdr>
                    </w:div>
                    <w:div w:id="789782567">
                      <w:marLeft w:val="0"/>
                      <w:marRight w:val="0"/>
                      <w:marTop w:val="0"/>
                      <w:marBottom w:val="0"/>
                      <w:divBdr>
                        <w:top w:val="none" w:sz="0" w:space="0" w:color="auto"/>
                        <w:left w:val="none" w:sz="0" w:space="0" w:color="auto"/>
                        <w:bottom w:val="none" w:sz="0" w:space="0" w:color="auto"/>
                        <w:right w:val="none" w:sz="0" w:space="0" w:color="auto"/>
                      </w:divBdr>
                    </w:div>
                  </w:divsChild>
                </w:div>
                <w:div w:id="145627388">
                  <w:marLeft w:val="0"/>
                  <w:marRight w:val="0"/>
                  <w:marTop w:val="0"/>
                  <w:marBottom w:val="0"/>
                  <w:divBdr>
                    <w:top w:val="none" w:sz="0" w:space="0" w:color="auto"/>
                    <w:left w:val="none" w:sz="0" w:space="0" w:color="auto"/>
                    <w:bottom w:val="none" w:sz="0" w:space="0" w:color="auto"/>
                    <w:right w:val="none" w:sz="0" w:space="0" w:color="auto"/>
                  </w:divBdr>
                  <w:divsChild>
                    <w:div w:id="1885093879">
                      <w:marLeft w:val="0"/>
                      <w:marRight w:val="0"/>
                      <w:marTop w:val="0"/>
                      <w:marBottom w:val="0"/>
                      <w:divBdr>
                        <w:top w:val="none" w:sz="0" w:space="0" w:color="auto"/>
                        <w:left w:val="none" w:sz="0" w:space="0" w:color="auto"/>
                        <w:bottom w:val="none" w:sz="0" w:space="0" w:color="auto"/>
                        <w:right w:val="none" w:sz="0" w:space="0" w:color="auto"/>
                      </w:divBdr>
                    </w:div>
                  </w:divsChild>
                </w:div>
                <w:div w:id="231308192">
                  <w:marLeft w:val="0"/>
                  <w:marRight w:val="0"/>
                  <w:marTop w:val="0"/>
                  <w:marBottom w:val="0"/>
                  <w:divBdr>
                    <w:top w:val="none" w:sz="0" w:space="0" w:color="auto"/>
                    <w:left w:val="none" w:sz="0" w:space="0" w:color="auto"/>
                    <w:bottom w:val="none" w:sz="0" w:space="0" w:color="auto"/>
                    <w:right w:val="none" w:sz="0" w:space="0" w:color="auto"/>
                  </w:divBdr>
                  <w:divsChild>
                    <w:div w:id="2129278973">
                      <w:marLeft w:val="0"/>
                      <w:marRight w:val="0"/>
                      <w:marTop w:val="0"/>
                      <w:marBottom w:val="0"/>
                      <w:divBdr>
                        <w:top w:val="none" w:sz="0" w:space="0" w:color="auto"/>
                        <w:left w:val="none" w:sz="0" w:space="0" w:color="auto"/>
                        <w:bottom w:val="none" w:sz="0" w:space="0" w:color="auto"/>
                        <w:right w:val="none" w:sz="0" w:space="0" w:color="auto"/>
                      </w:divBdr>
                    </w:div>
                  </w:divsChild>
                </w:div>
                <w:div w:id="237792764">
                  <w:marLeft w:val="0"/>
                  <w:marRight w:val="0"/>
                  <w:marTop w:val="0"/>
                  <w:marBottom w:val="0"/>
                  <w:divBdr>
                    <w:top w:val="none" w:sz="0" w:space="0" w:color="auto"/>
                    <w:left w:val="none" w:sz="0" w:space="0" w:color="auto"/>
                    <w:bottom w:val="none" w:sz="0" w:space="0" w:color="auto"/>
                    <w:right w:val="none" w:sz="0" w:space="0" w:color="auto"/>
                  </w:divBdr>
                  <w:divsChild>
                    <w:div w:id="2088072931">
                      <w:marLeft w:val="0"/>
                      <w:marRight w:val="0"/>
                      <w:marTop w:val="0"/>
                      <w:marBottom w:val="0"/>
                      <w:divBdr>
                        <w:top w:val="none" w:sz="0" w:space="0" w:color="auto"/>
                        <w:left w:val="none" w:sz="0" w:space="0" w:color="auto"/>
                        <w:bottom w:val="none" w:sz="0" w:space="0" w:color="auto"/>
                        <w:right w:val="none" w:sz="0" w:space="0" w:color="auto"/>
                      </w:divBdr>
                    </w:div>
                  </w:divsChild>
                </w:div>
                <w:div w:id="282812025">
                  <w:marLeft w:val="0"/>
                  <w:marRight w:val="0"/>
                  <w:marTop w:val="0"/>
                  <w:marBottom w:val="0"/>
                  <w:divBdr>
                    <w:top w:val="none" w:sz="0" w:space="0" w:color="auto"/>
                    <w:left w:val="none" w:sz="0" w:space="0" w:color="auto"/>
                    <w:bottom w:val="none" w:sz="0" w:space="0" w:color="auto"/>
                    <w:right w:val="none" w:sz="0" w:space="0" w:color="auto"/>
                  </w:divBdr>
                  <w:divsChild>
                    <w:div w:id="14232084">
                      <w:marLeft w:val="0"/>
                      <w:marRight w:val="0"/>
                      <w:marTop w:val="0"/>
                      <w:marBottom w:val="0"/>
                      <w:divBdr>
                        <w:top w:val="none" w:sz="0" w:space="0" w:color="auto"/>
                        <w:left w:val="none" w:sz="0" w:space="0" w:color="auto"/>
                        <w:bottom w:val="none" w:sz="0" w:space="0" w:color="auto"/>
                        <w:right w:val="none" w:sz="0" w:space="0" w:color="auto"/>
                      </w:divBdr>
                    </w:div>
                    <w:div w:id="767237606">
                      <w:marLeft w:val="0"/>
                      <w:marRight w:val="0"/>
                      <w:marTop w:val="0"/>
                      <w:marBottom w:val="0"/>
                      <w:divBdr>
                        <w:top w:val="none" w:sz="0" w:space="0" w:color="auto"/>
                        <w:left w:val="none" w:sz="0" w:space="0" w:color="auto"/>
                        <w:bottom w:val="none" w:sz="0" w:space="0" w:color="auto"/>
                        <w:right w:val="none" w:sz="0" w:space="0" w:color="auto"/>
                      </w:divBdr>
                    </w:div>
                    <w:div w:id="1611207068">
                      <w:marLeft w:val="0"/>
                      <w:marRight w:val="0"/>
                      <w:marTop w:val="0"/>
                      <w:marBottom w:val="0"/>
                      <w:divBdr>
                        <w:top w:val="none" w:sz="0" w:space="0" w:color="auto"/>
                        <w:left w:val="none" w:sz="0" w:space="0" w:color="auto"/>
                        <w:bottom w:val="none" w:sz="0" w:space="0" w:color="auto"/>
                        <w:right w:val="none" w:sz="0" w:space="0" w:color="auto"/>
                      </w:divBdr>
                    </w:div>
                  </w:divsChild>
                </w:div>
                <w:div w:id="298651765">
                  <w:marLeft w:val="0"/>
                  <w:marRight w:val="0"/>
                  <w:marTop w:val="0"/>
                  <w:marBottom w:val="0"/>
                  <w:divBdr>
                    <w:top w:val="none" w:sz="0" w:space="0" w:color="auto"/>
                    <w:left w:val="none" w:sz="0" w:space="0" w:color="auto"/>
                    <w:bottom w:val="none" w:sz="0" w:space="0" w:color="auto"/>
                    <w:right w:val="none" w:sz="0" w:space="0" w:color="auto"/>
                  </w:divBdr>
                  <w:divsChild>
                    <w:div w:id="1705786543">
                      <w:marLeft w:val="0"/>
                      <w:marRight w:val="0"/>
                      <w:marTop w:val="0"/>
                      <w:marBottom w:val="0"/>
                      <w:divBdr>
                        <w:top w:val="none" w:sz="0" w:space="0" w:color="auto"/>
                        <w:left w:val="none" w:sz="0" w:space="0" w:color="auto"/>
                        <w:bottom w:val="none" w:sz="0" w:space="0" w:color="auto"/>
                        <w:right w:val="none" w:sz="0" w:space="0" w:color="auto"/>
                      </w:divBdr>
                    </w:div>
                  </w:divsChild>
                </w:div>
                <w:div w:id="300615401">
                  <w:marLeft w:val="0"/>
                  <w:marRight w:val="0"/>
                  <w:marTop w:val="0"/>
                  <w:marBottom w:val="0"/>
                  <w:divBdr>
                    <w:top w:val="none" w:sz="0" w:space="0" w:color="auto"/>
                    <w:left w:val="none" w:sz="0" w:space="0" w:color="auto"/>
                    <w:bottom w:val="none" w:sz="0" w:space="0" w:color="auto"/>
                    <w:right w:val="none" w:sz="0" w:space="0" w:color="auto"/>
                  </w:divBdr>
                  <w:divsChild>
                    <w:div w:id="2125223055">
                      <w:marLeft w:val="0"/>
                      <w:marRight w:val="0"/>
                      <w:marTop w:val="0"/>
                      <w:marBottom w:val="0"/>
                      <w:divBdr>
                        <w:top w:val="none" w:sz="0" w:space="0" w:color="auto"/>
                        <w:left w:val="none" w:sz="0" w:space="0" w:color="auto"/>
                        <w:bottom w:val="none" w:sz="0" w:space="0" w:color="auto"/>
                        <w:right w:val="none" w:sz="0" w:space="0" w:color="auto"/>
                      </w:divBdr>
                    </w:div>
                  </w:divsChild>
                </w:div>
                <w:div w:id="380983367">
                  <w:marLeft w:val="0"/>
                  <w:marRight w:val="0"/>
                  <w:marTop w:val="0"/>
                  <w:marBottom w:val="0"/>
                  <w:divBdr>
                    <w:top w:val="none" w:sz="0" w:space="0" w:color="auto"/>
                    <w:left w:val="none" w:sz="0" w:space="0" w:color="auto"/>
                    <w:bottom w:val="none" w:sz="0" w:space="0" w:color="auto"/>
                    <w:right w:val="none" w:sz="0" w:space="0" w:color="auto"/>
                  </w:divBdr>
                  <w:divsChild>
                    <w:div w:id="953944315">
                      <w:marLeft w:val="0"/>
                      <w:marRight w:val="0"/>
                      <w:marTop w:val="0"/>
                      <w:marBottom w:val="0"/>
                      <w:divBdr>
                        <w:top w:val="none" w:sz="0" w:space="0" w:color="auto"/>
                        <w:left w:val="none" w:sz="0" w:space="0" w:color="auto"/>
                        <w:bottom w:val="none" w:sz="0" w:space="0" w:color="auto"/>
                        <w:right w:val="none" w:sz="0" w:space="0" w:color="auto"/>
                      </w:divBdr>
                    </w:div>
                  </w:divsChild>
                </w:div>
                <w:div w:id="390203117">
                  <w:marLeft w:val="0"/>
                  <w:marRight w:val="0"/>
                  <w:marTop w:val="0"/>
                  <w:marBottom w:val="0"/>
                  <w:divBdr>
                    <w:top w:val="none" w:sz="0" w:space="0" w:color="auto"/>
                    <w:left w:val="none" w:sz="0" w:space="0" w:color="auto"/>
                    <w:bottom w:val="none" w:sz="0" w:space="0" w:color="auto"/>
                    <w:right w:val="none" w:sz="0" w:space="0" w:color="auto"/>
                  </w:divBdr>
                  <w:divsChild>
                    <w:div w:id="1456095330">
                      <w:marLeft w:val="0"/>
                      <w:marRight w:val="0"/>
                      <w:marTop w:val="0"/>
                      <w:marBottom w:val="0"/>
                      <w:divBdr>
                        <w:top w:val="none" w:sz="0" w:space="0" w:color="auto"/>
                        <w:left w:val="none" w:sz="0" w:space="0" w:color="auto"/>
                        <w:bottom w:val="none" w:sz="0" w:space="0" w:color="auto"/>
                        <w:right w:val="none" w:sz="0" w:space="0" w:color="auto"/>
                      </w:divBdr>
                    </w:div>
                  </w:divsChild>
                </w:div>
                <w:div w:id="422383204">
                  <w:marLeft w:val="0"/>
                  <w:marRight w:val="0"/>
                  <w:marTop w:val="0"/>
                  <w:marBottom w:val="0"/>
                  <w:divBdr>
                    <w:top w:val="none" w:sz="0" w:space="0" w:color="auto"/>
                    <w:left w:val="none" w:sz="0" w:space="0" w:color="auto"/>
                    <w:bottom w:val="none" w:sz="0" w:space="0" w:color="auto"/>
                    <w:right w:val="none" w:sz="0" w:space="0" w:color="auto"/>
                  </w:divBdr>
                  <w:divsChild>
                    <w:div w:id="1529564673">
                      <w:marLeft w:val="0"/>
                      <w:marRight w:val="0"/>
                      <w:marTop w:val="0"/>
                      <w:marBottom w:val="0"/>
                      <w:divBdr>
                        <w:top w:val="none" w:sz="0" w:space="0" w:color="auto"/>
                        <w:left w:val="none" w:sz="0" w:space="0" w:color="auto"/>
                        <w:bottom w:val="none" w:sz="0" w:space="0" w:color="auto"/>
                        <w:right w:val="none" w:sz="0" w:space="0" w:color="auto"/>
                      </w:divBdr>
                    </w:div>
                  </w:divsChild>
                </w:div>
                <w:div w:id="480582223">
                  <w:marLeft w:val="0"/>
                  <w:marRight w:val="0"/>
                  <w:marTop w:val="0"/>
                  <w:marBottom w:val="0"/>
                  <w:divBdr>
                    <w:top w:val="none" w:sz="0" w:space="0" w:color="auto"/>
                    <w:left w:val="none" w:sz="0" w:space="0" w:color="auto"/>
                    <w:bottom w:val="none" w:sz="0" w:space="0" w:color="auto"/>
                    <w:right w:val="none" w:sz="0" w:space="0" w:color="auto"/>
                  </w:divBdr>
                  <w:divsChild>
                    <w:div w:id="1162163606">
                      <w:marLeft w:val="0"/>
                      <w:marRight w:val="0"/>
                      <w:marTop w:val="0"/>
                      <w:marBottom w:val="0"/>
                      <w:divBdr>
                        <w:top w:val="none" w:sz="0" w:space="0" w:color="auto"/>
                        <w:left w:val="none" w:sz="0" w:space="0" w:color="auto"/>
                        <w:bottom w:val="none" w:sz="0" w:space="0" w:color="auto"/>
                        <w:right w:val="none" w:sz="0" w:space="0" w:color="auto"/>
                      </w:divBdr>
                    </w:div>
                    <w:div w:id="1326472619">
                      <w:marLeft w:val="0"/>
                      <w:marRight w:val="0"/>
                      <w:marTop w:val="0"/>
                      <w:marBottom w:val="0"/>
                      <w:divBdr>
                        <w:top w:val="none" w:sz="0" w:space="0" w:color="auto"/>
                        <w:left w:val="none" w:sz="0" w:space="0" w:color="auto"/>
                        <w:bottom w:val="none" w:sz="0" w:space="0" w:color="auto"/>
                        <w:right w:val="none" w:sz="0" w:space="0" w:color="auto"/>
                      </w:divBdr>
                    </w:div>
                  </w:divsChild>
                </w:div>
                <w:div w:id="549222451">
                  <w:marLeft w:val="0"/>
                  <w:marRight w:val="0"/>
                  <w:marTop w:val="0"/>
                  <w:marBottom w:val="0"/>
                  <w:divBdr>
                    <w:top w:val="none" w:sz="0" w:space="0" w:color="auto"/>
                    <w:left w:val="none" w:sz="0" w:space="0" w:color="auto"/>
                    <w:bottom w:val="none" w:sz="0" w:space="0" w:color="auto"/>
                    <w:right w:val="none" w:sz="0" w:space="0" w:color="auto"/>
                  </w:divBdr>
                  <w:divsChild>
                    <w:div w:id="740635742">
                      <w:marLeft w:val="0"/>
                      <w:marRight w:val="0"/>
                      <w:marTop w:val="0"/>
                      <w:marBottom w:val="0"/>
                      <w:divBdr>
                        <w:top w:val="none" w:sz="0" w:space="0" w:color="auto"/>
                        <w:left w:val="none" w:sz="0" w:space="0" w:color="auto"/>
                        <w:bottom w:val="none" w:sz="0" w:space="0" w:color="auto"/>
                        <w:right w:val="none" w:sz="0" w:space="0" w:color="auto"/>
                      </w:divBdr>
                    </w:div>
                  </w:divsChild>
                </w:div>
                <w:div w:id="628051401">
                  <w:marLeft w:val="0"/>
                  <w:marRight w:val="0"/>
                  <w:marTop w:val="0"/>
                  <w:marBottom w:val="0"/>
                  <w:divBdr>
                    <w:top w:val="none" w:sz="0" w:space="0" w:color="auto"/>
                    <w:left w:val="none" w:sz="0" w:space="0" w:color="auto"/>
                    <w:bottom w:val="none" w:sz="0" w:space="0" w:color="auto"/>
                    <w:right w:val="none" w:sz="0" w:space="0" w:color="auto"/>
                  </w:divBdr>
                  <w:divsChild>
                    <w:div w:id="1619870168">
                      <w:marLeft w:val="0"/>
                      <w:marRight w:val="0"/>
                      <w:marTop w:val="0"/>
                      <w:marBottom w:val="0"/>
                      <w:divBdr>
                        <w:top w:val="none" w:sz="0" w:space="0" w:color="auto"/>
                        <w:left w:val="none" w:sz="0" w:space="0" w:color="auto"/>
                        <w:bottom w:val="none" w:sz="0" w:space="0" w:color="auto"/>
                        <w:right w:val="none" w:sz="0" w:space="0" w:color="auto"/>
                      </w:divBdr>
                    </w:div>
                  </w:divsChild>
                </w:div>
                <w:div w:id="649135105">
                  <w:marLeft w:val="0"/>
                  <w:marRight w:val="0"/>
                  <w:marTop w:val="0"/>
                  <w:marBottom w:val="0"/>
                  <w:divBdr>
                    <w:top w:val="none" w:sz="0" w:space="0" w:color="auto"/>
                    <w:left w:val="none" w:sz="0" w:space="0" w:color="auto"/>
                    <w:bottom w:val="none" w:sz="0" w:space="0" w:color="auto"/>
                    <w:right w:val="none" w:sz="0" w:space="0" w:color="auto"/>
                  </w:divBdr>
                  <w:divsChild>
                    <w:div w:id="595552508">
                      <w:marLeft w:val="0"/>
                      <w:marRight w:val="0"/>
                      <w:marTop w:val="0"/>
                      <w:marBottom w:val="0"/>
                      <w:divBdr>
                        <w:top w:val="none" w:sz="0" w:space="0" w:color="auto"/>
                        <w:left w:val="none" w:sz="0" w:space="0" w:color="auto"/>
                        <w:bottom w:val="none" w:sz="0" w:space="0" w:color="auto"/>
                        <w:right w:val="none" w:sz="0" w:space="0" w:color="auto"/>
                      </w:divBdr>
                    </w:div>
                  </w:divsChild>
                </w:div>
                <w:div w:id="674695738">
                  <w:marLeft w:val="0"/>
                  <w:marRight w:val="0"/>
                  <w:marTop w:val="0"/>
                  <w:marBottom w:val="0"/>
                  <w:divBdr>
                    <w:top w:val="none" w:sz="0" w:space="0" w:color="auto"/>
                    <w:left w:val="none" w:sz="0" w:space="0" w:color="auto"/>
                    <w:bottom w:val="none" w:sz="0" w:space="0" w:color="auto"/>
                    <w:right w:val="none" w:sz="0" w:space="0" w:color="auto"/>
                  </w:divBdr>
                  <w:divsChild>
                    <w:div w:id="1178010038">
                      <w:marLeft w:val="0"/>
                      <w:marRight w:val="0"/>
                      <w:marTop w:val="0"/>
                      <w:marBottom w:val="0"/>
                      <w:divBdr>
                        <w:top w:val="none" w:sz="0" w:space="0" w:color="auto"/>
                        <w:left w:val="none" w:sz="0" w:space="0" w:color="auto"/>
                        <w:bottom w:val="none" w:sz="0" w:space="0" w:color="auto"/>
                        <w:right w:val="none" w:sz="0" w:space="0" w:color="auto"/>
                      </w:divBdr>
                    </w:div>
                    <w:div w:id="1829789397">
                      <w:marLeft w:val="0"/>
                      <w:marRight w:val="0"/>
                      <w:marTop w:val="0"/>
                      <w:marBottom w:val="0"/>
                      <w:divBdr>
                        <w:top w:val="none" w:sz="0" w:space="0" w:color="auto"/>
                        <w:left w:val="none" w:sz="0" w:space="0" w:color="auto"/>
                        <w:bottom w:val="none" w:sz="0" w:space="0" w:color="auto"/>
                        <w:right w:val="none" w:sz="0" w:space="0" w:color="auto"/>
                      </w:divBdr>
                    </w:div>
                  </w:divsChild>
                </w:div>
                <w:div w:id="772169124">
                  <w:marLeft w:val="0"/>
                  <w:marRight w:val="0"/>
                  <w:marTop w:val="0"/>
                  <w:marBottom w:val="0"/>
                  <w:divBdr>
                    <w:top w:val="none" w:sz="0" w:space="0" w:color="auto"/>
                    <w:left w:val="none" w:sz="0" w:space="0" w:color="auto"/>
                    <w:bottom w:val="none" w:sz="0" w:space="0" w:color="auto"/>
                    <w:right w:val="none" w:sz="0" w:space="0" w:color="auto"/>
                  </w:divBdr>
                  <w:divsChild>
                    <w:div w:id="1640574743">
                      <w:marLeft w:val="0"/>
                      <w:marRight w:val="0"/>
                      <w:marTop w:val="0"/>
                      <w:marBottom w:val="0"/>
                      <w:divBdr>
                        <w:top w:val="none" w:sz="0" w:space="0" w:color="auto"/>
                        <w:left w:val="none" w:sz="0" w:space="0" w:color="auto"/>
                        <w:bottom w:val="none" w:sz="0" w:space="0" w:color="auto"/>
                        <w:right w:val="none" w:sz="0" w:space="0" w:color="auto"/>
                      </w:divBdr>
                    </w:div>
                  </w:divsChild>
                </w:div>
                <w:div w:id="803886680">
                  <w:marLeft w:val="0"/>
                  <w:marRight w:val="0"/>
                  <w:marTop w:val="0"/>
                  <w:marBottom w:val="0"/>
                  <w:divBdr>
                    <w:top w:val="none" w:sz="0" w:space="0" w:color="auto"/>
                    <w:left w:val="none" w:sz="0" w:space="0" w:color="auto"/>
                    <w:bottom w:val="none" w:sz="0" w:space="0" w:color="auto"/>
                    <w:right w:val="none" w:sz="0" w:space="0" w:color="auto"/>
                  </w:divBdr>
                  <w:divsChild>
                    <w:div w:id="1118259430">
                      <w:marLeft w:val="0"/>
                      <w:marRight w:val="0"/>
                      <w:marTop w:val="0"/>
                      <w:marBottom w:val="0"/>
                      <w:divBdr>
                        <w:top w:val="none" w:sz="0" w:space="0" w:color="auto"/>
                        <w:left w:val="none" w:sz="0" w:space="0" w:color="auto"/>
                        <w:bottom w:val="none" w:sz="0" w:space="0" w:color="auto"/>
                        <w:right w:val="none" w:sz="0" w:space="0" w:color="auto"/>
                      </w:divBdr>
                    </w:div>
                  </w:divsChild>
                </w:div>
                <w:div w:id="817765962">
                  <w:marLeft w:val="0"/>
                  <w:marRight w:val="0"/>
                  <w:marTop w:val="0"/>
                  <w:marBottom w:val="0"/>
                  <w:divBdr>
                    <w:top w:val="none" w:sz="0" w:space="0" w:color="auto"/>
                    <w:left w:val="none" w:sz="0" w:space="0" w:color="auto"/>
                    <w:bottom w:val="none" w:sz="0" w:space="0" w:color="auto"/>
                    <w:right w:val="none" w:sz="0" w:space="0" w:color="auto"/>
                  </w:divBdr>
                  <w:divsChild>
                    <w:div w:id="145980569">
                      <w:marLeft w:val="0"/>
                      <w:marRight w:val="0"/>
                      <w:marTop w:val="0"/>
                      <w:marBottom w:val="0"/>
                      <w:divBdr>
                        <w:top w:val="none" w:sz="0" w:space="0" w:color="auto"/>
                        <w:left w:val="none" w:sz="0" w:space="0" w:color="auto"/>
                        <w:bottom w:val="none" w:sz="0" w:space="0" w:color="auto"/>
                        <w:right w:val="none" w:sz="0" w:space="0" w:color="auto"/>
                      </w:divBdr>
                    </w:div>
                  </w:divsChild>
                </w:div>
                <w:div w:id="820389245">
                  <w:marLeft w:val="0"/>
                  <w:marRight w:val="0"/>
                  <w:marTop w:val="0"/>
                  <w:marBottom w:val="0"/>
                  <w:divBdr>
                    <w:top w:val="none" w:sz="0" w:space="0" w:color="auto"/>
                    <w:left w:val="none" w:sz="0" w:space="0" w:color="auto"/>
                    <w:bottom w:val="none" w:sz="0" w:space="0" w:color="auto"/>
                    <w:right w:val="none" w:sz="0" w:space="0" w:color="auto"/>
                  </w:divBdr>
                  <w:divsChild>
                    <w:div w:id="303587616">
                      <w:marLeft w:val="0"/>
                      <w:marRight w:val="0"/>
                      <w:marTop w:val="0"/>
                      <w:marBottom w:val="0"/>
                      <w:divBdr>
                        <w:top w:val="none" w:sz="0" w:space="0" w:color="auto"/>
                        <w:left w:val="none" w:sz="0" w:space="0" w:color="auto"/>
                        <w:bottom w:val="none" w:sz="0" w:space="0" w:color="auto"/>
                        <w:right w:val="none" w:sz="0" w:space="0" w:color="auto"/>
                      </w:divBdr>
                    </w:div>
                  </w:divsChild>
                </w:div>
                <w:div w:id="865799411">
                  <w:marLeft w:val="0"/>
                  <w:marRight w:val="0"/>
                  <w:marTop w:val="0"/>
                  <w:marBottom w:val="0"/>
                  <w:divBdr>
                    <w:top w:val="none" w:sz="0" w:space="0" w:color="auto"/>
                    <w:left w:val="none" w:sz="0" w:space="0" w:color="auto"/>
                    <w:bottom w:val="none" w:sz="0" w:space="0" w:color="auto"/>
                    <w:right w:val="none" w:sz="0" w:space="0" w:color="auto"/>
                  </w:divBdr>
                  <w:divsChild>
                    <w:div w:id="481430477">
                      <w:marLeft w:val="0"/>
                      <w:marRight w:val="0"/>
                      <w:marTop w:val="0"/>
                      <w:marBottom w:val="0"/>
                      <w:divBdr>
                        <w:top w:val="none" w:sz="0" w:space="0" w:color="auto"/>
                        <w:left w:val="none" w:sz="0" w:space="0" w:color="auto"/>
                        <w:bottom w:val="none" w:sz="0" w:space="0" w:color="auto"/>
                        <w:right w:val="none" w:sz="0" w:space="0" w:color="auto"/>
                      </w:divBdr>
                    </w:div>
                  </w:divsChild>
                </w:div>
                <w:div w:id="900793640">
                  <w:marLeft w:val="0"/>
                  <w:marRight w:val="0"/>
                  <w:marTop w:val="0"/>
                  <w:marBottom w:val="0"/>
                  <w:divBdr>
                    <w:top w:val="none" w:sz="0" w:space="0" w:color="auto"/>
                    <w:left w:val="none" w:sz="0" w:space="0" w:color="auto"/>
                    <w:bottom w:val="none" w:sz="0" w:space="0" w:color="auto"/>
                    <w:right w:val="none" w:sz="0" w:space="0" w:color="auto"/>
                  </w:divBdr>
                  <w:divsChild>
                    <w:div w:id="908882610">
                      <w:marLeft w:val="0"/>
                      <w:marRight w:val="0"/>
                      <w:marTop w:val="0"/>
                      <w:marBottom w:val="0"/>
                      <w:divBdr>
                        <w:top w:val="none" w:sz="0" w:space="0" w:color="auto"/>
                        <w:left w:val="none" w:sz="0" w:space="0" w:color="auto"/>
                        <w:bottom w:val="none" w:sz="0" w:space="0" w:color="auto"/>
                        <w:right w:val="none" w:sz="0" w:space="0" w:color="auto"/>
                      </w:divBdr>
                    </w:div>
                  </w:divsChild>
                </w:div>
                <w:div w:id="913466414">
                  <w:marLeft w:val="0"/>
                  <w:marRight w:val="0"/>
                  <w:marTop w:val="0"/>
                  <w:marBottom w:val="0"/>
                  <w:divBdr>
                    <w:top w:val="none" w:sz="0" w:space="0" w:color="auto"/>
                    <w:left w:val="none" w:sz="0" w:space="0" w:color="auto"/>
                    <w:bottom w:val="none" w:sz="0" w:space="0" w:color="auto"/>
                    <w:right w:val="none" w:sz="0" w:space="0" w:color="auto"/>
                  </w:divBdr>
                  <w:divsChild>
                    <w:div w:id="56439025">
                      <w:marLeft w:val="0"/>
                      <w:marRight w:val="0"/>
                      <w:marTop w:val="0"/>
                      <w:marBottom w:val="0"/>
                      <w:divBdr>
                        <w:top w:val="none" w:sz="0" w:space="0" w:color="auto"/>
                        <w:left w:val="none" w:sz="0" w:space="0" w:color="auto"/>
                        <w:bottom w:val="none" w:sz="0" w:space="0" w:color="auto"/>
                        <w:right w:val="none" w:sz="0" w:space="0" w:color="auto"/>
                      </w:divBdr>
                    </w:div>
                  </w:divsChild>
                </w:div>
                <w:div w:id="929313785">
                  <w:marLeft w:val="0"/>
                  <w:marRight w:val="0"/>
                  <w:marTop w:val="0"/>
                  <w:marBottom w:val="0"/>
                  <w:divBdr>
                    <w:top w:val="none" w:sz="0" w:space="0" w:color="auto"/>
                    <w:left w:val="none" w:sz="0" w:space="0" w:color="auto"/>
                    <w:bottom w:val="none" w:sz="0" w:space="0" w:color="auto"/>
                    <w:right w:val="none" w:sz="0" w:space="0" w:color="auto"/>
                  </w:divBdr>
                  <w:divsChild>
                    <w:div w:id="190076902">
                      <w:marLeft w:val="0"/>
                      <w:marRight w:val="0"/>
                      <w:marTop w:val="0"/>
                      <w:marBottom w:val="0"/>
                      <w:divBdr>
                        <w:top w:val="none" w:sz="0" w:space="0" w:color="auto"/>
                        <w:left w:val="none" w:sz="0" w:space="0" w:color="auto"/>
                        <w:bottom w:val="none" w:sz="0" w:space="0" w:color="auto"/>
                        <w:right w:val="none" w:sz="0" w:space="0" w:color="auto"/>
                      </w:divBdr>
                    </w:div>
                  </w:divsChild>
                </w:div>
                <w:div w:id="973759390">
                  <w:marLeft w:val="0"/>
                  <w:marRight w:val="0"/>
                  <w:marTop w:val="0"/>
                  <w:marBottom w:val="0"/>
                  <w:divBdr>
                    <w:top w:val="none" w:sz="0" w:space="0" w:color="auto"/>
                    <w:left w:val="none" w:sz="0" w:space="0" w:color="auto"/>
                    <w:bottom w:val="none" w:sz="0" w:space="0" w:color="auto"/>
                    <w:right w:val="none" w:sz="0" w:space="0" w:color="auto"/>
                  </w:divBdr>
                  <w:divsChild>
                    <w:div w:id="1668052368">
                      <w:marLeft w:val="0"/>
                      <w:marRight w:val="0"/>
                      <w:marTop w:val="0"/>
                      <w:marBottom w:val="0"/>
                      <w:divBdr>
                        <w:top w:val="none" w:sz="0" w:space="0" w:color="auto"/>
                        <w:left w:val="none" w:sz="0" w:space="0" w:color="auto"/>
                        <w:bottom w:val="none" w:sz="0" w:space="0" w:color="auto"/>
                        <w:right w:val="none" w:sz="0" w:space="0" w:color="auto"/>
                      </w:divBdr>
                    </w:div>
                  </w:divsChild>
                </w:div>
                <w:div w:id="1049721323">
                  <w:marLeft w:val="0"/>
                  <w:marRight w:val="0"/>
                  <w:marTop w:val="0"/>
                  <w:marBottom w:val="0"/>
                  <w:divBdr>
                    <w:top w:val="none" w:sz="0" w:space="0" w:color="auto"/>
                    <w:left w:val="none" w:sz="0" w:space="0" w:color="auto"/>
                    <w:bottom w:val="none" w:sz="0" w:space="0" w:color="auto"/>
                    <w:right w:val="none" w:sz="0" w:space="0" w:color="auto"/>
                  </w:divBdr>
                  <w:divsChild>
                    <w:div w:id="1641810469">
                      <w:marLeft w:val="0"/>
                      <w:marRight w:val="0"/>
                      <w:marTop w:val="0"/>
                      <w:marBottom w:val="0"/>
                      <w:divBdr>
                        <w:top w:val="none" w:sz="0" w:space="0" w:color="auto"/>
                        <w:left w:val="none" w:sz="0" w:space="0" w:color="auto"/>
                        <w:bottom w:val="none" w:sz="0" w:space="0" w:color="auto"/>
                        <w:right w:val="none" w:sz="0" w:space="0" w:color="auto"/>
                      </w:divBdr>
                    </w:div>
                  </w:divsChild>
                </w:div>
                <w:div w:id="1119840166">
                  <w:marLeft w:val="0"/>
                  <w:marRight w:val="0"/>
                  <w:marTop w:val="0"/>
                  <w:marBottom w:val="0"/>
                  <w:divBdr>
                    <w:top w:val="none" w:sz="0" w:space="0" w:color="auto"/>
                    <w:left w:val="none" w:sz="0" w:space="0" w:color="auto"/>
                    <w:bottom w:val="none" w:sz="0" w:space="0" w:color="auto"/>
                    <w:right w:val="none" w:sz="0" w:space="0" w:color="auto"/>
                  </w:divBdr>
                  <w:divsChild>
                    <w:div w:id="1543663459">
                      <w:marLeft w:val="0"/>
                      <w:marRight w:val="0"/>
                      <w:marTop w:val="0"/>
                      <w:marBottom w:val="0"/>
                      <w:divBdr>
                        <w:top w:val="none" w:sz="0" w:space="0" w:color="auto"/>
                        <w:left w:val="none" w:sz="0" w:space="0" w:color="auto"/>
                        <w:bottom w:val="none" w:sz="0" w:space="0" w:color="auto"/>
                        <w:right w:val="none" w:sz="0" w:space="0" w:color="auto"/>
                      </w:divBdr>
                    </w:div>
                  </w:divsChild>
                </w:div>
                <w:div w:id="1148937587">
                  <w:marLeft w:val="0"/>
                  <w:marRight w:val="0"/>
                  <w:marTop w:val="0"/>
                  <w:marBottom w:val="0"/>
                  <w:divBdr>
                    <w:top w:val="none" w:sz="0" w:space="0" w:color="auto"/>
                    <w:left w:val="none" w:sz="0" w:space="0" w:color="auto"/>
                    <w:bottom w:val="none" w:sz="0" w:space="0" w:color="auto"/>
                    <w:right w:val="none" w:sz="0" w:space="0" w:color="auto"/>
                  </w:divBdr>
                  <w:divsChild>
                    <w:div w:id="705057820">
                      <w:marLeft w:val="0"/>
                      <w:marRight w:val="0"/>
                      <w:marTop w:val="0"/>
                      <w:marBottom w:val="0"/>
                      <w:divBdr>
                        <w:top w:val="none" w:sz="0" w:space="0" w:color="auto"/>
                        <w:left w:val="none" w:sz="0" w:space="0" w:color="auto"/>
                        <w:bottom w:val="none" w:sz="0" w:space="0" w:color="auto"/>
                        <w:right w:val="none" w:sz="0" w:space="0" w:color="auto"/>
                      </w:divBdr>
                    </w:div>
                  </w:divsChild>
                </w:div>
                <w:div w:id="1228608626">
                  <w:marLeft w:val="0"/>
                  <w:marRight w:val="0"/>
                  <w:marTop w:val="0"/>
                  <w:marBottom w:val="0"/>
                  <w:divBdr>
                    <w:top w:val="none" w:sz="0" w:space="0" w:color="auto"/>
                    <w:left w:val="none" w:sz="0" w:space="0" w:color="auto"/>
                    <w:bottom w:val="none" w:sz="0" w:space="0" w:color="auto"/>
                    <w:right w:val="none" w:sz="0" w:space="0" w:color="auto"/>
                  </w:divBdr>
                  <w:divsChild>
                    <w:div w:id="1766874751">
                      <w:marLeft w:val="0"/>
                      <w:marRight w:val="0"/>
                      <w:marTop w:val="0"/>
                      <w:marBottom w:val="0"/>
                      <w:divBdr>
                        <w:top w:val="none" w:sz="0" w:space="0" w:color="auto"/>
                        <w:left w:val="none" w:sz="0" w:space="0" w:color="auto"/>
                        <w:bottom w:val="none" w:sz="0" w:space="0" w:color="auto"/>
                        <w:right w:val="none" w:sz="0" w:space="0" w:color="auto"/>
                      </w:divBdr>
                    </w:div>
                  </w:divsChild>
                </w:div>
                <w:div w:id="1412462622">
                  <w:marLeft w:val="0"/>
                  <w:marRight w:val="0"/>
                  <w:marTop w:val="0"/>
                  <w:marBottom w:val="0"/>
                  <w:divBdr>
                    <w:top w:val="none" w:sz="0" w:space="0" w:color="auto"/>
                    <w:left w:val="none" w:sz="0" w:space="0" w:color="auto"/>
                    <w:bottom w:val="none" w:sz="0" w:space="0" w:color="auto"/>
                    <w:right w:val="none" w:sz="0" w:space="0" w:color="auto"/>
                  </w:divBdr>
                  <w:divsChild>
                    <w:div w:id="1420830681">
                      <w:marLeft w:val="0"/>
                      <w:marRight w:val="0"/>
                      <w:marTop w:val="0"/>
                      <w:marBottom w:val="0"/>
                      <w:divBdr>
                        <w:top w:val="none" w:sz="0" w:space="0" w:color="auto"/>
                        <w:left w:val="none" w:sz="0" w:space="0" w:color="auto"/>
                        <w:bottom w:val="none" w:sz="0" w:space="0" w:color="auto"/>
                        <w:right w:val="none" w:sz="0" w:space="0" w:color="auto"/>
                      </w:divBdr>
                    </w:div>
                  </w:divsChild>
                </w:div>
                <w:div w:id="1420981022">
                  <w:marLeft w:val="0"/>
                  <w:marRight w:val="0"/>
                  <w:marTop w:val="0"/>
                  <w:marBottom w:val="0"/>
                  <w:divBdr>
                    <w:top w:val="none" w:sz="0" w:space="0" w:color="auto"/>
                    <w:left w:val="none" w:sz="0" w:space="0" w:color="auto"/>
                    <w:bottom w:val="none" w:sz="0" w:space="0" w:color="auto"/>
                    <w:right w:val="none" w:sz="0" w:space="0" w:color="auto"/>
                  </w:divBdr>
                  <w:divsChild>
                    <w:div w:id="198012471">
                      <w:marLeft w:val="0"/>
                      <w:marRight w:val="0"/>
                      <w:marTop w:val="0"/>
                      <w:marBottom w:val="0"/>
                      <w:divBdr>
                        <w:top w:val="none" w:sz="0" w:space="0" w:color="auto"/>
                        <w:left w:val="none" w:sz="0" w:space="0" w:color="auto"/>
                        <w:bottom w:val="none" w:sz="0" w:space="0" w:color="auto"/>
                        <w:right w:val="none" w:sz="0" w:space="0" w:color="auto"/>
                      </w:divBdr>
                    </w:div>
                  </w:divsChild>
                </w:div>
                <w:div w:id="1429353752">
                  <w:marLeft w:val="0"/>
                  <w:marRight w:val="0"/>
                  <w:marTop w:val="0"/>
                  <w:marBottom w:val="0"/>
                  <w:divBdr>
                    <w:top w:val="none" w:sz="0" w:space="0" w:color="auto"/>
                    <w:left w:val="none" w:sz="0" w:space="0" w:color="auto"/>
                    <w:bottom w:val="none" w:sz="0" w:space="0" w:color="auto"/>
                    <w:right w:val="none" w:sz="0" w:space="0" w:color="auto"/>
                  </w:divBdr>
                  <w:divsChild>
                    <w:div w:id="821971532">
                      <w:marLeft w:val="0"/>
                      <w:marRight w:val="0"/>
                      <w:marTop w:val="0"/>
                      <w:marBottom w:val="0"/>
                      <w:divBdr>
                        <w:top w:val="none" w:sz="0" w:space="0" w:color="auto"/>
                        <w:left w:val="none" w:sz="0" w:space="0" w:color="auto"/>
                        <w:bottom w:val="none" w:sz="0" w:space="0" w:color="auto"/>
                        <w:right w:val="none" w:sz="0" w:space="0" w:color="auto"/>
                      </w:divBdr>
                    </w:div>
                  </w:divsChild>
                </w:div>
                <w:div w:id="1442338012">
                  <w:marLeft w:val="0"/>
                  <w:marRight w:val="0"/>
                  <w:marTop w:val="0"/>
                  <w:marBottom w:val="0"/>
                  <w:divBdr>
                    <w:top w:val="none" w:sz="0" w:space="0" w:color="auto"/>
                    <w:left w:val="none" w:sz="0" w:space="0" w:color="auto"/>
                    <w:bottom w:val="none" w:sz="0" w:space="0" w:color="auto"/>
                    <w:right w:val="none" w:sz="0" w:space="0" w:color="auto"/>
                  </w:divBdr>
                  <w:divsChild>
                    <w:div w:id="1344162156">
                      <w:marLeft w:val="0"/>
                      <w:marRight w:val="0"/>
                      <w:marTop w:val="0"/>
                      <w:marBottom w:val="0"/>
                      <w:divBdr>
                        <w:top w:val="none" w:sz="0" w:space="0" w:color="auto"/>
                        <w:left w:val="none" w:sz="0" w:space="0" w:color="auto"/>
                        <w:bottom w:val="none" w:sz="0" w:space="0" w:color="auto"/>
                        <w:right w:val="none" w:sz="0" w:space="0" w:color="auto"/>
                      </w:divBdr>
                    </w:div>
                  </w:divsChild>
                </w:div>
                <w:div w:id="1576474747">
                  <w:marLeft w:val="0"/>
                  <w:marRight w:val="0"/>
                  <w:marTop w:val="0"/>
                  <w:marBottom w:val="0"/>
                  <w:divBdr>
                    <w:top w:val="none" w:sz="0" w:space="0" w:color="auto"/>
                    <w:left w:val="none" w:sz="0" w:space="0" w:color="auto"/>
                    <w:bottom w:val="none" w:sz="0" w:space="0" w:color="auto"/>
                    <w:right w:val="none" w:sz="0" w:space="0" w:color="auto"/>
                  </w:divBdr>
                  <w:divsChild>
                    <w:div w:id="1531576753">
                      <w:marLeft w:val="0"/>
                      <w:marRight w:val="0"/>
                      <w:marTop w:val="0"/>
                      <w:marBottom w:val="0"/>
                      <w:divBdr>
                        <w:top w:val="none" w:sz="0" w:space="0" w:color="auto"/>
                        <w:left w:val="none" w:sz="0" w:space="0" w:color="auto"/>
                        <w:bottom w:val="none" w:sz="0" w:space="0" w:color="auto"/>
                        <w:right w:val="none" w:sz="0" w:space="0" w:color="auto"/>
                      </w:divBdr>
                    </w:div>
                  </w:divsChild>
                </w:div>
                <w:div w:id="1599946034">
                  <w:marLeft w:val="0"/>
                  <w:marRight w:val="0"/>
                  <w:marTop w:val="0"/>
                  <w:marBottom w:val="0"/>
                  <w:divBdr>
                    <w:top w:val="none" w:sz="0" w:space="0" w:color="auto"/>
                    <w:left w:val="none" w:sz="0" w:space="0" w:color="auto"/>
                    <w:bottom w:val="none" w:sz="0" w:space="0" w:color="auto"/>
                    <w:right w:val="none" w:sz="0" w:space="0" w:color="auto"/>
                  </w:divBdr>
                  <w:divsChild>
                    <w:div w:id="1431202219">
                      <w:marLeft w:val="0"/>
                      <w:marRight w:val="0"/>
                      <w:marTop w:val="0"/>
                      <w:marBottom w:val="0"/>
                      <w:divBdr>
                        <w:top w:val="none" w:sz="0" w:space="0" w:color="auto"/>
                        <w:left w:val="none" w:sz="0" w:space="0" w:color="auto"/>
                        <w:bottom w:val="none" w:sz="0" w:space="0" w:color="auto"/>
                        <w:right w:val="none" w:sz="0" w:space="0" w:color="auto"/>
                      </w:divBdr>
                    </w:div>
                  </w:divsChild>
                </w:div>
                <w:div w:id="1611355769">
                  <w:marLeft w:val="0"/>
                  <w:marRight w:val="0"/>
                  <w:marTop w:val="0"/>
                  <w:marBottom w:val="0"/>
                  <w:divBdr>
                    <w:top w:val="none" w:sz="0" w:space="0" w:color="auto"/>
                    <w:left w:val="none" w:sz="0" w:space="0" w:color="auto"/>
                    <w:bottom w:val="none" w:sz="0" w:space="0" w:color="auto"/>
                    <w:right w:val="none" w:sz="0" w:space="0" w:color="auto"/>
                  </w:divBdr>
                  <w:divsChild>
                    <w:div w:id="892042138">
                      <w:marLeft w:val="0"/>
                      <w:marRight w:val="0"/>
                      <w:marTop w:val="0"/>
                      <w:marBottom w:val="0"/>
                      <w:divBdr>
                        <w:top w:val="none" w:sz="0" w:space="0" w:color="auto"/>
                        <w:left w:val="none" w:sz="0" w:space="0" w:color="auto"/>
                        <w:bottom w:val="none" w:sz="0" w:space="0" w:color="auto"/>
                        <w:right w:val="none" w:sz="0" w:space="0" w:color="auto"/>
                      </w:divBdr>
                    </w:div>
                  </w:divsChild>
                </w:div>
                <w:div w:id="1750149322">
                  <w:marLeft w:val="0"/>
                  <w:marRight w:val="0"/>
                  <w:marTop w:val="0"/>
                  <w:marBottom w:val="0"/>
                  <w:divBdr>
                    <w:top w:val="none" w:sz="0" w:space="0" w:color="auto"/>
                    <w:left w:val="none" w:sz="0" w:space="0" w:color="auto"/>
                    <w:bottom w:val="none" w:sz="0" w:space="0" w:color="auto"/>
                    <w:right w:val="none" w:sz="0" w:space="0" w:color="auto"/>
                  </w:divBdr>
                  <w:divsChild>
                    <w:div w:id="855388553">
                      <w:marLeft w:val="0"/>
                      <w:marRight w:val="0"/>
                      <w:marTop w:val="0"/>
                      <w:marBottom w:val="0"/>
                      <w:divBdr>
                        <w:top w:val="none" w:sz="0" w:space="0" w:color="auto"/>
                        <w:left w:val="none" w:sz="0" w:space="0" w:color="auto"/>
                        <w:bottom w:val="none" w:sz="0" w:space="0" w:color="auto"/>
                        <w:right w:val="none" w:sz="0" w:space="0" w:color="auto"/>
                      </w:divBdr>
                    </w:div>
                  </w:divsChild>
                </w:div>
                <w:div w:id="1751345647">
                  <w:marLeft w:val="0"/>
                  <w:marRight w:val="0"/>
                  <w:marTop w:val="0"/>
                  <w:marBottom w:val="0"/>
                  <w:divBdr>
                    <w:top w:val="none" w:sz="0" w:space="0" w:color="auto"/>
                    <w:left w:val="none" w:sz="0" w:space="0" w:color="auto"/>
                    <w:bottom w:val="none" w:sz="0" w:space="0" w:color="auto"/>
                    <w:right w:val="none" w:sz="0" w:space="0" w:color="auto"/>
                  </w:divBdr>
                  <w:divsChild>
                    <w:div w:id="1360660823">
                      <w:marLeft w:val="0"/>
                      <w:marRight w:val="0"/>
                      <w:marTop w:val="0"/>
                      <w:marBottom w:val="0"/>
                      <w:divBdr>
                        <w:top w:val="none" w:sz="0" w:space="0" w:color="auto"/>
                        <w:left w:val="none" w:sz="0" w:space="0" w:color="auto"/>
                        <w:bottom w:val="none" w:sz="0" w:space="0" w:color="auto"/>
                        <w:right w:val="none" w:sz="0" w:space="0" w:color="auto"/>
                      </w:divBdr>
                    </w:div>
                  </w:divsChild>
                </w:div>
                <w:div w:id="1789816719">
                  <w:marLeft w:val="0"/>
                  <w:marRight w:val="0"/>
                  <w:marTop w:val="0"/>
                  <w:marBottom w:val="0"/>
                  <w:divBdr>
                    <w:top w:val="none" w:sz="0" w:space="0" w:color="auto"/>
                    <w:left w:val="none" w:sz="0" w:space="0" w:color="auto"/>
                    <w:bottom w:val="none" w:sz="0" w:space="0" w:color="auto"/>
                    <w:right w:val="none" w:sz="0" w:space="0" w:color="auto"/>
                  </w:divBdr>
                  <w:divsChild>
                    <w:div w:id="519322357">
                      <w:marLeft w:val="0"/>
                      <w:marRight w:val="0"/>
                      <w:marTop w:val="0"/>
                      <w:marBottom w:val="0"/>
                      <w:divBdr>
                        <w:top w:val="none" w:sz="0" w:space="0" w:color="auto"/>
                        <w:left w:val="none" w:sz="0" w:space="0" w:color="auto"/>
                        <w:bottom w:val="none" w:sz="0" w:space="0" w:color="auto"/>
                        <w:right w:val="none" w:sz="0" w:space="0" w:color="auto"/>
                      </w:divBdr>
                    </w:div>
                  </w:divsChild>
                </w:div>
                <w:div w:id="1937320105">
                  <w:marLeft w:val="0"/>
                  <w:marRight w:val="0"/>
                  <w:marTop w:val="0"/>
                  <w:marBottom w:val="0"/>
                  <w:divBdr>
                    <w:top w:val="none" w:sz="0" w:space="0" w:color="auto"/>
                    <w:left w:val="none" w:sz="0" w:space="0" w:color="auto"/>
                    <w:bottom w:val="none" w:sz="0" w:space="0" w:color="auto"/>
                    <w:right w:val="none" w:sz="0" w:space="0" w:color="auto"/>
                  </w:divBdr>
                  <w:divsChild>
                    <w:div w:id="2091733461">
                      <w:marLeft w:val="0"/>
                      <w:marRight w:val="0"/>
                      <w:marTop w:val="0"/>
                      <w:marBottom w:val="0"/>
                      <w:divBdr>
                        <w:top w:val="none" w:sz="0" w:space="0" w:color="auto"/>
                        <w:left w:val="none" w:sz="0" w:space="0" w:color="auto"/>
                        <w:bottom w:val="none" w:sz="0" w:space="0" w:color="auto"/>
                        <w:right w:val="none" w:sz="0" w:space="0" w:color="auto"/>
                      </w:divBdr>
                    </w:div>
                  </w:divsChild>
                </w:div>
                <w:div w:id="1937328633">
                  <w:marLeft w:val="0"/>
                  <w:marRight w:val="0"/>
                  <w:marTop w:val="0"/>
                  <w:marBottom w:val="0"/>
                  <w:divBdr>
                    <w:top w:val="none" w:sz="0" w:space="0" w:color="auto"/>
                    <w:left w:val="none" w:sz="0" w:space="0" w:color="auto"/>
                    <w:bottom w:val="none" w:sz="0" w:space="0" w:color="auto"/>
                    <w:right w:val="none" w:sz="0" w:space="0" w:color="auto"/>
                  </w:divBdr>
                  <w:divsChild>
                    <w:div w:id="1249541615">
                      <w:marLeft w:val="0"/>
                      <w:marRight w:val="0"/>
                      <w:marTop w:val="0"/>
                      <w:marBottom w:val="0"/>
                      <w:divBdr>
                        <w:top w:val="none" w:sz="0" w:space="0" w:color="auto"/>
                        <w:left w:val="none" w:sz="0" w:space="0" w:color="auto"/>
                        <w:bottom w:val="none" w:sz="0" w:space="0" w:color="auto"/>
                        <w:right w:val="none" w:sz="0" w:space="0" w:color="auto"/>
                      </w:divBdr>
                    </w:div>
                  </w:divsChild>
                </w:div>
                <w:div w:id="1998918865">
                  <w:marLeft w:val="0"/>
                  <w:marRight w:val="0"/>
                  <w:marTop w:val="0"/>
                  <w:marBottom w:val="0"/>
                  <w:divBdr>
                    <w:top w:val="none" w:sz="0" w:space="0" w:color="auto"/>
                    <w:left w:val="none" w:sz="0" w:space="0" w:color="auto"/>
                    <w:bottom w:val="none" w:sz="0" w:space="0" w:color="auto"/>
                    <w:right w:val="none" w:sz="0" w:space="0" w:color="auto"/>
                  </w:divBdr>
                  <w:divsChild>
                    <w:div w:id="1884708310">
                      <w:marLeft w:val="0"/>
                      <w:marRight w:val="0"/>
                      <w:marTop w:val="0"/>
                      <w:marBottom w:val="0"/>
                      <w:divBdr>
                        <w:top w:val="none" w:sz="0" w:space="0" w:color="auto"/>
                        <w:left w:val="none" w:sz="0" w:space="0" w:color="auto"/>
                        <w:bottom w:val="none" w:sz="0" w:space="0" w:color="auto"/>
                        <w:right w:val="none" w:sz="0" w:space="0" w:color="auto"/>
                      </w:divBdr>
                    </w:div>
                  </w:divsChild>
                </w:div>
                <w:div w:id="2054232100">
                  <w:marLeft w:val="0"/>
                  <w:marRight w:val="0"/>
                  <w:marTop w:val="0"/>
                  <w:marBottom w:val="0"/>
                  <w:divBdr>
                    <w:top w:val="none" w:sz="0" w:space="0" w:color="auto"/>
                    <w:left w:val="none" w:sz="0" w:space="0" w:color="auto"/>
                    <w:bottom w:val="none" w:sz="0" w:space="0" w:color="auto"/>
                    <w:right w:val="none" w:sz="0" w:space="0" w:color="auto"/>
                  </w:divBdr>
                  <w:divsChild>
                    <w:div w:id="159929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239848">
      <w:bodyDiv w:val="1"/>
      <w:marLeft w:val="0"/>
      <w:marRight w:val="0"/>
      <w:marTop w:val="0"/>
      <w:marBottom w:val="0"/>
      <w:divBdr>
        <w:top w:val="none" w:sz="0" w:space="0" w:color="auto"/>
        <w:left w:val="none" w:sz="0" w:space="0" w:color="auto"/>
        <w:bottom w:val="none" w:sz="0" w:space="0" w:color="auto"/>
        <w:right w:val="none" w:sz="0" w:space="0" w:color="auto"/>
      </w:divBdr>
    </w:div>
    <w:div w:id="1607613069">
      <w:bodyDiv w:val="1"/>
      <w:marLeft w:val="0"/>
      <w:marRight w:val="0"/>
      <w:marTop w:val="0"/>
      <w:marBottom w:val="0"/>
      <w:divBdr>
        <w:top w:val="none" w:sz="0" w:space="0" w:color="auto"/>
        <w:left w:val="none" w:sz="0" w:space="0" w:color="auto"/>
        <w:bottom w:val="none" w:sz="0" w:space="0" w:color="auto"/>
        <w:right w:val="none" w:sz="0" w:space="0" w:color="auto"/>
      </w:divBdr>
    </w:div>
    <w:div w:id="1744449895">
      <w:bodyDiv w:val="1"/>
      <w:marLeft w:val="0"/>
      <w:marRight w:val="0"/>
      <w:marTop w:val="0"/>
      <w:marBottom w:val="0"/>
      <w:divBdr>
        <w:top w:val="none" w:sz="0" w:space="0" w:color="auto"/>
        <w:left w:val="none" w:sz="0" w:space="0" w:color="auto"/>
        <w:bottom w:val="none" w:sz="0" w:space="0" w:color="auto"/>
        <w:right w:val="none" w:sz="0" w:space="0" w:color="auto"/>
      </w:divBdr>
      <w:divsChild>
        <w:div w:id="535580570">
          <w:marLeft w:val="0"/>
          <w:marRight w:val="0"/>
          <w:marTop w:val="0"/>
          <w:marBottom w:val="0"/>
          <w:divBdr>
            <w:top w:val="none" w:sz="0" w:space="0" w:color="auto"/>
            <w:left w:val="none" w:sz="0" w:space="0" w:color="auto"/>
            <w:bottom w:val="none" w:sz="0" w:space="0" w:color="auto"/>
            <w:right w:val="none" w:sz="0" w:space="0" w:color="auto"/>
          </w:divBdr>
        </w:div>
        <w:div w:id="1678996639">
          <w:marLeft w:val="0"/>
          <w:marRight w:val="0"/>
          <w:marTop w:val="0"/>
          <w:marBottom w:val="0"/>
          <w:divBdr>
            <w:top w:val="none" w:sz="0" w:space="0" w:color="auto"/>
            <w:left w:val="none" w:sz="0" w:space="0" w:color="auto"/>
            <w:bottom w:val="none" w:sz="0" w:space="0" w:color="auto"/>
            <w:right w:val="none" w:sz="0" w:space="0" w:color="auto"/>
          </w:divBdr>
        </w:div>
      </w:divsChild>
    </w:div>
    <w:div w:id="1790322580">
      <w:bodyDiv w:val="1"/>
      <w:marLeft w:val="0"/>
      <w:marRight w:val="0"/>
      <w:marTop w:val="0"/>
      <w:marBottom w:val="0"/>
      <w:divBdr>
        <w:top w:val="none" w:sz="0" w:space="0" w:color="auto"/>
        <w:left w:val="none" w:sz="0" w:space="0" w:color="auto"/>
        <w:bottom w:val="none" w:sz="0" w:space="0" w:color="auto"/>
        <w:right w:val="none" w:sz="0" w:space="0" w:color="auto"/>
      </w:divBdr>
      <w:divsChild>
        <w:div w:id="80377981">
          <w:marLeft w:val="0"/>
          <w:marRight w:val="0"/>
          <w:marTop w:val="0"/>
          <w:marBottom w:val="0"/>
          <w:divBdr>
            <w:top w:val="none" w:sz="0" w:space="0" w:color="auto"/>
            <w:left w:val="none" w:sz="0" w:space="0" w:color="auto"/>
            <w:bottom w:val="none" w:sz="0" w:space="0" w:color="auto"/>
            <w:right w:val="none" w:sz="0" w:space="0" w:color="auto"/>
          </w:divBdr>
        </w:div>
        <w:div w:id="135610581">
          <w:marLeft w:val="0"/>
          <w:marRight w:val="0"/>
          <w:marTop w:val="0"/>
          <w:marBottom w:val="0"/>
          <w:divBdr>
            <w:top w:val="none" w:sz="0" w:space="0" w:color="auto"/>
            <w:left w:val="none" w:sz="0" w:space="0" w:color="auto"/>
            <w:bottom w:val="none" w:sz="0" w:space="0" w:color="auto"/>
            <w:right w:val="none" w:sz="0" w:space="0" w:color="auto"/>
          </w:divBdr>
        </w:div>
        <w:div w:id="199975349">
          <w:marLeft w:val="0"/>
          <w:marRight w:val="0"/>
          <w:marTop w:val="0"/>
          <w:marBottom w:val="0"/>
          <w:divBdr>
            <w:top w:val="none" w:sz="0" w:space="0" w:color="auto"/>
            <w:left w:val="none" w:sz="0" w:space="0" w:color="auto"/>
            <w:bottom w:val="none" w:sz="0" w:space="0" w:color="auto"/>
            <w:right w:val="none" w:sz="0" w:space="0" w:color="auto"/>
          </w:divBdr>
        </w:div>
        <w:div w:id="203059364">
          <w:marLeft w:val="0"/>
          <w:marRight w:val="0"/>
          <w:marTop w:val="0"/>
          <w:marBottom w:val="0"/>
          <w:divBdr>
            <w:top w:val="none" w:sz="0" w:space="0" w:color="auto"/>
            <w:left w:val="none" w:sz="0" w:space="0" w:color="auto"/>
            <w:bottom w:val="none" w:sz="0" w:space="0" w:color="auto"/>
            <w:right w:val="none" w:sz="0" w:space="0" w:color="auto"/>
          </w:divBdr>
        </w:div>
        <w:div w:id="209656215">
          <w:marLeft w:val="0"/>
          <w:marRight w:val="0"/>
          <w:marTop w:val="0"/>
          <w:marBottom w:val="0"/>
          <w:divBdr>
            <w:top w:val="none" w:sz="0" w:space="0" w:color="auto"/>
            <w:left w:val="none" w:sz="0" w:space="0" w:color="auto"/>
            <w:bottom w:val="none" w:sz="0" w:space="0" w:color="auto"/>
            <w:right w:val="none" w:sz="0" w:space="0" w:color="auto"/>
          </w:divBdr>
        </w:div>
        <w:div w:id="438531440">
          <w:marLeft w:val="0"/>
          <w:marRight w:val="0"/>
          <w:marTop w:val="0"/>
          <w:marBottom w:val="0"/>
          <w:divBdr>
            <w:top w:val="none" w:sz="0" w:space="0" w:color="auto"/>
            <w:left w:val="none" w:sz="0" w:space="0" w:color="auto"/>
            <w:bottom w:val="none" w:sz="0" w:space="0" w:color="auto"/>
            <w:right w:val="none" w:sz="0" w:space="0" w:color="auto"/>
          </w:divBdr>
        </w:div>
        <w:div w:id="618075048">
          <w:marLeft w:val="0"/>
          <w:marRight w:val="0"/>
          <w:marTop w:val="0"/>
          <w:marBottom w:val="0"/>
          <w:divBdr>
            <w:top w:val="none" w:sz="0" w:space="0" w:color="auto"/>
            <w:left w:val="none" w:sz="0" w:space="0" w:color="auto"/>
            <w:bottom w:val="none" w:sz="0" w:space="0" w:color="auto"/>
            <w:right w:val="none" w:sz="0" w:space="0" w:color="auto"/>
          </w:divBdr>
        </w:div>
        <w:div w:id="658078601">
          <w:marLeft w:val="0"/>
          <w:marRight w:val="0"/>
          <w:marTop w:val="0"/>
          <w:marBottom w:val="0"/>
          <w:divBdr>
            <w:top w:val="none" w:sz="0" w:space="0" w:color="auto"/>
            <w:left w:val="none" w:sz="0" w:space="0" w:color="auto"/>
            <w:bottom w:val="none" w:sz="0" w:space="0" w:color="auto"/>
            <w:right w:val="none" w:sz="0" w:space="0" w:color="auto"/>
          </w:divBdr>
        </w:div>
        <w:div w:id="693072258">
          <w:marLeft w:val="0"/>
          <w:marRight w:val="0"/>
          <w:marTop w:val="0"/>
          <w:marBottom w:val="0"/>
          <w:divBdr>
            <w:top w:val="none" w:sz="0" w:space="0" w:color="auto"/>
            <w:left w:val="none" w:sz="0" w:space="0" w:color="auto"/>
            <w:bottom w:val="none" w:sz="0" w:space="0" w:color="auto"/>
            <w:right w:val="none" w:sz="0" w:space="0" w:color="auto"/>
          </w:divBdr>
        </w:div>
        <w:div w:id="803084144">
          <w:marLeft w:val="0"/>
          <w:marRight w:val="0"/>
          <w:marTop w:val="0"/>
          <w:marBottom w:val="0"/>
          <w:divBdr>
            <w:top w:val="none" w:sz="0" w:space="0" w:color="auto"/>
            <w:left w:val="none" w:sz="0" w:space="0" w:color="auto"/>
            <w:bottom w:val="none" w:sz="0" w:space="0" w:color="auto"/>
            <w:right w:val="none" w:sz="0" w:space="0" w:color="auto"/>
          </w:divBdr>
        </w:div>
        <w:div w:id="930041914">
          <w:marLeft w:val="0"/>
          <w:marRight w:val="0"/>
          <w:marTop w:val="0"/>
          <w:marBottom w:val="0"/>
          <w:divBdr>
            <w:top w:val="none" w:sz="0" w:space="0" w:color="auto"/>
            <w:left w:val="none" w:sz="0" w:space="0" w:color="auto"/>
            <w:bottom w:val="none" w:sz="0" w:space="0" w:color="auto"/>
            <w:right w:val="none" w:sz="0" w:space="0" w:color="auto"/>
          </w:divBdr>
        </w:div>
        <w:div w:id="1010529062">
          <w:marLeft w:val="-75"/>
          <w:marRight w:val="0"/>
          <w:marTop w:val="30"/>
          <w:marBottom w:val="30"/>
          <w:divBdr>
            <w:top w:val="none" w:sz="0" w:space="0" w:color="auto"/>
            <w:left w:val="none" w:sz="0" w:space="0" w:color="auto"/>
            <w:bottom w:val="none" w:sz="0" w:space="0" w:color="auto"/>
            <w:right w:val="none" w:sz="0" w:space="0" w:color="auto"/>
          </w:divBdr>
          <w:divsChild>
            <w:div w:id="102268733">
              <w:marLeft w:val="0"/>
              <w:marRight w:val="0"/>
              <w:marTop w:val="0"/>
              <w:marBottom w:val="0"/>
              <w:divBdr>
                <w:top w:val="none" w:sz="0" w:space="0" w:color="auto"/>
                <w:left w:val="none" w:sz="0" w:space="0" w:color="auto"/>
                <w:bottom w:val="none" w:sz="0" w:space="0" w:color="auto"/>
                <w:right w:val="none" w:sz="0" w:space="0" w:color="auto"/>
              </w:divBdr>
              <w:divsChild>
                <w:div w:id="884216433">
                  <w:marLeft w:val="0"/>
                  <w:marRight w:val="0"/>
                  <w:marTop w:val="0"/>
                  <w:marBottom w:val="0"/>
                  <w:divBdr>
                    <w:top w:val="none" w:sz="0" w:space="0" w:color="auto"/>
                    <w:left w:val="none" w:sz="0" w:space="0" w:color="auto"/>
                    <w:bottom w:val="none" w:sz="0" w:space="0" w:color="auto"/>
                    <w:right w:val="none" w:sz="0" w:space="0" w:color="auto"/>
                  </w:divBdr>
                </w:div>
              </w:divsChild>
            </w:div>
            <w:div w:id="288708175">
              <w:marLeft w:val="0"/>
              <w:marRight w:val="0"/>
              <w:marTop w:val="0"/>
              <w:marBottom w:val="0"/>
              <w:divBdr>
                <w:top w:val="none" w:sz="0" w:space="0" w:color="auto"/>
                <w:left w:val="none" w:sz="0" w:space="0" w:color="auto"/>
                <w:bottom w:val="none" w:sz="0" w:space="0" w:color="auto"/>
                <w:right w:val="none" w:sz="0" w:space="0" w:color="auto"/>
              </w:divBdr>
              <w:divsChild>
                <w:div w:id="301548366">
                  <w:marLeft w:val="0"/>
                  <w:marRight w:val="0"/>
                  <w:marTop w:val="0"/>
                  <w:marBottom w:val="0"/>
                  <w:divBdr>
                    <w:top w:val="none" w:sz="0" w:space="0" w:color="auto"/>
                    <w:left w:val="none" w:sz="0" w:space="0" w:color="auto"/>
                    <w:bottom w:val="none" w:sz="0" w:space="0" w:color="auto"/>
                    <w:right w:val="none" w:sz="0" w:space="0" w:color="auto"/>
                  </w:divBdr>
                </w:div>
              </w:divsChild>
            </w:div>
            <w:div w:id="346562417">
              <w:marLeft w:val="0"/>
              <w:marRight w:val="0"/>
              <w:marTop w:val="0"/>
              <w:marBottom w:val="0"/>
              <w:divBdr>
                <w:top w:val="none" w:sz="0" w:space="0" w:color="auto"/>
                <w:left w:val="none" w:sz="0" w:space="0" w:color="auto"/>
                <w:bottom w:val="none" w:sz="0" w:space="0" w:color="auto"/>
                <w:right w:val="none" w:sz="0" w:space="0" w:color="auto"/>
              </w:divBdr>
              <w:divsChild>
                <w:div w:id="1497723933">
                  <w:marLeft w:val="0"/>
                  <w:marRight w:val="0"/>
                  <w:marTop w:val="0"/>
                  <w:marBottom w:val="0"/>
                  <w:divBdr>
                    <w:top w:val="none" w:sz="0" w:space="0" w:color="auto"/>
                    <w:left w:val="none" w:sz="0" w:space="0" w:color="auto"/>
                    <w:bottom w:val="none" w:sz="0" w:space="0" w:color="auto"/>
                    <w:right w:val="none" w:sz="0" w:space="0" w:color="auto"/>
                  </w:divBdr>
                </w:div>
              </w:divsChild>
            </w:div>
            <w:div w:id="381750467">
              <w:marLeft w:val="0"/>
              <w:marRight w:val="0"/>
              <w:marTop w:val="0"/>
              <w:marBottom w:val="0"/>
              <w:divBdr>
                <w:top w:val="none" w:sz="0" w:space="0" w:color="auto"/>
                <w:left w:val="none" w:sz="0" w:space="0" w:color="auto"/>
                <w:bottom w:val="none" w:sz="0" w:space="0" w:color="auto"/>
                <w:right w:val="none" w:sz="0" w:space="0" w:color="auto"/>
              </w:divBdr>
              <w:divsChild>
                <w:div w:id="1699964165">
                  <w:marLeft w:val="0"/>
                  <w:marRight w:val="0"/>
                  <w:marTop w:val="0"/>
                  <w:marBottom w:val="0"/>
                  <w:divBdr>
                    <w:top w:val="none" w:sz="0" w:space="0" w:color="auto"/>
                    <w:left w:val="none" w:sz="0" w:space="0" w:color="auto"/>
                    <w:bottom w:val="none" w:sz="0" w:space="0" w:color="auto"/>
                    <w:right w:val="none" w:sz="0" w:space="0" w:color="auto"/>
                  </w:divBdr>
                </w:div>
              </w:divsChild>
            </w:div>
            <w:div w:id="495533039">
              <w:marLeft w:val="0"/>
              <w:marRight w:val="0"/>
              <w:marTop w:val="0"/>
              <w:marBottom w:val="0"/>
              <w:divBdr>
                <w:top w:val="none" w:sz="0" w:space="0" w:color="auto"/>
                <w:left w:val="none" w:sz="0" w:space="0" w:color="auto"/>
                <w:bottom w:val="none" w:sz="0" w:space="0" w:color="auto"/>
                <w:right w:val="none" w:sz="0" w:space="0" w:color="auto"/>
              </w:divBdr>
              <w:divsChild>
                <w:div w:id="630789042">
                  <w:marLeft w:val="0"/>
                  <w:marRight w:val="0"/>
                  <w:marTop w:val="0"/>
                  <w:marBottom w:val="0"/>
                  <w:divBdr>
                    <w:top w:val="none" w:sz="0" w:space="0" w:color="auto"/>
                    <w:left w:val="none" w:sz="0" w:space="0" w:color="auto"/>
                    <w:bottom w:val="none" w:sz="0" w:space="0" w:color="auto"/>
                    <w:right w:val="none" w:sz="0" w:space="0" w:color="auto"/>
                  </w:divBdr>
                </w:div>
              </w:divsChild>
            </w:div>
            <w:div w:id="554975866">
              <w:marLeft w:val="0"/>
              <w:marRight w:val="0"/>
              <w:marTop w:val="0"/>
              <w:marBottom w:val="0"/>
              <w:divBdr>
                <w:top w:val="none" w:sz="0" w:space="0" w:color="auto"/>
                <w:left w:val="none" w:sz="0" w:space="0" w:color="auto"/>
                <w:bottom w:val="none" w:sz="0" w:space="0" w:color="auto"/>
                <w:right w:val="none" w:sz="0" w:space="0" w:color="auto"/>
              </w:divBdr>
              <w:divsChild>
                <w:div w:id="1458600886">
                  <w:marLeft w:val="0"/>
                  <w:marRight w:val="0"/>
                  <w:marTop w:val="0"/>
                  <w:marBottom w:val="0"/>
                  <w:divBdr>
                    <w:top w:val="none" w:sz="0" w:space="0" w:color="auto"/>
                    <w:left w:val="none" w:sz="0" w:space="0" w:color="auto"/>
                    <w:bottom w:val="none" w:sz="0" w:space="0" w:color="auto"/>
                    <w:right w:val="none" w:sz="0" w:space="0" w:color="auto"/>
                  </w:divBdr>
                </w:div>
              </w:divsChild>
            </w:div>
            <w:div w:id="1087843103">
              <w:marLeft w:val="0"/>
              <w:marRight w:val="0"/>
              <w:marTop w:val="0"/>
              <w:marBottom w:val="0"/>
              <w:divBdr>
                <w:top w:val="none" w:sz="0" w:space="0" w:color="auto"/>
                <w:left w:val="none" w:sz="0" w:space="0" w:color="auto"/>
                <w:bottom w:val="none" w:sz="0" w:space="0" w:color="auto"/>
                <w:right w:val="none" w:sz="0" w:space="0" w:color="auto"/>
              </w:divBdr>
              <w:divsChild>
                <w:div w:id="1405757214">
                  <w:marLeft w:val="0"/>
                  <w:marRight w:val="0"/>
                  <w:marTop w:val="0"/>
                  <w:marBottom w:val="0"/>
                  <w:divBdr>
                    <w:top w:val="none" w:sz="0" w:space="0" w:color="auto"/>
                    <w:left w:val="none" w:sz="0" w:space="0" w:color="auto"/>
                    <w:bottom w:val="none" w:sz="0" w:space="0" w:color="auto"/>
                    <w:right w:val="none" w:sz="0" w:space="0" w:color="auto"/>
                  </w:divBdr>
                </w:div>
              </w:divsChild>
            </w:div>
            <w:div w:id="1103769573">
              <w:marLeft w:val="0"/>
              <w:marRight w:val="0"/>
              <w:marTop w:val="0"/>
              <w:marBottom w:val="0"/>
              <w:divBdr>
                <w:top w:val="none" w:sz="0" w:space="0" w:color="auto"/>
                <w:left w:val="none" w:sz="0" w:space="0" w:color="auto"/>
                <w:bottom w:val="none" w:sz="0" w:space="0" w:color="auto"/>
                <w:right w:val="none" w:sz="0" w:space="0" w:color="auto"/>
              </w:divBdr>
              <w:divsChild>
                <w:div w:id="1746535446">
                  <w:marLeft w:val="0"/>
                  <w:marRight w:val="0"/>
                  <w:marTop w:val="0"/>
                  <w:marBottom w:val="0"/>
                  <w:divBdr>
                    <w:top w:val="none" w:sz="0" w:space="0" w:color="auto"/>
                    <w:left w:val="none" w:sz="0" w:space="0" w:color="auto"/>
                    <w:bottom w:val="none" w:sz="0" w:space="0" w:color="auto"/>
                    <w:right w:val="none" w:sz="0" w:space="0" w:color="auto"/>
                  </w:divBdr>
                </w:div>
              </w:divsChild>
            </w:div>
            <w:div w:id="1463423303">
              <w:marLeft w:val="0"/>
              <w:marRight w:val="0"/>
              <w:marTop w:val="0"/>
              <w:marBottom w:val="0"/>
              <w:divBdr>
                <w:top w:val="none" w:sz="0" w:space="0" w:color="auto"/>
                <w:left w:val="none" w:sz="0" w:space="0" w:color="auto"/>
                <w:bottom w:val="none" w:sz="0" w:space="0" w:color="auto"/>
                <w:right w:val="none" w:sz="0" w:space="0" w:color="auto"/>
              </w:divBdr>
              <w:divsChild>
                <w:div w:id="1149710869">
                  <w:marLeft w:val="0"/>
                  <w:marRight w:val="0"/>
                  <w:marTop w:val="0"/>
                  <w:marBottom w:val="0"/>
                  <w:divBdr>
                    <w:top w:val="none" w:sz="0" w:space="0" w:color="auto"/>
                    <w:left w:val="none" w:sz="0" w:space="0" w:color="auto"/>
                    <w:bottom w:val="none" w:sz="0" w:space="0" w:color="auto"/>
                    <w:right w:val="none" w:sz="0" w:space="0" w:color="auto"/>
                  </w:divBdr>
                </w:div>
              </w:divsChild>
            </w:div>
            <w:div w:id="1492911482">
              <w:marLeft w:val="0"/>
              <w:marRight w:val="0"/>
              <w:marTop w:val="0"/>
              <w:marBottom w:val="0"/>
              <w:divBdr>
                <w:top w:val="none" w:sz="0" w:space="0" w:color="auto"/>
                <w:left w:val="none" w:sz="0" w:space="0" w:color="auto"/>
                <w:bottom w:val="none" w:sz="0" w:space="0" w:color="auto"/>
                <w:right w:val="none" w:sz="0" w:space="0" w:color="auto"/>
              </w:divBdr>
              <w:divsChild>
                <w:div w:id="1841777775">
                  <w:marLeft w:val="0"/>
                  <w:marRight w:val="0"/>
                  <w:marTop w:val="0"/>
                  <w:marBottom w:val="0"/>
                  <w:divBdr>
                    <w:top w:val="none" w:sz="0" w:space="0" w:color="auto"/>
                    <w:left w:val="none" w:sz="0" w:space="0" w:color="auto"/>
                    <w:bottom w:val="none" w:sz="0" w:space="0" w:color="auto"/>
                    <w:right w:val="none" w:sz="0" w:space="0" w:color="auto"/>
                  </w:divBdr>
                </w:div>
              </w:divsChild>
            </w:div>
            <w:div w:id="1757314473">
              <w:marLeft w:val="0"/>
              <w:marRight w:val="0"/>
              <w:marTop w:val="0"/>
              <w:marBottom w:val="0"/>
              <w:divBdr>
                <w:top w:val="none" w:sz="0" w:space="0" w:color="auto"/>
                <w:left w:val="none" w:sz="0" w:space="0" w:color="auto"/>
                <w:bottom w:val="none" w:sz="0" w:space="0" w:color="auto"/>
                <w:right w:val="none" w:sz="0" w:space="0" w:color="auto"/>
              </w:divBdr>
              <w:divsChild>
                <w:div w:id="1759669862">
                  <w:marLeft w:val="0"/>
                  <w:marRight w:val="0"/>
                  <w:marTop w:val="0"/>
                  <w:marBottom w:val="0"/>
                  <w:divBdr>
                    <w:top w:val="none" w:sz="0" w:space="0" w:color="auto"/>
                    <w:left w:val="none" w:sz="0" w:space="0" w:color="auto"/>
                    <w:bottom w:val="none" w:sz="0" w:space="0" w:color="auto"/>
                    <w:right w:val="none" w:sz="0" w:space="0" w:color="auto"/>
                  </w:divBdr>
                </w:div>
              </w:divsChild>
            </w:div>
            <w:div w:id="1934701458">
              <w:marLeft w:val="0"/>
              <w:marRight w:val="0"/>
              <w:marTop w:val="0"/>
              <w:marBottom w:val="0"/>
              <w:divBdr>
                <w:top w:val="none" w:sz="0" w:space="0" w:color="auto"/>
                <w:left w:val="none" w:sz="0" w:space="0" w:color="auto"/>
                <w:bottom w:val="none" w:sz="0" w:space="0" w:color="auto"/>
                <w:right w:val="none" w:sz="0" w:space="0" w:color="auto"/>
              </w:divBdr>
              <w:divsChild>
                <w:div w:id="511996562">
                  <w:marLeft w:val="0"/>
                  <w:marRight w:val="0"/>
                  <w:marTop w:val="0"/>
                  <w:marBottom w:val="0"/>
                  <w:divBdr>
                    <w:top w:val="none" w:sz="0" w:space="0" w:color="auto"/>
                    <w:left w:val="none" w:sz="0" w:space="0" w:color="auto"/>
                    <w:bottom w:val="none" w:sz="0" w:space="0" w:color="auto"/>
                    <w:right w:val="none" w:sz="0" w:space="0" w:color="auto"/>
                  </w:divBdr>
                </w:div>
              </w:divsChild>
            </w:div>
            <w:div w:id="1986204790">
              <w:marLeft w:val="0"/>
              <w:marRight w:val="0"/>
              <w:marTop w:val="0"/>
              <w:marBottom w:val="0"/>
              <w:divBdr>
                <w:top w:val="none" w:sz="0" w:space="0" w:color="auto"/>
                <w:left w:val="none" w:sz="0" w:space="0" w:color="auto"/>
                <w:bottom w:val="none" w:sz="0" w:space="0" w:color="auto"/>
                <w:right w:val="none" w:sz="0" w:space="0" w:color="auto"/>
              </w:divBdr>
              <w:divsChild>
                <w:div w:id="1461992585">
                  <w:marLeft w:val="0"/>
                  <w:marRight w:val="0"/>
                  <w:marTop w:val="0"/>
                  <w:marBottom w:val="0"/>
                  <w:divBdr>
                    <w:top w:val="none" w:sz="0" w:space="0" w:color="auto"/>
                    <w:left w:val="none" w:sz="0" w:space="0" w:color="auto"/>
                    <w:bottom w:val="none" w:sz="0" w:space="0" w:color="auto"/>
                    <w:right w:val="none" w:sz="0" w:space="0" w:color="auto"/>
                  </w:divBdr>
                </w:div>
              </w:divsChild>
            </w:div>
            <w:div w:id="2062828495">
              <w:marLeft w:val="0"/>
              <w:marRight w:val="0"/>
              <w:marTop w:val="0"/>
              <w:marBottom w:val="0"/>
              <w:divBdr>
                <w:top w:val="none" w:sz="0" w:space="0" w:color="auto"/>
                <w:left w:val="none" w:sz="0" w:space="0" w:color="auto"/>
                <w:bottom w:val="none" w:sz="0" w:space="0" w:color="auto"/>
                <w:right w:val="none" w:sz="0" w:space="0" w:color="auto"/>
              </w:divBdr>
              <w:divsChild>
                <w:div w:id="30462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2345">
          <w:marLeft w:val="0"/>
          <w:marRight w:val="0"/>
          <w:marTop w:val="0"/>
          <w:marBottom w:val="0"/>
          <w:divBdr>
            <w:top w:val="none" w:sz="0" w:space="0" w:color="auto"/>
            <w:left w:val="none" w:sz="0" w:space="0" w:color="auto"/>
            <w:bottom w:val="none" w:sz="0" w:space="0" w:color="auto"/>
            <w:right w:val="none" w:sz="0" w:space="0" w:color="auto"/>
          </w:divBdr>
        </w:div>
        <w:div w:id="1301422602">
          <w:marLeft w:val="0"/>
          <w:marRight w:val="0"/>
          <w:marTop w:val="0"/>
          <w:marBottom w:val="0"/>
          <w:divBdr>
            <w:top w:val="none" w:sz="0" w:space="0" w:color="auto"/>
            <w:left w:val="none" w:sz="0" w:space="0" w:color="auto"/>
            <w:bottom w:val="none" w:sz="0" w:space="0" w:color="auto"/>
            <w:right w:val="none" w:sz="0" w:space="0" w:color="auto"/>
          </w:divBdr>
        </w:div>
        <w:div w:id="1318264944">
          <w:marLeft w:val="0"/>
          <w:marRight w:val="0"/>
          <w:marTop w:val="0"/>
          <w:marBottom w:val="0"/>
          <w:divBdr>
            <w:top w:val="none" w:sz="0" w:space="0" w:color="auto"/>
            <w:left w:val="none" w:sz="0" w:space="0" w:color="auto"/>
            <w:bottom w:val="none" w:sz="0" w:space="0" w:color="auto"/>
            <w:right w:val="none" w:sz="0" w:space="0" w:color="auto"/>
          </w:divBdr>
        </w:div>
        <w:div w:id="1339968895">
          <w:marLeft w:val="0"/>
          <w:marRight w:val="0"/>
          <w:marTop w:val="0"/>
          <w:marBottom w:val="0"/>
          <w:divBdr>
            <w:top w:val="none" w:sz="0" w:space="0" w:color="auto"/>
            <w:left w:val="none" w:sz="0" w:space="0" w:color="auto"/>
            <w:bottom w:val="none" w:sz="0" w:space="0" w:color="auto"/>
            <w:right w:val="none" w:sz="0" w:space="0" w:color="auto"/>
          </w:divBdr>
        </w:div>
        <w:div w:id="1380940038">
          <w:marLeft w:val="0"/>
          <w:marRight w:val="0"/>
          <w:marTop w:val="0"/>
          <w:marBottom w:val="0"/>
          <w:divBdr>
            <w:top w:val="none" w:sz="0" w:space="0" w:color="auto"/>
            <w:left w:val="none" w:sz="0" w:space="0" w:color="auto"/>
            <w:bottom w:val="none" w:sz="0" w:space="0" w:color="auto"/>
            <w:right w:val="none" w:sz="0" w:space="0" w:color="auto"/>
          </w:divBdr>
        </w:div>
        <w:div w:id="1509829732">
          <w:marLeft w:val="0"/>
          <w:marRight w:val="0"/>
          <w:marTop w:val="0"/>
          <w:marBottom w:val="0"/>
          <w:divBdr>
            <w:top w:val="none" w:sz="0" w:space="0" w:color="auto"/>
            <w:left w:val="none" w:sz="0" w:space="0" w:color="auto"/>
            <w:bottom w:val="none" w:sz="0" w:space="0" w:color="auto"/>
            <w:right w:val="none" w:sz="0" w:space="0" w:color="auto"/>
          </w:divBdr>
        </w:div>
        <w:div w:id="1528519199">
          <w:marLeft w:val="0"/>
          <w:marRight w:val="0"/>
          <w:marTop w:val="0"/>
          <w:marBottom w:val="0"/>
          <w:divBdr>
            <w:top w:val="none" w:sz="0" w:space="0" w:color="auto"/>
            <w:left w:val="none" w:sz="0" w:space="0" w:color="auto"/>
            <w:bottom w:val="none" w:sz="0" w:space="0" w:color="auto"/>
            <w:right w:val="none" w:sz="0" w:space="0" w:color="auto"/>
          </w:divBdr>
        </w:div>
        <w:div w:id="1544632975">
          <w:marLeft w:val="0"/>
          <w:marRight w:val="0"/>
          <w:marTop w:val="0"/>
          <w:marBottom w:val="0"/>
          <w:divBdr>
            <w:top w:val="none" w:sz="0" w:space="0" w:color="auto"/>
            <w:left w:val="none" w:sz="0" w:space="0" w:color="auto"/>
            <w:bottom w:val="none" w:sz="0" w:space="0" w:color="auto"/>
            <w:right w:val="none" w:sz="0" w:space="0" w:color="auto"/>
          </w:divBdr>
        </w:div>
        <w:div w:id="1776051637">
          <w:marLeft w:val="0"/>
          <w:marRight w:val="0"/>
          <w:marTop w:val="0"/>
          <w:marBottom w:val="0"/>
          <w:divBdr>
            <w:top w:val="none" w:sz="0" w:space="0" w:color="auto"/>
            <w:left w:val="none" w:sz="0" w:space="0" w:color="auto"/>
            <w:bottom w:val="none" w:sz="0" w:space="0" w:color="auto"/>
            <w:right w:val="none" w:sz="0" w:space="0" w:color="auto"/>
          </w:divBdr>
        </w:div>
        <w:div w:id="1790200257">
          <w:marLeft w:val="0"/>
          <w:marRight w:val="0"/>
          <w:marTop w:val="0"/>
          <w:marBottom w:val="0"/>
          <w:divBdr>
            <w:top w:val="none" w:sz="0" w:space="0" w:color="auto"/>
            <w:left w:val="none" w:sz="0" w:space="0" w:color="auto"/>
            <w:bottom w:val="none" w:sz="0" w:space="0" w:color="auto"/>
            <w:right w:val="none" w:sz="0" w:space="0" w:color="auto"/>
          </w:divBdr>
        </w:div>
        <w:div w:id="1923565232">
          <w:marLeft w:val="0"/>
          <w:marRight w:val="0"/>
          <w:marTop w:val="0"/>
          <w:marBottom w:val="0"/>
          <w:divBdr>
            <w:top w:val="none" w:sz="0" w:space="0" w:color="auto"/>
            <w:left w:val="none" w:sz="0" w:space="0" w:color="auto"/>
            <w:bottom w:val="none" w:sz="0" w:space="0" w:color="auto"/>
            <w:right w:val="none" w:sz="0" w:space="0" w:color="auto"/>
          </w:divBdr>
        </w:div>
        <w:div w:id="1931965620">
          <w:marLeft w:val="-75"/>
          <w:marRight w:val="0"/>
          <w:marTop w:val="30"/>
          <w:marBottom w:val="30"/>
          <w:divBdr>
            <w:top w:val="none" w:sz="0" w:space="0" w:color="auto"/>
            <w:left w:val="none" w:sz="0" w:space="0" w:color="auto"/>
            <w:bottom w:val="none" w:sz="0" w:space="0" w:color="auto"/>
            <w:right w:val="none" w:sz="0" w:space="0" w:color="auto"/>
          </w:divBdr>
          <w:divsChild>
            <w:div w:id="109711857">
              <w:marLeft w:val="0"/>
              <w:marRight w:val="0"/>
              <w:marTop w:val="0"/>
              <w:marBottom w:val="0"/>
              <w:divBdr>
                <w:top w:val="none" w:sz="0" w:space="0" w:color="auto"/>
                <w:left w:val="none" w:sz="0" w:space="0" w:color="auto"/>
                <w:bottom w:val="none" w:sz="0" w:space="0" w:color="auto"/>
                <w:right w:val="none" w:sz="0" w:space="0" w:color="auto"/>
              </w:divBdr>
              <w:divsChild>
                <w:div w:id="958071041">
                  <w:marLeft w:val="0"/>
                  <w:marRight w:val="0"/>
                  <w:marTop w:val="0"/>
                  <w:marBottom w:val="0"/>
                  <w:divBdr>
                    <w:top w:val="none" w:sz="0" w:space="0" w:color="auto"/>
                    <w:left w:val="none" w:sz="0" w:space="0" w:color="auto"/>
                    <w:bottom w:val="none" w:sz="0" w:space="0" w:color="auto"/>
                    <w:right w:val="none" w:sz="0" w:space="0" w:color="auto"/>
                  </w:divBdr>
                </w:div>
              </w:divsChild>
            </w:div>
            <w:div w:id="171144589">
              <w:marLeft w:val="0"/>
              <w:marRight w:val="0"/>
              <w:marTop w:val="0"/>
              <w:marBottom w:val="0"/>
              <w:divBdr>
                <w:top w:val="none" w:sz="0" w:space="0" w:color="auto"/>
                <w:left w:val="none" w:sz="0" w:space="0" w:color="auto"/>
                <w:bottom w:val="none" w:sz="0" w:space="0" w:color="auto"/>
                <w:right w:val="none" w:sz="0" w:space="0" w:color="auto"/>
              </w:divBdr>
              <w:divsChild>
                <w:div w:id="1231237671">
                  <w:marLeft w:val="0"/>
                  <w:marRight w:val="0"/>
                  <w:marTop w:val="0"/>
                  <w:marBottom w:val="0"/>
                  <w:divBdr>
                    <w:top w:val="none" w:sz="0" w:space="0" w:color="auto"/>
                    <w:left w:val="none" w:sz="0" w:space="0" w:color="auto"/>
                    <w:bottom w:val="none" w:sz="0" w:space="0" w:color="auto"/>
                    <w:right w:val="none" w:sz="0" w:space="0" w:color="auto"/>
                  </w:divBdr>
                </w:div>
              </w:divsChild>
            </w:div>
            <w:div w:id="391588923">
              <w:marLeft w:val="0"/>
              <w:marRight w:val="0"/>
              <w:marTop w:val="0"/>
              <w:marBottom w:val="0"/>
              <w:divBdr>
                <w:top w:val="none" w:sz="0" w:space="0" w:color="auto"/>
                <w:left w:val="none" w:sz="0" w:space="0" w:color="auto"/>
                <w:bottom w:val="none" w:sz="0" w:space="0" w:color="auto"/>
                <w:right w:val="none" w:sz="0" w:space="0" w:color="auto"/>
              </w:divBdr>
              <w:divsChild>
                <w:div w:id="1730378925">
                  <w:marLeft w:val="0"/>
                  <w:marRight w:val="0"/>
                  <w:marTop w:val="0"/>
                  <w:marBottom w:val="0"/>
                  <w:divBdr>
                    <w:top w:val="none" w:sz="0" w:space="0" w:color="auto"/>
                    <w:left w:val="none" w:sz="0" w:space="0" w:color="auto"/>
                    <w:bottom w:val="none" w:sz="0" w:space="0" w:color="auto"/>
                    <w:right w:val="none" w:sz="0" w:space="0" w:color="auto"/>
                  </w:divBdr>
                </w:div>
              </w:divsChild>
            </w:div>
            <w:div w:id="421141974">
              <w:marLeft w:val="0"/>
              <w:marRight w:val="0"/>
              <w:marTop w:val="0"/>
              <w:marBottom w:val="0"/>
              <w:divBdr>
                <w:top w:val="none" w:sz="0" w:space="0" w:color="auto"/>
                <w:left w:val="none" w:sz="0" w:space="0" w:color="auto"/>
                <w:bottom w:val="none" w:sz="0" w:space="0" w:color="auto"/>
                <w:right w:val="none" w:sz="0" w:space="0" w:color="auto"/>
              </w:divBdr>
              <w:divsChild>
                <w:div w:id="1471362753">
                  <w:marLeft w:val="0"/>
                  <w:marRight w:val="0"/>
                  <w:marTop w:val="0"/>
                  <w:marBottom w:val="0"/>
                  <w:divBdr>
                    <w:top w:val="none" w:sz="0" w:space="0" w:color="auto"/>
                    <w:left w:val="none" w:sz="0" w:space="0" w:color="auto"/>
                    <w:bottom w:val="none" w:sz="0" w:space="0" w:color="auto"/>
                    <w:right w:val="none" w:sz="0" w:space="0" w:color="auto"/>
                  </w:divBdr>
                </w:div>
              </w:divsChild>
            </w:div>
            <w:div w:id="463542442">
              <w:marLeft w:val="0"/>
              <w:marRight w:val="0"/>
              <w:marTop w:val="0"/>
              <w:marBottom w:val="0"/>
              <w:divBdr>
                <w:top w:val="none" w:sz="0" w:space="0" w:color="auto"/>
                <w:left w:val="none" w:sz="0" w:space="0" w:color="auto"/>
                <w:bottom w:val="none" w:sz="0" w:space="0" w:color="auto"/>
                <w:right w:val="none" w:sz="0" w:space="0" w:color="auto"/>
              </w:divBdr>
              <w:divsChild>
                <w:div w:id="1628320806">
                  <w:marLeft w:val="0"/>
                  <w:marRight w:val="0"/>
                  <w:marTop w:val="0"/>
                  <w:marBottom w:val="0"/>
                  <w:divBdr>
                    <w:top w:val="none" w:sz="0" w:space="0" w:color="auto"/>
                    <w:left w:val="none" w:sz="0" w:space="0" w:color="auto"/>
                    <w:bottom w:val="none" w:sz="0" w:space="0" w:color="auto"/>
                    <w:right w:val="none" w:sz="0" w:space="0" w:color="auto"/>
                  </w:divBdr>
                </w:div>
              </w:divsChild>
            </w:div>
            <w:div w:id="520050243">
              <w:marLeft w:val="0"/>
              <w:marRight w:val="0"/>
              <w:marTop w:val="0"/>
              <w:marBottom w:val="0"/>
              <w:divBdr>
                <w:top w:val="none" w:sz="0" w:space="0" w:color="auto"/>
                <w:left w:val="none" w:sz="0" w:space="0" w:color="auto"/>
                <w:bottom w:val="none" w:sz="0" w:space="0" w:color="auto"/>
                <w:right w:val="none" w:sz="0" w:space="0" w:color="auto"/>
              </w:divBdr>
              <w:divsChild>
                <w:div w:id="370153378">
                  <w:marLeft w:val="0"/>
                  <w:marRight w:val="0"/>
                  <w:marTop w:val="0"/>
                  <w:marBottom w:val="0"/>
                  <w:divBdr>
                    <w:top w:val="none" w:sz="0" w:space="0" w:color="auto"/>
                    <w:left w:val="none" w:sz="0" w:space="0" w:color="auto"/>
                    <w:bottom w:val="none" w:sz="0" w:space="0" w:color="auto"/>
                    <w:right w:val="none" w:sz="0" w:space="0" w:color="auto"/>
                  </w:divBdr>
                </w:div>
              </w:divsChild>
            </w:div>
            <w:div w:id="643504906">
              <w:marLeft w:val="0"/>
              <w:marRight w:val="0"/>
              <w:marTop w:val="0"/>
              <w:marBottom w:val="0"/>
              <w:divBdr>
                <w:top w:val="none" w:sz="0" w:space="0" w:color="auto"/>
                <w:left w:val="none" w:sz="0" w:space="0" w:color="auto"/>
                <w:bottom w:val="none" w:sz="0" w:space="0" w:color="auto"/>
                <w:right w:val="none" w:sz="0" w:space="0" w:color="auto"/>
              </w:divBdr>
              <w:divsChild>
                <w:div w:id="1640070050">
                  <w:marLeft w:val="0"/>
                  <w:marRight w:val="0"/>
                  <w:marTop w:val="0"/>
                  <w:marBottom w:val="0"/>
                  <w:divBdr>
                    <w:top w:val="none" w:sz="0" w:space="0" w:color="auto"/>
                    <w:left w:val="none" w:sz="0" w:space="0" w:color="auto"/>
                    <w:bottom w:val="none" w:sz="0" w:space="0" w:color="auto"/>
                    <w:right w:val="none" w:sz="0" w:space="0" w:color="auto"/>
                  </w:divBdr>
                </w:div>
              </w:divsChild>
            </w:div>
            <w:div w:id="750126476">
              <w:marLeft w:val="0"/>
              <w:marRight w:val="0"/>
              <w:marTop w:val="0"/>
              <w:marBottom w:val="0"/>
              <w:divBdr>
                <w:top w:val="none" w:sz="0" w:space="0" w:color="auto"/>
                <w:left w:val="none" w:sz="0" w:space="0" w:color="auto"/>
                <w:bottom w:val="none" w:sz="0" w:space="0" w:color="auto"/>
                <w:right w:val="none" w:sz="0" w:space="0" w:color="auto"/>
              </w:divBdr>
              <w:divsChild>
                <w:div w:id="491409812">
                  <w:marLeft w:val="0"/>
                  <w:marRight w:val="0"/>
                  <w:marTop w:val="0"/>
                  <w:marBottom w:val="0"/>
                  <w:divBdr>
                    <w:top w:val="none" w:sz="0" w:space="0" w:color="auto"/>
                    <w:left w:val="none" w:sz="0" w:space="0" w:color="auto"/>
                    <w:bottom w:val="none" w:sz="0" w:space="0" w:color="auto"/>
                    <w:right w:val="none" w:sz="0" w:space="0" w:color="auto"/>
                  </w:divBdr>
                </w:div>
              </w:divsChild>
            </w:div>
            <w:div w:id="792289751">
              <w:marLeft w:val="0"/>
              <w:marRight w:val="0"/>
              <w:marTop w:val="0"/>
              <w:marBottom w:val="0"/>
              <w:divBdr>
                <w:top w:val="none" w:sz="0" w:space="0" w:color="auto"/>
                <w:left w:val="none" w:sz="0" w:space="0" w:color="auto"/>
                <w:bottom w:val="none" w:sz="0" w:space="0" w:color="auto"/>
                <w:right w:val="none" w:sz="0" w:space="0" w:color="auto"/>
              </w:divBdr>
              <w:divsChild>
                <w:div w:id="1587033236">
                  <w:marLeft w:val="0"/>
                  <w:marRight w:val="0"/>
                  <w:marTop w:val="0"/>
                  <w:marBottom w:val="0"/>
                  <w:divBdr>
                    <w:top w:val="none" w:sz="0" w:space="0" w:color="auto"/>
                    <w:left w:val="none" w:sz="0" w:space="0" w:color="auto"/>
                    <w:bottom w:val="none" w:sz="0" w:space="0" w:color="auto"/>
                    <w:right w:val="none" w:sz="0" w:space="0" w:color="auto"/>
                  </w:divBdr>
                </w:div>
              </w:divsChild>
            </w:div>
            <w:div w:id="793719699">
              <w:marLeft w:val="0"/>
              <w:marRight w:val="0"/>
              <w:marTop w:val="0"/>
              <w:marBottom w:val="0"/>
              <w:divBdr>
                <w:top w:val="none" w:sz="0" w:space="0" w:color="auto"/>
                <w:left w:val="none" w:sz="0" w:space="0" w:color="auto"/>
                <w:bottom w:val="none" w:sz="0" w:space="0" w:color="auto"/>
                <w:right w:val="none" w:sz="0" w:space="0" w:color="auto"/>
              </w:divBdr>
              <w:divsChild>
                <w:div w:id="1434323543">
                  <w:marLeft w:val="0"/>
                  <w:marRight w:val="0"/>
                  <w:marTop w:val="0"/>
                  <w:marBottom w:val="0"/>
                  <w:divBdr>
                    <w:top w:val="none" w:sz="0" w:space="0" w:color="auto"/>
                    <w:left w:val="none" w:sz="0" w:space="0" w:color="auto"/>
                    <w:bottom w:val="none" w:sz="0" w:space="0" w:color="auto"/>
                    <w:right w:val="none" w:sz="0" w:space="0" w:color="auto"/>
                  </w:divBdr>
                </w:div>
              </w:divsChild>
            </w:div>
            <w:div w:id="816801930">
              <w:marLeft w:val="0"/>
              <w:marRight w:val="0"/>
              <w:marTop w:val="0"/>
              <w:marBottom w:val="0"/>
              <w:divBdr>
                <w:top w:val="none" w:sz="0" w:space="0" w:color="auto"/>
                <w:left w:val="none" w:sz="0" w:space="0" w:color="auto"/>
                <w:bottom w:val="none" w:sz="0" w:space="0" w:color="auto"/>
                <w:right w:val="none" w:sz="0" w:space="0" w:color="auto"/>
              </w:divBdr>
              <w:divsChild>
                <w:div w:id="2083867985">
                  <w:marLeft w:val="0"/>
                  <w:marRight w:val="0"/>
                  <w:marTop w:val="0"/>
                  <w:marBottom w:val="0"/>
                  <w:divBdr>
                    <w:top w:val="none" w:sz="0" w:space="0" w:color="auto"/>
                    <w:left w:val="none" w:sz="0" w:space="0" w:color="auto"/>
                    <w:bottom w:val="none" w:sz="0" w:space="0" w:color="auto"/>
                    <w:right w:val="none" w:sz="0" w:space="0" w:color="auto"/>
                  </w:divBdr>
                </w:div>
              </w:divsChild>
            </w:div>
            <w:div w:id="830097433">
              <w:marLeft w:val="0"/>
              <w:marRight w:val="0"/>
              <w:marTop w:val="0"/>
              <w:marBottom w:val="0"/>
              <w:divBdr>
                <w:top w:val="none" w:sz="0" w:space="0" w:color="auto"/>
                <w:left w:val="none" w:sz="0" w:space="0" w:color="auto"/>
                <w:bottom w:val="none" w:sz="0" w:space="0" w:color="auto"/>
                <w:right w:val="none" w:sz="0" w:space="0" w:color="auto"/>
              </w:divBdr>
              <w:divsChild>
                <w:div w:id="1808276043">
                  <w:marLeft w:val="0"/>
                  <w:marRight w:val="0"/>
                  <w:marTop w:val="0"/>
                  <w:marBottom w:val="0"/>
                  <w:divBdr>
                    <w:top w:val="none" w:sz="0" w:space="0" w:color="auto"/>
                    <w:left w:val="none" w:sz="0" w:space="0" w:color="auto"/>
                    <w:bottom w:val="none" w:sz="0" w:space="0" w:color="auto"/>
                    <w:right w:val="none" w:sz="0" w:space="0" w:color="auto"/>
                  </w:divBdr>
                </w:div>
              </w:divsChild>
            </w:div>
            <w:div w:id="1120492341">
              <w:marLeft w:val="0"/>
              <w:marRight w:val="0"/>
              <w:marTop w:val="0"/>
              <w:marBottom w:val="0"/>
              <w:divBdr>
                <w:top w:val="none" w:sz="0" w:space="0" w:color="auto"/>
                <w:left w:val="none" w:sz="0" w:space="0" w:color="auto"/>
                <w:bottom w:val="none" w:sz="0" w:space="0" w:color="auto"/>
                <w:right w:val="none" w:sz="0" w:space="0" w:color="auto"/>
              </w:divBdr>
              <w:divsChild>
                <w:div w:id="320085516">
                  <w:marLeft w:val="0"/>
                  <w:marRight w:val="0"/>
                  <w:marTop w:val="0"/>
                  <w:marBottom w:val="0"/>
                  <w:divBdr>
                    <w:top w:val="none" w:sz="0" w:space="0" w:color="auto"/>
                    <w:left w:val="none" w:sz="0" w:space="0" w:color="auto"/>
                    <w:bottom w:val="none" w:sz="0" w:space="0" w:color="auto"/>
                    <w:right w:val="none" w:sz="0" w:space="0" w:color="auto"/>
                  </w:divBdr>
                </w:div>
              </w:divsChild>
            </w:div>
            <w:div w:id="1143043796">
              <w:marLeft w:val="0"/>
              <w:marRight w:val="0"/>
              <w:marTop w:val="0"/>
              <w:marBottom w:val="0"/>
              <w:divBdr>
                <w:top w:val="none" w:sz="0" w:space="0" w:color="auto"/>
                <w:left w:val="none" w:sz="0" w:space="0" w:color="auto"/>
                <w:bottom w:val="none" w:sz="0" w:space="0" w:color="auto"/>
                <w:right w:val="none" w:sz="0" w:space="0" w:color="auto"/>
              </w:divBdr>
              <w:divsChild>
                <w:div w:id="277182771">
                  <w:marLeft w:val="0"/>
                  <w:marRight w:val="0"/>
                  <w:marTop w:val="0"/>
                  <w:marBottom w:val="0"/>
                  <w:divBdr>
                    <w:top w:val="none" w:sz="0" w:space="0" w:color="auto"/>
                    <w:left w:val="none" w:sz="0" w:space="0" w:color="auto"/>
                    <w:bottom w:val="none" w:sz="0" w:space="0" w:color="auto"/>
                    <w:right w:val="none" w:sz="0" w:space="0" w:color="auto"/>
                  </w:divBdr>
                </w:div>
              </w:divsChild>
            </w:div>
            <w:div w:id="1143811352">
              <w:marLeft w:val="0"/>
              <w:marRight w:val="0"/>
              <w:marTop w:val="0"/>
              <w:marBottom w:val="0"/>
              <w:divBdr>
                <w:top w:val="none" w:sz="0" w:space="0" w:color="auto"/>
                <w:left w:val="none" w:sz="0" w:space="0" w:color="auto"/>
                <w:bottom w:val="none" w:sz="0" w:space="0" w:color="auto"/>
                <w:right w:val="none" w:sz="0" w:space="0" w:color="auto"/>
              </w:divBdr>
              <w:divsChild>
                <w:div w:id="1527601734">
                  <w:marLeft w:val="0"/>
                  <w:marRight w:val="0"/>
                  <w:marTop w:val="0"/>
                  <w:marBottom w:val="0"/>
                  <w:divBdr>
                    <w:top w:val="none" w:sz="0" w:space="0" w:color="auto"/>
                    <w:left w:val="none" w:sz="0" w:space="0" w:color="auto"/>
                    <w:bottom w:val="none" w:sz="0" w:space="0" w:color="auto"/>
                    <w:right w:val="none" w:sz="0" w:space="0" w:color="auto"/>
                  </w:divBdr>
                </w:div>
              </w:divsChild>
            </w:div>
            <w:div w:id="1150748494">
              <w:marLeft w:val="0"/>
              <w:marRight w:val="0"/>
              <w:marTop w:val="0"/>
              <w:marBottom w:val="0"/>
              <w:divBdr>
                <w:top w:val="none" w:sz="0" w:space="0" w:color="auto"/>
                <w:left w:val="none" w:sz="0" w:space="0" w:color="auto"/>
                <w:bottom w:val="none" w:sz="0" w:space="0" w:color="auto"/>
                <w:right w:val="none" w:sz="0" w:space="0" w:color="auto"/>
              </w:divBdr>
              <w:divsChild>
                <w:div w:id="362824190">
                  <w:marLeft w:val="0"/>
                  <w:marRight w:val="0"/>
                  <w:marTop w:val="0"/>
                  <w:marBottom w:val="0"/>
                  <w:divBdr>
                    <w:top w:val="none" w:sz="0" w:space="0" w:color="auto"/>
                    <w:left w:val="none" w:sz="0" w:space="0" w:color="auto"/>
                    <w:bottom w:val="none" w:sz="0" w:space="0" w:color="auto"/>
                    <w:right w:val="none" w:sz="0" w:space="0" w:color="auto"/>
                  </w:divBdr>
                </w:div>
              </w:divsChild>
            </w:div>
            <w:div w:id="1253977114">
              <w:marLeft w:val="0"/>
              <w:marRight w:val="0"/>
              <w:marTop w:val="0"/>
              <w:marBottom w:val="0"/>
              <w:divBdr>
                <w:top w:val="none" w:sz="0" w:space="0" w:color="auto"/>
                <w:left w:val="none" w:sz="0" w:space="0" w:color="auto"/>
                <w:bottom w:val="none" w:sz="0" w:space="0" w:color="auto"/>
                <w:right w:val="none" w:sz="0" w:space="0" w:color="auto"/>
              </w:divBdr>
              <w:divsChild>
                <w:div w:id="611935958">
                  <w:marLeft w:val="0"/>
                  <w:marRight w:val="0"/>
                  <w:marTop w:val="0"/>
                  <w:marBottom w:val="0"/>
                  <w:divBdr>
                    <w:top w:val="none" w:sz="0" w:space="0" w:color="auto"/>
                    <w:left w:val="none" w:sz="0" w:space="0" w:color="auto"/>
                    <w:bottom w:val="none" w:sz="0" w:space="0" w:color="auto"/>
                    <w:right w:val="none" w:sz="0" w:space="0" w:color="auto"/>
                  </w:divBdr>
                </w:div>
              </w:divsChild>
            </w:div>
            <w:div w:id="1260061298">
              <w:marLeft w:val="0"/>
              <w:marRight w:val="0"/>
              <w:marTop w:val="0"/>
              <w:marBottom w:val="0"/>
              <w:divBdr>
                <w:top w:val="none" w:sz="0" w:space="0" w:color="auto"/>
                <w:left w:val="none" w:sz="0" w:space="0" w:color="auto"/>
                <w:bottom w:val="none" w:sz="0" w:space="0" w:color="auto"/>
                <w:right w:val="none" w:sz="0" w:space="0" w:color="auto"/>
              </w:divBdr>
              <w:divsChild>
                <w:div w:id="1002513135">
                  <w:marLeft w:val="0"/>
                  <w:marRight w:val="0"/>
                  <w:marTop w:val="0"/>
                  <w:marBottom w:val="0"/>
                  <w:divBdr>
                    <w:top w:val="none" w:sz="0" w:space="0" w:color="auto"/>
                    <w:left w:val="none" w:sz="0" w:space="0" w:color="auto"/>
                    <w:bottom w:val="none" w:sz="0" w:space="0" w:color="auto"/>
                    <w:right w:val="none" w:sz="0" w:space="0" w:color="auto"/>
                  </w:divBdr>
                </w:div>
              </w:divsChild>
            </w:div>
            <w:div w:id="1264537422">
              <w:marLeft w:val="0"/>
              <w:marRight w:val="0"/>
              <w:marTop w:val="0"/>
              <w:marBottom w:val="0"/>
              <w:divBdr>
                <w:top w:val="none" w:sz="0" w:space="0" w:color="auto"/>
                <w:left w:val="none" w:sz="0" w:space="0" w:color="auto"/>
                <w:bottom w:val="none" w:sz="0" w:space="0" w:color="auto"/>
                <w:right w:val="none" w:sz="0" w:space="0" w:color="auto"/>
              </w:divBdr>
              <w:divsChild>
                <w:div w:id="141313037">
                  <w:marLeft w:val="0"/>
                  <w:marRight w:val="0"/>
                  <w:marTop w:val="0"/>
                  <w:marBottom w:val="0"/>
                  <w:divBdr>
                    <w:top w:val="none" w:sz="0" w:space="0" w:color="auto"/>
                    <w:left w:val="none" w:sz="0" w:space="0" w:color="auto"/>
                    <w:bottom w:val="none" w:sz="0" w:space="0" w:color="auto"/>
                    <w:right w:val="none" w:sz="0" w:space="0" w:color="auto"/>
                  </w:divBdr>
                </w:div>
              </w:divsChild>
            </w:div>
            <w:div w:id="1384404541">
              <w:marLeft w:val="0"/>
              <w:marRight w:val="0"/>
              <w:marTop w:val="0"/>
              <w:marBottom w:val="0"/>
              <w:divBdr>
                <w:top w:val="none" w:sz="0" w:space="0" w:color="auto"/>
                <w:left w:val="none" w:sz="0" w:space="0" w:color="auto"/>
                <w:bottom w:val="none" w:sz="0" w:space="0" w:color="auto"/>
                <w:right w:val="none" w:sz="0" w:space="0" w:color="auto"/>
              </w:divBdr>
              <w:divsChild>
                <w:div w:id="657150667">
                  <w:marLeft w:val="0"/>
                  <w:marRight w:val="0"/>
                  <w:marTop w:val="0"/>
                  <w:marBottom w:val="0"/>
                  <w:divBdr>
                    <w:top w:val="none" w:sz="0" w:space="0" w:color="auto"/>
                    <w:left w:val="none" w:sz="0" w:space="0" w:color="auto"/>
                    <w:bottom w:val="none" w:sz="0" w:space="0" w:color="auto"/>
                    <w:right w:val="none" w:sz="0" w:space="0" w:color="auto"/>
                  </w:divBdr>
                </w:div>
              </w:divsChild>
            </w:div>
            <w:div w:id="1518810919">
              <w:marLeft w:val="0"/>
              <w:marRight w:val="0"/>
              <w:marTop w:val="0"/>
              <w:marBottom w:val="0"/>
              <w:divBdr>
                <w:top w:val="none" w:sz="0" w:space="0" w:color="auto"/>
                <w:left w:val="none" w:sz="0" w:space="0" w:color="auto"/>
                <w:bottom w:val="none" w:sz="0" w:space="0" w:color="auto"/>
                <w:right w:val="none" w:sz="0" w:space="0" w:color="auto"/>
              </w:divBdr>
              <w:divsChild>
                <w:div w:id="319818321">
                  <w:marLeft w:val="0"/>
                  <w:marRight w:val="0"/>
                  <w:marTop w:val="0"/>
                  <w:marBottom w:val="0"/>
                  <w:divBdr>
                    <w:top w:val="none" w:sz="0" w:space="0" w:color="auto"/>
                    <w:left w:val="none" w:sz="0" w:space="0" w:color="auto"/>
                    <w:bottom w:val="none" w:sz="0" w:space="0" w:color="auto"/>
                    <w:right w:val="none" w:sz="0" w:space="0" w:color="auto"/>
                  </w:divBdr>
                </w:div>
              </w:divsChild>
            </w:div>
            <w:div w:id="1582594736">
              <w:marLeft w:val="0"/>
              <w:marRight w:val="0"/>
              <w:marTop w:val="0"/>
              <w:marBottom w:val="0"/>
              <w:divBdr>
                <w:top w:val="none" w:sz="0" w:space="0" w:color="auto"/>
                <w:left w:val="none" w:sz="0" w:space="0" w:color="auto"/>
                <w:bottom w:val="none" w:sz="0" w:space="0" w:color="auto"/>
                <w:right w:val="none" w:sz="0" w:space="0" w:color="auto"/>
              </w:divBdr>
              <w:divsChild>
                <w:div w:id="1336299244">
                  <w:marLeft w:val="0"/>
                  <w:marRight w:val="0"/>
                  <w:marTop w:val="0"/>
                  <w:marBottom w:val="0"/>
                  <w:divBdr>
                    <w:top w:val="none" w:sz="0" w:space="0" w:color="auto"/>
                    <w:left w:val="none" w:sz="0" w:space="0" w:color="auto"/>
                    <w:bottom w:val="none" w:sz="0" w:space="0" w:color="auto"/>
                    <w:right w:val="none" w:sz="0" w:space="0" w:color="auto"/>
                  </w:divBdr>
                </w:div>
              </w:divsChild>
            </w:div>
            <w:div w:id="1634558428">
              <w:marLeft w:val="0"/>
              <w:marRight w:val="0"/>
              <w:marTop w:val="0"/>
              <w:marBottom w:val="0"/>
              <w:divBdr>
                <w:top w:val="none" w:sz="0" w:space="0" w:color="auto"/>
                <w:left w:val="none" w:sz="0" w:space="0" w:color="auto"/>
                <w:bottom w:val="none" w:sz="0" w:space="0" w:color="auto"/>
                <w:right w:val="none" w:sz="0" w:space="0" w:color="auto"/>
              </w:divBdr>
              <w:divsChild>
                <w:div w:id="1624312885">
                  <w:marLeft w:val="0"/>
                  <w:marRight w:val="0"/>
                  <w:marTop w:val="0"/>
                  <w:marBottom w:val="0"/>
                  <w:divBdr>
                    <w:top w:val="none" w:sz="0" w:space="0" w:color="auto"/>
                    <w:left w:val="none" w:sz="0" w:space="0" w:color="auto"/>
                    <w:bottom w:val="none" w:sz="0" w:space="0" w:color="auto"/>
                    <w:right w:val="none" w:sz="0" w:space="0" w:color="auto"/>
                  </w:divBdr>
                </w:div>
              </w:divsChild>
            </w:div>
            <w:div w:id="1730885970">
              <w:marLeft w:val="0"/>
              <w:marRight w:val="0"/>
              <w:marTop w:val="0"/>
              <w:marBottom w:val="0"/>
              <w:divBdr>
                <w:top w:val="none" w:sz="0" w:space="0" w:color="auto"/>
                <w:left w:val="none" w:sz="0" w:space="0" w:color="auto"/>
                <w:bottom w:val="none" w:sz="0" w:space="0" w:color="auto"/>
                <w:right w:val="none" w:sz="0" w:space="0" w:color="auto"/>
              </w:divBdr>
              <w:divsChild>
                <w:div w:id="464978843">
                  <w:marLeft w:val="0"/>
                  <w:marRight w:val="0"/>
                  <w:marTop w:val="0"/>
                  <w:marBottom w:val="0"/>
                  <w:divBdr>
                    <w:top w:val="none" w:sz="0" w:space="0" w:color="auto"/>
                    <w:left w:val="none" w:sz="0" w:space="0" w:color="auto"/>
                    <w:bottom w:val="none" w:sz="0" w:space="0" w:color="auto"/>
                    <w:right w:val="none" w:sz="0" w:space="0" w:color="auto"/>
                  </w:divBdr>
                </w:div>
              </w:divsChild>
            </w:div>
            <w:div w:id="1780643333">
              <w:marLeft w:val="0"/>
              <w:marRight w:val="0"/>
              <w:marTop w:val="0"/>
              <w:marBottom w:val="0"/>
              <w:divBdr>
                <w:top w:val="none" w:sz="0" w:space="0" w:color="auto"/>
                <w:left w:val="none" w:sz="0" w:space="0" w:color="auto"/>
                <w:bottom w:val="none" w:sz="0" w:space="0" w:color="auto"/>
                <w:right w:val="none" w:sz="0" w:space="0" w:color="auto"/>
              </w:divBdr>
              <w:divsChild>
                <w:div w:id="1685814363">
                  <w:marLeft w:val="0"/>
                  <w:marRight w:val="0"/>
                  <w:marTop w:val="0"/>
                  <w:marBottom w:val="0"/>
                  <w:divBdr>
                    <w:top w:val="none" w:sz="0" w:space="0" w:color="auto"/>
                    <w:left w:val="none" w:sz="0" w:space="0" w:color="auto"/>
                    <w:bottom w:val="none" w:sz="0" w:space="0" w:color="auto"/>
                    <w:right w:val="none" w:sz="0" w:space="0" w:color="auto"/>
                  </w:divBdr>
                </w:div>
              </w:divsChild>
            </w:div>
            <w:div w:id="1836409665">
              <w:marLeft w:val="0"/>
              <w:marRight w:val="0"/>
              <w:marTop w:val="0"/>
              <w:marBottom w:val="0"/>
              <w:divBdr>
                <w:top w:val="none" w:sz="0" w:space="0" w:color="auto"/>
                <w:left w:val="none" w:sz="0" w:space="0" w:color="auto"/>
                <w:bottom w:val="none" w:sz="0" w:space="0" w:color="auto"/>
                <w:right w:val="none" w:sz="0" w:space="0" w:color="auto"/>
              </w:divBdr>
              <w:divsChild>
                <w:div w:id="1113590981">
                  <w:marLeft w:val="0"/>
                  <w:marRight w:val="0"/>
                  <w:marTop w:val="0"/>
                  <w:marBottom w:val="0"/>
                  <w:divBdr>
                    <w:top w:val="none" w:sz="0" w:space="0" w:color="auto"/>
                    <w:left w:val="none" w:sz="0" w:space="0" w:color="auto"/>
                    <w:bottom w:val="none" w:sz="0" w:space="0" w:color="auto"/>
                    <w:right w:val="none" w:sz="0" w:space="0" w:color="auto"/>
                  </w:divBdr>
                </w:div>
              </w:divsChild>
            </w:div>
            <w:div w:id="1858423777">
              <w:marLeft w:val="0"/>
              <w:marRight w:val="0"/>
              <w:marTop w:val="0"/>
              <w:marBottom w:val="0"/>
              <w:divBdr>
                <w:top w:val="none" w:sz="0" w:space="0" w:color="auto"/>
                <w:left w:val="none" w:sz="0" w:space="0" w:color="auto"/>
                <w:bottom w:val="none" w:sz="0" w:space="0" w:color="auto"/>
                <w:right w:val="none" w:sz="0" w:space="0" w:color="auto"/>
              </w:divBdr>
              <w:divsChild>
                <w:div w:id="1857310298">
                  <w:marLeft w:val="0"/>
                  <w:marRight w:val="0"/>
                  <w:marTop w:val="0"/>
                  <w:marBottom w:val="0"/>
                  <w:divBdr>
                    <w:top w:val="none" w:sz="0" w:space="0" w:color="auto"/>
                    <w:left w:val="none" w:sz="0" w:space="0" w:color="auto"/>
                    <w:bottom w:val="none" w:sz="0" w:space="0" w:color="auto"/>
                    <w:right w:val="none" w:sz="0" w:space="0" w:color="auto"/>
                  </w:divBdr>
                </w:div>
              </w:divsChild>
            </w:div>
            <w:div w:id="2050641036">
              <w:marLeft w:val="0"/>
              <w:marRight w:val="0"/>
              <w:marTop w:val="0"/>
              <w:marBottom w:val="0"/>
              <w:divBdr>
                <w:top w:val="none" w:sz="0" w:space="0" w:color="auto"/>
                <w:left w:val="none" w:sz="0" w:space="0" w:color="auto"/>
                <w:bottom w:val="none" w:sz="0" w:space="0" w:color="auto"/>
                <w:right w:val="none" w:sz="0" w:space="0" w:color="auto"/>
              </w:divBdr>
              <w:divsChild>
                <w:div w:id="165218768">
                  <w:marLeft w:val="0"/>
                  <w:marRight w:val="0"/>
                  <w:marTop w:val="0"/>
                  <w:marBottom w:val="0"/>
                  <w:divBdr>
                    <w:top w:val="none" w:sz="0" w:space="0" w:color="auto"/>
                    <w:left w:val="none" w:sz="0" w:space="0" w:color="auto"/>
                    <w:bottom w:val="none" w:sz="0" w:space="0" w:color="auto"/>
                    <w:right w:val="none" w:sz="0" w:space="0" w:color="auto"/>
                  </w:divBdr>
                </w:div>
              </w:divsChild>
            </w:div>
            <w:div w:id="2107994808">
              <w:marLeft w:val="0"/>
              <w:marRight w:val="0"/>
              <w:marTop w:val="0"/>
              <w:marBottom w:val="0"/>
              <w:divBdr>
                <w:top w:val="none" w:sz="0" w:space="0" w:color="auto"/>
                <w:left w:val="none" w:sz="0" w:space="0" w:color="auto"/>
                <w:bottom w:val="none" w:sz="0" w:space="0" w:color="auto"/>
                <w:right w:val="none" w:sz="0" w:space="0" w:color="auto"/>
              </w:divBdr>
              <w:divsChild>
                <w:div w:id="312685608">
                  <w:marLeft w:val="0"/>
                  <w:marRight w:val="0"/>
                  <w:marTop w:val="0"/>
                  <w:marBottom w:val="0"/>
                  <w:divBdr>
                    <w:top w:val="none" w:sz="0" w:space="0" w:color="auto"/>
                    <w:left w:val="none" w:sz="0" w:space="0" w:color="auto"/>
                    <w:bottom w:val="none" w:sz="0" w:space="0" w:color="auto"/>
                    <w:right w:val="none" w:sz="0" w:space="0" w:color="auto"/>
                  </w:divBdr>
                </w:div>
              </w:divsChild>
            </w:div>
            <w:div w:id="2134639106">
              <w:marLeft w:val="0"/>
              <w:marRight w:val="0"/>
              <w:marTop w:val="0"/>
              <w:marBottom w:val="0"/>
              <w:divBdr>
                <w:top w:val="none" w:sz="0" w:space="0" w:color="auto"/>
                <w:left w:val="none" w:sz="0" w:space="0" w:color="auto"/>
                <w:bottom w:val="none" w:sz="0" w:space="0" w:color="auto"/>
                <w:right w:val="none" w:sz="0" w:space="0" w:color="auto"/>
              </w:divBdr>
              <w:divsChild>
                <w:div w:id="132208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921233">
      <w:bodyDiv w:val="1"/>
      <w:marLeft w:val="0"/>
      <w:marRight w:val="0"/>
      <w:marTop w:val="0"/>
      <w:marBottom w:val="0"/>
      <w:divBdr>
        <w:top w:val="none" w:sz="0" w:space="0" w:color="auto"/>
        <w:left w:val="none" w:sz="0" w:space="0" w:color="auto"/>
        <w:bottom w:val="none" w:sz="0" w:space="0" w:color="auto"/>
        <w:right w:val="none" w:sz="0" w:space="0" w:color="auto"/>
      </w:divBdr>
    </w:div>
    <w:div w:id="1967856738">
      <w:bodyDiv w:val="1"/>
      <w:marLeft w:val="0"/>
      <w:marRight w:val="0"/>
      <w:marTop w:val="0"/>
      <w:marBottom w:val="0"/>
      <w:divBdr>
        <w:top w:val="none" w:sz="0" w:space="0" w:color="auto"/>
        <w:left w:val="none" w:sz="0" w:space="0" w:color="auto"/>
        <w:bottom w:val="none" w:sz="0" w:space="0" w:color="auto"/>
        <w:right w:val="none" w:sz="0" w:space="0" w:color="auto"/>
      </w:divBdr>
      <w:divsChild>
        <w:div w:id="206767287">
          <w:marLeft w:val="0"/>
          <w:marRight w:val="0"/>
          <w:marTop w:val="0"/>
          <w:marBottom w:val="0"/>
          <w:divBdr>
            <w:top w:val="none" w:sz="0" w:space="0" w:color="auto"/>
            <w:left w:val="none" w:sz="0" w:space="0" w:color="auto"/>
            <w:bottom w:val="none" w:sz="0" w:space="0" w:color="auto"/>
            <w:right w:val="none" w:sz="0" w:space="0" w:color="auto"/>
          </w:divBdr>
          <w:divsChild>
            <w:div w:id="768894656">
              <w:marLeft w:val="-75"/>
              <w:marRight w:val="0"/>
              <w:marTop w:val="30"/>
              <w:marBottom w:val="30"/>
              <w:divBdr>
                <w:top w:val="none" w:sz="0" w:space="0" w:color="auto"/>
                <w:left w:val="none" w:sz="0" w:space="0" w:color="auto"/>
                <w:bottom w:val="none" w:sz="0" w:space="0" w:color="auto"/>
                <w:right w:val="none" w:sz="0" w:space="0" w:color="auto"/>
              </w:divBdr>
              <w:divsChild>
                <w:div w:id="33238663">
                  <w:marLeft w:val="0"/>
                  <w:marRight w:val="0"/>
                  <w:marTop w:val="0"/>
                  <w:marBottom w:val="0"/>
                  <w:divBdr>
                    <w:top w:val="none" w:sz="0" w:space="0" w:color="auto"/>
                    <w:left w:val="none" w:sz="0" w:space="0" w:color="auto"/>
                    <w:bottom w:val="none" w:sz="0" w:space="0" w:color="auto"/>
                    <w:right w:val="none" w:sz="0" w:space="0" w:color="auto"/>
                  </w:divBdr>
                  <w:divsChild>
                    <w:div w:id="753933738">
                      <w:marLeft w:val="0"/>
                      <w:marRight w:val="0"/>
                      <w:marTop w:val="0"/>
                      <w:marBottom w:val="0"/>
                      <w:divBdr>
                        <w:top w:val="none" w:sz="0" w:space="0" w:color="auto"/>
                        <w:left w:val="none" w:sz="0" w:space="0" w:color="auto"/>
                        <w:bottom w:val="none" w:sz="0" w:space="0" w:color="auto"/>
                        <w:right w:val="none" w:sz="0" w:space="0" w:color="auto"/>
                      </w:divBdr>
                    </w:div>
                  </w:divsChild>
                </w:div>
                <w:div w:id="78718808">
                  <w:marLeft w:val="0"/>
                  <w:marRight w:val="0"/>
                  <w:marTop w:val="0"/>
                  <w:marBottom w:val="0"/>
                  <w:divBdr>
                    <w:top w:val="none" w:sz="0" w:space="0" w:color="auto"/>
                    <w:left w:val="none" w:sz="0" w:space="0" w:color="auto"/>
                    <w:bottom w:val="none" w:sz="0" w:space="0" w:color="auto"/>
                    <w:right w:val="none" w:sz="0" w:space="0" w:color="auto"/>
                  </w:divBdr>
                  <w:divsChild>
                    <w:div w:id="1593389693">
                      <w:marLeft w:val="0"/>
                      <w:marRight w:val="0"/>
                      <w:marTop w:val="0"/>
                      <w:marBottom w:val="0"/>
                      <w:divBdr>
                        <w:top w:val="none" w:sz="0" w:space="0" w:color="auto"/>
                        <w:left w:val="none" w:sz="0" w:space="0" w:color="auto"/>
                        <w:bottom w:val="none" w:sz="0" w:space="0" w:color="auto"/>
                        <w:right w:val="none" w:sz="0" w:space="0" w:color="auto"/>
                      </w:divBdr>
                    </w:div>
                  </w:divsChild>
                </w:div>
                <w:div w:id="132605347">
                  <w:marLeft w:val="0"/>
                  <w:marRight w:val="0"/>
                  <w:marTop w:val="0"/>
                  <w:marBottom w:val="0"/>
                  <w:divBdr>
                    <w:top w:val="none" w:sz="0" w:space="0" w:color="auto"/>
                    <w:left w:val="none" w:sz="0" w:space="0" w:color="auto"/>
                    <w:bottom w:val="none" w:sz="0" w:space="0" w:color="auto"/>
                    <w:right w:val="none" w:sz="0" w:space="0" w:color="auto"/>
                  </w:divBdr>
                  <w:divsChild>
                    <w:div w:id="1634555476">
                      <w:marLeft w:val="0"/>
                      <w:marRight w:val="0"/>
                      <w:marTop w:val="0"/>
                      <w:marBottom w:val="0"/>
                      <w:divBdr>
                        <w:top w:val="none" w:sz="0" w:space="0" w:color="auto"/>
                        <w:left w:val="none" w:sz="0" w:space="0" w:color="auto"/>
                        <w:bottom w:val="none" w:sz="0" w:space="0" w:color="auto"/>
                        <w:right w:val="none" w:sz="0" w:space="0" w:color="auto"/>
                      </w:divBdr>
                    </w:div>
                  </w:divsChild>
                </w:div>
                <w:div w:id="177157765">
                  <w:marLeft w:val="0"/>
                  <w:marRight w:val="0"/>
                  <w:marTop w:val="0"/>
                  <w:marBottom w:val="0"/>
                  <w:divBdr>
                    <w:top w:val="none" w:sz="0" w:space="0" w:color="auto"/>
                    <w:left w:val="none" w:sz="0" w:space="0" w:color="auto"/>
                    <w:bottom w:val="none" w:sz="0" w:space="0" w:color="auto"/>
                    <w:right w:val="none" w:sz="0" w:space="0" w:color="auto"/>
                  </w:divBdr>
                  <w:divsChild>
                    <w:div w:id="1146126112">
                      <w:marLeft w:val="0"/>
                      <w:marRight w:val="0"/>
                      <w:marTop w:val="0"/>
                      <w:marBottom w:val="0"/>
                      <w:divBdr>
                        <w:top w:val="none" w:sz="0" w:space="0" w:color="auto"/>
                        <w:left w:val="none" w:sz="0" w:space="0" w:color="auto"/>
                        <w:bottom w:val="none" w:sz="0" w:space="0" w:color="auto"/>
                        <w:right w:val="none" w:sz="0" w:space="0" w:color="auto"/>
                      </w:divBdr>
                    </w:div>
                  </w:divsChild>
                </w:div>
                <w:div w:id="217129938">
                  <w:marLeft w:val="0"/>
                  <w:marRight w:val="0"/>
                  <w:marTop w:val="0"/>
                  <w:marBottom w:val="0"/>
                  <w:divBdr>
                    <w:top w:val="none" w:sz="0" w:space="0" w:color="auto"/>
                    <w:left w:val="none" w:sz="0" w:space="0" w:color="auto"/>
                    <w:bottom w:val="none" w:sz="0" w:space="0" w:color="auto"/>
                    <w:right w:val="none" w:sz="0" w:space="0" w:color="auto"/>
                  </w:divBdr>
                  <w:divsChild>
                    <w:div w:id="1593314278">
                      <w:marLeft w:val="0"/>
                      <w:marRight w:val="0"/>
                      <w:marTop w:val="0"/>
                      <w:marBottom w:val="0"/>
                      <w:divBdr>
                        <w:top w:val="none" w:sz="0" w:space="0" w:color="auto"/>
                        <w:left w:val="none" w:sz="0" w:space="0" w:color="auto"/>
                        <w:bottom w:val="none" w:sz="0" w:space="0" w:color="auto"/>
                        <w:right w:val="none" w:sz="0" w:space="0" w:color="auto"/>
                      </w:divBdr>
                    </w:div>
                  </w:divsChild>
                </w:div>
                <w:div w:id="300548479">
                  <w:marLeft w:val="0"/>
                  <w:marRight w:val="0"/>
                  <w:marTop w:val="0"/>
                  <w:marBottom w:val="0"/>
                  <w:divBdr>
                    <w:top w:val="none" w:sz="0" w:space="0" w:color="auto"/>
                    <w:left w:val="none" w:sz="0" w:space="0" w:color="auto"/>
                    <w:bottom w:val="none" w:sz="0" w:space="0" w:color="auto"/>
                    <w:right w:val="none" w:sz="0" w:space="0" w:color="auto"/>
                  </w:divBdr>
                  <w:divsChild>
                    <w:div w:id="686371784">
                      <w:marLeft w:val="0"/>
                      <w:marRight w:val="0"/>
                      <w:marTop w:val="0"/>
                      <w:marBottom w:val="0"/>
                      <w:divBdr>
                        <w:top w:val="none" w:sz="0" w:space="0" w:color="auto"/>
                        <w:left w:val="none" w:sz="0" w:space="0" w:color="auto"/>
                        <w:bottom w:val="none" w:sz="0" w:space="0" w:color="auto"/>
                        <w:right w:val="none" w:sz="0" w:space="0" w:color="auto"/>
                      </w:divBdr>
                    </w:div>
                  </w:divsChild>
                </w:div>
                <w:div w:id="324164297">
                  <w:marLeft w:val="0"/>
                  <w:marRight w:val="0"/>
                  <w:marTop w:val="0"/>
                  <w:marBottom w:val="0"/>
                  <w:divBdr>
                    <w:top w:val="none" w:sz="0" w:space="0" w:color="auto"/>
                    <w:left w:val="none" w:sz="0" w:space="0" w:color="auto"/>
                    <w:bottom w:val="none" w:sz="0" w:space="0" w:color="auto"/>
                    <w:right w:val="none" w:sz="0" w:space="0" w:color="auto"/>
                  </w:divBdr>
                  <w:divsChild>
                    <w:div w:id="1418744334">
                      <w:marLeft w:val="0"/>
                      <w:marRight w:val="0"/>
                      <w:marTop w:val="0"/>
                      <w:marBottom w:val="0"/>
                      <w:divBdr>
                        <w:top w:val="none" w:sz="0" w:space="0" w:color="auto"/>
                        <w:left w:val="none" w:sz="0" w:space="0" w:color="auto"/>
                        <w:bottom w:val="none" w:sz="0" w:space="0" w:color="auto"/>
                        <w:right w:val="none" w:sz="0" w:space="0" w:color="auto"/>
                      </w:divBdr>
                    </w:div>
                  </w:divsChild>
                </w:div>
                <w:div w:id="339624339">
                  <w:marLeft w:val="0"/>
                  <w:marRight w:val="0"/>
                  <w:marTop w:val="0"/>
                  <w:marBottom w:val="0"/>
                  <w:divBdr>
                    <w:top w:val="none" w:sz="0" w:space="0" w:color="auto"/>
                    <w:left w:val="none" w:sz="0" w:space="0" w:color="auto"/>
                    <w:bottom w:val="none" w:sz="0" w:space="0" w:color="auto"/>
                    <w:right w:val="none" w:sz="0" w:space="0" w:color="auto"/>
                  </w:divBdr>
                  <w:divsChild>
                    <w:div w:id="1055541818">
                      <w:marLeft w:val="0"/>
                      <w:marRight w:val="0"/>
                      <w:marTop w:val="0"/>
                      <w:marBottom w:val="0"/>
                      <w:divBdr>
                        <w:top w:val="none" w:sz="0" w:space="0" w:color="auto"/>
                        <w:left w:val="none" w:sz="0" w:space="0" w:color="auto"/>
                        <w:bottom w:val="none" w:sz="0" w:space="0" w:color="auto"/>
                        <w:right w:val="none" w:sz="0" w:space="0" w:color="auto"/>
                      </w:divBdr>
                    </w:div>
                    <w:div w:id="1086658285">
                      <w:marLeft w:val="0"/>
                      <w:marRight w:val="0"/>
                      <w:marTop w:val="0"/>
                      <w:marBottom w:val="0"/>
                      <w:divBdr>
                        <w:top w:val="none" w:sz="0" w:space="0" w:color="auto"/>
                        <w:left w:val="none" w:sz="0" w:space="0" w:color="auto"/>
                        <w:bottom w:val="none" w:sz="0" w:space="0" w:color="auto"/>
                        <w:right w:val="none" w:sz="0" w:space="0" w:color="auto"/>
                      </w:divBdr>
                    </w:div>
                  </w:divsChild>
                </w:div>
                <w:div w:id="372078863">
                  <w:marLeft w:val="0"/>
                  <w:marRight w:val="0"/>
                  <w:marTop w:val="0"/>
                  <w:marBottom w:val="0"/>
                  <w:divBdr>
                    <w:top w:val="none" w:sz="0" w:space="0" w:color="auto"/>
                    <w:left w:val="none" w:sz="0" w:space="0" w:color="auto"/>
                    <w:bottom w:val="none" w:sz="0" w:space="0" w:color="auto"/>
                    <w:right w:val="none" w:sz="0" w:space="0" w:color="auto"/>
                  </w:divBdr>
                  <w:divsChild>
                    <w:div w:id="379089615">
                      <w:marLeft w:val="0"/>
                      <w:marRight w:val="0"/>
                      <w:marTop w:val="0"/>
                      <w:marBottom w:val="0"/>
                      <w:divBdr>
                        <w:top w:val="none" w:sz="0" w:space="0" w:color="auto"/>
                        <w:left w:val="none" w:sz="0" w:space="0" w:color="auto"/>
                        <w:bottom w:val="none" w:sz="0" w:space="0" w:color="auto"/>
                        <w:right w:val="none" w:sz="0" w:space="0" w:color="auto"/>
                      </w:divBdr>
                    </w:div>
                  </w:divsChild>
                </w:div>
                <w:div w:id="377778305">
                  <w:marLeft w:val="0"/>
                  <w:marRight w:val="0"/>
                  <w:marTop w:val="0"/>
                  <w:marBottom w:val="0"/>
                  <w:divBdr>
                    <w:top w:val="none" w:sz="0" w:space="0" w:color="auto"/>
                    <w:left w:val="none" w:sz="0" w:space="0" w:color="auto"/>
                    <w:bottom w:val="none" w:sz="0" w:space="0" w:color="auto"/>
                    <w:right w:val="none" w:sz="0" w:space="0" w:color="auto"/>
                  </w:divBdr>
                  <w:divsChild>
                    <w:div w:id="100300972">
                      <w:marLeft w:val="0"/>
                      <w:marRight w:val="0"/>
                      <w:marTop w:val="0"/>
                      <w:marBottom w:val="0"/>
                      <w:divBdr>
                        <w:top w:val="none" w:sz="0" w:space="0" w:color="auto"/>
                        <w:left w:val="none" w:sz="0" w:space="0" w:color="auto"/>
                        <w:bottom w:val="none" w:sz="0" w:space="0" w:color="auto"/>
                        <w:right w:val="none" w:sz="0" w:space="0" w:color="auto"/>
                      </w:divBdr>
                    </w:div>
                  </w:divsChild>
                </w:div>
                <w:div w:id="422192488">
                  <w:marLeft w:val="0"/>
                  <w:marRight w:val="0"/>
                  <w:marTop w:val="0"/>
                  <w:marBottom w:val="0"/>
                  <w:divBdr>
                    <w:top w:val="none" w:sz="0" w:space="0" w:color="auto"/>
                    <w:left w:val="none" w:sz="0" w:space="0" w:color="auto"/>
                    <w:bottom w:val="none" w:sz="0" w:space="0" w:color="auto"/>
                    <w:right w:val="none" w:sz="0" w:space="0" w:color="auto"/>
                  </w:divBdr>
                  <w:divsChild>
                    <w:div w:id="1762413050">
                      <w:marLeft w:val="0"/>
                      <w:marRight w:val="0"/>
                      <w:marTop w:val="0"/>
                      <w:marBottom w:val="0"/>
                      <w:divBdr>
                        <w:top w:val="none" w:sz="0" w:space="0" w:color="auto"/>
                        <w:left w:val="none" w:sz="0" w:space="0" w:color="auto"/>
                        <w:bottom w:val="none" w:sz="0" w:space="0" w:color="auto"/>
                        <w:right w:val="none" w:sz="0" w:space="0" w:color="auto"/>
                      </w:divBdr>
                    </w:div>
                  </w:divsChild>
                </w:div>
                <w:div w:id="509682993">
                  <w:marLeft w:val="0"/>
                  <w:marRight w:val="0"/>
                  <w:marTop w:val="0"/>
                  <w:marBottom w:val="0"/>
                  <w:divBdr>
                    <w:top w:val="none" w:sz="0" w:space="0" w:color="auto"/>
                    <w:left w:val="none" w:sz="0" w:space="0" w:color="auto"/>
                    <w:bottom w:val="none" w:sz="0" w:space="0" w:color="auto"/>
                    <w:right w:val="none" w:sz="0" w:space="0" w:color="auto"/>
                  </w:divBdr>
                  <w:divsChild>
                    <w:div w:id="115221250">
                      <w:marLeft w:val="0"/>
                      <w:marRight w:val="0"/>
                      <w:marTop w:val="0"/>
                      <w:marBottom w:val="0"/>
                      <w:divBdr>
                        <w:top w:val="none" w:sz="0" w:space="0" w:color="auto"/>
                        <w:left w:val="none" w:sz="0" w:space="0" w:color="auto"/>
                        <w:bottom w:val="none" w:sz="0" w:space="0" w:color="auto"/>
                        <w:right w:val="none" w:sz="0" w:space="0" w:color="auto"/>
                      </w:divBdr>
                    </w:div>
                  </w:divsChild>
                </w:div>
                <w:div w:id="535235200">
                  <w:marLeft w:val="0"/>
                  <w:marRight w:val="0"/>
                  <w:marTop w:val="0"/>
                  <w:marBottom w:val="0"/>
                  <w:divBdr>
                    <w:top w:val="none" w:sz="0" w:space="0" w:color="auto"/>
                    <w:left w:val="none" w:sz="0" w:space="0" w:color="auto"/>
                    <w:bottom w:val="none" w:sz="0" w:space="0" w:color="auto"/>
                    <w:right w:val="none" w:sz="0" w:space="0" w:color="auto"/>
                  </w:divBdr>
                  <w:divsChild>
                    <w:div w:id="1560626862">
                      <w:marLeft w:val="0"/>
                      <w:marRight w:val="0"/>
                      <w:marTop w:val="0"/>
                      <w:marBottom w:val="0"/>
                      <w:divBdr>
                        <w:top w:val="none" w:sz="0" w:space="0" w:color="auto"/>
                        <w:left w:val="none" w:sz="0" w:space="0" w:color="auto"/>
                        <w:bottom w:val="none" w:sz="0" w:space="0" w:color="auto"/>
                        <w:right w:val="none" w:sz="0" w:space="0" w:color="auto"/>
                      </w:divBdr>
                    </w:div>
                  </w:divsChild>
                </w:div>
                <w:div w:id="565726533">
                  <w:marLeft w:val="0"/>
                  <w:marRight w:val="0"/>
                  <w:marTop w:val="0"/>
                  <w:marBottom w:val="0"/>
                  <w:divBdr>
                    <w:top w:val="none" w:sz="0" w:space="0" w:color="auto"/>
                    <w:left w:val="none" w:sz="0" w:space="0" w:color="auto"/>
                    <w:bottom w:val="none" w:sz="0" w:space="0" w:color="auto"/>
                    <w:right w:val="none" w:sz="0" w:space="0" w:color="auto"/>
                  </w:divBdr>
                  <w:divsChild>
                    <w:div w:id="55589619">
                      <w:marLeft w:val="0"/>
                      <w:marRight w:val="0"/>
                      <w:marTop w:val="0"/>
                      <w:marBottom w:val="0"/>
                      <w:divBdr>
                        <w:top w:val="none" w:sz="0" w:space="0" w:color="auto"/>
                        <w:left w:val="none" w:sz="0" w:space="0" w:color="auto"/>
                        <w:bottom w:val="none" w:sz="0" w:space="0" w:color="auto"/>
                        <w:right w:val="none" w:sz="0" w:space="0" w:color="auto"/>
                      </w:divBdr>
                    </w:div>
                    <w:div w:id="254869813">
                      <w:marLeft w:val="0"/>
                      <w:marRight w:val="0"/>
                      <w:marTop w:val="0"/>
                      <w:marBottom w:val="0"/>
                      <w:divBdr>
                        <w:top w:val="none" w:sz="0" w:space="0" w:color="auto"/>
                        <w:left w:val="none" w:sz="0" w:space="0" w:color="auto"/>
                        <w:bottom w:val="none" w:sz="0" w:space="0" w:color="auto"/>
                        <w:right w:val="none" w:sz="0" w:space="0" w:color="auto"/>
                      </w:divBdr>
                    </w:div>
                    <w:div w:id="1667055511">
                      <w:marLeft w:val="0"/>
                      <w:marRight w:val="0"/>
                      <w:marTop w:val="0"/>
                      <w:marBottom w:val="0"/>
                      <w:divBdr>
                        <w:top w:val="none" w:sz="0" w:space="0" w:color="auto"/>
                        <w:left w:val="none" w:sz="0" w:space="0" w:color="auto"/>
                        <w:bottom w:val="none" w:sz="0" w:space="0" w:color="auto"/>
                        <w:right w:val="none" w:sz="0" w:space="0" w:color="auto"/>
                      </w:divBdr>
                    </w:div>
                  </w:divsChild>
                </w:div>
                <w:div w:id="571308707">
                  <w:marLeft w:val="0"/>
                  <w:marRight w:val="0"/>
                  <w:marTop w:val="0"/>
                  <w:marBottom w:val="0"/>
                  <w:divBdr>
                    <w:top w:val="none" w:sz="0" w:space="0" w:color="auto"/>
                    <w:left w:val="none" w:sz="0" w:space="0" w:color="auto"/>
                    <w:bottom w:val="none" w:sz="0" w:space="0" w:color="auto"/>
                    <w:right w:val="none" w:sz="0" w:space="0" w:color="auto"/>
                  </w:divBdr>
                  <w:divsChild>
                    <w:div w:id="1444958968">
                      <w:marLeft w:val="0"/>
                      <w:marRight w:val="0"/>
                      <w:marTop w:val="0"/>
                      <w:marBottom w:val="0"/>
                      <w:divBdr>
                        <w:top w:val="none" w:sz="0" w:space="0" w:color="auto"/>
                        <w:left w:val="none" w:sz="0" w:space="0" w:color="auto"/>
                        <w:bottom w:val="none" w:sz="0" w:space="0" w:color="auto"/>
                        <w:right w:val="none" w:sz="0" w:space="0" w:color="auto"/>
                      </w:divBdr>
                    </w:div>
                    <w:div w:id="1483159048">
                      <w:marLeft w:val="0"/>
                      <w:marRight w:val="0"/>
                      <w:marTop w:val="0"/>
                      <w:marBottom w:val="0"/>
                      <w:divBdr>
                        <w:top w:val="none" w:sz="0" w:space="0" w:color="auto"/>
                        <w:left w:val="none" w:sz="0" w:space="0" w:color="auto"/>
                        <w:bottom w:val="none" w:sz="0" w:space="0" w:color="auto"/>
                        <w:right w:val="none" w:sz="0" w:space="0" w:color="auto"/>
                      </w:divBdr>
                    </w:div>
                  </w:divsChild>
                </w:div>
                <w:div w:id="751662854">
                  <w:marLeft w:val="0"/>
                  <w:marRight w:val="0"/>
                  <w:marTop w:val="0"/>
                  <w:marBottom w:val="0"/>
                  <w:divBdr>
                    <w:top w:val="none" w:sz="0" w:space="0" w:color="auto"/>
                    <w:left w:val="none" w:sz="0" w:space="0" w:color="auto"/>
                    <w:bottom w:val="none" w:sz="0" w:space="0" w:color="auto"/>
                    <w:right w:val="none" w:sz="0" w:space="0" w:color="auto"/>
                  </w:divBdr>
                  <w:divsChild>
                    <w:div w:id="1559321391">
                      <w:marLeft w:val="0"/>
                      <w:marRight w:val="0"/>
                      <w:marTop w:val="0"/>
                      <w:marBottom w:val="0"/>
                      <w:divBdr>
                        <w:top w:val="none" w:sz="0" w:space="0" w:color="auto"/>
                        <w:left w:val="none" w:sz="0" w:space="0" w:color="auto"/>
                        <w:bottom w:val="none" w:sz="0" w:space="0" w:color="auto"/>
                        <w:right w:val="none" w:sz="0" w:space="0" w:color="auto"/>
                      </w:divBdr>
                    </w:div>
                  </w:divsChild>
                </w:div>
                <w:div w:id="769862688">
                  <w:marLeft w:val="0"/>
                  <w:marRight w:val="0"/>
                  <w:marTop w:val="0"/>
                  <w:marBottom w:val="0"/>
                  <w:divBdr>
                    <w:top w:val="none" w:sz="0" w:space="0" w:color="auto"/>
                    <w:left w:val="none" w:sz="0" w:space="0" w:color="auto"/>
                    <w:bottom w:val="none" w:sz="0" w:space="0" w:color="auto"/>
                    <w:right w:val="none" w:sz="0" w:space="0" w:color="auto"/>
                  </w:divBdr>
                  <w:divsChild>
                    <w:div w:id="1827744882">
                      <w:marLeft w:val="0"/>
                      <w:marRight w:val="0"/>
                      <w:marTop w:val="0"/>
                      <w:marBottom w:val="0"/>
                      <w:divBdr>
                        <w:top w:val="none" w:sz="0" w:space="0" w:color="auto"/>
                        <w:left w:val="none" w:sz="0" w:space="0" w:color="auto"/>
                        <w:bottom w:val="none" w:sz="0" w:space="0" w:color="auto"/>
                        <w:right w:val="none" w:sz="0" w:space="0" w:color="auto"/>
                      </w:divBdr>
                    </w:div>
                  </w:divsChild>
                </w:div>
                <w:div w:id="781457956">
                  <w:marLeft w:val="0"/>
                  <w:marRight w:val="0"/>
                  <w:marTop w:val="0"/>
                  <w:marBottom w:val="0"/>
                  <w:divBdr>
                    <w:top w:val="none" w:sz="0" w:space="0" w:color="auto"/>
                    <w:left w:val="none" w:sz="0" w:space="0" w:color="auto"/>
                    <w:bottom w:val="none" w:sz="0" w:space="0" w:color="auto"/>
                    <w:right w:val="none" w:sz="0" w:space="0" w:color="auto"/>
                  </w:divBdr>
                  <w:divsChild>
                    <w:div w:id="584077432">
                      <w:marLeft w:val="0"/>
                      <w:marRight w:val="0"/>
                      <w:marTop w:val="0"/>
                      <w:marBottom w:val="0"/>
                      <w:divBdr>
                        <w:top w:val="none" w:sz="0" w:space="0" w:color="auto"/>
                        <w:left w:val="none" w:sz="0" w:space="0" w:color="auto"/>
                        <w:bottom w:val="none" w:sz="0" w:space="0" w:color="auto"/>
                        <w:right w:val="none" w:sz="0" w:space="0" w:color="auto"/>
                      </w:divBdr>
                    </w:div>
                  </w:divsChild>
                </w:div>
                <w:div w:id="813640327">
                  <w:marLeft w:val="0"/>
                  <w:marRight w:val="0"/>
                  <w:marTop w:val="0"/>
                  <w:marBottom w:val="0"/>
                  <w:divBdr>
                    <w:top w:val="none" w:sz="0" w:space="0" w:color="auto"/>
                    <w:left w:val="none" w:sz="0" w:space="0" w:color="auto"/>
                    <w:bottom w:val="none" w:sz="0" w:space="0" w:color="auto"/>
                    <w:right w:val="none" w:sz="0" w:space="0" w:color="auto"/>
                  </w:divBdr>
                  <w:divsChild>
                    <w:div w:id="1645617943">
                      <w:marLeft w:val="0"/>
                      <w:marRight w:val="0"/>
                      <w:marTop w:val="0"/>
                      <w:marBottom w:val="0"/>
                      <w:divBdr>
                        <w:top w:val="none" w:sz="0" w:space="0" w:color="auto"/>
                        <w:left w:val="none" w:sz="0" w:space="0" w:color="auto"/>
                        <w:bottom w:val="none" w:sz="0" w:space="0" w:color="auto"/>
                        <w:right w:val="none" w:sz="0" w:space="0" w:color="auto"/>
                      </w:divBdr>
                    </w:div>
                  </w:divsChild>
                </w:div>
                <w:div w:id="958805292">
                  <w:marLeft w:val="0"/>
                  <w:marRight w:val="0"/>
                  <w:marTop w:val="0"/>
                  <w:marBottom w:val="0"/>
                  <w:divBdr>
                    <w:top w:val="none" w:sz="0" w:space="0" w:color="auto"/>
                    <w:left w:val="none" w:sz="0" w:space="0" w:color="auto"/>
                    <w:bottom w:val="none" w:sz="0" w:space="0" w:color="auto"/>
                    <w:right w:val="none" w:sz="0" w:space="0" w:color="auto"/>
                  </w:divBdr>
                  <w:divsChild>
                    <w:div w:id="1098254531">
                      <w:marLeft w:val="0"/>
                      <w:marRight w:val="0"/>
                      <w:marTop w:val="0"/>
                      <w:marBottom w:val="0"/>
                      <w:divBdr>
                        <w:top w:val="none" w:sz="0" w:space="0" w:color="auto"/>
                        <w:left w:val="none" w:sz="0" w:space="0" w:color="auto"/>
                        <w:bottom w:val="none" w:sz="0" w:space="0" w:color="auto"/>
                        <w:right w:val="none" w:sz="0" w:space="0" w:color="auto"/>
                      </w:divBdr>
                    </w:div>
                  </w:divsChild>
                </w:div>
                <w:div w:id="976379412">
                  <w:marLeft w:val="0"/>
                  <w:marRight w:val="0"/>
                  <w:marTop w:val="0"/>
                  <w:marBottom w:val="0"/>
                  <w:divBdr>
                    <w:top w:val="none" w:sz="0" w:space="0" w:color="auto"/>
                    <w:left w:val="none" w:sz="0" w:space="0" w:color="auto"/>
                    <w:bottom w:val="none" w:sz="0" w:space="0" w:color="auto"/>
                    <w:right w:val="none" w:sz="0" w:space="0" w:color="auto"/>
                  </w:divBdr>
                  <w:divsChild>
                    <w:div w:id="711686828">
                      <w:marLeft w:val="0"/>
                      <w:marRight w:val="0"/>
                      <w:marTop w:val="0"/>
                      <w:marBottom w:val="0"/>
                      <w:divBdr>
                        <w:top w:val="none" w:sz="0" w:space="0" w:color="auto"/>
                        <w:left w:val="none" w:sz="0" w:space="0" w:color="auto"/>
                        <w:bottom w:val="none" w:sz="0" w:space="0" w:color="auto"/>
                        <w:right w:val="none" w:sz="0" w:space="0" w:color="auto"/>
                      </w:divBdr>
                    </w:div>
                  </w:divsChild>
                </w:div>
                <w:div w:id="1032194194">
                  <w:marLeft w:val="0"/>
                  <w:marRight w:val="0"/>
                  <w:marTop w:val="0"/>
                  <w:marBottom w:val="0"/>
                  <w:divBdr>
                    <w:top w:val="none" w:sz="0" w:space="0" w:color="auto"/>
                    <w:left w:val="none" w:sz="0" w:space="0" w:color="auto"/>
                    <w:bottom w:val="none" w:sz="0" w:space="0" w:color="auto"/>
                    <w:right w:val="none" w:sz="0" w:space="0" w:color="auto"/>
                  </w:divBdr>
                  <w:divsChild>
                    <w:div w:id="893198990">
                      <w:marLeft w:val="0"/>
                      <w:marRight w:val="0"/>
                      <w:marTop w:val="0"/>
                      <w:marBottom w:val="0"/>
                      <w:divBdr>
                        <w:top w:val="none" w:sz="0" w:space="0" w:color="auto"/>
                        <w:left w:val="none" w:sz="0" w:space="0" w:color="auto"/>
                        <w:bottom w:val="none" w:sz="0" w:space="0" w:color="auto"/>
                        <w:right w:val="none" w:sz="0" w:space="0" w:color="auto"/>
                      </w:divBdr>
                    </w:div>
                  </w:divsChild>
                </w:div>
                <w:div w:id="1071928735">
                  <w:marLeft w:val="0"/>
                  <w:marRight w:val="0"/>
                  <w:marTop w:val="0"/>
                  <w:marBottom w:val="0"/>
                  <w:divBdr>
                    <w:top w:val="none" w:sz="0" w:space="0" w:color="auto"/>
                    <w:left w:val="none" w:sz="0" w:space="0" w:color="auto"/>
                    <w:bottom w:val="none" w:sz="0" w:space="0" w:color="auto"/>
                    <w:right w:val="none" w:sz="0" w:space="0" w:color="auto"/>
                  </w:divBdr>
                  <w:divsChild>
                    <w:div w:id="196357131">
                      <w:marLeft w:val="0"/>
                      <w:marRight w:val="0"/>
                      <w:marTop w:val="0"/>
                      <w:marBottom w:val="0"/>
                      <w:divBdr>
                        <w:top w:val="none" w:sz="0" w:space="0" w:color="auto"/>
                        <w:left w:val="none" w:sz="0" w:space="0" w:color="auto"/>
                        <w:bottom w:val="none" w:sz="0" w:space="0" w:color="auto"/>
                        <w:right w:val="none" w:sz="0" w:space="0" w:color="auto"/>
                      </w:divBdr>
                    </w:div>
                  </w:divsChild>
                </w:div>
                <w:div w:id="1113597385">
                  <w:marLeft w:val="0"/>
                  <w:marRight w:val="0"/>
                  <w:marTop w:val="0"/>
                  <w:marBottom w:val="0"/>
                  <w:divBdr>
                    <w:top w:val="none" w:sz="0" w:space="0" w:color="auto"/>
                    <w:left w:val="none" w:sz="0" w:space="0" w:color="auto"/>
                    <w:bottom w:val="none" w:sz="0" w:space="0" w:color="auto"/>
                    <w:right w:val="none" w:sz="0" w:space="0" w:color="auto"/>
                  </w:divBdr>
                  <w:divsChild>
                    <w:div w:id="720860867">
                      <w:marLeft w:val="0"/>
                      <w:marRight w:val="0"/>
                      <w:marTop w:val="0"/>
                      <w:marBottom w:val="0"/>
                      <w:divBdr>
                        <w:top w:val="none" w:sz="0" w:space="0" w:color="auto"/>
                        <w:left w:val="none" w:sz="0" w:space="0" w:color="auto"/>
                        <w:bottom w:val="none" w:sz="0" w:space="0" w:color="auto"/>
                        <w:right w:val="none" w:sz="0" w:space="0" w:color="auto"/>
                      </w:divBdr>
                    </w:div>
                  </w:divsChild>
                </w:div>
                <w:div w:id="1156804559">
                  <w:marLeft w:val="0"/>
                  <w:marRight w:val="0"/>
                  <w:marTop w:val="0"/>
                  <w:marBottom w:val="0"/>
                  <w:divBdr>
                    <w:top w:val="none" w:sz="0" w:space="0" w:color="auto"/>
                    <w:left w:val="none" w:sz="0" w:space="0" w:color="auto"/>
                    <w:bottom w:val="none" w:sz="0" w:space="0" w:color="auto"/>
                    <w:right w:val="none" w:sz="0" w:space="0" w:color="auto"/>
                  </w:divBdr>
                  <w:divsChild>
                    <w:div w:id="1299259282">
                      <w:marLeft w:val="0"/>
                      <w:marRight w:val="0"/>
                      <w:marTop w:val="0"/>
                      <w:marBottom w:val="0"/>
                      <w:divBdr>
                        <w:top w:val="none" w:sz="0" w:space="0" w:color="auto"/>
                        <w:left w:val="none" w:sz="0" w:space="0" w:color="auto"/>
                        <w:bottom w:val="none" w:sz="0" w:space="0" w:color="auto"/>
                        <w:right w:val="none" w:sz="0" w:space="0" w:color="auto"/>
                      </w:divBdr>
                    </w:div>
                  </w:divsChild>
                </w:div>
                <w:div w:id="1214467592">
                  <w:marLeft w:val="0"/>
                  <w:marRight w:val="0"/>
                  <w:marTop w:val="0"/>
                  <w:marBottom w:val="0"/>
                  <w:divBdr>
                    <w:top w:val="none" w:sz="0" w:space="0" w:color="auto"/>
                    <w:left w:val="none" w:sz="0" w:space="0" w:color="auto"/>
                    <w:bottom w:val="none" w:sz="0" w:space="0" w:color="auto"/>
                    <w:right w:val="none" w:sz="0" w:space="0" w:color="auto"/>
                  </w:divBdr>
                  <w:divsChild>
                    <w:div w:id="1938441293">
                      <w:marLeft w:val="0"/>
                      <w:marRight w:val="0"/>
                      <w:marTop w:val="0"/>
                      <w:marBottom w:val="0"/>
                      <w:divBdr>
                        <w:top w:val="none" w:sz="0" w:space="0" w:color="auto"/>
                        <w:left w:val="none" w:sz="0" w:space="0" w:color="auto"/>
                        <w:bottom w:val="none" w:sz="0" w:space="0" w:color="auto"/>
                        <w:right w:val="none" w:sz="0" w:space="0" w:color="auto"/>
                      </w:divBdr>
                    </w:div>
                  </w:divsChild>
                </w:div>
                <w:div w:id="1311710581">
                  <w:marLeft w:val="0"/>
                  <w:marRight w:val="0"/>
                  <w:marTop w:val="0"/>
                  <w:marBottom w:val="0"/>
                  <w:divBdr>
                    <w:top w:val="none" w:sz="0" w:space="0" w:color="auto"/>
                    <w:left w:val="none" w:sz="0" w:space="0" w:color="auto"/>
                    <w:bottom w:val="none" w:sz="0" w:space="0" w:color="auto"/>
                    <w:right w:val="none" w:sz="0" w:space="0" w:color="auto"/>
                  </w:divBdr>
                  <w:divsChild>
                    <w:div w:id="1022245400">
                      <w:marLeft w:val="0"/>
                      <w:marRight w:val="0"/>
                      <w:marTop w:val="0"/>
                      <w:marBottom w:val="0"/>
                      <w:divBdr>
                        <w:top w:val="none" w:sz="0" w:space="0" w:color="auto"/>
                        <w:left w:val="none" w:sz="0" w:space="0" w:color="auto"/>
                        <w:bottom w:val="none" w:sz="0" w:space="0" w:color="auto"/>
                        <w:right w:val="none" w:sz="0" w:space="0" w:color="auto"/>
                      </w:divBdr>
                    </w:div>
                  </w:divsChild>
                </w:div>
                <w:div w:id="1352293732">
                  <w:marLeft w:val="0"/>
                  <w:marRight w:val="0"/>
                  <w:marTop w:val="0"/>
                  <w:marBottom w:val="0"/>
                  <w:divBdr>
                    <w:top w:val="none" w:sz="0" w:space="0" w:color="auto"/>
                    <w:left w:val="none" w:sz="0" w:space="0" w:color="auto"/>
                    <w:bottom w:val="none" w:sz="0" w:space="0" w:color="auto"/>
                    <w:right w:val="none" w:sz="0" w:space="0" w:color="auto"/>
                  </w:divBdr>
                  <w:divsChild>
                    <w:div w:id="1352142124">
                      <w:marLeft w:val="0"/>
                      <w:marRight w:val="0"/>
                      <w:marTop w:val="0"/>
                      <w:marBottom w:val="0"/>
                      <w:divBdr>
                        <w:top w:val="none" w:sz="0" w:space="0" w:color="auto"/>
                        <w:left w:val="none" w:sz="0" w:space="0" w:color="auto"/>
                        <w:bottom w:val="none" w:sz="0" w:space="0" w:color="auto"/>
                        <w:right w:val="none" w:sz="0" w:space="0" w:color="auto"/>
                      </w:divBdr>
                    </w:div>
                  </w:divsChild>
                </w:div>
                <w:div w:id="1443720530">
                  <w:marLeft w:val="0"/>
                  <w:marRight w:val="0"/>
                  <w:marTop w:val="0"/>
                  <w:marBottom w:val="0"/>
                  <w:divBdr>
                    <w:top w:val="none" w:sz="0" w:space="0" w:color="auto"/>
                    <w:left w:val="none" w:sz="0" w:space="0" w:color="auto"/>
                    <w:bottom w:val="none" w:sz="0" w:space="0" w:color="auto"/>
                    <w:right w:val="none" w:sz="0" w:space="0" w:color="auto"/>
                  </w:divBdr>
                  <w:divsChild>
                    <w:div w:id="706486603">
                      <w:marLeft w:val="0"/>
                      <w:marRight w:val="0"/>
                      <w:marTop w:val="0"/>
                      <w:marBottom w:val="0"/>
                      <w:divBdr>
                        <w:top w:val="none" w:sz="0" w:space="0" w:color="auto"/>
                        <w:left w:val="none" w:sz="0" w:space="0" w:color="auto"/>
                        <w:bottom w:val="none" w:sz="0" w:space="0" w:color="auto"/>
                        <w:right w:val="none" w:sz="0" w:space="0" w:color="auto"/>
                      </w:divBdr>
                    </w:div>
                  </w:divsChild>
                </w:div>
                <w:div w:id="1515145240">
                  <w:marLeft w:val="0"/>
                  <w:marRight w:val="0"/>
                  <w:marTop w:val="0"/>
                  <w:marBottom w:val="0"/>
                  <w:divBdr>
                    <w:top w:val="none" w:sz="0" w:space="0" w:color="auto"/>
                    <w:left w:val="none" w:sz="0" w:space="0" w:color="auto"/>
                    <w:bottom w:val="none" w:sz="0" w:space="0" w:color="auto"/>
                    <w:right w:val="none" w:sz="0" w:space="0" w:color="auto"/>
                  </w:divBdr>
                  <w:divsChild>
                    <w:div w:id="1780760920">
                      <w:marLeft w:val="0"/>
                      <w:marRight w:val="0"/>
                      <w:marTop w:val="0"/>
                      <w:marBottom w:val="0"/>
                      <w:divBdr>
                        <w:top w:val="none" w:sz="0" w:space="0" w:color="auto"/>
                        <w:left w:val="none" w:sz="0" w:space="0" w:color="auto"/>
                        <w:bottom w:val="none" w:sz="0" w:space="0" w:color="auto"/>
                        <w:right w:val="none" w:sz="0" w:space="0" w:color="auto"/>
                      </w:divBdr>
                    </w:div>
                  </w:divsChild>
                </w:div>
                <w:div w:id="1527715040">
                  <w:marLeft w:val="0"/>
                  <w:marRight w:val="0"/>
                  <w:marTop w:val="0"/>
                  <w:marBottom w:val="0"/>
                  <w:divBdr>
                    <w:top w:val="none" w:sz="0" w:space="0" w:color="auto"/>
                    <w:left w:val="none" w:sz="0" w:space="0" w:color="auto"/>
                    <w:bottom w:val="none" w:sz="0" w:space="0" w:color="auto"/>
                    <w:right w:val="none" w:sz="0" w:space="0" w:color="auto"/>
                  </w:divBdr>
                  <w:divsChild>
                    <w:div w:id="597908919">
                      <w:marLeft w:val="0"/>
                      <w:marRight w:val="0"/>
                      <w:marTop w:val="0"/>
                      <w:marBottom w:val="0"/>
                      <w:divBdr>
                        <w:top w:val="none" w:sz="0" w:space="0" w:color="auto"/>
                        <w:left w:val="none" w:sz="0" w:space="0" w:color="auto"/>
                        <w:bottom w:val="none" w:sz="0" w:space="0" w:color="auto"/>
                        <w:right w:val="none" w:sz="0" w:space="0" w:color="auto"/>
                      </w:divBdr>
                    </w:div>
                  </w:divsChild>
                </w:div>
                <w:div w:id="1616130551">
                  <w:marLeft w:val="0"/>
                  <w:marRight w:val="0"/>
                  <w:marTop w:val="0"/>
                  <w:marBottom w:val="0"/>
                  <w:divBdr>
                    <w:top w:val="none" w:sz="0" w:space="0" w:color="auto"/>
                    <w:left w:val="none" w:sz="0" w:space="0" w:color="auto"/>
                    <w:bottom w:val="none" w:sz="0" w:space="0" w:color="auto"/>
                    <w:right w:val="none" w:sz="0" w:space="0" w:color="auto"/>
                  </w:divBdr>
                  <w:divsChild>
                    <w:div w:id="1252618891">
                      <w:marLeft w:val="0"/>
                      <w:marRight w:val="0"/>
                      <w:marTop w:val="0"/>
                      <w:marBottom w:val="0"/>
                      <w:divBdr>
                        <w:top w:val="none" w:sz="0" w:space="0" w:color="auto"/>
                        <w:left w:val="none" w:sz="0" w:space="0" w:color="auto"/>
                        <w:bottom w:val="none" w:sz="0" w:space="0" w:color="auto"/>
                        <w:right w:val="none" w:sz="0" w:space="0" w:color="auto"/>
                      </w:divBdr>
                    </w:div>
                    <w:div w:id="1681156846">
                      <w:marLeft w:val="0"/>
                      <w:marRight w:val="0"/>
                      <w:marTop w:val="0"/>
                      <w:marBottom w:val="0"/>
                      <w:divBdr>
                        <w:top w:val="none" w:sz="0" w:space="0" w:color="auto"/>
                        <w:left w:val="none" w:sz="0" w:space="0" w:color="auto"/>
                        <w:bottom w:val="none" w:sz="0" w:space="0" w:color="auto"/>
                        <w:right w:val="none" w:sz="0" w:space="0" w:color="auto"/>
                      </w:divBdr>
                    </w:div>
                  </w:divsChild>
                </w:div>
                <w:div w:id="1616332040">
                  <w:marLeft w:val="0"/>
                  <w:marRight w:val="0"/>
                  <w:marTop w:val="0"/>
                  <w:marBottom w:val="0"/>
                  <w:divBdr>
                    <w:top w:val="none" w:sz="0" w:space="0" w:color="auto"/>
                    <w:left w:val="none" w:sz="0" w:space="0" w:color="auto"/>
                    <w:bottom w:val="none" w:sz="0" w:space="0" w:color="auto"/>
                    <w:right w:val="none" w:sz="0" w:space="0" w:color="auto"/>
                  </w:divBdr>
                  <w:divsChild>
                    <w:div w:id="1755468828">
                      <w:marLeft w:val="0"/>
                      <w:marRight w:val="0"/>
                      <w:marTop w:val="0"/>
                      <w:marBottom w:val="0"/>
                      <w:divBdr>
                        <w:top w:val="none" w:sz="0" w:space="0" w:color="auto"/>
                        <w:left w:val="none" w:sz="0" w:space="0" w:color="auto"/>
                        <w:bottom w:val="none" w:sz="0" w:space="0" w:color="auto"/>
                        <w:right w:val="none" w:sz="0" w:space="0" w:color="auto"/>
                      </w:divBdr>
                    </w:div>
                  </w:divsChild>
                </w:div>
                <w:div w:id="1719358360">
                  <w:marLeft w:val="0"/>
                  <w:marRight w:val="0"/>
                  <w:marTop w:val="0"/>
                  <w:marBottom w:val="0"/>
                  <w:divBdr>
                    <w:top w:val="none" w:sz="0" w:space="0" w:color="auto"/>
                    <w:left w:val="none" w:sz="0" w:space="0" w:color="auto"/>
                    <w:bottom w:val="none" w:sz="0" w:space="0" w:color="auto"/>
                    <w:right w:val="none" w:sz="0" w:space="0" w:color="auto"/>
                  </w:divBdr>
                  <w:divsChild>
                    <w:div w:id="159279811">
                      <w:marLeft w:val="0"/>
                      <w:marRight w:val="0"/>
                      <w:marTop w:val="0"/>
                      <w:marBottom w:val="0"/>
                      <w:divBdr>
                        <w:top w:val="none" w:sz="0" w:space="0" w:color="auto"/>
                        <w:left w:val="none" w:sz="0" w:space="0" w:color="auto"/>
                        <w:bottom w:val="none" w:sz="0" w:space="0" w:color="auto"/>
                        <w:right w:val="none" w:sz="0" w:space="0" w:color="auto"/>
                      </w:divBdr>
                    </w:div>
                  </w:divsChild>
                </w:div>
                <w:div w:id="1820144912">
                  <w:marLeft w:val="0"/>
                  <w:marRight w:val="0"/>
                  <w:marTop w:val="0"/>
                  <w:marBottom w:val="0"/>
                  <w:divBdr>
                    <w:top w:val="none" w:sz="0" w:space="0" w:color="auto"/>
                    <w:left w:val="none" w:sz="0" w:space="0" w:color="auto"/>
                    <w:bottom w:val="none" w:sz="0" w:space="0" w:color="auto"/>
                    <w:right w:val="none" w:sz="0" w:space="0" w:color="auto"/>
                  </w:divBdr>
                  <w:divsChild>
                    <w:div w:id="1470438435">
                      <w:marLeft w:val="0"/>
                      <w:marRight w:val="0"/>
                      <w:marTop w:val="0"/>
                      <w:marBottom w:val="0"/>
                      <w:divBdr>
                        <w:top w:val="none" w:sz="0" w:space="0" w:color="auto"/>
                        <w:left w:val="none" w:sz="0" w:space="0" w:color="auto"/>
                        <w:bottom w:val="none" w:sz="0" w:space="0" w:color="auto"/>
                        <w:right w:val="none" w:sz="0" w:space="0" w:color="auto"/>
                      </w:divBdr>
                    </w:div>
                  </w:divsChild>
                </w:div>
                <w:div w:id="1837113097">
                  <w:marLeft w:val="0"/>
                  <w:marRight w:val="0"/>
                  <w:marTop w:val="0"/>
                  <w:marBottom w:val="0"/>
                  <w:divBdr>
                    <w:top w:val="none" w:sz="0" w:space="0" w:color="auto"/>
                    <w:left w:val="none" w:sz="0" w:space="0" w:color="auto"/>
                    <w:bottom w:val="none" w:sz="0" w:space="0" w:color="auto"/>
                    <w:right w:val="none" w:sz="0" w:space="0" w:color="auto"/>
                  </w:divBdr>
                  <w:divsChild>
                    <w:div w:id="1288312926">
                      <w:marLeft w:val="0"/>
                      <w:marRight w:val="0"/>
                      <w:marTop w:val="0"/>
                      <w:marBottom w:val="0"/>
                      <w:divBdr>
                        <w:top w:val="none" w:sz="0" w:space="0" w:color="auto"/>
                        <w:left w:val="none" w:sz="0" w:space="0" w:color="auto"/>
                        <w:bottom w:val="none" w:sz="0" w:space="0" w:color="auto"/>
                        <w:right w:val="none" w:sz="0" w:space="0" w:color="auto"/>
                      </w:divBdr>
                    </w:div>
                  </w:divsChild>
                </w:div>
                <w:div w:id="1860926727">
                  <w:marLeft w:val="0"/>
                  <w:marRight w:val="0"/>
                  <w:marTop w:val="0"/>
                  <w:marBottom w:val="0"/>
                  <w:divBdr>
                    <w:top w:val="none" w:sz="0" w:space="0" w:color="auto"/>
                    <w:left w:val="none" w:sz="0" w:space="0" w:color="auto"/>
                    <w:bottom w:val="none" w:sz="0" w:space="0" w:color="auto"/>
                    <w:right w:val="none" w:sz="0" w:space="0" w:color="auto"/>
                  </w:divBdr>
                  <w:divsChild>
                    <w:div w:id="106435094">
                      <w:marLeft w:val="0"/>
                      <w:marRight w:val="0"/>
                      <w:marTop w:val="0"/>
                      <w:marBottom w:val="0"/>
                      <w:divBdr>
                        <w:top w:val="none" w:sz="0" w:space="0" w:color="auto"/>
                        <w:left w:val="none" w:sz="0" w:space="0" w:color="auto"/>
                        <w:bottom w:val="none" w:sz="0" w:space="0" w:color="auto"/>
                        <w:right w:val="none" w:sz="0" w:space="0" w:color="auto"/>
                      </w:divBdr>
                    </w:div>
                  </w:divsChild>
                </w:div>
                <w:div w:id="1880776400">
                  <w:marLeft w:val="0"/>
                  <w:marRight w:val="0"/>
                  <w:marTop w:val="0"/>
                  <w:marBottom w:val="0"/>
                  <w:divBdr>
                    <w:top w:val="none" w:sz="0" w:space="0" w:color="auto"/>
                    <w:left w:val="none" w:sz="0" w:space="0" w:color="auto"/>
                    <w:bottom w:val="none" w:sz="0" w:space="0" w:color="auto"/>
                    <w:right w:val="none" w:sz="0" w:space="0" w:color="auto"/>
                  </w:divBdr>
                  <w:divsChild>
                    <w:div w:id="1776292865">
                      <w:marLeft w:val="0"/>
                      <w:marRight w:val="0"/>
                      <w:marTop w:val="0"/>
                      <w:marBottom w:val="0"/>
                      <w:divBdr>
                        <w:top w:val="none" w:sz="0" w:space="0" w:color="auto"/>
                        <w:left w:val="none" w:sz="0" w:space="0" w:color="auto"/>
                        <w:bottom w:val="none" w:sz="0" w:space="0" w:color="auto"/>
                        <w:right w:val="none" w:sz="0" w:space="0" w:color="auto"/>
                      </w:divBdr>
                    </w:div>
                  </w:divsChild>
                </w:div>
                <w:div w:id="1930694510">
                  <w:marLeft w:val="0"/>
                  <w:marRight w:val="0"/>
                  <w:marTop w:val="0"/>
                  <w:marBottom w:val="0"/>
                  <w:divBdr>
                    <w:top w:val="none" w:sz="0" w:space="0" w:color="auto"/>
                    <w:left w:val="none" w:sz="0" w:space="0" w:color="auto"/>
                    <w:bottom w:val="none" w:sz="0" w:space="0" w:color="auto"/>
                    <w:right w:val="none" w:sz="0" w:space="0" w:color="auto"/>
                  </w:divBdr>
                  <w:divsChild>
                    <w:div w:id="70351997">
                      <w:marLeft w:val="0"/>
                      <w:marRight w:val="0"/>
                      <w:marTop w:val="0"/>
                      <w:marBottom w:val="0"/>
                      <w:divBdr>
                        <w:top w:val="none" w:sz="0" w:space="0" w:color="auto"/>
                        <w:left w:val="none" w:sz="0" w:space="0" w:color="auto"/>
                        <w:bottom w:val="none" w:sz="0" w:space="0" w:color="auto"/>
                        <w:right w:val="none" w:sz="0" w:space="0" w:color="auto"/>
                      </w:divBdr>
                    </w:div>
                  </w:divsChild>
                </w:div>
                <w:div w:id="2005470325">
                  <w:marLeft w:val="0"/>
                  <w:marRight w:val="0"/>
                  <w:marTop w:val="0"/>
                  <w:marBottom w:val="0"/>
                  <w:divBdr>
                    <w:top w:val="none" w:sz="0" w:space="0" w:color="auto"/>
                    <w:left w:val="none" w:sz="0" w:space="0" w:color="auto"/>
                    <w:bottom w:val="none" w:sz="0" w:space="0" w:color="auto"/>
                    <w:right w:val="none" w:sz="0" w:space="0" w:color="auto"/>
                  </w:divBdr>
                  <w:divsChild>
                    <w:div w:id="25911569">
                      <w:marLeft w:val="0"/>
                      <w:marRight w:val="0"/>
                      <w:marTop w:val="0"/>
                      <w:marBottom w:val="0"/>
                      <w:divBdr>
                        <w:top w:val="none" w:sz="0" w:space="0" w:color="auto"/>
                        <w:left w:val="none" w:sz="0" w:space="0" w:color="auto"/>
                        <w:bottom w:val="none" w:sz="0" w:space="0" w:color="auto"/>
                        <w:right w:val="none" w:sz="0" w:space="0" w:color="auto"/>
                      </w:divBdr>
                    </w:div>
                  </w:divsChild>
                </w:div>
                <w:div w:id="2032341956">
                  <w:marLeft w:val="0"/>
                  <w:marRight w:val="0"/>
                  <w:marTop w:val="0"/>
                  <w:marBottom w:val="0"/>
                  <w:divBdr>
                    <w:top w:val="none" w:sz="0" w:space="0" w:color="auto"/>
                    <w:left w:val="none" w:sz="0" w:space="0" w:color="auto"/>
                    <w:bottom w:val="none" w:sz="0" w:space="0" w:color="auto"/>
                    <w:right w:val="none" w:sz="0" w:space="0" w:color="auto"/>
                  </w:divBdr>
                  <w:divsChild>
                    <w:div w:id="2064134300">
                      <w:marLeft w:val="0"/>
                      <w:marRight w:val="0"/>
                      <w:marTop w:val="0"/>
                      <w:marBottom w:val="0"/>
                      <w:divBdr>
                        <w:top w:val="none" w:sz="0" w:space="0" w:color="auto"/>
                        <w:left w:val="none" w:sz="0" w:space="0" w:color="auto"/>
                        <w:bottom w:val="none" w:sz="0" w:space="0" w:color="auto"/>
                        <w:right w:val="none" w:sz="0" w:space="0" w:color="auto"/>
                      </w:divBdr>
                    </w:div>
                  </w:divsChild>
                </w:div>
                <w:div w:id="2090156951">
                  <w:marLeft w:val="0"/>
                  <w:marRight w:val="0"/>
                  <w:marTop w:val="0"/>
                  <w:marBottom w:val="0"/>
                  <w:divBdr>
                    <w:top w:val="none" w:sz="0" w:space="0" w:color="auto"/>
                    <w:left w:val="none" w:sz="0" w:space="0" w:color="auto"/>
                    <w:bottom w:val="none" w:sz="0" w:space="0" w:color="auto"/>
                    <w:right w:val="none" w:sz="0" w:space="0" w:color="auto"/>
                  </w:divBdr>
                  <w:divsChild>
                    <w:div w:id="224800337">
                      <w:marLeft w:val="0"/>
                      <w:marRight w:val="0"/>
                      <w:marTop w:val="0"/>
                      <w:marBottom w:val="0"/>
                      <w:divBdr>
                        <w:top w:val="none" w:sz="0" w:space="0" w:color="auto"/>
                        <w:left w:val="none" w:sz="0" w:space="0" w:color="auto"/>
                        <w:bottom w:val="none" w:sz="0" w:space="0" w:color="auto"/>
                        <w:right w:val="none" w:sz="0" w:space="0" w:color="auto"/>
                      </w:divBdr>
                    </w:div>
                  </w:divsChild>
                </w:div>
                <w:div w:id="2119836231">
                  <w:marLeft w:val="0"/>
                  <w:marRight w:val="0"/>
                  <w:marTop w:val="0"/>
                  <w:marBottom w:val="0"/>
                  <w:divBdr>
                    <w:top w:val="none" w:sz="0" w:space="0" w:color="auto"/>
                    <w:left w:val="none" w:sz="0" w:space="0" w:color="auto"/>
                    <w:bottom w:val="none" w:sz="0" w:space="0" w:color="auto"/>
                    <w:right w:val="none" w:sz="0" w:space="0" w:color="auto"/>
                  </w:divBdr>
                  <w:divsChild>
                    <w:div w:id="2065714301">
                      <w:marLeft w:val="0"/>
                      <w:marRight w:val="0"/>
                      <w:marTop w:val="0"/>
                      <w:marBottom w:val="0"/>
                      <w:divBdr>
                        <w:top w:val="none" w:sz="0" w:space="0" w:color="auto"/>
                        <w:left w:val="none" w:sz="0" w:space="0" w:color="auto"/>
                        <w:bottom w:val="none" w:sz="0" w:space="0" w:color="auto"/>
                        <w:right w:val="none" w:sz="0" w:space="0" w:color="auto"/>
                      </w:divBdr>
                    </w:div>
                  </w:divsChild>
                </w:div>
                <w:div w:id="2139295952">
                  <w:marLeft w:val="0"/>
                  <w:marRight w:val="0"/>
                  <w:marTop w:val="0"/>
                  <w:marBottom w:val="0"/>
                  <w:divBdr>
                    <w:top w:val="none" w:sz="0" w:space="0" w:color="auto"/>
                    <w:left w:val="none" w:sz="0" w:space="0" w:color="auto"/>
                    <w:bottom w:val="none" w:sz="0" w:space="0" w:color="auto"/>
                    <w:right w:val="none" w:sz="0" w:space="0" w:color="auto"/>
                  </w:divBdr>
                  <w:divsChild>
                    <w:div w:id="1420641435">
                      <w:marLeft w:val="0"/>
                      <w:marRight w:val="0"/>
                      <w:marTop w:val="0"/>
                      <w:marBottom w:val="0"/>
                      <w:divBdr>
                        <w:top w:val="none" w:sz="0" w:space="0" w:color="auto"/>
                        <w:left w:val="none" w:sz="0" w:space="0" w:color="auto"/>
                        <w:bottom w:val="none" w:sz="0" w:space="0" w:color="auto"/>
                        <w:right w:val="none" w:sz="0" w:space="0" w:color="auto"/>
                      </w:divBdr>
                    </w:div>
                  </w:divsChild>
                </w:div>
                <w:div w:id="2143033018">
                  <w:marLeft w:val="0"/>
                  <w:marRight w:val="0"/>
                  <w:marTop w:val="0"/>
                  <w:marBottom w:val="0"/>
                  <w:divBdr>
                    <w:top w:val="none" w:sz="0" w:space="0" w:color="auto"/>
                    <w:left w:val="none" w:sz="0" w:space="0" w:color="auto"/>
                    <w:bottom w:val="none" w:sz="0" w:space="0" w:color="auto"/>
                    <w:right w:val="none" w:sz="0" w:space="0" w:color="auto"/>
                  </w:divBdr>
                  <w:divsChild>
                    <w:div w:id="92595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504229">
          <w:marLeft w:val="0"/>
          <w:marRight w:val="0"/>
          <w:marTop w:val="0"/>
          <w:marBottom w:val="0"/>
          <w:divBdr>
            <w:top w:val="none" w:sz="0" w:space="0" w:color="auto"/>
            <w:left w:val="none" w:sz="0" w:space="0" w:color="auto"/>
            <w:bottom w:val="none" w:sz="0" w:space="0" w:color="auto"/>
            <w:right w:val="none" w:sz="0" w:space="0" w:color="auto"/>
          </w:divBdr>
        </w:div>
      </w:divsChild>
    </w:div>
    <w:div w:id="2042392562">
      <w:bodyDiv w:val="1"/>
      <w:marLeft w:val="0"/>
      <w:marRight w:val="0"/>
      <w:marTop w:val="0"/>
      <w:marBottom w:val="0"/>
      <w:divBdr>
        <w:top w:val="none" w:sz="0" w:space="0" w:color="auto"/>
        <w:left w:val="none" w:sz="0" w:space="0" w:color="auto"/>
        <w:bottom w:val="none" w:sz="0" w:space="0" w:color="auto"/>
        <w:right w:val="none" w:sz="0" w:space="0" w:color="auto"/>
      </w:divBdr>
    </w:div>
    <w:div w:id="2075426541">
      <w:bodyDiv w:val="1"/>
      <w:marLeft w:val="0"/>
      <w:marRight w:val="0"/>
      <w:marTop w:val="0"/>
      <w:marBottom w:val="0"/>
      <w:divBdr>
        <w:top w:val="none" w:sz="0" w:space="0" w:color="auto"/>
        <w:left w:val="none" w:sz="0" w:space="0" w:color="auto"/>
        <w:bottom w:val="none" w:sz="0" w:space="0" w:color="auto"/>
        <w:right w:val="none" w:sz="0" w:space="0" w:color="auto"/>
      </w:divBdr>
      <w:divsChild>
        <w:div w:id="775710595">
          <w:marLeft w:val="0"/>
          <w:marRight w:val="0"/>
          <w:marTop w:val="0"/>
          <w:marBottom w:val="0"/>
          <w:divBdr>
            <w:top w:val="none" w:sz="0" w:space="0" w:color="auto"/>
            <w:left w:val="none" w:sz="0" w:space="0" w:color="auto"/>
            <w:bottom w:val="none" w:sz="0" w:space="0" w:color="auto"/>
            <w:right w:val="none" w:sz="0" w:space="0" w:color="auto"/>
          </w:divBdr>
        </w:div>
        <w:div w:id="1051077812">
          <w:marLeft w:val="0"/>
          <w:marRight w:val="0"/>
          <w:marTop w:val="0"/>
          <w:marBottom w:val="0"/>
          <w:divBdr>
            <w:top w:val="none" w:sz="0" w:space="0" w:color="auto"/>
            <w:left w:val="none" w:sz="0" w:space="0" w:color="auto"/>
            <w:bottom w:val="none" w:sz="0" w:space="0" w:color="auto"/>
            <w:right w:val="none" w:sz="0" w:space="0" w:color="auto"/>
          </w:divBdr>
        </w:div>
        <w:div w:id="1051729513">
          <w:marLeft w:val="0"/>
          <w:marRight w:val="0"/>
          <w:marTop w:val="0"/>
          <w:marBottom w:val="0"/>
          <w:divBdr>
            <w:top w:val="none" w:sz="0" w:space="0" w:color="auto"/>
            <w:left w:val="none" w:sz="0" w:space="0" w:color="auto"/>
            <w:bottom w:val="none" w:sz="0" w:space="0" w:color="auto"/>
            <w:right w:val="none" w:sz="0" w:space="0" w:color="auto"/>
          </w:divBdr>
          <w:divsChild>
            <w:div w:id="840126705">
              <w:marLeft w:val="-75"/>
              <w:marRight w:val="0"/>
              <w:marTop w:val="30"/>
              <w:marBottom w:val="30"/>
              <w:divBdr>
                <w:top w:val="none" w:sz="0" w:space="0" w:color="auto"/>
                <w:left w:val="none" w:sz="0" w:space="0" w:color="auto"/>
                <w:bottom w:val="none" w:sz="0" w:space="0" w:color="auto"/>
                <w:right w:val="none" w:sz="0" w:space="0" w:color="auto"/>
              </w:divBdr>
              <w:divsChild>
                <w:div w:id="321665022">
                  <w:marLeft w:val="0"/>
                  <w:marRight w:val="0"/>
                  <w:marTop w:val="0"/>
                  <w:marBottom w:val="0"/>
                  <w:divBdr>
                    <w:top w:val="none" w:sz="0" w:space="0" w:color="auto"/>
                    <w:left w:val="none" w:sz="0" w:space="0" w:color="auto"/>
                    <w:bottom w:val="none" w:sz="0" w:space="0" w:color="auto"/>
                    <w:right w:val="none" w:sz="0" w:space="0" w:color="auto"/>
                  </w:divBdr>
                  <w:divsChild>
                    <w:div w:id="1351906956">
                      <w:marLeft w:val="0"/>
                      <w:marRight w:val="0"/>
                      <w:marTop w:val="0"/>
                      <w:marBottom w:val="0"/>
                      <w:divBdr>
                        <w:top w:val="none" w:sz="0" w:space="0" w:color="auto"/>
                        <w:left w:val="none" w:sz="0" w:space="0" w:color="auto"/>
                        <w:bottom w:val="none" w:sz="0" w:space="0" w:color="auto"/>
                        <w:right w:val="none" w:sz="0" w:space="0" w:color="auto"/>
                      </w:divBdr>
                    </w:div>
                  </w:divsChild>
                </w:div>
                <w:div w:id="465316768">
                  <w:marLeft w:val="0"/>
                  <w:marRight w:val="0"/>
                  <w:marTop w:val="0"/>
                  <w:marBottom w:val="0"/>
                  <w:divBdr>
                    <w:top w:val="none" w:sz="0" w:space="0" w:color="auto"/>
                    <w:left w:val="none" w:sz="0" w:space="0" w:color="auto"/>
                    <w:bottom w:val="none" w:sz="0" w:space="0" w:color="auto"/>
                    <w:right w:val="none" w:sz="0" w:space="0" w:color="auto"/>
                  </w:divBdr>
                  <w:divsChild>
                    <w:div w:id="262955969">
                      <w:marLeft w:val="0"/>
                      <w:marRight w:val="0"/>
                      <w:marTop w:val="0"/>
                      <w:marBottom w:val="0"/>
                      <w:divBdr>
                        <w:top w:val="none" w:sz="0" w:space="0" w:color="auto"/>
                        <w:left w:val="none" w:sz="0" w:space="0" w:color="auto"/>
                        <w:bottom w:val="none" w:sz="0" w:space="0" w:color="auto"/>
                        <w:right w:val="none" w:sz="0" w:space="0" w:color="auto"/>
                      </w:divBdr>
                    </w:div>
                  </w:divsChild>
                </w:div>
                <w:div w:id="523597569">
                  <w:marLeft w:val="0"/>
                  <w:marRight w:val="0"/>
                  <w:marTop w:val="0"/>
                  <w:marBottom w:val="0"/>
                  <w:divBdr>
                    <w:top w:val="none" w:sz="0" w:space="0" w:color="auto"/>
                    <w:left w:val="none" w:sz="0" w:space="0" w:color="auto"/>
                    <w:bottom w:val="none" w:sz="0" w:space="0" w:color="auto"/>
                    <w:right w:val="none" w:sz="0" w:space="0" w:color="auto"/>
                  </w:divBdr>
                  <w:divsChild>
                    <w:div w:id="1236549430">
                      <w:marLeft w:val="0"/>
                      <w:marRight w:val="0"/>
                      <w:marTop w:val="0"/>
                      <w:marBottom w:val="0"/>
                      <w:divBdr>
                        <w:top w:val="none" w:sz="0" w:space="0" w:color="auto"/>
                        <w:left w:val="none" w:sz="0" w:space="0" w:color="auto"/>
                        <w:bottom w:val="none" w:sz="0" w:space="0" w:color="auto"/>
                        <w:right w:val="none" w:sz="0" w:space="0" w:color="auto"/>
                      </w:divBdr>
                    </w:div>
                  </w:divsChild>
                </w:div>
                <w:div w:id="536893261">
                  <w:marLeft w:val="0"/>
                  <w:marRight w:val="0"/>
                  <w:marTop w:val="0"/>
                  <w:marBottom w:val="0"/>
                  <w:divBdr>
                    <w:top w:val="none" w:sz="0" w:space="0" w:color="auto"/>
                    <w:left w:val="none" w:sz="0" w:space="0" w:color="auto"/>
                    <w:bottom w:val="none" w:sz="0" w:space="0" w:color="auto"/>
                    <w:right w:val="none" w:sz="0" w:space="0" w:color="auto"/>
                  </w:divBdr>
                  <w:divsChild>
                    <w:div w:id="1017851604">
                      <w:marLeft w:val="0"/>
                      <w:marRight w:val="0"/>
                      <w:marTop w:val="0"/>
                      <w:marBottom w:val="0"/>
                      <w:divBdr>
                        <w:top w:val="none" w:sz="0" w:space="0" w:color="auto"/>
                        <w:left w:val="none" w:sz="0" w:space="0" w:color="auto"/>
                        <w:bottom w:val="none" w:sz="0" w:space="0" w:color="auto"/>
                        <w:right w:val="none" w:sz="0" w:space="0" w:color="auto"/>
                      </w:divBdr>
                    </w:div>
                  </w:divsChild>
                </w:div>
                <w:div w:id="654528801">
                  <w:marLeft w:val="0"/>
                  <w:marRight w:val="0"/>
                  <w:marTop w:val="0"/>
                  <w:marBottom w:val="0"/>
                  <w:divBdr>
                    <w:top w:val="none" w:sz="0" w:space="0" w:color="auto"/>
                    <w:left w:val="none" w:sz="0" w:space="0" w:color="auto"/>
                    <w:bottom w:val="none" w:sz="0" w:space="0" w:color="auto"/>
                    <w:right w:val="none" w:sz="0" w:space="0" w:color="auto"/>
                  </w:divBdr>
                  <w:divsChild>
                    <w:div w:id="1189031817">
                      <w:marLeft w:val="0"/>
                      <w:marRight w:val="0"/>
                      <w:marTop w:val="0"/>
                      <w:marBottom w:val="0"/>
                      <w:divBdr>
                        <w:top w:val="none" w:sz="0" w:space="0" w:color="auto"/>
                        <w:left w:val="none" w:sz="0" w:space="0" w:color="auto"/>
                        <w:bottom w:val="none" w:sz="0" w:space="0" w:color="auto"/>
                        <w:right w:val="none" w:sz="0" w:space="0" w:color="auto"/>
                      </w:divBdr>
                    </w:div>
                  </w:divsChild>
                </w:div>
                <w:div w:id="687219713">
                  <w:marLeft w:val="0"/>
                  <w:marRight w:val="0"/>
                  <w:marTop w:val="0"/>
                  <w:marBottom w:val="0"/>
                  <w:divBdr>
                    <w:top w:val="none" w:sz="0" w:space="0" w:color="auto"/>
                    <w:left w:val="none" w:sz="0" w:space="0" w:color="auto"/>
                    <w:bottom w:val="none" w:sz="0" w:space="0" w:color="auto"/>
                    <w:right w:val="none" w:sz="0" w:space="0" w:color="auto"/>
                  </w:divBdr>
                  <w:divsChild>
                    <w:div w:id="2133088957">
                      <w:marLeft w:val="0"/>
                      <w:marRight w:val="0"/>
                      <w:marTop w:val="0"/>
                      <w:marBottom w:val="0"/>
                      <w:divBdr>
                        <w:top w:val="none" w:sz="0" w:space="0" w:color="auto"/>
                        <w:left w:val="none" w:sz="0" w:space="0" w:color="auto"/>
                        <w:bottom w:val="none" w:sz="0" w:space="0" w:color="auto"/>
                        <w:right w:val="none" w:sz="0" w:space="0" w:color="auto"/>
                      </w:divBdr>
                    </w:div>
                  </w:divsChild>
                </w:div>
                <w:div w:id="803084768">
                  <w:marLeft w:val="0"/>
                  <w:marRight w:val="0"/>
                  <w:marTop w:val="0"/>
                  <w:marBottom w:val="0"/>
                  <w:divBdr>
                    <w:top w:val="none" w:sz="0" w:space="0" w:color="auto"/>
                    <w:left w:val="none" w:sz="0" w:space="0" w:color="auto"/>
                    <w:bottom w:val="none" w:sz="0" w:space="0" w:color="auto"/>
                    <w:right w:val="none" w:sz="0" w:space="0" w:color="auto"/>
                  </w:divBdr>
                  <w:divsChild>
                    <w:div w:id="624583244">
                      <w:marLeft w:val="0"/>
                      <w:marRight w:val="0"/>
                      <w:marTop w:val="0"/>
                      <w:marBottom w:val="0"/>
                      <w:divBdr>
                        <w:top w:val="none" w:sz="0" w:space="0" w:color="auto"/>
                        <w:left w:val="none" w:sz="0" w:space="0" w:color="auto"/>
                        <w:bottom w:val="none" w:sz="0" w:space="0" w:color="auto"/>
                        <w:right w:val="none" w:sz="0" w:space="0" w:color="auto"/>
                      </w:divBdr>
                    </w:div>
                  </w:divsChild>
                </w:div>
                <w:div w:id="926889431">
                  <w:marLeft w:val="0"/>
                  <w:marRight w:val="0"/>
                  <w:marTop w:val="0"/>
                  <w:marBottom w:val="0"/>
                  <w:divBdr>
                    <w:top w:val="none" w:sz="0" w:space="0" w:color="auto"/>
                    <w:left w:val="none" w:sz="0" w:space="0" w:color="auto"/>
                    <w:bottom w:val="none" w:sz="0" w:space="0" w:color="auto"/>
                    <w:right w:val="none" w:sz="0" w:space="0" w:color="auto"/>
                  </w:divBdr>
                  <w:divsChild>
                    <w:div w:id="1153716968">
                      <w:marLeft w:val="0"/>
                      <w:marRight w:val="0"/>
                      <w:marTop w:val="0"/>
                      <w:marBottom w:val="0"/>
                      <w:divBdr>
                        <w:top w:val="none" w:sz="0" w:space="0" w:color="auto"/>
                        <w:left w:val="none" w:sz="0" w:space="0" w:color="auto"/>
                        <w:bottom w:val="none" w:sz="0" w:space="0" w:color="auto"/>
                        <w:right w:val="none" w:sz="0" w:space="0" w:color="auto"/>
                      </w:divBdr>
                    </w:div>
                  </w:divsChild>
                </w:div>
                <w:div w:id="930431781">
                  <w:marLeft w:val="0"/>
                  <w:marRight w:val="0"/>
                  <w:marTop w:val="0"/>
                  <w:marBottom w:val="0"/>
                  <w:divBdr>
                    <w:top w:val="none" w:sz="0" w:space="0" w:color="auto"/>
                    <w:left w:val="none" w:sz="0" w:space="0" w:color="auto"/>
                    <w:bottom w:val="none" w:sz="0" w:space="0" w:color="auto"/>
                    <w:right w:val="none" w:sz="0" w:space="0" w:color="auto"/>
                  </w:divBdr>
                  <w:divsChild>
                    <w:div w:id="4596480">
                      <w:marLeft w:val="0"/>
                      <w:marRight w:val="0"/>
                      <w:marTop w:val="0"/>
                      <w:marBottom w:val="0"/>
                      <w:divBdr>
                        <w:top w:val="none" w:sz="0" w:space="0" w:color="auto"/>
                        <w:left w:val="none" w:sz="0" w:space="0" w:color="auto"/>
                        <w:bottom w:val="none" w:sz="0" w:space="0" w:color="auto"/>
                        <w:right w:val="none" w:sz="0" w:space="0" w:color="auto"/>
                      </w:divBdr>
                    </w:div>
                  </w:divsChild>
                </w:div>
                <w:div w:id="1116098274">
                  <w:marLeft w:val="0"/>
                  <w:marRight w:val="0"/>
                  <w:marTop w:val="0"/>
                  <w:marBottom w:val="0"/>
                  <w:divBdr>
                    <w:top w:val="none" w:sz="0" w:space="0" w:color="auto"/>
                    <w:left w:val="none" w:sz="0" w:space="0" w:color="auto"/>
                    <w:bottom w:val="none" w:sz="0" w:space="0" w:color="auto"/>
                    <w:right w:val="none" w:sz="0" w:space="0" w:color="auto"/>
                  </w:divBdr>
                  <w:divsChild>
                    <w:div w:id="1161501366">
                      <w:marLeft w:val="0"/>
                      <w:marRight w:val="0"/>
                      <w:marTop w:val="0"/>
                      <w:marBottom w:val="0"/>
                      <w:divBdr>
                        <w:top w:val="none" w:sz="0" w:space="0" w:color="auto"/>
                        <w:left w:val="none" w:sz="0" w:space="0" w:color="auto"/>
                        <w:bottom w:val="none" w:sz="0" w:space="0" w:color="auto"/>
                        <w:right w:val="none" w:sz="0" w:space="0" w:color="auto"/>
                      </w:divBdr>
                    </w:div>
                  </w:divsChild>
                </w:div>
                <w:div w:id="1256673815">
                  <w:marLeft w:val="0"/>
                  <w:marRight w:val="0"/>
                  <w:marTop w:val="0"/>
                  <w:marBottom w:val="0"/>
                  <w:divBdr>
                    <w:top w:val="none" w:sz="0" w:space="0" w:color="auto"/>
                    <w:left w:val="none" w:sz="0" w:space="0" w:color="auto"/>
                    <w:bottom w:val="none" w:sz="0" w:space="0" w:color="auto"/>
                    <w:right w:val="none" w:sz="0" w:space="0" w:color="auto"/>
                  </w:divBdr>
                  <w:divsChild>
                    <w:div w:id="1035739957">
                      <w:marLeft w:val="0"/>
                      <w:marRight w:val="0"/>
                      <w:marTop w:val="0"/>
                      <w:marBottom w:val="0"/>
                      <w:divBdr>
                        <w:top w:val="none" w:sz="0" w:space="0" w:color="auto"/>
                        <w:left w:val="none" w:sz="0" w:space="0" w:color="auto"/>
                        <w:bottom w:val="none" w:sz="0" w:space="0" w:color="auto"/>
                        <w:right w:val="none" w:sz="0" w:space="0" w:color="auto"/>
                      </w:divBdr>
                    </w:div>
                  </w:divsChild>
                </w:div>
                <w:div w:id="1318682570">
                  <w:marLeft w:val="0"/>
                  <w:marRight w:val="0"/>
                  <w:marTop w:val="0"/>
                  <w:marBottom w:val="0"/>
                  <w:divBdr>
                    <w:top w:val="none" w:sz="0" w:space="0" w:color="auto"/>
                    <w:left w:val="none" w:sz="0" w:space="0" w:color="auto"/>
                    <w:bottom w:val="none" w:sz="0" w:space="0" w:color="auto"/>
                    <w:right w:val="none" w:sz="0" w:space="0" w:color="auto"/>
                  </w:divBdr>
                  <w:divsChild>
                    <w:div w:id="783888393">
                      <w:marLeft w:val="0"/>
                      <w:marRight w:val="0"/>
                      <w:marTop w:val="0"/>
                      <w:marBottom w:val="0"/>
                      <w:divBdr>
                        <w:top w:val="none" w:sz="0" w:space="0" w:color="auto"/>
                        <w:left w:val="none" w:sz="0" w:space="0" w:color="auto"/>
                        <w:bottom w:val="none" w:sz="0" w:space="0" w:color="auto"/>
                        <w:right w:val="none" w:sz="0" w:space="0" w:color="auto"/>
                      </w:divBdr>
                    </w:div>
                  </w:divsChild>
                </w:div>
                <w:div w:id="1402481474">
                  <w:marLeft w:val="0"/>
                  <w:marRight w:val="0"/>
                  <w:marTop w:val="0"/>
                  <w:marBottom w:val="0"/>
                  <w:divBdr>
                    <w:top w:val="none" w:sz="0" w:space="0" w:color="auto"/>
                    <w:left w:val="none" w:sz="0" w:space="0" w:color="auto"/>
                    <w:bottom w:val="none" w:sz="0" w:space="0" w:color="auto"/>
                    <w:right w:val="none" w:sz="0" w:space="0" w:color="auto"/>
                  </w:divBdr>
                  <w:divsChild>
                    <w:div w:id="884177577">
                      <w:marLeft w:val="0"/>
                      <w:marRight w:val="0"/>
                      <w:marTop w:val="0"/>
                      <w:marBottom w:val="0"/>
                      <w:divBdr>
                        <w:top w:val="none" w:sz="0" w:space="0" w:color="auto"/>
                        <w:left w:val="none" w:sz="0" w:space="0" w:color="auto"/>
                        <w:bottom w:val="none" w:sz="0" w:space="0" w:color="auto"/>
                        <w:right w:val="none" w:sz="0" w:space="0" w:color="auto"/>
                      </w:divBdr>
                    </w:div>
                  </w:divsChild>
                </w:div>
                <w:div w:id="1539393216">
                  <w:marLeft w:val="0"/>
                  <w:marRight w:val="0"/>
                  <w:marTop w:val="0"/>
                  <w:marBottom w:val="0"/>
                  <w:divBdr>
                    <w:top w:val="none" w:sz="0" w:space="0" w:color="auto"/>
                    <w:left w:val="none" w:sz="0" w:space="0" w:color="auto"/>
                    <w:bottom w:val="none" w:sz="0" w:space="0" w:color="auto"/>
                    <w:right w:val="none" w:sz="0" w:space="0" w:color="auto"/>
                  </w:divBdr>
                  <w:divsChild>
                    <w:div w:id="242226650">
                      <w:marLeft w:val="0"/>
                      <w:marRight w:val="0"/>
                      <w:marTop w:val="0"/>
                      <w:marBottom w:val="0"/>
                      <w:divBdr>
                        <w:top w:val="none" w:sz="0" w:space="0" w:color="auto"/>
                        <w:left w:val="none" w:sz="0" w:space="0" w:color="auto"/>
                        <w:bottom w:val="none" w:sz="0" w:space="0" w:color="auto"/>
                        <w:right w:val="none" w:sz="0" w:space="0" w:color="auto"/>
                      </w:divBdr>
                    </w:div>
                  </w:divsChild>
                </w:div>
                <w:div w:id="1599288624">
                  <w:marLeft w:val="0"/>
                  <w:marRight w:val="0"/>
                  <w:marTop w:val="0"/>
                  <w:marBottom w:val="0"/>
                  <w:divBdr>
                    <w:top w:val="none" w:sz="0" w:space="0" w:color="auto"/>
                    <w:left w:val="none" w:sz="0" w:space="0" w:color="auto"/>
                    <w:bottom w:val="none" w:sz="0" w:space="0" w:color="auto"/>
                    <w:right w:val="none" w:sz="0" w:space="0" w:color="auto"/>
                  </w:divBdr>
                  <w:divsChild>
                    <w:div w:id="584192234">
                      <w:marLeft w:val="0"/>
                      <w:marRight w:val="0"/>
                      <w:marTop w:val="0"/>
                      <w:marBottom w:val="0"/>
                      <w:divBdr>
                        <w:top w:val="none" w:sz="0" w:space="0" w:color="auto"/>
                        <w:left w:val="none" w:sz="0" w:space="0" w:color="auto"/>
                        <w:bottom w:val="none" w:sz="0" w:space="0" w:color="auto"/>
                        <w:right w:val="none" w:sz="0" w:space="0" w:color="auto"/>
                      </w:divBdr>
                    </w:div>
                  </w:divsChild>
                </w:div>
                <w:div w:id="1625959165">
                  <w:marLeft w:val="0"/>
                  <w:marRight w:val="0"/>
                  <w:marTop w:val="0"/>
                  <w:marBottom w:val="0"/>
                  <w:divBdr>
                    <w:top w:val="none" w:sz="0" w:space="0" w:color="auto"/>
                    <w:left w:val="none" w:sz="0" w:space="0" w:color="auto"/>
                    <w:bottom w:val="none" w:sz="0" w:space="0" w:color="auto"/>
                    <w:right w:val="none" w:sz="0" w:space="0" w:color="auto"/>
                  </w:divBdr>
                  <w:divsChild>
                    <w:div w:id="104932670">
                      <w:marLeft w:val="0"/>
                      <w:marRight w:val="0"/>
                      <w:marTop w:val="0"/>
                      <w:marBottom w:val="0"/>
                      <w:divBdr>
                        <w:top w:val="none" w:sz="0" w:space="0" w:color="auto"/>
                        <w:left w:val="none" w:sz="0" w:space="0" w:color="auto"/>
                        <w:bottom w:val="none" w:sz="0" w:space="0" w:color="auto"/>
                        <w:right w:val="none" w:sz="0" w:space="0" w:color="auto"/>
                      </w:divBdr>
                    </w:div>
                  </w:divsChild>
                </w:div>
                <w:div w:id="1669822474">
                  <w:marLeft w:val="0"/>
                  <w:marRight w:val="0"/>
                  <w:marTop w:val="0"/>
                  <w:marBottom w:val="0"/>
                  <w:divBdr>
                    <w:top w:val="none" w:sz="0" w:space="0" w:color="auto"/>
                    <w:left w:val="none" w:sz="0" w:space="0" w:color="auto"/>
                    <w:bottom w:val="none" w:sz="0" w:space="0" w:color="auto"/>
                    <w:right w:val="none" w:sz="0" w:space="0" w:color="auto"/>
                  </w:divBdr>
                  <w:divsChild>
                    <w:div w:id="1033654897">
                      <w:marLeft w:val="0"/>
                      <w:marRight w:val="0"/>
                      <w:marTop w:val="0"/>
                      <w:marBottom w:val="0"/>
                      <w:divBdr>
                        <w:top w:val="none" w:sz="0" w:space="0" w:color="auto"/>
                        <w:left w:val="none" w:sz="0" w:space="0" w:color="auto"/>
                        <w:bottom w:val="none" w:sz="0" w:space="0" w:color="auto"/>
                        <w:right w:val="none" w:sz="0" w:space="0" w:color="auto"/>
                      </w:divBdr>
                    </w:div>
                  </w:divsChild>
                </w:div>
                <w:div w:id="1969899313">
                  <w:marLeft w:val="0"/>
                  <w:marRight w:val="0"/>
                  <w:marTop w:val="0"/>
                  <w:marBottom w:val="0"/>
                  <w:divBdr>
                    <w:top w:val="none" w:sz="0" w:space="0" w:color="auto"/>
                    <w:left w:val="none" w:sz="0" w:space="0" w:color="auto"/>
                    <w:bottom w:val="none" w:sz="0" w:space="0" w:color="auto"/>
                    <w:right w:val="none" w:sz="0" w:space="0" w:color="auto"/>
                  </w:divBdr>
                  <w:divsChild>
                    <w:div w:id="126834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835068">
          <w:marLeft w:val="0"/>
          <w:marRight w:val="0"/>
          <w:marTop w:val="0"/>
          <w:marBottom w:val="0"/>
          <w:divBdr>
            <w:top w:val="none" w:sz="0" w:space="0" w:color="auto"/>
            <w:left w:val="none" w:sz="0" w:space="0" w:color="auto"/>
            <w:bottom w:val="none" w:sz="0" w:space="0" w:color="auto"/>
            <w:right w:val="none" w:sz="0" w:space="0" w:color="auto"/>
          </w:divBdr>
        </w:div>
      </w:divsChild>
    </w:div>
    <w:div w:id="2094624703">
      <w:bodyDiv w:val="1"/>
      <w:marLeft w:val="0"/>
      <w:marRight w:val="0"/>
      <w:marTop w:val="0"/>
      <w:marBottom w:val="0"/>
      <w:divBdr>
        <w:top w:val="none" w:sz="0" w:space="0" w:color="auto"/>
        <w:left w:val="none" w:sz="0" w:space="0" w:color="auto"/>
        <w:bottom w:val="none" w:sz="0" w:space="0" w:color="auto"/>
        <w:right w:val="none" w:sz="0" w:space="0" w:color="auto"/>
      </w:divBdr>
      <w:divsChild>
        <w:div w:id="686711003">
          <w:marLeft w:val="0"/>
          <w:marRight w:val="0"/>
          <w:marTop w:val="0"/>
          <w:marBottom w:val="0"/>
          <w:divBdr>
            <w:top w:val="none" w:sz="0" w:space="0" w:color="auto"/>
            <w:left w:val="none" w:sz="0" w:space="0" w:color="auto"/>
            <w:bottom w:val="none" w:sz="0" w:space="0" w:color="auto"/>
            <w:right w:val="none" w:sz="0" w:space="0" w:color="auto"/>
          </w:divBdr>
          <w:divsChild>
            <w:div w:id="419303423">
              <w:marLeft w:val="0"/>
              <w:marRight w:val="0"/>
              <w:marTop w:val="0"/>
              <w:marBottom w:val="0"/>
              <w:divBdr>
                <w:top w:val="none" w:sz="0" w:space="0" w:color="auto"/>
                <w:left w:val="none" w:sz="0" w:space="0" w:color="auto"/>
                <w:bottom w:val="none" w:sz="0" w:space="0" w:color="auto"/>
                <w:right w:val="none" w:sz="0" w:space="0" w:color="auto"/>
              </w:divBdr>
            </w:div>
          </w:divsChild>
        </w:div>
        <w:div w:id="978653736">
          <w:marLeft w:val="0"/>
          <w:marRight w:val="0"/>
          <w:marTop w:val="0"/>
          <w:marBottom w:val="0"/>
          <w:divBdr>
            <w:top w:val="none" w:sz="0" w:space="0" w:color="auto"/>
            <w:left w:val="none" w:sz="0" w:space="0" w:color="auto"/>
            <w:bottom w:val="none" w:sz="0" w:space="0" w:color="auto"/>
            <w:right w:val="none" w:sz="0" w:space="0" w:color="auto"/>
          </w:divBdr>
          <w:divsChild>
            <w:div w:id="482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732889">
      <w:bodyDiv w:val="1"/>
      <w:marLeft w:val="0"/>
      <w:marRight w:val="0"/>
      <w:marTop w:val="0"/>
      <w:marBottom w:val="0"/>
      <w:divBdr>
        <w:top w:val="none" w:sz="0" w:space="0" w:color="auto"/>
        <w:left w:val="none" w:sz="0" w:space="0" w:color="auto"/>
        <w:bottom w:val="none" w:sz="0" w:space="0" w:color="auto"/>
        <w:right w:val="none" w:sz="0" w:space="0" w:color="auto"/>
      </w:divBdr>
      <w:divsChild>
        <w:div w:id="1038168917">
          <w:marLeft w:val="0"/>
          <w:marRight w:val="0"/>
          <w:marTop w:val="0"/>
          <w:marBottom w:val="0"/>
          <w:divBdr>
            <w:top w:val="none" w:sz="0" w:space="0" w:color="auto"/>
            <w:left w:val="none" w:sz="0" w:space="0" w:color="auto"/>
            <w:bottom w:val="none" w:sz="0" w:space="0" w:color="auto"/>
            <w:right w:val="none" w:sz="0" w:space="0" w:color="auto"/>
          </w:divBdr>
          <w:divsChild>
            <w:div w:id="1768041810">
              <w:marLeft w:val="0"/>
              <w:marRight w:val="0"/>
              <w:marTop w:val="0"/>
              <w:marBottom w:val="0"/>
              <w:divBdr>
                <w:top w:val="none" w:sz="0" w:space="0" w:color="auto"/>
                <w:left w:val="none" w:sz="0" w:space="0" w:color="auto"/>
                <w:bottom w:val="none" w:sz="0" w:space="0" w:color="auto"/>
                <w:right w:val="none" w:sz="0" w:space="0" w:color="auto"/>
              </w:divBdr>
            </w:div>
          </w:divsChild>
        </w:div>
        <w:div w:id="1052118967">
          <w:marLeft w:val="0"/>
          <w:marRight w:val="0"/>
          <w:marTop w:val="0"/>
          <w:marBottom w:val="0"/>
          <w:divBdr>
            <w:top w:val="none" w:sz="0" w:space="0" w:color="auto"/>
            <w:left w:val="none" w:sz="0" w:space="0" w:color="auto"/>
            <w:bottom w:val="none" w:sz="0" w:space="0" w:color="auto"/>
            <w:right w:val="none" w:sz="0" w:space="0" w:color="auto"/>
          </w:divBdr>
          <w:divsChild>
            <w:div w:id="165953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eader" Target="header4.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docs.cpuc.ca.gov/PublishedDocs/Published/G000/M587/K961/587961997.pdf" TargetMode="External" Id="Rdeca05981f1c4c29" /></Relationships>
</file>

<file path=word/_rels/footnotes.xml.rels><?xml version="1.0" encoding="UTF-8" standalone="yes"?>
<Relationships xmlns="http://schemas.openxmlformats.org/package/2006/relationships"><Relationship Id="rId2" Type="http://schemas.openxmlformats.org/officeDocument/2006/relationships/hyperlink" Target="https://leginfo.legislature.ca.gov/faces/billTextClient.xhtml?bill_id=202120220AB209&#160;" TargetMode="External"/><Relationship Id="rId1" Type="http://schemas.openxmlformats.org/officeDocument/2006/relationships/hyperlink" Target="https://www.californiadgstats.ca.gov/downloa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B8BADF2214F6448E5045310EA9B796" ma:contentTypeVersion="12" ma:contentTypeDescription="Create a new document." ma:contentTypeScope="" ma:versionID="4225d45ddd1a7a5828db1e92e0ebaa6f">
  <xsd:schema xmlns:xsd="http://www.w3.org/2001/XMLSchema" xmlns:xs="http://www.w3.org/2001/XMLSchema" xmlns:p="http://schemas.microsoft.com/office/2006/metadata/properties" xmlns:ns2="40c2bee6-72d2-4c4b-bbf2-19a975248824" xmlns:ns3="ef7e321c-44a6-4cb5-81f0-0bfd95ece253" targetNamespace="http://schemas.microsoft.com/office/2006/metadata/properties" ma:root="true" ma:fieldsID="a878a72dfcf12e16a82a81229ed307c1" ns2:_="" ns3:_="">
    <xsd:import namespace="40c2bee6-72d2-4c4b-bbf2-19a975248824"/>
    <xsd:import namespace="ef7e321c-44a6-4cb5-81f0-0bfd95ece2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2bee6-72d2-4c4b-bbf2-19a9752488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cd35960-7829-44dd-b243-a39bb7be529f}" ma:internalName="TaxCatchAll" ma:showField="CatchAllData" ma:web="40c2bee6-72d2-4c4b-bbf2-19a9752488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7e321c-44a6-4cb5-81f0-0bfd95ece2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40c2bee6-72d2-4c4b-bbf2-19a975248824">
      <UserInfo>
        <DisplayName>Doherty, Patrick</DisplayName>
        <AccountId>53</AccountId>
        <AccountType/>
      </UserInfo>
      <UserInfo>
        <DisplayName>McKinney, Jeanne</DisplayName>
        <AccountId>29</AccountId>
        <AccountType/>
      </UserInfo>
      <UserInfo>
        <DisplayName>Kim, Kimberly</DisplayName>
        <AccountId>12</AccountId>
        <AccountType/>
      </UserInfo>
      <UserInfo>
        <DisplayName>MacDonald, Katherine</DisplayName>
        <AccountId>33</AccountId>
        <AccountType/>
      </UserInfo>
      <UserInfo>
        <DisplayName>Odell, Eileen</DisplayName>
        <AccountId>362</AccountId>
        <AccountType/>
      </UserInfo>
    </SharedWithUsers>
    <lcf76f155ced4ddcb4097134ff3c332f xmlns="ef7e321c-44a6-4cb5-81f0-0bfd95ece253">
      <Terms xmlns="http://schemas.microsoft.com/office/infopath/2007/PartnerControls"/>
    </lcf76f155ced4ddcb4097134ff3c332f>
    <TaxCatchAll xmlns="40c2bee6-72d2-4c4b-bbf2-19a975248824" xsi:nil="true"/>
  </documentManagement>
</p:properties>
</file>

<file path=customXml/itemProps1.xml><?xml version="1.0" encoding="utf-8"?>
<ds:datastoreItem xmlns:ds="http://schemas.openxmlformats.org/officeDocument/2006/customXml" ds:itemID="{9EE42826-C640-46EA-8DE6-7521634A85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2bee6-72d2-4c4b-bbf2-19a975248824"/>
    <ds:schemaRef ds:uri="ef7e321c-44a6-4cb5-81f0-0bfd95ece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30DE7C-9577-4EA8-AC89-8E2B6CC952CB}">
  <ds:schemaRefs>
    <ds:schemaRef ds:uri="http://schemas.microsoft.com/sharepoint/v3/contenttype/forms"/>
  </ds:schemaRefs>
</ds:datastoreItem>
</file>

<file path=customXml/itemProps3.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customXml/itemProps4.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40c2bee6-72d2-4c4b-bbf2-19a975248824"/>
    <ds:schemaRef ds:uri="ef7e321c-44a6-4cb5-81f0-0bfd95ece253"/>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63</ap:Pages>
  <ap:Words>14010</ap:Words>
  <ap:Characters>79858</ap:Characters>
  <ap:Application>Microsoft Office Word</ap:Application>
  <ap:DocSecurity>0</ap:DocSecurity>
  <ap:Lines>665</ap:Lines>
  <ap:Paragraphs>187</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93681</ap:CharactersWithSpaces>
  <ap:SharedDoc>false</ap:SharedDoc>
  <ap:HLinks>
    <vt:vector baseType="variant" size="264">
      <vt:variant>
        <vt:i4>1114162</vt:i4>
      </vt:variant>
      <vt:variant>
        <vt:i4>254</vt:i4>
      </vt:variant>
      <vt:variant>
        <vt:i4>0</vt:i4>
      </vt:variant>
      <vt:variant>
        <vt:i4>5</vt:i4>
      </vt:variant>
      <vt:variant>
        <vt:lpwstr/>
      </vt:variant>
      <vt:variant>
        <vt:lpwstr>_Toc206771103</vt:lpwstr>
      </vt:variant>
      <vt:variant>
        <vt:i4>1114162</vt:i4>
      </vt:variant>
      <vt:variant>
        <vt:i4>248</vt:i4>
      </vt:variant>
      <vt:variant>
        <vt:i4>0</vt:i4>
      </vt:variant>
      <vt:variant>
        <vt:i4>5</vt:i4>
      </vt:variant>
      <vt:variant>
        <vt:lpwstr/>
      </vt:variant>
      <vt:variant>
        <vt:lpwstr>_Toc206771102</vt:lpwstr>
      </vt:variant>
      <vt:variant>
        <vt:i4>1114162</vt:i4>
      </vt:variant>
      <vt:variant>
        <vt:i4>242</vt:i4>
      </vt:variant>
      <vt:variant>
        <vt:i4>0</vt:i4>
      </vt:variant>
      <vt:variant>
        <vt:i4>5</vt:i4>
      </vt:variant>
      <vt:variant>
        <vt:lpwstr/>
      </vt:variant>
      <vt:variant>
        <vt:lpwstr>_Toc206771101</vt:lpwstr>
      </vt:variant>
      <vt:variant>
        <vt:i4>1114162</vt:i4>
      </vt:variant>
      <vt:variant>
        <vt:i4>236</vt:i4>
      </vt:variant>
      <vt:variant>
        <vt:i4>0</vt:i4>
      </vt:variant>
      <vt:variant>
        <vt:i4>5</vt:i4>
      </vt:variant>
      <vt:variant>
        <vt:lpwstr/>
      </vt:variant>
      <vt:variant>
        <vt:lpwstr>_Toc206771100</vt:lpwstr>
      </vt:variant>
      <vt:variant>
        <vt:i4>1572915</vt:i4>
      </vt:variant>
      <vt:variant>
        <vt:i4>230</vt:i4>
      </vt:variant>
      <vt:variant>
        <vt:i4>0</vt:i4>
      </vt:variant>
      <vt:variant>
        <vt:i4>5</vt:i4>
      </vt:variant>
      <vt:variant>
        <vt:lpwstr/>
      </vt:variant>
      <vt:variant>
        <vt:lpwstr>_Toc206771099</vt:lpwstr>
      </vt:variant>
      <vt:variant>
        <vt:i4>1572915</vt:i4>
      </vt:variant>
      <vt:variant>
        <vt:i4>224</vt:i4>
      </vt:variant>
      <vt:variant>
        <vt:i4>0</vt:i4>
      </vt:variant>
      <vt:variant>
        <vt:i4>5</vt:i4>
      </vt:variant>
      <vt:variant>
        <vt:lpwstr/>
      </vt:variant>
      <vt:variant>
        <vt:lpwstr>_Toc206771098</vt:lpwstr>
      </vt:variant>
      <vt:variant>
        <vt:i4>1572915</vt:i4>
      </vt:variant>
      <vt:variant>
        <vt:i4>218</vt:i4>
      </vt:variant>
      <vt:variant>
        <vt:i4>0</vt:i4>
      </vt:variant>
      <vt:variant>
        <vt:i4>5</vt:i4>
      </vt:variant>
      <vt:variant>
        <vt:lpwstr/>
      </vt:variant>
      <vt:variant>
        <vt:lpwstr>_Toc206771097</vt:lpwstr>
      </vt:variant>
      <vt:variant>
        <vt:i4>1572915</vt:i4>
      </vt:variant>
      <vt:variant>
        <vt:i4>212</vt:i4>
      </vt:variant>
      <vt:variant>
        <vt:i4>0</vt:i4>
      </vt:variant>
      <vt:variant>
        <vt:i4>5</vt:i4>
      </vt:variant>
      <vt:variant>
        <vt:lpwstr/>
      </vt:variant>
      <vt:variant>
        <vt:lpwstr>_Toc206771096</vt:lpwstr>
      </vt:variant>
      <vt:variant>
        <vt:i4>1572915</vt:i4>
      </vt:variant>
      <vt:variant>
        <vt:i4>206</vt:i4>
      </vt:variant>
      <vt:variant>
        <vt:i4>0</vt:i4>
      </vt:variant>
      <vt:variant>
        <vt:i4>5</vt:i4>
      </vt:variant>
      <vt:variant>
        <vt:lpwstr/>
      </vt:variant>
      <vt:variant>
        <vt:lpwstr>_Toc206771095</vt:lpwstr>
      </vt:variant>
      <vt:variant>
        <vt:i4>1572915</vt:i4>
      </vt:variant>
      <vt:variant>
        <vt:i4>200</vt:i4>
      </vt:variant>
      <vt:variant>
        <vt:i4>0</vt:i4>
      </vt:variant>
      <vt:variant>
        <vt:i4>5</vt:i4>
      </vt:variant>
      <vt:variant>
        <vt:lpwstr/>
      </vt:variant>
      <vt:variant>
        <vt:lpwstr>_Toc206771094</vt:lpwstr>
      </vt:variant>
      <vt:variant>
        <vt:i4>1572915</vt:i4>
      </vt:variant>
      <vt:variant>
        <vt:i4>194</vt:i4>
      </vt:variant>
      <vt:variant>
        <vt:i4>0</vt:i4>
      </vt:variant>
      <vt:variant>
        <vt:i4>5</vt:i4>
      </vt:variant>
      <vt:variant>
        <vt:lpwstr/>
      </vt:variant>
      <vt:variant>
        <vt:lpwstr>_Toc206771093</vt:lpwstr>
      </vt:variant>
      <vt:variant>
        <vt:i4>1572915</vt:i4>
      </vt:variant>
      <vt:variant>
        <vt:i4>188</vt:i4>
      </vt:variant>
      <vt:variant>
        <vt:i4>0</vt:i4>
      </vt:variant>
      <vt:variant>
        <vt:i4>5</vt:i4>
      </vt:variant>
      <vt:variant>
        <vt:lpwstr/>
      </vt:variant>
      <vt:variant>
        <vt:lpwstr>_Toc206771092</vt:lpwstr>
      </vt:variant>
      <vt:variant>
        <vt:i4>1572915</vt:i4>
      </vt:variant>
      <vt:variant>
        <vt:i4>182</vt:i4>
      </vt:variant>
      <vt:variant>
        <vt:i4>0</vt:i4>
      </vt:variant>
      <vt:variant>
        <vt:i4>5</vt:i4>
      </vt:variant>
      <vt:variant>
        <vt:lpwstr/>
      </vt:variant>
      <vt:variant>
        <vt:lpwstr>_Toc206771091</vt:lpwstr>
      </vt:variant>
      <vt:variant>
        <vt:i4>1572915</vt:i4>
      </vt:variant>
      <vt:variant>
        <vt:i4>176</vt:i4>
      </vt:variant>
      <vt:variant>
        <vt:i4>0</vt:i4>
      </vt:variant>
      <vt:variant>
        <vt:i4>5</vt:i4>
      </vt:variant>
      <vt:variant>
        <vt:lpwstr/>
      </vt:variant>
      <vt:variant>
        <vt:lpwstr>_Toc206771090</vt:lpwstr>
      </vt:variant>
      <vt:variant>
        <vt:i4>1638451</vt:i4>
      </vt:variant>
      <vt:variant>
        <vt:i4>170</vt:i4>
      </vt:variant>
      <vt:variant>
        <vt:i4>0</vt:i4>
      </vt:variant>
      <vt:variant>
        <vt:i4>5</vt:i4>
      </vt:variant>
      <vt:variant>
        <vt:lpwstr/>
      </vt:variant>
      <vt:variant>
        <vt:lpwstr>_Toc206771089</vt:lpwstr>
      </vt:variant>
      <vt:variant>
        <vt:i4>1638451</vt:i4>
      </vt:variant>
      <vt:variant>
        <vt:i4>164</vt:i4>
      </vt:variant>
      <vt:variant>
        <vt:i4>0</vt:i4>
      </vt:variant>
      <vt:variant>
        <vt:i4>5</vt:i4>
      </vt:variant>
      <vt:variant>
        <vt:lpwstr/>
      </vt:variant>
      <vt:variant>
        <vt:lpwstr>_Toc206771088</vt:lpwstr>
      </vt:variant>
      <vt:variant>
        <vt:i4>1638451</vt:i4>
      </vt:variant>
      <vt:variant>
        <vt:i4>158</vt:i4>
      </vt:variant>
      <vt:variant>
        <vt:i4>0</vt:i4>
      </vt:variant>
      <vt:variant>
        <vt:i4>5</vt:i4>
      </vt:variant>
      <vt:variant>
        <vt:lpwstr/>
      </vt:variant>
      <vt:variant>
        <vt:lpwstr>_Toc206771087</vt:lpwstr>
      </vt:variant>
      <vt:variant>
        <vt:i4>1638451</vt:i4>
      </vt:variant>
      <vt:variant>
        <vt:i4>152</vt:i4>
      </vt:variant>
      <vt:variant>
        <vt:i4>0</vt:i4>
      </vt:variant>
      <vt:variant>
        <vt:i4>5</vt:i4>
      </vt:variant>
      <vt:variant>
        <vt:lpwstr/>
      </vt:variant>
      <vt:variant>
        <vt:lpwstr>_Toc206771086</vt:lpwstr>
      </vt:variant>
      <vt:variant>
        <vt:i4>1638451</vt:i4>
      </vt:variant>
      <vt:variant>
        <vt:i4>146</vt:i4>
      </vt:variant>
      <vt:variant>
        <vt:i4>0</vt:i4>
      </vt:variant>
      <vt:variant>
        <vt:i4>5</vt:i4>
      </vt:variant>
      <vt:variant>
        <vt:lpwstr/>
      </vt:variant>
      <vt:variant>
        <vt:lpwstr>_Toc206771085</vt:lpwstr>
      </vt:variant>
      <vt:variant>
        <vt:i4>1638451</vt:i4>
      </vt:variant>
      <vt:variant>
        <vt:i4>140</vt:i4>
      </vt:variant>
      <vt:variant>
        <vt:i4>0</vt:i4>
      </vt:variant>
      <vt:variant>
        <vt:i4>5</vt:i4>
      </vt:variant>
      <vt:variant>
        <vt:lpwstr/>
      </vt:variant>
      <vt:variant>
        <vt:lpwstr>_Toc206771084</vt:lpwstr>
      </vt:variant>
      <vt:variant>
        <vt:i4>1638451</vt:i4>
      </vt:variant>
      <vt:variant>
        <vt:i4>134</vt:i4>
      </vt:variant>
      <vt:variant>
        <vt:i4>0</vt:i4>
      </vt:variant>
      <vt:variant>
        <vt:i4>5</vt:i4>
      </vt:variant>
      <vt:variant>
        <vt:lpwstr/>
      </vt:variant>
      <vt:variant>
        <vt:lpwstr>_Toc206771083</vt:lpwstr>
      </vt:variant>
      <vt:variant>
        <vt:i4>1638451</vt:i4>
      </vt:variant>
      <vt:variant>
        <vt:i4>128</vt:i4>
      </vt:variant>
      <vt:variant>
        <vt:i4>0</vt:i4>
      </vt:variant>
      <vt:variant>
        <vt:i4>5</vt:i4>
      </vt:variant>
      <vt:variant>
        <vt:lpwstr/>
      </vt:variant>
      <vt:variant>
        <vt:lpwstr>_Toc206771082</vt:lpwstr>
      </vt:variant>
      <vt:variant>
        <vt:i4>1638451</vt:i4>
      </vt:variant>
      <vt:variant>
        <vt:i4>122</vt:i4>
      </vt:variant>
      <vt:variant>
        <vt:i4>0</vt:i4>
      </vt:variant>
      <vt:variant>
        <vt:i4>5</vt:i4>
      </vt:variant>
      <vt:variant>
        <vt:lpwstr/>
      </vt:variant>
      <vt:variant>
        <vt:lpwstr>_Toc206771081</vt:lpwstr>
      </vt:variant>
      <vt:variant>
        <vt:i4>1638451</vt:i4>
      </vt:variant>
      <vt:variant>
        <vt:i4>116</vt:i4>
      </vt:variant>
      <vt:variant>
        <vt:i4>0</vt:i4>
      </vt:variant>
      <vt:variant>
        <vt:i4>5</vt:i4>
      </vt:variant>
      <vt:variant>
        <vt:lpwstr/>
      </vt:variant>
      <vt:variant>
        <vt:lpwstr>_Toc206771080</vt:lpwstr>
      </vt:variant>
      <vt:variant>
        <vt:i4>1441843</vt:i4>
      </vt:variant>
      <vt:variant>
        <vt:i4>110</vt:i4>
      </vt:variant>
      <vt:variant>
        <vt:i4>0</vt:i4>
      </vt:variant>
      <vt:variant>
        <vt:i4>5</vt:i4>
      </vt:variant>
      <vt:variant>
        <vt:lpwstr/>
      </vt:variant>
      <vt:variant>
        <vt:lpwstr>_Toc206771079</vt:lpwstr>
      </vt:variant>
      <vt:variant>
        <vt:i4>1441843</vt:i4>
      </vt:variant>
      <vt:variant>
        <vt:i4>104</vt:i4>
      </vt:variant>
      <vt:variant>
        <vt:i4>0</vt:i4>
      </vt:variant>
      <vt:variant>
        <vt:i4>5</vt:i4>
      </vt:variant>
      <vt:variant>
        <vt:lpwstr/>
      </vt:variant>
      <vt:variant>
        <vt:lpwstr>_Toc206771078</vt:lpwstr>
      </vt:variant>
      <vt:variant>
        <vt:i4>1441843</vt:i4>
      </vt:variant>
      <vt:variant>
        <vt:i4>98</vt:i4>
      </vt:variant>
      <vt:variant>
        <vt:i4>0</vt:i4>
      </vt:variant>
      <vt:variant>
        <vt:i4>5</vt:i4>
      </vt:variant>
      <vt:variant>
        <vt:lpwstr/>
      </vt:variant>
      <vt:variant>
        <vt:lpwstr>_Toc206771077</vt:lpwstr>
      </vt:variant>
      <vt:variant>
        <vt:i4>1441843</vt:i4>
      </vt:variant>
      <vt:variant>
        <vt:i4>92</vt:i4>
      </vt:variant>
      <vt:variant>
        <vt:i4>0</vt:i4>
      </vt:variant>
      <vt:variant>
        <vt:i4>5</vt:i4>
      </vt:variant>
      <vt:variant>
        <vt:lpwstr/>
      </vt:variant>
      <vt:variant>
        <vt:lpwstr>_Toc206771076</vt:lpwstr>
      </vt:variant>
      <vt:variant>
        <vt:i4>1441843</vt:i4>
      </vt:variant>
      <vt:variant>
        <vt:i4>86</vt:i4>
      </vt:variant>
      <vt:variant>
        <vt:i4>0</vt:i4>
      </vt:variant>
      <vt:variant>
        <vt:i4>5</vt:i4>
      </vt:variant>
      <vt:variant>
        <vt:lpwstr/>
      </vt:variant>
      <vt:variant>
        <vt:lpwstr>_Toc206771075</vt:lpwstr>
      </vt:variant>
      <vt:variant>
        <vt:i4>1441843</vt:i4>
      </vt:variant>
      <vt:variant>
        <vt:i4>80</vt:i4>
      </vt:variant>
      <vt:variant>
        <vt:i4>0</vt:i4>
      </vt:variant>
      <vt:variant>
        <vt:i4>5</vt:i4>
      </vt:variant>
      <vt:variant>
        <vt:lpwstr/>
      </vt:variant>
      <vt:variant>
        <vt:lpwstr>_Toc206771074</vt:lpwstr>
      </vt:variant>
      <vt:variant>
        <vt:i4>1441843</vt:i4>
      </vt:variant>
      <vt:variant>
        <vt:i4>74</vt:i4>
      </vt:variant>
      <vt:variant>
        <vt:i4>0</vt:i4>
      </vt:variant>
      <vt:variant>
        <vt:i4>5</vt:i4>
      </vt:variant>
      <vt:variant>
        <vt:lpwstr/>
      </vt:variant>
      <vt:variant>
        <vt:lpwstr>_Toc206771073</vt:lpwstr>
      </vt:variant>
      <vt:variant>
        <vt:i4>1441843</vt:i4>
      </vt:variant>
      <vt:variant>
        <vt:i4>68</vt:i4>
      </vt:variant>
      <vt:variant>
        <vt:i4>0</vt:i4>
      </vt:variant>
      <vt:variant>
        <vt:i4>5</vt:i4>
      </vt:variant>
      <vt:variant>
        <vt:lpwstr/>
      </vt:variant>
      <vt:variant>
        <vt:lpwstr>_Toc206771072</vt:lpwstr>
      </vt:variant>
      <vt:variant>
        <vt:i4>1441843</vt:i4>
      </vt:variant>
      <vt:variant>
        <vt:i4>62</vt:i4>
      </vt:variant>
      <vt:variant>
        <vt:i4>0</vt:i4>
      </vt:variant>
      <vt:variant>
        <vt:i4>5</vt:i4>
      </vt:variant>
      <vt:variant>
        <vt:lpwstr/>
      </vt:variant>
      <vt:variant>
        <vt:lpwstr>_Toc206771071</vt:lpwstr>
      </vt:variant>
      <vt:variant>
        <vt:i4>1441843</vt:i4>
      </vt:variant>
      <vt:variant>
        <vt:i4>56</vt:i4>
      </vt:variant>
      <vt:variant>
        <vt:i4>0</vt:i4>
      </vt:variant>
      <vt:variant>
        <vt:i4>5</vt:i4>
      </vt:variant>
      <vt:variant>
        <vt:lpwstr/>
      </vt:variant>
      <vt:variant>
        <vt:lpwstr>_Toc206771070</vt:lpwstr>
      </vt:variant>
      <vt:variant>
        <vt:i4>1507379</vt:i4>
      </vt:variant>
      <vt:variant>
        <vt:i4>50</vt:i4>
      </vt:variant>
      <vt:variant>
        <vt:i4>0</vt:i4>
      </vt:variant>
      <vt:variant>
        <vt:i4>5</vt:i4>
      </vt:variant>
      <vt:variant>
        <vt:lpwstr/>
      </vt:variant>
      <vt:variant>
        <vt:lpwstr>_Toc206771069</vt:lpwstr>
      </vt:variant>
      <vt:variant>
        <vt:i4>1507379</vt:i4>
      </vt:variant>
      <vt:variant>
        <vt:i4>44</vt:i4>
      </vt:variant>
      <vt:variant>
        <vt:i4>0</vt:i4>
      </vt:variant>
      <vt:variant>
        <vt:i4>5</vt:i4>
      </vt:variant>
      <vt:variant>
        <vt:lpwstr/>
      </vt:variant>
      <vt:variant>
        <vt:lpwstr>_Toc206771068</vt:lpwstr>
      </vt:variant>
      <vt:variant>
        <vt:i4>1507379</vt:i4>
      </vt:variant>
      <vt:variant>
        <vt:i4>38</vt:i4>
      </vt:variant>
      <vt:variant>
        <vt:i4>0</vt:i4>
      </vt:variant>
      <vt:variant>
        <vt:i4>5</vt:i4>
      </vt:variant>
      <vt:variant>
        <vt:lpwstr/>
      </vt:variant>
      <vt:variant>
        <vt:lpwstr>_Toc206771067</vt:lpwstr>
      </vt:variant>
      <vt:variant>
        <vt:i4>1507379</vt:i4>
      </vt:variant>
      <vt:variant>
        <vt:i4>32</vt:i4>
      </vt:variant>
      <vt:variant>
        <vt:i4>0</vt:i4>
      </vt:variant>
      <vt:variant>
        <vt:i4>5</vt:i4>
      </vt:variant>
      <vt:variant>
        <vt:lpwstr/>
      </vt:variant>
      <vt:variant>
        <vt:lpwstr>_Toc206771066</vt:lpwstr>
      </vt:variant>
      <vt:variant>
        <vt:i4>1507379</vt:i4>
      </vt:variant>
      <vt:variant>
        <vt:i4>26</vt:i4>
      </vt:variant>
      <vt:variant>
        <vt:i4>0</vt:i4>
      </vt:variant>
      <vt:variant>
        <vt:i4>5</vt:i4>
      </vt:variant>
      <vt:variant>
        <vt:lpwstr/>
      </vt:variant>
      <vt:variant>
        <vt:lpwstr>_Toc206771065</vt:lpwstr>
      </vt:variant>
      <vt:variant>
        <vt:i4>1507379</vt:i4>
      </vt:variant>
      <vt:variant>
        <vt:i4>20</vt:i4>
      </vt:variant>
      <vt:variant>
        <vt:i4>0</vt:i4>
      </vt:variant>
      <vt:variant>
        <vt:i4>5</vt:i4>
      </vt:variant>
      <vt:variant>
        <vt:lpwstr/>
      </vt:variant>
      <vt:variant>
        <vt:lpwstr>_Toc206771064</vt:lpwstr>
      </vt:variant>
      <vt:variant>
        <vt:i4>1507379</vt:i4>
      </vt:variant>
      <vt:variant>
        <vt:i4>14</vt:i4>
      </vt:variant>
      <vt:variant>
        <vt:i4>0</vt:i4>
      </vt:variant>
      <vt:variant>
        <vt:i4>5</vt:i4>
      </vt:variant>
      <vt:variant>
        <vt:lpwstr/>
      </vt:variant>
      <vt:variant>
        <vt:lpwstr>_Toc206771063</vt:lpwstr>
      </vt:variant>
      <vt:variant>
        <vt:i4>1507379</vt:i4>
      </vt:variant>
      <vt:variant>
        <vt:i4>8</vt:i4>
      </vt:variant>
      <vt:variant>
        <vt:i4>0</vt:i4>
      </vt:variant>
      <vt:variant>
        <vt:i4>5</vt:i4>
      </vt:variant>
      <vt:variant>
        <vt:lpwstr/>
      </vt:variant>
      <vt:variant>
        <vt:lpwstr>_Toc206771062</vt:lpwstr>
      </vt:variant>
      <vt:variant>
        <vt:i4>1507379</vt:i4>
      </vt:variant>
      <vt:variant>
        <vt:i4>2</vt:i4>
      </vt:variant>
      <vt:variant>
        <vt:i4>0</vt:i4>
      </vt:variant>
      <vt:variant>
        <vt:i4>5</vt:i4>
      </vt:variant>
      <vt:variant>
        <vt:lpwstr/>
      </vt:variant>
      <vt:variant>
        <vt:lpwstr>_Toc206771061</vt:lpwstr>
      </vt:variant>
      <vt:variant>
        <vt:i4>7602224</vt:i4>
      </vt:variant>
      <vt:variant>
        <vt:i4>0</vt:i4>
      </vt:variant>
      <vt:variant>
        <vt:i4>0</vt:i4>
      </vt:variant>
      <vt:variant>
        <vt:i4>5</vt:i4>
      </vt:variant>
      <vt:variant>
        <vt:lpwstr>https://www.californiadgstats.ca.gov/downloads/</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2025-11-19T18:39:00Z</cp:lastPrinted>
  <dcterms:created xsi:type="dcterms:W3CDTF">2025-11-19T11:14:09Z</dcterms:created>
  <dcterms:modified xsi:type="dcterms:W3CDTF">2025-11-19T11:14:09Z</dcterms:modified>
</cp:coreProperties>
</file>