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5D1F" w:rsidR="00D5580A" w:rsidRDefault="00D5580A" w14:paraId="1625F7DE" w14:textId="2FE88A6F">
      <w:pPr>
        <w:suppressAutoHyphens/>
        <w:rPr>
          <w:b/>
          <w:bCs/>
          <w:color w:val="000000"/>
        </w:rPr>
      </w:pPr>
      <w:r w:rsidRPr="00D5580A">
        <w:rPr>
          <w:color w:val="000000"/>
        </w:rPr>
        <w:t>ALJ/SW9/kp7</w:t>
      </w:r>
      <w:r w:rsidRPr="00D5580A">
        <w:rPr>
          <w:color w:val="000000"/>
        </w:rPr>
        <w:tab/>
      </w:r>
      <w:r w:rsidRPr="00D5580A">
        <w:rPr>
          <w:color w:val="000000"/>
        </w:rPr>
        <w:tab/>
      </w:r>
      <w:r w:rsidRPr="00D5580A">
        <w:rPr>
          <w:color w:val="000000"/>
        </w:rPr>
        <w:tab/>
      </w:r>
      <w:r w:rsidRPr="00D5580A">
        <w:rPr>
          <w:color w:val="000000"/>
        </w:rPr>
        <w:tab/>
      </w:r>
      <w:r w:rsidRPr="00A05D1F">
        <w:rPr>
          <w:b/>
          <w:bCs/>
          <w:color w:val="000000"/>
        </w:rPr>
        <w:tab/>
      </w:r>
      <w:r w:rsidR="003362E1">
        <w:rPr>
          <w:b/>
          <w:bCs/>
          <w:color w:val="000000"/>
        </w:rPr>
        <w:tab/>
      </w:r>
      <w:r w:rsidR="003362E1">
        <w:rPr>
          <w:b/>
          <w:bCs/>
          <w:color w:val="000000"/>
        </w:rPr>
        <w:tab/>
      </w:r>
      <w:r w:rsidR="003362E1">
        <w:rPr>
          <w:b/>
          <w:bCs/>
          <w:color w:val="000000"/>
        </w:rPr>
        <w:tab/>
        <w:t>Date of Issuance 11/24/2025</w:t>
      </w:r>
    </w:p>
    <w:p w:rsidR="00D5580A" w:rsidP="003362E1" w:rsidRDefault="00D5580A" w14:paraId="044012C1" w14:textId="77777777">
      <w:pPr>
        <w:suppressAutoHyphens/>
        <w:rPr>
          <w:b/>
          <w:bCs/>
          <w:color w:val="000000"/>
        </w:rPr>
      </w:pPr>
    </w:p>
    <w:p w:rsidRPr="00D5580A" w:rsidR="003362E1" w:rsidP="003362E1" w:rsidRDefault="003362E1" w14:paraId="7D3839E2" w14:textId="77777777">
      <w:pPr>
        <w:suppressAutoHyphens/>
        <w:rPr>
          <w:color w:val="000000"/>
        </w:rPr>
      </w:pPr>
    </w:p>
    <w:p w:rsidRPr="00D5580A" w:rsidR="00D5580A" w:rsidRDefault="00D5580A" w14:paraId="030C154D" w14:textId="77777777">
      <w:pPr>
        <w:suppressAutoHyphens/>
        <w:rPr>
          <w:color w:val="000000"/>
        </w:rPr>
      </w:pPr>
    </w:p>
    <w:p w:rsidRPr="00476390" w:rsidR="00A92D0B" w:rsidRDefault="00A92D0B" w14:paraId="5BDA9FD4" w14:textId="5EE43FFC">
      <w:pPr>
        <w:suppressAutoHyphens/>
        <w:rPr>
          <w:color w:val="000000"/>
        </w:rPr>
      </w:pPr>
      <w:r w:rsidRPr="00476390">
        <w:rPr>
          <w:color w:val="000000"/>
        </w:rPr>
        <w:t xml:space="preserve">Decision </w:t>
      </w:r>
      <w:r w:rsidRPr="003362E1" w:rsidR="003362E1">
        <w:rPr>
          <w:color w:val="000000"/>
        </w:rPr>
        <w:t>25-11-021</w:t>
      </w:r>
      <w:r w:rsidR="003362E1">
        <w:rPr>
          <w:color w:val="000000"/>
        </w:rPr>
        <w:t xml:space="preserve"> November 20, 2025</w:t>
      </w:r>
    </w:p>
    <w:p w:rsidRPr="00476390" w:rsidR="00A92D0B" w:rsidP="00C50C1C" w:rsidRDefault="00A92D0B" w14:paraId="6D327C87" w14:textId="77777777">
      <w:pPr>
        <w:pStyle w:val="titlebar"/>
        <w:jc w:val="left"/>
        <w:rPr>
          <w:rFonts w:ascii="Times New Roman" w:hAnsi="Times New Roman"/>
          <w:b w:val="0"/>
          <w:bCs/>
          <w:color w:val="000000"/>
          <w:sz w:val="24"/>
          <w:szCs w:val="24"/>
        </w:rPr>
      </w:pPr>
    </w:p>
    <w:p w:rsidRPr="00476390" w:rsidR="00A92D0B" w:rsidP="00C50C1C" w:rsidRDefault="00A92D0B" w14:paraId="44E03231" w14:textId="77777777">
      <w:pPr>
        <w:pStyle w:val="titlebar"/>
        <w:jc w:val="left"/>
        <w:rPr>
          <w:rFonts w:ascii="Times New Roman" w:hAnsi="Times New Roman"/>
          <w:b w:val="0"/>
          <w:bCs/>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540"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590"/>
        <w:gridCol w:w="4950"/>
      </w:tblGrid>
      <w:tr w:rsidRPr="007F620E" w:rsidR="00A92D0B" w:rsidTr="00C50C1C" w14:paraId="3942D7B4" w14:textId="77777777">
        <w:tc>
          <w:tcPr>
            <w:tcW w:w="4590" w:type="dxa"/>
          </w:tcPr>
          <w:p w:rsidR="00A92D0B" w:rsidRDefault="00056E0D" w14:paraId="3BDE373B" w14:textId="77777777">
            <w:pPr>
              <w:rPr>
                <w:color w:val="000000"/>
              </w:rPr>
            </w:pPr>
            <w:r>
              <w:t>Application of San Diego Gas &amp; Electric Company (U 902-E) for Approval of Real Time Pricing Pilot Rate.</w:t>
            </w:r>
            <w:r w:rsidRPr="007F620E">
              <w:rPr>
                <w:color w:val="000000"/>
              </w:rPr>
              <w:t xml:space="preserve"> </w:t>
            </w:r>
          </w:p>
          <w:p w:rsidRPr="007F620E" w:rsidR="00C50C1C" w:rsidRDefault="00C50C1C" w14:paraId="47850BD9" w14:textId="008F02D4">
            <w:pPr>
              <w:rPr>
                <w:color w:val="000000"/>
              </w:rPr>
            </w:pPr>
          </w:p>
        </w:tc>
        <w:tc>
          <w:tcPr>
            <w:tcW w:w="4950" w:type="dxa"/>
            <w:tcBorders>
              <w:top w:val="nil"/>
              <w:bottom w:val="nil"/>
            </w:tcBorders>
          </w:tcPr>
          <w:p w:rsidR="00C50C1C" w:rsidP="00F908BC" w:rsidRDefault="00C50C1C" w14:paraId="42A0931F" w14:textId="77777777">
            <w:pPr>
              <w:tabs>
                <w:tab w:val="left" w:pos="1440"/>
                <w:tab w:val="left" w:pos="3600"/>
              </w:tabs>
              <w:jc w:val="center"/>
              <w:rPr>
                <w:color w:val="000000"/>
              </w:rPr>
            </w:pPr>
          </w:p>
          <w:p w:rsidRPr="007F620E" w:rsidR="00A92D0B" w:rsidP="00F908BC" w:rsidRDefault="00056E0D" w14:paraId="56246C5B" w14:textId="56F9A7A0">
            <w:pPr>
              <w:tabs>
                <w:tab w:val="left" w:pos="1440"/>
                <w:tab w:val="left" w:pos="3600"/>
              </w:tabs>
              <w:jc w:val="center"/>
              <w:rPr>
                <w:color w:val="000000"/>
              </w:rPr>
            </w:pPr>
            <w:r>
              <w:rPr>
                <w:color w:val="000000"/>
              </w:rPr>
              <w:t>Application 21-12-006</w:t>
            </w:r>
          </w:p>
          <w:p w:rsidR="00850741" w:rsidP="00F908BC" w:rsidRDefault="00850741" w14:paraId="3BC1E3E1" w14:textId="77777777">
            <w:pPr>
              <w:tabs>
                <w:tab w:val="left" w:pos="1440"/>
                <w:tab w:val="left" w:pos="3600"/>
              </w:tabs>
              <w:jc w:val="center"/>
              <w:rPr>
                <w:color w:val="000000"/>
              </w:rPr>
            </w:pPr>
          </w:p>
          <w:p w:rsidRPr="007F620E" w:rsidR="00850741" w:rsidP="00F908BC" w:rsidRDefault="00850741" w14:paraId="7EC7277D" w14:textId="77777777">
            <w:pPr>
              <w:tabs>
                <w:tab w:val="left" w:pos="1440"/>
                <w:tab w:val="left" w:pos="3600"/>
              </w:tabs>
              <w:jc w:val="center"/>
              <w:rPr>
                <w:color w:val="000000"/>
              </w:rPr>
            </w:pPr>
          </w:p>
        </w:tc>
      </w:tr>
      <w:tr w:rsidRPr="007F620E" w:rsidR="00056E0D" w:rsidTr="00C50C1C" w14:paraId="073D86CD" w14:textId="77777777">
        <w:tc>
          <w:tcPr>
            <w:tcW w:w="4590" w:type="dxa"/>
          </w:tcPr>
          <w:p w:rsidR="00C50C1C" w:rsidRDefault="00C50C1C" w14:paraId="6774E291" w14:textId="77777777"/>
          <w:p w:rsidR="00056E0D" w:rsidRDefault="00C50C1C" w14:paraId="2856C834" w14:textId="1ECE3285">
            <w:r>
              <w:t>And Related Matter.</w:t>
            </w:r>
          </w:p>
          <w:p w:rsidR="00850741" w:rsidRDefault="00850741" w14:paraId="78D1968D" w14:textId="593B3160"/>
        </w:tc>
        <w:tc>
          <w:tcPr>
            <w:tcW w:w="4950" w:type="dxa"/>
            <w:tcBorders>
              <w:top w:val="nil"/>
              <w:bottom w:val="nil"/>
            </w:tcBorders>
          </w:tcPr>
          <w:p w:rsidR="00C50C1C" w:rsidP="00F908BC" w:rsidRDefault="00C50C1C" w14:paraId="42102D06" w14:textId="77777777">
            <w:pPr>
              <w:tabs>
                <w:tab w:val="left" w:pos="1440"/>
                <w:tab w:val="left" w:pos="3600"/>
              </w:tabs>
              <w:jc w:val="center"/>
              <w:rPr>
                <w:color w:val="000000"/>
              </w:rPr>
            </w:pPr>
          </w:p>
          <w:p w:rsidR="00056E0D" w:rsidP="00F908BC" w:rsidRDefault="00056E0D" w14:paraId="61D638A9" w14:textId="0A24D51B">
            <w:pPr>
              <w:tabs>
                <w:tab w:val="left" w:pos="1440"/>
                <w:tab w:val="left" w:pos="3600"/>
              </w:tabs>
              <w:jc w:val="center"/>
              <w:rPr>
                <w:color w:val="000000"/>
              </w:rPr>
            </w:pPr>
            <w:r>
              <w:rPr>
                <w:color w:val="000000"/>
              </w:rPr>
              <w:t>Application 21-12-008</w:t>
            </w:r>
          </w:p>
          <w:p w:rsidRPr="007F620E" w:rsidR="00056E0D" w:rsidP="00F908BC" w:rsidRDefault="00056E0D" w14:paraId="1B898EF1" w14:textId="20ABC39E">
            <w:pPr>
              <w:tabs>
                <w:tab w:val="left" w:pos="1440"/>
                <w:tab w:val="left" w:pos="3600"/>
              </w:tabs>
              <w:jc w:val="center"/>
              <w:rPr>
                <w:color w:val="000000"/>
              </w:rPr>
            </w:pPr>
          </w:p>
        </w:tc>
      </w:tr>
    </w:tbl>
    <w:p w:rsidRPr="007F620E" w:rsidR="00FC72B7" w:rsidRDefault="00FC72B7" w14:paraId="5459E071" w14:textId="77777777">
      <w:pPr>
        <w:jc w:val="center"/>
        <w:rPr>
          <w:b/>
          <w:color w:val="000000"/>
        </w:rPr>
      </w:pPr>
    </w:p>
    <w:p w:rsidRPr="00691528" w:rsidR="00A92D0B" w:rsidP="00671569" w:rsidRDefault="00097C42" w14:paraId="17BB0C52" w14:textId="15185EF5">
      <w:pPr>
        <w:jc w:val="center"/>
        <w:rPr>
          <w:b/>
          <w:shd w:val="clear" w:color="auto" w:fill="CCFFCC"/>
        </w:rPr>
      </w:pPr>
      <w:r>
        <w:rPr>
          <w:b/>
        </w:rPr>
        <w:t xml:space="preserve">DECISION GRANTING COMPENSATION TO </w:t>
      </w:r>
      <w:r w:rsidRPr="00671569" w:rsidR="00056E0D">
        <w:rPr>
          <w:b/>
        </w:rPr>
        <w:t>ENVIRONMENTAL DEFENSE FUND</w:t>
      </w:r>
      <w:r w:rsidR="00671569">
        <w:rPr>
          <w:b/>
          <w:shd w:val="clear" w:color="auto" w:fill="CCFFCC"/>
        </w:rPr>
        <w:t xml:space="preserve"> </w:t>
      </w:r>
      <w:r w:rsidR="00671569">
        <w:rPr>
          <w:b/>
        </w:rPr>
        <w:t xml:space="preserve">FOR SUBSTANTIAL CONTRIBUTION TO DECISION </w:t>
      </w:r>
      <w:r w:rsidR="00F908BC">
        <w:rPr>
          <w:b/>
        </w:rPr>
        <w:t xml:space="preserve">(D.) </w:t>
      </w:r>
      <w:r w:rsidR="00671569">
        <w:rPr>
          <w:b/>
        </w:rPr>
        <w:t>23-11-006</w:t>
      </w:r>
    </w:p>
    <w:p w:rsidRPr="00691528" w:rsidR="00374FD1" w:rsidRDefault="00374FD1" w14:paraId="7DD45571" w14:textId="77777777">
      <w:pPr>
        <w:jc w:val="center"/>
        <w:rPr>
          <w:b/>
          <w:shd w:val="clear" w:color="auto" w:fill="CCFFCC"/>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495"/>
        <w:gridCol w:w="4865"/>
      </w:tblGrid>
      <w:tr w:rsidRPr="007F620E" w:rsidR="00A92D0B" w:rsidTr="00C50C1C" w14:paraId="0FE98F62" w14:textId="77777777">
        <w:tc>
          <w:tcPr>
            <w:tcW w:w="4495" w:type="dxa"/>
          </w:tcPr>
          <w:p w:rsidRPr="00691528" w:rsidR="00A92D0B" w:rsidP="00C47A2B" w:rsidRDefault="005A63D4" w14:paraId="11570D4A" w14:textId="2A8CA3D9">
            <w:pPr>
              <w:tabs>
                <w:tab w:val="left" w:pos="1620"/>
                <w:tab w:val="right" w:pos="4500"/>
              </w:tabs>
              <w:rPr>
                <w:color w:val="000000"/>
              </w:rPr>
            </w:pPr>
            <w:r w:rsidRPr="007F620E">
              <w:rPr>
                <w:b/>
                <w:color w:val="000000"/>
              </w:rPr>
              <w:t>Intervenor</w:t>
            </w:r>
            <w:r w:rsidRPr="007F620E" w:rsidR="00F63C29">
              <w:rPr>
                <w:b/>
                <w:color w:val="000000"/>
              </w:rPr>
              <w:t>:</w:t>
            </w:r>
            <w:r w:rsidR="00691528">
              <w:rPr>
                <w:b/>
                <w:color w:val="000000"/>
              </w:rPr>
              <w:t xml:space="preserve"> </w:t>
            </w:r>
            <w:r w:rsidRPr="00795DFC" w:rsidR="00056E0D">
              <w:rPr>
                <w:bCs/>
                <w:color w:val="000000"/>
              </w:rPr>
              <w:t>Environmental Defense Fund</w:t>
            </w:r>
          </w:p>
        </w:tc>
        <w:tc>
          <w:tcPr>
            <w:tcW w:w="4865" w:type="dxa"/>
          </w:tcPr>
          <w:p w:rsidRPr="007F620E" w:rsidR="00A92D0B" w:rsidP="00C47A2B" w:rsidRDefault="00A92D0B" w14:paraId="53A584EE" w14:textId="5B03E1B6">
            <w:pPr>
              <w:tabs>
                <w:tab w:val="left" w:pos="1872"/>
                <w:tab w:val="right" w:pos="3672"/>
              </w:tabs>
              <w:rPr>
                <w:b/>
                <w:color w:val="000000"/>
              </w:rPr>
            </w:pPr>
            <w:r w:rsidRPr="007F620E">
              <w:rPr>
                <w:b/>
                <w:color w:val="000000"/>
              </w:rPr>
              <w:t>For contribution to D</w:t>
            </w:r>
            <w:r w:rsidRPr="007F620E" w:rsidR="00DE3A5D">
              <w:rPr>
                <w:b/>
                <w:color w:val="000000"/>
              </w:rPr>
              <w:t xml:space="preserve">ecision (D.) </w:t>
            </w:r>
            <w:r w:rsidR="00A466A5">
              <w:rPr>
                <w:b/>
                <w:color w:val="000000"/>
              </w:rPr>
              <w:t>23-11-006</w:t>
            </w:r>
          </w:p>
        </w:tc>
      </w:tr>
      <w:tr w:rsidRPr="007F620E" w:rsidR="00A92D0B" w:rsidTr="00C50C1C" w14:paraId="47003B8E" w14:textId="77777777">
        <w:tc>
          <w:tcPr>
            <w:tcW w:w="4495" w:type="dxa"/>
          </w:tcPr>
          <w:p w:rsidRPr="007F620E" w:rsidR="00A92D0B" w:rsidP="00C47A2B" w:rsidRDefault="00A92D0B" w14:paraId="0E2E4BD1" w14:textId="046CA453">
            <w:pPr>
              <w:tabs>
                <w:tab w:val="left" w:pos="1620"/>
                <w:tab w:val="right" w:pos="4500"/>
              </w:tabs>
              <w:rPr>
                <w:b/>
                <w:color w:val="000000"/>
                <w:u w:val="single"/>
              </w:rPr>
            </w:pPr>
            <w:r w:rsidRPr="007F620E">
              <w:rPr>
                <w:b/>
                <w:color w:val="000000"/>
              </w:rPr>
              <w:t>Claimed:</w:t>
            </w:r>
            <w:r w:rsidRPr="007F620E" w:rsidR="00F63C29">
              <w:rPr>
                <w:b/>
                <w:color w:val="000000"/>
              </w:rPr>
              <w:t xml:space="preserve"> </w:t>
            </w:r>
            <w:r w:rsidR="002D21CA">
              <w:rPr>
                <w:b/>
                <w:color w:val="000000"/>
              </w:rPr>
              <w:t xml:space="preserve"> </w:t>
            </w:r>
            <w:r w:rsidRPr="002C16D3" w:rsidR="00FC72B7">
              <w:rPr>
                <w:bCs/>
                <w:color w:val="000000"/>
              </w:rPr>
              <w:t>$</w:t>
            </w:r>
            <w:r w:rsidRPr="002C16D3" w:rsidR="00023B21">
              <w:rPr>
                <w:bCs/>
                <w:color w:val="000000"/>
              </w:rPr>
              <w:t>89,498.25</w:t>
            </w:r>
          </w:p>
        </w:tc>
        <w:tc>
          <w:tcPr>
            <w:tcW w:w="4865" w:type="dxa"/>
            <w:tcBorders>
              <w:bottom w:val="single" w:color="auto" w:sz="4" w:space="0"/>
            </w:tcBorders>
          </w:tcPr>
          <w:p w:rsidRPr="007F620E" w:rsidR="00A92D0B" w:rsidP="00C47A2B" w:rsidRDefault="00A92D0B" w14:paraId="211F40A8" w14:textId="58A6DD3F">
            <w:pPr>
              <w:tabs>
                <w:tab w:val="left" w:pos="1872"/>
                <w:tab w:val="right" w:pos="3672"/>
              </w:tabs>
              <w:rPr>
                <w:b/>
                <w:color w:val="000000"/>
                <w:u w:val="single"/>
              </w:rPr>
            </w:pPr>
            <w:r w:rsidRPr="007F620E">
              <w:rPr>
                <w:b/>
                <w:color w:val="000000"/>
              </w:rPr>
              <w:t>Awarded:</w:t>
            </w:r>
            <w:r w:rsidRPr="007F620E" w:rsidR="00FC72B7">
              <w:rPr>
                <w:b/>
                <w:color w:val="000000"/>
              </w:rPr>
              <w:t xml:space="preserve">  </w:t>
            </w:r>
            <w:r w:rsidRPr="002C16D3" w:rsidR="00FC72B7">
              <w:rPr>
                <w:bCs/>
                <w:color w:val="000000"/>
              </w:rPr>
              <w:t>$</w:t>
            </w:r>
            <w:r w:rsidR="00E50EE0">
              <w:rPr>
                <w:bCs/>
                <w:color w:val="000000"/>
              </w:rPr>
              <w:t>74,006.30</w:t>
            </w:r>
          </w:p>
        </w:tc>
      </w:tr>
      <w:tr w:rsidRPr="007F620E" w:rsidR="00A92D0B" w:rsidTr="00C50C1C" w14:paraId="5C56877D" w14:textId="77777777">
        <w:tc>
          <w:tcPr>
            <w:tcW w:w="4495" w:type="dxa"/>
          </w:tcPr>
          <w:p w:rsidRPr="00691528" w:rsidR="00A92D0B" w:rsidP="00C47A2B" w:rsidRDefault="00A92D0B" w14:paraId="6EF99E36" w14:textId="358F03C1">
            <w:pPr>
              <w:tabs>
                <w:tab w:val="left" w:pos="3060"/>
                <w:tab w:val="right" w:pos="4500"/>
              </w:tabs>
              <w:rPr>
                <w:color w:val="000000"/>
                <w:u w:val="single"/>
              </w:rPr>
            </w:pPr>
            <w:r w:rsidRPr="007F620E">
              <w:rPr>
                <w:b/>
                <w:color w:val="000000"/>
              </w:rPr>
              <w:t xml:space="preserve">Assigned Commissioner: </w:t>
            </w:r>
            <w:r w:rsidR="00945285">
              <w:rPr>
                <w:bCs/>
                <w:color w:val="000000"/>
              </w:rPr>
              <w:t>Alice Reynolds</w:t>
            </w:r>
            <w:r w:rsidR="00945285">
              <w:rPr>
                <w:rStyle w:val="FootnoteReference"/>
                <w:bCs/>
                <w:color w:val="000000"/>
              </w:rPr>
              <w:footnoteReference w:id="1"/>
            </w:r>
          </w:p>
        </w:tc>
        <w:tc>
          <w:tcPr>
            <w:tcW w:w="4865" w:type="dxa"/>
          </w:tcPr>
          <w:p w:rsidRPr="00691528" w:rsidR="00A92D0B" w:rsidP="00C47A2B" w:rsidRDefault="00A92D0B" w14:paraId="79375F78" w14:textId="020AE477">
            <w:pPr>
              <w:tabs>
                <w:tab w:val="left" w:pos="1872"/>
                <w:tab w:val="right" w:pos="3672"/>
              </w:tabs>
              <w:rPr>
                <w:color w:val="000000"/>
                <w:u w:val="single"/>
              </w:rPr>
            </w:pPr>
            <w:r w:rsidRPr="007F620E">
              <w:rPr>
                <w:b/>
                <w:color w:val="000000"/>
              </w:rPr>
              <w:t>Assigned ALJ:</w:t>
            </w:r>
            <w:r w:rsidRPr="007F620E" w:rsidR="00F63C29">
              <w:rPr>
                <w:b/>
                <w:color w:val="000000"/>
              </w:rPr>
              <w:t xml:space="preserve"> </w:t>
            </w:r>
            <w:r w:rsidRPr="00F752A3" w:rsidR="00F752A3">
              <w:rPr>
                <w:bCs/>
                <w:color w:val="000000"/>
              </w:rPr>
              <w:t>Stephanie Wang</w:t>
            </w:r>
          </w:p>
        </w:tc>
      </w:tr>
    </w:tbl>
    <w:p w:rsidR="00691528" w:rsidP="00055843" w:rsidRDefault="00A92D0B" w14:paraId="3CEED871" w14:textId="6819F6CB">
      <w:pPr>
        <w:keepNext/>
        <w:spacing w:before="480"/>
        <w:jc w:val="center"/>
        <w:rPr>
          <w:b/>
          <w:color w:val="000000"/>
        </w:rPr>
      </w:pPr>
      <w:r w:rsidRPr="007F620E">
        <w:rPr>
          <w:b/>
          <w:color w:val="000000"/>
        </w:rPr>
        <w:t>PART I</w:t>
      </w:r>
      <w:r w:rsidRPr="007F620E" w:rsidR="00100C87">
        <w:rPr>
          <w:b/>
          <w:color w:val="000000"/>
        </w:rPr>
        <w:t>:</w:t>
      </w:r>
      <w:r w:rsidR="00100C87">
        <w:rPr>
          <w:b/>
          <w:color w:val="000000"/>
        </w:rPr>
        <w:t xml:space="preserve"> PROCEDURAL</w:t>
      </w:r>
      <w:r w:rsidRPr="007F620E">
        <w:rPr>
          <w:b/>
          <w:color w:val="000000"/>
        </w:rPr>
        <w:t xml:space="preserve"> ISSUES</w:t>
      </w:r>
    </w:p>
    <w:p w:rsidRPr="007F620E" w:rsidR="00A92D0B" w:rsidP="00055843" w:rsidRDefault="00A92D0B" w14:paraId="37AA25BD" w14:textId="77777777">
      <w:pPr>
        <w:keepNext/>
        <w:rPr>
          <w:color w:val="000000"/>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5827"/>
      </w:tblGrid>
      <w:tr w:rsidRPr="007F620E" w:rsidR="00A92D0B" w:rsidTr="00C75703"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5827" w:type="dxa"/>
          </w:tcPr>
          <w:p w:rsidRPr="007F620E" w:rsidR="00E07C21" w:rsidP="00271FCB" w:rsidRDefault="00A466A5" w14:paraId="67B8ECAA" w14:textId="5EF25BB6">
            <w:pPr>
              <w:rPr>
                <w:color w:val="000000"/>
              </w:rPr>
            </w:pPr>
            <w:r>
              <w:rPr>
                <w:color w:val="000000"/>
              </w:rPr>
              <w:t>Decision Adopting Dynamic Export Rate Pilot and Dismissing Application for a Real Time Pricing Rate Pilot (D.23-11-006</w:t>
            </w:r>
            <w:r w:rsidR="006C32B4">
              <w:rPr>
                <w:color w:val="000000"/>
              </w:rPr>
              <w:t>).</w:t>
            </w:r>
          </w:p>
        </w:tc>
      </w:tr>
    </w:tbl>
    <w:p w:rsidRPr="007F620E" w:rsidR="00A92D0B" w:rsidP="00880855" w:rsidRDefault="005A63D4" w14:paraId="2FBF046C" w14:textId="5634B7BB">
      <w:pPr>
        <w:keepNext/>
        <w:numPr>
          <w:ilvl w:val="0"/>
          <w:numId w:val="5"/>
        </w:numPr>
        <w:spacing w:before="240" w:after="240"/>
        <w:rPr>
          <w:b/>
          <w:color w:val="000000"/>
        </w:rPr>
      </w:pPr>
      <w:r w:rsidRPr="007F620E">
        <w:rPr>
          <w:b/>
          <w:color w:val="000000"/>
        </w:rPr>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B2684E">
        <w:rPr>
          <w:b/>
          <w:color w:val="000000"/>
        </w:rPr>
        <w:t>:</w:t>
      </w:r>
      <w:r w:rsidR="003B6A1B">
        <w:rPr>
          <w:rStyle w:val="FootnoteReference"/>
          <w:b/>
          <w:color w:val="000000"/>
        </w:rPr>
        <w:footnoteReference w:id="2"/>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C50C1C" w:rsidR="00A92D0B" w:rsidTr="00F028C8" w14:paraId="640CF70A" w14:textId="77777777">
        <w:trPr>
          <w:tblHeader/>
        </w:trPr>
        <w:tc>
          <w:tcPr>
            <w:tcW w:w="4817" w:type="dxa"/>
            <w:tcBorders>
              <w:bottom w:val="single" w:color="auto" w:sz="4" w:space="0"/>
            </w:tcBorders>
          </w:tcPr>
          <w:p w:rsidRPr="00C50C1C"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C50C1C" w:rsidR="00A92D0B" w:rsidP="00F028C8" w:rsidRDefault="005A63D4" w14:paraId="1412A3C6" w14:textId="77777777">
            <w:pPr>
              <w:tabs>
                <w:tab w:val="left" w:pos="360"/>
              </w:tabs>
              <w:jc w:val="center"/>
              <w:rPr>
                <w:b/>
                <w:color w:val="000000"/>
              </w:rPr>
            </w:pPr>
            <w:r w:rsidRPr="00C50C1C">
              <w:rPr>
                <w:b/>
                <w:color w:val="000000"/>
              </w:rPr>
              <w:t>Intervenor</w:t>
            </w:r>
          </w:p>
        </w:tc>
        <w:tc>
          <w:tcPr>
            <w:tcW w:w="2276" w:type="dxa"/>
            <w:tcBorders>
              <w:bottom w:val="single" w:color="auto" w:sz="4" w:space="0"/>
            </w:tcBorders>
          </w:tcPr>
          <w:p w:rsidRPr="00C50C1C" w:rsidR="00A92D0B" w:rsidP="00F028C8" w:rsidRDefault="00A92D0B" w14:paraId="2A218C38" w14:textId="386C9A6A">
            <w:pPr>
              <w:tabs>
                <w:tab w:val="left" w:pos="360"/>
              </w:tabs>
              <w:jc w:val="center"/>
              <w:rPr>
                <w:b/>
                <w:color w:val="000000"/>
              </w:rPr>
            </w:pPr>
            <w:r w:rsidRPr="00C50C1C">
              <w:rPr>
                <w:b/>
                <w:color w:val="000000"/>
              </w:rPr>
              <w:t xml:space="preserve">CPUC </w:t>
            </w:r>
            <w:r w:rsidRPr="00C50C1C" w:rsidR="0081626F">
              <w:rPr>
                <w:b/>
                <w:color w:val="000000"/>
              </w:rPr>
              <w:t>Verification</w:t>
            </w:r>
          </w:p>
        </w:tc>
      </w:tr>
      <w:tr w:rsidRPr="00C50C1C" w:rsidR="00A92D0B" w:rsidTr="00F028C8"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50C1C" w:rsidR="00A92D0B" w:rsidP="00F028C8" w:rsidRDefault="00A92D0B" w14:paraId="606E2B66" w14:textId="77777777">
            <w:pPr>
              <w:keepNext/>
              <w:tabs>
                <w:tab w:val="left" w:pos="360"/>
              </w:tabs>
              <w:jc w:val="center"/>
              <w:rPr>
                <w:b/>
              </w:rPr>
            </w:pPr>
            <w:r w:rsidRPr="00C50C1C">
              <w:rPr>
                <w:b/>
              </w:rPr>
              <w:t>Timely filing of notice of intent to claim compensation (NOI) (§ 1804(a)):</w:t>
            </w:r>
          </w:p>
        </w:tc>
      </w:tr>
      <w:tr w:rsidRPr="00C50C1C" w:rsidR="00A92D0B" w:rsidTr="00271FCB" w14:paraId="160E284A" w14:textId="77777777">
        <w:tc>
          <w:tcPr>
            <w:tcW w:w="4817" w:type="dxa"/>
            <w:tcBorders>
              <w:top w:val="single" w:color="auto" w:sz="4" w:space="0"/>
            </w:tcBorders>
          </w:tcPr>
          <w:p w:rsidRPr="00C50C1C" w:rsidR="00A92D0B" w:rsidP="00F028C8" w:rsidRDefault="00A92D0B" w14:paraId="44D1876C" w14:textId="478A95F3">
            <w:pPr>
              <w:keepNext/>
              <w:tabs>
                <w:tab w:val="left" w:pos="360"/>
              </w:tabs>
              <w:ind w:left="360" w:hanging="360"/>
              <w:rPr>
                <w:color w:val="000000"/>
              </w:rPr>
            </w:pPr>
            <w:r w:rsidRPr="00C50C1C">
              <w:rPr>
                <w:color w:val="000000"/>
              </w:rPr>
              <w:t>1.</w:t>
            </w:r>
            <w:r w:rsidRPr="00C50C1C" w:rsidR="001E7EE2">
              <w:rPr>
                <w:color w:val="000000"/>
              </w:rPr>
              <w:tab/>
            </w:r>
            <w:r w:rsidRPr="00C50C1C">
              <w:rPr>
                <w:color w:val="000000"/>
              </w:rPr>
              <w:t>Date of Prehearing Conference:</w:t>
            </w:r>
          </w:p>
        </w:tc>
        <w:tc>
          <w:tcPr>
            <w:tcW w:w="2267" w:type="dxa"/>
            <w:tcBorders>
              <w:top w:val="single" w:color="auto" w:sz="4" w:space="0"/>
            </w:tcBorders>
          </w:tcPr>
          <w:p w:rsidRPr="00C50C1C" w:rsidR="00A92D0B" w:rsidP="00F028C8" w:rsidRDefault="00056E0D" w14:paraId="35450816" w14:textId="458E69E3">
            <w:pPr>
              <w:keepNext/>
              <w:keepLines/>
              <w:tabs>
                <w:tab w:val="left" w:pos="360"/>
              </w:tabs>
              <w:ind w:left="360" w:hanging="360"/>
              <w:rPr>
                <w:color w:val="000000"/>
              </w:rPr>
            </w:pPr>
            <w:r w:rsidRPr="00C50C1C">
              <w:rPr>
                <w:color w:val="000000"/>
              </w:rPr>
              <w:t>2/9/2022</w:t>
            </w:r>
          </w:p>
        </w:tc>
        <w:tc>
          <w:tcPr>
            <w:tcW w:w="2276" w:type="dxa"/>
            <w:tcBorders>
              <w:top w:val="single" w:color="auto" w:sz="4" w:space="0"/>
            </w:tcBorders>
          </w:tcPr>
          <w:p w:rsidRPr="00C50C1C" w:rsidR="00A92D0B" w:rsidP="00795DFC" w:rsidRDefault="00A41239" w14:paraId="34540344" w14:textId="22180803">
            <w:pPr>
              <w:keepNext/>
              <w:tabs>
                <w:tab w:val="left" w:pos="360"/>
              </w:tabs>
              <w:rPr>
                <w:color w:val="000000"/>
              </w:rPr>
            </w:pPr>
            <w:r w:rsidRPr="00C50C1C">
              <w:rPr>
                <w:color w:val="000000"/>
              </w:rPr>
              <w:t>Verified</w:t>
            </w:r>
          </w:p>
        </w:tc>
      </w:tr>
      <w:tr w:rsidRPr="00C50C1C" w:rsidR="00A92D0B" w:rsidTr="00271FCB" w14:paraId="24C85564" w14:textId="77777777">
        <w:tc>
          <w:tcPr>
            <w:tcW w:w="4817" w:type="dxa"/>
          </w:tcPr>
          <w:p w:rsidRPr="00C50C1C" w:rsidR="00A92D0B" w:rsidP="00F028C8" w:rsidRDefault="00A92D0B" w14:paraId="382C5788" w14:textId="49F0E39E">
            <w:pPr>
              <w:tabs>
                <w:tab w:val="left" w:pos="360"/>
              </w:tabs>
              <w:ind w:left="360" w:hanging="360"/>
              <w:rPr>
                <w:color w:val="000000"/>
              </w:rPr>
            </w:pPr>
            <w:r w:rsidRPr="00C50C1C">
              <w:rPr>
                <w:color w:val="000000"/>
              </w:rPr>
              <w:t>2.</w:t>
            </w:r>
            <w:r w:rsidRPr="00C50C1C" w:rsidR="001E7EE2">
              <w:rPr>
                <w:color w:val="000000"/>
              </w:rPr>
              <w:tab/>
            </w:r>
            <w:r w:rsidRPr="00C50C1C">
              <w:rPr>
                <w:color w:val="000000"/>
              </w:rPr>
              <w:t xml:space="preserve">Other </w:t>
            </w:r>
            <w:r w:rsidRPr="00C50C1C" w:rsidR="00A319DE">
              <w:rPr>
                <w:color w:val="000000"/>
              </w:rPr>
              <w:t>s</w:t>
            </w:r>
            <w:r w:rsidRPr="00C50C1C">
              <w:rPr>
                <w:color w:val="000000"/>
              </w:rPr>
              <w:t xml:space="preserve">pecified </w:t>
            </w:r>
            <w:r w:rsidRPr="00C50C1C" w:rsidR="00A319DE">
              <w:rPr>
                <w:color w:val="000000"/>
              </w:rPr>
              <w:t>d</w:t>
            </w:r>
            <w:r w:rsidRPr="00C50C1C">
              <w:rPr>
                <w:color w:val="000000"/>
              </w:rPr>
              <w:t>ate for NOI:</w:t>
            </w:r>
          </w:p>
        </w:tc>
        <w:tc>
          <w:tcPr>
            <w:tcW w:w="2267" w:type="dxa"/>
          </w:tcPr>
          <w:p w:rsidRPr="00C50C1C" w:rsidR="00A92D0B" w:rsidP="00F028C8" w:rsidRDefault="00A92D0B" w14:paraId="1826BC2C" w14:textId="77777777">
            <w:pPr>
              <w:keepNext/>
              <w:keepLines/>
              <w:tabs>
                <w:tab w:val="left" w:pos="360"/>
              </w:tabs>
              <w:ind w:left="360" w:hanging="360"/>
              <w:rPr>
                <w:color w:val="000000"/>
              </w:rPr>
            </w:pPr>
          </w:p>
        </w:tc>
        <w:tc>
          <w:tcPr>
            <w:tcW w:w="2276" w:type="dxa"/>
          </w:tcPr>
          <w:p w:rsidRPr="00C50C1C" w:rsidR="00A92D0B" w:rsidP="00F028C8" w:rsidRDefault="00A92D0B" w14:paraId="210DAD91" w14:textId="77777777">
            <w:pPr>
              <w:tabs>
                <w:tab w:val="left" w:pos="360"/>
              </w:tabs>
              <w:jc w:val="both"/>
              <w:rPr>
                <w:color w:val="000000"/>
              </w:rPr>
            </w:pPr>
          </w:p>
        </w:tc>
      </w:tr>
      <w:tr w:rsidRPr="00C50C1C" w:rsidR="00A92D0B" w:rsidTr="00271FCB" w14:paraId="4836EEA6" w14:textId="77777777">
        <w:tc>
          <w:tcPr>
            <w:tcW w:w="4817" w:type="dxa"/>
          </w:tcPr>
          <w:p w:rsidRPr="00C50C1C" w:rsidR="00A92D0B" w:rsidP="00F028C8" w:rsidRDefault="00A92D0B" w14:paraId="34809C45" w14:textId="2501A8A3">
            <w:pPr>
              <w:tabs>
                <w:tab w:val="left" w:pos="360"/>
              </w:tabs>
              <w:ind w:left="360" w:hanging="360"/>
              <w:rPr>
                <w:color w:val="000000"/>
              </w:rPr>
            </w:pPr>
            <w:r w:rsidRPr="00C50C1C">
              <w:rPr>
                <w:color w:val="000000"/>
              </w:rPr>
              <w:lastRenderedPageBreak/>
              <w:t>3.</w:t>
            </w:r>
            <w:r w:rsidRPr="00C50C1C" w:rsidR="001E7EE2">
              <w:rPr>
                <w:color w:val="000000"/>
              </w:rPr>
              <w:tab/>
            </w:r>
            <w:r w:rsidRPr="00C50C1C">
              <w:rPr>
                <w:color w:val="000000"/>
              </w:rPr>
              <w:t xml:space="preserve">Date NOI </w:t>
            </w:r>
            <w:r w:rsidRPr="00C50C1C" w:rsidR="00A319DE">
              <w:rPr>
                <w:color w:val="000000"/>
              </w:rPr>
              <w:t>f</w:t>
            </w:r>
            <w:r w:rsidRPr="00C50C1C">
              <w:rPr>
                <w:color w:val="000000"/>
              </w:rPr>
              <w:t>iled:</w:t>
            </w:r>
          </w:p>
        </w:tc>
        <w:tc>
          <w:tcPr>
            <w:tcW w:w="2267" w:type="dxa"/>
            <w:tcBorders>
              <w:bottom w:val="single" w:color="auto" w:sz="4" w:space="0"/>
            </w:tcBorders>
          </w:tcPr>
          <w:p w:rsidRPr="00C50C1C" w:rsidR="00A92D0B" w:rsidP="00F028C8" w:rsidRDefault="00056E0D" w14:paraId="44F7CCB9" w14:textId="0613F0A1">
            <w:pPr>
              <w:keepNext/>
              <w:keepLines/>
              <w:tabs>
                <w:tab w:val="left" w:pos="360"/>
              </w:tabs>
              <w:ind w:left="360" w:hanging="360"/>
              <w:rPr>
                <w:color w:val="000000"/>
              </w:rPr>
            </w:pPr>
            <w:r w:rsidRPr="00C50C1C">
              <w:rPr>
                <w:color w:val="000000"/>
              </w:rPr>
              <w:t>3/1/2022</w:t>
            </w:r>
          </w:p>
        </w:tc>
        <w:tc>
          <w:tcPr>
            <w:tcW w:w="2276" w:type="dxa"/>
            <w:tcBorders>
              <w:bottom w:val="single" w:color="auto" w:sz="4" w:space="0"/>
            </w:tcBorders>
          </w:tcPr>
          <w:p w:rsidRPr="00C50C1C" w:rsidR="00A92D0B" w:rsidP="00F028C8" w:rsidRDefault="009F1BCC" w14:paraId="71759DE3" w14:textId="70F18DCD">
            <w:pPr>
              <w:tabs>
                <w:tab w:val="left" w:pos="360"/>
              </w:tabs>
              <w:jc w:val="both"/>
              <w:rPr>
                <w:color w:val="000000"/>
              </w:rPr>
            </w:pPr>
            <w:r w:rsidRPr="00C50C1C">
              <w:rPr>
                <w:color w:val="000000"/>
              </w:rPr>
              <w:t>Verified</w:t>
            </w:r>
          </w:p>
        </w:tc>
      </w:tr>
      <w:tr w:rsidRPr="00C50C1C" w:rsidR="00A92D0B" w:rsidTr="00F028C8" w14:paraId="22BBCDE3" w14:textId="77777777">
        <w:tc>
          <w:tcPr>
            <w:tcW w:w="7084" w:type="dxa"/>
            <w:gridSpan w:val="2"/>
            <w:tcBorders>
              <w:bottom w:val="single" w:color="auto" w:sz="4" w:space="0"/>
            </w:tcBorders>
          </w:tcPr>
          <w:p w:rsidRPr="00C50C1C" w:rsidR="00A92D0B" w:rsidP="00F028C8" w:rsidRDefault="00A92D0B" w14:paraId="7E6E2068" w14:textId="1D4DD6B8">
            <w:pPr>
              <w:tabs>
                <w:tab w:val="left" w:pos="360"/>
              </w:tabs>
              <w:ind w:left="360" w:hanging="360"/>
              <w:rPr>
                <w:color w:val="000000"/>
              </w:rPr>
            </w:pPr>
            <w:r w:rsidRPr="00C50C1C">
              <w:rPr>
                <w:color w:val="000000"/>
              </w:rPr>
              <w:t>4.</w:t>
            </w:r>
            <w:r w:rsidRPr="00C50C1C" w:rsidR="001E7EE2">
              <w:rPr>
                <w:color w:val="000000"/>
              </w:rPr>
              <w:tab/>
            </w:r>
            <w:r w:rsidRPr="00C50C1C">
              <w:rPr>
                <w:color w:val="000000"/>
              </w:rPr>
              <w:t>Was the NOI timely filed?</w:t>
            </w:r>
          </w:p>
        </w:tc>
        <w:tc>
          <w:tcPr>
            <w:tcW w:w="2276" w:type="dxa"/>
            <w:tcBorders>
              <w:bottom w:val="single" w:color="auto" w:sz="4" w:space="0"/>
            </w:tcBorders>
          </w:tcPr>
          <w:p w:rsidRPr="00C50C1C" w:rsidR="00A92D0B" w:rsidP="00F028C8" w:rsidRDefault="009F1BCC" w14:paraId="61DE2845" w14:textId="26AA4D08">
            <w:pPr>
              <w:tabs>
                <w:tab w:val="left" w:pos="360"/>
              </w:tabs>
              <w:rPr>
                <w:color w:val="000000"/>
              </w:rPr>
            </w:pPr>
            <w:r w:rsidRPr="00C50C1C">
              <w:rPr>
                <w:color w:val="000000"/>
              </w:rPr>
              <w:t>Yes</w:t>
            </w:r>
          </w:p>
        </w:tc>
      </w:tr>
      <w:tr w:rsidRPr="00C50C1C" w:rsidR="00A92D0B"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C50C1C" w:rsidR="00F028C8" w:rsidP="00F028C8" w:rsidRDefault="00A92D0B" w14:paraId="003AB151" w14:textId="75841E30">
            <w:pPr>
              <w:keepNext/>
              <w:keepLines/>
              <w:tabs>
                <w:tab w:val="left" w:pos="360"/>
              </w:tabs>
              <w:jc w:val="center"/>
              <w:rPr>
                <w:b/>
                <w:color w:val="000000"/>
              </w:rPr>
            </w:pPr>
            <w:r w:rsidRPr="00C50C1C">
              <w:rPr>
                <w:b/>
                <w:color w:val="000000"/>
              </w:rPr>
              <w:t xml:space="preserve">Showing of </w:t>
            </w:r>
            <w:r w:rsidRPr="00C50C1C" w:rsidR="00F63C29">
              <w:rPr>
                <w:b/>
                <w:color w:val="000000"/>
              </w:rPr>
              <w:t xml:space="preserve">eligible </w:t>
            </w:r>
            <w:r w:rsidRPr="00C50C1C">
              <w:rPr>
                <w:b/>
                <w:color w:val="000000"/>
              </w:rPr>
              <w:t xml:space="preserve">customer </w:t>
            </w:r>
            <w:r w:rsidRPr="00C50C1C" w:rsidR="00F63C29">
              <w:rPr>
                <w:b/>
                <w:color w:val="000000"/>
              </w:rPr>
              <w:t>status (§ 1802(b)</w:t>
            </w:r>
            <w:r w:rsidRPr="00C50C1C" w:rsidR="00F028C8">
              <w:rPr>
                <w:b/>
                <w:color w:val="000000"/>
              </w:rPr>
              <w:t>)</w:t>
            </w:r>
          </w:p>
          <w:p w:rsidRPr="00C50C1C" w:rsidR="00A92D0B" w:rsidP="00F028C8" w:rsidRDefault="00F63C29" w14:paraId="19D649BF" w14:textId="31FAE647">
            <w:pPr>
              <w:keepNext/>
              <w:keepLines/>
              <w:tabs>
                <w:tab w:val="left" w:pos="360"/>
              </w:tabs>
              <w:jc w:val="center"/>
              <w:rPr>
                <w:b/>
                <w:color w:val="000000"/>
              </w:rPr>
            </w:pPr>
            <w:r w:rsidRPr="00C50C1C">
              <w:rPr>
                <w:b/>
                <w:color w:val="000000"/>
              </w:rPr>
              <w:t xml:space="preserve"> or eligible local government entity </w:t>
            </w:r>
            <w:r w:rsidRPr="00C50C1C" w:rsidR="00ED6B6B">
              <w:rPr>
                <w:b/>
                <w:color w:val="000000"/>
              </w:rPr>
              <w:t>status</w:t>
            </w:r>
            <w:r w:rsidRPr="00C50C1C" w:rsidR="00F028C8">
              <w:rPr>
                <w:b/>
                <w:color w:val="000000"/>
              </w:rPr>
              <w:t xml:space="preserve"> </w:t>
            </w:r>
            <w:r w:rsidRPr="00C50C1C">
              <w:rPr>
                <w:b/>
                <w:color w:val="000000"/>
              </w:rPr>
              <w:t>(§§ 1802(d), 1802.4)</w:t>
            </w:r>
            <w:r w:rsidRPr="00C50C1C" w:rsidR="00A92D0B">
              <w:rPr>
                <w:b/>
                <w:color w:val="000000"/>
              </w:rPr>
              <w:t>:</w:t>
            </w:r>
          </w:p>
        </w:tc>
      </w:tr>
      <w:tr w:rsidRPr="00C50C1C" w:rsidR="00A92D0B" w:rsidTr="00271FCB" w14:paraId="259EC227" w14:textId="77777777">
        <w:tc>
          <w:tcPr>
            <w:tcW w:w="4817" w:type="dxa"/>
            <w:tcBorders>
              <w:top w:val="single" w:color="auto" w:sz="4" w:space="0"/>
            </w:tcBorders>
          </w:tcPr>
          <w:p w:rsidRPr="00C50C1C" w:rsidR="00A92D0B" w:rsidP="00F028C8" w:rsidRDefault="00A92D0B" w14:paraId="0EFCD0E9" w14:textId="1A5E3FBE">
            <w:pPr>
              <w:keepNext/>
              <w:keepLines/>
              <w:ind w:left="360" w:hanging="360"/>
              <w:rPr>
                <w:color w:val="000000"/>
              </w:rPr>
            </w:pPr>
            <w:r w:rsidRPr="00C50C1C">
              <w:rPr>
                <w:color w:val="000000"/>
              </w:rPr>
              <w:t>5.</w:t>
            </w:r>
            <w:r w:rsidRPr="00C50C1C" w:rsidR="001E7EE2">
              <w:rPr>
                <w:color w:val="000000"/>
              </w:rPr>
              <w:tab/>
            </w:r>
            <w:r w:rsidRPr="00C50C1C">
              <w:rPr>
                <w:color w:val="000000"/>
              </w:rPr>
              <w:t xml:space="preserve">Based on ALJ ruling issued in proceeding </w:t>
            </w:r>
            <w:r w:rsidRPr="00C50C1C" w:rsidR="00E3786F">
              <w:rPr>
                <w:color w:val="000000"/>
              </w:rPr>
              <w:t xml:space="preserve">  </w:t>
            </w:r>
            <w:r w:rsidRPr="00C50C1C">
              <w:rPr>
                <w:color w:val="000000"/>
              </w:rPr>
              <w:t>number:</w:t>
            </w:r>
          </w:p>
        </w:tc>
        <w:tc>
          <w:tcPr>
            <w:tcW w:w="2267" w:type="dxa"/>
            <w:tcBorders>
              <w:top w:val="single" w:color="auto" w:sz="4" w:space="0"/>
            </w:tcBorders>
          </w:tcPr>
          <w:p w:rsidRPr="00C50C1C" w:rsidR="00A92D0B" w:rsidP="00F028C8" w:rsidRDefault="00056E0D" w14:paraId="13E72B6D" w14:textId="7C2636A5">
            <w:pPr>
              <w:keepNext/>
              <w:keepLines/>
              <w:tabs>
                <w:tab w:val="left" w:pos="360"/>
              </w:tabs>
              <w:ind w:left="360" w:hanging="360"/>
              <w:rPr>
                <w:color w:val="000000"/>
              </w:rPr>
            </w:pPr>
            <w:r w:rsidRPr="00C50C1C">
              <w:rPr>
                <w:color w:val="000000"/>
              </w:rPr>
              <w:t>R.12-06-013</w:t>
            </w:r>
          </w:p>
        </w:tc>
        <w:tc>
          <w:tcPr>
            <w:tcW w:w="2276" w:type="dxa"/>
            <w:tcBorders>
              <w:top w:val="single" w:color="auto" w:sz="4" w:space="0"/>
            </w:tcBorders>
          </w:tcPr>
          <w:p w:rsidRPr="00C50C1C" w:rsidR="00A92D0B" w:rsidP="00F028C8" w:rsidRDefault="002F3598" w14:paraId="2679B197" w14:textId="015A46D6">
            <w:pPr>
              <w:keepNext/>
              <w:keepLines/>
              <w:tabs>
                <w:tab w:val="left" w:pos="360"/>
              </w:tabs>
              <w:rPr>
                <w:color w:val="000000"/>
              </w:rPr>
            </w:pPr>
            <w:r w:rsidRPr="00C50C1C">
              <w:rPr>
                <w:color w:val="000000"/>
              </w:rPr>
              <w:t>R.21-06-017</w:t>
            </w:r>
          </w:p>
        </w:tc>
      </w:tr>
      <w:tr w:rsidRPr="00C50C1C" w:rsidR="00A92D0B" w:rsidTr="00271FCB" w14:paraId="4E0FB3B6" w14:textId="77777777">
        <w:tc>
          <w:tcPr>
            <w:tcW w:w="4817" w:type="dxa"/>
          </w:tcPr>
          <w:p w:rsidRPr="00C50C1C" w:rsidR="00A92D0B" w:rsidP="00F028C8" w:rsidRDefault="00A92D0B" w14:paraId="568B12E8" w14:textId="6121FC05">
            <w:pPr>
              <w:tabs>
                <w:tab w:val="left" w:pos="360"/>
              </w:tabs>
              <w:ind w:left="360" w:hanging="360"/>
              <w:rPr>
                <w:color w:val="000000"/>
              </w:rPr>
            </w:pPr>
            <w:r w:rsidRPr="00C50C1C">
              <w:rPr>
                <w:color w:val="000000"/>
              </w:rPr>
              <w:t>6.</w:t>
            </w:r>
            <w:r w:rsidRPr="00C50C1C" w:rsidR="001E7EE2">
              <w:rPr>
                <w:color w:val="000000"/>
              </w:rPr>
              <w:tab/>
            </w:r>
            <w:r w:rsidRPr="00C50C1C">
              <w:rPr>
                <w:color w:val="000000"/>
              </w:rPr>
              <w:t>Date of ALJ ruling:</w:t>
            </w:r>
          </w:p>
        </w:tc>
        <w:tc>
          <w:tcPr>
            <w:tcW w:w="2267" w:type="dxa"/>
          </w:tcPr>
          <w:p w:rsidRPr="00C50C1C" w:rsidR="00A92D0B" w:rsidP="00F028C8" w:rsidRDefault="00056E0D" w14:paraId="306125B9" w14:textId="6A26E69D">
            <w:pPr>
              <w:tabs>
                <w:tab w:val="left" w:pos="360"/>
              </w:tabs>
              <w:ind w:left="360" w:hanging="360"/>
              <w:rPr>
                <w:color w:val="000000"/>
              </w:rPr>
            </w:pPr>
            <w:r w:rsidRPr="00C50C1C">
              <w:rPr>
                <w:color w:val="000000"/>
              </w:rPr>
              <w:t>February 25, 2013</w:t>
            </w:r>
          </w:p>
        </w:tc>
        <w:tc>
          <w:tcPr>
            <w:tcW w:w="2276" w:type="dxa"/>
          </w:tcPr>
          <w:p w:rsidRPr="00C50C1C" w:rsidR="00A92D0B" w:rsidP="00F028C8" w:rsidRDefault="004B13A3" w14:paraId="19F10313" w14:textId="3CD2640A">
            <w:pPr>
              <w:tabs>
                <w:tab w:val="left" w:pos="360"/>
              </w:tabs>
              <w:rPr>
                <w:color w:val="000000"/>
              </w:rPr>
            </w:pPr>
            <w:r w:rsidRPr="00C50C1C">
              <w:rPr>
                <w:color w:val="000000"/>
              </w:rPr>
              <w:t>November 9, 2021</w:t>
            </w:r>
          </w:p>
        </w:tc>
      </w:tr>
      <w:tr w:rsidRPr="00C50C1C" w:rsidR="00A92D0B" w:rsidTr="00271FCB" w14:paraId="7F6C1E54" w14:textId="77777777">
        <w:tc>
          <w:tcPr>
            <w:tcW w:w="4817" w:type="dxa"/>
          </w:tcPr>
          <w:p w:rsidRPr="00C50C1C" w:rsidR="00A92D0B" w:rsidP="00F028C8" w:rsidRDefault="00A92D0B" w14:paraId="4B6E35B7" w14:textId="56E59D65">
            <w:pPr>
              <w:tabs>
                <w:tab w:val="left" w:pos="360"/>
              </w:tabs>
              <w:ind w:left="360" w:hanging="360"/>
              <w:rPr>
                <w:color w:val="000000"/>
              </w:rPr>
            </w:pPr>
            <w:r w:rsidRPr="00C50C1C">
              <w:rPr>
                <w:color w:val="000000"/>
              </w:rPr>
              <w:t>7.</w:t>
            </w:r>
            <w:r w:rsidRPr="00C50C1C" w:rsidR="001E7EE2">
              <w:rPr>
                <w:color w:val="000000"/>
              </w:rPr>
              <w:tab/>
            </w:r>
            <w:r w:rsidRPr="00C50C1C">
              <w:rPr>
                <w:color w:val="000000"/>
              </w:rPr>
              <w:t>Based on another CPUC determination (specify):</w:t>
            </w:r>
          </w:p>
        </w:tc>
        <w:tc>
          <w:tcPr>
            <w:tcW w:w="2267" w:type="dxa"/>
            <w:tcBorders>
              <w:bottom w:val="single" w:color="auto" w:sz="4" w:space="0"/>
            </w:tcBorders>
          </w:tcPr>
          <w:p w:rsidRPr="00C50C1C" w:rsidR="00A92D0B" w:rsidP="00F028C8" w:rsidRDefault="00A92D0B" w14:paraId="5E0F9D32" w14:textId="77777777">
            <w:pPr>
              <w:tabs>
                <w:tab w:val="left" w:pos="360"/>
              </w:tabs>
              <w:ind w:left="360" w:hanging="360"/>
              <w:rPr>
                <w:color w:val="000000"/>
              </w:rPr>
            </w:pPr>
          </w:p>
        </w:tc>
        <w:tc>
          <w:tcPr>
            <w:tcW w:w="2276" w:type="dxa"/>
            <w:tcBorders>
              <w:bottom w:val="single" w:color="auto" w:sz="4" w:space="0"/>
            </w:tcBorders>
          </w:tcPr>
          <w:p w:rsidRPr="00C50C1C" w:rsidR="00A92D0B" w:rsidP="00F028C8" w:rsidRDefault="00A92D0B" w14:paraId="180E80B3" w14:textId="77777777">
            <w:pPr>
              <w:tabs>
                <w:tab w:val="left" w:pos="360"/>
              </w:tabs>
              <w:rPr>
                <w:color w:val="000000"/>
              </w:rPr>
            </w:pPr>
          </w:p>
        </w:tc>
      </w:tr>
      <w:tr w:rsidRPr="00C50C1C" w:rsidR="00A92D0B" w:rsidTr="00F028C8" w14:paraId="397CC4AD" w14:textId="77777777">
        <w:tc>
          <w:tcPr>
            <w:tcW w:w="7084" w:type="dxa"/>
            <w:gridSpan w:val="2"/>
            <w:tcBorders>
              <w:bottom w:val="single" w:color="auto" w:sz="4" w:space="0"/>
            </w:tcBorders>
          </w:tcPr>
          <w:p w:rsidRPr="00C50C1C" w:rsidR="00A92D0B" w:rsidP="00F028C8" w:rsidRDefault="00A92D0B" w14:paraId="71D46B68" w14:textId="56857D2E">
            <w:pPr>
              <w:tabs>
                <w:tab w:val="left" w:pos="360"/>
              </w:tabs>
              <w:ind w:left="360" w:hanging="360"/>
              <w:rPr>
                <w:color w:val="000000"/>
              </w:rPr>
            </w:pPr>
            <w:r w:rsidRPr="00C50C1C">
              <w:rPr>
                <w:color w:val="000000"/>
              </w:rPr>
              <w:t>8.</w:t>
            </w:r>
            <w:r w:rsidRPr="00C50C1C" w:rsidR="001E7EE2">
              <w:rPr>
                <w:color w:val="000000"/>
              </w:rPr>
              <w:tab/>
            </w:r>
            <w:r w:rsidRPr="00C50C1C">
              <w:rPr>
                <w:color w:val="000000"/>
              </w:rPr>
              <w:t xml:space="preserve">Has the </w:t>
            </w:r>
            <w:r w:rsidRPr="00C50C1C" w:rsidR="005A63D4">
              <w:rPr>
                <w:color w:val="000000"/>
              </w:rPr>
              <w:t xml:space="preserve">Intervenor </w:t>
            </w:r>
            <w:r w:rsidRPr="00C50C1C">
              <w:rPr>
                <w:color w:val="000000"/>
              </w:rPr>
              <w:t xml:space="preserve">demonstrated </w:t>
            </w:r>
            <w:r w:rsidRPr="00C50C1C">
              <w:t>customer</w:t>
            </w:r>
            <w:r w:rsidRPr="00C50C1C">
              <w:rPr>
                <w:color w:val="000000"/>
              </w:rPr>
              <w:t xml:space="preserve"> </w:t>
            </w:r>
            <w:r w:rsidRPr="00C50C1C" w:rsidR="00ED6B6B">
              <w:rPr>
                <w:color w:val="000000"/>
              </w:rPr>
              <w:t>status or eligible government entity status</w:t>
            </w:r>
            <w:r w:rsidRPr="00C50C1C">
              <w:rPr>
                <w:color w:val="000000"/>
              </w:rPr>
              <w:t>?</w:t>
            </w:r>
          </w:p>
        </w:tc>
        <w:tc>
          <w:tcPr>
            <w:tcW w:w="2276" w:type="dxa"/>
            <w:tcBorders>
              <w:bottom w:val="single" w:color="auto" w:sz="4" w:space="0"/>
            </w:tcBorders>
          </w:tcPr>
          <w:p w:rsidRPr="00C50C1C" w:rsidR="00A92D0B" w:rsidP="00F028C8" w:rsidRDefault="004B13A3" w14:paraId="7D296E63" w14:textId="132BFEB9">
            <w:pPr>
              <w:tabs>
                <w:tab w:val="left" w:pos="360"/>
              </w:tabs>
              <w:rPr>
                <w:color w:val="000000"/>
              </w:rPr>
            </w:pPr>
            <w:r w:rsidRPr="00C50C1C">
              <w:rPr>
                <w:color w:val="000000"/>
              </w:rPr>
              <w:t>Yes</w:t>
            </w:r>
          </w:p>
        </w:tc>
      </w:tr>
      <w:tr w:rsidRPr="00C50C1C" w:rsidR="00A92D0B"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C50C1C" w:rsidR="00A92D0B" w:rsidP="00F028C8" w:rsidRDefault="00A92D0B" w14:paraId="0291EC4E" w14:textId="77777777">
            <w:pPr>
              <w:keepNext/>
              <w:tabs>
                <w:tab w:val="left" w:pos="360"/>
              </w:tabs>
              <w:jc w:val="center"/>
              <w:rPr>
                <w:color w:val="000000"/>
              </w:rPr>
            </w:pPr>
            <w:r w:rsidRPr="00C50C1C">
              <w:rPr>
                <w:b/>
                <w:color w:val="000000"/>
              </w:rPr>
              <w:t>Showing of “significant</w:t>
            </w:r>
            <w:r w:rsidRPr="00C50C1C" w:rsidR="00F63C29">
              <w:rPr>
                <w:b/>
                <w:color w:val="000000"/>
              </w:rPr>
              <w:t xml:space="preserve"> financial hardship” (§1802(</w:t>
            </w:r>
            <w:r w:rsidRPr="00C50C1C" w:rsidR="00175865">
              <w:rPr>
                <w:b/>
                <w:color w:val="000000"/>
              </w:rPr>
              <w:t>h</w:t>
            </w:r>
            <w:r w:rsidRPr="00C50C1C" w:rsidR="00F63C29">
              <w:rPr>
                <w:b/>
                <w:color w:val="000000"/>
              </w:rPr>
              <w:t xml:space="preserve">) or </w:t>
            </w:r>
            <w:r w:rsidRPr="00C50C1C" w:rsidR="00ED6B6B">
              <w:rPr>
                <w:b/>
                <w:color w:val="000000"/>
              </w:rPr>
              <w:t>§</w:t>
            </w:r>
            <w:r w:rsidRPr="00C50C1C" w:rsidR="00F63C29">
              <w:rPr>
                <w:b/>
                <w:color w:val="000000"/>
              </w:rPr>
              <w:t>1803.1(b))</w:t>
            </w:r>
            <w:r w:rsidRPr="00C50C1C" w:rsidR="00C02649">
              <w:rPr>
                <w:b/>
                <w:color w:val="000000"/>
              </w:rPr>
              <w:t>:</w:t>
            </w:r>
          </w:p>
        </w:tc>
      </w:tr>
      <w:tr w:rsidRPr="00C50C1C" w:rsidR="00A92D0B" w:rsidTr="00271FCB" w14:paraId="77F91856" w14:textId="77777777">
        <w:tc>
          <w:tcPr>
            <w:tcW w:w="4817" w:type="dxa"/>
            <w:tcBorders>
              <w:top w:val="single" w:color="auto" w:sz="4" w:space="0"/>
            </w:tcBorders>
          </w:tcPr>
          <w:p w:rsidRPr="00C50C1C" w:rsidR="00A92D0B" w:rsidP="00F028C8" w:rsidRDefault="00A92D0B" w14:paraId="6506E60E" w14:textId="7F0FF6A0">
            <w:pPr>
              <w:tabs>
                <w:tab w:val="left" w:pos="315"/>
              </w:tabs>
              <w:ind w:left="360" w:hanging="360"/>
              <w:rPr>
                <w:color w:val="000000"/>
              </w:rPr>
            </w:pPr>
            <w:r w:rsidRPr="00C50C1C">
              <w:rPr>
                <w:color w:val="000000"/>
              </w:rPr>
              <w:t>9.</w:t>
            </w:r>
            <w:r w:rsidRPr="00C50C1C" w:rsidR="001E7EE2">
              <w:rPr>
                <w:color w:val="000000"/>
              </w:rPr>
              <w:tab/>
            </w:r>
            <w:r w:rsidRPr="00C50C1C">
              <w:rPr>
                <w:color w:val="000000"/>
              </w:rPr>
              <w:t>Based on ALJ ruling issued in proceeding number:</w:t>
            </w:r>
          </w:p>
        </w:tc>
        <w:tc>
          <w:tcPr>
            <w:tcW w:w="2267" w:type="dxa"/>
            <w:tcBorders>
              <w:top w:val="single" w:color="auto" w:sz="4" w:space="0"/>
            </w:tcBorders>
          </w:tcPr>
          <w:p w:rsidRPr="00C50C1C" w:rsidR="00A92D0B" w:rsidP="00F028C8" w:rsidRDefault="00A92D0B" w14:paraId="0A0BE162" w14:textId="77777777">
            <w:pPr>
              <w:tabs>
                <w:tab w:val="left" w:pos="360"/>
              </w:tabs>
              <w:ind w:left="360" w:hanging="360"/>
              <w:rPr>
                <w:color w:val="000000"/>
              </w:rPr>
            </w:pPr>
          </w:p>
          <w:p w:rsidRPr="00C50C1C" w:rsidR="00056E0D" w:rsidP="00056E0D" w:rsidRDefault="00056E0D" w14:paraId="54B4911C" w14:textId="2B3E8A16">
            <w:r w:rsidRPr="00C50C1C">
              <w:t>R.21-06-017</w:t>
            </w:r>
          </w:p>
        </w:tc>
        <w:tc>
          <w:tcPr>
            <w:tcW w:w="2276" w:type="dxa"/>
            <w:tcBorders>
              <w:top w:val="single" w:color="auto" w:sz="4" w:space="0"/>
            </w:tcBorders>
          </w:tcPr>
          <w:p w:rsidRPr="00C50C1C" w:rsidR="00A92D0B" w:rsidP="00F028C8" w:rsidRDefault="00415E9F" w14:paraId="2E2FB9D6" w14:textId="04E3F5A5">
            <w:pPr>
              <w:tabs>
                <w:tab w:val="left" w:pos="360"/>
              </w:tabs>
              <w:rPr>
                <w:color w:val="000000"/>
              </w:rPr>
            </w:pPr>
            <w:r w:rsidRPr="00C50C1C">
              <w:rPr>
                <w:color w:val="000000"/>
              </w:rPr>
              <w:t>Verified</w:t>
            </w:r>
          </w:p>
        </w:tc>
      </w:tr>
      <w:tr w:rsidRPr="00C50C1C" w:rsidR="00A92D0B" w:rsidTr="00271FCB" w14:paraId="4AD750C1" w14:textId="77777777">
        <w:tc>
          <w:tcPr>
            <w:tcW w:w="4817" w:type="dxa"/>
          </w:tcPr>
          <w:p w:rsidRPr="00C50C1C" w:rsidR="00A92D0B" w:rsidP="00F028C8" w:rsidRDefault="00A92D0B" w14:paraId="2A279407" w14:textId="1E831EEE">
            <w:pPr>
              <w:ind w:left="360" w:hanging="360"/>
              <w:rPr>
                <w:color w:val="000000"/>
              </w:rPr>
            </w:pPr>
            <w:r w:rsidRPr="00C50C1C">
              <w:rPr>
                <w:color w:val="000000"/>
              </w:rPr>
              <w:t>10.</w:t>
            </w:r>
            <w:r w:rsidRPr="00C50C1C" w:rsidR="001E7EE2">
              <w:rPr>
                <w:color w:val="000000"/>
              </w:rPr>
              <w:tab/>
            </w:r>
            <w:r w:rsidRPr="00C50C1C">
              <w:rPr>
                <w:color w:val="000000"/>
              </w:rPr>
              <w:t>Date of ALJ ruling:</w:t>
            </w:r>
          </w:p>
        </w:tc>
        <w:tc>
          <w:tcPr>
            <w:tcW w:w="2267" w:type="dxa"/>
          </w:tcPr>
          <w:p w:rsidRPr="00C50C1C" w:rsidR="00A92D0B" w:rsidP="00F028C8" w:rsidRDefault="00056E0D" w14:paraId="4B66A2E4" w14:textId="0EF0BEB3">
            <w:pPr>
              <w:tabs>
                <w:tab w:val="left" w:pos="360"/>
              </w:tabs>
              <w:ind w:left="360" w:hanging="360"/>
              <w:rPr>
                <w:color w:val="000000"/>
              </w:rPr>
            </w:pPr>
            <w:r w:rsidRPr="00C50C1C">
              <w:rPr>
                <w:color w:val="000000"/>
              </w:rPr>
              <w:t>November 9, 2021</w:t>
            </w:r>
          </w:p>
        </w:tc>
        <w:tc>
          <w:tcPr>
            <w:tcW w:w="2276" w:type="dxa"/>
          </w:tcPr>
          <w:p w:rsidRPr="00C50C1C" w:rsidR="00A92D0B" w:rsidP="00F028C8" w:rsidRDefault="00415E9F" w14:paraId="3B83D035" w14:textId="7EE08925">
            <w:pPr>
              <w:tabs>
                <w:tab w:val="left" w:pos="360"/>
              </w:tabs>
              <w:rPr>
                <w:color w:val="000000"/>
              </w:rPr>
            </w:pPr>
            <w:r w:rsidRPr="00C50C1C">
              <w:rPr>
                <w:color w:val="000000"/>
              </w:rPr>
              <w:t>Verified</w:t>
            </w:r>
          </w:p>
        </w:tc>
      </w:tr>
      <w:tr w:rsidRPr="00C50C1C" w:rsidR="00357F1A" w:rsidTr="00271FCB" w14:paraId="7C183C5E" w14:textId="77777777">
        <w:tc>
          <w:tcPr>
            <w:tcW w:w="4817" w:type="dxa"/>
          </w:tcPr>
          <w:p w:rsidRPr="00C50C1C" w:rsidR="00357F1A" w:rsidP="00F028C8" w:rsidRDefault="00357F1A" w14:paraId="4141CB3D" w14:textId="2DCA8797">
            <w:pPr>
              <w:ind w:left="360" w:hanging="360"/>
              <w:rPr>
                <w:color w:val="000000"/>
              </w:rPr>
            </w:pPr>
            <w:r w:rsidRPr="00C50C1C">
              <w:rPr>
                <w:color w:val="000000"/>
              </w:rPr>
              <w:t>11.</w:t>
            </w:r>
            <w:r w:rsidRPr="00C50C1C" w:rsidR="001E7EE2">
              <w:rPr>
                <w:color w:val="000000"/>
              </w:rPr>
              <w:tab/>
            </w:r>
            <w:r w:rsidRPr="00C50C1C">
              <w:rPr>
                <w:color w:val="000000"/>
              </w:rPr>
              <w:t>Based on another CPUC determination (specify):</w:t>
            </w:r>
          </w:p>
        </w:tc>
        <w:tc>
          <w:tcPr>
            <w:tcW w:w="2267" w:type="dxa"/>
          </w:tcPr>
          <w:p w:rsidRPr="00C50C1C" w:rsidR="00357F1A" w:rsidP="00F028C8" w:rsidRDefault="00357F1A" w14:paraId="141EB5CF" w14:textId="77777777">
            <w:pPr>
              <w:tabs>
                <w:tab w:val="left" w:pos="360"/>
              </w:tabs>
              <w:ind w:left="360" w:hanging="360"/>
              <w:rPr>
                <w:color w:val="000000"/>
              </w:rPr>
            </w:pPr>
          </w:p>
        </w:tc>
        <w:tc>
          <w:tcPr>
            <w:tcW w:w="2276" w:type="dxa"/>
          </w:tcPr>
          <w:p w:rsidRPr="00C50C1C" w:rsidR="00357F1A" w:rsidP="00F028C8" w:rsidRDefault="00357F1A" w14:paraId="79318715" w14:textId="77777777">
            <w:pPr>
              <w:tabs>
                <w:tab w:val="left" w:pos="360"/>
              </w:tabs>
              <w:rPr>
                <w:color w:val="000000"/>
              </w:rPr>
            </w:pPr>
          </w:p>
        </w:tc>
      </w:tr>
      <w:tr w:rsidRPr="00C50C1C" w:rsidR="00A92D0B" w:rsidTr="00F028C8" w14:paraId="4E8D20BF" w14:textId="77777777">
        <w:tc>
          <w:tcPr>
            <w:tcW w:w="7084" w:type="dxa"/>
            <w:gridSpan w:val="2"/>
            <w:tcBorders>
              <w:bottom w:val="single" w:color="auto" w:sz="4" w:space="0"/>
            </w:tcBorders>
          </w:tcPr>
          <w:p w:rsidRPr="00C50C1C" w:rsidR="00A92D0B" w:rsidP="00F028C8" w:rsidRDefault="00180E8C" w14:paraId="48D0D936" w14:textId="6A3DF8B8">
            <w:pPr>
              <w:tabs>
                <w:tab w:val="left" w:pos="360"/>
              </w:tabs>
              <w:ind w:left="360" w:hanging="360"/>
              <w:rPr>
                <w:color w:val="000000"/>
              </w:rPr>
            </w:pPr>
            <w:r w:rsidRPr="00C50C1C">
              <w:rPr>
                <w:color w:val="000000"/>
              </w:rPr>
              <w:t>12</w:t>
            </w:r>
            <w:r w:rsidRPr="00C50C1C" w:rsidR="00A92D0B">
              <w:rPr>
                <w:color w:val="000000"/>
              </w:rPr>
              <w:t>.</w:t>
            </w:r>
            <w:r w:rsidRPr="00C50C1C" w:rsidR="001E7EE2">
              <w:rPr>
                <w:color w:val="000000"/>
              </w:rPr>
              <w:tab/>
            </w:r>
            <w:r w:rsidRPr="00C50C1C" w:rsidR="00A92D0B">
              <w:rPr>
                <w:color w:val="000000"/>
              </w:rPr>
              <w:t>Has the</w:t>
            </w:r>
            <w:r w:rsidRPr="00C50C1C" w:rsidR="00A319DE">
              <w:rPr>
                <w:color w:val="000000"/>
              </w:rPr>
              <w:t xml:space="preserve"> </w:t>
            </w:r>
            <w:r w:rsidRPr="00C50C1C" w:rsidR="005A63D4">
              <w:rPr>
                <w:color w:val="000000"/>
              </w:rPr>
              <w:t>Intervenor</w:t>
            </w:r>
            <w:r w:rsidRPr="00C50C1C" w:rsidR="00A92D0B">
              <w:rPr>
                <w:color w:val="000000"/>
              </w:rPr>
              <w:t xml:space="preserve"> demonstrated significant financial hardship?</w:t>
            </w:r>
          </w:p>
        </w:tc>
        <w:tc>
          <w:tcPr>
            <w:tcW w:w="2276" w:type="dxa"/>
            <w:tcBorders>
              <w:bottom w:val="single" w:color="auto" w:sz="4" w:space="0"/>
            </w:tcBorders>
          </w:tcPr>
          <w:p w:rsidRPr="00C50C1C" w:rsidR="00A92D0B" w:rsidP="00F028C8" w:rsidRDefault="00415E9F" w14:paraId="0F29B839" w14:textId="7273F755">
            <w:pPr>
              <w:tabs>
                <w:tab w:val="left" w:pos="360"/>
              </w:tabs>
              <w:rPr>
                <w:color w:val="000000"/>
              </w:rPr>
            </w:pPr>
            <w:r w:rsidRPr="00C50C1C">
              <w:rPr>
                <w:color w:val="000000"/>
              </w:rPr>
              <w:t>Yes</w:t>
            </w:r>
          </w:p>
        </w:tc>
      </w:tr>
      <w:tr w:rsidRPr="00C50C1C" w:rsidR="00A92D0B" w:rsidTr="00F028C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C50C1C" w:rsidR="00A92D0B" w:rsidP="007056FC" w:rsidRDefault="00A92D0B" w14:paraId="172E2884" w14:textId="77777777">
            <w:pPr>
              <w:keepNext/>
              <w:tabs>
                <w:tab w:val="left" w:pos="360"/>
              </w:tabs>
              <w:jc w:val="center"/>
              <w:rPr>
                <w:color w:val="000000"/>
              </w:rPr>
            </w:pPr>
            <w:r w:rsidRPr="00C50C1C">
              <w:rPr>
                <w:b/>
                <w:color w:val="000000"/>
              </w:rPr>
              <w:t>Timely request for compensation (§ 1804(c)):</w:t>
            </w:r>
          </w:p>
        </w:tc>
      </w:tr>
      <w:tr w:rsidRPr="00C50C1C" w:rsidR="00A92D0B" w:rsidTr="00271FCB" w14:paraId="3E7938B0" w14:textId="77777777">
        <w:tc>
          <w:tcPr>
            <w:tcW w:w="4817" w:type="dxa"/>
            <w:tcBorders>
              <w:top w:val="single" w:color="auto" w:sz="4" w:space="0"/>
            </w:tcBorders>
          </w:tcPr>
          <w:p w:rsidRPr="00C50C1C" w:rsidR="00A92D0B" w:rsidP="00F028C8" w:rsidRDefault="00A92D0B" w14:paraId="66088F1B" w14:textId="2DB4A731">
            <w:pPr>
              <w:keepNext/>
              <w:tabs>
                <w:tab w:val="left" w:pos="612"/>
              </w:tabs>
              <w:ind w:left="360" w:hanging="360"/>
              <w:rPr>
                <w:color w:val="000000"/>
              </w:rPr>
            </w:pPr>
            <w:r w:rsidRPr="00C50C1C">
              <w:rPr>
                <w:color w:val="000000"/>
              </w:rPr>
              <w:t>13.</w:t>
            </w:r>
            <w:r w:rsidRPr="00C50C1C" w:rsidR="001E7EE2">
              <w:rPr>
                <w:color w:val="000000"/>
              </w:rPr>
              <w:tab/>
            </w:r>
            <w:r w:rsidRPr="00C50C1C">
              <w:rPr>
                <w:color w:val="000000"/>
              </w:rPr>
              <w:t>Identify Final Decision:</w:t>
            </w:r>
          </w:p>
        </w:tc>
        <w:tc>
          <w:tcPr>
            <w:tcW w:w="2267" w:type="dxa"/>
            <w:tcBorders>
              <w:top w:val="single" w:color="auto" w:sz="4" w:space="0"/>
            </w:tcBorders>
          </w:tcPr>
          <w:p w:rsidRPr="00C50C1C" w:rsidR="00A92D0B" w:rsidP="00F028C8" w:rsidRDefault="00056E0D" w14:paraId="7166F318" w14:textId="7AE1A2C4">
            <w:pPr>
              <w:tabs>
                <w:tab w:val="left" w:pos="360"/>
              </w:tabs>
              <w:rPr>
                <w:color w:val="000000"/>
              </w:rPr>
            </w:pPr>
            <w:r w:rsidRPr="00C50C1C">
              <w:rPr>
                <w:color w:val="000000"/>
              </w:rPr>
              <w:t>D.</w:t>
            </w:r>
            <w:r w:rsidRPr="00C50C1C" w:rsidR="00A466A5">
              <w:rPr>
                <w:color w:val="000000"/>
              </w:rPr>
              <w:t>23-11-006</w:t>
            </w:r>
          </w:p>
        </w:tc>
        <w:tc>
          <w:tcPr>
            <w:tcW w:w="2276" w:type="dxa"/>
            <w:tcBorders>
              <w:top w:val="single" w:color="auto" w:sz="4" w:space="0"/>
            </w:tcBorders>
          </w:tcPr>
          <w:p w:rsidRPr="00C50C1C" w:rsidR="00A92D0B" w:rsidP="00F028C8" w:rsidRDefault="0094731F" w14:paraId="1588DC54" w14:textId="3DC78FAA">
            <w:pPr>
              <w:tabs>
                <w:tab w:val="left" w:pos="360"/>
              </w:tabs>
              <w:rPr>
                <w:color w:val="000000"/>
              </w:rPr>
            </w:pPr>
            <w:r w:rsidRPr="00C50C1C">
              <w:rPr>
                <w:color w:val="000000"/>
              </w:rPr>
              <w:t>Verified</w:t>
            </w:r>
          </w:p>
        </w:tc>
      </w:tr>
      <w:tr w:rsidRPr="00C50C1C" w:rsidR="00A92D0B" w:rsidTr="00271FCB" w14:paraId="6360DE59" w14:textId="77777777">
        <w:tc>
          <w:tcPr>
            <w:tcW w:w="4817" w:type="dxa"/>
          </w:tcPr>
          <w:p w:rsidRPr="00C50C1C" w:rsidR="00A92D0B" w:rsidP="00F028C8" w:rsidRDefault="00A92D0B" w14:paraId="4B809E4A" w14:textId="4BEED0BB">
            <w:pPr>
              <w:tabs>
                <w:tab w:val="left" w:pos="612"/>
              </w:tabs>
              <w:ind w:left="360" w:hanging="360"/>
              <w:rPr>
                <w:color w:val="000000"/>
              </w:rPr>
            </w:pPr>
            <w:r w:rsidRPr="00C50C1C">
              <w:rPr>
                <w:color w:val="000000"/>
              </w:rPr>
              <w:t>14.</w:t>
            </w:r>
            <w:r w:rsidRPr="00C50C1C" w:rsidR="001E7EE2">
              <w:rPr>
                <w:color w:val="000000"/>
              </w:rPr>
              <w:tab/>
            </w:r>
            <w:r w:rsidRPr="00C50C1C">
              <w:rPr>
                <w:color w:val="000000"/>
              </w:rPr>
              <w:t xml:space="preserve">Date of </w:t>
            </w:r>
            <w:r w:rsidRPr="00C50C1C" w:rsidR="00A319DE">
              <w:rPr>
                <w:color w:val="000000"/>
              </w:rPr>
              <w:t>i</w:t>
            </w:r>
            <w:r w:rsidRPr="00C50C1C">
              <w:rPr>
                <w:color w:val="000000"/>
              </w:rPr>
              <w:t xml:space="preserve">ssuance of Final Order or Decision:    </w:t>
            </w:r>
          </w:p>
        </w:tc>
        <w:tc>
          <w:tcPr>
            <w:tcW w:w="2267" w:type="dxa"/>
          </w:tcPr>
          <w:p w:rsidRPr="00C50C1C" w:rsidR="00A92D0B" w:rsidP="00F028C8" w:rsidRDefault="0050121D" w14:paraId="20455B5F" w14:textId="7D280BBF">
            <w:pPr>
              <w:tabs>
                <w:tab w:val="left" w:pos="360"/>
              </w:tabs>
              <w:rPr>
                <w:color w:val="000000"/>
              </w:rPr>
            </w:pPr>
            <w:r w:rsidRPr="00C50C1C">
              <w:rPr>
                <w:color w:val="000000"/>
              </w:rPr>
              <w:t>November 15, 2023</w:t>
            </w:r>
          </w:p>
        </w:tc>
        <w:tc>
          <w:tcPr>
            <w:tcW w:w="2276" w:type="dxa"/>
          </w:tcPr>
          <w:p w:rsidRPr="00C50C1C" w:rsidR="00A92D0B" w:rsidP="00F028C8" w:rsidRDefault="00633CEE" w14:paraId="1FCF00DD" w14:textId="63DEED0C">
            <w:pPr>
              <w:tabs>
                <w:tab w:val="left" w:pos="360"/>
              </w:tabs>
              <w:rPr>
                <w:color w:val="000000"/>
              </w:rPr>
            </w:pPr>
            <w:r w:rsidRPr="00C50C1C">
              <w:rPr>
                <w:color w:val="000000"/>
              </w:rPr>
              <w:t>Verified</w:t>
            </w:r>
          </w:p>
        </w:tc>
      </w:tr>
      <w:tr w:rsidRPr="00C50C1C" w:rsidR="00A92D0B" w:rsidTr="00271FCB" w14:paraId="723259E3" w14:textId="77777777">
        <w:tc>
          <w:tcPr>
            <w:tcW w:w="4817" w:type="dxa"/>
          </w:tcPr>
          <w:p w:rsidRPr="00C50C1C" w:rsidR="00A92D0B" w:rsidP="00F028C8" w:rsidRDefault="00A92D0B" w14:paraId="163EE1CA" w14:textId="2B64EB9E">
            <w:pPr>
              <w:tabs>
                <w:tab w:val="left" w:pos="612"/>
              </w:tabs>
              <w:ind w:left="360" w:hanging="360"/>
              <w:rPr>
                <w:color w:val="000000"/>
              </w:rPr>
            </w:pPr>
            <w:r w:rsidRPr="00C50C1C">
              <w:rPr>
                <w:color w:val="000000"/>
              </w:rPr>
              <w:t>15.</w:t>
            </w:r>
            <w:r w:rsidRPr="00C50C1C" w:rsidR="001E7EE2">
              <w:rPr>
                <w:color w:val="000000"/>
              </w:rPr>
              <w:tab/>
            </w:r>
            <w:r w:rsidRPr="00C50C1C">
              <w:rPr>
                <w:color w:val="000000"/>
              </w:rPr>
              <w:t>File date of compensation request:</w:t>
            </w:r>
          </w:p>
        </w:tc>
        <w:tc>
          <w:tcPr>
            <w:tcW w:w="2267" w:type="dxa"/>
          </w:tcPr>
          <w:p w:rsidRPr="00C50C1C" w:rsidR="00A92D0B" w:rsidP="00F028C8" w:rsidRDefault="00B25CD8" w14:paraId="0568B39D" w14:textId="595A4FFC">
            <w:pPr>
              <w:tabs>
                <w:tab w:val="left" w:pos="360"/>
              </w:tabs>
              <w:rPr>
                <w:color w:val="000000"/>
              </w:rPr>
            </w:pPr>
            <w:r w:rsidRPr="00C50C1C">
              <w:rPr>
                <w:color w:val="000000"/>
              </w:rPr>
              <w:t>December 29, 2023</w:t>
            </w:r>
          </w:p>
        </w:tc>
        <w:tc>
          <w:tcPr>
            <w:tcW w:w="2276" w:type="dxa"/>
          </w:tcPr>
          <w:p w:rsidRPr="00C50C1C" w:rsidR="00A92D0B" w:rsidP="00F028C8" w:rsidRDefault="00633CEE" w14:paraId="1CBF4E7A" w14:textId="3A36FF4B">
            <w:pPr>
              <w:tabs>
                <w:tab w:val="left" w:pos="360"/>
              </w:tabs>
              <w:rPr>
                <w:color w:val="000000"/>
              </w:rPr>
            </w:pPr>
            <w:r w:rsidRPr="00C50C1C">
              <w:rPr>
                <w:color w:val="000000"/>
              </w:rPr>
              <w:t>Verified</w:t>
            </w:r>
          </w:p>
        </w:tc>
      </w:tr>
      <w:tr w:rsidRPr="00C50C1C" w:rsidR="00A92D0B" w:rsidTr="00F028C8" w14:paraId="406BCA3A" w14:textId="77777777">
        <w:tc>
          <w:tcPr>
            <w:tcW w:w="7084" w:type="dxa"/>
            <w:gridSpan w:val="2"/>
          </w:tcPr>
          <w:p w:rsidRPr="00C50C1C" w:rsidR="00A92D0B" w:rsidP="00F028C8" w:rsidRDefault="00A92D0B" w14:paraId="10AF42D1" w14:textId="67695104">
            <w:pPr>
              <w:tabs>
                <w:tab w:val="left" w:pos="360"/>
              </w:tabs>
              <w:ind w:left="360" w:hanging="360"/>
              <w:rPr>
                <w:color w:val="000000"/>
              </w:rPr>
            </w:pPr>
            <w:proofErr w:type="gramStart"/>
            <w:r w:rsidRPr="00C50C1C">
              <w:rPr>
                <w:color w:val="000000"/>
              </w:rPr>
              <w:t>16</w:t>
            </w:r>
            <w:r w:rsidRPr="00C50C1C" w:rsidR="001E7EE2">
              <w:rPr>
                <w:color w:val="000000"/>
              </w:rPr>
              <w:t>.</w:t>
            </w:r>
            <w:r w:rsidRPr="00C50C1C" w:rsidR="001E7EE2">
              <w:rPr>
                <w:color w:val="000000"/>
              </w:rPr>
              <w:tab/>
            </w:r>
            <w:r w:rsidRPr="00C50C1C">
              <w:rPr>
                <w:color w:val="000000"/>
              </w:rPr>
              <w:t>Was</w:t>
            </w:r>
            <w:proofErr w:type="gramEnd"/>
            <w:r w:rsidRPr="00C50C1C">
              <w:rPr>
                <w:color w:val="000000"/>
              </w:rPr>
              <w:t xml:space="preserve"> the request for compensation timely?</w:t>
            </w:r>
          </w:p>
        </w:tc>
        <w:tc>
          <w:tcPr>
            <w:tcW w:w="2276" w:type="dxa"/>
          </w:tcPr>
          <w:p w:rsidRPr="00C50C1C" w:rsidR="00A92D0B" w:rsidP="00F028C8" w:rsidRDefault="00633CEE" w14:paraId="2EA30E63" w14:textId="26A862CB">
            <w:pPr>
              <w:tabs>
                <w:tab w:val="left" w:pos="360"/>
              </w:tabs>
              <w:rPr>
                <w:color w:val="000000"/>
              </w:rPr>
            </w:pPr>
            <w:r w:rsidRPr="00C50C1C">
              <w:rPr>
                <w:color w:val="000000"/>
              </w:rPr>
              <w:t>Yes</w:t>
            </w:r>
          </w:p>
        </w:tc>
      </w:tr>
    </w:tbl>
    <w:p w:rsidRPr="007F620E" w:rsidR="00A92D0B" w:rsidP="00880855" w:rsidRDefault="00A92D0B" w14:paraId="0068592B" w14:textId="4588A7BF">
      <w:pPr>
        <w:keepNext/>
        <w:numPr>
          <w:ilvl w:val="0"/>
          <w:numId w:val="5"/>
        </w:numPr>
        <w:spacing w:before="240" w:after="240"/>
        <w:rPr>
          <w:b/>
          <w:color w:val="000000"/>
        </w:rPr>
      </w:pPr>
      <w:r w:rsidRPr="007F620E">
        <w:rPr>
          <w:b/>
          <w:color w:val="000000"/>
        </w:rPr>
        <w:t>Additional Comments on Part I</w:t>
      </w:r>
      <w:r w:rsidR="00C02649">
        <w:rPr>
          <w:b/>
          <w:color w:val="000000"/>
        </w:rPr>
        <w:t>:</w:t>
      </w:r>
      <w:r w:rsidRPr="007F620E">
        <w:rPr>
          <w:b/>
          <w:color w:val="000000"/>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4741"/>
      </w:tblGrid>
      <w:tr w:rsidRPr="007F620E" w:rsidR="003C608A" w:rsidTr="007056FC" w14:paraId="046F77BA" w14:textId="77777777">
        <w:trPr>
          <w:tblHeader/>
        </w:trPr>
        <w:tc>
          <w:tcPr>
            <w:tcW w:w="860"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3759" w:type="dxa"/>
            <w:tcBorders>
              <w:bottom w:val="single" w:color="auto" w:sz="4" w:space="0"/>
            </w:tcBorders>
            <w:shd w:val="clear" w:color="auto" w:fill="D9D9D9" w:themeFill="background1" w:themeFillShade="D9"/>
          </w:tcPr>
          <w:p w:rsidRPr="007F620E" w:rsidR="003C608A" w:rsidP="007056FC" w:rsidRDefault="003C608A" w14:paraId="196D09DF" w14:textId="77777777">
            <w:pPr>
              <w:tabs>
                <w:tab w:val="left" w:pos="360"/>
              </w:tabs>
              <w:jc w:val="center"/>
              <w:rPr>
                <w:b/>
                <w:color w:val="000000"/>
              </w:rPr>
            </w:pPr>
            <w:r w:rsidRPr="007F620E">
              <w:rPr>
                <w:b/>
                <w:color w:val="000000"/>
              </w:rPr>
              <w:t>Intervenor’s Comment(s)</w:t>
            </w:r>
          </w:p>
        </w:tc>
        <w:tc>
          <w:tcPr>
            <w:tcW w:w="4741" w:type="dxa"/>
            <w:shd w:val="clear" w:color="auto" w:fill="D9D9D9" w:themeFill="background1" w:themeFillShade="D9"/>
          </w:tcPr>
          <w:p w:rsidRPr="007F620E" w:rsidR="003C608A" w:rsidP="007056FC" w:rsidRDefault="003C608A" w14:paraId="07207D31" w14:textId="77777777">
            <w:pPr>
              <w:tabs>
                <w:tab w:val="left" w:pos="360"/>
              </w:tabs>
              <w:jc w:val="center"/>
              <w:rPr>
                <w:b/>
                <w:color w:val="000000"/>
              </w:rPr>
            </w:pPr>
            <w:r w:rsidRPr="007F620E">
              <w:rPr>
                <w:b/>
                <w:color w:val="000000"/>
              </w:rPr>
              <w:t>CPUC Discussion</w:t>
            </w:r>
          </w:p>
        </w:tc>
      </w:tr>
      <w:tr w:rsidRPr="007F620E" w:rsidR="003C608A" w:rsidTr="00E07C21" w14:paraId="1C6180A4" w14:textId="77777777">
        <w:trPr>
          <w:trHeight w:val="67"/>
        </w:trPr>
        <w:tc>
          <w:tcPr>
            <w:tcW w:w="860" w:type="dxa"/>
          </w:tcPr>
          <w:p w:rsidRPr="007F620E" w:rsidR="003C608A" w:rsidP="007056FC" w:rsidRDefault="00056E0D" w14:paraId="4350D384" w14:textId="231319A1">
            <w:pPr>
              <w:tabs>
                <w:tab w:val="left" w:pos="360"/>
              </w:tabs>
              <w:rPr>
                <w:color w:val="000000"/>
              </w:rPr>
            </w:pPr>
            <w:r>
              <w:rPr>
                <w:color w:val="000000"/>
              </w:rPr>
              <w:t>9/10</w:t>
            </w:r>
          </w:p>
        </w:tc>
        <w:tc>
          <w:tcPr>
            <w:tcW w:w="3759" w:type="dxa"/>
          </w:tcPr>
          <w:p w:rsidRPr="00056E0D" w:rsidR="003C608A" w:rsidP="00056E0D" w:rsidRDefault="00056E0D" w14:paraId="0ECF4A98" w14:textId="15BCA7A3">
            <w:pPr>
              <w:pStyle w:val="Default"/>
            </w:pPr>
            <w:r w:rsidRPr="00056E0D">
              <w:t>In D.20-09-007, the CPUC found that EDF had demonstrated customer status and significant financial hardship.</w:t>
            </w:r>
          </w:p>
        </w:tc>
        <w:tc>
          <w:tcPr>
            <w:tcW w:w="4741" w:type="dxa"/>
          </w:tcPr>
          <w:p w:rsidRPr="007F620E" w:rsidR="003C608A" w:rsidP="007056FC" w:rsidRDefault="00D82E6B" w14:paraId="416D6250" w14:textId="0C16E7CE">
            <w:pPr>
              <w:tabs>
                <w:tab w:val="left" w:pos="360"/>
              </w:tabs>
              <w:rPr>
                <w:color w:val="000000"/>
              </w:rPr>
            </w:pPr>
            <w:r>
              <w:rPr>
                <w:color w:val="000000"/>
              </w:rPr>
              <w:t>Noted</w:t>
            </w:r>
          </w:p>
        </w:tc>
      </w:tr>
    </w:tbl>
    <w:p w:rsidR="003B6A1B" w:rsidP="0057088A" w:rsidRDefault="00A92D0B" w14:paraId="501B5F3D" w14:textId="4F8FB93B">
      <w:pPr>
        <w:keepNext/>
        <w:spacing w:before="480"/>
        <w:jc w:val="center"/>
        <w:rPr>
          <w:b/>
          <w:color w:val="000000"/>
        </w:rPr>
      </w:pPr>
      <w:r w:rsidRPr="007F620E">
        <w:rPr>
          <w:b/>
          <w:color w:val="000000"/>
        </w:rPr>
        <w:lastRenderedPageBreak/>
        <w:t>PART II:</w:t>
      </w:r>
      <w:r w:rsidR="00D1778A">
        <w:rPr>
          <w:b/>
          <w:color w:val="000000"/>
        </w:rPr>
        <w:t xml:space="preserve">  </w:t>
      </w:r>
      <w:r w:rsidRPr="007F620E">
        <w:rPr>
          <w:b/>
          <w:color w:val="000000"/>
        </w:rPr>
        <w:t>SUBSTANTIAL CONTRIBUTION</w:t>
      </w:r>
    </w:p>
    <w:p w:rsidRPr="00C02649" w:rsidR="00A92D0B" w:rsidP="00795DFC" w:rsidRDefault="00D075B1" w14:paraId="337CC332" w14:textId="4A28FF37">
      <w:pPr>
        <w:widowControl w:val="0"/>
        <w:numPr>
          <w:ilvl w:val="0"/>
          <w:numId w:val="8"/>
        </w:numPr>
        <w:spacing w:before="240" w:after="240"/>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 1802(</w:t>
      </w:r>
      <w:r w:rsidR="00ED6B6B">
        <w:rPr>
          <w:b/>
          <w:color w:val="000000"/>
        </w:rPr>
        <w:t>j</w:t>
      </w:r>
      <w:r w:rsidRPr="007F620E" w:rsidR="00A92D0B">
        <w:rPr>
          <w:b/>
          <w:color w:val="000000"/>
        </w:rPr>
        <w:t xml:space="preserve">), </w:t>
      </w:r>
      <w:r w:rsidRPr="007F620E" w:rsidR="001E77CF">
        <w:rPr>
          <w:b/>
          <w:color w:val="000000"/>
        </w:rPr>
        <w:br/>
      </w:r>
      <w:r w:rsidRPr="007F620E" w:rsidR="00A92D0B">
        <w:rPr>
          <w:b/>
          <w:color w:val="000000"/>
        </w:rPr>
        <w:t>§ 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r w:rsidR="00C02649">
        <w:rPr>
          <w:b/>
          <w:color w:val="000000"/>
        </w:rPr>
        <w:t>:</w:t>
      </w:r>
      <w:r w:rsidRPr="007F620E" w:rsidR="00A92D0B">
        <w:rPr>
          <w:b/>
          <w:color w:val="000000"/>
        </w:rPr>
        <w:t xml:space="preserve">  </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258"/>
        <w:gridCol w:w="4140"/>
        <w:gridCol w:w="2137"/>
      </w:tblGrid>
      <w:tr w:rsidRPr="00C50C1C" w:rsidR="00A92D0B" w:rsidTr="00C54B1B" w14:paraId="67755362" w14:textId="77777777">
        <w:tc>
          <w:tcPr>
            <w:tcW w:w="3258" w:type="dxa"/>
            <w:tcBorders>
              <w:bottom w:val="single" w:color="auto" w:sz="4" w:space="0"/>
            </w:tcBorders>
            <w:shd w:val="pct12" w:color="auto" w:fill="auto"/>
            <w:vAlign w:val="bottom"/>
          </w:tcPr>
          <w:p w:rsidRPr="00C50C1C" w:rsidR="00A92D0B" w:rsidP="00795DFC" w:rsidRDefault="00D075B1" w14:paraId="7CE2E5BB" w14:textId="77777777">
            <w:pPr>
              <w:widowControl w:val="0"/>
              <w:jc w:val="center"/>
              <w:rPr>
                <w:b/>
                <w:color w:val="000000"/>
              </w:rPr>
            </w:pPr>
            <w:r w:rsidRPr="00C50C1C">
              <w:rPr>
                <w:b/>
                <w:color w:val="000000"/>
              </w:rPr>
              <w:t>Intervenor’s Claimed Contribution(s)</w:t>
            </w:r>
          </w:p>
        </w:tc>
        <w:tc>
          <w:tcPr>
            <w:tcW w:w="4140" w:type="dxa"/>
            <w:tcBorders>
              <w:bottom w:val="single" w:color="auto" w:sz="4" w:space="0"/>
            </w:tcBorders>
            <w:shd w:val="pct12" w:color="auto" w:fill="auto"/>
            <w:vAlign w:val="bottom"/>
          </w:tcPr>
          <w:p w:rsidRPr="00C50C1C" w:rsidR="00A92D0B" w:rsidP="00795DFC" w:rsidRDefault="00A92D0B" w14:paraId="2794272E" w14:textId="77777777">
            <w:pPr>
              <w:widowControl w:val="0"/>
              <w:jc w:val="center"/>
              <w:rPr>
                <w:b/>
                <w:color w:val="000000"/>
              </w:rPr>
            </w:pPr>
            <w:r w:rsidRPr="00C50C1C">
              <w:rPr>
                <w:b/>
                <w:color w:val="000000"/>
              </w:rPr>
              <w:t xml:space="preserve">Specific References to </w:t>
            </w:r>
            <w:r w:rsidRPr="00C50C1C" w:rsidR="00D075B1">
              <w:rPr>
                <w:b/>
                <w:color w:val="000000"/>
              </w:rPr>
              <w:t>Intervenor’s Claimed Contribution(s)</w:t>
            </w:r>
          </w:p>
        </w:tc>
        <w:tc>
          <w:tcPr>
            <w:tcW w:w="2137" w:type="dxa"/>
            <w:shd w:val="pct12" w:color="auto" w:fill="auto"/>
            <w:vAlign w:val="bottom"/>
          </w:tcPr>
          <w:p w:rsidRPr="00C50C1C" w:rsidR="00A92D0B" w:rsidP="00795DFC" w:rsidRDefault="00D075B1" w14:paraId="79AFC714" w14:textId="77777777">
            <w:pPr>
              <w:widowControl w:val="0"/>
              <w:jc w:val="center"/>
              <w:rPr>
                <w:b/>
                <w:color w:val="000000"/>
              </w:rPr>
            </w:pPr>
            <w:r w:rsidRPr="00C50C1C">
              <w:rPr>
                <w:b/>
                <w:color w:val="000000"/>
              </w:rPr>
              <w:t>CPUC Discussion</w:t>
            </w:r>
          </w:p>
        </w:tc>
      </w:tr>
      <w:tr w:rsidRPr="00C50C1C" w:rsidR="00A92D0B" w:rsidTr="00C54B1B" w14:paraId="2E691FFC" w14:textId="77777777">
        <w:trPr>
          <w:tblHeader/>
        </w:trPr>
        <w:tc>
          <w:tcPr>
            <w:tcW w:w="3258" w:type="dxa"/>
          </w:tcPr>
          <w:p w:rsidRPr="00C50C1C" w:rsidR="00E25078" w:rsidP="00795DFC" w:rsidRDefault="00A92D0B" w14:paraId="1B0CC007" w14:textId="084AF293">
            <w:pPr>
              <w:widowControl w:val="0"/>
              <w:rPr>
                <w:color w:val="000000"/>
              </w:rPr>
            </w:pPr>
            <w:r w:rsidRPr="00C50C1C">
              <w:rPr>
                <w:color w:val="000000"/>
              </w:rPr>
              <w:t>1.</w:t>
            </w:r>
            <w:r w:rsidRPr="00C50C1C" w:rsidR="00E25078">
              <w:rPr>
                <w:color w:val="000000"/>
              </w:rPr>
              <w:t xml:space="preserve"> </w:t>
            </w:r>
            <w:r w:rsidRPr="00C50C1C" w:rsidR="00056E0D">
              <w:rPr>
                <w:color w:val="000000"/>
              </w:rPr>
              <w:t xml:space="preserve">EDF submitted </w:t>
            </w:r>
            <w:r w:rsidRPr="00C50C1C" w:rsidR="00A466A5">
              <w:rPr>
                <w:color w:val="000000"/>
              </w:rPr>
              <w:t>Intervenor Testimony in this proceeding on December 30, 2022.</w:t>
            </w:r>
          </w:p>
        </w:tc>
        <w:tc>
          <w:tcPr>
            <w:tcW w:w="4140" w:type="dxa"/>
          </w:tcPr>
          <w:p w:rsidRPr="00C50C1C" w:rsidR="00A92D0B" w:rsidP="00795DFC" w:rsidRDefault="00B27B14" w14:paraId="532F95D2" w14:textId="7851B214">
            <w:pPr>
              <w:widowControl w:val="0"/>
              <w:rPr>
                <w:color w:val="000000"/>
              </w:rPr>
            </w:pPr>
            <w:r w:rsidRPr="00C50C1C">
              <w:rPr>
                <w:color w:val="000000"/>
              </w:rPr>
              <w:t xml:space="preserve">1. </w:t>
            </w:r>
            <w:r w:rsidRPr="00C50C1C" w:rsidR="00A466A5">
              <w:rPr>
                <w:color w:val="000000"/>
              </w:rPr>
              <w:t>“On December 30, 2022, the following parties served intervenor testimony… Environmental Defense Fund (EDF)…”  (D.23-11-006, at p. 4</w:t>
            </w:r>
            <w:r w:rsidRPr="00C50C1C">
              <w:rPr>
                <w:color w:val="000000"/>
              </w:rPr>
              <w:t>)</w:t>
            </w:r>
            <w:r w:rsidRPr="00C50C1C" w:rsidR="00A466A5">
              <w:rPr>
                <w:color w:val="000000"/>
              </w:rPr>
              <w:t>.</w:t>
            </w:r>
          </w:p>
        </w:tc>
        <w:tc>
          <w:tcPr>
            <w:tcW w:w="2137" w:type="dxa"/>
          </w:tcPr>
          <w:p w:rsidRPr="00C50C1C" w:rsidR="00A92D0B" w:rsidP="00795DFC" w:rsidRDefault="00EE55B8" w14:paraId="63938BDA" w14:textId="43FBF0FA">
            <w:pPr>
              <w:widowControl w:val="0"/>
              <w:rPr>
                <w:color w:val="000000"/>
              </w:rPr>
            </w:pPr>
            <w:r w:rsidRPr="00C50C1C">
              <w:rPr>
                <w:color w:val="000000"/>
              </w:rPr>
              <w:t>Noted</w:t>
            </w:r>
            <w:r w:rsidRPr="00C50C1C" w:rsidR="00D57941">
              <w:rPr>
                <w:color w:val="000000"/>
              </w:rPr>
              <w:t>. However, see discussion in Part III. D [1].</w:t>
            </w:r>
          </w:p>
        </w:tc>
      </w:tr>
      <w:tr w:rsidRPr="00C50C1C" w:rsidR="00A92D0B" w:rsidTr="00C54B1B" w14:paraId="4AAA05AE" w14:textId="77777777">
        <w:trPr>
          <w:tblHeader/>
        </w:trPr>
        <w:tc>
          <w:tcPr>
            <w:tcW w:w="3258" w:type="dxa"/>
          </w:tcPr>
          <w:p w:rsidRPr="00C50C1C" w:rsidR="00E25078" w:rsidP="00795DFC" w:rsidRDefault="00A92D0B" w14:paraId="11FCCEB5" w14:textId="2E89B527">
            <w:pPr>
              <w:widowControl w:val="0"/>
              <w:rPr>
                <w:color w:val="000000"/>
              </w:rPr>
            </w:pPr>
            <w:r w:rsidRPr="00C50C1C">
              <w:rPr>
                <w:color w:val="000000"/>
              </w:rPr>
              <w:t>2.</w:t>
            </w:r>
            <w:r w:rsidRPr="00C50C1C" w:rsidR="00E25078">
              <w:rPr>
                <w:color w:val="000000"/>
              </w:rPr>
              <w:t xml:space="preserve"> </w:t>
            </w:r>
            <w:r w:rsidRPr="00C50C1C" w:rsidR="00B27B14">
              <w:rPr>
                <w:color w:val="000000"/>
              </w:rPr>
              <w:t>Numerous parties, including EDF, submitted Rebuttal Testimony in this proceeding on January 30, 2023.</w:t>
            </w:r>
          </w:p>
        </w:tc>
        <w:tc>
          <w:tcPr>
            <w:tcW w:w="4140" w:type="dxa"/>
          </w:tcPr>
          <w:p w:rsidRPr="00C50C1C" w:rsidR="00A92D0B" w:rsidP="00795DFC" w:rsidRDefault="00B27B14" w14:paraId="2A92A629" w14:textId="4D43F46C">
            <w:pPr>
              <w:widowControl w:val="0"/>
              <w:rPr>
                <w:color w:val="000000"/>
              </w:rPr>
            </w:pPr>
            <w:r w:rsidRPr="00C50C1C">
              <w:rPr>
                <w:color w:val="000000"/>
              </w:rPr>
              <w:t>2. It is unclear why, but D.23-11-006 only states that “[o]n January 30, 2023, SDG&amp;E served rebuttal testimony.”  (D.23-11-006, at p. 4).</w:t>
            </w:r>
          </w:p>
        </w:tc>
        <w:tc>
          <w:tcPr>
            <w:tcW w:w="2137" w:type="dxa"/>
          </w:tcPr>
          <w:p w:rsidRPr="00C50C1C" w:rsidR="00A92D0B" w:rsidP="00795DFC" w:rsidRDefault="00EE55B8" w14:paraId="56FD3368" w14:textId="12AF6224">
            <w:pPr>
              <w:widowControl w:val="0"/>
              <w:rPr>
                <w:color w:val="000000"/>
              </w:rPr>
            </w:pPr>
            <w:r w:rsidRPr="00C50C1C">
              <w:rPr>
                <w:color w:val="000000"/>
              </w:rPr>
              <w:t>Noted</w:t>
            </w:r>
            <w:r w:rsidRPr="00C50C1C" w:rsidR="00823A6A">
              <w:rPr>
                <w:color w:val="000000"/>
              </w:rPr>
              <w:t>. However, see discussion in Part III. D [1].</w:t>
            </w:r>
          </w:p>
        </w:tc>
      </w:tr>
      <w:tr w:rsidRPr="00C50C1C" w:rsidR="00691528" w:rsidTr="00C54B1B" w14:paraId="36FF786B" w14:textId="77777777">
        <w:trPr>
          <w:tblHeader/>
        </w:trPr>
        <w:tc>
          <w:tcPr>
            <w:tcW w:w="3258" w:type="dxa"/>
          </w:tcPr>
          <w:p w:rsidRPr="00C50C1C" w:rsidR="00E25078" w:rsidP="00795DFC" w:rsidRDefault="00691528" w14:paraId="77A8C970" w14:textId="52567685">
            <w:pPr>
              <w:widowControl w:val="0"/>
              <w:rPr>
                <w:color w:val="000000"/>
              </w:rPr>
            </w:pPr>
            <w:r w:rsidRPr="00C50C1C">
              <w:rPr>
                <w:color w:val="000000"/>
              </w:rPr>
              <w:t>3.</w:t>
            </w:r>
            <w:r w:rsidRPr="00C50C1C" w:rsidR="00E25078">
              <w:rPr>
                <w:color w:val="000000"/>
              </w:rPr>
              <w:t xml:space="preserve"> </w:t>
            </w:r>
            <w:r w:rsidRPr="00C50C1C" w:rsidR="00B27B14">
              <w:rPr>
                <w:color w:val="000000"/>
              </w:rPr>
              <w:t xml:space="preserve">EDF participated in a Joint Case Management Statement served by SDG&amp;E </w:t>
            </w:r>
            <w:r w:rsidRPr="00C50C1C" w:rsidR="00863401">
              <w:rPr>
                <w:color w:val="000000"/>
              </w:rPr>
              <w:t>on</w:t>
            </w:r>
            <w:r w:rsidRPr="00C50C1C" w:rsidR="00B27B14">
              <w:rPr>
                <w:color w:val="000000"/>
              </w:rPr>
              <w:t xml:space="preserve"> March 17, 2022.</w:t>
            </w:r>
            <w:r w:rsidRPr="00C50C1C" w:rsidR="00863401">
              <w:rPr>
                <w:color w:val="000000"/>
              </w:rPr>
              <w:t xml:space="preserve">  In this Joint Case Management Statement, EDF was one of many parties who supported dismissing the Import Rate Pilot Application.</w:t>
            </w:r>
          </w:p>
        </w:tc>
        <w:tc>
          <w:tcPr>
            <w:tcW w:w="4140" w:type="dxa"/>
          </w:tcPr>
          <w:p w:rsidRPr="00C50C1C" w:rsidR="00863401" w:rsidP="00795DFC" w:rsidRDefault="00B27B14" w14:paraId="2144B6BD" w14:textId="7CC73337">
            <w:pPr>
              <w:widowControl w:val="0"/>
              <w:rPr>
                <w:color w:val="000000"/>
              </w:rPr>
            </w:pPr>
            <w:r w:rsidRPr="00C50C1C">
              <w:rPr>
                <w:color w:val="000000"/>
              </w:rPr>
              <w:t>3. “On March 17, 2022, SDG&amp;E served a Joint Case Management Statement with a list of stipulated facts.  In the Joint Case Management Statement, the following parties recommended that the Commission dismiss SDG&amp;E’s Import Rate Pilot application without prejudice and waived evidentiary hearings: … EDF…” (D.23-11-006, at p. 4).</w:t>
            </w:r>
          </w:p>
        </w:tc>
        <w:tc>
          <w:tcPr>
            <w:tcW w:w="2137" w:type="dxa"/>
          </w:tcPr>
          <w:p w:rsidRPr="00C50C1C" w:rsidR="00691528" w:rsidP="00795DFC" w:rsidRDefault="007C03E0" w14:paraId="64233D9C" w14:textId="1B150420">
            <w:pPr>
              <w:widowControl w:val="0"/>
              <w:rPr>
                <w:color w:val="000000"/>
              </w:rPr>
            </w:pPr>
            <w:r w:rsidRPr="00C50C1C">
              <w:rPr>
                <w:color w:val="000000"/>
              </w:rPr>
              <w:t>Noted</w:t>
            </w:r>
          </w:p>
        </w:tc>
      </w:tr>
      <w:tr w:rsidRPr="00C50C1C" w:rsidR="00863401" w:rsidTr="00C54B1B" w14:paraId="331376B8" w14:textId="77777777">
        <w:trPr>
          <w:tblHeader/>
        </w:trPr>
        <w:tc>
          <w:tcPr>
            <w:tcW w:w="3258" w:type="dxa"/>
          </w:tcPr>
          <w:p w:rsidRPr="00C50C1C" w:rsidR="00863401" w:rsidP="00795DFC" w:rsidRDefault="00863401" w14:paraId="2D3BD169" w14:textId="1000E01F">
            <w:pPr>
              <w:widowControl w:val="0"/>
              <w:rPr>
                <w:color w:val="000000"/>
              </w:rPr>
            </w:pPr>
            <w:r w:rsidRPr="00C50C1C">
              <w:rPr>
                <w:color w:val="000000"/>
              </w:rPr>
              <w:t>4. EDF filed and served an Opening Brief on June 9, 2023.</w:t>
            </w:r>
          </w:p>
        </w:tc>
        <w:tc>
          <w:tcPr>
            <w:tcW w:w="4140" w:type="dxa"/>
          </w:tcPr>
          <w:p w:rsidRPr="00C50C1C" w:rsidR="00863401" w:rsidP="00795DFC" w:rsidRDefault="00863401" w14:paraId="6ADD67A2" w14:textId="0CA2B957">
            <w:pPr>
              <w:widowControl w:val="0"/>
              <w:rPr>
                <w:color w:val="000000"/>
              </w:rPr>
            </w:pPr>
            <w:r w:rsidRPr="00C50C1C">
              <w:rPr>
                <w:color w:val="000000"/>
              </w:rPr>
              <w:t xml:space="preserve">4. “On June 9, 2023, the following </w:t>
            </w:r>
            <w:proofErr w:type="gramStart"/>
            <w:r w:rsidRPr="00C50C1C">
              <w:rPr>
                <w:color w:val="000000"/>
              </w:rPr>
              <w:t>parties</w:t>
            </w:r>
            <w:proofErr w:type="gramEnd"/>
            <w:r w:rsidRPr="00C50C1C">
              <w:rPr>
                <w:color w:val="000000"/>
              </w:rPr>
              <w:t xml:space="preserve"> field opening briefs: … EDF, …” (D.23-11-006, at p. 5).</w:t>
            </w:r>
          </w:p>
        </w:tc>
        <w:tc>
          <w:tcPr>
            <w:tcW w:w="2137" w:type="dxa"/>
          </w:tcPr>
          <w:p w:rsidRPr="00C50C1C" w:rsidR="00863401" w:rsidP="00795DFC" w:rsidRDefault="00EE55B8" w14:paraId="4ADD9E6C" w14:textId="31077D4E">
            <w:pPr>
              <w:widowControl w:val="0"/>
              <w:rPr>
                <w:color w:val="000000"/>
              </w:rPr>
            </w:pPr>
            <w:r w:rsidRPr="00C50C1C">
              <w:rPr>
                <w:color w:val="000000"/>
              </w:rPr>
              <w:t>Noted</w:t>
            </w:r>
            <w:r w:rsidRPr="00C50C1C" w:rsidR="00823A6A">
              <w:rPr>
                <w:color w:val="000000"/>
              </w:rPr>
              <w:t>. However, see discussion in Part III. D [1].</w:t>
            </w:r>
          </w:p>
        </w:tc>
      </w:tr>
      <w:tr w:rsidRPr="00C50C1C" w:rsidR="00863401" w:rsidTr="00C54B1B" w14:paraId="048F7930" w14:textId="77777777">
        <w:trPr>
          <w:tblHeader/>
        </w:trPr>
        <w:tc>
          <w:tcPr>
            <w:tcW w:w="3258" w:type="dxa"/>
          </w:tcPr>
          <w:p w:rsidRPr="00C50C1C" w:rsidR="00863401" w:rsidP="00795DFC" w:rsidRDefault="00863401" w14:paraId="4CA7E6F3" w14:textId="102D4204">
            <w:pPr>
              <w:widowControl w:val="0"/>
              <w:rPr>
                <w:color w:val="000000"/>
              </w:rPr>
            </w:pPr>
            <w:r w:rsidRPr="00C50C1C">
              <w:rPr>
                <w:color w:val="000000"/>
              </w:rPr>
              <w:t xml:space="preserve">5. EDF filed and served </w:t>
            </w:r>
            <w:proofErr w:type="gramStart"/>
            <w:r w:rsidRPr="00C50C1C">
              <w:rPr>
                <w:color w:val="000000"/>
              </w:rPr>
              <w:t>a Reply</w:t>
            </w:r>
            <w:proofErr w:type="gramEnd"/>
            <w:r w:rsidRPr="00C50C1C">
              <w:rPr>
                <w:color w:val="000000"/>
              </w:rPr>
              <w:t xml:space="preserve"> Brief on July 7, 2023.</w:t>
            </w:r>
          </w:p>
        </w:tc>
        <w:tc>
          <w:tcPr>
            <w:tcW w:w="4140" w:type="dxa"/>
          </w:tcPr>
          <w:p w:rsidRPr="00C50C1C" w:rsidR="00863401" w:rsidP="00795DFC" w:rsidRDefault="00863401" w14:paraId="6053DF4D" w14:textId="334A48F4">
            <w:pPr>
              <w:widowControl w:val="0"/>
              <w:rPr>
                <w:color w:val="000000"/>
              </w:rPr>
            </w:pPr>
            <w:r w:rsidRPr="00C50C1C">
              <w:rPr>
                <w:color w:val="000000"/>
              </w:rPr>
              <w:t xml:space="preserve">5. “On July 7, 2023, the following parties filed </w:t>
            </w:r>
            <w:proofErr w:type="gramStart"/>
            <w:r w:rsidRPr="00C50C1C">
              <w:rPr>
                <w:color w:val="000000"/>
              </w:rPr>
              <w:t>reply</w:t>
            </w:r>
            <w:proofErr w:type="gramEnd"/>
            <w:r w:rsidRPr="00C50C1C">
              <w:rPr>
                <w:color w:val="000000"/>
              </w:rPr>
              <w:t xml:space="preserve"> briefs: … EDF, …” (D.23-11-006, at p. 5).</w:t>
            </w:r>
          </w:p>
        </w:tc>
        <w:tc>
          <w:tcPr>
            <w:tcW w:w="2137" w:type="dxa"/>
          </w:tcPr>
          <w:p w:rsidRPr="00C50C1C" w:rsidR="00863401" w:rsidP="00795DFC" w:rsidRDefault="00EE55B8" w14:paraId="0CAA83D0" w14:textId="241F8681">
            <w:pPr>
              <w:widowControl w:val="0"/>
              <w:rPr>
                <w:color w:val="000000"/>
              </w:rPr>
            </w:pPr>
            <w:r w:rsidRPr="00C50C1C">
              <w:rPr>
                <w:color w:val="000000"/>
              </w:rPr>
              <w:t>Noted</w:t>
            </w:r>
            <w:r w:rsidRPr="00C50C1C" w:rsidR="00823A6A">
              <w:rPr>
                <w:color w:val="000000"/>
              </w:rPr>
              <w:t>. However, see discussion in Part III. D [1].</w:t>
            </w:r>
          </w:p>
        </w:tc>
      </w:tr>
      <w:tr w:rsidRPr="00C50C1C" w:rsidR="00B27B14" w:rsidTr="00C54B1B" w14:paraId="4C6DF69E" w14:textId="77777777">
        <w:trPr>
          <w:tblHeader/>
        </w:trPr>
        <w:tc>
          <w:tcPr>
            <w:tcW w:w="3258" w:type="dxa"/>
          </w:tcPr>
          <w:p w:rsidRPr="00C50C1C" w:rsidR="00B27B14" w:rsidP="00795DFC" w:rsidRDefault="00B27B14" w14:paraId="1E8BB865" w14:textId="4889480A">
            <w:pPr>
              <w:widowControl w:val="0"/>
              <w:rPr>
                <w:color w:val="000000"/>
              </w:rPr>
            </w:pPr>
            <w:r w:rsidRPr="00C50C1C">
              <w:rPr>
                <w:color w:val="000000"/>
              </w:rPr>
              <w:t>6. EDF filed and served a Response to Reply Briefs on July 26, 2023.</w:t>
            </w:r>
          </w:p>
        </w:tc>
        <w:tc>
          <w:tcPr>
            <w:tcW w:w="4140" w:type="dxa"/>
          </w:tcPr>
          <w:p w:rsidRPr="00C50C1C" w:rsidR="00B27B14" w:rsidP="00795DFC" w:rsidRDefault="00B27B14" w14:paraId="712DC4CB" w14:textId="5EEFED2B">
            <w:pPr>
              <w:widowControl w:val="0"/>
              <w:rPr>
                <w:color w:val="000000"/>
              </w:rPr>
            </w:pPr>
            <w:r w:rsidRPr="00C50C1C">
              <w:rPr>
                <w:color w:val="000000"/>
              </w:rPr>
              <w:t xml:space="preserve">6. “On July 26, 2023, the following parties field responses to </w:t>
            </w:r>
            <w:proofErr w:type="gramStart"/>
            <w:r w:rsidRPr="00C50C1C">
              <w:rPr>
                <w:color w:val="000000"/>
              </w:rPr>
              <w:t>reply</w:t>
            </w:r>
            <w:proofErr w:type="gramEnd"/>
            <w:r w:rsidRPr="00C50C1C">
              <w:rPr>
                <w:color w:val="000000"/>
              </w:rPr>
              <w:t xml:space="preserve"> briefs: EDF, SDG&amp;E, and VGIC.” (D.23-11-006, at p. 5).</w:t>
            </w:r>
          </w:p>
        </w:tc>
        <w:tc>
          <w:tcPr>
            <w:tcW w:w="2137" w:type="dxa"/>
          </w:tcPr>
          <w:p w:rsidRPr="00C50C1C" w:rsidR="00B27B14" w:rsidP="00795DFC" w:rsidRDefault="00EE55B8" w14:paraId="03E3923E" w14:textId="48B85893">
            <w:pPr>
              <w:widowControl w:val="0"/>
              <w:rPr>
                <w:color w:val="000000"/>
              </w:rPr>
            </w:pPr>
            <w:r w:rsidRPr="00C50C1C">
              <w:rPr>
                <w:color w:val="000000"/>
              </w:rPr>
              <w:t>Noted</w:t>
            </w:r>
            <w:r w:rsidRPr="00C50C1C" w:rsidR="00823A6A">
              <w:rPr>
                <w:color w:val="000000"/>
              </w:rPr>
              <w:t>. However, see discussion in Part III. D [1].</w:t>
            </w:r>
          </w:p>
        </w:tc>
      </w:tr>
      <w:tr w:rsidRPr="00C50C1C" w:rsidR="00B27B14" w:rsidTr="00C54B1B" w14:paraId="598A31B0" w14:textId="77777777">
        <w:trPr>
          <w:tblHeader/>
        </w:trPr>
        <w:tc>
          <w:tcPr>
            <w:tcW w:w="3258" w:type="dxa"/>
          </w:tcPr>
          <w:p w:rsidRPr="00C50C1C" w:rsidR="00B27B14" w:rsidP="00795DFC" w:rsidRDefault="00B27B14" w14:paraId="29C8DDF2" w14:textId="41065F45">
            <w:pPr>
              <w:widowControl w:val="0"/>
              <w:rPr>
                <w:color w:val="000000"/>
              </w:rPr>
            </w:pPr>
            <w:r w:rsidRPr="00C50C1C">
              <w:rPr>
                <w:color w:val="000000"/>
              </w:rPr>
              <w:t>7. In its Briefs, EDF opposed the Settlement Agreement submitted by the nine Settling Parties.</w:t>
            </w:r>
          </w:p>
        </w:tc>
        <w:tc>
          <w:tcPr>
            <w:tcW w:w="4140" w:type="dxa"/>
          </w:tcPr>
          <w:p w:rsidRPr="00C50C1C" w:rsidR="00B27B14" w:rsidP="00795DFC" w:rsidRDefault="00B27B14" w14:paraId="19F74869" w14:textId="2CE54136">
            <w:pPr>
              <w:widowControl w:val="0"/>
              <w:rPr>
                <w:color w:val="000000"/>
              </w:rPr>
            </w:pPr>
            <w:r w:rsidRPr="00C50C1C">
              <w:rPr>
                <w:color w:val="000000"/>
              </w:rPr>
              <w:t xml:space="preserve">7. “Nine parties in this proceeding joined the Settlement Agreement (Settling Parties) regarding the Export Rate issues: SDG&amp;E, Cal Advocates, UCAN, SBUA, TURN AReM/DACC, Electrify America, and FEA.  Two parties, EDF and VGIC, opposed the Settlement Agreements in briefs.” </w:t>
            </w:r>
            <w:r w:rsidRPr="00C50C1C">
              <w:rPr>
                <w:color w:val="000000"/>
              </w:rPr>
              <w:lastRenderedPageBreak/>
              <w:t xml:space="preserve">(D.23-11-006, at p. </w:t>
            </w:r>
            <w:r w:rsidRPr="00C50C1C" w:rsidR="0050121D">
              <w:rPr>
                <w:color w:val="000000"/>
              </w:rPr>
              <w:t>7</w:t>
            </w:r>
            <w:r w:rsidRPr="00C50C1C">
              <w:rPr>
                <w:color w:val="000000"/>
              </w:rPr>
              <w:t>).</w:t>
            </w:r>
          </w:p>
        </w:tc>
        <w:tc>
          <w:tcPr>
            <w:tcW w:w="2137" w:type="dxa"/>
          </w:tcPr>
          <w:p w:rsidRPr="00C50C1C" w:rsidR="00B27B14" w:rsidP="00795DFC" w:rsidRDefault="007C03E0" w14:paraId="3EA1A02A" w14:textId="104C040A">
            <w:pPr>
              <w:widowControl w:val="0"/>
              <w:rPr>
                <w:color w:val="000000"/>
              </w:rPr>
            </w:pPr>
            <w:r w:rsidRPr="00C50C1C">
              <w:rPr>
                <w:color w:val="000000"/>
              </w:rPr>
              <w:lastRenderedPageBreak/>
              <w:t>Noted</w:t>
            </w:r>
          </w:p>
        </w:tc>
      </w:tr>
      <w:tr w:rsidRPr="00C50C1C" w:rsidR="0050121D" w:rsidTr="00C54B1B" w14:paraId="72329129" w14:textId="77777777">
        <w:trPr>
          <w:tblHeader/>
        </w:trPr>
        <w:tc>
          <w:tcPr>
            <w:tcW w:w="3258" w:type="dxa"/>
          </w:tcPr>
          <w:p w:rsidRPr="00C50C1C" w:rsidR="0050121D" w:rsidP="00795DFC" w:rsidRDefault="0050121D" w14:paraId="15C8516B" w14:textId="7918A4E7">
            <w:pPr>
              <w:widowControl w:val="0"/>
              <w:rPr>
                <w:color w:val="000000"/>
              </w:rPr>
            </w:pPr>
            <w:r w:rsidRPr="00C50C1C">
              <w:rPr>
                <w:color w:val="000000"/>
              </w:rPr>
              <w:t>8. EDF was one of many parties who agreed to dismiss SDG&amp;E’s Import Rate Pilot application without prejudice.</w:t>
            </w:r>
          </w:p>
        </w:tc>
        <w:tc>
          <w:tcPr>
            <w:tcW w:w="4140" w:type="dxa"/>
          </w:tcPr>
          <w:p w:rsidRPr="00C50C1C" w:rsidR="0050121D" w:rsidP="00795DFC" w:rsidRDefault="0050121D" w14:paraId="40E8314A" w14:textId="08C20FEF">
            <w:pPr>
              <w:widowControl w:val="0"/>
              <w:rPr>
                <w:color w:val="000000"/>
              </w:rPr>
            </w:pPr>
            <w:r w:rsidRPr="00C50C1C">
              <w:rPr>
                <w:color w:val="000000"/>
              </w:rPr>
              <w:t>8. “On March 17, 2022, SDG&amp;E served a Joint Case Management Statement with a recommendation by the following parties to dismiss SDG&amp;E’s Import Rate Pilot application without prejudice and direct SDG&amp;E to file one or more dynamic rate applications after the Commission issues a final decision in R.22-07-005 that provides guidelines for dynamic rate applications: … EDF…” (D.23-11-006, at p. 8).</w:t>
            </w:r>
          </w:p>
        </w:tc>
        <w:tc>
          <w:tcPr>
            <w:tcW w:w="2137" w:type="dxa"/>
          </w:tcPr>
          <w:p w:rsidRPr="00C50C1C" w:rsidR="0050121D" w:rsidP="00795DFC" w:rsidRDefault="00884D43" w14:paraId="26B7BF4C" w14:textId="4F43A0E4">
            <w:pPr>
              <w:widowControl w:val="0"/>
              <w:rPr>
                <w:color w:val="000000"/>
              </w:rPr>
            </w:pPr>
            <w:r w:rsidRPr="00C50C1C">
              <w:rPr>
                <w:color w:val="000000"/>
              </w:rPr>
              <w:t>Noted</w:t>
            </w:r>
          </w:p>
        </w:tc>
      </w:tr>
      <w:tr w:rsidRPr="00C50C1C" w:rsidR="00863401" w:rsidTr="00C54B1B" w14:paraId="063E266F" w14:textId="77777777">
        <w:trPr>
          <w:tblHeader/>
        </w:trPr>
        <w:tc>
          <w:tcPr>
            <w:tcW w:w="3258" w:type="dxa"/>
          </w:tcPr>
          <w:p w:rsidRPr="00C50C1C" w:rsidR="00863401" w:rsidP="00795DFC" w:rsidRDefault="0050121D" w14:paraId="6685B3F3" w14:textId="0830DA96">
            <w:pPr>
              <w:widowControl w:val="0"/>
              <w:rPr>
                <w:color w:val="000000"/>
              </w:rPr>
            </w:pPr>
            <w:r w:rsidRPr="00C50C1C">
              <w:rPr>
                <w:color w:val="000000"/>
              </w:rPr>
              <w:t>9</w:t>
            </w:r>
            <w:r w:rsidRPr="00C50C1C" w:rsidR="00863401">
              <w:rPr>
                <w:color w:val="000000"/>
              </w:rPr>
              <w:t>. EDF was one of many parties who stipulated that community choice aggregator (CCA) participation is crucial.</w:t>
            </w:r>
          </w:p>
        </w:tc>
        <w:tc>
          <w:tcPr>
            <w:tcW w:w="4140" w:type="dxa"/>
          </w:tcPr>
          <w:p w:rsidRPr="00C50C1C" w:rsidR="00863401" w:rsidP="00795DFC" w:rsidRDefault="0050121D" w14:paraId="32554FEA" w14:textId="531A341B">
            <w:pPr>
              <w:widowControl w:val="0"/>
              <w:rPr>
                <w:color w:val="000000"/>
              </w:rPr>
            </w:pPr>
            <w:r w:rsidRPr="00C50C1C">
              <w:rPr>
                <w:color w:val="000000"/>
              </w:rPr>
              <w:t>9</w:t>
            </w:r>
            <w:r w:rsidRPr="00C50C1C" w:rsidR="00863401">
              <w:rPr>
                <w:color w:val="000000"/>
              </w:rPr>
              <w:t>. “SDG&amp;E, SDCP, UCAN, TURN FEA, EA, SBUA, VGIC, Cal Advocates, EDF stipulated that CCA participation will be critical to obtaining participation sufficient for a robust evaluation of the Import Rate Pilot’s objectives.” (D.23-11-006, at p. 9).</w:t>
            </w:r>
          </w:p>
        </w:tc>
        <w:tc>
          <w:tcPr>
            <w:tcW w:w="2137" w:type="dxa"/>
          </w:tcPr>
          <w:p w:rsidRPr="00C50C1C" w:rsidR="00863401" w:rsidP="00795DFC" w:rsidRDefault="00884D43" w14:paraId="0DE7874C" w14:textId="70801993">
            <w:pPr>
              <w:widowControl w:val="0"/>
              <w:rPr>
                <w:color w:val="000000"/>
              </w:rPr>
            </w:pPr>
            <w:r w:rsidRPr="00C50C1C">
              <w:rPr>
                <w:color w:val="000000"/>
              </w:rPr>
              <w:t>Noted</w:t>
            </w:r>
          </w:p>
        </w:tc>
      </w:tr>
      <w:tr w:rsidRPr="00C50C1C" w:rsidR="00863401" w:rsidTr="00C54B1B" w14:paraId="1D0456F4" w14:textId="77777777">
        <w:trPr>
          <w:tblHeader/>
        </w:trPr>
        <w:tc>
          <w:tcPr>
            <w:tcW w:w="3258" w:type="dxa"/>
          </w:tcPr>
          <w:p w:rsidRPr="00C50C1C" w:rsidR="00863401" w:rsidP="00795DFC" w:rsidRDefault="0050121D" w14:paraId="035EE44C" w14:textId="341E39C2">
            <w:pPr>
              <w:widowControl w:val="0"/>
              <w:rPr>
                <w:color w:val="000000"/>
              </w:rPr>
            </w:pPr>
            <w:r w:rsidRPr="00C50C1C">
              <w:rPr>
                <w:color w:val="000000"/>
              </w:rPr>
              <w:t>10</w:t>
            </w:r>
            <w:r w:rsidRPr="00C50C1C" w:rsidR="00863401">
              <w:rPr>
                <w:color w:val="000000"/>
              </w:rPr>
              <w:t>. In its Opening Brief, EDF argued that the Settlement Agreement did not comply with D.20-12-023</w:t>
            </w:r>
            <w:r w:rsidRPr="00C50C1C">
              <w:rPr>
                <w:color w:val="000000"/>
              </w:rPr>
              <w:t xml:space="preserve"> due to the lack of a distribution component and the fact that it does not provide incentives for commercial vehicles to electrify</w:t>
            </w:r>
            <w:r w:rsidRPr="00C50C1C" w:rsidR="00863401">
              <w:rPr>
                <w:color w:val="000000"/>
              </w:rPr>
              <w:t>.</w:t>
            </w:r>
          </w:p>
        </w:tc>
        <w:tc>
          <w:tcPr>
            <w:tcW w:w="4140" w:type="dxa"/>
          </w:tcPr>
          <w:p w:rsidRPr="00C50C1C" w:rsidR="00863401" w:rsidP="00795DFC" w:rsidRDefault="0050121D" w14:paraId="6A68FA4B" w14:textId="6A91206F">
            <w:pPr>
              <w:widowControl w:val="0"/>
              <w:rPr>
                <w:color w:val="000000"/>
              </w:rPr>
            </w:pPr>
            <w:r w:rsidRPr="00C50C1C">
              <w:rPr>
                <w:color w:val="000000"/>
              </w:rPr>
              <w:t>10</w:t>
            </w:r>
            <w:r w:rsidRPr="00C50C1C" w:rsidR="00863401">
              <w:rPr>
                <w:color w:val="000000"/>
              </w:rPr>
              <w:t>. “Only one party, EDF, argued that the Settlement Agreement did not comply with D.20-12-023.  EDF argued in its opening brief that D.20-12-023 required SDG&amp;E to file an optimal dynamic rate application designed to encourage commercial EV charging, and that the proposed rate in the Settlement Agreement does not comply with this requirement because it does not include a distribution component.  EDF argued that SDG&amp;E had an obligation to design a dynamic rate that would ‘induce’ commercial vehicles to electrify, and that the Settlement Agreement did not provide sufficient incentives to overcome the ‘significant’ upfront costs of electrifying commercial vehicles</w:t>
            </w:r>
            <w:r w:rsidRPr="00C50C1C" w:rsidR="00511889">
              <w:rPr>
                <w:color w:val="000000"/>
              </w:rPr>
              <w:t>….</w:t>
            </w:r>
            <w:r w:rsidRPr="00C50C1C" w:rsidR="00863401">
              <w:rPr>
                <w:color w:val="000000"/>
              </w:rPr>
              <w:t>SDG&amp;E replied that EDF did not provide facts or analysis to support its argument that the Settlement Agreement would not comply with D.20-12-023.”</w:t>
            </w:r>
            <w:r w:rsidRPr="00C50C1C" w:rsidR="00511889">
              <w:rPr>
                <w:color w:val="000000"/>
              </w:rPr>
              <w:t xml:space="preserve"> </w:t>
            </w:r>
            <w:r w:rsidRPr="00C50C1C" w:rsidR="00863401">
              <w:rPr>
                <w:color w:val="000000"/>
              </w:rPr>
              <w:t xml:space="preserve">(D.23-11-006, </w:t>
            </w:r>
            <w:proofErr w:type="gramStart"/>
            <w:r w:rsidRPr="00C50C1C" w:rsidR="00863401">
              <w:rPr>
                <w:color w:val="000000"/>
              </w:rPr>
              <w:t>at p.</w:t>
            </w:r>
            <w:proofErr w:type="gramEnd"/>
            <w:r w:rsidRPr="00C50C1C" w:rsidR="00863401">
              <w:rPr>
                <w:color w:val="000000"/>
              </w:rPr>
              <w:t xml:space="preserve"> 11).</w:t>
            </w:r>
          </w:p>
        </w:tc>
        <w:tc>
          <w:tcPr>
            <w:tcW w:w="2137" w:type="dxa"/>
          </w:tcPr>
          <w:p w:rsidRPr="00C50C1C" w:rsidR="00863401" w:rsidP="00795DFC" w:rsidRDefault="00C85A6D" w14:paraId="58570269" w14:textId="46BD70CC">
            <w:pPr>
              <w:widowControl w:val="0"/>
              <w:rPr>
                <w:color w:val="000000"/>
              </w:rPr>
            </w:pPr>
            <w:r w:rsidRPr="00C50C1C">
              <w:rPr>
                <w:color w:val="000000"/>
              </w:rPr>
              <w:t>Verified</w:t>
            </w:r>
          </w:p>
        </w:tc>
      </w:tr>
      <w:tr w:rsidRPr="00C50C1C" w:rsidR="00863401" w:rsidTr="00C54B1B" w14:paraId="71C5980A" w14:textId="77777777">
        <w:trPr>
          <w:tblHeader/>
        </w:trPr>
        <w:tc>
          <w:tcPr>
            <w:tcW w:w="3258" w:type="dxa"/>
          </w:tcPr>
          <w:p w:rsidRPr="00C50C1C" w:rsidR="00863401" w:rsidP="00795DFC" w:rsidRDefault="00863401" w14:paraId="00EC3DAC" w14:textId="75C9A1FC">
            <w:pPr>
              <w:widowControl w:val="0"/>
              <w:rPr>
                <w:color w:val="000000"/>
              </w:rPr>
            </w:pPr>
            <w:r w:rsidRPr="00C50C1C">
              <w:rPr>
                <w:color w:val="000000"/>
              </w:rPr>
              <w:t>1</w:t>
            </w:r>
            <w:r w:rsidRPr="00C50C1C" w:rsidR="0050121D">
              <w:rPr>
                <w:color w:val="000000"/>
              </w:rPr>
              <w:t>1</w:t>
            </w:r>
            <w:r w:rsidRPr="00C50C1C">
              <w:rPr>
                <w:color w:val="000000"/>
              </w:rPr>
              <w:t xml:space="preserve">. </w:t>
            </w:r>
            <w:r w:rsidRPr="00C50C1C" w:rsidR="00C71838">
              <w:rPr>
                <w:color w:val="000000"/>
              </w:rPr>
              <w:t xml:space="preserve">EDF argued that the </w:t>
            </w:r>
            <w:r w:rsidRPr="00C50C1C" w:rsidR="00C71838">
              <w:rPr>
                <w:color w:val="000000"/>
              </w:rPr>
              <w:lastRenderedPageBreak/>
              <w:t>dynamic rate must incentivize commercial customers to transition to electric vehicles.</w:t>
            </w:r>
          </w:p>
        </w:tc>
        <w:tc>
          <w:tcPr>
            <w:tcW w:w="4140" w:type="dxa"/>
          </w:tcPr>
          <w:p w:rsidRPr="00C50C1C" w:rsidR="00863401" w:rsidP="00795DFC" w:rsidRDefault="00C71838" w14:paraId="0206AAD5" w14:textId="7AD2E1D7">
            <w:pPr>
              <w:widowControl w:val="0"/>
              <w:rPr>
                <w:color w:val="000000"/>
              </w:rPr>
            </w:pPr>
            <w:r w:rsidRPr="00C50C1C">
              <w:rPr>
                <w:color w:val="000000"/>
              </w:rPr>
              <w:lastRenderedPageBreak/>
              <w:t>1</w:t>
            </w:r>
            <w:r w:rsidRPr="00C50C1C" w:rsidR="0050121D">
              <w:rPr>
                <w:color w:val="000000"/>
              </w:rPr>
              <w:t>1</w:t>
            </w:r>
            <w:r w:rsidRPr="00C50C1C">
              <w:rPr>
                <w:color w:val="000000"/>
              </w:rPr>
              <w:t xml:space="preserve">. “We agree that D.20-12-023 did not </w:t>
            </w:r>
            <w:r w:rsidRPr="00C50C1C">
              <w:rPr>
                <w:color w:val="000000"/>
              </w:rPr>
              <w:lastRenderedPageBreak/>
              <w:t xml:space="preserve">require SDG&amp;E to file a dynamic rate application that would, on its own, incentivize commercial customers to transition to electric vehicles.  EDF did not provide sufficient facts or analysis to support a finding that the Settlement Agreement will not ‘encourage’ commercial EV charging.” (D.23-11-006, </w:t>
            </w:r>
            <w:proofErr w:type="gramStart"/>
            <w:r w:rsidRPr="00C50C1C">
              <w:rPr>
                <w:color w:val="000000"/>
              </w:rPr>
              <w:t>at p.</w:t>
            </w:r>
            <w:proofErr w:type="gramEnd"/>
            <w:r w:rsidRPr="00C50C1C">
              <w:rPr>
                <w:color w:val="000000"/>
              </w:rPr>
              <w:t xml:space="preserve"> 12).</w:t>
            </w:r>
          </w:p>
        </w:tc>
        <w:tc>
          <w:tcPr>
            <w:tcW w:w="2137" w:type="dxa"/>
          </w:tcPr>
          <w:p w:rsidRPr="00C50C1C" w:rsidR="00863401" w:rsidP="00795DFC" w:rsidRDefault="00C85A6D" w14:paraId="54D45B76" w14:textId="3A24936B">
            <w:pPr>
              <w:widowControl w:val="0"/>
              <w:rPr>
                <w:color w:val="000000"/>
              </w:rPr>
            </w:pPr>
            <w:r w:rsidRPr="00C50C1C">
              <w:rPr>
                <w:color w:val="000000"/>
              </w:rPr>
              <w:lastRenderedPageBreak/>
              <w:t>Verified</w:t>
            </w:r>
          </w:p>
        </w:tc>
      </w:tr>
      <w:tr w:rsidRPr="00C50C1C" w:rsidR="00C71838" w:rsidTr="00C54B1B" w14:paraId="3B434A05" w14:textId="77777777">
        <w:trPr>
          <w:tblHeader/>
        </w:trPr>
        <w:tc>
          <w:tcPr>
            <w:tcW w:w="3258" w:type="dxa"/>
          </w:tcPr>
          <w:p w:rsidRPr="00C50C1C" w:rsidR="00C71838" w:rsidP="00795DFC" w:rsidRDefault="00C71838" w14:paraId="2FD1D752" w14:textId="2E29D92C">
            <w:pPr>
              <w:widowControl w:val="0"/>
              <w:rPr>
                <w:color w:val="000000"/>
              </w:rPr>
            </w:pPr>
            <w:r w:rsidRPr="00C50C1C">
              <w:rPr>
                <w:color w:val="000000"/>
              </w:rPr>
              <w:t>1</w:t>
            </w:r>
            <w:r w:rsidRPr="00C50C1C" w:rsidR="0050121D">
              <w:rPr>
                <w:color w:val="000000"/>
              </w:rPr>
              <w:t>2</w:t>
            </w:r>
            <w:r w:rsidRPr="00C50C1C">
              <w:rPr>
                <w:color w:val="000000"/>
              </w:rPr>
              <w:t>. EDF and VGIC argued that the dynamic rate must include a distribution rate component during the pilot period.</w:t>
            </w:r>
          </w:p>
        </w:tc>
        <w:tc>
          <w:tcPr>
            <w:tcW w:w="4140" w:type="dxa"/>
          </w:tcPr>
          <w:p w:rsidRPr="00C50C1C" w:rsidR="00C71838" w:rsidP="00795DFC" w:rsidRDefault="00C71838" w14:paraId="2A6AADAE" w14:textId="5B55A963">
            <w:pPr>
              <w:widowControl w:val="0"/>
              <w:rPr>
                <w:color w:val="000000"/>
              </w:rPr>
            </w:pPr>
            <w:r w:rsidRPr="00C50C1C">
              <w:rPr>
                <w:color w:val="000000"/>
              </w:rPr>
              <w:t>1</w:t>
            </w:r>
            <w:r w:rsidRPr="00C50C1C" w:rsidR="0050121D">
              <w:rPr>
                <w:color w:val="000000"/>
              </w:rPr>
              <w:t>2</w:t>
            </w:r>
            <w:r w:rsidRPr="00C50C1C">
              <w:rPr>
                <w:color w:val="000000"/>
              </w:rPr>
              <w:t>. “Two parties, VGIC and EDF, strongly opposed the Settlement Agreement’s proposal to not include a distribution rate component during the pilot period.” (D.23-11-006, at p. 14).</w:t>
            </w:r>
          </w:p>
          <w:p w:rsidRPr="00C50C1C" w:rsidR="00C71838" w:rsidP="00795DFC" w:rsidRDefault="00C71838" w14:paraId="611B1B0F" w14:textId="77777777">
            <w:pPr>
              <w:widowControl w:val="0"/>
              <w:rPr>
                <w:color w:val="000000"/>
              </w:rPr>
            </w:pPr>
          </w:p>
          <w:p w:rsidRPr="00C50C1C" w:rsidR="00C71838" w:rsidP="00795DFC" w:rsidRDefault="00C71838" w14:paraId="6581ED9C" w14:textId="77777777">
            <w:pPr>
              <w:widowControl w:val="0"/>
              <w:rPr>
                <w:color w:val="000000"/>
              </w:rPr>
            </w:pPr>
            <w:r w:rsidRPr="00C50C1C">
              <w:rPr>
                <w:color w:val="000000"/>
              </w:rPr>
              <w:t>“EDF argued that it is unlikely that the proposed Export Rate Pilot would provide system reliability benefits and greenhouse gas reductions because it would not provide sufficient incentives for vehicles, particularly medium- and heavy-duty trucks, to electrify.” (D.23-11-006, at p. 15).</w:t>
            </w:r>
          </w:p>
          <w:p w:rsidRPr="00C50C1C" w:rsidR="00C71838" w:rsidP="00795DFC" w:rsidRDefault="00C71838" w14:paraId="4EAD030A" w14:textId="77777777">
            <w:pPr>
              <w:widowControl w:val="0"/>
              <w:rPr>
                <w:color w:val="000000"/>
              </w:rPr>
            </w:pPr>
          </w:p>
          <w:p w:rsidRPr="00C50C1C" w:rsidR="00C71838" w:rsidP="00795DFC" w:rsidRDefault="00C71838" w14:paraId="751B44F4" w14:textId="77777777">
            <w:pPr>
              <w:widowControl w:val="0"/>
              <w:rPr>
                <w:color w:val="000000"/>
              </w:rPr>
            </w:pPr>
            <w:r w:rsidRPr="00C50C1C">
              <w:rPr>
                <w:color w:val="000000"/>
              </w:rPr>
              <w:t>“VGIC, in its opening brief, urged the Commission to adopt one of the three following methods for including a distribution component: (a) apply SDG&amp;E’s D-CPP component from Schedules GIR or VGI, (b) apply a method that the Commission adopted for a dynamic rate of Pacific Gas and Electric Company (PG&amp;E), or (c) adopt EDF’s proposed method.  (D.23-11-006, at p. 15).</w:t>
            </w:r>
          </w:p>
          <w:p w:rsidRPr="00C50C1C" w:rsidR="00C71838" w:rsidP="00795DFC" w:rsidRDefault="00C71838" w14:paraId="286715FE" w14:textId="77777777">
            <w:pPr>
              <w:widowControl w:val="0"/>
              <w:rPr>
                <w:color w:val="000000"/>
              </w:rPr>
            </w:pPr>
          </w:p>
          <w:p w:rsidRPr="00C50C1C" w:rsidR="00C71838" w:rsidP="00795DFC" w:rsidRDefault="00C71838" w14:paraId="203E223C" w14:textId="49761F1E">
            <w:pPr>
              <w:widowControl w:val="0"/>
              <w:rPr>
                <w:color w:val="000000"/>
              </w:rPr>
            </w:pPr>
            <w:r w:rsidRPr="00C50C1C">
              <w:rPr>
                <w:color w:val="000000"/>
              </w:rPr>
              <w:t>“EDF agreed that the Commission should not apply D-CPP from Schedules GIR and VGI to the Export Rate Pilot.” (D.23-11-006, at p. 16).</w:t>
            </w:r>
          </w:p>
        </w:tc>
        <w:tc>
          <w:tcPr>
            <w:tcW w:w="2137" w:type="dxa"/>
          </w:tcPr>
          <w:p w:rsidRPr="00C50C1C" w:rsidR="00C71838" w:rsidP="00795DFC" w:rsidRDefault="00C85A6D" w14:paraId="0AB4202E" w14:textId="5CF225EA">
            <w:pPr>
              <w:widowControl w:val="0"/>
              <w:rPr>
                <w:color w:val="000000"/>
              </w:rPr>
            </w:pPr>
            <w:r w:rsidRPr="00C50C1C">
              <w:rPr>
                <w:color w:val="000000"/>
              </w:rPr>
              <w:t>Verified</w:t>
            </w:r>
          </w:p>
        </w:tc>
      </w:tr>
      <w:tr w:rsidRPr="00C50C1C" w:rsidR="00C71838" w:rsidTr="00C54B1B" w14:paraId="7E052933" w14:textId="77777777">
        <w:trPr>
          <w:tblHeader/>
        </w:trPr>
        <w:tc>
          <w:tcPr>
            <w:tcW w:w="3258" w:type="dxa"/>
          </w:tcPr>
          <w:p w:rsidRPr="00C50C1C" w:rsidR="00C71838" w:rsidP="00795DFC" w:rsidRDefault="00C71838" w14:paraId="42154904" w14:textId="7933931F">
            <w:pPr>
              <w:widowControl w:val="0"/>
              <w:rPr>
                <w:color w:val="000000"/>
              </w:rPr>
            </w:pPr>
            <w:r w:rsidRPr="00C50C1C">
              <w:rPr>
                <w:color w:val="000000"/>
              </w:rPr>
              <w:t>1</w:t>
            </w:r>
            <w:r w:rsidRPr="00C50C1C" w:rsidR="0050121D">
              <w:rPr>
                <w:color w:val="000000"/>
              </w:rPr>
              <w:t>3</w:t>
            </w:r>
            <w:r w:rsidRPr="00C50C1C">
              <w:rPr>
                <w:color w:val="000000"/>
              </w:rPr>
              <w:t xml:space="preserve">. EDF and VGIC urged the Commission to include a distribution component </w:t>
            </w:r>
            <w:proofErr w:type="gramStart"/>
            <w:r w:rsidRPr="00C50C1C">
              <w:rPr>
                <w:color w:val="000000"/>
              </w:rPr>
              <w:t>in order to</w:t>
            </w:r>
            <w:proofErr w:type="gramEnd"/>
            <w:r w:rsidRPr="00C50C1C">
              <w:rPr>
                <w:color w:val="000000"/>
              </w:rPr>
              <w:t xml:space="preserve"> properly incentivize </w:t>
            </w:r>
            <w:r w:rsidRPr="00C50C1C">
              <w:rPr>
                <w:color w:val="000000"/>
              </w:rPr>
              <w:lastRenderedPageBreak/>
              <w:t>customers to enroll in the pilot.</w:t>
            </w:r>
          </w:p>
        </w:tc>
        <w:tc>
          <w:tcPr>
            <w:tcW w:w="4140" w:type="dxa"/>
          </w:tcPr>
          <w:p w:rsidRPr="00C50C1C" w:rsidR="00511889" w:rsidP="00795DFC" w:rsidRDefault="00C71838" w14:paraId="05036C22" w14:textId="38BE80E3">
            <w:pPr>
              <w:widowControl w:val="0"/>
              <w:rPr>
                <w:color w:val="000000"/>
              </w:rPr>
            </w:pPr>
            <w:r w:rsidRPr="00C50C1C">
              <w:rPr>
                <w:color w:val="000000"/>
              </w:rPr>
              <w:lastRenderedPageBreak/>
              <w:t>1</w:t>
            </w:r>
            <w:r w:rsidRPr="00C50C1C" w:rsidR="0050121D">
              <w:rPr>
                <w:color w:val="000000"/>
              </w:rPr>
              <w:t>3</w:t>
            </w:r>
            <w:r w:rsidRPr="00C50C1C">
              <w:rPr>
                <w:color w:val="000000"/>
              </w:rPr>
              <w:t xml:space="preserve">. “The underlying argument that VGIC and EDF presented for opposing the Settlement Agreement’s proposal for an Export Rate Pilot without a </w:t>
            </w:r>
            <w:r w:rsidRPr="00C50C1C">
              <w:rPr>
                <w:color w:val="000000"/>
              </w:rPr>
              <w:lastRenderedPageBreak/>
              <w:t>distrib</w:t>
            </w:r>
            <w:r w:rsidRPr="00C50C1C" w:rsidR="00511889">
              <w:rPr>
                <w:color w:val="000000"/>
              </w:rPr>
              <w:t xml:space="preserve">ution component was that these parties expect the pilot to fail to incentivize a meaningful number of customers enroll in the pilot.” </w:t>
            </w:r>
          </w:p>
          <w:p w:rsidRPr="00C50C1C" w:rsidR="00511889" w:rsidP="00795DFC" w:rsidRDefault="00511889" w14:paraId="7A6016D0" w14:textId="535810AA">
            <w:pPr>
              <w:widowControl w:val="0"/>
              <w:rPr>
                <w:color w:val="000000"/>
              </w:rPr>
            </w:pPr>
            <w:r w:rsidRPr="00C50C1C">
              <w:rPr>
                <w:color w:val="000000"/>
              </w:rPr>
              <w:t xml:space="preserve">(D.23-11-006, </w:t>
            </w:r>
            <w:proofErr w:type="gramStart"/>
            <w:r w:rsidRPr="00C50C1C">
              <w:rPr>
                <w:color w:val="000000"/>
              </w:rPr>
              <w:t>at p.</w:t>
            </w:r>
            <w:proofErr w:type="gramEnd"/>
            <w:r w:rsidRPr="00C50C1C">
              <w:rPr>
                <w:color w:val="000000"/>
              </w:rPr>
              <w:t xml:space="preserve"> 17).</w:t>
            </w:r>
          </w:p>
          <w:p w:rsidRPr="00C50C1C" w:rsidR="00511889" w:rsidP="00795DFC" w:rsidRDefault="00511889" w14:paraId="1E708A5B" w14:textId="77777777">
            <w:pPr>
              <w:widowControl w:val="0"/>
              <w:rPr>
                <w:color w:val="000000"/>
              </w:rPr>
            </w:pPr>
          </w:p>
          <w:p w:rsidRPr="00C50C1C" w:rsidR="00511889" w:rsidP="00795DFC" w:rsidRDefault="00511889" w14:paraId="167A082B" w14:textId="77777777">
            <w:pPr>
              <w:widowControl w:val="0"/>
              <w:rPr>
                <w:color w:val="000000"/>
              </w:rPr>
            </w:pPr>
            <w:r w:rsidRPr="00C50C1C">
              <w:rPr>
                <w:color w:val="000000"/>
              </w:rPr>
              <w:t xml:space="preserve">“Each of VGIC’s and EDF’s recommended approaches for adding a distribution component has the potential to increase implementation costs and/or delay implementation.” </w:t>
            </w:r>
          </w:p>
          <w:p w:rsidRPr="00C50C1C" w:rsidR="00511889" w:rsidP="00795DFC" w:rsidRDefault="00511889" w14:paraId="0BFA7A65" w14:textId="233638A7">
            <w:pPr>
              <w:widowControl w:val="0"/>
              <w:rPr>
                <w:color w:val="000000"/>
              </w:rPr>
            </w:pPr>
            <w:r w:rsidRPr="00C50C1C">
              <w:rPr>
                <w:color w:val="000000"/>
              </w:rPr>
              <w:t xml:space="preserve">(D.23-11-006, </w:t>
            </w:r>
            <w:proofErr w:type="gramStart"/>
            <w:r w:rsidRPr="00C50C1C">
              <w:rPr>
                <w:color w:val="000000"/>
              </w:rPr>
              <w:t>at p.</w:t>
            </w:r>
            <w:proofErr w:type="gramEnd"/>
            <w:r w:rsidRPr="00C50C1C">
              <w:rPr>
                <w:color w:val="000000"/>
              </w:rPr>
              <w:t xml:space="preserve"> 17).</w:t>
            </w:r>
          </w:p>
          <w:p w:rsidRPr="00C50C1C" w:rsidR="00511889" w:rsidP="00795DFC" w:rsidRDefault="00511889" w14:paraId="006EB069" w14:textId="77777777">
            <w:pPr>
              <w:widowControl w:val="0"/>
              <w:rPr>
                <w:color w:val="000000"/>
              </w:rPr>
            </w:pPr>
          </w:p>
          <w:p w:rsidRPr="00C50C1C" w:rsidR="00511889" w:rsidP="00795DFC" w:rsidRDefault="00511889" w14:paraId="0B696CD6" w14:textId="550C814D">
            <w:pPr>
              <w:widowControl w:val="0"/>
              <w:rPr>
                <w:color w:val="000000"/>
              </w:rPr>
            </w:pPr>
            <w:r w:rsidRPr="00C50C1C">
              <w:rPr>
                <w:color w:val="000000"/>
              </w:rPr>
              <w:t>“Only VGIC supported EDF’s proposal to order SDG&amp;E to refile the Export Rate application with a bespoke distribution component, which would delay implementation of the pilot.”</w:t>
            </w:r>
          </w:p>
          <w:p w:rsidRPr="00C50C1C" w:rsidR="00511889" w:rsidP="00795DFC" w:rsidRDefault="00511889" w14:paraId="0A99D596" w14:textId="77777777">
            <w:pPr>
              <w:widowControl w:val="0"/>
              <w:rPr>
                <w:color w:val="000000"/>
              </w:rPr>
            </w:pPr>
            <w:r w:rsidRPr="00C50C1C">
              <w:rPr>
                <w:color w:val="000000"/>
              </w:rPr>
              <w:t xml:space="preserve">(D.23-11-006, </w:t>
            </w:r>
            <w:proofErr w:type="gramStart"/>
            <w:r w:rsidRPr="00C50C1C">
              <w:rPr>
                <w:color w:val="000000"/>
              </w:rPr>
              <w:t>at p.</w:t>
            </w:r>
            <w:proofErr w:type="gramEnd"/>
            <w:r w:rsidRPr="00C50C1C">
              <w:rPr>
                <w:color w:val="000000"/>
              </w:rPr>
              <w:t xml:space="preserve"> 17).</w:t>
            </w:r>
          </w:p>
          <w:p w:rsidRPr="00C50C1C" w:rsidR="00511889" w:rsidP="00795DFC" w:rsidRDefault="00511889" w14:paraId="7ED05BD9" w14:textId="77777777">
            <w:pPr>
              <w:widowControl w:val="0"/>
              <w:rPr>
                <w:color w:val="000000"/>
              </w:rPr>
            </w:pPr>
          </w:p>
          <w:p w:rsidRPr="00C50C1C" w:rsidR="00511889" w:rsidP="00795DFC" w:rsidRDefault="00511889" w14:paraId="459F0195" w14:textId="7A327534">
            <w:pPr>
              <w:widowControl w:val="0"/>
              <w:rPr>
                <w:color w:val="000000"/>
              </w:rPr>
            </w:pPr>
            <w:r w:rsidRPr="00C50C1C">
              <w:rPr>
                <w:color w:val="000000"/>
              </w:rPr>
              <w:t xml:space="preserve">“The Commission may consider a distribution component for the pilot or any other adjustments to the pilot to increase participation in the future.” (D.23-11-006, </w:t>
            </w:r>
            <w:proofErr w:type="gramStart"/>
            <w:r w:rsidRPr="00C50C1C">
              <w:rPr>
                <w:color w:val="000000"/>
              </w:rPr>
              <w:t>at p.</w:t>
            </w:r>
            <w:proofErr w:type="gramEnd"/>
            <w:r w:rsidRPr="00C50C1C">
              <w:rPr>
                <w:color w:val="000000"/>
              </w:rPr>
              <w:t xml:space="preserve"> 18).</w:t>
            </w:r>
          </w:p>
        </w:tc>
        <w:tc>
          <w:tcPr>
            <w:tcW w:w="2137" w:type="dxa"/>
          </w:tcPr>
          <w:p w:rsidRPr="00C50C1C" w:rsidR="00C71838" w:rsidP="00795DFC" w:rsidRDefault="00B02980" w14:paraId="000C96E3" w14:textId="5AFBDF8A">
            <w:pPr>
              <w:widowControl w:val="0"/>
              <w:rPr>
                <w:color w:val="000000"/>
              </w:rPr>
            </w:pPr>
            <w:r w:rsidRPr="00C50C1C">
              <w:rPr>
                <w:color w:val="000000"/>
              </w:rPr>
              <w:lastRenderedPageBreak/>
              <w:t>Verified</w:t>
            </w:r>
          </w:p>
        </w:tc>
      </w:tr>
      <w:tr w:rsidRPr="00C50C1C" w:rsidR="00C71838" w:rsidTr="00C54B1B" w14:paraId="7CE0A4EC" w14:textId="77777777">
        <w:trPr>
          <w:tblHeader/>
        </w:trPr>
        <w:tc>
          <w:tcPr>
            <w:tcW w:w="3258" w:type="dxa"/>
          </w:tcPr>
          <w:p w:rsidRPr="00C50C1C" w:rsidR="00C71838" w:rsidP="00795DFC" w:rsidRDefault="00511889" w14:paraId="45B6669B" w14:textId="03639E1D">
            <w:pPr>
              <w:widowControl w:val="0"/>
              <w:rPr>
                <w:color w:val="000000"/>
              </w:rPr>
            </w:pPr>
            <w:r w:rsidRPr="00C50C1C">
              <w:rPr>
                <w:color w:val="000000"/>
              </w:rPr>
              <w:t>1</w:t>
            </w:r>
            <w:r w:rsidRPr="00C50C1C" w:rsidR="0050121D">
              <w:rPr>
                <w:color w:val="000000"/>
              </w:rPr>
              <w:t>4</w:t>
            </w:r>
            <w:r w:rsidRPr="00C50C1C">
              <w:rPr>
                <w:color w:val="000000"/>
              </w:rPr>
              <w:t>. EDF and VGIC urged the Commission to consider the Export Rate Pilot immediately.</w:t>
            </w:r>
          </w:p>
        </w:tc>
        <w:tc>
          <w:tcPr>
            <w:tcW w:w="4140" w:type="dxa"/>
          </w:tcPr>
          <w:p w:rsidRPr="00C50C1C" w:rsidR="00C71838" w:rsidP="00795DFC" w:rsidRDefault="00511889" w14:paraId="018B1869" w14:textId="0EC6F00F">
            <w:pPr>
              <w:widowControl w:val="0"/>
              <w:rPr>
                <w:color w:val="000000"/>
              </w:rPr>
            </w:pPr>
            <w:r w:rsidRPr="00C50C1C">
              <w:rPr>
                <w:color w:val="000000"/>
              </w:rPr>
              <w:t>1</w:t>
            </w:r>
            <w:r w:rsidRPr="00C50C1C" w:rsidR="0050121D">
              <w:rPr>
                <w:color w:val="000000"/>
              </w:rPr>
              <w:t>4</w:t>
            </w:r>
            <w:r w:rsidRPr="00C50C1C">
              <w:rPr>
                <w:color w:val="000000"/>
              </w:rPr>
              <w:t xml:space="preserve">. “EDF and VGIC joined a few other parties to urge the Commission to consider the Export Rate Pilot immediately.” (D.23-11-006, </w:t>
            </w:r>
            <w:proofErr w:type="gramStart"/>
            <w:r w:rsidRPr="00C50C1C">
              <w:rPr>
                <w:color w:val="000000"/>
              </w:rPr>
              <w:t>at p.</w:t>
            </w:r>
            <w:proofErr w:type="gramEnd"/>
            <w:r w:rsidRPr="00C50C1C">
              <w:rPr>
                <w:color w:val="000000"/>
              </w:rPr>
              <w:t xml:space="preserve"> 18).</w:t>
            </w:r>
          </w:p>
        </w:tc>
        <w:tc>
          <w:tcPr>
            <w:tcW w:w="2137" w:type="dxa"/>
          </w:tcPr>
          <w:p w:rsidRPr="00C50C1C" w:rsidR="00C71838" w:rsidP="00795DFC" w:rsidRDefault="00B02980" w14:paraId="50342E4A" w14:textId="368CECEE">
            <w:pPr>
              <w:widowControl w:val="0"/>
              <w:rPr>
                <w:color w:val="000000"/>
              </w:rPr>
            </w:pPr>
            <w:r w:rsidRPr="00C50C1C">
              <w:rPr>
                <w:color w:val="000000"/>
              </w:rPr>
              <w:t>Verified</w:t>
            </w:r>
          </w:p>
        </w:tc>
      </w:tr>
      <w:tr w:rsidRPr="00C50C1C" w:rsidR="00C71838" w:rsidTr="00C54B1B" w14:paraId="25EC3FDC" w14:textId="77777777">
        <w:trPr>
          <w:tblHeader/>
        </w:trPr>
        <w:tc>
          <w:tcPr>
            <w:tcW w:w="3258" w:type="dxa"/>
          </w:tcPr>
          <w:p w:rsidRPr="00C50C1C" w:rsidR="00C71838" w:rsidP="00795DFC" w:rsidRDefault="00511889" w14:paraId="4A3F02CA" w14:textId="3148ABA2">
            <w:pPr>
              <w:widowControl w:val="0"/>
              <w:rPr>
                <w:color w:val="000000"/>
              </w:rPr>
            </w:pPr>
            <w:r w:rsidRPr="00C50C1C">
              <w:rPr>
                <w:color w:val="000000"/>
              </w:rPr>
              <w:t>1</w:t>
            </w:r>
            <w:r w:rsidRPr="00C50C1C" w:rsidR="0050121D">
              <w:rPr>
                <w:color w:val="000000"/>
              </w:rPr>
              <w:t>5</w:t>
            </w:r>
            <w:r w:rsidRPr="00C50C1C">
              <w:rPr>
                <w:color w:val="000000"/>
              </w:rPr>
              <w:t>. EDF was one of many parties who stipulated that Net Energy Metering would add complexity to the Export Rate Pilot.</w:t>
            </w:r>
          </w:p>
        </w:tc>
        <w:tc>
          <w:tcPr>
            <w:tcW w:w="4140" w:type="dxa"/>
          </w:tcPr>
          <w:p w:rsidRPr="00C50C1C" w:rsidR="00C71838" w:rsidP="00795DFC" w:rsidRDefault="00511889" w14:paraId="6E5AEC40" w14:textId="651C2438">
            <w:pPr>
              <w:widowControl w:val="0"/>
              <w:rPr>
                <w:color w:val="000000"/>
              </w:rPr>
            </w:pPr>
            <w:r w:rsidRPr="00C50C1C">
              <w:rPr>
                <w:color w:val="000000"/>
              </w:rPr>
              <w:t>1</w:t>
            </w:r>
            <w:r w:rsidRPr="00C50C1C" w:rsidR="0050121D">
              <w:rPr>
                <w:color w:val="000000"/>
              </w:rPr>
              <w:t>5</w:t>
            </w:r>
            <w:r w:rsidRPr="00C50C1C">
              <w:rPr>
                <w:color w:val="000000"/>
              </w:rPr>
              <w:t>. “SDG&amp;E, SDCP, UCAN, TURN, FEA, EA, SBUA, VGIC, Cal Advocates, and EDF stipulated that Net Energy Metering would add complexity to the Export Rate Pilot.” (D.23-11-006, at p. 19.</w:t>
            </w:r>
          </w:p>
        </w:tc>
        <w:tc>
          <w:tcPr>
            <w:tcW w:w="2137" w:type="dxa"/>
          </w:tcPr>
          <w:p w:rsidRPr="00C50C1C" w:rsidR="00C71838" w:rsidP="00795DFC" w:rsidRDefault="00B02980" w14:paraId="31265088" w14:textId="249CC8D3">
            <w:pPr>
              <w:widowControl w:val="0"/>
              <w:rPr>
                <w:color w:val="000000"/>
              </w:rPr>
            </w:pPr>
            <w:r w:rsidRPr="00C50C1C">
              <w:rPr>
                <w:color w:val="000000"/>
              </w:rPr>
              <w:t>Verified</w:t>
            </w:r>
          </w:p>
        </w:tc>
      </w:tr>
      <w:tr w:rsidRPr="00C50C1C" w:rsidR="00511889" w:rsidTr="00C54B1B" w14:paraId="195A8F00" w14:textId="77777777">
        <w:trPr>
          <w:tblHeader/>
        </w:trPr>
        <w:tc>
          <w:tcPr>
            <w:tcW w:w="3258" w:type="dxa"/>
          </w:tcPr>
          <w:p w:rsidRPr="00C50C1C" w:rsidR="00511889" w:rsidP="00795DFC" w:rsidRDefault="00511889" w14:paraId="020152FE" w14:textId="1F1BC1B4">
            <w:pPr>
              <w:widowControl w:val="0"/>
              <w:rPr>
                <w:color w:val="000000"/>
              </w:rPr>
            </w:pPr>
            <w:r w:rsidRPr="00C50C1C">
              <w:rPr>
                <w:color w:val="000000"/>
              </w:rPr>
              <w:t>1</w:t>
            </w:r>
            <w:r w:rsidRPr="00C50C1C" w:rsidR="0050121D">
              <w:rPr>
                <w:color w:val="000000"/>
              </w:rPr>
              <w:t>6</w:t>
            </w:r>
            <w:r w:rsidRPr="00C50C1C">
              <w:rPr>
                <w:color w:val="000000"/>
              </w:rPr>
              <w:t>. EDF recommended that SDG&amp;E create a more formal ME&amp;O process.</w:t>
            </w:r>
          </w:p>
        </w:tc>
        <w:tc>
          <w:tcPr>
            <w:tcW w:w="4140" w:type="dxa"/>
          </w:tcPr>
          <w:p w:rsidRPr="00C50C1C" w:rsidR="00511889" w:rsidP="00795DFC" w:rsidRDefault="00511889" w14:paraId="07D99924" w14:textId="49FEC66D">
            <w:pPr>
              <w:widowControl w:val="0"/>
              <w:rPr>
                <w:color w:val="000000"/>
              </w:rPr>
            </w:pPr>
            <w:r w:rsidRPr="00C50C1C">
              <w:rPr>
                <w:color w:val="000000"/>
              </w:rPr>
              <w:t>1</w:t>
            </w:r>
            <w:r w:rsidRPr="00C50C1C" w:rsidR="0050121D">
              <w:rPr>
                <w:color w:val="000000"/>
              </w:rPr>
              <w:t>6</w:t>
            </w:r>
            <w:r w:rsidRPr="00C50C1C">
              <w:rPr>
                <w:color w:val="000000"/>
              </w:rPr>
              <w:t xml:space="preserve">. “In its opening brief, EDF argued that SDG&amp;E should create formal feedback loop to incorporate participation data into its ME&amp;O efforts…  EDF’s proposal to create a ‘formal feedback loop’ to incorporate participation data into its ME&amp;O efforts may be appropriate for a more elaborate ME&amp;O plan, but it is unnecessary to add </w:t>
            </w:r>
            <w:r w:rsidRPr="00C50C1C">
              <w:rPr>
                <w:color w:val="000000"/>
              </w:rPr>
              <w:lastRenderedPageBreak/>
              <w:t>a formal feedback process to the modest ME&amp;O plan proposed by the Settling Parties.” (D.23-11-006, at p. 23).</w:t>
            </w:r>
          </w:p>
        </w:tc>
        <w:tc>
          <w:tcPr>
            <w:tcW w:w="2137" w:type="dxa"/>
          </w:tcPr>
          <w:p w:rsidRPr="00C50C1C" w:rsidR="00511889" w:rsidP="00795DFC" w:rsidRDefault="00B02980" w14:paraId="41D4BCC4" w14:textId="0C2C6E31">
            <w:pPr>
              <w:widowControl w:val="0"/>
              <w:rPr>
                <w:color w:val="000000"/>
              </w:rPr>
            </w:pPr>
            <w:r w:rsidRPr="00C50C1C">
              <w:rPr>
                <w:color w:val="000000"/>
              </w:rPr>
              <w:lastRenderedPageBreak/>
              <w:t>Verified</w:t>
            </w:r>
          </w:p>
        </w:tc>
      </w:tr>
      <w:tr w:rsidRPr="00C50C1C" w:rsidR="00511889" w:rsidTr="00C54B1B" w14:paraId="2C0423FE" w14:textId="77777777">
        <w:trPr>
          <w:tblHeader/>
        </w:trPr>
        <w:tc>
          <w:tcPr>
            <w:tcW w:w="3258" w:type="dxa"/>
          </w:tcPr>
          <w:p w:rsidRPr="00C50C1C" w:rsidR="00511889" w:rsidP="00795DFC" w:rsidRDefault="00511889" w14:paraId="0975AEC2" w14:textId="3536BFDE">
            <w:pPr>
              <w:widowControl w:val="0"/>
              <w:rPr>
                <w:color w:val="000000"/>
              </w:rPr>
            </w:pPr>
            <w:r w:rsidRPr="00C50C1C">
              <w:rPr>
                <w:color w:val="000000"/>
              </w:rPr>
              <w:t>1</w:t>
            </w:r>
            <w:r w:rsidRPr="00C50C1C" w:rsidR="0050121D">
              <w:rPr>
                <w:color w:val="000000"/>
              </w:rPr>
              <w:t>7</w:t>
            </w:r>
            <w:r w:rsidRPr="00C50C1C">
              <w:rPr>
                <w:color w:val="000000"/>
              </w:rPr>
              <w:t xml:space="preserve">. </w:t>
            </w:r>
            <w:r w:rsidRPr="00C50C1C" w:rsidR="00021360">
              <w:rPr>
                <w:color w:val="000000"/>
              </w:rPr>
              <w:t xml:space="preserve">EDF filed and served Opening Comments on the Proposed Decision on October 16, </w:t>
            </w:r>
            <w:proofErr w:type="gramStart"/>
            <w:r w:rsidRPr="00C50C1C" w:rsidR="00021360">
              <w:rPr>
                <w:color w:val="000000"/>
              </w:rPr>
              <w:t>2023</w:t>
            </w:r>
            <w:proofErr w:type="gramEnd"/>
            <w:r w:rsidRPr="00C50C1C" w:rsidR="00021360">
              <w:rPr>
                <w:color w:val="000000"/>
              </w:rPr>
              <w:t xml:space="preserve"> and Reply Comments on October 23, 2023.</w:t>
            </w:r>
          </w:p>
        </w:tc>
        <w:tc>
          <w:tcPr>
            <w:tcW w:w="4140" w:type="dxa"/>
          </w:tcPr>
          <w:p w:rsidRPr="00C50C1C" w:rsidR="00511889" w:rsidP="00795DFC" w:rsidRDefault="00021360" w14:paraId="02BE094B" w14:textId="34CD8BE3">
            <w:pPr>
              <w:widowControl w:val="0"/>
              <w:rPr>
                <w:color w:val="000000"/>
              </w:rPr>
            </w:pPr>
            <w:r w:rsidRPr="00C50C1C">
              <w:rPr>
                <w:color w:val="000000"/>
              </w:rPr>
              <w:t>1</w:t>
            </w:r>
            <w:r w:rsidRPr="00C50C1C" w:rsidR="0050121D">
              <w:rPr>
                <w:color w:val="000000"/>
              </w:rPr>
              <w:t>7</w:t>
            </w:r>
            <w:r w:rsidRPr="00C50C1C">
              <w:rPr>
                <w:color w:val="000000"/>
              </w:rPr>
              <w:t xml:space="preserve">. “Comments were filed on October 16, </w:t>
            </w:r>
            <w:proofErr w:type="gramStart"/>
            <w:r w:rsidRPr="00C50C1C">
              <w:rPr>
                <w:color w:val="000000"/>
              </w:rPr>
              <w:t>2023</w:t>
            </w:r>
            <w:proofErr w:type="gramEnd"/>
            <w:r w:rsidRPr="00C50C1C">
              <w:rPr>
                <w:color w:val="000000"/>
              </w:rPr>
              <w:t xml:space="preserve"> by EDF, Settling Parties, SDG&amp;E, and VGIC, and reply comments were filed on October 23, </w:t>
            </w:r>
            <w:proofErr w:type="gramStart"/>
            <w:r w:rsidRPr="00C50C1C">
              <w:rPr>
                <w:color w:val="000000"/>
              </w:rPr>
              <w:t>2023</w:t>
            </w:r>
            <w:proofErr w:type="gramEnd"/>
            <w:r w:rsidRPr="00C50C1C">
              <w:rPr>
                <w:color w:val="000000"/>
              </w:rPr>
              <w:t xml:space="preserve"> by EDF and SDG&amp;E.” (D.23-11-006, at p. 2</w:t>
            </w:r>
            <w:r w:rsidRPr="00C50C1C" w:rsidR="001E54F8">
              <w:rPr>
                <w:color w:val="000000"/>
              </w:rPr>
              <w:t>8</w:t>
            </w:r>
            <w:r w:rsidRPr="00C50C1C">
              <w:rPr>
                <w:color w:val="000000"/>
              </w:rPr>
              <w:t>).</w:t>
            </w:r>
          </w:p>
        </w:tc>
        <w:tc>
          <w:tcPr>
            <w:tcW w:w="2137" w:type="dxa"/>
          </w:tcPr>
          <w:p w:rsidRPr="00C50C1C" w:rsidR="00511889" w:rsidP="00795DFC" w:rsidRDefault="00EE55B8" w14:paraId="4F773A4B" w14:textId="4DF5FC69">
            <w:pPr>
              <w:widowControl w:val="0"/>
              <w:rPr>
                <w:color w:val="000000"/>
              </w:rPr>
            </w:pPr>
            <w:r w:rsidRPr="00C50C1C">
              <w:rPr>
                <w:color w:val="000000"/>
              </w:rPr>
              <w:t>Noted</w:t>
            </w:r>
            <w:r w:rsidRPr="00C50C1C" w:rsidR="00F27D07">
              <w:rPr>
                <w:color w:val="000000"/>
              </w:rPr>
              <w:t>. However, see discussion in Part III. D [1].</w:t>
            </w:r>
          </w:p>
        </w:tc>
      </w:tr>
    </w:tbl>
    <w:p w:rsidRPr="007F620E" w:rsidR="00A92D0B" w:rsidP="005B5B44" w:rsidRDefault="00A92D0B" w14:paraId="0D4BCD3A" w14:textId="77777777">
      <w:pPr>
        <w:keepNext/>
        <w:numPr>
          <w:ilvl w:val="0"/>
          <w:numId w:val="8"/>
        </w:numPr>
        <w:spacing w:before="240" w:after="240"/>
        <w:rPr>
          <w:b/>
          <w:color w:val="000000"/>
        </w:rPr>
      </w:pPr>
      <w:r w:rsidRPr="007F620E">
        <w:rPr>
          <w:b/>
          <w:color w:val="000000"/>
        </w:rPr>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777"/>
      </w:tblGrid>
      <w:tr w:rsidRPr="00C50C1C" w:rsidR="00A92D0B" w:rsidTr="00C54B1B" w14:paraId="76F3266C" w14:textId="77777777">
        <w:trPr>
          <w:tblHeader/>
        </w:trPr>
        <w:tc>
          <w:tcPr>
            <w:tcW w:w="6048" w:type="dxa"/>
            <w:shd w:val="clear" w:color="auto" w:fill="D9D9D9" w:themeFill="background1" w:themeFillShade="D9"/>
          </w:tcPr>
          <w:p w:rsidRPr="00C50C1C"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C50C1C" w:rsidR="00A92D0B" w:rsidP="00073262" w:rsidRDefault="005A63D4" w14:paraId="7B091096" w14:textId="77777777">
            <w:pPr>
              <w:keepNext/>
              <w:keepLines/>
              <w:jc w:val="center"/>
              <w:rPr>
                <w:b/>
                <w:color w:val="000000"/>
              </w:rPr>
            </w:pPr>
            <w:r w:rsidRPr="00C50C1C">
              <w:rPr>
                <w:b/>
                <w:color w:val="000000"/>
              </w:rPr>
              <w:t>Interveno</w:t>
            </w:r>
            <w:r w:rsidRPr="00C50C1C" w:rsidR="00204E3A">
              <w:rPr>
                <w:b/>
                <w:color w:val="000000"/>
              </w:rPr>
              <w:t>r</w:t>
            </w:r>
            <w:r w:rsidRPr="00C50C1C">
              <w:rPr>
                <w:b/>
                <w:color w:val="000000"/>
              </w:rPr>
              <w:t xml:space="preserve">’s </w:t>
            </w:r>
            <w:r w:rsidRPr="00C50C1C" w:rsidR="00D075B1">
              <w:rPr>
                <w:b/>
                <w:color w:val="000000"/>
              </w:rPr>
              <w:t>Assertion</w:t>
            </w:r>
          </w:p>
        </w:tc>
        <w:tc>
          <w:tcPr>
            <w:tcW w:w="1777" w:type="dxa"/>
            <w:shd w:val="clear" w:color="auto" w:fill="D9D9D9" w:themeFill="background1" w:themeFillShade="D9"/>
          </w:tcPr>
          <w:p w:rsidRPr="00C50C1C" w:rsidR="00A92D0B" w:rsidP="00073262" w:rsidRDefault="00A92D0B" w14:paraId="25CE5081" w14:textId="77777777">
            <w:pPr>
              <w:keepNext/>
              <w:keepLines/>
              <w:jc w:val="center"/>
              <w:rPr>
                <w:b/>
                <w:color w:val="000000"/>
              </w:rPr>
            </w:pPr>
            <w:r w:rsidRPr="00C50C1C">
              <w:rPr>
                <w:b/>
                <w:color w:val="000000"/>
              </w:rPr>
              <w:t xml:space="preserve">CPUC </w:t>
            </w:r>
            <w:r w:rsidRPr="00C50C1C" w:rsidR="00D075B1">
              <w:rPr>
                <w:b/>
                <w:color w:val="000000"/>
              </w:rPr>
              <w:t>Discussion</w:t>
            </w:r>
          </w:p>
        </w:tc>
      </w:tr>
      <w:tr w:rsidRPr="00C50C1C" w:rsidR="00A92D0B" w:rsidTr="00C54B1B" w14:paraId="24A12BE1" w14:textId="77777777">
        <w:trPr>
          <w:tblHeader/>
        </w:trPr>
        <w:tc>
          <w:tcPr>
            <w:tcW w:w="6048" w:type="dxa"/>
          </w:tcPr>
          <w:p w:rsidRPr="00C50C1C" w:rsidR="00A92D0B" w:rsidP="00073262" w:rsidRDefault="00A92D0B" w14:paraId="6915FAF6" w14:textId="0AFC1EE9">
            <w:pPr>
              <w:keepLines/>
              <w:ind w:left="360" w:hanging="360"/>
              <w:rPr>
                <w:b/>
                <w:color w:val="000000"/>
              </w:rPr>
            </w:pPr>
            <w:r w:rsidRPr="00C50C1C">
              <w:rPr>
                <w:b/>
                <w:color w:val="000000"/>
              </w:rPr>
              <w:t>a.</w:t>
            </w:r>
            <w:r w:rsidRPr="00C50C1C">
              <w:rPr>
                <w:b/>
                <w:color w:val="000000"/>
              </w:rPr>
              <w:tab/>
            </w:r>
            <w:r w:rsidRPr="00C50C1C">
              <w:rPr>
                <w:b/>
              </w:rPr>
              <w:t xml:space="preserve">Was the </w:t>
            </w:r>
            <w:r w:rsidRPr="00C50C1C" w:rsidR="009E48E4">
              <w:rPr>
                <w:b/>
                <w:color w:val="000000"/>
              </w:rPr>
              <w:t>Public Advocate</w:t>
            </w:r>
            <w:r w:rsidRPr="00C50C1C" w:rsidR="00621A7C">
              <w:rPr>
                <w:b/>
                <w:color w:val="000000"/>
              </w:rPr>
              <w:t>’</w:t>
            </w:r>
            <w:r w:rsidRPr="00C50C1C" w:rsidR="009E48E4">
              <w:rPr>
                <w:b/>
                <w:color w:val="000000"/>
              </w:rPr>
              <w:t>s Office of the Public Utilities Commission</w:t>
            </w:r>
            <w:r w:rsidRPr="00C50C1C" w:rsidR="009E48E4">
              <w:rPr>
                <w:b/>
              </w:rPr>
              <w:t xml:space="preserve"> </w:t>
            </w:r>
            <w:r w:rsidRPr="00C50C1C">
              <w:rPr>
                <w:b/>
                <w:color w:val="000000"/>
              </w:rPr>
              <w:t>(</w:t>
            </w:r>
            <w:r w:rsidRPr="00C50C1C" w:rsidR="00B55D78">
              <w:rPr>
                <w:b/>
                <w:color w:val="000000"/>
              </w:rPr>
              <w:t>Cal Advocates</w:t>
            </w:r>
            <w:r w:rsidRPr="00C50C1C">
              <w:rPr>
                <w:b/>
              </w:rPr>
              <w:t>) a party to the proceeding</w:t>
            </w:r>
            <w:r w:rsidRPr="00C50C1C">
              <w:rPr>
                <w:b/>
                <w:color w:val="000000"/>
              </w:rPr>
              <w:t>?</w:t>
            </w:r>
          </w:p>
        </w:tc>
        <w:tc>
          <w:tcPr>
            <w:tcW w:w="1710" w:type="dxa"/>
          </w:tcPr>
          <w:p w:rsidRPr="00C50C1C" w:rsidR="00A92D0B" w:rsidP="00073262" w:rsidRDefault="00021360" w14:paraId="0B49A7C8" w14:textId="4D4A2135">
            <w:pPr>
              <w:keepNext/>
              <w:keepLines/>
              <w:rPr>
                <w:color w:val="000000"/>
              </w:rPr>
            </w:pPr>
            <w:r w:rsidRPr="00C50C1C">
              <w:rPr>
                <w:color w:val="000000"/>
              </w:rPr>
              <w:t>Yes</w:t>
            </w:r>
          </w:p>
        </w:tc>
        <w:tc>
          <w:tcPr>
            <w:tcW w:w="1777" w:type="dxa"/>
          </w:tcPr>
          <w:p w:rsidRPr="00C50C1C" w:rsidR="00A92D0B" w:rsidP="00073262" w:rsidRDefault="003108F7" w14:paraId="23B6532A" w14:textId="672E43C7">
            <w:pPr>
              <w:keepNext/>
              <w:keepLines/>
              <w:rPr>
                <w:color w:val="000000"/>
              </w:rPr>
            </w:pPr>
            <w:r w:rsidRPr="00C50C1C">
              <w:rPr>
                <w:color w:val="000000"/>
              </w:rPr>
              <w:t>Verified</w:t>
            </w:r>
          </w:p>
        </w:tc>
      </w:tr>
      <w:tr w:rsidRPr="00C50C1C" w:rsidR="00A92D0B" w:rsidTr="00C54B1B" w14:paraId="3317BD71" w14:textId="77777777">
        <w:tc>
          <w:tcPr>
            <w:tcW w:w="6048" w:type="dxa"/>
          </w:tcPr>
          <w:p w:rsidRPr="00C50C1C" w:rsidR="00A92D0B" w:rsidP="00073262" w:rsidRDefault="00A92D0B" w14:paraId="561D245D" w14:textId="77777777">
            <w:pPr>
              <w:tabs>
                <w:tab w:val="left" w:pos="360"/>
              </w:tabs>
              <w:ind w:left="360" w:hanging="360"/>
              <w:rPr>
                <w:b/>
                <w:color w:val="000000"/>
              </w:rPr>
            </w:pPr>
            <w:r w:rsidRPr="00C50C1C">
              <w:rPr>
                <w:b/>
                <w:color w:val="000000"/>
              </w:rPr>
              <w:t>b.</w:t>
            </w:r>
            <w:r w:rsidRPr="00C50C1C">
              <w:rPr>
                <w:b/>
                <w:color w:val="000000"/>
              </w:rPr>
              <w:tab/>
              <w:t xml:space="preserve">Were there other parties to </w:t>
            </w:r>
            <w:proofErr w:type="gramStart"/>
            <w:r w:rsidRPr="00C50C1C">
              <w:rPr>
                <w:b/>
                <w:color w:val="000000"/>
              </w:rPr>
              <w:t>the proceeding</w:t>
            </w:r>
            <w:proofErr w:type="gramEnd"/>
            <w:r w:rsidRPr="00C50C1C">
              <w:rPr>
                <w:b/>
                <w:color w:val="000000"/>
              </w:rPr>
              <w:t xml:space="preserve"> with positions </w:t>
            </w:r>
            <w:proofErr w:type="gramStart"/>
            <w:r w:rsidRPr="00C50C1C">
              <w:rPr>
                <w:b/>
                <w:color w:val="000000"/>
              </w:rPr>
              <w:t>similar to</w:t>
            </w:r>
            <w:proofErr w:type="gramEnd"/>
            <w:r w:rsidRPr="00C50C1C">
              <w:rPr>
                <w:b/>
                <w:color w:val="000000"/>
              </w:rPr>
              <w:t xml:space="preserve"> yours? </w:t>
            </w:r>
          </w:p>
        </w:tc>
        <w:tc>
          <w:tcPr>
            <w:tcW w:w="1710" w:type="dxa"/>
          </w:tcPr>
          <w:p w:rsidRPr="00C50C1C" w:rsidR="00A92D0B" w:rsidP="00073262" w:rsidRDefault="00021360" w14:paraId="3708E485" w14:textId="132243C9">
            <w:pPr>
              <w:rPr>
                <w:color w:val="000000"/>
              </w:rPr>
            </w:pPr>
            <w:r w:rsidRPr="00C50C1C">
              <w:rPr>
                <w:color w:val="000000"/>
              </w:rPr>
              <w:t>Yes</w:t>
            </w:r>
          </w:p>
        </w:tc>
        <w:tc>
          <w:tcPr>
            <w:tcW w:w="1777" w:type="dxa"/>
          </w:tcPr>
          <w:p w:rsidRPr="00C50C1C" w:rsidR="00A92D0B" w:rsidP="00073262" w:rsidRDefault="00162D9A" w14:paraId="6B3388E6" w14:textId="74EB1DCE">
            <w:pPr>
              <w:rPr>
                <w:color w:val="000000"/>
              </w:rPr>
            </w:pPr>
            <w:r w:rsidRPr="00C50C1C">
              <w:rPr>
                <w:color w:val="000000"/>
              </w:rPr>
              <w:t>Verified</w:t>
            </w:r>
          </w:p>
        </w:tc>
      </w:tr>
      <w:tr w:rsidRPr="00C50C1C" w:rsidR="00A92D0B" w:rsidTr="00C54B1B" w14:paraId="0A51B7D4" w14:textId="77777777">
        <w:tc>
          <w:tcPr>
            <w:tcW w:w="7758" w:type="dxa"/>
            <w:gridSpan w:val="2"/>
          </w:tcPr>
          <w:p w:rsidRPr="00C50C1C" w:rsidR="00A92D0B" w:rsidP="00073262" w:rsidRDefault="00A92D0B" w14:paraId="30CB6275" w14:textId="7D63B4F2">
            <w:pPr>
              <w:ind w:left="360" w:hanging="360"/>
              <w:rPr>
                <w:color w:val="000000"/>
              </w:rPr>
            </w:pPr>
            <w:proofErr w:type="gramStart"/>
            <w:r w:rsidRPr="00C50C1C">
              <w:rPr>
                <w:b/>
                <w:color w:val="000000"/>
              </w:rPr>
              <w:t>c.</w:t>
            </w:r>
            <w:r w:rsidRPr="00C50C1C">
              <w:rPr>
                <w:b/>
                <w:color w:val="000000"/>
              </w:rPr>
              <w:tab/>
              <w:t>If</w:t>
            </w:r>
            <w:proofErr w:type="gramEnd"/>
            <w:r w:rsidRPr="00C50C1C">
              <w:rPr>
                <w:b/>
                <w:color w:val="000000"/>
              </w:rPr>
              <w:t xml:space="preserve"> so, provide name of other parties:</w:t>
            </w:r>
            <w:r w:rsidRPr="00C50C1C" w:rsidR="00E25078">
              <w:rPr>
                <w:color w:val="000000"/>
              </w:rPr>
              <w:t xml:space="preserve"> </w:t>
            </w:r>
          </w:p>
          <w:p w:rsidRPr="00C50C1C" w:rsidR="00021360" w:rsidP="00073262" w:rsidRDefault="00021360" w14:paraId="28CFDEAF" w14:textId="77777777">
            <w:pPr>
              <w:ind w:left="360" w:hanging="360"/>
              <w:rPr>
                <w:color w:val="000000"/>
              </w:rPr>
            </w:pPr>
            <w:r w:rsidRPr="00C50C1C">
              <w:rPr>
                <w:color w:val="000000"/>
              </w:rPr>
              <w:t>Vehicle Grid Integration Council (VGIC) (as to inclusion of a distribution</w:t>
            </w:r>
          </w:p>
          <w:p w:rsidRPr="00C50C1C" w:rsidR="00021360" w:rsidP="00073262" w:rsidRDefault="00021360" w14:paraId="20BD3DF8" w14:textId="4C7C53CA">
            <w:pPr>
              <w:ind w:left="360" w:hanging="360"/>
              <w:rPr>
                <w:color w:val="000000"/>
              </w:rPr>
            </w:pPr>
            <w:r w:rsidRPr="00C50C1C">
              <w:rPr>
                <w:color w:val="000000"/>
              </w:rPr>
              <w:t>Component in the Export Pilot</w:t>
            </w:r>
            <w:r w:rsidRPr="00C50C1C" w:rsidR="001E54F8">
              <w:rPr>
                <w:color w:val="000000"/>
              </w:rPr>
              <w:t>)</w:t>
            </w:r>
            <w:r w:rsidRPr="00C50C1C">
              <w:rPr>
                <w:color w:val="000000"/>
              </w:rPr>
              <w:t xml:space="preserve"> and numerous other parties (as to dismissal of</w:t>
            </w:r>
          </w:p>
          <w:p w:rsidRPr="00C50C1C" w:rsidR="00A92D0B" w:rsidP="00021360" w:rsidRDefault="00021360" w14:paraId="0919176B" w14:textId="3CA587D4">
            <w:pPr>
              <w:ind w:left="360" w:hanging="360"/>
              <w:rPr>
                <w:color w:val="000000"/>
              </w:rPr>
            </w:pPr>
            <w:r w:rsidRPr="00C50C1C">
              <w:rPr>
                <w:color w:val="000000"/>
              </w:rPr>
              <w:t>the Import Pilot).</w:t>
            </w:r>
          </w:p>
        </w:tc>
        <w:tc>
          <w:tcPr>
            <w:tcW w:w="1777" w:type="dxa"/>
          </w:tcPr>
          <w:p w:rsidRPr="00C50C1C" w:rsidR="00A92D0B" w:rsidP="00073262" w:rsidRDefault="00162D9A" w14:paraId="22A40B49" w14:textId="7AE352FB">
            <w:pPr>
              <w:rPr>
                <w:color w:val="000000"/>
              </w:rPr>
            </w:pPr>
            <w:r w:rsidRPr="00C50C1C">
              <w:rPr>
                <w:color w:val="000000"/>
              </w:rPr>
              <w:t>Noted</w:t>
            </w:r>
          </w:p>
        </w:tc>
      </w:tr>
      <w:tr w:rsidRPr="00C50C1C" w:rsidR="00A92D0B" w:rsidTr="00C54B1B" w14:paraId="744830F5" w14:textId="77777777">
        <w:tc>
          <w:tcPr>
            <w:tcW w:w="7758" w:type="dxa"/>
            <w:gridSpan w:val="2"/>
          </w:tcPr>
          <w:p w:rsidRPr="00C50C1C" w:rsidR="00A92D0B" w:rsidP="00073262" w:rsidRDefault="00A92D0B" w14:paraId="7C05FE5A" w14:textId="7521972E">
            <w:pPr>
              <w:tabs>
                <w:tab w:val="left" w:pos="360"/>
              </w:tabs>
              <w:ind w:left="360" w:hanging="360"/>
              <w:rPr>
                <w:color w:val="000000"/>
              </w:rPr>
            </w:pPr>
            <w:r w:rsidRPr="00C50C1C">
              <w:rPr>
                <w:b/>
                <w:color w:val="000000"/>
              </w:rPr>
              <w:t>d.</w:t>
            </w:r>
            <w:r w:rsidRPr="00C50C1C">
              <w:rPr>
                <w:b/>
                <w:color w:val="000000"/>
              </w:rPr>
              <w:tab/>
            </w:r>
            <w:r w:rsidRPr="00C50C1C" w:rsidR="00D075B1">
              <w:rPr>
                <w:b/>
                <w:color w:val="000000"/>
              </w:rPr>
              <w:t xml:space="preserve">Intervenor’s </w:t>
            </w:r>
            <w:r w:rsidRPr="00C50C1C" w:rsidR="00A319DE">
              <w:rPr>
                <w:b/>
                <w:color w:val="000000"/>
              </w:rPr>
              <w:t>c</w:t>
            </w:r>
            <w:r w:rsidRPr="00C50C1C" w:rsidR="00D075B1">
              <w:rPr>
                <w:b/>
                <w:color w:val="000000"/>
              </w:rPr>
              <w:t xml:space="preserve">laim of </w:t>
            </w:r>
            <w:r w:rsidRPr="00C50C1C" w:rsidR="00A319DE">
              <w:rPr>
                <w:b/>
                <w:color w:val="000000"/>
              </w:rPr>
              <w:t>n</w:t>
            </w:r>
            <w:r w:rsidRPr="00C50C1C" w:rsidR="00D075B1">
              <w:rPr>
                <w:b/>
                <w:color w:val="000000"/>
              </w:rPr>
              <w:t>on-</w:t>
            </w:r>
            <w:r w:rsidRPr="00C50C1C" w:rsidR="00A319DE">
              <w:rPr>
                <w:b/>
                <w:color w:val="000000"/>
              </w:rPr>
              <w:t>d</w:t>
            </w:r>
            <w:r w:rsidRPr="00C50C1C" w:rsidR="00D075B1">
              <w:rPr>
                <w:b/>
                <w:color w:val="000000"/>
              </w:rPr>
              <w:t>uplication:</w:t>
            </w:r>
            <w:r w:rsidRPr="00C50C1C" w:rsidR="00E25078">
              <w:rPr>
                <w:color w:val="000000"/>
              </w:rPr>
              <w:t xml:space="preserve"> </w:t>
            </w:r>
          </w:p>
          <w:p w:rsidRPr="00C50C1C" w:rsidR="00691528" w:rsidP="00021360" w:rsidRDefault="00021360" w14:paraId="0CFBC7B2" w14:textId="6E608E2E">
            <w:pPr>
              <w:pStyle w:val="Default"/>
            </w:pPr>
            <w:r w:rsidRPr="00C50C1C">
              <w:t xml:space="preserve">While EDF had similar positions to other parties on certain elements of this application as noted above, EDF delivered stand-alone comments, testimony and briefs that were independent of other parties. </w:t>
            </w:r>
          </w:p>
          <w:p w:rsidRPr="00C50C1C" w:rsidR="00A92D0B" w:rsidP="00073262" w:rsidRDefault="00A92D0B" w14:paraId="3228BB07" w14:textId="77777777">
            <w:pPr>
              <w:tabs>
                <w:tab w:val="left" w:pos="360"/>
              </w:tabs>
              <w:ind w:left="360" w:hanging="360"/>
              <w:rPr>
                <w:color w:val="000000"/>
              </w:rPr>
            </w:pPr>
          </w:p>
        </w:tc>
        <w:tc>
          <w:tcPr>
            <w:tcW w:w="1777" w:type="dxa"/>
          </w:tcPr>
          <w:p w:rsidRPr="00C50C1C" w:rsidR="00A92D0B" w:rsidP="00073262" w:rsidRDefault="00162D9A" w14:paraId="5F9BBA55" w14:textId="7DF35DCB">
            <w:pPr>
              <w:tabs>
                <w:tab w:val="left" w:pos="360"/>
              </w:tabs>
              <w:ind w:left="360" w:hanging="360"/>
              <w:rPr>
                <w:color w:val="000000"/>
              </w:rPr>
            </w:pPr>
            <w:r w:rsidRPr="00C50C1C">
              <w:rPr>
                <w:color w:val="000000"/>
              </w:rPr>
              <w:t>Noted</w:t>
            </w:r>
          </w:p>
        </w:tc>
      </w:tr>
    </w:tbl>
    <w:p w:rsidRPr="007F620E" w:rsidR="00B312DA" w:rsidP="005B5B44" w:rsidRDefault="00A92D0B" w14:paraId="175C3F89" w14:textId="4835545D">
      <w:pPr>
        <w:keepNext/>
        <w:tabs>
          <w:tab w:val="left" w:pos="1260"/>
        </w:tabs>
        <w:spacing w:before="480"/>
        <w:ind w:left="1267" w:hanging="1267"/>
        <w:jc w:val="center"/>
        <w:rPr>
          <w:b/>
          <w:color w:val="000000"/>
        </w:rPr>
      </w:pPr>
      <w:r w:rsidRPr="007F620E">
        <w:rPr>
          <w:b/>
          <w:color w:val="000000"/>
        </w:rPr>
        <w:t>PART III:</w:t>
      </w:r>
      <w:r w:rsidR="00D1778A">
        <w:rPr>
          <w:b/>
          <w:color w:val="000000"/>
        </w:rPr>
        <w:t xml:space="preserve">  </w:t>
      </w:r>
      <w:r w:rsidRPr="007F620E">
        <w:rPr>
          <w:b/>
          <w:color w:val="000000"/>
        </w:rPr>
        <w:t>REASONABLENESS OF REQUESTED COMPENSATION</w:t>
      </w:r>
    </w:p>
    <w:p w:rsidRPr="007F620E" w:rsidR="00A92D0B" w:rsidP="005B5B44" w:rsidRDefault="00A92D0B" w14:paraId="6F74DAE2" w14:textId="77777777">
      <w:pPr>
        <w:keepNext/>
        <w:numPr>
          <w:ilvl w:val="0"/>
          <w:numId w:val="9"/>
        </w:numPr>
        <w:spacing w:before="24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047"/>
      </w:tblGrid>
      <w:tr w:rsidRPr="007F620E" w:rsidR="00FE3BAE" w:rsidTr="00C54B1B"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047"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C54B1B" w14:paraId="5708510E" w14:textId="77777777">
        <w:tc>
          <w:tcPr>
            <w:tcW w:w="7488" w:type="dxa"/>
            <w:tcBorders>
              <w:bottom w:val="single" w:color="auto" w:sz="4" w:space="0"/>
            </w:tcBorders>
          </w:tcPr>
          <w:p w:rsidR="00FE3BAE" w:rsidP="00EC6387" w:rsidRDefault="00FE3BAE" w14:paraId="707F9932" w14:textId="24B1B5E0">
            <w:pPr>
              <w:rPr>
                <w:color w:val="000000"/>
              </w:rPr>
            </w:pPr>
            <w:r w:rsidRPr="007F620E">
              <w:rPr>
                <w:b/>
                <w:color w:val="000000"/>
              </w:rPr>
              <w:t>a. Intervenor’s claim of cost reasonableness:</w:t>
            </w:r>
            <w:r w:rsidRPr="00E25078" w:rsidR="00E25078">
              <w:rPr>
                <w:color w:val="000000"/>
              </w:rPr>
              <w:t xml:space="preserve"> </w:t>
            </w:r>
          </w:p>
          <w:p w:rsidRPr="00021360" w:rsidR="00FE3BAE" w:rsidP="00021360" w:rsidRDefault="00021360" w14:paraId="2B1A1242" w14:textId="280E0F93">
            <w:pPr>
              <w:pStyle w:val="Default"/>
            </w:pPr>
            <w:r w:rsidRPr="00021360">
              <w:t xml:space="preserve">EDF’s costs were reasonable for investigation of the application. </w:t>
            </w:r>
            <w:r>
              <w:t>EDF</w:t>
            </w:r>
            <w:r w:rsidRPr="00021360">
              <w:t xml:space="preserve"> carefully considered its advocacy </w:t>
            </w:r>
            <w:proofErr w:type="gramStart"/>
            <w:r w:rsidRPr="00021360">
              <w:t>during the course of</w:t>
            </w:r>
            <w:proofErr w:type="gramEnd"/>
            <w:r w:rsidRPr="00021360">
              <w:t xml:space="preserve"> the docket and attempted to use cost-effective methods over the course of the proceeding.</w:t>
            </w:r>
          </w:p>
        </w:tc>
        <w:tc>
          <w:tcPr>
            <w:tcW w:w="2047" w:type="dxa"/>
          </w:tcPr>
          <w:p w:rsidRPr="00FE3BAE" w:rsidR="00FE3BAE" w:rsidP="00EC6387" w:rsidRDefault="005F64A5" w14:paraId="223B4665" w14:textId="0A730CD6">
            <w:pPr>
              <w:rPr>
                <w:color w:val="000000"/>
              </w:rPr>
            </w:pPr>
            <w:r>
              <w:rPr>
                <w:color w:val="000000"/>
              </w:rPr>
              <w:t>Noted</w:t>
            </w:r>
          </w:p>
        </w:tc>
      </w:tr>
      <w:tr w:rsidRPr="007F620E" w:rsidR="00FE3BAE" w:rsidTr="00C54B1B" w14:paraId="5548029C" w14:textId="77777777">
        <w:tc>
          <w:tcPr>
            <w:tcW w:w="7488" w:type="dxa"/>
          </w:tcPr>
          <w:p w:rsidR="00FE3BAE" w:rsidP="00EC6387" w:rsidRDefault="00FE3BAE" w14:paraId="751A610C" w14:textId="509B1715">
            <w:pPr>
              <w:rPr>
                <w:color w:val="000000"/>
              </w:rPr>
            </w:pPr>
            <w:r w:rsidRPr="007F620E">
              <w:rPr>
                <w:b/>
                <w:color w:val="000000"/>
              </w:rPr>
              <w:t>b. Reasonableness of hours claimed:</w:t>
            </w:r>
            <w:r w:rsidRPr="00E25078" w:rsidR="00E25078">
              <w:rPr>
                <w:color w:val="000000"/>
              </w:rPr>
              <w:t xml:space="preserve"> </w:t>
            </w:r>
          </w:p>
          <w:p w:rsidRPr="00021360" w:rsidR="00691528" w:rsidP="00021360" w:rsidRDefault="00021360" w14:paraId="694F0B63" w14:textId="7720CC73">
            <w:pPr>
              <w:pStyle w:val="Default"/>
            </w:pPr>
            <w:r w:rsidRPr="00021360">
              <w:t xml:space="preserve">EDF worked diligently throughout the process to only spend a reasonable and prudent amount of time. </w:t>
            </w:r>
          </w:p>
        </w:tc>
        <w:tc>
          <w:tcPr>
            <w:tcW w:w="2047" w:type="dxa"/>
          </w:tcPr>
          <w:p w:rsidRPr="007F620E" w:rsidR="00FE3BAE" w:rsidP="00EC6387" w:rsidRDefault="0098079E" w14:paraId="1874D625" w14:textId="7589BFE0">
            <w:pPr>
              <w:rPr>
                <w:color w:val="000000"/>
              </w:rPr>
            </w:pPr>
            <w:r w:rsidRPr="0098079E">
              <w:rPr>
                <w:color w:val="000000"/>
              </w:rPr>
              <w:t xml:space="preserve">Noted. </w:t>
            </w:r>
            <w:r w:rsidRPr="00B06864">
              <w:rPr>
                <w:i/>
                <w:iCs/>
                <w:color w:val="000000"/>
              </w:rPr>
              <w:t xml:space="preserve">See </w:t>
            </w:r>
            <w:r w:rsidRPr="0098079E">
              <w:rPr>
                <w:color w:val="000000"/>
              </w:rPr>
              <w:t>discussion in Part III. D [</w:t>
            </w:r>
            <w:r w:rsidR="00B06864">
              <w:rPr>
                <w:color w:val="000000"/>
              </w:rPr>
              <w:t>8</w:t>
            </w:r>
            <w:r w:rsidRPr="0098079E">
              <w:rPr>
                <w:color w:val="000000"/>
              </w:rPr>
              <w:t>].</w:t>
            </w:r>
          </w:p>
        </w:tc>
      </w:tr>
      <w:tr w:rsidRPr="007F620E" w:rsidR="00FE3BAE" w:rsidTr="00C54B1B" w14:paraId="3FD38B74" w14:textId="77777777">
        <w:tc>
          <w:tcPr>
            <w:tcW w:w="7488" w:type="dxa"/>
          </w:tcPr>
          <w:p w:rsidR="00FE3BAE" w:rsidP="00EC6387" w:rsidRDefault="00FE3BAE" w14:paraId="46990B37" w14:textId="569E5E0F">
            <w:pPr>
              <w:rPr>
                <w:color w:val="000000"/>
              </w:rPr>
            </w:pPr>
            <w:r w:rsidRPr="007F620E">
              <w:rPr>
                <w:b/>
                <w:color w:val="000000"/>
              </w:rPr>
              <w:lastRenderedPageBreak/>
              <w:t>c. Allocation of hours by issue:</w:t>
            </w:r>
            <w:r w:rsidRPr="00E25078" w:rsidR="00E25078">
              <w:rPr>
                <w:color w:val="000000"/>
              </w:rPr>
              <w:t xml:space="preserve"> </w:t>
            </w:r>
          </w:p>
          <w:p w:rsidRPr="00021360" w:rsidR="00691528" w:rsidP="00021360" w:rsidRDefault="00021360" w14:paraId="3285939A" w14:textId="674AF612">
            <w:pPr>
              <w:pStyle w:val="Default"/>
            </w:pPr>
            <w:r w:rsidRPr="00021360">
              <w:t xml:space="preserve">In contributing to this decision, EDF focused on the need for </w:t>
            </w:r>
            <w:r>
              <w:t xml:space="preserve">an effective dynamic export rate which would incentivize customers to participate, inclusion of a distribution component, and </w:t>
            </w:r>
            <w:r w:rsidRPr="00021360">
              <w:t>stronger marketing, education, and outreach</w:t>
            </w:r>
            <w:r>
              <w:t>.</w:t>
            </w:r>
            <w:r w:rsidRPr="00021360">
              <w:t xml:space="preserve"> </w:t>
            </w:r>
          </w:p>
        </w:tc>
        <w:tc>
          <w:tcPr>
            <w:tcW w:w="2047" w:type="dxa"/>
          </w:tcPr>
          <w:p w:rsidRPr="007F620E" w:rsidR="00FE3BAE" w:rsidP="00EC6387" w:rsidRDefault="007E06EB" w14:paraId="497C4799" w14:textId="186B6F30">
            <w:pPr>
              <w:rPr>
                <w:color w:val="000000"/>
              </w:rPr>
            </w:pPr>
            <w:r w:rsidRPr="007E06EB">
              <w:rPr>
                <w:color w:val="000000"/>
              </w:rPr>
              <w:t xml:space="preserve">Noted. </w:t>
            </w:r>
            <w:r w:rsidRPr="00B06864">
              <w:rPr>
                <w:i/>
                <w:iCs/>
                <w:color w:val="000000"/>
              </w:rPr>
              <w:t xml:space="preserve">See </w:t>
            </w:r>
            <w:r w:rsidRPr="007E06EB">
              <w:rPr>
                <w:color w:val="000000"/>
              </w:rPr>
              <w:t>discussion in Part III. D [9].</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t>Specific Claim</w:t>
      </w:r>
      <w:r w:rsidR="00C02649">
        <w:rPr>
          <w:b/>
          <w:color w:val="000000"/>
        </w:rPr>
        <w:t>:</w:t>
      </w:r>
      <w:r w:rsidRPr="007F620E" w:rsidR="00D075B1">
        <w:rPr>
          <w:b/>
          <w:color w:val="000000"/>
        </w:rPr>
        <w:t>*</w:t>
      </w:r>
    </w:p>
    <w:tbl>
      <w:tblPr>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13"/>
        <w:gridCol w:w="1028"/>
        <w:gridCol w:w="1146"/>
        <w:gridCol w:w="1336"/>
      </w:tblGrid>
      <w:tr w:rsidRPr="00C50C1C" w:rsidR="00A92D0B" w:rsidTr="002E243D" w14:paraId="780664A2" w14:textId="77777777">
        <w:trPr>
          <w:tblHeader/>
          <w:jc w:val="center"/>
        </w:trPr>
        <w:tc>
          <w:tcPr>
            <w:tcW w:w="7105" w:type="dxa"/>
            <w:gridSpan w:val="9"/>
            <w:tcBorders>
              <w:bottom w:val="single" w:color="auto" w:sz="4" w:space="0"/>
              <w:right w:val="single" w:color="auto" w:sz="24" w:space="0"/>
            </w:tcBorders>
          </w:tcPr>
          <w:p w:rsidRPr="00C50C1C" w:rsidR="00A92D0B" w:rsidP="00DE3A5D" w:rsidRDefault="00A92D0B" w14:paraId="6BFE54DA" w14:textId="77777777">
            <w:pPr>
              <w:keepNext/>
              <w:keepLines/>
              <w:spacing w:before="60" w:after="60"/>
              <w:jc w:val="center"/>
              <w:rPr>
                <w:b/>
                <w:smallCaps/>
                <w:color w:val="000000"/>
              </w:rPr>
            </w:pPr>
            <w:r w:rsidRPr="00C50C1C">
              <w:rPr>
                <w:b/>
                <w:smallCaps/>
                <w:color w:val="000000"/>
              </w:rPr>
              <w:t>Claimed</w:t>
            </w:r>
          </w:p>
        </w:tc>
        <w:tc>
          <w:tcPr>
            <w:tcW w:w="3510" w:type="dxa"/>
            <w:gridSpan w:val="3"/>
            <w:tcBorders>
              <w:left w:val="single" w:color="auto" w:sz="24" w:space="0"/>
              <w:bottom w:val="single" w:color="auto" w:sz="4" w:space="0"/>
            </w:tcBorders>
          </w:tcPr>
          <w:p w:rsidRPr="00C50C1C" w:rsidR="00A92D0B" w:rsidP="00DE3A5D" w:rsidRDefault="00A92D0B" w14:paraId="170A0FA1" w14:textId="77777777">
            <w:pPr>
              <w:keepNext/>
              <w:keepLines/>
              <w:spacing w:before="60" w:after="60"/>
              <w:jc w:val="center"/>
              <w:rPr>
                <w:b/>
                <w:smallCaps/>
                <w:color w:val="000000"/>
              </w:rPr>
            </w:pPr>
            <w:r w:rsidRPr="00C50C1C">
              <w:rPr>
                <w:b/>
                <w:smallCaps/>
                <w:color w:val="000000"/>
              </w:rPr>
              <w:t>CPUC Award</w:t>
            </w:r>
          </w:p>
        </w:tc>
      </w:tr>
      <w:tr w:rsidRPr="00C50C1C" w:rsidR="00A92D0B" w:rsidTr="00C75703" w14:paraId="0F5B6CAA" w14:textId="77777777">
        <w:trPr>
          <w:jc w:val="center"/>
        </w:trPr>
        <w:tc>
          <w:tcPr>
            <w:tcW w:w="10615" w:type="dxa"/>
            <w:gridSpan w:val="12"/>
            <w:tcBorders>
              <w:top w:val="single" w:color="auto" w:sz="4" w:space="0"/>
              <w:left w:val="single" w:color="auto" w:sz="4" w:space="0"/>
              <w:bottom w:val="single" w:color="auto" w:sz="4" w:space="0"/>
              <w:right w:val="single" w:color="auto" w:sz="4" w:space="0"/>
            </w:tcBorders>
            <w:shd w:val="clear" w:color="auto" w:fill="E6E6E6"/>
          </w:tcPr>
          <w:p w:rsidRPr="00C50C1C" w:rsidR="00A92D0B" w:rsidP="00DE3A5D" w:rsidRDefault="00A92D0B" w14:paraId="284F9031" w14:textId="77777777">
            <w:pPr>
              <w:keepNext/>
              <w:keepLines/>
              <w:spacing w:before="60" w:after="60"/>
              <w:jc w:val="center"/>
              <w:rPr>
                <w:b/>
              </w:rPr>
            </w:pPr>
            <w:r w:rsidRPr="00C50C1C">
              <w:rPr>
                <w:b/>
              </w:rPr>
              <w:t>ATTORNEY, EXPERT, AND ADVOCATE FEES</w:t>
            </w:r>
          </w:p>
        </w:tc>
      </w:tr>
      <w:tr w:rsidRPr="00C50C1C" w:rsidR="00A92D0B" w:rsidTr="002E243D" w14:paraId="5A70C962" w14:textId="77777777">
        <w:trPr>
          <w:jc w:val="center"/>
        </w:trPr>
        <w:tc>
          <w:tcPr>
            <w:tcW w:w="1489" w:type="dxa"/>
            <w:tcBorders>
              <w:top w:val="single" w:color="auto" w:sz="4" w:space="0"/>
              <w:bottom w:val="single" w:color="auto" w:sz="4" w:space="0"/>
            </w:tcBorders>
            <w:vAlign w:val="bottom"/>
          </w:tcPr>
          <w:p w:rsidRPr="00C50C1C" w:rsidR="00A92D0B" w:rsidP="003B6A1B" w:rsidRDefault="00A92D0B" w14:paraId="41646676" w14:textId="77777777">
            <w:pPr>
              <w:keepNext/>
              <w:keepLines/>
              <w:spacing w:before="60" w:after="60"/>
              <w:jc w:val="center"/>
              <w:rPr>
                <w:b/>
                <w:color w:val="000000"/>
              </w:rPr>
            </w:pPr>
            <w:r w:rsidRPr="00C50C1C">
              <w:rPr>
                <w:b/>
                <w:color w:val="000000"/>
              </w:rPr>
              <w:t>Item</w:t>
            </w:r>
          </w:p>
        </w:tc>
        <w:tc>
          <w:tcPr>
            <w:tcW w:w="821" w:type="dxa"/>
            <w:tcBorders>
              <w:top w:val="single" w:color="auto" w:sz="4" w:space="0"/>
              <w:bottom w:val="single" w:color="auto" w:sz="4" w:space="0"/>
            </w:tcBorders>
            <w:vAlign w:val="bottom"/>
          </w:tcPr>
          <w:p w:rsidRPr="00C50C1C" w:rsidR="00A92D0B" w:rsidP="003B6A1B" w:rsidRDefault="00A92D0B" w14:paraId="43BB9941" w14:textId="77777777">
            <w:pPr>
              <w:keepNext/>
              <w:keepLines/>
              <w:spacing w:before="60" w:after="60"/>
              <w:jc w:val="center"/>
              <w:rPr>
                <w:b/>
                <w:color w:val="000000"/>
              </w:rPr>
            </w:pPr>
            <w:r w:rsidRPr="00C50C1C">
              <w:rPr>
                <w:b/>
                <w:color w:val="000000"/>
              </w:rPr>
              <w:t>Year</w:t>
            </w:r>
          </w:p>
        </w:tc>
        <w:tc>
          <w:tcPr>
            <w:tcW w:w="884" w:type="dxa"/>
            <w:gridSpan w:val="2"/>
            <w:tcBorders>
              <w:top w:val="single" w:color="auto" w:sz="4" w:space="0"/>
              <w:bottom w:val="single" w:color="auto" w:sz="4" w:space="0"/>
            </w:tcBorders>
            <w:vAlign w:val="bottom"/>
          </w:tcPr>
          <w:p w:rsidRPr="00C50C1C" w:rsidR="00A92D0B" w:rsidP="003B6A1B" w:rsidRDefault="00A92D0B" w14:paraId="0EF32B08" w14:textId="77777777">
            <w:pPr>
              <w:keepNext/>
              <w:keepLines/>
              <w:spacing w:before="60" w:after="60"/>
              <w:jc w:val="center"/>
              <w:rPr>
                <w:b/>
                <w:color w:val="000000"/>
              </w:rPr>
            </w:pPr>
            <w:r w:rsidRPr="00C50C1C">
              <w:rPr>
                <w:b/>
                <w:color w:val="000000"/>
              </w:rPr>
              <w:t>Hours</w:t>
            </w:r>
          </w:p>
        </w:tc>
        <w:tc>
          <w:tcPr>
            <w:tcW w:w="930" w:type="dxa"/>
            <w:tcBorders>
              <w:top w:val="single" w:color="auto" w:sz="4" w:space="0"/>
              <w:bottom w:val="single" w:color="auto" w:sz="4" w:space="0"/>
            </w:tcBorders>
            <w:vAlign w:val="bottom"/>
          </w:tcPr>
          <w:p w:rsidRPr="00C50C1C" w:rsidR="00A92D0B" w:rsidP="003B6A1B" w:rsidRDefault="00A92D0B" w14:paraId="21C69246" w14:textId="77777777">
            <w:pPr>
              <w:keepNext/>
              <w:keepLines/>
              <w:spacing w:before="60" w:after="60"/>
              <w:jc w:val="center"/>
              <w:rPr>
                <w:b/>
                <w:color w:val="000000"/>
              </w:rPr>
            </w:pPr>
            <w:r w:rsidRPr="00C50C1C">
              <w:rPr>
                <w:b/>
                <w:color w:val="000000"/>
              </w:rPr>
              <w:t>Rate</w:t>
            </w:r>
            <w:r w:rsidRPr="00C50C1C" w:rsidR="00E3786F">
              <w:rPr>
                <w:b/>
                <w:color w:val="000000"/>
              </w:rPr>
              <w:t xml:space="preserve"> $</w:t>
            </w:r>
          </w:p>
        </w:tc>
        <w:tc>
          <w:tcPr>
            <w:tcW w:w="1721" w:type="dxa"/>
            <w:gridSpan w:val="2"/>
            <w:tcBorders>
              <w:top w:val="single" w:color="auto" w:sz="4" w:space="0"/>
              <w:bottom w:val="single" w:color="auto" w:sz="4" w:space="0"/>
              <w:right w:val="single" w:color="auto" w:sz="4" w:space="0"/>
            </w:tcBorders>
            <w:vAlign w:val="bottom"/>
          </w:tcPr>
          <w:p w:rsidRPr="00C50C1C" w:rsidR="00A92D0B" w:rsidP="003B6A1B" w:rsidRDefault="00A92D0B" w14:paraId="59E63C07" w14:textId="77777777">
            <w:pPr>
              <w:keepNext/>
              <w:keepLines/>
              <w:spacing w:before="60" w:after="60"/>
              <w:jc w:val="center"/>
              <w:rPr>
                <w:b/>
                <w:color w:val="000000"/>
              </w:rPr>
            </w:pPr>
            <w:r w:rsidRPr="00C50C1C">
              <w:rPr>
                <w:b/>
                <w:color w:val="000000"/>
              </w:rPr>
              <w:t>Basis for Rate*</w:t>
            </w:r>
          </w:p>
        </w:tc>
        <w:tc>
          <w:tcPr>
            <w:tcW w:w="1260" w:type="dxa"/>
            <w:gridSpan w:val="2"/>
            <w:tcBorders>
              <w:top w:val="single" w:color="auto" w:sz="4" w:space="0"/>
              <w:left w:val="single" w:color="auto" w:sz="4" w:space="0"/>
              <w:bottom w:val="single" w:color="auto" w:sz="4" w:space="0"/>
              <w:right w:val="single" w:color="auto" w:sz="24" w:space="0"/>
            </w:tcBorders>
            <w:vAlign w:val="bottom"/>
          </w:tcPr>
          <w:p w:rsidRPr="00C50C1C" w:rsidR="00A92D0B" w:rsidP="003B6A1B" w:rsidRDefault="00A92D0B" w14:paraId="7099C603" w14:textId="77777777">
            <w:pPr>
              <w:keepNext/>
              <w:keepLines/>
              <w:spacing w:before="60" w:after="60"/>
              <w:jc w:val="center"/>
              <w:rPr>
                <w:b/>
                <w:color w:val="000000"/>
              </w:rPr>
            </w:pPr>
            <w:r w:rsidRPr="00C50C1C">
              <w:rPr>
                <w:b/>
                <w:color w:val="000000"/>
              </w:rPr>
              <w:t>Total $</w:t>
            </w:r>
          </w:p>
        </w:tc>
        <w:tc>
          <w:tcPr>
            <w:tcW w:w="1028" w:type="dxa"/>
            <w:tcBorders>
              <w:top w:val="single" w:color="auto" w:sz="4" w:space="0"/>
              <w:left w:val="single" w:color="auto" w:sz="4" w:space="0"/>
            </w:tcBorders>
            <w:vAlign w:val="bottom"/>
          </w:tcPr>
          <w:p w:rsidRPr="00C50C1C" w:rsidR="00A92D0B" w:rsidP="003B6A1B" w:rsidRDefault="00A92D0B" w14:paraId="564E4964" w14:textId="77777777">
            <w:pPr>
              <w:keepNext/>
              <w:keepLines/>
              <w:spacing w:before="60" w:after="60"/>
              <w:jc w:val="center"/>
              <w:rPr>
                <w:b/>
                <w:color w:val="000000"/>
              </w:rPr>
            </w:pPr>
            <w:r w:rsidRPr="00C50C1C">
              <w:rPr>
                <w:b/>
                <w:color w:val="000000"/>
              </w:rPr>
              <w:t>Hours</w:t>
            </w:r>
          </w:p>
        </w:tc>
        <w:tc>
          <w:tcPr>
            <w:tcW w:w="1146" w:type="dxa"/>
            <w:tcBorders>
              <w:top w:val="single" w:color="auto" w:sz="4" w:space="0"/>
            </w:tcBorders>
            <w:vAlign w:val="bottom"/>
          </w:tcPr>
          <w:p w:rsidRPr="00C50C1C" w:rsidR="00A92D0B" w:rsidP="003B6A1B" w:rsidRDefault="00A92D0B" w14:paraId="1462552D" w14:textId="77777777">
            <w:pPr>
              <w:keepNext/>
              <w:keepLines/>
              <w:spacing w:before="60" w:after="60"/>
              <w:jc w:val="center"/>
              <w:rPr>
                <w:b/>
                <w:color w:val="000000"/>
              </w:rPr>
            </w:pPr>
            <w:r w:rsidRPr="00C50C1C">
              <w:rPr>
                <w:b/>
                <w:color w:val="000000"/>
              </w:rPr>
              <w:t>Rate</w:t>
            </w:r>
            <w:r w:rsidRPr="00C50C1C" w:rsidR="00E3786F">
              <w:rPr>
                <w:b/>
                <w:color w:val="000000"/>
              </w:rPr>
              <w:t xml:space="preserve"> $</w:t>
            </w:r>
          </w:p>
        </w:tc>
        <w:tc>
          <w:tcPr>
            <w:tcW w:w="1336" w:type="dxa"/>
            <w:tcBorders>
              <w:top w:val="single" w:color="auto" w:sz="4" w:space="0"/>
            </w:tcBorders>
            <w:vAlign w:val="bottom"/>
          </w:tcPr>
          <w:p w:rsidRPr="00C50C1C" w:rsidR="00A92D0B" w:rsidP="003B6A1B" w:rsidRDefault="00A92D0B" w14:paraId="1B6A5CA4" w14:textId="77777777">
            <w:pPr>
              <w:keepNext/>
              <w:keepLines/>
              <w:spacing w:before="60" w:after="60"/>
              <w:jc w:val="center"/>
              <w:rPr>
                <w:b/>
                <w:color w:val="000000"/>
              </w:rPr>
            </w:pPr>
            <w:r w:rsidRPr="00C50C1C">
              <w:rPr>
                <w:b/>
                <w:color w:val="000000"/>
              </w:rPr>
              <w:t>Total $</w:t>
            </w:r>
          </w:p>
        </w:tc>
      </w:tr>
      <w:tr w:rsidRPr="00C50C1C" w:rsidR="00A92D0B" w:rsidTr="002E243D" w14:paraId="62E8A168" w14:textId="77777777">
        <w:trPr>
          <w:jc w:val="center"/>
        </w:trPr>
        <w:tc>
          <w:tcPr>
            <w:tcW w:w="1489" w:type="dxa"/>
          </w:tcPr>
          <w:p w:rsidRPr="00C50C1C" w:rsidR="00A92D0B" w:rsidP="00A92D0B" w:rsidRDefault="00021360" w14:paraId="33EA8B38" w14:textId="7B3CC1FF">
            <w:pPr>
              <w:spacing w:before="60" w:after="60"/>
              <w:rPr>
                <w:color w:val="000000"/>
              </w:rPr>
            </w:pPr>
            <w:r w:rsidRPr="00C50C1C">
              <w:rPr>
                <w:color w:val="000000"/>
              </w:rPr>
              <w:t>Megan Myers</w:t>
            </w:r>
            <w:r w:rsidRPr="00C50C1C" w:rsidR="007E3A1D">
              <w:rPr>
                <w:color w:val="000000"/>
              </w:rPr>
              <w:t xml:space="preserve"> </w:t>
            </w:r>
          </w:p>
        </w:tc>
        <w:tc>
          <w:tcPr>
            <w:tcW w:w="821" w:type="dxa"/>
          </w:tcPr>
          <w:p w:rsidRPr="00C50C1C" w:rsidR="00A92D0B" w:rsidP="00AF61A9" w:rsidRDefault="00021360" w14:paraId="47EBBC49" w14:textId="572537E7">
            <w:pPr>
              <w:spacing w:before="60" w:after="60"/>
              <w:jc w:val="center"/>
              <w:rPr>
                <w:color w:val="000000"/>
              </w:rPr>
            </w:pPr>
            <w:r w:rsidRPr="00C50C1C">
              <w:rPr>
                <w:color w:val="000000"/>
              </w:rPr>
              <w:t>2021</w:t>
            </w:r>
          </w:p>
        </w:tc>
        <w:tc>
          <w:tcPr>
            <w:tcW w:w="884" w:type="dxa"/>
            <w:gridSpan w:val="2"/>
          </w:tcPr>
          <w:p w:rsidRPr="00C50C1C" w:rsidR="00A92D0B" w:rsidP="00AF61A9" w:rsidRDefault="007E3A1D" w14:paraId="39A3074C" w14:textId="6CB721EE">
            <w:pPr>
              <w:spacing w:before="60" w:after="60"/>
              <w:jc w:val="center"/>
              <w:rPr>
                <w:color w:val="000000"/>
              </w:rPr>
            </w:pPr>
            <w:r w:rsidRPr="00C50C1C">
              <w:rPr>
                <w:color w:val="000000"/>
              </w:rPr>
              <w:t>1</w:t>
            </w:r>
          </w:p>
        </w:tc>
        <w:tc>
          <w:tcPr>
            <w:tcW w:w="930" w:type="dxa"/>
          </w:tcPr>
          <w:p w:rsidRPr="00C50C1C" w:rsidR="00A92D0B" w:rsidP="00E775D0" w:rsidRDefault="007E3A1D" w14:paraId="3E5BD317" w14:textId="6FA1C3FC">
            <w:pPr>
              <w:spacing w:before="60" w:after="60"/>
              <w:jc w:val="right"/>
              <w:rPr>
                <w:color w:val="000000"/>
              </w:rPr>
            </w:pPr>
            <w:r w:rsidRPr="00C50C1C">
              <w:rPr>
                <w:color w:val="000000"/>
              </w:rPr>
              <w:t>$4</w:t>
            </w:r>
            <w:r w:rsidRPr="00C50C1C" w:rsidR="008B7BB0">
              <w:rPr>
                <w:color w:val="000000"/>
              </w:rPr>
              <w:t>90</w:t>
            </w:r>
          </w:p>
        </w:tc>
        <w:tc>
          <w:tcPr>
            <w:tcW w:w="1721" w:type="dxa"/>
            <w:gridSpan w:val="2"/>
            <w:tcBorders>
              <w:right w:val="single" w:color="auto" w:sz="4" w:space="0"/>
            </w:tcBorders>
          </w:tcPr>
          <w:p w:rsidRPr="00C50C1C" w:rsidR="00A92D0B" w:rsidP="00021360" w:rsidRDefault="00075F54" w14:paraId="63BDE315" w14:textId="7460CFE0">
            <w:pPr>
              <w:pStyle w:val="Default"/>
            </w:pPr>
            <w:r w:rsidRPr="00C50C1C">
              <w:t>Intervenor Compensation</w:t>
            </w:r>
            <w:r w:rsidRPr="00C50C1C" w:rsidR="00787D8D">
              <w:t xml:space="preserve"> (</w:t>
            </w:r>
            <w:proofErr w:type="spellStart"/>
            <w:r w:rsidRPr="00C50C1C" w:rsidR="00787D8D">
              <w:t>IComp</w:t>
            </w:r>
            <w:proofErr w:type="spellEnd"/>
            <w:r w:rsidRPr="00C50C1C" w:rsidR="00787D8D">
              <w:t>)</w:t>
            </w:r>
            <w:r w:rsidRPr="00C50C1C" w:rsidR="00E91CAD">
              <w:t xml:space="preserve"> </w:t>
            </w:r>
            <w:r w:rsidRPr="00C50C1C">
              <w:t>Hourly Rate Chart Effective 1/1/2021 for Attorney with 19+ years of experience</w:t>
            </w:r>
          </w:p>
        </w:tc>
        <w:tc>
          <w:tcPr>
            <w:tcW w:w="1260" w:type="dxa"/>
            <w:gridSpan w:val="2"/>
            <w:tcBorders>
              <w:top w:val="single" w:color="auto" w:sz="4" w:space="0"/>
              <w:left w:val="single" w:color="auto" w:sz="4" w:space="0"/>
              <w:bottom w:val="single" w:color="auto" w:sz="4" w:space="0"/>
              <w:right w:val="single" w:color="auto" w:sz="24" w:space="0"/>
            </w:tcBorders>
          </w:tcPr>
          <w:p w:rsidRPr="00C50C1C" w:rsidR="00A92D0B" w:rsidP="00B17005" w:rsidRDefault="007E3A1D" w14:paraId="06BD92A5" w14:textId="4D9366C6">
            <w:pPr>
              <w:spacing w:before="60" w:after="60"/>
              <w:jc w:val="right"/>
              <w:rPr>
                <w:color w:val="000000"/>
              </w:rPr>
            </w:pPr>
            <w:r w:rsidRPr="00C50C1C">
              <w:rPr>
                <w:color w:val="000000"/>
              </w:rPr>
              <w:t>$4</w:t>
            </w:r>
            <w:r w:rsidRPr="00C50C1C" w:rsidR="008B7BB0">
              <w:rPr>
                <w:color w:val="000000"/>
              </w:rPr>
              <w:t>90</w:t>
            </w:r>
          </w:p>
        </w:tc>
        <w:tc>
          <w:tcPr>
            <w:tcW w:w="1028" w:type="dxa"/>
            <w:tcBorders>
              <w:left w:val="single" w:color="auto" w:sz="4" w:space="0"/>
            </w:tcBorders>
          </w:tcPr>
          <w:p w:rsidRPr="00C50C1C" w:rsidR="00A92D0B" w:rsidP="0060079A" w:rsidRDefault="00D31CB4" w14:paraId="31AF7AA4" w14:textId="18AE34EF">
            <w:pPr>
              <w:spacing w:before="60" w:after="60"/>
              <w:jc w:val="center"/>
              <w:rPr>
                <w:color w:val="000000"/>
              </w:rPr>
            </w:pPr>
            <w:r w:rsidRPr="00C50C1C">
              <w:rPr>
                <w:color w:val="000000"/>
              </w:rPr>
              <w:t>0.90 [9]</w:t>
            </w:r>
          </w:p>
        </w:tc>
        <w:tc>
          <w:tcPr>
            <w:tcW w:w="1146" w:type="dxa"/>
          </w:tcPr>
          <w:p w:rsidRPr="00C50C1C" w:rsidR="002B0DD3" w:rsidP="000D148A" w:rsidRDefault="002B0DD3" w14:paraId="536E2F48" w14:textId="3EEFBCC6">
            <w:pPr>
              <w:spacing w:before="60" w:after="60"/>
              <w:jc w:val="right"/>
              <w:rPr>
                <w:color w:val="000000"/>
              </w:rPr>
            </w:pPr>
            <w:r w:rsidRPr="00C50C1C">
              <w:rPr>
                <w:color w:val="000000"/>
              </w:rPr>
              <w:t>$490</w:t>
            </w:r>
            <w:r w:rsidRPr="00C50C1C" w:rsidR="007C62CC">
              <w:rPr>
                <w:color w:val="000000"/>
              </w:rPr>
              <w:t>.00</w:t>
            </w:r>
          </w:p>
          <w:p w:rsidRPr="00C50C1C" w:rsidR="00A92D0B" w:rsidP="0060079A" w:rsidRDefault="00315438" w14:paraId="3400AFFC" w14:textId="43850803">
            <w:pPr>
              <w:spacing w:before="60" w:after="60"/>
              <w:jc w:val="center"/>
              <w:rPr>
                <w:color w:val="000000"/>
              </w:rPr>
            </w:pPr>
            <w:r w:rsidRPr="00C50C1C">
              <w:rPr>
                <w:color w:val="000000"/>
              </w:rPr>
              <w:t>[</w:t>
            </w:r>
            <w:r w:rsidRPr="00C50C1C" w:rsidR="00B35F6B">
              <w:rPr>
                <w:color w:val="000000"/>
              </w:rPr>
              <w:t>2</w:t>
            </w:r>
            <w:r w:rsidRPr="00C50C1C" w:rsidR="009D2C24">
              <w:rPr>
                <w:color w:val="000000"/>
              </w:rPr>
              <w:t>,10</w:t>
            </w:r>
            <w:r w:rsidRPr="00C50C1C">
              <w:rPr>
                <w:color w:val="000000"/>
              </w:rPr>
              <w:t>]</w:t>
            </w:r>
          </w:p>
        </w:tc>
        <w:tc>
          <w:tcPr>
            <w:tcW w:w="1336" w:type="dxa"/>
          </w:tcPr>
          <w:p w:rsidRPr="00C50C1C" w:rsidR="00A92D0B" w:rsidP="0060079A" w:rsidRDefault="00F361A0" w14:paraId="196C1830" w14:textId="23A84FE2">
            <w:pPr>
              <w:spacing w:before="60" w:after="60"/>
              <w:jc w:val="right"/>
              <w:rPr>
                <w:color w:val="000000"/>
              </w:rPr>
            </w:pPr>
            <w:r w:rsidRPr="00C50C1C">
              <w:rPr>
                <w:color w:val="000000"/>
              </w:rPr>
              <w:t>$</w:t>
            </w:r>
            <w:r w:rsidRPr="00C50C1C" w:rsidR="00D31CB4">
              <w:rPr>
                <w:color w:val="000000"/>
              </w:rPr>
              <w:t>441.00</w:t>
            </w:r>
          </w:p>
        </w:tc>
      </w:tr>
      <w:tr w:rsidRPr="00C50C1C" w:rsidR="008B7BB0" w:rsidTr="002E243D" w14:paraId="47D3E697" w14:textId="77777777">
        <w:trPr>
          <w:jc w:val="center"/>
        </w:trPr>
        <w:tc>
          <w:tcPr>
            <w:tcW w:w="1489" w:type="dxa"/>
          </w:tcPr>
          <w:p w:rsidRPr="00C50C1C" w:rsidR="008B7BB0" w:rsidP="003B6A1B" w:rsidRDefault="008B7BB0" w14:paraId="44CEE052" w14:textId="10D5DEE7">
            <w:pPr>
              <w:spacing w:before="60" w:after="60"/>
              <w:rPr>
                <w:color w:val="000000"/>
              </w:rPr>
            </w:pPr>
            <w:r w:rsidRPr="00C50C1C">
              <w:rPr>
                <w:color w:val="000000"/>
              </w:rPr>
              <w:t>Megan Myers</w:t>
            </w:r>
          </w:p>
        </w:tc>
        <w:tc>
          <w:tcPr>
            <w:tcW w:w="821" w:type="dxa"/>
          </w:tcPr>
          <w:p w:rsidRPr="00C50C1C" w:rsidR="008B7BB0" w:rsidP="00AF61A9" w:rsidRDefault="008B7BB0" w14:paraId="4F807A39" w14:textId="28005EBB">
            <w:pPr>
              <w:spacing w:before="60" w:after="60"/>
              <w:jc w:val="center"/>
              <w:rPr>
                <w:color w:val="000000"/>
              </w:rPr>
            </w:pPr>
            <w:r w:rsidRPr="00C50C1C">
              <w:rPr>
                <w:color w:val="000000"/>
              </w:rPr>
              <w:t>2022</w:t>
            </w:r>
          </w:p>
        </w:tc>
        <w:tc>
          <w:tcPr>
            <w:tcW w:w="884" w:type="dxa"/>
            <w:gridSpan w:val="2"/>
          </w:tcPr>
          <w:p w:rsidRPr="00C50C1C" w:rsidR="008B7BB0" w:rsidP="00AF61A9" w:rsidRDefault="008B7BB0" w14:paraId="0EDDC95B" w14:textId="44B93291">
            <w:pPr>
              <w:spacing w:before="60" w:after="60"/>
              <w:jc w:val="center"/>
              <w:rPr>
                <w:color w:val="000000"/>
              </w:rPr>
            </w:pPr>
            <w:r w:rsidRPr="00C50C1C">
              <w:rPr>
                <w:color w:val="000000"/>
              </w:rPr>
              <w:t>34.4</w:t>
            </w:r>
          </w:p>
        </w:tc>
        <w:tc>
          <w:tcPr>
            <w:tcW w:w="930" w:type="dxa"/>
          </w:tcPr>
          <w:p w:rsidRPr="00C50C1C" w:rsidR="008B7BB0" w:rsidP="00E775D0" w:rsidRDefault="008B7BB0" w14:paraId="6D826A11" w14:textId="15D92BBA">
            <w:pPr>
              <w:spacing w:before="60" w:after="60"/>
              <w:jc w:val="right"/>
              <w:rPr>
                <w:color w:val="000000"/>
              </w:rPr>
            </w:pPr>
            <w:r w:rsidRPr="00C50C1C">
              <w:rPr>
                <w:color w:val="000000"/>
              </w:rPr>
              <w:t>$490</w:t>
            </w:r>
          </w:p>
        </w:tc>
        <w:tc>
          <w:tcPr>
            <w:tcW w:w="1721" w:type="dxa"/>
            <w:gridSpan w:val="2"/>
            <w:tcBorders>
              <w:right w:val="single" w:color="auto" w:sz="4" w:space="0"/>
            </w:tcBorders>
          </w:tcPr>
          <w:p w:rsidRPr="00C50C1C" w:rsidR="008B7BB0" w:rsidP="00021360" w:rsidRDefault="00787D8D" w14:paraId="3F2C0F5A" w14:textId="7DCF8B92">
            <w:pPr>
              <w:pStyle w:val="Default"/>
            </w:pPr>
            <w:proofErr w:type="spellStart"/>
            <w:r w:rsidRPr="00C50C1C">
              <w:t>IComp</w:t>
            </w:r>
            <w:proofErr w:type="spellEnd"/>
            <w:r w:rsidRPr="00C50C1C" w:rsidR="008B7BB0">
              <w:t xml:space="preserve"> Hourly Rate Chart Effective 1/1/2021 for Attorney with 19+ years of experience</w:t>
            </w:r>
          </w:p>
        </w:tc>
        <w:tc>
          <w:tcPr>
            <w:tcW w:w="1260" w:type="dxa"/>
            <w:gridSpan w:val="2"/>
            <w:tcBorders>
              <w:top w:val="single" w:color="auto" w:sz="4" w:space="0"/>
              <w:left w:val="single" w:color="auto" w:sz="4" w:space="0"/>
              <w:bottom w:val="single" w:color="auto" w:sz="4" w:space="0"/>
              <w:right w:val="single" w:color="auto" w:sz="24" w:space="0"/>
            </w:tcBorders>
          </w:tcPr>
          <w:p w:rsidRPr="00C50C1C" w:rsidR="008B7BB0" w:rsidP="00B17005" w:rsidRDefault="00787D8D" w14:paraId="1855CF3B" w14:textId="4D2CC5B6">
            <w:pPr>
              <w:spacing w:before="60" w:after="60"/>
              <w:jc w:val="right"/>
              <w:rPr>
                <w:color w:val="000000"/>
              </w:rPr>
            </w:pPr>
            <w:r w:rsidRPr="00C50C1C">
              <w:rPr>
                <w:color w:val="000000"/>
              </w:rPr>
              <w:t>$16,856</w:t>
            </w:r>
          </w:p>
        </w:tc>
        <w:tc>
          <w:tcPr>
            <w:tcW w:w="1028" w:type="dxa"/>
            <w:tcBorders>
              <w:left w:val="single" w:color="auto" w:sz="4" w:space="0"/>
            </w:tcBorders>
          </w:tcPr>
          <w:p w:rsidRPr="00C50C1C" w:rsidR="008B7BB0" w:rsidP="0060079A" w:rsidRDefault="00FE1B7E" w14:paraId="1583DA21" w14:textId="0EF810D1">
            <w:pPr>
              <w:spacing w:before="60" w:after="60"/>
              <w:jc w:val="center"/>
              <w:rPr>
                <w:color w:val="000000"/>
              </w:rPr>
            </w:pPr>
            <w:r w:rsidRPr="00C50C1C">
              <w:rPr>
                <w:color w:val="000000"/>
              </w:rPr>
              <w:t>27.36</w:t>
            </w:r>
          </w:p>
          <w:p w:rsidRPr="00C50C1C" w:rsidR="003E72F2" w:rsidP="0060079A" w:rsidRDefault="003E72F2" w14:paraId="1B597178" w14:textId="7DDAC693">
            <w:pPr>
              <w:spacing w:before="60" w:after="60"/>
              <w:jc w:val="center"/>
              <w:rPr>
                <w:color w:val="000000"/>
              </w:rPr>
            </w:pPr>
            <w:r w:rsidRPr="00C50C1C">
              <w:rPr>
                <w:color w:val="000000"/>
              </w:rPr>
              <w:t>[</w:t>
            </w:r>
            <w:r w:rsidRPr="00C50C1C" w:rsidR="00F646A7">
              <w:rPr>
                <w:color w:val="000000"/>
              </w:rPr>
              <w:t xml:space="preserve">7, </w:t>
            </w:r>
            <w:r w:rsidRPr="00C50C1C" w:rsidR="00D31CB4">
              <w:rPr>
                <w:color w:val="000000"/>
              </w:rPr>
              <w:t>9</w:t>
            </w:r>
            <w:r w:rsidRPr="00C50C1C">
              <w:rPr>
                <w:color w:val="000000"/>
              </w:rPr>
              <w:t>]</w:t>
            </w:r>
          </w:p>
          <w:p w:rsidRPr="00C50C1C" w:rsidR="007C62CC" w:rsidP="0060079A" w:rsidRDefault="007C62CC" w14:paraId="2EFBD49D" w14:textId="6167444F">
            <w:pPr>
              <w:spacing w:before="60" w:after="60"/>
              <w:jc w:val="center"/>
              <w:rPr>
                <w:color w:val="000000"/>
              </w:rPr>
            </w:pPr>
          </w:p>
        </w:tc>
        <w:tc>
          <w:tcPr>
            <w:tcW w:w="1146" w:type="dxa"/>
          </w:tcPr>
          <w:p w:rsidRPr="00C50C1C" w:rsidR="002B0DD3" w:rsidP="000D148A" w:rsidRDefault="002B196B" w14:paraId="6014679A" w14:textId="4A2F0947">
            <w:pPr>
              <w:spacing w:before="60" w:after="60"/>
              <w:jc w:val="right"/>
              <w:rPr>
                <w:color w:val="000000"/>
              </w:rPr>
            </w:pPr>
            <w:r w:rsidRPr="00C50C1C">
              <w:rPr>
                <w:color w:val="000000"/>
              </w:rPr>
              <w:t>$</w:t>
            </w:r>
            <w:r w:rsidRPr="00C50C1C" w:rsidR="00D752A1">
              <w:rPr>
                <w:color w:val="000000"/>
              </w:rPr>
              <w:t>490.00</w:t>
            </w:r>
          </w:p>
          <w:p w:rsidRPr="00C50C1C" w:rsidR="008B7BB0" w:rsidP="000D148A" w:rsidRDefault="00315438" w14:paraId="0E185E22" w14:textId="797D4D4A">
            <w:pPr>
              <w:spacing w:before="60" w:after="60"/>
              <w:jc w:val="right"/>
              <w:rPr>
                <w:color w:val="000000"/>
              </w:rPr>
            </w:pPr>
            <w:r w:rsidRPr="00C50C1C">
              <w:rPr>
                <w:color w:val="000000"/>
              </w:rPr>
              <w:t>[</w:t>
            </w:r>
            <w:r w:rsidRPr="00C50C1C" w:rsidR="00B35F6B">
              <w:rPr>
                <w:color w:val="000000"/>
              </w:rPr>
              <w:t>2</w:t>
            </w:r>
            <w:r w:rsidRPr="00C50C1C" w:rsidR="009D2C24">
              <w:rPr>
                <w:color w:val="000000"/>
              </w:rPr>
              <w:t>,10</w:t>
            </w:r>
            <w:r w:rsidRPr="00C50C1C">
              <w:rPr>
                <w:color w:val="000000"/>
              </w:rPr>
              <w:t>]</w:t>
            </w:r>
          </w:p>
        </w:tc>
        <w:tc>
          <w:tcPr>
            <w:tcW w:w="1336" w:type="dxa"/>
          </w:tcPr>
          <w:p w:rsidRPr="00C50C1C" w:rsidR="008B7BB0" w:rsidP="0060079A" w:rsidRDefault="00F361A0" w14:paraId="57E002AF" w14:textId="3C13B0C5">
            <w:pPr>
              <w:spacing w:before="60" w:after="60"/>
              <w:jc w:val="right"/>
              <w:rPr>
                <w:color w:val="000000"/>
              </w:rPr>
            </w:pPr>
            <w:r w:rsidRPr="00C50C1C">
              <w:rPr>
                <w:color w:val="000000"/>
              </w:rPr>
              <w:t>$</w:t>
            </w:r>
            <w:r w:rsidRPr="00C50C1C" w:rsidR="00FE1B7E">
              <w:rPr>
                <w:color w:val="000000"/>
              </w:rPr>
              <w:t>13,406.40</w:t>
            </w:r>
          </w:p>
        </w:tc>
      </w:tr>
      <w:tr w:rsidRPr="00C50C1C" w:rsidR="008B7BB0" w:rsidTr="002E243D" w14:paraId="4B868573" w14:textId="77777777">
        <w:trPr>
          <w:jc w:val="center"/>
        </w:trPr>
        <w:tc>
          <w:tcPr>
            <w:tcW w:w="1489" w:type="dxa"/>
          </w:tcPr>
          <w:p w:rsidRPr="00C50C1C" w:rsidR="008B7BB0" w:rsidP="008B7BB0" w:rsidRDefault="008B7BB0" w14:paraId="38ED6C0F" w14:textId="265310E4">
            <w:pPr>
              <w:spacing w:before="60" w:after="60"/>
              <w:rPr>
                <w:color w:val="000000"/>
              </w:rPr>
            </w:pPr>
            <w:r w:rsidRPr="00C50C1C">
              <w:rPr>
                <w:color w:val="000000"/>
              </w:rPr>
              <w:t xml:space="preserve">Megan Myers </w:t>
            </w:r>
          </w:p>
        </w:tc>
        <w:tc>
          <w:tcPr>
            <w:tcW w:w="821" w:type="dxa"/>
          </w:tcPr>
          <w:p w:rsidRPr="00C50C1C" w:rsidR="008B7BB0" w:rsidP="008B7BB0" w:rsidRDefault="008B7BB0" w14:paraId="07575930" w14:textId="257B21E1">
            <w:pPr>
              <w:spacing w:before="60" w:after="60"/>
              <w:jc w:val="center"/>
              <w:rPr>
                <w:color w:val="000000"/>
              </w:rPr>
            </w:pPr>
            <w:r w:rsidRPr="00C50C1C">
              <w:rPr>
                <w:color w:val="000000"/>
              </w:rPr>
              <w:t>2023</w:t>
            </w:r>
          </w:p>
        </w:tc>
        <w:tc>
          <w:tcPr>
            <w:tcW w:w="884" w:type="dxa"/>
            <w:gridSpan w:val="2"/>
          </w:tcPr>
          <w:p w:rsidRPr="00C50C1C" w:rsidR="008B7BB0" w:rsidP="008B7BB0" w:rsidRDefault="008B7BB0" w14:paraId="3D0542D5" w14:textId="0B8966C6">
            <w:pPr>
              <w:spacing w:before="60" w:after="60"/>
              <w:jc w:val="center"/>
              <w:rPr>
                <w:color w:val="000000"/>
              </w:rPr>
            </w:pPr>
            <w:r w:rsidRPr="00C50C1C">
              <w:rPr>
                <w:color w:val="000000"/>
              </w:rPr>
              <w:t>70.5</w:t>
            </w:r>
          </w:p>
        </w:tc>
        <w:tc>
          <w:tcPr>
            <w:tcW w:w="930" w:type="dxa"/>
          </w:tcPr>
          <w:p w:rsidRPr="00C50C1C" w:rsidR="008B7BB0" w:rsidP="008B7BB0" w:rsidRDefault="008B7BB0" w14:paraId="0DE1A84B" w14:textId="6E2D91BC">
            <w:pPr>
              <w:spacing w:before="60" w:after="60"/>
              <w:jc w:val="right"/>
              <w:rPr>
                <w:color w:val="000000"/>
              </w:rPr>
            </w:pPr>
            <w:r w:rsidRPr="00C50C1C">
              <w:rPr>
                <w:color w:val="000000"/>
              </w:rPr>
              <w:t>$490</w:t>
            </w:r>
          </w:p>
        </w:tc>
        <w:tc>
          <w:tcPr>
            <w:tcW w:w="1721" w:type="dxa"/>
            <w:gridSpan w:val="2"/>
            <w:tcBorders>
              <w:right w:val="single" w:color="auto" w:sz="4" w:space="0"/>
            </w:tcBorders>
          </w:tcPr>
          <w:p w:rsidRPr="00C50C1C" w:rsidR="008B7BB0" w:rsidP="008B7BB0" w:rsidRDefault="00787D8D" w14:paraId="25020097" w14:textId="674AA5DA">
            <w:pPr>
              <w:pStyle w:val="Default"/>
            </w:pPr>
            <w:proofErr w:type="spellStart"/>
            <w:r w:rsidRPr="00C50C1C">
              <w:t>IComp</w:t>
            </w:r>
            <w:proofErr w:type="spellEnd"/>
            <w:r w:rsidRPr="00C50C1C" w:rsidR="008B7BB0">
              <w:t xml:space="preserve"> Hourly Rate Chart Effective 1/1/2021 for Attorney with 19+ years of experience</w:t>
            </w:r>
          </w:p>
        </w:tc>
        <w:tc>
          <w:tcPr>
            <w:tcW w:w="1260" w:type="dxa"/>
            <w:gridSpan w:val="2"/>
            <w:tcBorders>
              <w:top w:val="single" w:color="auto" w:sz="4" w:space="0"/>
              <w:left w:val="single" w:color="auto" w:sz="4" w:space="0"/>
              <w:bottom w:val="single" w:color="auto" w:sz="4" w:space="0"/>
              <w:right w:val="single" w:color="auto" w:sz="24" w:space="0"/>
            </w:tcBorders>
          </w:tcPr>
          <w:p w:rsidRPr="00C50C1C" w:rsidR="008B7BB0" w:rsidP="008B7BB0" w:rsidRDefault="00787D8D" w14:paraId="58DD754C" w14:textId="5EF16C87">
            <w:pPr>
              <w:spacing w:before="60" w:after="60"/>
              <w:jc w:val="right"/>
              <w:rPr>
                <w:color w:val="000000"/>
              </w:rPr>
            </w:pPr>
            <w:r w:rsidRPr="00C50C1C">
              <w:rPr>
                <w:color w:val="000000"/>
              </w:rPr>
              <w:t>$34,545</w:t>
            </w:r>
          </w:p>
        </w:tc>
        <w:tc>
          <w:tcPr>
            <w:tcW w:w="1028" w:type="dxa"/>
            <w:tcBorders>
              <w:left w:val="single" w:color="auto" w:sz="4" w:space="0"/>
            </w:tcBorders>
          </w:tcPr>
          <w:p w:rsidRPr="00C50C1C" w:rsidR="008B7BB0" w:rsidP="0060079A" w:rsidRDefault="00FE1B7E" w14:paraId="717D4DB7" w14:textId="5A714E35">
            <w:pPr>
              <w:spacing w:before="60" w:after="60"/>
              <w:jc w:val="center"/>
              <w:rPr>
                <w:color w:val="000000"/>
              </w:rPr>
            </w:pPr>
            <w:r w:rsidRPr="00C50C1C">
              <w:rPr>
                <w:color w:val="000000"/>
              </w:rPr>
              <w:t>57.15</w:t>
            </w:r>
          </w:p>
          <w:p w:rsidRPr="00C50C1C" w:rsidR="003E72F2" w:rsidP="0060079A" w:rsidRDefault="003E72F2" w14:paraId="42E9D9A6" w14:textId="4D00FE98">
            <w:pPr>
              <w:spacing w:before="60" w:after="60"/>
              <w:jc w:val="center"/>
              <w:rPr>
                <w:color w:val="000000"/>
              </w:rPr>
            </w:pPr>
            <w:r w:rsidRPr="00C50C1C">
              <w:rPr>
                <w:color w:val="000000"/>
              </w:rPr>
              <w:t>[</w:t>
            </w:r>
            <w:r w:rsidRPr="00C50C1C" w:rsidR="00F646A7">
              <w:rPr>
                <w:color w:val="000000"/>
              </w:rPr>
              <w:t xml:space="preserve">7, </w:t>
            </w:r>
            <w:r w:rsidRPr="00C50C1C" w:rsidR="00D31CB4">
              <w:rPr>
                <w:color w:val="000000"/>
              </w:rPr>
              <w:t>9</w:t>
            </w:r>
            <w:r w:rsidRPr="00C50C1C">
              <w:rPr>
                <w:color w:val="000000"/>
              </w:rPr>
              <w:t>]</w:t>
            </w:r>
          </w:p>
        </w:tc>
        <w:tc>
          <w:tcPr>
            <w:tcW w:w="1146" w:type="dxa"/>
          </w:tcPr>
          <w:p w:rsidRPr="00C50C1C" w:rsidR="002B196B" w:rsidP="000D148A" w:rsidRDefault="002B196B" w14:paraId="465E7206" w14:textId="715BFD45">
            <w:pPr>
              <w:spacing w:before="60" w:after="60"/>
              <w:jc w:val="right"/>
              <w:rPr>
                <w:color w:val="000000"/>
              </w:rPr>
            </w:pPr>
            <w:r w:rsidRPr="00C50C1C">
              <w:rPr>
                <w:color w:val="000000"/>
              </w:rPr>
              <w:t>$</w:t>
            </w:r>
            <w:r w:rsidRPr="00C50C1C" w:rsidR="00D752A1">
              <w:rPr>
                <w:color w:val="000000"/>
              </w:rPr>
              <w:t>490.00</w:t>
            </w:r>
          </w:p>
          <w:p w:rsidRPr="00C50C1C" w:rsidR="008B7BB0" w:rsidP="000D148A" w:rsidRDefault="00974339" w14:paraId="204F8482" w14:textId="6AA39AE1">
            <w:pPr>
              <w:spacing w:before="60" w:after="60"/>
              <w:jc w:val="right"/>
              <w:rPr>
                <w:color w:val="000000"/>
              </w:rPr>
            </w:pPr>
            <w:r w:rsidRPr="00C50C1C">
              <w:rPr>
                <w:color w:val="000000"/>
              </w:rPr>
              <w:t>[</w:t>
            </w:r>
            <w:r w:rsidRPr="00C50C1C" w:rsidR="00B35F6B">
              <w:rPr>
                <w:color w:val="000000"/>
              </w:rPr>
              <w:t>2</w:t>
            </w:r>
            <w:r w:rsidRPr="00C50C1C" w:rsidR="009D2C24">
              <w:rPr>
                <w:color w:val="000000"/>
              </w:rPr>
              <w:t>,10</w:t>
            </w:r>
            <w:r w:rsidRPr="00C50C1C">
              <w:rPr>
                <w:color w:val="000000"/>
              </w:rPr>
              <w:t>]</w:t>
            </w:r>
          </w:p>
        </w:tc>
        <w:tc>
          <w:tcPr>
            <w:tcW w:w="1336" w:type="dxa"/>
          </w:tcPr>
          <w:p w:rsidRPr="00C50C1C" w:rsidR="008B7BB0" w:rsidP="0060079A" w:rsidRDefault="00F361A0" w14:paraId="259B227B" w14:textId="3E600563">
            <w:pPr>
              <w:spacing w:before="60" w:after="60"/>
              <w:jc w:val="right"/>
              <w:rPr>
                <w:color w:val="000000"/>
              </w:rPr>
            </w:pPr>
            <w:r w:rsidRPr="00C50C1C">
              <w:rPr>
                <w:color w:val="000000"/>
              </w:rPr>
              <w:t>$</w:t>
            </w:r>
            <w:r w:rsidRPr="00C50C1C" w:rsidR="00FE1B7E">
              <w:rPr>
                <w:color w:val="000000"/>
              </w:rPr>
              <w:t>28,003.50</w:t>
            </w:r>
          </w:p>
        </w:tc>
      </w:tr>
      <w:tr w:rsidRPr="00C50C1C" w:rsidR="008B7BB0" w:rsidTr="002E243D" w14:paraId="5BF6A154" w14:textId="77777777">
        <w:trPr>
          <w:jc w:val="center"/>
        </w:trPr>
        <w:tc>
          <w:tcPr>
            <w:tcW w:w="1489" w:type="dxa"/>
          </w:tcPr>
          <w:p w:rsidRPr="00C50C1C" w:rsidR="008B7BB0" w:rsidP="008B7BB0" w:rsidRDefault="008B7BB0" w14:paraId="118506EC" w14:textId="36A1E0E0">
            <w:pPr>
              <w:spacing w:before="60" w:after="60"/>
              <w:rPr>
                <w:color w:val="000000"/>
              </w:rPr>
            </w:pPr>
            <w:r w:rsidRPr="00C50C1C">
              <w:rPr>
                <w:color w:val="000000"/>
              </w:rPr>
              <w:t xml:space="preserve">Michael Colvin </w:t>
            </w:r>
          </w:p>
        </w:tc>
        <w:tc>
          <w:tcPr>
            <w:tcW w:w="821" w:type="dxa"/>
          </w:tcPr>
          <w:p w:rsidRPr="00C50C1C" w:rsidR="008B7BB0" w:rsidP="008B7BB0" w:rsidRDefault="008B7BB0" w14:paraId="3767540B" w14:textId="4A87FDEC">
            <w:pPr>
              <w:spacing w:before="60" w:after="60"/>
              <w:jc w:val="center"/>
              <w:rPr>
                <w:color w:val="000000"/>
              </w:rPr>
            </w:pPr>
            <w:r w:rsidRPr="00C50C1C">
              <w:rPr>
                <w:color w:val="000000"/>
              </w:rPr>
              <w:t>2021</w:t>
            </w:r>
          </w:p>
        </w:tc>
        <w:tc>
          <w:tcPr>
            <w:tcW w:w="884" w:type="dxa"/>
            <w:gridSpan w:val="2"/>
          </w:tcPr>
          <w:p w:rsidRPr="00C50C1C" w:rsidR="008B7BB0" w:rsidP="008B7BB0" w:rsidRDefault="00023B21" w14:paraId="120FE857" w14:textId="4312AD08">
            <w:pPr>
              <w:spacing w:before="60" w:after="60"/>
              <w:jc w:val="center"/>
              <w:rPr>
                <w:color w:val="000000"/>
              </w:rPr>
            </w:pPr>
            <w:r w:rsidRPr="00C50C1C">
              <w:rPr>
                <w:color w:val="000000"/>
              </w:rPr>
              <w:t>2.5</w:t>
            </w:r>
          </w:p>
        </w:tc>
        <w:tc>
          <w:tcPr>
            <w:tcW w:w="930" w:type="dxa"/>
          </w:tcPr>
          <w:p w:rsidRPr="00C50C1C" w:rsidR="008B7BB0" w:rsidP="008B7BB0" w:rsidRDefault="008B7BB0" w14:paraId="075109E1" w14:textId="08915064">
            <w:pPr>
              <w:spacing w:before="60" w:after="60"/>
              <w:jc w:val="right"/>
              <w:rPr>
                <w:color w:val="000000"/>
              </w:rPr>
            </w:pPr>
            <w:r w:rsidRPr="00C50C1C">
              <w:rPr>
                <w:color w:val="000000"/>
              </w:rPr>
              <w:t>$490</w:t>
            </w:r>
          </w:p>
        </w:tc>
        <w:tc>
          <w:tcPr>
            <w:tcW w:w="1721" w:type="dxa"/>
            <w:gridSpan w:val="2"/>
            <w:tcBorders>
              <w:right w:val="single" w:color="auto" w:sz="4" w:space="0"/>
            </w:tcBorders>
          </w:tcPr>
          <w:p w:rsidRPr="00C50C1C" w:rsidR="008B7BB0" w:rsidP="008B7BB0" w:rsidRDefault="008B7BB0" w14:paraId="4AF4C006" w14:textId="5606AE4B">
            <w:pPr>
              <w:pStyle w:val="Default"/>
            </w:pPr>
            <w:r w:rsidRPr="00C50C1C">
              <w:t>ALJ-393; Public Policy Analyst IV</w:t>
            </w:r>
          </w:p>
        </w:tc>
        <w:tc>
          <w:tcPr>
            <w:tcW w:w="1260" w:type="dxa"/>
            <w:gridSpan w:val="2"/>
            <w:tcBorders>
              <w:top w:val="single" w:color="auto" w:sz="4" w:space="0"/>
              <w:left w:val="single" w:color="auto" w:sz="4" w:space="0"/>
              <w:bottom w:val="single" w:color="auto" w:sz="4" w:space="0"/>
              <w:right w:val="single" w:color="auto" w:sz="24" w:space="0"/>
            </w:tcBorders>
          </w:tcPr>
          <w:p w:rsidRPr="00C50C1C" w:rsidR="008B7BB0" w:rsidP="008B7BB0" w:rsidRDefault="00023B21" w14:paraId="2A77845E" w14:textId="42C52531">
            <w:pPr>
              <w:spacing w:before="60" w:after="60"/>
              <w:jc w:val="right"/>
              <w:rPr>
                <w:color w:val="000000"/>
              </w:rPr>
            </w:pPr>
            <w:r w:rsidRPr="00C50C1C">
              <w:rPr>
                <w:color w:val="000000"/>
              </w:rPr>
              <w:t>$1,225</w:t>
            </w:r>
          </w:p>
        </w:tc>
        <w:tc>
          <w:tcPr>
            <w:tcW w:w="1028" w:type="dxa"/>
            <w:tcBorders>
              <w:left w:val="single" w:color="auto" w:sz="4" w:space="0"/>
            </w:tcBorders>
          </w:tcPr>
          <w:p w:rsidRPr="00C50C1C" w:rsidR="008B7BB0" w:rsidP="0060079A" w:rsidRDefault="00D31CB4" w14:paraId="1A84C319" w14:textId="3486CD63">
            <w:pPr>
              <w:spacing w:before="60" w:after="60"/>
              <w:jc w:val="center"/>
              <w:rPr>
                <w:color w:val="000000"/>
              </w:rPr>
            </w:pPr>
            <w:r w:rsidRPr="00C50C1C">
              <w:rPr>
                <w:color w:val="000000"/>
              </w:rPr>
              <w:t>2.14</w:t>
            </w:r>
          </w:p>
          <w:p w:rsidRPr="00C50C1C" w:rsidR="003E72F2" w:rsidP="0060079A" w:rsidRDefault="003E72F2" w14:paraId="461DC9FD" w14:textId="77925552">
            <w:pPr>
              <w:spacing w:before="60" w:after="60"/>
              <w:jc w:val="center"/>
              <w:rPr>
                <w:color w:val="000000"/>
              </w:rPr>
            </w:pPr>
            <w:r w:rsidRPr="00C50C1C">
              <w:rPr>
                <w:color w:val="000000"/>
              </w:rPr>
              <w:t>[</w:t>
            </w:r>
            <w:r w:rsidRPr="00C50C1C" w:rsidR="00460796">
              <w:rPr>
                <w:color w:val="000000"/>
              </w:rPr>
              <w:t xml:space="preserve">8, </w:t>
            </w:r>
            <w:r w:rsidRPr="00C50C1C" w:rsidR="00D31CB4">
              <w:rPr>
                <w:color w:val="000000"/>
              </w:rPr>
              <w:t>9</w:t>
            </w:r>
            <w:r w:rsidRPr="00C50C1C">
              <w:rPr>
                <w:color w:val="000000"/>
              </w:rPr>
              <w:t>]</w:t>
            </w:r>
          </w:p>
        </w:tc>
        <w:tc>
          <w:tcPr>
            <w:tcW w:w="1146" w:type="dxa"/>
          </w:tcPr>
          <w:p w:rsidRPr="00C50C1C" w:rsidR="008B7BB0" w:rsidP="000D148A" w:rsidRDefault="00CE4C46" w14:paraId="6F045F02" w14:textId="77777777">
            <w:pPr>
              <w:spacing w:before="60" w:after="60"/>
              <w:jc w:val="right"/>
              <w:rPr>
                <w:color w:val="000000"/>
              </w:rPr>
            </w:pPr>
            <w:r w:rsidRPr="00C50C1C">
              <w:rPr>
                <w:color w:val="000000"/>
              </w:rPr>
              <w:t>$480.00</w:t>
            </w:r>
          </w:p>
          <w:p w:rsidRPr="00C50C1C" w:rsidR="00974339" w:rsidP="000D148A" w:rsidRDefault="00974339" w14:paraId="7FDABF74" w14:textId="7D8731F5">
            <w:pPr>
              <w:spacing w:before="60" w:after="60"/>
              <w:jc w:val="right"/>
              <w:rPr>
                <w:color w:val="000000"/>
              </w:rPr>
            </w:pPr>
            <w:r w:rsidRPr="00C50C1C">
              <w:rPr>
                <w:color w:val="000000"/>
              </w:rPr>
              <w:t>[</w:t>
            </w:r>
            <w:r w:rsidRPr="00C50C1C" w:rsidR="00B35F6B">
              <w:rPr>
                <w:color w:val="000000"/>
              </w:rPr>
              <w:t>3</w:t>
            </w:r>
            <w:r w:rsidRPr="00C50C1C" w:rsidR="009D2C24">
              <w:rPr>
                <w:color w:val="000000"/>
              </w:rPr>
              <w:t>,10</w:t>
            </w:r>
            <w:r w:rsidRPr="00C50C1C">
              <w:rPr>
                <w:color w:val="000000"/>
              </w:rPr>
              <w:t>]</w:t>
            </w:r>
          </w:p>
        </w:tc>
        <w:tc>
          <w:tcPr>
            <w:tcW w:w="1336" w:type="dxa"/>
          </w:tcPr>
          <w:p w:rsidRPr="00C50C1C" w:rsidR="008B7BB0" w:rsidP="0060079A" w:rsidRDefault="00F361A0" w14:paraId="05EFCF76" w14:textId="43BEC0EE">
            <w:pPr>
              <w:spacing w:before="60" w:after="60"/>
              <w:jc w:val="right"/>
              <w:rPr>
                <w:color w:val="000000"/>
              </w:rPr>
            </w:pPr>
            <w:r w:rsidRPr="00C50C1C">
              <w:rPr>
                <w:color w:val="000000"/>
              </w:rPr>
              <w:t>$1,</w:t>
            </w:r>
            <w:r w:rsidRPr="00C50C1C" w:rsidR="00D31CB4">
              <w:rPr>
                <w:color w:val="000000"/>
              </w:rPr>
              <w:t>027.20</w:t>
            </w:r>
          </w:p>
        </w:tc>
      </w:tr>
      <w:tr w:rsidRPr="00C50C1C" w:rsidR="008B7BB0" w:rsidTr="002E243D" w14:paraId="78FC5ECE" w14:textId="77777777">
        <w:trPr>
          <w:jc w:val="center"/>
        </w:trPr>
        <w:tc>
          <w:tcPr>
            <w:tcW w:w="1489" w:type="dxa"/>
          </w:tcPr>
          <w:p w:rsidRPr="00C50C1C" w:rsidR="008B7BB0" w:rsidP="008B7BB0" w:rsidRDefault="008B7BB0" w14:paraId="1F8943E9" w14:textId="242E4A8A">
            <w:pPr>
              <w:spacing w:before="60" w:after="60"/>
              <w:rPr>
                <w:color w:val="000000"/>
              </w:rPr>
            </w:pPr>
            <w:r w:rsidRPr="00C50C1C">
              <w:rPr>
                <w:color w:val="000000"/>
              </w:rPr>
              <w:t xml:space="preserve">Michael Colvin </w:t>
            </w:r>
          </w:p>
        </w:tc>
        <w:tc>
          <w:tcPr>
            <w:tcW w:w="821" w:type="dxa"/>
          </w:tcPr>
          <w:p w:rsidRPr="00C50C1C" w:rsidR="008B7BB0" w:rsidP="008B7BB0" w:rsidRDefault="008B7BB0" w14:paraId="6FFEFF62" w14:textId="211DD86E">
            <w:pPr>
              <w:spacing w:before="60" w:after="60"/>
              <w:jc w:val="center"/>
              <w:rPr>
                <w:color w:val="000000"/>
              </w:rPr>
            </w:pPr>
            <w:r w:rsidRPr="00C50C1C">
              <w:rPr>
                <w:color w:val="000000"/>
              </w:rPr>
              <w:t>2022</w:t>
            </w:r>
          </w:p>
        </w:tc>
        <w:tc>
          <w:tcPr>
            <w:tcW w:w="884" w:type="dxa"/>
            <w:gridSpan w:val="2"/>
          </w:tcPr>
          <w:p w:rsidRPr="00C50C1C" w:rsidR="008B7BB0" w:rsidP="008B7BB0" w:rsidRDefault="00023B21" w14:paraId="24984638" w14:textId="5C3F9F73">
            <w:pPr>
              <w:spacing w:before="60" w:after="60"/>
              <w:jc w:val="center"/>
              <w:rPr>
                <w:color w:val="000000"/>
              </w:rPr>
            </w:pPr>
            <w:r w:rsidRPr="00C50C1C">
              <w:rPr>
                <w:color w:val="000000"/>
              </w:rPr>
              <w:t>13.25</w:t>
            </w:r>
          </w:p>
        </w:tc>
        <w:tc>
          <w:tcPr>
            <w:tcW w:w="930" w:type="dxa"/>
          </w:tcPr>
          <w:p w:rsidRPr="00C50C1C" w:rsidR="008B7BB0" w:rsidP="008B7BB0" w:rsidRDefault="008B7BB0" w14:paraId="00CA9050" w14:textId="7053EC5B">
            <w:pPr>
              <w:spacing w:before="60" w:after="60"/>
              <w:jc w:val="right"/>
              <w:rPr>
                <w:color w:val="000000"/>
              </w:rPr>
            </w:pPr>
            <w:r w:rsidRPr="00C50C1C">
              <w:rPr>
                <w:color w:val="000000"/>
              </w:rPr>
              <w:t>$515</w:t>
            </w:r>
          </w:p>
        </w:tc>
        <w:tc>
          <w:tcPr>
            <w:tcW w:w="1721" w:type="dxa"/>
            <w:gridSpan w:val="2"/>
            <w:tcBorders>
              <w:right w:val="single" w:color="auto" w:sz="4" w:space="0"/>
            </w:tcBorders>
          </w:tcPr>
          <w:p w:rsidRPr="00C50C1C" w:rsidR="008B7BB0" w:rsidP="008B7BB0" w:rsidRDefault="008B7BB0" w14:paraId="760F08DA" w14:textId="64D431C3">
            <w:pPr>
              <w:pStyle w:val="Default"/>
            </w:pPr>
            <w:r w:rsidRPr="00C50C1C">
              <w:t xml:space="preserve">2021 rate and 5% step increase per D.07-01-009; </w:t>
            </w:r>
            <w:r w:rsidRPr="00C50C1C">
              <w:lastRenderedPageBreak/>
              <w:t>please add escalation rate (a.k.a. COLA)</w:t>
            </w:r>
          </w:p>
        </w:tc>
        <w:tc>
          <w:tcPr>
            <w:tcW w:w="1260" w:type="dxa"/>
            <w:gridSpan w:val="2"/>
            <w:tcBorders>
              <w:top w:val="single" w:color="auto" w:sz="4" w:space="0"/>
              <w:left w:val="single" w:color="auto" w:sz="4" w:space="0"/>
              <w:bottom w:val="single" w:color="auto" w:sz="4" w:space="0"/>
              <w:right w:val="single" w:color="auto" w:sz="24" w:space="0"/>
            </w:tcBorders>
          </w:tcPr>
          <w:p w:rsidRPr="00C50C1C" w:rsidR="008B7BB0" w:rsidP="008B7BB0" w:rsidRDefault="00023B21" w14:paraId="39D39174" w14:textId="776AAA2B">
            <w:pPr>
              <w:spacing w:before="60" w:after="60"/>
              <w:jc w:val="right"/>
              <w:rPr>
                <w:color w:val="000000"/>
              </w:rPr>
            </w:pPr>
            <w:r w:rsidRPr="00C50C1C">
              <w:rPr>
                <w:color w:val="000000"/>
              </w:rPr>
              <w:lastRenderedPageBreak/>
              <w:t>$6,823.75</w:t>
            </w:r>
          </w:p>
        </w:tc>
        <w:tc>
          <w:tcPr>
            <w:tcW w:w="1028" w:type="dxa"/>
            <w:tcBorders>
              <w:left w:val="single" w:color="auto" w:sz="4" w:space="0"/>
            </w:tcBorders>
          </w:tcPr>
          <w:p w:rsidRPr="00C50C1C" w:rsidR="008B7BB0" w:rsidP="0060079A" w:rsidRDefault="00D31CB4" w14:paraId="098F4D77" w14:textId="74BD212D">
            <w:pPr>
              <w:spacing w:before="60" w:after="60"/>
              <w:jc w:val="center"/>
              <w:rPr>
                <w:color w:val="000000"/>
              </w:rPr>
            </w:pPr>
            <w:r w:rsidRPr="00C50C1C">
              <w:rPr>
                <w:color w:val="000000"/>
              </w:rPr>
              <w:t>11.33</w:t>
            </w:r>
          </w:p>
          <w:p w:rsidRPr="00C50C1C" w:rsidR="003E72F2" w:rsidP="0060079A" w:rsidRDefault="003E72F2" w14:paraId="3462A5A3" w14:textId="012446EF">
            <w:pPr>
              <w:spacing w:before="60" w:after="60"/>
              <w:jc w:val="center"/>
              <w:rPr>
                <w:color w:val="000000"/>
              </w:rPr>
            </w:pPr>
            <w:r w:rsidRPr="00C50C1C">
              <w:rPr>
                <w:color w:val="000000"/>
              </w:rPr>
              <w:t>[</w:t>
            </w:r>
            <w:r w:rsidRPr="00C50C1C" w:rsidR="00460796">
              <w:rPr>
                <w:color w:val="000000"/>
              </w:rPr>
              <w:t xml:space="preserve">8, </w:t>
            </w:r>
            <w:r w:rsidRPr="00C50C1C" w:rsidR="00D31CB4">
              <w:rPr>
                <w:color w:val="000000"/>
              </w:rPr>
              <w:t>9</w:t>
            </w:r>
            <w:r w:rsidRPr="00C50C1C">
              <w:rPr>
                <w:color w:val="000000"/>
              </w:rPr>
              <w:t>]</w:t>
            </w:r>
          </w:p>
          <w:p w:rsidRPr="00C50C1C" w:rsidR="007C62CC" w:rsidP="0060079A" w:rsidRDefault="007C62CC" w14:paraId="047FD0B5" w14:textId="4BC45631">
            <w:pPr>
              <w:spacing w:before="60" w:after="60"/>
              <w:jc w:val="center"/>
              <w:rPr>
                <w:color w:val="000000"/>
              </w:rPr>
            </w:pPr>
          </w:p>
        </w:tc>
        <w:tc>
          <w:tcPr>
            <w:tcW w:w="1146" w:type="dxa"/>
          </w:tcPr>
          <w:p w:rsidRPr="00C50C1C" w:rsidR="008B7BB0" w:rsidP="000D148A" w:rsidRDefault="000C0F8C" w14:paraId="64218B1A" w14:textId="53F658DE">
            <w:pPr>
              <w:spacing w:before="60" w:after="60"/>
              <w:jc w:val="right"/>
              <w:rPr>
                <w:color w:val="000000"/>
              </w:rPr>
            </w:pPr>
            <w:r w:rsidRPr="00C50C1C">
              <w:rPr>
                <w:color w:val="000000"/>
              </w:rPr>
              <w:t>$</w:t>
            </w:r>
            <w:r w:rsidRPr="00C50C1C" w:rsidR="00D31CB4">
              <w:rPr>
                <w:color w:val="000000"/>
              </w:rPr>
              <w:t>505.00</w:t>
            </w:r>
          </w:p>
          <w:p w:rsidRPr="00C50C1C" w:rsidR="00D47DAB" w:rsidP="000D148A" w:rsidRDefault="00D47DAB" w14:paraId="367660C2" w14:textId="5C248000">
            <w:pPr>
              <w:spacing w:before="60" w:after="60"/>
              <w:jc w:val="right"/>
              <w:rPr>
                <w:color w:val="000000"/>
              </w:rPr>
            </w:pPr>
            <w:r w:rsidRPr="00C50C1C">
              <w:rPr>
                <w:color w:val="000000"/>
              </w:rPr>
              <w:t>[</w:t>
            </w:r>
            <w:r w:rsidRPr="00C50C1C" w:rsidR="00B35F6B">
              <w:rPr>
                <w:color w:val="000000"/>
              </w:rPr>
              <w:t>3</w:t>
            </w:r>
            <w:r w:rsidRPr="00C50C1C" w:rsidR="009D2C24">
              <w:rPr>
                <w:color w:val="000000"/>
              </w:rPr>
              <w:t>,10</w:t>
            </w:r>
            <w:r w:rsidRPr="00C50C1C">
              <w:rPr>
                <w:color w:val="000000"/>
              </w:rPr>
              <w:t>]</w:t>
            </w:r>
          </w:p>
        </w:tc>
        <w:tc>
          <w:tcPr>
            <w:tcW w:w="1336" w:type="dxa"/>
          </w:tcPr>
          <w:p w:rsidRPr="00C50C1C" w:rsidR="008B7BB0" w:rsidP="0060079A" w:rsidRDefault="0098491F" w14:paraId="766AC45F" w14:textId="718CE126">
            <w:pPr>
              <w:spacing w:before="60" w:after="60"/>
              <w:jc w:val="right"/>
              <w:rPr>
                <w:color w:val="000000"/>
              </w:rPr>
            </w:pPr>
            <w:r w:rsidRPr="00C50C1C">
              <w:rPr>
                <w:color w:val="000000"/>
              </w:rPr>
              <w:t>$</w:t>
            </w:r>
            <w:r w:rsidRPr="00C50C1C" w:rsidR="00D31CB4">
              <w:rPr>
                <w:color w:val="000000"/>
              </w:rPr>
              <w:t>5,721.65</w:t>
            </w:r>
          </w:p>
        </w:tc>
      </w:tr>
      <w:tr w:rsidRPr="00C50C1C" w:rsidR="008B7BB0" w:rsidTr="002E243D" w14:paraId="709FB999" w14:textId="77777777">
        <w:trPr>
          <w:jc w:val="center"/>
        </w:trPr>
        <w:tc>
          <w:tcPr>
            <w:tcW w:w="1489" w:type="dxa"/>
          </w:tcPr>
          <w:p w:rsidRPr="00C50C1C" w:rsidR="008B7BB0" w:rsidP="008B7BB0" w:rsidRDefault="008B7BB0" w14:paraId="457D991E" w14:textId="7ED4DF5B">
            <w:pPr>
              <w:spacing w:before="60" w:after="60"/>
              <w:rPr>
                <w:color w:val="000000"/>
              </w:rPr>
            </w:pPr>
            <w:r w:rsidRPr="00C50C1C">
              <w:rPr>
                <w:color w:val="000000"/>
              </w:rPr>
              <w:t>Michael Colvin</w:t>
            </w:r>
          </w:p>
        </w:tc>
        <w:tc>
          <w:tcPr>
            <w:tcW w:w="821" w:type="dxa"/>
          </w:tcPr>
          <w:p w:rsidRPr="00C50C1C" w:rsidR="008B7BB0" w:rsidP="008B7BB0" w:rsidRDefault="008B7BB0" w14:paraId="7E67DC0D" w14:textId="749174C0">
            <w:pPr>
              <w:spacing w:before="60" w:after="60"/>
              <w:jc w:val="center"/>
              <w:rPr>
                <w:color w:val="000000"/>
              </w:rPr>
            </w:pPr>
            <w:r w:rsidRPr="00C50C1C">
              <w:rPr>
                <w:color w:val="000000"/>
              </w:rPr>
              <w:t>2023</w:t>
            </w:r>
          </w:p>
        </w:tc>
        <w:tc>
          <w:tcPr>
            <w:tcW w:w="884" w:type="dxa"/>
            <w:gridSpan w:val="2"/>
          </w:tcPr>
          <w:p w:rsidRPr="00C50C1C" w:rsidR="008B7BB0" w:rsidP="008B7BB0" w:rsidRDefault="00023B21" w14:paraId="7171DBDA" w14:textId="0E874099">
            <w:pPr>
              <w:spacing w:before="60" w:after="60"/>
              <w:jc w:val="center"/>
              <w:rPr>
                <w:color w:val="000000"/>
              </w:rPr>
            </w:pPr>
            <w:r w:rsidRPr="00C50C1C">
              <w:rPr>
                <w:color w:val="000000"/>
              </w:rPr>
              <w:t>14.25</w:t>
            </w:r>
          </w:p>
        </w:tc>
        <w:tc>
          <w:tcPr>
            <w:tcW w:w="930" w:type="dxa"/>
          </w:tcPr>
          <w:p w:rsidRPr="00C50C1C" w:rsidR="008B7BB0" w:rsidP="008B7BB0" w:rsidRDefault="008B7BB0" w14:paraId="380C2139" w14:textId="53456C14">
            <w:pPr>
              <w:spacing w:before="60" w:after="60"/>
              <w:jc w:val="right"/>
              <w:rPr>
                <w:color w:val="000000"/>
              </w:rPr>
            </w:pPr>
            <w:r w:rsidRPr="00C50C1C">
              <w:rPr>
                <w:color w:val="000000"/>
              </w:rPr>
              <w:t>$540</w:t>
            </w:r>
          </w:p>
        </w:tc>
        <w:tc>
          <w:tcPr>
            <w:tcW w:w="1721" w:type="dxa"/>
            <w:gridSpan w:val="2"/>
            <w:tcBorders>
              <w:right w:val="single" w:color="auto" w:sz="4" w:space="0"/>
            </w:tcBorders>
          </w:tcPr>
          <w:p w:rsidRPr="00C50C1C" w:rsidR="008B7BB0" w:rsidP="008B7BB0" w:rsidRDefault="008B7BB0" w14:paraId="44635841" w14:textId="7FF8E1F8">
            <w:pPr>
              <w:pStyle w:val="Default"/>
            </w:pPr>
            <w:r w:rsidRPr="00C50C1C">
              <w:t>2021 rate and 5% step increase per D.07-01-009; please add escalation rate (a.k.a. COLA)</w:t>
            </w:r>
          </w:p>
        </w:tc>
        <w:tc>
          <w:tcPr>
            <w:tcW w:w="1260" w:type="dxa"/>
            <w:gridSpan w:val="2"/>
            <w:tcBorders>
              <w:top w:val="single" w:color="auto" w:sz="4" w:space="0"/>
              <w:left w:val="single" w:color="auto" w:sz="4" w:space="0"/>
              <w:bottom w:val="single" w:color="auto" w:sz="4" w:space="0"/>
              <w:right w:val="single" w:color="auto" w:sz="24" w:space="0"/>
            </w:tcBorders>
          </w:tcPr>
          <w:p w:rsidRPr="00C50C1C" w:rsidR="008B7BB0" w:rsidP="008B7BB0" w:rsidRDefault="00023B21" w14:paraId="323D9992" w14:textId="315C39D2">
            <w:pPr>
              <w:spacing w:before="60" w:after="60"/>
              <w:jc w:val="right"/>
              <w:rPr>
                <w:color w:val="000000"/>
              </w:rPr>
            </w:pPr>
            <w:r w:rsidRPr="00C50C1C">
              <w:rPr>
                <w:color w:val="000000"/>
              </w:rPr>
              <w:t>$7,695</w:t>
            </w:r>
          </w:p>
        </w:tc>
        <w:tc>
          <w:tcPr>
            <w:tcW w:w="1028" w:type="dxa"/>
            <w:tcBorders>
              <w:left w:val="single" w:color="auto" w:sz="4" w:space="0"/>
            </w:tcBorders>
          </w:tcPr>
          <w:p w:rsidRPr="00C50C1C" w:rsidR="008B7BB0" w:rsidP="0060079A" w:rsidRDefault="00D31CB4" w14:paraId="3515D04B" w14:textId="649E6CB3">
            <w:pPr>
              <w:spacing w:before="60" w:after="60"/>
              <w:jc w:val="center"/>
              <w:rPr>
                <w:color w:val="000000"/>
              </w:rPr>
            </w:pPr>
            <w:r w:rsidRPr="00C50C1C">
              <w:rPr>
                <w:color w:val="000000"/>
              </w:rPr>
              <w:t>12.19</w:t>
            </w:r>
          </w:p>
          <w:p w:rsidRPr="00C50C1C" w:rsidR="003E72F2" w:rsidP="0060079A" w:rsidRDefault="003E72F2" w14:paraId="0039355C" w14:textId="17A71812">
            <w:pPr>
              <w:spacing w:before="60" w:after="60"/>
              <w:jc w:val="center"/>
              <w:rPr>
                <w:color w:val="000000"/>
              </w:rPr>
            </w:pPr>
            <w:r w:rsidRPr="00C50C1C">
              <w:rPr>
                <w:color w:val="000000"/>
              </w:rPr>
              <w:t>[</w:t>
            </w:r>
            <w:r w:rsidRPr="00C50C1C" w:rsidR="00460796">
              <w:rPr>
                <w:color w:val="000000"/>
              </w:rPr>
              <w:t xml:space="preserve">8, </w:t>
            </w:r>
            <w:r w:rsidRPr="00C50C1C" w:rsidR="00D31CB4">
              <w:rPr>
                <w:color w:val="000000"/>
              </w:rPr>
              <w:t>9</w:t>
            </w:r>
            <w:r w:rsidRPr="00C50C1C">
              <w:rPr>
                <w:color w:val="000000"/>
              </w:rPr>
              <w:t>]</w:t>
            </w:r>
          </w:p>
        </w:tc>
        <w:tc>
          <w:tcPr>
            <w:tcW w:w="1146" w:type="dxa"/>
          </w:tcPr>
          <w:p w:rsidRPr="00C50C1C" w:rsidR="007A7123" w:rsidP="000D148A" w:rsidRDefault="007A7123" w14:paraId="7484FD18" w14:textId="69EADF12">
            <w:pPr>
              <w:spacing w:before="60" w:after="60"/>
              <w:jc w:val="right"/>
              <w:rPr>
                <w:color w:val="000000"/>
              </w:rPr>
            </w:pPr>
            <w:r w:rsidRPr="00C50C1C">
              <w:rPr>
                <w:color w:val="000000"/>
              </w:rPr>
              <w:t>$5</w:t>
            </w:r>
            <w:r w:rsidRPr="00C50C1C" w:rsidR="00E50EE0">
              <w:rPr>
                <w:color w:val="000000"/>
              </w:rPr>
              <w:t>45</w:t>
            </w:r>
            <w:r w:rsidRPr="00C50C1C">
              <w:rPr>
                <w:color w:val="000000"/>
              </w:rPr>
              <w:t>.00</w:t>
            </w:r>
          </w:p>
          <w:p w:rsidRPr="00C50C1C" w:rsidR="008B7BB0" w:rsidP="000D148A" w:rsidRDefault="00974339" w14:paraId="2DC0AA31" w14:textId="31125BA7">
            <w:pPr>
              <w:spacing w:before="60" w:after="60"/>
              <w:jc w:val="right"/>
              <w:rPr>
                <w:color w:val="000000"/>
              </w:rPr>
            </w:pPr>
            <w:r w:rsidRPr="00C50C1C">
              <w:rPr>
                <w:color w:val="000000"/>
              </w:rPr>
              <w:t>[</w:t>
            </w:r>
            <w:r w:rsidRPr="00C50C1C" w:rsidR="00B35F6B">
              <w:rPr>
                <w:color w:val="000000"/>
              </w:rPr>
              <w:t>3</w:t>
            </w:r>
            <w:r w:rsidRPr="00C50C1C" w:rsidR="009D2C24">
              <w:rPr>
                <w:color w:val="000000"/>
              </w:rPr>
              <w:t>,10</w:t>
            </w:r>
            <w:r w:rsidRPr="00C50C1C">
              <w:rPr>
                <w:color w:val="000000"/>
              </w:rPr>
              <w:t>]</w:t>
            </w:r>
          </w:p>
        </w:tc>
        <w:tc>
          <w:tcPr>
            <w:tcW w:w="1336" w:type="dxa"/>
          </w:tcPr>
          <w:p w:rsidRPr="00C50C1C" w:rsidR="008B7BB0" w:rsidP="0060079A" w:rsidRDefault="0098491F" w14:paraId="534DF43D" w14:textId="64EE2827">
            <w:pPr>
              <w:spacing w:before="60" w:after="60"/>
              <w:jc w:val="right"/>
              <w:rPr>
                <w:color w:val="000000"/>
              </w:rPr>
            </w:pPr>
            <w:r w:rsidRPr="00C50C1C">
              <w:rPr>
                <w:color w:val="000000"/>
              </w:rPr>
              <w:t>$</w:t>
            </w:r>
            <w:r w:rsidRPr="00C50C1C" w:rsidR="008D2ABD">
              <w:rPr>
                <w:color w:val="000000"/>
              </w:rPr>
              <w:t>6,</w:t>
            </w:r>
            <w:r w:rsidRPr="00C50C1C" w:rsidR="00E50EE0">
              <w:rPr>
                <w:color w:val="000000"/>
              </w:rPr>
              <w:t>643.55</w:t>
            </w:r>
          </w:p>
        </w:tc>
      </w:tr>
      <w:tr w:rsidRPr="00C50C1C" w:rsidR="008B7BB0" w:rsidTr="002E243D" w14:paraId="4E698889" w14:textId="77777777">
        <w:trPr>
          <w:jc w:val="center"/>
        </w:trPr>
        <w:tc>
          <w:tcPr>
            <w:tcW w:w="1489" w:type="dxa"/>
          </w:tcPr>
          <w:p w:rsidRPr="00C50C1C" w:rsidR="008B7BB0" w:rsidP="008B7BB0" w:rsidRDefault="008B7BB0" w14:paraId="04CDED11" w14:textId="7DB76167">
            <w:pPr>
              <w:spacing w:before="60" w:after="60"/>
              <w:rPr>
                <w:color w:val="000000"/>
              </w:rPr>
            </w:pPr>
            <w:r w:rsidRPr="00C50C1C">
              <w:rPr>
                <w:color w:val="000000"/>
              </w:rPr>
              <w:t>Steven Moss</w:t>
            </w:r>
          </w:p>
        </w:tc>
        <w:tc>
          <w:tcPr>
            <w:tcW w:w="821" w:type="dxa"/>
          </w:tcPr>
          <w:p w:rsidRPr="00C50C1C" w:rsidR="008B7BB0" w:rsidP="008B7BB0" w:rsidRDefault="008B7BB0" w14:paraId="6B0C4BC3" w14:textId="7F20B16A">
            <w:pPr>
              <w:spacing w:before="60" w:after="60"/>
              <w:jc w:val="center"/>
              <w:rPr>
                <w:color w:val="000000"/>
              </w:rPr>
            </w:pPr>
            <w:r w:rsidRPr="00C50C1C">
              <w:rPr>
                <w:color w:val="000000"/>
              </w:rPr>
              <w:t>2022</w:t>
            </w:r>
          </w:p>
        </w:tc>
        <w:tc>
          <w:tcPr>
            <w:tcW w:w="884" w:type="dxa"/>
            <w:gridSpan w:val="2"/>
          </w:tcPr>
          <w:p w:rsidRPr="00C50C1C" w:rsidR="008B7BB0" w:rsidP="008B7BB0" w:rsidRDefault="008B7BB0" w14:paraId="51C36695" w14:textId="228A6DF1">
            <w:pPr>
              <w:spacing w:before="60" w:after="60"/>
              <w:jc w:val="center"/>
              <w:rPr>
                <w:color w:val="000000"/>
              </w:rPr>
            </w:pPr>
            <w:r w:rsidRPr="00C50C1C">
              <w:rPr>
                <w:color w:val="000000"/>
              </w:rPr>
              <w:t>2</w:t>
            </w:r>
            <w:r w:rsidRPr="00C50C1C" w:rsidR="00CC6AF0">
              <w:rPr>
                <w:color w:val="000000"/>
              </w:rPr>
              <w:t>9</w:t>
            </w:r>
          </w:p>
        </w:tc>
        <w:tc>
          <w:tcPr>
            <w:tcW w:w="930" w:type="dxa"/>
          </w:tcPr>
          <w:p w:rsidRPr="00C50C1C" w:rsidR="008B7BB0" w:rsidP="008B7BB0" w:rsidRDefault="00787D8D" w14:paraId="50434DF3" w14:textId="071BB9D7">
            <w:pPr>
              <w:spacing w:before="60" w:after="60"/>
              <w:jc w:val="right"/>
              <w:rPr>
                <w:color w:val="000000"/>
              </w:rPr>
            </w:pPr>
            <w:r w:rsidRPr="00C50C1C">
              <w:rPr>
                <w:color w:val="000000"/>
              </w:rPr>
              <w:t>$300</w:t>
            </w:r>
          </w:p>
        </w:tc>
        <w:tc>
          <w:tcPr>
            <w:tcW w:w="1721" w:type="dxa"/>
            <w:gridSpan w:val="2"/>
            <w:tcBorders>
              <w:right w:val="single" w:color="auto" w:sz="4" w:space="0"/>
            </w:tcBorders>
          </w:tcPr>
          <w:p w:rsidRPr="00C50C1C" w:rsidR="008B7BB0" w:rsidP="008B7BB0" w:rsidRDefault="00787D8D" w14:paraId="41124BBA" w14:textId="5E74B702">
            <w:pPr>
              <w:pStyle w:val="Default"/>
            </w:pPr>
            <w:proofErr w:type="spellStart"/>
            <w:r w:rsidRPr="00C50C1C">
              <w:t>IComp</w:t>
            </w:r>
            <w:proofErr w:type="spellEnd"/>
            <w:r w:rsidRPr="00C50C1C" w:rsidR="008B7BB0">
              <w:t xml:space="preserve"> Hourly Rate Chart Effective 1/1/2021 for Expert with 20+ years of experience</w:t>
            </w:r>
          </w:p>
        </w:tc>
        <w:tc>
          <w:tcPr>
            <w:tcW w:w="1260" w:type="dxa"/>
            <w:gridSpan w:val="2"/>
            <w:tcBorders>
              <w:top w:val="single" w:color="auto" w:sz="4" w:space="0"/>
              <w:left w:val="single" w:color="auto" w:sz="4" w:space="0"/>
              <w:bottom w:val="single" w:color="auto" w:sz="4" w:space="0"/>
              <w:right w:val="single" w:color="auto" w:sz="24" w:space="0"/>
            </w:tcBorders>
          </w:tcPr>
          <w:p w:rsidRPr="00C50C1C" w:rsidR="008B7BB0" w:rsidP="008B7BB0" w:rsidRDefault="00787D8D" w14:paraId="75F00059" w14:textId="2778C15F">
            <w:pPr>
              <w:spacing w:before="60" w:after="60"/>
              <w:jc w:val="right"/>
              <w:rPr>
                <w:color w:val="000000"/>
              </w:rPr>
            </w:pPr>
            <w:r w:rsidRPr="00C50C1C">
              <w:rPr>
                <w:color w:val="000000"/>
              </w:rPr>
              <w:t>$</w:t>
            </w:r>
            <w:r w:rsidRPr="00C50C1C" w:rsidR="00CC6AF0">
              <w:rPr>
                <w:color w:val="000000"/>
              </w:rPr>
              <w:t>8,700</w:t>
            </w:r>
          </w:p>
        </w:tc>
        <w:tc>
          <w:tcPr>
            <w:tcW w:w="1028" w:type="dxa"/>
            <w:tcBorders>
              <w:left w:val="single" w:color="auto" w:sz="4" w:space="0"/>
            </w:tcBorders>
          </w:tcPr>
          <w:p w:rsidRPr="00C50C1C" w:rsidR="008B7BB0" w:rsidP="0060079A" w:rsidRDefault="00D31CB4" w14:paraId="6FEF0E44" w14:textId="1F90907F">
            <w:pPr>
              <w:spacing w:before="60" w:after="60"/>
              <w:jc w:val="center"/>
              <w:rPr>
                <w:color w:val="000000"/>
              </w:rPr>
            </w:pPr>
            <w:r w:rsidRPr="00C50C1C">
              <w:rPr>
                <w:color w:val="000000"/>
              </w:rPr>
              <w:t>23.94</w:t>
            </w:r>
          </w:p>
          <w:p w:rsidRPr="00C50C1C" w:rsidR="007C62CC" w:rsidP="0060079A" w:rsidRDefault="003E72F2" w14:paraId="134A581C" w14:textId="617569AB">
            <w:pPr>
              <w:spacing w:before="60" w:after="60"/>
              <w:jc w:val="center"/>
              <w:rPr>
                <w:color w:val="000000"/>
              </w:rPr>
            </w:pPr>
            <w:r w:rsidRPr="00C50C1C">
              <w:rPr>
                <w:color w:val="000000"/>
              </w:rPr>
              <w:t>[6</w:t>
            </w:r>
            <w:r w:rsidRPr="00C50C1C" w:rsidR="00D31CB4">
              <w:rPr>
                <w:color w:val="000000"/>
              </w:rPr>
              <w:t xml:space="preserve">, </w:t>
            </w:r>
            <w:r w:rsidRPr="00C50C1C" w:rsidR="00460796">
              <w:rPr>
                <w:color w:val="000000"/>
              </w:rPr>
              <w:t>8</w:t>
            </w:r>
            <w:r w:rsidRPr="00C50C1C" w:rsidR="00234626">
              <w:rPr>
                <w:color w:val="000000"/>
              </w:rPr>
              <w:t>,</w:t>
            </w:r>
            <w:r w:rsidRPr="00C50C1C" w:rsidR="00D31CB4">
              <w:rPr>
                <w:color w:val="000000"/>
              </w:rPr>
              <w:t xml:space="preserve"> 9]</w:t>
            </w:r>
          </w:p>
        </w:tc>
        <w:tc>
          <w:tcPr>
            <w:tcW w:w="1146" w:type="dxa"/>
          </w:tcPr>
          <w:p w:rsidRPr="00C50C1C" w:rsidR="00E90FD6" w:rsidP="000D148A" w:rsidRDefault="00E90FD6" w14:paraId="3AC72C96" w14:textId="01C7A7E1">
            <w:pPr>
              <w:spacing w:before="60" w:after="60"/>
              <w:jc w:val="right"/>
              <w:rPr>
                <w:color w:val="000000"/>
              </w:rPr>
            </w:pPr>
            <w:r w:rsidRPr="00C50C1C">
              <w:rPr>
                <w:color w:val="000000"/>
              </w:rPr>
              <w:t>$</w:t>
            </w:r>
            <w:r w:rsidRPr="00C50C1C" w:rsidR="007F6809">
              <w:rPr>
                <w:color w:val="000000"/>
              </w:rPr>
              <w:t>300.00</w:t>
            </w:r>
          </w:p>
          <w:p w:rsidRPr="00C50C1C" w:rsidR="008B7BB0" w:rsidP="000D148A" w:rsidRDefault="00537ED6" w14:paraId="2622F4BA" w14:textId="0708CB3D">
            <w:pPr>
              <w:spacing w:before="60" w:after="60"/>
              <w:jc w:val="right"/>
              <w:rPr>
                <w:color w:val="000000"/>
              </w:rPr>
            </w:pPr>
            <w:r w:rsidRPr="00C50C1C">
              <w:rPr>
                <w:color w:val="000000"/>
              </w:rPr>
              <w:t>[</w:t>
            </w:r>
            <w:r w:rsidRPr="00C50C1C" w:rsidR="00B35F6B">
              <w:rPr>
                <w:color w:val="000000"/>
              </w:rPr>
              <w:t>4</w:t>
            </w:r>
            <w:r w:rsidRPr="00C50C1C" w:rsidR="009D2C24">
              <w:rPr>
                <w:color w:val="000000"/>
              </w:rPr>
              <w:t>,10</w:t>
            </w:r>
            <w:r w:rsidRPr="00C50C1C">
              <w:rPr>
                <w:color w:val="000000"/>
              </w:rPr>
              <w:t>]</w:t>
            </w:r>
          </w:p>
        </w:tc>
        <w:tc>
          <w:tcPr>
            <w:tcW w:w="1336" w:type="dxa"/>
          </w:tcPr>
          <w:p w:rsidRPr="00C50C1C" w:rsidR="008B7BB0" w:rsidP="0060079A" w:rsidRDefault="0098491F" w14:paraId="26135325" w14:textId="1AB462A7">
            <w:pPr>
              <w:spacing w:before="60" w:after="60"/>
              <w:jc w:val="right"/>
              <w:rPr>
                <w:color w:val="000000"/>
              </w:rPr>
            </w:pPr>
            <w:r w:rsidRPr="00C50C1C">
              <w:rPr>
                <w:color w:val="000000"/>
              </w:rPr>
              <w:t>$</w:t>
            </w:r>
            <w:r w:rsidRPr="00C50C1C" w:rsidR="008D2ABD">
              <w:rPr>
                <w:color w:val="000000"/>
              </w:rPr>
              <w:t>7,182.00</w:t>
            </w:r>
          </w:p>
        </w:tc>
      </w:tr>
      <w:tr w:rsidRPr="00C50C1C" w:rsidR="008B7BB0" w:rsidTr="002E243D" w14:paraId="6A72678B" w14:textId="77777777">
        <w:trPr>
          <w:jc w:val="center"/>
        </w:trPr>
        <w:tc>
          <w:tcPr>
            <w:tcW w:w="1489" w:type="dxa"/>
          </w:tcPr>
          <w:p w:rsidRPr="00C50C1C" w:rsidR="008B7BB0" w:rsidP="008B7BB0" w:rsidRDefault="008B7BB0" w14:paraId="056E4D67" w14:textId="355BF7B8">
            <w:pPr>
              <w:spacing w:before="60" w:after="60"/>
              <w:rPr>
                <w:color w:val="000000"/>
              </w:rPr>
            </w:pPr>
            <w:r w:rsidRPr="00C50C1C">
              <w:rPr>
                <w:color w:val="000000"/>
              </w:rPr>
              <w:t>Steven Moss</w:t>
            </w:r>
          </w:p>
        </w:tc>
        <w:tc>
          <w:tcPr>
            <w:tcW w:w="821" w:type="dxa"/>
          </w:tcPr>
          <w:p w:rsidRPr="00C50C1C" w:rsidR="008B7BB0" w:rsidP="008B7BB0" w:rsidRDefault="008B7BB0" w14:paraId="739C263B" w14:textId="243B1D1F">
            <w:pPr>
              <w:spacing w:before="60" w:after="60"/>
              <w:jc w:val="center"/>
              <w:rPr>
                <w:color w:val="000000"/>
              </w:rPr>
            </w:pPr>
            <w:r w:rsidRPr="00C50C1C">
              <w:rPr>
                <w:color w:val="000000"/>
              </w:rPr>
              <w:t>2023</w:t>
            </w:r>
          </w:p>
        </w:tc>
        <w:tc>
          <w:tcPr>
            <w:tcW w:w="884" w:type="dxa"/>
            <w:gridSpan w:val="2"/>
          </w:tcPr>
          <w:p w:rsidRPr="00C50C1C" w:rsidR="008B7BB0" w:rsidP="008B7BB0" w:rsidRDefault="008B7BB0" w14:paraId="4873A004" w14:textId="0AD8E87C">
            <w:pPr>
              <w:spacing w:before="60" w:after="60"/>
              <w:jc w:val="center"/>
              <w:rPr>
                <w:color w:val="000000"/>
              </w:rPr>
            </w:pPr>
            <w:r w:rsidRPr="00C50C1C">
              <w:rPr>
                <w:color w:val="000000"/>
              </w:rPr>
              <w:t>37</w:t>
            </w:r>
          </w:p>
        </w:tc>
        <w:tc>
          <w:tcPr>
            <w:tcW w:w="930" w:type="dxa"/>
          </w:tcPr>
          <w:p w:rsidRPr="00C50C1C" w:rsidR="008B7BB0" w:rsidP="008B7BB0" w:rsidRDefault="00787D8D" w14:paraId="16CE9997" w14:textId="6DB7B240">
            <w:pPr>
              <w:spacing w:before="60" w:after="60"/>
              <w:jc w:val="right"/>
              <w:rPr>
                <w:color w:val="000000"/>
              </w:rPr>
            </w:pPr>
            <w:r w:rsidRPr="00C50C1C">
              <w:rPr>
                <w:color w:val="000000"/>
              </w:rPr>
              <w:t>$300</w:t>
            </w:r>
          </w:p>
        </w:tc>
        <w:tc>
          <w:tcPr>
            <w:tcW w:w="1721" w:type="dxa"/>
            <w:gridSpan w:val="2"/>
            <w:tcBorders>
              <w:right w:val="single" w:color="auto" w:sz="4" w:space="0"/>
            </w:tcBorders>
          </w:tcPr>
          <w:p w:rsidRPr="00C50C1C" w:rsidR="008B7BB0" w:rsidP="008B7BB0" w:rsidRDefault="00787D8D" w14:paraId="0EE6EB0F" w14:textId="68D0A1D0">
            <w:pPr>
              <w:pStyle w:val="Default"/>
            </w:pPr>
            <w:proofErr w:type="spellStart"/>
            <w:r w:rsidRPr="00C50C1C">
              <w:t>IComp</w:t>
            </w:r>
            <w:proofErr w:type="spellEnd"/>
            <w:r w:rsidRPr="00C50C1C" w:rsidR="008B7BB0">
              <w:t xml:space="preserve"> Hourly Rate Chart Effective 1/1/2021 for Expert with 20+ years of experience</w:t>
            </w:r>
          </w:p>
        </w:tc>
        <w:tc>
          <w:tcPr>
            <w:tcW w:w="1260" w:type="dxa"/>
            <w:gridSpan w:val="2"/>
            <w:tcBorders>
              <w:top w:val="single" w:color="auto" w:sz="4" w:space="0"/>
              <w:left w:val="single" w:color="auto" w:sz="4" w:space="0"/>
              <w:bottom w:val="single" w:color="auto" w:sz="4" w:space="0"/>
              <w:right w:val="single" w:color="auto" w:sz="24" w:space="0"/>
            </w:tcBorders>
          </w:tcPr>
          <w:p w:rsidRPr="00C50C1C" w:rsidR="008B7BB0" w:rsidP="008B7BB0" w:rsidRDefault="00787D8D" w14:paraId="4BD45093" w14:textId="3B265749">
            <w:pPr>
              <w:spacing w:before="60" w:after="60"/>
              <w:jc w:val="right"/>
              <w:rPr>
                <w:color w:val="000000"/>
              </w:rPr>
            </w:pPr>
            <w:r w:rsidRPr="00C50C1C">
              <w:rPr>
                <w:color w:val="000000"/>
              </w:rPr>
              <w:t>$11,100</w:t>
            </w:r>
          </w:p>
        </w:tc>
        <w:tc>
          <w:tcPr>
            <w:tcW w:w="1028" w:type="dxa"/>
            <w:tcBorders>
              <w:left w:val="single" w:color="auto" w:sz="4" w:space="0"/>
            </w:tcBorders>
          </w:tcPr>
          <w:p w:rsidRPr="00C50C1C" w:rsidR="008B7BB0" w:rsidP="0060079A" w:rsidRDefault="00D31CB4" w14:paraId="523ED735" w14:textId="78076984">
            <w:pPr>
              <w:spacing w:before="60" w:after="60"/>
              <w:jc w:val="center"/>
              <w:rPr>
                <w:color w:val="000000"/>
              </w:rPr>
            </w:pPr>
            <w:r w:rsidRPr="00C50C1C">
              <w:rPr>
                <w:color w:val="000000"/>
              </w:rPr>
              <w:t>31.63</w:t>
            </w:r>
          </w:p>
          <w:p w:rsidRPr="00C50C1C" w:rsidR="003E72F2" w:rsidP="0060079A" w:rsidRDefault="003E72F2" w14:paraId="2B240519" w14:textId="2655B995">
            <w:pPr>
              <w:spacing w:before="60" w:after="60"/>
              <w:jc w:val="center"/>
              <w:rPr>
                <w:color w:val="000000"/>
              </w:rPr>
            </w:pPr>
            <w:r w:rsidRPr="00C50C1C">
              <w:rPr>
                <w:color w:val="000000"/>
              </w:rPr>
              <w:t>[</w:t>
            </w:r>
            <w:r w:rsidRPr="00C50C1C" w:rsidR="00460796">
              <w:rPr>
                <w:color w:val="000000"/>
              </w:rPr>
              <w:t xml:space="preserve">8, </w:t>
            </w:r>
            <w:r w:rsidRPr="00C50C1C" w:rsidR="00D31CB4">
              <w:rPr>
                <w:color w:val="000000"/>
              </w:rPr>
              <w:t>9</w:t>
            </w:r>
            <w:r w:rsidRPr="00C50C1C">
              <w:rPr>
                <w:color w:val="000000"/>
              </w:rPr>
              <w:t>]</w:t>
            </w:r>
          </w:p>
        </w:tc>
        <w:tc>
          <w:tcPr>
            <w:tcW w:w="1146" w:type="dxa"/>
          </w:tcPr>
          <w:p w:rsidRPr="00C50C1C" w:rsidR="00E90FD6" w:rsidP="000D148A" w:rsidRDefault="00E90FD6" w14:paraId="4A8CF10C" w14:textId="327EE641">
            <w:pPr>
              <w:spacing w:before="60" w:after="60"/>
              <w:jc w:val="right"/>
              <w:rPr>
                <w:color w:val="000000"/>
              </w:rPr>
            </w:pPr>
            <w:r w:rsidRPr="00C50C1C">
              <w:rPr>
                <w:color w:val="000000"/>
              </w:rPr>
              <w:t>$</w:t>
            </w:r>
            <w:r w:rsidRPr="00C50C1C" w:rsidR="007F6809">
              <w:rPr>
                <w:color w:val="000000"/>
              </w:rPr>
              <w:t>300</w:t>
            </w:r>
            <w:r w:rsidRPr="00C50C1C" w:rsidR="007C62CC">
              <w:rPr>
                <w:color w:val="000000"/>
              </w:rPr>
              <w:t>.00</w:t>
            </w:r>
          </w:p>
          <w:p w:rsidRPr="00C50C1C" w:rsidR="008B7BB0" w:rsidP="000D148A" w:rsidRDefault="00537ED6" w14:paraId="1FE466ED" w14:textId="38BCC9C1">
            <w:pPr>
              <w:spacing w:before="60" w:after="60"/>
              <w:jc w:val="right"/>
              <w:rPr>
                <w:color w:val="000000"/>
              </w:rPr>
            </w:pPr>
            <w:r w:rsidRPr="00C50C1C">
              <w:rPr>
                <w:color w:val="000000"/>
              </w:rPr>
              <w:t>[</w:t>
            </w:r>
            <w:r w:rsidRPr="00C50C1C" w:rsidR="00B35F6B">
              <w:rPr>
                <w:color w:val="000000"/>
              </w:rPr>
              <w:t>4</w:t>
            </w:r>
            <w:r w:rsidRPr="00C50C1C" w:rsidR="009D2C24">
              <w:rPr>
                <w:color w:val="000000"/>
              </w:rPr>
              <w:t>,10</w:t>
            </w:r>
            <w:r w:rsidRPr="00C50C1C">
              <w:rPr>
                <w:color w:val="000000"/>
              </w:rPr>
              <w:t>]</w:t>
            </w:r>
          </w:p>
        </w:tc>
        <w:tc>
          <w:tcPr>
            <w:tcW w:w="1336" w:type="dxa"/>
          </w:tcPr>
          <w:p w:rsidRPr="00C50C1C" w:rsidR="008B7BB0" w:rsidP="0060079A" w:rsidRDefault="0098491F" w14:paraId="184D5995" w14:textId="36032535">
            <w:pPr>
              <w:spacing w:before="60" w:after="60"/>
              <w:jc w:val="right"/>
              <w:rPr>
                <w:color w:val="000000"/>
              </w:rPr>
            </w:pPr>
            <w:r w:rsidRPr="00C50C1C">
              <w:rPr>
                <w:color w:val="000000"/>
              </w:rPr>
              <w:t>$</w:t>
            </w:r>
            <w:r w:rsidRPr="00C50C1C" w:rsidR="008D2ABD">
              <w:rPr>
                <w:color w:val="000000"/>
              </w:rPr>
              <w:t>9,489.00</w:t>
            </w:r>
          </w:p>
        </w:tc>
      </w:tr>
      <w:tr w:rsidRPr="00C50C1C" w:rsidR="00837B77" w:rsidTr="002E243D" w14:paraId="2F94AA6B" w14:textId="77777777">
        <w:trPr>
          <w:jc w:val="center"/>
        </w:trPr>
        <w:tc>
          <w:tcPr>
            <w:tcW w:w="1489" w:type="dxa"/>
          </w:tcPr>
          <w:p w:rsidRPr="00C50C1C" w:rsidR="00837B77" w:rsidP="008B7BB0" w:rsidRDefault="00837B77" w14:paraId="4161C0C9" w14:textId="105FCD18">
            <w:pPr>
              <w:spacing w:before="60" w:after="60"/>
              <w:rPr>
                <w:color w:val="000000"/>
              </w:rPr>
            </w:pPr>
            <w:r w:rsidRPr="00C50C1C">
              <w:rPr>
                <w:color w:val="000000"/>
              </w:rPr>
              <w:t>Cole Jermyn</w:t>
            </w:r>
          </w:p>
        </w:tc>
        <w:tc>
          <w:tcPr>
            <w:tcW w:w="821" w:type="dxa"/>
          </w:tcPr>
          <w:p w:rsidRPr="00C50C1C" w:rsidR="00837B77" w:rsidP="008B7BB0" w:rsidRDefault="00837B77" w14:paraId="5E2DA407" w14:textId="23A5B359">
            <w:pPr>
              <w:spacing w:before="60" w:after="60"/>
              <w:jc w:val="center"/>
              <w:rPr>
                <w:color w:val="000000"/>
              </w:rPr>
            </w:pPr>
            <w:r w:rsidRPr="00C50C1C">
              <w:rPr>
                <w:color w:val="000000"/>
              </w:rPr>
              <w:t>2021</w:t>
            </w:r>
          </w:p>
        </w:tc>
        <w:tc>
          <w:tcPr>
            <w:tcW w:w="884" w:type="dxa"/>
            <w:gridSpan w:val="2"/>
          </w:tcPr>
          <w:p w:rsidRPr="00C50C1C" w:rsidR="00837B77" w:rsidP="008B7BB0" w:rsidRDefault="00837B77" w14:paraId="17FA858D" w14:textId="26DE2976">
            <w:pPr>
              <w:spacing w:before="60" w:after="60"/>
              <w:jc w:val="center"/>
              <w:rPr>
                <w:color w:val="000000"/>
              </w:rPr>
            </w:pPr>
            <w:r w:rsidRPr="00C50C1C">
              <w:rPr>
                <w:color w:val="000000"/>
              </w:rPr>
              <w:t>2</w:t>
            </w:r>
          </w:p>
        </w:tc>
        <w:tc>
          <w:tcPr>
            <w:tcW w:w="930" w:type="dxa"/>
          </w:tcPr>
          <w:p w:rsidRPr="00C50C1C" w:rsidR="00837B77" w:rsidP="008B7BB0" w:rsidRDefault="00837B77" w14:paraId="00E22002" w14:textId="41C9EEEA">
            <w:pPr>
              <w:spacing w:before="60" w:after="60"/>
              <w:jc w:val="right"/>
              <w:rPr>
                <w:color w:val="000000"/>
              </w:rPr>
            </w:pPr>
            <w:r w:rsidRPr="00C50C1C">
              <w:rPr>
                <w:color w:val="000000"/>
              </w:rPr>
              <w:t>$1</w:t>
            </w:r>
            <w:r w:rsidRPr="00C50C1C" w:rsidR="002A2267">
              <w:rPr>
                <w:color w:val="000000"/>
              </w:rPr>
              <w:t>0</w:t>
            </w:r>
            <w:r w:rsidRPr="00C50C1C">
              <w:rPr>
                <w:color w:val="000000"/>
              </w:rPr>
              <w:t>0</w:t>
            </w:r>
          </w:p>
        </w:tc>
        <w:tc>
          <w:tcPr>
            <w:tcW w:w="1721" w:type="dxa"/>
            <w:gridSpan w:val="2"/>
            <w:tcBorders>
              <w:right w:val="single" w:color="auto" w:sz="4" w:space="0"/>
            </w:tcBorders>
          </w:tcPr>
          <w:p w:rsidRPr="00C50C1C" w:rsidR="00837B77" w:rsidP="008B7BB0" w:rsidRDefault="00837B77" w14:paraId="7DF29F86" w14:textId="639CA2EE">
            <w:pPr>
              <w:pStyle w:val="Default"/>
            </w:pPr>
            <w:proofErr w:type="spellStart"/>
            <w:r w:rsidRPr="00C50C1C">
              <w:t>IComp</w:t>
            </w:r>
            <w:proofErr w:type="spellEnd"/>
            <w:r w:rsidRPr="00C50C1C">
              <w:t xml:space="preserve"> Hourly Rate Chart Effective 1/1/2021 for Legal Fellow with 1 year of experience</w:t>
            </w:r>
          </w:p>
        </w:tc>
        <w:tc>
          <w:tcPr>
            <w:tcW w:w="1260" w:type="dxa"/>
            <w:gridSpan w:val="2"/>
            <w:tcBorders>
              <w:top w:val="single" w:color="auto" w:sz="4" w:space="0"/>
              <w:left w:val="single" w:color="auto" w:sz="4" w:space="0"/>
              <w:bottom w:val="single" w:color="auto" w:sz="4" w:space="0"/>
              <w:right w:val="single" w:color="auto" w:sz="24" w:space="0"/>
            </w:tcBorders>
          </w:tcPr>
          <w:p w:rsidRPr="00C50C1C" w:rsidR="00837B77" w:rsidP="008B7BB0" w:rsidRDefault="00837B77" w14:paraId="5FDEDDBA" w14:textId="63AAB7FF">
            <w:pPr>
              <w:spacing w:before="60" w:after="60"/>
              <w:jc w:val="right"/>
              <w:rPr>
                <w:color w:val="000000"/>
              </w:rPr>
            </w:pPr>
            <w:r w:rsidRPr="00C50C1C">
              <w:rPr>
                <w:color w:val="000000"/>
              </w:rPr>
              <w:t>$2</w:t>
            </w:r>
            <w:r w:rsidRPr="00C50C1C" w:rsidR="002A2267">
              <w:rPr>
                <w:color w:val="000000"/>
              </w:rPr>
              <w:t>0</w:t>
            </w:r>
            <w:r w:rsidRPr="00C50C1C">
              <w:rPr>
                <w:color w:val="000000"/>
              </w:rPr>
              <w:t>0</w:t>
            </w:r>
          </w:p>
        </w:tc>
        <w:tc>
          <w:tcPr>
            <w:tcW w:w="1028" w:type="dxa"/>
            <w:tcBorders>
              <w:left w:val="single" w:color="auto" w:sz="4" w:space="0"/>
            </w:tcBorders>
          </w:tcPr>
          <w:p w:rsidRPr="00C50C1C" w:rsidR="00837B77" w:rsidP="0060079A" w:rsidRDefault="00D31CB4" w14:paraId="03ED0C4E" w14:textId="4141FE10">
            <w:pPr>
              <w:spacing w:before="60" w:after="60"/>
              <w:jc w:val="center"/>
              <w:rPr>
                <w:color w:val="000000"/>
              </w:rPr>
            </w:pPr>
            <w:r w:rsidRPr="00C50C1C">
              <w:rPr>
                <w:color w:val="000000"/>
              </w:rPr>
              <w:t>1.80 [9]</w:t>
            </w:r>
          </w:p>
        </w:tc>
        <w:tc>
          <w:tcPr>
            <w:tcW w:w="1146" w:type="dxa"/>
          </w:tcPr>
          <w:p w:rsidRPr="00C50C1C" w:rsidR="00936976" w:rsidP="000D148A" w:rsidRDefault="00936976" w14:paraId="16BCD231" w14:textId="5A9B56EA">
            <w:pPr>
              <w:spacing w:before="60" w:after="60"/>
              <w:jc w:val="right"/>
              <w:rPr>
                <w:color w:val="000000"/>
              </w:rPr>
            </w:pPr>
            <w:r w:rsidRPr="00C50C1C">
              <w:rPr>
                <w:color w:val="000000"/>
              </w:rPr>
              <w:t>$100</w:t>
            </w:r>
            <w:r w:rsidRPr="00C50C1C" w:rsidR="007C62CC">
              <w:rPr>
                <w:color w:val="000000"/>
              </w:rPr>
              <w:t>.00</w:t>
            </w:r>
          </w:p>
          <w:p w:rsidRPr="00C50C1C" w:rsidR="00837B77" w:rsidP="000D148A" w:rsidRDefault="00537ED6" w14:paraId="37FDB6BF" w14:textId="423F701D">
            <w:pPr>
              <w:spacing w:before="60" w:after="60"/>
              <w:jc w:val="right"/>
              <w:rPr>
                <w:color w:val="000000"/>
              </w:rPr>
            </w:pPr>
            <w:r w:rsidRPr="00C50C1C">
              <w:rPr>
                <w:color w:val="000000"/>
              </w:rPr>
              <w:t>[</w:t>
            </w:r>
            <w:r w:rsidRPr="00C50C1C" w:rsidR="00FE73AA">
              <w:rPr>
                <w:color w:val="000000"/>
              </w:rPr>
              <w:t>5</w:t>
            </w:r>
            <w:r w:rsidRPr="00C50C1C">
              <w:rPr>
                <w:color w:val="000000"/>
              </w:rPr>
              <w:t>]</w:t>
            </w:r>
          </w:p>
        </w:tc>
        <w:tc>
          <w:tcPr>
            <w:tcW w:w="1336" w:type="dxa"/>
          </w:tcPr>
          <w:p w:rsidRPr="00C50C1C" w:rsidR="00837B77" w:rsidP="0060079A" w:rsidRDefault="007C62CC" w14:paraId="1B588FE3" w14:textId="789C223D">
            <w:pPr>
              <w:spacing w:before="60" w:after="60"/>
              <w:jc w:val="right"/>
              <w:rPr>
                <w:color w:val="000000"/>
              </w:rPr>
            </w:pPr>
            <w:r w:rsidRPr="00C50C1C">
              <w:rPr>
                <w:color w:val="000000"/>
              </w:rPr>
              <w:t>$</w:t>
            </w:r>
            <w:r w:rsidRPr="00C50C1C" w:rsidR="008D2ABD">
              <w:rPr>
                <w:color w:val="000000"/>
              </w:rPr>
              <w:t>180.00</w:t>
            </w:r>
          </w:p>
        </w:tc>
      </w:tr>
      <w:tr w:rsidRPr="00C50C1C" w:rsidR="00837B77" w:rsidTr="002E243D" w14:paraId="5DC7D78C" w14:textId="77777777">
        <w:trPr>
          <w:jc w:val="center"/>
        </w:trPr>
        <w:tc>
          <w:tcPr>
            <w:tcW w:w="1489" w:type="dxa"/>
          </w:tcPr>
          <w:p w:rsidRPr="00C50C1C" w:rsidR="00837B77" w:rsidP="008B7BB0" w:rsidRDefault="00837B77" w14:paraId="5EAEF708" w14:textId="3473DFB8">
            <w:pPr>
              <w:spacing w:before="60" w:after="60"/>
              <w:rPr>
                <w:color w:val="000000"/>
              </w:rPr>
            </w:pPr>
            <w:r w:rsidRPr="00C50C1C">
              <w:rPr>
                <w:color w:val="000000"/>
              </w:rPr>
              <w:t>Cole Jermyn</w:t>
            </w:r>
          </w:p>
        </w:tc>
        <w:tc>
          <w:tcPr>
            <w:tcW w:w="821" w:type="dxa"/>
          </w:tcPr>
          <w:p w:rsidRPr="00C50C1C" w:rsidR="00837B77" w:rsidP="008B7BB0" w:rsidRDefault="00837B77" w14:paraId="7947CE30" w14:textId="0B59EADF">
            <w:pPr>
              <w:spacing w:before="60" w:after="60"/>
              <w:jc w:val="center"/>
              <w:rPr>
                <w:color w:val="000000"/>
              </w:rPr>
            </w:pPr>
            <w:r w:rsidRPr="00C50C1C">
              <w:rPr>
                <w:color w:val="000000"/>
              </w:rPr>
              <w:t>2022</w:t>
            </w:r>
          </w:p>
        </w:tc>
        <w:tc>
          <w:tcPr>
            <w:tcW w:w="884" w:type="dxa"/>
            <w:gridSpan w:val="2"/>
          </w:tcPr>
          <w:p w:rsidRPr="00C50C1C" w:rsidR="00837B77" w:rsidP="008B7BB0" w:rsidRDefault="00553A83" w14:paraId="52BDFC66" w14:textId="18B54E01">
            <w:pPr>
              <w:spacing w:before="60" w:after="60"/>
              <w:jc w:val="center"/>
              <w:rPr>
                <w:color w:val="000000"/>
              </w:rPr>
            </w:pPr>
            <w:r w:rsidRPr="00C50C1C">
              <w:rPr>
                <w:color w:val="000000"/>
              </w:rPr>
              <w:t>4</w:t>
            </w:r>
          </w:p>
        </w:tc>
        <w:tc>
          <w:tcPr>
            <w:tcW w:w="930" w:type="dxa"/>
          </w:tcPr>
          <w:p w:rsidRPr="00C50C1C" w:rsidR="00837B77" w:rsidP="008B7BB0" w:rsidRDefault="00837B77" w14:paraId="5D88C3B9" w14:textId="106B3523">
            <w:pPr>
              <w:spacing w:before="60" w:after="60"/>
              <w:jc w:val="right"/>
              <w:rPr>
                <w:color w:val="000000"/>
              </w:rPr>
            </w:pPr>
            <w:r w:rsidRPr="00C50C1C">
              <w:rPr>
                <w:color w:val="000000"/>
              </w:rPr>
              <w:t>$115</w:t>
            </w:r>
          </w:p>
        </w:tc>
        <w:tc>
          <w:tcPr>
            <w:tcW w:w="1721" w:type="dxa"/>
            <w:gridSpan w:val="2"/>
            <w:tcBorders>
              <w:right w:val="single" w:color="auto" w:sz="4" w:space="0"/>
            </w:tcBorders>
          </w:tcPr>
          <w:p w:rsidRPr="00C50C1C" w:rsidR="00837B77" w:rsidP="008B7BB0" w:rsidRDefault="00837B77" w14:paraId="62C974E9" w14:textId="595BB30D">
            <w:pPr>
              <w:pStyle w:val="Default"/>
            </w:pPr>
            <w:proofErr w:type="spellStart"/>
            <w:r w:rsidRPr="00C50C1C">
              <w:t>IComp</w:t>
            </w:r>
            <w:proofErr w:type="spellEnd"/>
            <w:r w:rsidRPr="00C50C1C">
              <w:t xml:space="preserve"> Hourly Rate Chart Effective 1/1/2021 for Legal Fellow with 1 year of experience and an Attorney with under 6 months experience</w:t>
            </w:r>
          </w:p>
        </w:tc>
        <w:tc>
          <w:tcPr>
            <w:tcW w:w="1260" w:type="dxa"/>
            <w:gridSpan w:val="2"/>
            <w:tcBorders>
              <w:top w:val="single" w:color="auto" w:sz="4" w:space="0"/>
              <w:left w:val="single" w:color="auto" w:sz="4" w:space="0"/>
              <w:bottom w:val="single" w:color="auto" w:sz="4" w:space="0"/>
              <w:right w:val="single" w:color="auto" w:sz="24" w:space="0"/>
            </w:tcBorders>
          </w:tcPr>
          <w:p w:rsidRPr="00C50C1C" w:rsidR="00837B77" w:rsidP="008B7BB0" w:rsidRDefault="0056343D" w14:paraId="6596ED47" w14:textId="1C8C223E">
            <w:pPr>
              <w:spacing w:before="60" w:after="60"/>
              <w:jc w:val="right"/>
              <w:rPr>
                <w:color w:val="000000"/>
              </w:rPr>
            </w:pPr>
            <w:r w:rsidRPr="00C50C1C">
              <w:rPr>
                <w:color w:val="000000"/>
              </w:rPr>
              <w:t>$</w:t>
            </w:r>
            <w:r w:rsidRPr="00C50C1C" w:rsidR="00553A83">
              <w:rPr>
                <w:color w:val="000000"/>
              </w:rPr>
              <w:t>460</w:t>
            </w:r>
          </w:p>
        </w:tc>
        <w:tc>
          <w:tcPr>
            <w:tcW w:w="1028" w:type="dxa"/>
            <w:tcBorders>
              <w:left w:val="single" w:color="auto" w:sz="4" w:space="0"/>
            </w:tcBorders>
          </w:tcPr>
          <w:p w:rsidRPr="00C50C1C" w:rsidR="00837B77" w:rsidP="0060079A" w:rsidRDefault="00D31CB4" w14:paraId="6A19A671" w14:textId="7F2BF6E1">
            <w:pPr>
              <w:spacing w:before="60" w:after="60"/>
              <w:jc w:val="center"/>
              <w:rPr>
                <w:color w:val="000000"/>
              </w:rPr>
            </w:pPr>
            <w:r w:rsidRPr="00C50C1C">
              <w:rPr>
                <w:color w:val="000000"/>
              </w:rPr>
              <w:t>3.60 [9]</w:t>
            </w:r>
          </w:p>
        </w:tc>
        <w:tc>
          <w:tcPr>
            <w:tcW w:w="1146" w:type="dxa"/>
          </w:tcPr>
          <w:p w:rsidRPr="00C50C1C" w:rsidR="00936976" w:rsidP="000D148A" w:rsidRDefault="00936976" w14:paraId="1E910243" w14:textId="5E76A5B1">
            <w:pPr>
              <w:spacing w:before="60" w:after="60"/>
              <w:jc w:val="right"/>
              <w:rPr>
                <w:color w:val="000000"/>
              </w:rPr>
            </w:pPr>
            <w:r w:rsidRPr="00C50C1C">
              <w:rPr>
                <w:color w:val="000000"/>
              </w:rPr>
              <w:t>$115</w:t>
            </w:r>
            <w:r w:rsidRPr="00C50C1C" w:rsidR="007C62CC">
              <w:rPr>
                <w:color w:val="000000"/>
              </w:rPr>
              <w:t>.00</w:t>
            </w:r>
          </w:p>
          <w:p w:rsidRPr="00C50C1C" w:rsidR="00837B77" w:rsidP="000D148A" w:rsidRDefault="00537ED6" w14:paraId="75131B3C" w14:textId="476F9417">
            <w:pPr>
              <w:spacing w:before="60" w:after="60"/>
              <w:jc w:val="right"/>
              <w:rPr>
                <w:color w:val="000000"/>
              </w:rPr>
            </w:pPr>
            <w:r w:rsidRPr="00C50C1C">
              <w:rPr>
                <w:color w:val="000000"/>
              </w:rPr>
              <w:t>[</w:t>
            </w:r>
            <w:r w:rsidRPr="00C50C1C" w:rsidR="00FE73AA">
              <w:rPr>
                <w:color w:val="000000"/>
              </w:rPr>
              <w:t>5</w:t>
            </w:r>
            <w:r w:rsidRPr="00C50C1C">
              <w:rPr>
                <w:color w:val="000000"/>
              </w:rPr>
              <w:t>]</w:t>
            </w:r>
          </w:p>
        </w:tc>
        <w:tc>
          <w:tcPr>
            <w:tcW w:w="1336" w:type="dxa"/>
          </w:tcPr>
          <w:p w:rsidRPr="00C50C1C" w:rsidR="00837B77" w:rsidP="0060079A" w:rsidRDefault="00F361A0" w14:paraId="7908B2FF" w14:textId="04CBB648">
            <w:pPr>
              <w:spacing w:before="60" w:after="60"/>
              <w:jc w:val="right"/>
              <w:rPr>
                <w:color w:val="000000"/>
              </w:rPr>
            </w:pPr>
            <w:r w:rsidRPr="00C50C1C">
              <w:rPr>
                <w:color w:val="000000"/>
              </w:rPr>
              <w:t>$</w:t>
            </w:r>
            <w:r w:rsidRPr="00C50C1C" w:rsidR="008D2ABD">
              <w:rPr>
                <w:color w:val="000000"/>
              </w:rPr>
              <w:t>414.00</w:t>
            </w:r>
          </w:p>
        </w:tc>
      </w:tr>
      <w:tr w:rsidRPr="00C50C1C" w:rsidR="00837B77" w:rsidTr="002E243D" w14:paraId="1950A154" w14:textId="77777777">
        <w:trPr>
          <w:jc w:val="center"/>
        </w:trPr>
        <w:tc>
          <w:tcPr>
            <w:tcW w:w="1489" w:type="dxa"/>
          </w:tcPr>
          <w:p w:rsidRPr="00C50C1C" w:rsidR="00837B77" w:rsidP="008B7BB0" w:rsidRDefault="00837B77" w14:paraId="6981A2C5" w14:textId="368F7221">
            <w:pPr>
              <w:spacing w:before="60" w:after="60"/>
              <w:rPr>
                <w:color w:val="000000"/>
              </w:rPr>
            </w:pPr>
            <w:r w:rsidRPr="00C50C1C">
              <w:rPr>
                <w:color w:val="000000"/>
              </w:rPr>
              <w:t>Cole Jermyn</w:t>
            </w:r>
          </w:p>
        </w:tc>
        <w:tc>
          <w:tcPr>
            <w:tcW w:w="821" w:type="dxa"/>
          </w:tcPr>
          <w:p w:rsidRPr="00C50C1C" w:rsidR="00837B77" w:rsidP="008B7BB0" w:rsidRDefault="00837B77" w14:paraId="2D4E50B6" w14:textId="2F41106E">
            <w:pPr>
              <w:spacing w:before="60" w:after="60"/>
              <w:jc w:val="center"/>
              <w:rPr>
                <w:color w:val="000000"/>
              </w:rPr>
            </w:pPr>
            <w:r w:rsidRPr="00C50C1C">
              <w:rPr>
                <w:color w:val="000000"/>
              </w:rPr>
              <w:t>2023</w:t>
            </w:r>
          </w:p>
        </w:tc>
        <w:tc>
          <w:tcPr>
            <w:tcW w:w="884" w:type="dxa"/>
            <w:gridSpan w:val="2"/>
          </w:tcPr>
          <w:p w:rsidRPr="00C50C1C" w:rsidR="00837B77" w:rsidP="008B7BB0" w:rsidRDefault="00837B77" w14:paraId="307B143C" w14:textId="4699AF57">
            <w:pPr>
              <w:spacing w:before="60" w:after="60"/>
              <w:jc w:val="center"/>
              <w:rPr>
                <w:color w:val="000000"/>
              </w:rPr>
            </w:pPr>
            <w:r w:rsidRPr="00C50C1C">
              <w:rPr>
                <w:color w:val="000000"/>
              </w:rPr>
              <w:t>2</w:t>
            </w:r>
          </w:p>
        </w:tc>
        <w:tc>
          <w:tcPr>
            <w:tcW w:w="930" w:type="dxa"/>
          </w:tcPr>
          <w:p w:rsidRPr="00C50C1C" w:rsidR="00837B77" w:rsidP="008B7BB0" w:rsidRDefault="00837B77" w14:paraId="7CC40B86" w14:textId="6ABCA28C">
            <w:pPr>
              <w:spacing w:before="60" w:after="60"/>
              <w:jc w:val="right"/>
              <w:rPr>
                <w:color w:val="000000"/>
              </w:rPr>
            </w:pPr>
            <w:r w:rsidRPr="00C50C1C">
              <w:rPr>
                <w:color w:val="000000"/>
              </w:rPr>
              <w:t>$175</w:t>
            </w:r>
          </w:p>
        </w:tc>
        <w:tc>
          <w:tcPr>
            <w:tcW w:w="1721" w:type="dxa"/>
            <w:gridSpan w:val="2"/>
            <w:tcBorders>
              <w:right w:val="single" w:color="auto" w:sz="4" w:space="0"/>
            </w:tcBorders>
          </w:tcPr>
          <w:p w:rsidRPr="00C50C1C" w:rsidR="00837B77" w:rsidP="008B7BB0" w:rsidRDefault="00837B77" w14:paraId="07FB09B2" w14:textId="785C5E81">
            <w:pPr>
              <w:pStyle w:val="Default"/>
            </w:pPr>
            <w:proofErr w:type="spellStart"/>
            <w:r w:rsidRPr="00C50C1C">
              <w:t>IComp</w:t>
            </w:r>
            <w:proofErr w:type="spellEnd"/>
            <w:r w:rsidRPr="00C50C1C">
              <w:t xml:space="preserve"> Hourly Rate Chart </w:t>
            </w:r>
            <w:r w:rsidRPr="00C50C1C">
              <w:lastRenderedPageBreak/>
              <w:t>Effective 1/1/2021 for an Attorney with 1 year of experience</w:t>
            </w:r>
          </w:p>
        </w:tc>
        <w:tc>
          <w:tcPr>
            <w:tcW w:w="1260" w:type="dxa"/>
            <w:gridSpan w:val="2"/>
            <w:tcBorders>
              <w:top w:val="single" w:color="auto" w:sz="4" w:space="0"/>
              <w:left w:val="single" w:color="auto" w:sz="4" w:space="0"/>
              <w:bottom w:val="single" w:color="auto" w:sz="4" w:space="0"/>
              <w:right w:val="single" w:color="auto" w:sz="24" w:space="0"/>
            </w:tcBorders>
          </w:tcPr>
          <w:p w:rsidRPr="00C50C1C" w:rsidR="00837B77" w:rsidP="008B7BB0" w:rsidRDefault="00837B77" w14:paraId="44AFA870" w14:textId="6365C54C">
            <w:pPr>
              <w:spacing w:before="60" w:after="60"/>
              <w:jc w:val="right"/>
              <w:rPr>
                <w:color w:val="000000"/>
              </w:rPr>
            </w:pPr>
            <w:r w:rsidRPr="00C50C1C">
              <w:rPr>
                <w:color w:val="000000"/>
              </w:rPr>
              <w:lastRenderedPageBreak/>
              <w:t>$350</w:t>
            </w:r>
          </w:p>
        </w:tc>
        <w:tc>
          <w:tcPr>
            <w:tcW w:w="1028" w:type="dxa"/>
            <w:tcBorders>
              <w:left w:val="single" w:color="auto" w:sz="4" w:space="0"/>
            </w:tcBorders>
          </w:tcPr>
          <w:p w:rsidRPr="00C50C1C" w:rsidR="00837B77" w:rsidP="0060079A" w:rsidRDefault="00D31CB4" w14:paraId="21DDA210" w14:textId="568B43EB">
            <w:pPr>
              <w:spacing w:before="60" w:after="60"/>
              <w:jc w:val="center"/>
              <w:rPr>
                <w:color w:val="000000"/>
              </w:rPr>
            </w:pPr>
            <w:r w:rsidRPr="00C50C1C">
              <w:rPr>
                <w:color w:val="000000"/>
              </w:rPr>
              <w:t>1.80 [9]</w:t>
            </w:r>
          </w:p>
        </w:tc>
        <w:tc>
          <w:tcPr>
            <w:tcW w:w="1146" w:type="dxa"/>
          </w:tcPr>
          <w:p w:rsidRPr="00C50C1C" w:rsidR="00AA5C02" w:rsidP="000D148A" w:rsidRDefault="00AA5C02" w14:paraId="054CAE3C" w14:textId="12611F13">
            <w:pPr>
              <w:spacing w:before="60" w:after="60"/>
              <w:jc w:val="right"/>
              <w:rPr>
                <w:color w:val="000000"/>
              </w:rPr>
            </w:pPr>
            <w:r w:rsidRPr="00C50C1C">
              <w:rPr>
                <w:color w:val="000000"/>
              </w:rPr>
              <w:t>$</w:t>
            </w:r>
            <w:r w:rsidRPr="00C50C1C" w:rsidR="00C85A6D">
              <w:rPr>
                <w:color w:val="000000"/>
              </w:rPr>
              <w:t>315.00</w:t>
            </w:r>
          </w:p>
          <w:p w:rsidRPr="00C50C1C" w:rsidR="00837B77" w:rsidP="000D148A" w:rsidRDefault="00537ED6" w14:paraId="4E9EFD54" w14:textId="69BCA682">
            <w:pPr>
              <w:spacing w:before="60" w:after="60"/>
              <w:jc w:val="right"/>
              <w:rPr>
                <w:color w:val="000000"/>
              </w:rPr>
            </w:pPr>
            <w:r w:rsidRPr="00C50C1C">
              <w:rPr>
                <w:color w:val="000000"/>
              </w:rPr>
              <w:lastRenderedPageBreak/>
              <w:t>[</w:t>
            </w:r>
            <w:r w:rsidRPr="00C50C1C" w:rsidR="00FE73AA">
              <w:rPr>
                <w:color w:val="000000"/>
              </w:rPr>
              <w:t>5</w:t>
            </w:r>
            <w:r w:rsidRPr="00C50C1C">
              <w:rPr>
                <w:color w:val="000000"/>
              </w:rPr>
              <w:t>]</w:t>
            </w:r>
          </w:p>
        </w:tc>
        <w:tc>
          <w:tcPr>
            <w:tcW w:w="1336" w:type="dxa"/>
          </w:tcPr>
          <w:p w:rsidRPr="00C50C1C" w:rsidR="00837B77" w:rsidP="0060079A" w:rsidRDefault="00F361A0" w14:paraId="44695E3A" w14:textId="180E1D81">
            <w:pPr>
              <w:spacing w:before="60" w:after="60"/>
              <w:jc w:val="right"/>
              <w:rPr>
                <w:color w:val="000000"/>
              </w:rPr>
            </w:pPr>
            <w:r w:rsidRPr="00C50C1C">
              <w:rPr>
                <w:color w:val="000000"/>
              </w:rPr>
              <w:lastRenderedPageBreak/>
              <w:t>$</w:t>
            </w:r>
            <w:r w:rsidRPr="00C50C1C" w:rsidR="00C85A6D">
              <w:rPr>
                <w:color w:val="000000"/>
              </w:rPr>
              <w:t>567.00</w:t>
            </w:r>
          </w:p>
        </w:tc>
      </w:tr>
      <w:tr w:rsidRPr="00C50C1C" w:rsidR="008B7BB0" w:rsidTr="002E243D" w14:paraId="1B237C11" w14:textId="77777777">
        <w:trPr>
          <w:jc w:val="center"/>
        </w:trPr>
        <w:tc>
          <w:tcPr>
            <w:tcW w:w="7105" w:type="dxa"/>
            <w:gridSpan w:val="9"/>
            <w:tcBorders>
              <w:bottom w:val="single" w:color="auto" w:sz="4" w:space="0"/>
              <w:right w:val="single" w:color="auto" w:sz="24" w:space="0"/>
            </w:tcBorders>
          </w:tcPr>
          <w:p w:rsidRPr="00C50C1C" w:rsidR="008B7BB0" w:rsidP="008B7BB0" w:rsidRDefault="00787D8D" w14:paraId="2ECB6744" w14:textId="22DAEF2C">
            <w:pPr>
              <w:tabs>
                <w:tab w:val="left" w:pos="957"/>
              </w:tabs>
              <w:spacing w:before="60" w:after="60"/>
              <w:ind w:right="162"/>
              <w:jc w:val="right"/>
              <w:rPr>
                <w:b/>
                <w:i/>
                <w:color w:val="000000"/>
              </w:rPr>
            </w:pPr>
            <w:r w:rsidRPr="00C50C1C">
              <w:rPr>
                <w:b/>
                <w:i/>
                <w:color w:val="000000"/>
              </w:rPr>
              <w:t>Subtotal: $</w:t>
            </w:r>
            <w:r w:rsidRPr="00C50C1C" w:rsidR="00023B21">
              <w:rPr>
                <w:b/>
                <w:i/>
                <w:color w:val="000000"/>
              </w:rPr>
              <w:t>88,444.75</w:t>
            </w:r>
          </w:p>
        </w:tc>
        <w:tc>
          <w:tcPr>
            <w:tcW w:w="3510" w:type="dxa"/>
            <w:gridSpan w:val="3"/>
            <w:tcBorders>
              <w:left w:val="single" w:color="auto" w:sz="24" w:space="0"/>
              <w:bottom w:val="single" w:color="auto" w:sz="4" w:space="0"/>
            </w:tcBorders>
            <w:vAlign w:val="bottom"/>
          </w:tcPr>
          <w:p w:rsidRPr="00C50C1C" w:rsidR="008B7BB0" w:rsidP="008B7BB0" w:rsidRDefault="008B7BB0" w14:paraId="4C4556E5" w14:textId="287AE498">
            <w:pPr>
              <w:tabs>
                <w:tab w:val="left" w:pos="957"/>
              </w:tabs>
              <w:spacing w:before="60" w:after="60"/>
              <w:ind w:right="162"/>
              <w:jc w:val="right"/>
              <w:rPr>
                <w:color w:val="000000"/>
              </w:rPr>
            </w:pPr>
            <w:r w:rsidRPr="00C50C1C">
              <w:rPr>
                <w:b/>
                <w:i/>
                <w:color w:val="000000"/>
              </w:rPr>
              <w:t xml:space="preserve">Subtotal: </w:t>
            </w:r>
            <w:r w:rsidRPr="00C50C1C">
              <w:rPr>
                <w:b/>
                <w:color w:val="000000"/>
              </w:rPr>
              <w:t>$</w:t>
            </w:r>
            <w:r w:rsidRPr="00C50C1C" w:rsidR="00E50EE0">
              <w:rPr>
                <w:b/>
                <w:color w:val="000000"/>
              </w:rPr>
              <w:t>73,075.30</w:t>
            </w:r>
          </w:p>
        </w:tc>
      </w:tr>
      <w:tr w:rsidRPr="00C50C1C" w:rsidR="008B7BB0" w:rsidTr="00C75703" w14:paraId="4F8FAF05" w14:textId="77777777">
        <w:trPr>
          <w:jc w:val="center"/>
        </w:trPr>
        <w:tc>
          <w:tcPr>
            <w:tcW w:w="10615" w:type="dxa"/>
            <w:gridSpan w:val="12"/>
            <w:tcBorders>
              <w:top w:val="single" w:color="auto" w:sz="4" w:space="0"/>
              <w:left w:val="single" w:color="auto" w:sz="4" w:space="0"/>
              <w:bottom w:val="single" w:color="auto" w:sz="4" w:space="0"/>
              <w:right w:val="single" w:color="auto" w:sz="4" w:space="0"/>
            </w:tcBorders>
            <w:shd w:val="clear" w:color="auto" w:fill="E6E6E6"/>
          </w:tcPr>
          <w:p w:rsidRPr="00C50C1C" w:rsidR="008B7BB0" w:rsidP="008B7BB0" w:rsidRDefault="008B7BB0" w14:paraId="41FE304C" w14:textId="1B1FECF8">
            <w:pPr>
              <w:keepNext/>
              <w:spacing w:before="60" w:after="60"/>
              <w:jc w:val="center"/>
              <w:rPr>
                <w:color w:val="000000"/>
              </w:rPr>
            </w:pPr>
            <w:r w:rsidRPr="00C50C1C">
              <w:rPr>
                <w:b/>
                <w:color w:val="000000"/>
              </w:rPr>
              <w:t>INTERVENOR COMPENSATION CLAIM PREPARATION</w:t>
            </w:r>
            <w:r w:rsidRPr="00C50C1C">
              <w:rPr>
                <w:b/>
                <w:smallCaps/>
                <w:color w:val="000000"/>
              </w:rPr>
              <w:t>**</w:t>
            </w:r>
          </w:p>
        </w:tc>
      </w:tr>
      <w:tr w:rsidRPr="00C50C1C" w:rsidR="008B7BB0" w:rsidTr="002E243D" w14:paraId="48B3E535" w14:textId="77777777">
        <w:trPr>
          <w:jc w:val="center"/>
        </w:trPr>
        <w:tc>
          <w:tcPr>
            <w:tcW w:w="1489" w:type="dxa"/>
            <w:tcBorders>
              <w:top w:val="single" w:color="auto" w:sz="4" w:space="0"/>
              <w:bottom w:val="single" w:color="auto" w:sz="4" w:space="0"/>
            </w:tcBorders>
            <w:vAlign w:val="bottom"/>
          </w:tcPr>
          <w:p w:rsidRPr="00C50C1C" w:rsidR="008B7BB0" w:rsidP="008B7BB0" w:rsidRDefault="008B7BB0" w14:paraId="563A43BB" w14:textId="77777777">
            <w:pPr>
              <w:keepNext/>
              <w:spacing w:before="60" w:after="60"/>
              <w:jc w:val="center"/>
              <w:rPr>
                <w:b/>
                <w:color w:val="000000"/>
              </w:rPr>
            </w:pPr>
            <w:r w:rsidRPr="00C50C1C">
              <w:rPr>
                <w:b/>
                <w:color w:val="000000"/>
              </w:rPr>
              <w:t>Item</w:t>
            </w:r>
          </w:p>
        </w:tc>
        <w:tc>
          <w:tcPr>
            <w:tcW w:w="821" w:type="dxa"/>
            <w:tcBorders>
              <w:top w:val="single" w:color="auto" w:sz="4" w:space="0"/>
              <w:bottom w:val="single" w:color="auto" w:sz="4" w:space="0"/>
            </w:tcBorders>
            <w:vAlign w:val="bottom"/>
          </w:tcPr>
          <w:p w:rsidRPr="00C50C1C" w:rsidR="008B7BB0" w:rsidP="008B7BB0" w:rsidRDefault="008B7BB0" w14:paraId="144552E0" w14:textId="77777777">
            <w:pPr>
              <w:keepNext/>
              <w:spacing w:before="60" w:after="60"/>
              <w:jc w:val="center"/>
              <w:rPr>
                <w:b/>
                <w:color w:val="000000"/>
              </w:rPr>
            </w:pPr>
            <w:r w:rsidRPr="00C50C1C">
              <w:rPr>
                <w:b/>
                <w:color w:val="000000"/>
              </w:rPr>
              <w:t>Year</w:t>
            </w:r>
          </w:p>
        </w:tc>
        <w:tc>
          <w:tcPr>
            <w:tcW w:w="884" w:type="dxa"/>
            <w:gridSpan w:val="2"/>
            <w:tcBorders>
              <w:top w:val="single" w:color="auto" w:sz="4" w:space="0"/>
              <w:bottom w:val="single" w:color="auto" w:sz="4" w:space="0"/>
            </w:tcBorders>
            <w:vAlign w:val="bottom"/>
          </w:tcPr>
          <w:p w:rsidRPr="00C50C1C" w:rsidR="008B7BB0" w:rsidP="008B7BB0" w:rsidRDefault="008B7BB0" w14:paraId="42890B1B" w14:textId="77777777">
            <w:pPr>
              <w:keepNext/>
              <w:spacing w:before="60" w:after="60"/>
              <w:jc w:val="center"/>
              <w:rPr>
                <w:b/>
                <w:color w:val="000000"/>
              </w:rPr>
            </w:pPr>
            <w:r w:rsidRPr="00C50C1C">
              <w:rPr>
                <w:b/>
                <w:color w:val="000000"/>
              </w:rPr>
              <w:t>Hours</w:t>
            </w:r>
          </w:p>
        </w:tc>
        <w:tc>
          <w:tcPr>
            <w:tcW w:w="930" w:type="dxa"/>
            <w:tcBorders>
              <w:top w:val="single" w:color="auto" w:sz="4" w:space="0"/>
              <w:bottom w:val="single" w:color="auto" w:sz="4" w:space="0"/>
            </w:tcBorders>
            <w:vAlign w:val="bottom"/>
          </w:tcPr>
          <w:p w:rsidRPr="00C50C1C" w:rsidR="008B7BB0" w:rsidP="008B7BB0" w:rsidRDefault="008B7BB0" w14:paraId="1E7BD956" w14:textId="243077B9">
            <w:pPr>
              <w:keepNext/>
              <w:spacing w:before="60" w:after="60"/>
              <w:jc w:val="center"/>
              <w:rPr>
                <w:b/>
                <w:color w:val="000000"/>
              </w:rPr>
            </w:pPr>
            <w:r w:rsidRPr="00C50C1C">
              <w:rPr>
                <w:b/>
                <w:color w:val="000000"/>
              </w:rPr>
              <w:t>Rate $</w:t>
            </w:r>
          </w:p>
        </w:tc>
        <w:tc>
          <w:tcPr>
            <w:tcW w:w="1721" w:type="dxa"/>
            <w:gridSpan w:val="2"/>
            <w:tcBorders>
              <w:top w:val="single" w:color="auto" w:sz="4" w:space="0"/>
              <w:bottom w:val="single" w:color="auto" w:sz="4" w:space="0"/>
              <w:right w:val="single" w:color="auto" w:sz="4" w:space="0"/>
            </w:tcBorders>
            <w:vAlign w:val="bottom"/>
          </w:tcPr>
          <w:p w:rsidRPr="00C50C1C" w:rsidR="008B7BB0" w:rsidP="008B7BB0" w:rsidRDefault="008B7BB0" w14:paraId="104D7982" w14:textId="77777777">
            <w:pPr>
              <w:keepNext/>
              <w:spacing w:before="60" w:after="60"/>
              <w:jc w:val="center"/>
              <w:rPr>
                <w:b/>
                <w:color w:val="000000"/>
              </w:rPr>
            </w:pPr>
            <w:r w:rsidRPr="00C50C1C">
              <w:rPr>
                <w:b/>
                <w:color w:val="000000"/>
              </w:rPr>
              <w:t>Basis for Rate*</w:t>
            </w:r>
          </w:p>
        </w:tc>
        <w:tc>
          <w:tcPr>
            <w:tcW w:w="1260" w:type="dxa"/>
            <w:gridSpan w:val="2"/>
            <w:tcBorders>
              <w:top w:val="single" w:color="auto" w:sz="4" w:space="0"/>
              <w:left w:val="single" w:color="auto" w:sz="4" w:space="0"/>
              <w:bottom w:val="single" w:color="auto" w:sz="4" w:space="0"/>
              <w:right w:val="single" w:color="auto" w:sz="24" w:space="0"/>
            </w:tcBorders>
            <w:vAlign w:val="bottom"/>
          </w:tcPr>
          <w:p w:rsidRPr="00C50C1C" w:rsidR="008B7BB0" w:rsidP="008B7BB0" w:rsidRDefault="008B7BB0" w14:paraId="073B2BB9" w14:textId="77777777">
            <w:pPr>
              <w:keepNext/>
              <w:spacing w:before="60" w:after="60"/>
              <w:jc w:val="center"/>
              <w:rPr>
                <w:b/>
                <w:color w:val="000000"/>
              </w:rPr>
            </w:pPr>
            <w:r w:rsidRPr="00C50C1C">
              <w:rPr>
                <w:b/>
                <w:color w:val="000000"/>
              </w:rPr>
              <w:t>Total $</w:t>
            </w:r>
          </w:p>
        </w:tc>
        <w:tc>
          <w:tcPr>
            <w:tcW w:w="1028" w:type="dxa"/>
            <w:tcBorders>
              <w:top w:val="single" w:color="auto" w:sz="4" w:space="0"/>
              <w:left w:val="single" w:color="auto" w:sz="4" w:space="0"/>
            </w:tcBorders>
            <w:vAlign w:val="bottom"/>
          </w:tcPr>
          <w:p w:rsidRPr="00C50C1C" w:rsidR="008B7BB0" w:rsidP="008B7BB0" w:rsidRDefault="008B7BB0" w14:paraId="0409143B" w14:textId="77777777">
            <w:pPr>
              <w:keepNext/>
              <w:spacing w:before="60" w:after="60"/>
              <w:jc w:val="center"/>
              <w:rPr>
                <w:b/>
                <w:color w:val="000000"/>
              </w:rPr>
            </w:pPr>
            <w:r w:rsidRPr="00C50C1C">
              <w:rPr>
                <w:b/>
                <w:color w:val="000000"/>
              </w:rPr>
              <w:t>Hours</w:t>
            </w:r>
          </w:p>
        </w:tc>
        <w:tc>
          <w:tcPr>
            <w:tcW w:w="1146" w:type="dxa"/>
            <w:tcBorders>
              <w:top w:val="single" w:color="auto" w:sz="4" w:space="0"/>
            </w:tcBorders>
            <w:vAlign w:val="bottom"/>
          </w:tcPr>
          <w:p w:rsidRPr="00C50C1C" w:rsidR="008B7BB0" w:rsidP="008B7BB0" w:rsidRDefault="008B7BB0" w14:paraId="6B59BB80" w14:textId="2C791D8E">
            <w:pPr>
              <w:keepNext/>
              <w:spacing w:before="60" w:after="60"/>
              <w:jc w:val="center"/>
              <w:rPr>
                <w:b/>
                <w:color w:val="000000"/>
              </w:rPr>
            </w:pPr>
            <w:r w:rsidRPr="00C50C1C">
              <w:rPr>
                <w:b/>
                <w:color w:val="000000"/>
              </w:rPr>
              <w:t>Rate $</w:t>
            </w:r>
          </w:p>
        </w:tc>
        <w:tc>
          <w:tcPr>
            <w:tcW w:w="1336" w:type="dxa"/>
            <w:tcBorders>
              <w:top w:val="single" w:color="auto" w:sz="4" w:space="0"/>
            </w:tcBorders>
            <w:vAlign w:val="bottom"/>
          </w:tcPr>
          <w:p w:rsidRPr="00C50C1C" w:rsidR="008B7BB0" w:rsidP="008B7BB0" w:rsidRDefault="008B7BB0" w14:paraId="6C7B13CF" w14:textId="77777777">
            <w:pPr>
              <w:keepNext/>
              <w:spacing w:before="60" w:after="60"/>
              <w:jc w:val="center"/>
              <w:rPr>
                <w:b/>
                <w:color w:val="000000"/>
              </w:rPr>
            </w:pPr>
            <w:r w:rsidRPr="00C50C1C">
              <w:rPr>
                <w:b/>
                <w:color w:val="000000"/>
              </w:rPr>
              <w:t>Total $</w:t>
            </w:r>
          </w:p>
        </w:tc>
      </w:tr>
      <w:tr w:rsidRPr="00C50C1C" w:rsidR="008B7BB0" w:rsidTr="002E243D" w14:paraId="25086E67" w14:textId="77777777">
        <w:trPr>
          <w:jc w:val="center"/>
        </w:trPr>
        <w:tc>
          <w:tcPr>
            <w:tcW w:w="1489" w:type="dxa"/>
          </w:tcPr>
          <w:p w:rsidRPr="00C50C1C" w:rsidR="008B7BB0" w:rsidP="008B7BB0" w:rsidRDefault="008B7BB0" w14:paraId="386D0995" w14:textId="3F8288C2">
            <w:pPr>
              <w:spacing w:before="60" w:after="60"/>
              <w:rPr>
                <w:color w:val="000000"/>
              </w:rPr>
            </w:pPr>
            <w:r w:rsidRPr="00C50C1C">
              <w:rPr>
                <w:color w:val="000000"/>
              </w:rPr>
              <w:t>Megan Myers</w:t>
            </w:r>
          </w:p>
        </w:tc>
        <w:tc>
          <w:tcPr>
            <w:tcW w:w="821" w:type="dxa"/>
          </w:tcPr>
          <w:p w:rsidRPr="00C50C1C" w:rsidR="008B7BB0" w:rsidP="008B7BB0" w:rsidRDefault="008B7BB0" w14:paraId="4A155F1D" w14:textId="527329E3">
            <w:pPr>
              <w:spacing w:before="60" w:after="60"/>
              <w:jc w:val="center"/>
              <w:rPr>
                <w:color w:val="000000"/>
              </w:rPr>
            </w:pPr>
            <w:r w:rsidRPr="00C50C1C">
              <w:rPr>
                <w:color w:val="000000"/>
              </w:rPr>
              <w:t>2022</w:t>
            </w:r>
          </w:p>
        </w:tc>
        <w:tc>
          <w:tcPr>
            <w:tcW w:w="884" w:type="dxa"/>
            <w:gridSpan w:val="2"/>
          </w:tcPr>
          <w:p w:rsidRPr="00C50C1C" w:rsidR="008B7BB0" w:rsidP="008B7BB0" w:rsidRDefault="008B7BB0" w14:paraId="30EEA80A" w14:textId="53675311">
            <w:pPr>
              <w:spacing w:before="60" w:after="60"/>
              <w:jc w:val="center"/>
              <w:rPr>
                <w:color w:val="000000"/>
              </w:rPr>
            </w:pPr>
            <w:r w:rsidRPr="00C50C1C">
              <w:rPr>
                <w:color w:val="000000"/>
              </w:rPr>
              <w:t>2.3</w:t>
            </w:r>
          </w:p>
        </w:tc>
        <w:tc>
          <w:tcPr>
            <w:tcW w:w="930" w:type="dxa"/>
          </w:tcPr>
          <w:p w:rsidRPr="00C50C1C" w:rsidR="008B7BB0" w:rsidP="006A2D46" w:rsidRDefault="008B7BB0" w14:paraId="4EB14C91" w14:textId="19226F86">
            <w:pPr>
              <w:spacing w:before="60" w:after="60"/>
              <w:jc w:val="right"/>
              <w:rPr>
                <w:color w:val="000000"/>
              </w:rPr>
            </w:pPr>
            <w:r w:rsidRPr="00C50C1C">
              <w:rPr>
                <w:color w:val="000000"/>
              </w:rPr>
              <w:t>$245</w:t>
            </w:r>
          </w:p>
        </w:tc>
        <w:tc>
          <w:tcPr>
            <w:tcW w:w="1721" w:type="dxa"/>
            <w:gridSpan w:val="2"/>
            <w:tcBorders>
              <w:right w:val="single" w:color="auto" w:sz="4" w:space="0"/>
            </w:tcBorders>
          </w:tcPr>
          <w:p w:rsidRPr="00C50C1C" w:rsidR="008B7BB0" w:rsidP="008B7BB0" w:rsidRDefault="008B7BB0" w14:paraId="02D334B7" w14:textId="69F3EDB4">
            <w:pPr>
              <w:spacing w:before="60" w:after="60"/>
              <w:rPr>
                <w:color w:val="000000"/>
              </w:rPr>
            </w:pPr>
            <w:r w:rsidRPr="00C50C1C">
              <w:rPr>
                <w:color w:val="000000"/>
              </w:rPr>
              <w:t>Resolution ALJ-393</w:t>
            </w:r>
          </w:p>
        </w:tc>
        <w:tc>
          <w:tcPr>
            <w:tcW w:w="1260" w:type="dxa"/>
            <w:gridSpan w:val="2"/>
            <w:tcBorders>
              <w:top w:val="single" w:color="auto" w:sz="4" w:space="0"/>
              <w:left w:val="single" w:color="auto" w:sz="4" w:space="0"/>
              <w:bottom w:val="single" w:color="auto" w:sz="4" w:space="0"/>
              <w:right w:val="single" w:color="auto" w:sz="24" w:space="0"/>
            </w:tcBorders>
          </w:tcPr>
          <w:p w:rsidRPr="00C50C1C" w:rsidR="008B7BB0" w:rsidP="008B7BB0" w:rsidRDefault="008B7BB0" w14:paraId="18FB7D11" w14:textId="4E94624D">
            <w:pPr>
              <w:spacing w:before="60" w:after="60"/>
              <w:jc w:val="right"/>
              <w:rPr>
                <w:color w:val="000000"/>
              </w:rPr>
            </w:pPr>
            <w:r w:rsidRPr="00C50C1C">
              <w:rPr>
                <w:color w:val="000000"/>
              </w:rPr>
              <w:t>$563.50</w:t>
            </w:r>
          </w:p>
          <w:p w:rsidRPr="00C50C1C" w:rsidR="008B7BB0" w:rsidP="008B7BB0" w:rsidRDefault="008B7BB0" w14:paraId="7B9A0261" w14:textId="2D8C14C7">
            <w:pPr>
              <w:spacing w:before="60" w:after="60"/>
              <w:jc w:val="right"/>
              <w:rPr>
                <w:color w:val="000000"/>
              </w:rPr>
            </w:pPr>
          </w:p>
        </w:tc>
        <w:tc>
          <w:tcPr>
            <w:tcW w:w="1028" w:type="dxa"/>
            <w:tcBorders>
              <w:left w:val="single" w:color="auto" w:sz="4" w:space="0"/>
              <w:right w:val="single" w:color="auto" w:sz="4" w:space="0"/>
            </w:tcBorders>
          </w:tcPr>
          <w:p w:rsidRPr="00C50C1C" w:rsidR="008B7BB0" w:rsidP="0060079A" w:rsidRDefault="00E1068D" w14:paraId="5E5A4264" w14:textId="7973ADE4">
            <w:pPr>
              <w:spacing w:before="60" w:after="60"/>
              <w:jc w:val="center"/>
              <w:rPr>
                <w:color w:val="000000"/>
              </w:rPr>
            </w:pPr>
            <w:r w:rsidRPr="00C50C1C">
              <w:rPr>
                <w:color w:val="000000"/>
              </w:rPr>
              <w:t>1.80 [7]</w:t>
            </w:r>
          </w:p>
        </w:tc>
        <w:tc>
          <w:tcPr>
            <w:tcW w:w="1146" w:type="dxa"/>
            <w:tcBorders>
              <w:left w:val="single" w:color="auto" w:sz="4" w:space="0"/>
            </w:tcBorders>
          </w:tcPr>
          <w:p w:rsidRPr="00C50C1C" w:rsidR="008B7BB0" w:rsidP="00562256" w:rsidRDefault="009A0B8A" w14:paraId="326D5B7B" w14:textId="6474EA95">
            <w:pPr>
              <w:spacing w:before="60" w:after="60"/>
              <w:jc w:val="right"/>
              <w:rPr>
                <w:color w:val="000000"/>
              </w:rPr>
            </w:pPr>
            <w:r w:rsidRPr="00C50C1C">
              <w:rPr>
                <w:color w:val="000000"/>
              </w:rPr>
              <w:t>$</w:t>
            </w:r>
            <w:r w:rsidRPr="00C50C1C" w:rsidR="00E1068D">
              <w:rPr>
                <w:color w:val="000000"/>
              </w:rPr>
              <w:t>245.00</w:t>
            </w:r>
          </w:p>
          <w:p w:rsidRPr="00C50C1C" w:rsidR="009A0B8A" w:rsidP="00562256" w:rsidRDefault="009A0B8A" w14:paraId="47B1F089" w14:textId="05FAB7CC">
            <w:pPr>
              <w:spacing w:before="60" w:after="60"/>
              <w:jc w:val="right"/>
              <w:rPr>
                <w:color w:val="000000"/>
              </w:rPr>
            </w:pPr>
            <w:r w:rsidRPr="00C50C1C">
              <w:rPr>
                <w:color w:val="000000"/>
              </w:rPr>
              <w:t>[2]</w:t>
            </w:r>
          </w:p>
        </w:tc>
        <w:tc>
          <w:tcPr>
            <w:tcW w:w="1336" w:type="dxa"/>
          </w:tcPr>
          <w:p w:rsidRPr="00C50C1C" w:rsidR="008B7BB0" w:rsidP="00EA6202" w:rsidRDefault="00EA6202" w14:paraId="10659B6D" w14:textId="67BE34C4">
            <w:pPr>
              <w:spacing w:before="60" w:after="60"/>
              <w:jc w:val="right"/>
              <w:rPr>
                <w:color w:val="000000"/>
              </w:rPr>
            </w:pPr>
            <w:r w:rsidRPr="00C50C1C">
              <w:rPr>
                <w:color w:val="000000"/>
              </w:rPr>
              <w:t>$</w:t>
            </w:r>
            <w:r w:rsidRPr="00C50C1C" w:rsidR="008D2ABD">
              <w:rPr>
                <w:color w:val="000000"/>
              </w:rPr>
              <w:t>441.00</w:t>
            </w:r>
          </w:p>
        </w:tc>
      </w:tr>
      <w:tr w:rsidRPr="00C50C1C" w:rsidR="008B7BB0" w:rsidTr="002E243D" w14:paraId="7AB9EF54" w14:textId="77777777">
        <w:trPr>
          <w:jc w:val="center"/>
        </w:trPr>
        <w:tc>
          <w:tcPr>
            <w:tcW w:w="1489" w:type="dxa"/>
          </w:tcPr>
          <w:p w:rsidRPr="00C50C1C" w:rsidR="008B7BB0" w:rsidP="008B7BB0" w:rsidRDefault="008B7BB0" w14:paraId="4F803C09" w14:textId="0F5CC0FD">
            <w:pPr>
              <w:spacing w:before="60" w:after="60"/>
              <w:rPr>
                <w:color w:val="000000"/>
              </w:rPr>
            </w:pPr>
            <w:r w:rsidRPr="00C50C1C">
              <w:rPr>
                <w:color w:val="000000"/>
              </w:rPr>
              <w:t>Megan Myers</w:t>
            </w:r>
          </w:p>
        </w:tc>
        <w:tc>
          <w:tcPr>
            <w:tcW w:w="821" w:type="dxa"/>
          </w:tcPr>
          <w:p w:rsidRPr="00C50C1C" w:rsidR="008B7BB0" w:rsidP="008B7BB0" w:rsidRDefault="008B7BB0" w14:paraId="058BFE37" w14:textId="74F0AC2C">
            <w:pPr>
              <w:spacing w:before="60" w:after="60"/>
              <w:jc w:val="center"/>
              <w:rPr>
                <w:color w:val="000000"/>
              </w:rPr>
            </w:pPr>
            <w:r w:rsidRPr="00C50C1C">
              <w:rPr>
                <w:color w:val="000000"/>
              </w:rPr>
              <w:t>2023</w:t>
            </w:r>
          </w:p>
        </w:tc>
        <w:tc>
          <w:tcPr>
            <w:tcW w:w="884" w:type="dxa"/>
            <w:gridSpan w:val="2"/>
          </w:tcPr>
          <w:p w:rsidRPr="00C50C1C" w:rsidR="008B7BB0" w:rsidP="008B7BB0" w:rsidRDefault="008B7BB0" w14:paraId="66A42865" w14:textId="3D4537AE">
            <w:pPr>
              <w:spacing w:before="60" w:after="60"/>
              <w:jc w:val="center"/>
              <w:rPr>
                <w:color w:val="000000"/>
              </w:rPr>
            </w:pPr>
            <w:r w:rsidRPr="00C50C1C">
              <w:rPr>
                <w:color w:val="000000"/>
              </w:rPr>
              <w:t>2.0</w:t>
            </w:r>
          </w:p>
        </w:tc>
        <w:tc>
          <w:tcPr>
            <w:tcW w:w="930" w:type="dxa"/>
          </w:tcPr>
          <w:p w:rsidRPr="00C50C1C" w:rsidR="008B7BB0" w:rsidP="006A2D46" w:rsidRDefault="008B7BB0" w14:paraId="42AE8F2C" w14:textId="159A1BAE">
            <w:pPr>
              <w:spacing w:before="60" w:after="60"/>
              <w:jc w:val="right"/>
              <w:rPr>
                <w:color w:val="000000"/>
              </w:rPr>
            </w:pPr>
            <w:r w:rsidRPr="00C50C1C">
              <w:rPr>
                <w:color w:val="000000"/>
              </w:rPr>
              <w:t>$245</w:t>
            </w:r>
          </w:p>
        </w:tc>
        <w:tc>
          <w:tcPr>
            <w:tcW w:w="1721" w:type="dxa"/>
            <w:gridSpan w:val="2"/>
            <w:tcBorders>
              <w:right w:val="single" w:color="auto" w:sz="4" w:space="0"/>
            </w:tcBorders>
          </w:tcPr>
          <w:p w:rsidRPr="00C50C1C" w:rsidR="008B7BB0" w:rsidP="008B7BB0" w:rsidRDefault="008B7BB0" w14:paraId="3DB754B7" w14:textId="46E23CB2">
            <w:pPr>
              <w:spacing w:before="60" w:after="60"/>
              <w:rPr>
                <w:color w:val="000000"/>
              </w:rPr>
            </w:pPr>
            <w:r w:rsidRPr="00C50C1C">
              <w:rPr>
                <w:color w:val="000000"/>
              </w:rPr>
              <w:t>Resolution ALJ-393</w:t>
            </w:r>
          </w:p>
        </w:tc>
        <w:tc>
          <w:tcPr>
            <w:tcW w:w="1260" w:type="dxa"/>
            <w:gridSpan w:val="2"/>
            <w:tcBorders>
              <w:top w:val="single" w:color="auto" w:sz="4" w:space="0"/>
              <w:left w:val="single" w:color="auto" w:sz="4" w:space="0"/>
              <w:bottom w:val="single" w:color="auto" w:sz="4" w:space="0"/>
              <w:right w:val="single" w:color="auto" w:sz="24" w:space="0"/>
            </w:tcBorders>
          </w:tcPr>
          <w:p w:rsidRPr="00C50C1C" w:rsidR="008B7BB0" w:rsidP="008B7BB0" w:rsidRDefault="008B7BB0" w14:paraId="3D39C021" w14:textId="691D0F8F">
            <w:pPr>
              <w:spacing w:before="60" w:after="60"/>
              <w:jc w:val="right"/>
              <w:rPr>
                <w:color w:val="000000"/>
              </w:rPr>
            </w:pPr>
            <w:r w:rsidRPr="00C50C1C">
              <w:rPr>
                <w:color w:val="000000"/>
              </w:rPr>
              <w:t>$490.00</w:t>
            </w:r>
          </w:p>
        </w:tc>
        <w:tc>
          <w:tcPr>
            <w:tcW w:w="1028" w:type="dxa"/>
            <w:tcBorders>
              <w:left w:val="single" w:color="auto" w:sz="4" w:space="0"/>
              <w:right w:val="single" w:color="auto" w:sz="4" w:space="0"/>
            </w:tcBorders>
          </w:tcPr>
          <w:p w:rsidRPr="00C50C1C" w:rsidR="008B7BB0" w:rsidP="0060079A" w:rsidRDefault="008C229D" w14:paraId="6B8C8F0C" w14:textId="71BD034D">
            <w:pPr>
              <w:spacing w:before="60" w:after="60"/>
              <w:jc w:val="center"/>
              <w:rPr>
                <w:color w:val="000000"/>
              </w:rPr>
            </w:pPr>
            <w:r w:rsidRPr="00C50C1C">
              <w:rPr>
                <w:color w:val="000000"/>
              </w:rPr>
              <w:t>2</w:t>
            </w:r>
            <w:r w:rsidRPr="00C50C1C" w:rsidR="0096389C">
              <w:rPr>
                <w:color w:val="000000"/>
              </w:rPr>
              <w:t>.00</w:t>
            </w:r>
          </w:p>
        </w:tc>
        <w:tc>
          <w:tcPr>
            <w:tcW w:w="1146" w:type="dxa"/>
            <w:tcBorders>
              <w:left w:val="single" w:color="auto" w:sz="4" w:space="0"/>
            </w:tcBorders>
          </w:tcPr>
          <w:p w:rsidRPr="00C50C1C" w:rsidR="008B7BB0" w:rsidP="00562256" w:rsidRDefault="009A0B8A" w14:paraId="3BDC1EFD" w14:textId="7793BEFC">
            <w:pPr>
              <w:spacing w:before="60" w:after="60"/>
              <w:jc w:val="right"/>
              <w:rPr>
                <w:color w:val="000000"/>
              </w:rPr>
            </w:pPr>
            <w:r w:rsidRPr="00C50C1C">
              <w:rPr>
                <w:color w:val="000000"/>
              </w:rPr>
              <w:t>$</w:t>
            </w:r>
            <w:r w:rsidRPr="00C50C1C" w:rsidR="004A4320">
              <w:rPr>
                <w:color w:val="000000"/>
              </w:rPr>
              <w:t>2</w:t>
            </w:r>
            <w:r w:rsidRPr="00C50C1C" w:rsidR="00E1068D">
              <w:rPr>
                <w:color w:val="000000"/>
              </w:rPr>
              <w:t>4</w:t>
            </w:r>
            <w:r w:rsidRPr="00C50C1C" w:rsidR="004A4320">
              <w:rPr>
                <w:color w:val="000000"/>
              </w:rPr>
              <w:t>5.00</w:t>
            </w:r>
          </w:p>
          <w:p w:rsidRPr="00C50C1C" w:rsidR="009A0B8A" w:rsidP="00562256" w:rsidRDefault="009A0B8A" w14:paraId="0A58B021" w14:textId="456F2A96">
            <w:pPr>
              <w:spacing w:before="60" w:after="60"/>
              <w:jc w:val="right"/>
              <w:rPr>
                <w:color w:val="000000"/>
              </w:rPr>
            </w:pPr>
            <w:r w:rsidRPr="00C50C1C">
              <w:rPr>
                <w:color w:val="000000"/>
              </w:rPr>
              <w:t>[2]</w:t>
            </w:r>
          </w:p>
        </w:tc>
        <w:tc>
          <w:tcPr>
            <w:tcW w:w="1336" w:type="dxa"/>
          </w:tcPr>
          <w:p w:rsidRPr="00C50C1C" w:rsidR="008B7BB0" w:rsidP="00EA6202" w:rsidRDefault="00024B8F" w14:paraId="0769A3B4" w14:textId="6922E18E">
            <w:pPr>
              <w:spacing w:before="60" w:after="60"/>
              <w:jc w:val="right"/>
              <w:rPr>
                <w:color w:val="000000"/>
              </w:rPr>
            </w:pPr>
            <w:r w:rsidRPr="00C50C1C">
              <w:rPr>
                <w:color w:val="000000"/>
              </w:rPr>
              <w:t>$</w:t>
            </w:r>
            <w:r w:rsidRPr="00C50C1C" w:rsidR="008D2ABD">
              <w:rPr>
                <w:color w:val="000000"/>
              </w:rPr>
              <w:t>490.00</w:t>
            </w:r>
          </w:p>
        </w:tc>
      </w:tr>
      <w:tr w:rsidRPr="00C50C1C" w:rsidR="008B7BB0" w:rsidTr="002E243D" w14:paraId="266CEDD5" w14:textId="77777777">
        <w:trPr>
          <w:jc w:val="center"/>
        </w:trPr>
        <w:tc>
          <w:tcPr>
            <w:tcW w:w="7105" w:type="dxa"/>
            <w:gridSpan w:val="9"/>
            <w:tcBorders>
              <w:bottom w:val="single" w:color="auto" w:sz="4" w:space="0"/>
              <w:right w:val="single" w:color="auto" w:sz="24" w:space="0"/>
            </w:tcBorders>
            <w:vAlign w:val="bottom"/>
          </w:tcPr>
          <w:p w:rsidRPr="00C50C1C" w:rsidR="008B7BB0" w:rsidP="008B7BB0" w:rsidRDefault="008B7BB0" w14:paraId="4A1F5988" w14:textId="7E0FB895">
            <w:pPr>
              <w:tabs>
                <w:tab w:val="left" w:pos="957"/>
              </w:tabs>
              <w:spacing w:before="60" w:after="60"/>
              <w:ind w:right="162"/>
              <w:jc w:val="right"/>
              <w:rPr>
                <w:b/>
                <w:i/>
                <w:color w:val="000000"/>
              </w:rPr>
            </w:pPr>
            <w:r w:rsidRPr="00C50C1C">
              <w:rPr>
                <w:b/>
                <w:i/>
                <w:color w:val="000000"/>
              </w:rPr>
              <w:t>Subtotal: $</w:t>
            </w:r>
            <w:r w:rsidRPr="00C50C1C" w:rsidR="0012587E">
              <w:rPr>
                <w:b/>
                <w:i/>
                <w:color w:val="000000"/>
              </w:rPr>
              <w:t>1,053.50</w:t>
            </w:r>
          </w:p>
        </w:tc>
        <w:tc>
          <w:tcPr>
            <w:tcW w:w="3510" w:type="dxa"/>
            <w:gridSpan w:val="3"/>
            <w:tcBorders>
              <w:left w:val="single" w:color="auto" w:sz="24" w:space="0"/>
              <w:bottom w:val="single" w:color="auto" w:sz="4" w:space="0"/>
            </w:tcBorders>
            <w:vAlign w:val="bottom"/>
          </w:tcPr>
          <w:p w:rsidRPr="00C50C1C" w:rsidR="008B7BB0" w:rsidP="008B7BB0" w:rsidRDefault="008B7BB0" w14:paraId="2FBAA587" w14:textId="77B9E074">
            <w:pPr>
              <w:tabs>
                <w:tab w:val="left" w:pos="957"/>
              </w:tabs>
              <w:spacing w:before="60" w:after="60"/>
              <w:ind w:right="162"/>
              <w:jc w:val="right"/>
              <w:rPr>
                <w:b/>
                <w:i/>
                <w:color w:val="000000"/>
              </w:rPr>
            </w:pPr>
            <w:r w:rsidRPr="00C50C1C">
              <w:rPr>
                <w:b/>
                <w:i/>
                <w:color w:val="000000"/>
              </w:rPr>
              <w:t>Subtotal: $</w:t>
            </w:r>
            <w:r w:rsidRPr="00C50C1C" w:rsidR="008D2ABD">
              <w:rPr>
                <w:b/>
                <w:i/>
                <w:color w:val="000000"/>
              </w:rPr>
              <w:t>931.00</w:t>
            </w:r>
          </w:p>
        </w:tc>
      </w:tr>
      <w:tr w:rsidRPr="00C50C1C" w:rsidR="008B7BB0" w:rsidTr="002E243D" w14:paraId="06E7371A" w14:textId="77777777">
        <w:trPr>
          <w:jc w:val="center"/>
        </w:trPr>
        <w:tc>
          <w:tcPr>
            <w:tcW w:w="7105" w:type="dxa"/>
            <w:gridSpan w:val="9"/>
            <w:tcBorders>
              <w:top w:val="single" w:color="auto" w:sz="4" w:space="0"/>
              <w:bottom w:val="single" w:color="auto" w:sz="4" w:space="0"/>
              <w:right w:val="single" w:color="auto" w:sz="24" w:space="0"/>
            </w:tcBorders>
            <w:shd w:val="clear" w:color="auto" w:fill="E6E6E6"/>
            <w:vAlign w:val="bottom"/>
          </w:tcPr>
          <w:p w:rsidRPr="00C50C1C" w:rsidR="008B7BB0" w:rsidP="008B7BB0" w:rsidRDefault="008B7BB0" w14:paraId="11B3B704" w14:textId="6E60934C">
            <w:pPr>
              <w:tabs>
                <w:tab w:val="left" w:pos="957"/>
              </w:tabs>
              <w:spacing w:before="60" w:after="60"/>
              <w:ind w:right="72"/>
              <w:jc w:val="right"/>
              <w:rPr>
                <w:b/>
                <w:color w:val="000000"/>
              </w:rPr>
            </w:pPr>
            <w:r w:rsidRPr="00C50C1C">
              <w:rPr>
                <w:b/>
                <w:i/>
                <w:color w:val="000000"/>
              </w:rPr>
              <w:t>TOTAL REQUEST: $</w:t>
            </w:r>
            <w:r w:rsidRPr="00C50C1C" w:rsidR="00023B21">
              <w:rPr>
                <w:b/>
                <w:i/>
                <w:color w:val="000000"/>
              </w:rPr>
              <w:t>89,498.25</w:t>
            </w:r>
          </w:p>
        </w:tc>
        <w:tc>
          <w:tcPr>
            <w:tcW w:w="3510" w:type="dxa"/>
            <w:gridSpan w:val="3"/>
            <w:tcBorders>
              <w:left w:val="single" w:color="auto" w:sz="24" w:space="0"/>
            </w:tcBorders>
            <w:shd w:val="clear" w:color="auto" w:fill="E6E6E6"/>
            <w:vAlign w:val="bottom"/>
          </w:tcPr>
          <w:p w:rsidRPr="00C50C1C" w:rsidR="008B7BB0" w:rsidP="008B7BB0" w:rsidRDefault="008B7BB0" w14:paraId="3680D139" w14:textId="0CECB7C6">
            <w:pPr>
              <w:tabs>
                <w:tab w:val="left" w:pos="957"/>
              </w:tabs>
              <w:spacing w:before="60" w:after="60"/>
              <w:ind w:right="72"/>
              <w:jc w:val="right"/>
              <w:rPr>
                <w:b/>
                <w:color w:val="000000"/>
              </w:rPr>
            </w:pPr>
            <w:r w:rsidRPr="00C50C1C">
              <w:rPr>
                <w:b/>
                <w:i/>
                <w:color w:val="000000"/>
              </w:rPr>
              <w:t>TOTAL AWARD: $</w:t>
            </w:r>
            <w:r w:rsidRPr="00C50C1C" w:rsidR="00E50EE0">
              <w:rPr>
                <w:b/>
                <w:i/>
                <w:color w:val="000000"/>
              </w:rPr>
              <w:t>74,006.30</w:t>
            </w:r>
          </w:p>
        </w:tc>
      </w:tr>
      <w:tr w:rsidRPr="00C50C1C" w:rsidR="008B7BB0" w:rsidTr="00C75703" w14:paraId="6A909BC1" w14:textId="77777777">
        <w:trPr>
          <w:jc w:val="center"/>
        </w:trPr>
        <w:tc>
          <w:tcPr>
            <w:tcW w:w="10615" w:type="dxa"/>
            <w:gridSpan w:val="12"/>
            <w:tcBorders>
              <w:top w:val="single" w:color="auto" w:sz="4" w:space="0"/>
              <w:bottom w:val="single" w:color="auto" w:sz="4" w:space="0"/>
            </w:tcBorders>
          </w:tcPr>
          <w:p w:rsidRPr="00C50C1C" w:rsidR="008B7BB0" w:rsidP="008B7BB0" w:rsidRDefault="008B7BB0" w14:paraId="6F39872E" w14:textId="77777777">
            <w:pPr>
              <w:spacing w:before="60" w:after="60"/>
              <w:rPr>
                <w:color w:val="000000"/>
              </w:rPr>
            </w:pPr>
            <w:r w:rsidRPr="00C50C1C">
              <w:rPr>
                <w:color w:val="000000"/>
              </w:rPr>
              <w:t xml:space="preserve">  *We remind all intervenors that Commission staff may audit </w:t>
            </w:r>
            <w:r w:rsidRPr="00C50C1C">
              <w:t>the records and books of the intervenors to the extent necessary to verify the basis for the award (§1804(d)).  I</w:t>
            </w:r>
            <w:r w:rsidRPr="00C50C1C">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C50C1C" w:rsidR="008B7BB0" w:rsidP="008B7BB0" w:rsidRDefault="008B7BB0" w14:paraId="0D03EC65" w14:textId="77777777">
            <w:pPr>
              <w:spacing w:before="60" w:after="60"/>
              <w:rPr>
                <w:color w:val="000000"/>
              </w:rPr>
            </w:pPr>
            <w:r w:rsidRPr="00C50C1C">
              <w:rPr>
                <w:color w:val="000000"/>
              </w:rPr>
              <w:t>**Travel and Reasonable Claim preparation time are typically compensated at ½ of preparer’s normal hourly rate</w:t>
            </w:r>
            <w:r w:rsidRPr="00C50C1C" w:rsidDel="00D075B1">
              <w:rPr>
                <w:color w:val="000000"/>
              </w:rPr>
              <w:t xml:space="preserve"> </w:t>
            </w:r>
          </w:p>
        </w:tc>
      </w:tr>
      <w:tr w:rsidRPr="00C50C1C" w:rsidR="008B7BB0" w:rsidTr="00C75703" w14:paraId="458B01A4" w14:textId="77777777">
        <w:trPr>
          <w:jc w:val="center"/>
        </w:trPr>
        <w:tc>
          <w:tcPr>
            <w:tcW w:w="10615"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50C1C" w:rsidR="008B7BB0" w:rsidP="008B7BB0" w:rsidRDefault="008B7BB0" w14:paraId="48B43CBD" w14:textId="77777777">
            <w:pPr>
              <w:keepNext/>
              <w:spacing w:before="60" w:after="60"/>
              <w:jc w:val="center"/>
              <w:rPr>
                <w:b/>
                <w:smallCaps/>
                <w:color w:val="000000"/>
              </w:rPr>
            </w:pPr>
            <w:r w:rsidRPr="00C50C1C">
              <w:rPr>
                <w:b/>
                <w:smallCaps/>
                <w:color w:val="000000"/>
              </w:rPr>
              <w:t>ATTORNEY INFORMATION</w:t>
            </w:r>
          </w:p>
        </w:tc>
      </w:tr>
      <w:tr w:rsidRPr="00C50C1C" w:rsidR="008B7BB0" w:rsidTr="00C75703"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50C1C" w:rsidR="008B7BB0" w:rsidP="008B7BB0" w:rsidRDefault="008B7BB0" w14:paraId="00CAC866" w14:textId="77777777">
            <w:pPr>
              <w:keepNext/>
              <w:keepLines/>
              <w:spacing w:before="60" w:after="60"/>
              <w:jc w:val="center"/>
              <w:rPr>
                <w:b/>
                <w:color w:val="000000"/>
              </w:rPr>
            </w:pPr>
            <w:r w:rsidRPr="00C50C1C">
              <w:rPr>
                <w:b/>
              </w:rPr>
              <w:t>Attorney</w:t>
            </w:r>
          </w:p>
        </w:tc>
        <w:tc>
          <w:tcPr>
            <w:tcW w:w="1909" w:type="dxa"/>
            <w:gridSpan w:val="3"/>
            <w:tcBorders>
              <w:top w:val="single" w:color="auto" w:sz="4" w:space="0"/>
              <w:bottom w:val="single" w:color="auto" w:sz="4" w:space="0"/>
            </w:tcBorders>
            <w:shd w:val="clear" w:color="auto" w:fill="FFFFFF"/>
            <w:vAlign w:val="bottom"/>
          </w:tcPr>
          <w:p w:rsidRPr="00C50C1C" w:rsidR="008B7BB0" w:rsidP="008B7BB0" w:rsidRDefault="008B7BB0" w14:paraId="7E76A008" w14:textId="77777777">
            <w:pPr>
              <w:keepNext/>
              <w:keepLines/>
              <w:spacing w:before="60" w:after="60"/>
              <w:jc w:val="center"/>
              <w:rPr>
                <w:b/>
                <w:color w:val="000000"/>
              </w:rPr>
            </w:pPr>
            <w:r w:rsidRPr="00C50C1C">
              <w:rPr>
                <w:b/>
              </w:rPr>
              <w:t>Date Admitted to CA BAR</w:t>
            </w:r>
            <w:r w:rsidRPr="00C50C1C">
              <w:rPr>
                <w:rStyle w:val="FootnoteReference"/>
                <w:b/>
              </w:rPr>
              <w:footnoteReference w:id="3"/>
            </w:r>
          </w:p>
        </w:tc>
        <w:tc>
          <w:tcPr>
            <w:tcW w:w="2291" w:type="dxa"/>
            <w:gridSpan w:val="2"/>
            <w:tcBorders>
              <w:top w:val="single" w:color="auto" w:sz="4" w:space="0"/>
              <w:bottom w:val="single" w:color="auto" w:sz="4" w:space="0"/>
            </w:tcBorders>
            <w:shd w:val="clear" w:color="auto" w:fill="FFFFFF"/>
            <w:vAlign w:val="bottom"/>
          </w:tcPr>
          <w:p w:rsidRPr="00C50C1C" w:rsidR="008B7BB0" w:rsidP="008B7BB0" w:rsidRDefault="008B7BB0" w14:paraId="27E64ED7" w14:textId="77777777">
            <w:pPr>
              <w:keepNext/>
              <w:keepLines/>
              <w:spacing w:before="60" w:after="60"/>
              <w:jc w:val="center"/>
              <w:rPr>
                <w:b/>
                <w:color w:val="000000"/>
              </w:rPr>
            </w:pPr>
            <w:r w:rsidRPr="00C50C1C">
              <w:rPr>
                <w:b/>
              </w:rPr>
              <w:t>Member Number</w:t>
            </w:r>
          </w:p>
        </w:tc>
        <w:tc>
          <w:tcPr>
            <w:tcW w:w="3723" w:type="dxa"/>
            <w:gridSpan w:val="4"/>
            <w:tcBorders>
              <w:top w:val="single" w:color="auto" w:sz="4" w:space="0"/>
              <w:bottom w:val="single" w:color="auto" w:sz="4" w:space="0"/>
            </w:tcBorders>
            <w:shd w:val="clear" w:color="auto" w:fill="FFFFFF"/>
            <w:vAlign w:val="bottom"/>
          </w:tcPr>
          <w:p w:rsidRPr="00C50C1C" w:rsidR="008B7BB0" w:rsidP="008B7BB0" w:rsidRDefault="008B7BB0" w14:paraId="496B5DC1" w14:textId="77777777">
            <w:pPr>
              <w:keepNext/>
              <w:keepLines/>
              <w:spacing w:before="60" w:after="60"/>
              <w:jc w:val="center"/>
              <w:rPr>
                <w:b/>
              </w:rPr>
            </w:pPr>
            <w:r w:rsidRPr="00C50C1C">
              <w:rPr>
                <w:b/>
              </w:rPr>
              <w:t>Actions Affecting Eligibility (Yes/No?)</w:t>
            </w:r>
          </w:p>
          <w:p w:rsidRPr="00C50C1C" w:rsidR="008B7BB0" w:rsidP="008B7BB0" w:rsidRDefault="008B7BB0" w14:paraId="36F8922D" w14:textId="77777777">
            <w:pPr>
              <w:keepNext/>
              <w:keepLines/>
              <w:spacing w:before="60" w:after="60"/>
              <w:jc w:val="center"/>
              <w:rPr>
                <w:b/>
                <w:color w:val="000000"/>
              </w:rPr>
            </w:pPr>
            <w:r w:rsidRPr="00C50C1C">
              <w:rPr>
                <w:b/>
              </w:rPr>
              <w:t>If “Yes”, attach explanation</w:t>
            </w:r>
          </w:p>
        </w:tc>
      </w:tr>
      <w:tr w:rsidRPr="00C50C1C" w:rsidR="008B7BB0" w:rsidTr="00C75703" w14:paraId="4DC5EE9B" w14:textId="77777777">
        <w:trPr>
          <w:trHeight w:val="172"/>
          <w:jc w:val="center"/>
        </w:trPr>
        <w:tc>
          <w:tcPr>
            <w:tcW w:w="2692" w:type="dxa"/>
            <w:gridSpan w:val="3"/>
            <w:tcBorders>
              <w:top w:val="single" w:color="auto" w:sz="4" w:space="0"/>
              <w:bottom w:val="single" w:color="auto" w:sz="4" w:space="0"/>
            </w:tcBorders>
          </w:tcPr>
          <w:p w:rsidRPr="00C50C1C" w:rsidR="008B7BB0" w:rsidP="008B7BB0" w:rsidRDefault="008B7BB0" w14:paraId="7266B7BF" w14:textId="1D92E42C">
            <w:pPr>
              <w:keepLines/>
              <w:spacing w:before="60" w:after="60"/>
              <w:jc w:val="center"/>
              <w:rPr>
                <w:color w:val="000000"/>
              </w:rPr>
            </w:pPr>
            <w:r w:rsidRPr="00C50C1C">
              <w:rPr>
                <w:color w:val="000000"/>
              </w:rPr>
              <w:t>Megan Myers</w:t>
            </w:r>
          </w:p>
        </w:tc>
        <w:tc>
          <w:tcPr>
            <w:tcW w:w="1909" w:type="dxa"/>
            <w:gridSpan w:val="3"/>
            <w:tcBorders>
              <w:top w:val="single" w:color="auto" w:sz="4" w:space="0"/>
              <w:bottom w:val="single" w:color="auto" w:sz="4" w:space="0"/>
            </w:tcBorders>
          </w:tcPr>
          <w:p w:rsidRPr="00C50C1C" w:rsidR="008B7BB0" w:rsidP="008B7BB0" w:rsidRDefault="008B7BB0" w14:paraId="69A41F15" w14:textId="42C300E2">
            <w:pPr>
              <w:keepLines/>
              <w:spacing w:before="60" w:after="60"/>
              <w:jc w:val="center"/>
              <w:rPr>
                <w:color w:val="000000"/>
              </w:rPr>
            </w:pPr>
            <w:r w:rsidRPr="00C50C1C">
              <w:rPr>
                <w:color w:val="000000"/>
              </w:rPr>
              <w:t>December 2004</w:t>
            </w:r>
          </w:p>
        </w:tc>
        <w:tc>
          <w:tcPr>
            <w:tcW w:w="2291" w:type="dxa"/>
            <w:gridSpan w:val="2"/>
            <w:tcBorders>
              <w:top w:val="single" w:color="auto" w:sz="4" w:space="0"/>
              <w:bottom w:val="single" w:color="auto" w:sz="4" w:space="0"/>
            </w:tcBorders>
          </w:tcPr>
          <w:p w:rsidRPr="00C50C1C" w:rsidR="008B7BB0" w:rsidP="008B7BB0" w:rsidRDefault="008B7BB0" w14:paraId="58495CD7" w14:textId="7F41F4E5">
            <w:pPr>
              <w:keepLines/>
              <w:spacing w:before="60" w:after="60"/>
              <w:jc w:val="center"/>
              <w:rPr>
                <w:color w:val="000000"/>
              </w:rPr>
            </w:pPr>
            <w:r w:rsidRPr="00C50C1C">
              <w:rPr>
                <w:color w:val="000000"/>
              </w:rPr>
              <w:t>233318</w:t>
            </w:r>
          </w:p>
        </w:tc>
        <w:tc>
          <w:tcPr>
            <w:tcW w:w="3723" w:type="dxa"/>
            <w:gridSpan w:val="4"/>
            <w:tcBorders>
              <w:top w:val="single" w:color="auto" w:sz="4" w:space="0"/>
              <w:bottom w:val="single" w:color="auto" w:sz="4" w:space="0"/>
            </w:tcBorders>
          </w:tcPr>
          <w:p w:rsidRPr="00C50C1C" w:rsidR="008B7BB0" w:rsidP="008B7BB0" w:rsidRDefault="008B7BB0" w14:paraId="117B99BF" w14:textId="26FA4F90">
            <w:pPr>
              <w:keepLines/>
              <w:spacing w:before="60" w:after="60"/>
              <w:jc w:val="center"/>
              <w:rPr>
                <w:color w:val="000000"/>
              </w:rPr>
            </w:pPr>
            <w:r w:rsidRPr="00C50C1C">
              <w:rPr>
                <w:color w:val="000000"/>
              </w:rPr>
              <w:t>No</w:t>
            </w:r>
          </w:p>
        </w:tc>
      </w:tr>
    </w:tbl>
    <w:p w:rsidR="00A92D0B" w:rsidP="007A4727" w:rsidRDefault="00A92D0B" w14:paraId="04BC309E" w14:textId="1F8C1090">
      <w:pPr>
        <w:keepNext/>
        <w:numPr>
          <w:ilvl w:val="0"/>
          <w:numId w:val="9"/>
        </w:numPr>
        <w:spacing w:before="240"/>
        <w:rPr>
          <w:b/>
          <w:color w:val="000000"/>
        </w:rPr>
      </w:pPr>
      <w:r w:rsidRPr="005B5B44">
        <w:rPr>
          <w:b/>
          <w:color w:val="000000"/>
        </w:rPr>
        <w:lastRenderedPageBreak/>
        <w:t>Attachments</w:t>
      </w:r>
      <w:r w:rsidRPr="007F620E">
        <w:rPr>
          <w:b/>
        </w:rPr>
        <w:t xml:space="preserve"> Documenting Specific Claim and Comments on Part III</w:t>
      </w:r>
      <w:r w:rsidR="00B02980">
        <w:rPr>
          <w:rStyle w:val="FootnoteReference"/>
          <w:b/>
        </w:rPr>
        <w:footnoteReference w:id="4"/>
      </w:r>
      <w:r w:rsidR="00C02649">
        <w:rPr>
          <w:b/>
        </w:rPr>
        <w:t>:</w:t>
      </w:r>
    </w:p>
    <w:p w:rsidRPr="007A4727" w:rsidR="007A4727" w:rsidP="00F1660B" w:rsidRDefault="007A4727" w14:paraId="4742C51D" w14:textId="77777777">
      <w:pPr>
        <w:keepNext/>
        <w:ind w:left="360"/>
        <w:rPr>
          <w:b/>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C50C1C" w:rsidR="00A92D0B" w:rsidTr="001A3CF3" w14:paraId="0C2B760A" w14:textId="77777777">
        <w:trPr>
          <w:tblHeader/>
        </w:trPr>
        <w:tc>
          <w:tcPr>
            <w:tcW w:w="1795" w:type="dxa"/>
            <w:shd w:val="clear" w:color="auto" w:fill="D9D9D9" w:themeFill="background1" w:themeFillShade="D9"/>
            <w:vAlign w:val="bottom"/>
          </w:tcPr>
          <w:p w:rsidRPr="00C50C1C" w:rsidR="00A92D0B" w:rsidP="001A3CF3" w:rsidRDefault="00A92D0B" w14:paraId="42A1D838" w14:textId="77777777">
            <w:pPr>
              <w:tabs>
                <w:tab w:val="left" w:pos="1260"/>
              </w:tabs>
              <w:jc w:val="center"/>
              <w:rPr>
                <w:b/>
                <w:color w:val="000000"/>
              </w:rPr>
            </w:pPr>
            <w:r w:rsidRPr="00C50C1C">
              <w:rPr>
                <w:b/>
                <w:color w:val="000000"/>
              </w:rPr>
              <w:t>Attachment or Comment  #</w:t>
            </w:r>
          </w:p>
        </w:tc>
        <w:tc>
          <w:tcPr>
            <w:tcW w:w="7565" w:type="dxa"/>
            <w:tcBorders>
              <w:bottom w:val="single" w:color="auto" w:sz="4" w:space="0"/>
            </w:tcBorders>
            <w:shd w:val="clear" w:color="auto" w:fill="D9D9D9" w:themeFill="background1" w:themeFillShade="D9"/>
            <w:vAlign w:val="bottom"/>
          </w:tcPr>
          <w:p w:rsidRPr="00C50C1C" w:rsidR="00A92D0B" w:rsidP="001A3CF3" w:rsidRDefault="00A92D0B" w14:paraId="55F0A65F" w14:textId="77777777">
            <w:pPr>
              <w:tabs>
                <w:tab w:val="left" w:pos="1260"/>
              </w:tabs>
              <w:jc w:val="center"/>
              <w:rPr>
                <w:b/>
                <w:color w:val="000000"/>
              </w:rPr>
            </w:pPr>
            <w:r w:rsidRPr="00C50C1C">
              <w:rPr>
                <w:b/>
                <w:color w:val="000000"/>
              </w:rPr>
              <w:t>Description/Comment</w:t>
            </w:r>
          </w:p>
        </w:tc>
      </w:tr>
      <w:tr w:rsidRPr="00C50C1C" w:rsidR="00A92D0B" w:rsidTr="00DF095C" w14:paraId="71F47148" w14:textId="77777777">
        <w:tc>
          <w:tcPr>
            <w:tcW w:w="1795" w:type="dxa"/>
            <w:tcBorders>
              <w:bottom w:val="single" w:color="auto" w:sz="4" w:space="0"/>
            </w:tcBorders>
          </w:tcPr>
          <w:p w:rsidRPr="00C50C1C" w:rsidR="00A92D0B" w:rsidP="001A3CF3" w:rsidRDefault="00A92D0B" w14:paraId="7A5C03D8" w14:textId="77777777">
            <w:pPr>
              <w:tabs>
                <w:tab w:val="left" w:pos="1260"/>
              </w:tabs>
              <w:rPr>
                <w:color w:val="000000"/>
              </w:rPr>
            </w:pPr>
            <w:r w:rsidRPr="00C50C1C">
              <w:rPr>
                <w:color w:val="000000"/>
              </w:rPr>
              <w:t>1</w:t>
            </w:r>
          </w:p>
        </w:tc>
        <w:tc>
          <w:tcPr>
            <w:tcW w:w="7565" w:type="dxa"/>
            <w:tcBorders>
              <w:bottom w:val="single" w:color="auto" w:sz="4" w:space="0"/>
            </w:tcBorders>
          </w:tcPr>
          <w:p w:rsidRPr="00C50C1C" w:rsidR="00A92D0B" w:rsidP="001A3CF3" w:rsidRDefault="00A92D0B" w14:paraId="370C67BC" w14:textId="77777777">
            <w:pPr>
              <w:tabs>
                <w:tab w:val="left" w:pos="1260"/>
              </w:tabs>
              <w:rPr>
                <w:color w:val="000000"/>
              </w:rPr>
            </w:pPr>
            <w:r w:rsidRPr="00C50C1C">
              <w:rPr>
                <w:color w:val="000000"/>
              </w:rPr>
              <w:t>Certificate of Service</w:t>
            </w:r>
          </w:p>
        </w:tc>
      </w:tr>
      <w:tr w:rsidRPr="00C50C1C" w:rsidR="00A92D0B" w:rsidTr="00DF095C" w14:paraId="72C869B0" w14:textId="77777777">
        <w:tc>
          <w:tcPr>
            <w:tcW w:w="1795" w:type="dxa"/>
          </w:tcPr>
          <w:p w:rsidRPr="00C50C1C" w:rsidR="00A92D0B" w:rsidP="001A3CF3" w:rsidRDefault="0022302F" w14:paraId="49AADD21" w14:textId="77777777">
            <w:pPr>
              <w:tabs>
                <w:tab w:val="left" w:pos="1260"/>
              </w:tabs>
              <w:rPr>
                <w:color w:val="000000"/>
              </w:rPr>
            </w:pPr>
            <w:r w:rsidRPr="00C50C1C">
              <w:rPr>
                <w:color w:val="000000"/>
              </w:rPr>
              <w:t>2</w:t>
            </w:r>
          </w:p>
        </w:tc>
        <w:tc>
          <w:tcPr>
            <w:tcW w:w="7565" w:type="dxa"/>
          </w:tcPr>
          <w:p w:rsidRPr="00C50C1C" w:rsidR="00A92D0B" w:rsidP="001A3CF3" w:rsidRDefault="007E3A1D" w14:paraId="3AF20C23" w14:textId="2094F51E">
            <w:pPr>
              <w:tabs>
                <w:tab w:val="left" w:pos="1260"/>
              </w:tabs>
              <w:rPr>
                <w:bCs/>
                <w:color w:val="000000"/>
              </w:rPr>
            </w:pPr>
            <w:r w:rsidRPr="00C50C1C">
              <w:rPr>
                <w:bCs/>
                <w:color w:val="000000"/>
              </w:rPr>
              <w:t>Resume of Megan Myers</w:t>
            </w:r>
          </w:p>
        </w:tc>
      </w:tr>
      <w:tr w:rsidRPr="00C50C1C" w:rsidR="007E3A1D" w:rsidTr="00DF095C" w14:paraId="793F1927" w14:textId="77777777">
        <w:tc>
          <w:tcPr>
            <w:tcW w:w="1795" w:type="dxa"/>
          </w:tcPr>
          <w:p w:rsidRPr="00C50C1C" w:rsidR="007E3A1D" w:rsidP="001A3CF3" w:rsidRDefault="007E3A1D" w14:paraId="4AF107E4" w14:textId="284DFD63">
            <w:pPr>
              <w:tabs>
                <w:tab w:val="left" w:pos="1260"/>
              </w:tabs>
              <w:rPr>
                <w:color w:val="000000"/>
              </w:rPr>
            </w:pPr>
            <w:r w:rsidRPr="00C50C1C">
              <w:rPr>
                <w:color w:val="000000"/>
              </w:rPr>
              <w:t>3</w:t>
            </w:r>
          </w:p>
        </w:tc>
        <w:tc>
          <w:tcPr>
            <w:tcW w:w="7565" w:type="dxa"/>
          </w:tcPr>
          <w:p w:rsidRPr="00C50C1C" w:rsidR="007E3A1D" w:rsidP="001A3CF3" w:rsidRDefault="007E3A1D" w14:paraId="1BC8966A" w14:textId="3FEEB9D2">
            <w:pPr>
              <w:tabs>
                <w:tab w:val="left" w:pos="1260"/>
              </w:tabs>
              <w:rPr>
                <w:bCs/>
                <w:color w:val="000000"/>
              </w:rPr>
            </w:pPr>
            <w:r w:rsidRPr="00C50C1C">
              <w:rPr>
                <w:bCs/>
                <w:color w:val="000000"/>
              </w:rPr>
              <w:t>Resume of Michael Colvin</w:t>
            </w:r>
          </w:p>
        </w:tc>
      </w:tr>
      <w:tr w:rsidRPr="00C50C1C" w:rsidR="007E3A1D" w:rsidTr="00DF095C" w14:paraId="37C6FB7D" w14:textId="77777777">
        <w:tc>
          <w:tcPr>
            <w:tcW w:w="1795" w:type="dxa"/>
          </w:tcPr>
          <w:p w:rsidRPr="00C50C1C" w:rsidR="007E3A1D" w:rsidP="001A3CF3" w:rsidRDefault="007E3A1D" w14:paraId="7B9EA80E" w14:textId="67AABF14">
            <w:pPr>
              <w:tabs>
                <w:tab w:val="left" w:pos="1260"/>
              </w:tabs>
              <w:rPr>
                <w:color w:val="000000"/>
              </w:rPr>
            </w:pPr>
            <w:r w:rsidRPr="00C50C1C">
              <w:rPr>
                <w:color w:val="000000"/>
              </w:rPr>
              <w:t>4</w:t>
            </w:r>
          </w:p>
        </w:tc>
        <w:tc>
          <w:tcPr>
            <w:tcW w:w="7565" w:type="dxa"/>
          </w:tcPr>
          <w:p w:rsidRPr="00C50C1C" w:rsidR="007E3A1D" w:rsidP="001A3CF3" w:rsidRDefault="007E3A1D" w14:paraId="10A22736" w14:textId="0CCA9FCE">
            <w:pPr>
              <w:tabs>
                <w:tab w:val="left" w:pos="1260"/>
              </w:tabs>
              <w:rPr>
                <w:bCs/>
                <w:color w:val="000000"/>
              </w:rPr>
            </w:pPr>
            <w:r w:rsidRPr="00C50C1C">
              <w:rPr>
                <w:bCs/>
                <w:color w:val="000000"/>
              </w:rPr>
              <w:t>Resume of Steven Moss</w:t>
            </w:r>
          </w:p>
        </w:tc>
      </w:tr>
      <w:tr w:rsidRPr="00C50C1C" w:rsidR="00837B77" w:rsidTr="00DF095C" w14:paraId="4ACB8485" w14:textId="77777777">
        <w:tc>
          <w:tcPr>
            <w:tcW w:w="1795" w:type="dxa"/>
          </w:tcPr>
          <w:p w:rsidRPr="00C50C1C" w:rsidR="00837B77" w:rsidP="001A3CF3" w:rsidRDefault="00837B77" w14:paraId="06C7E084" w14:textId="7CA7D0E8">
            <w:pPr>
              <w:tabs>
                <w:tab w:val="left" w:pos="1260"/>
              </w:tabs>
              <w:rPr>
                <w:color w:val="000000"/>
              </w:rPr>
            </w:pPr>
            <w:r w:rsidRPr="00C50C1C">
              <w:rPr>
                <w:color w:val="000000"/>
              </w:rPr>
              <w:t>5</w:t>
            </w:r>
          </w:p>
        </w:tc>
        <w:tc>
          <w:tcPr>
            <w:tcW w:w="7565" w:type="dxa"/>
          </w:tcPr>
          <w:p w:rsidRPr="00C50C1C" w:rsidR="00837B77" w:rsidP="001A3CF3" w:rsidRDefault="00837B77" w14:paraId="3CFCD6DC" w14:textId="16BA333F">
            <w:pPr>
              <w:tabs>
                <w:tab w:val="left" w:pos="1260"/>
              </w:tabs>
              <w:rPr>
                <w:bCs/>
                <w:color w:val="000000"/>
              </w:rPr>
            </w:pPr>
            <w:r w:rsidRPr="00C50C1C">
              <w:rPr>
                <w:bCs/>
                <w:color w:val="000000"/>
              </w:rPr>
              <w:t>Resume of Cole Jermyn</w:t>
            </w:r>
          </w:p>
        </w:tc>
      </w:tr>
      <w:tr w:rsidRPr="00C50C1C" w:rsidR="007E3A1D" w:rsidTr="00DF095C" w14:paraId="20B32542" w14:textId="77777777">
        <w:tc>
          <w:tcPr>
            <w:tcW w:w="1795" w:type="dxa"/>
          </w:tcPr>
          <w:p w:rsidRPr="00C50C1C" w:rsidR="007E3A1D" w:rsidP="001A3CF3" w:rsidRDefault="00837B77" w14:paraId="4C40A7CC" w14:textId="702166DB">
            <w:pPr>
              <w:tabs>
                <w:tab w:val="left" w:pos="1260"/>
              </w:tabs>
              <w:rPr>
                <w:color w:val="000000"/>
              </w:rPr>
            </w:pPr>
            <w:r w:rsidRPr="00C50C1C">
              <w:rPr>
                <w:color w:val="000000"/>
              </w:rPr>
              <w:t>6</w:t>
            </w:r>
          </w:p>
        </w:tc>
        <w:tc>
          <w:tcPr>
            <w:tcW w:w="7565" w:type="dxa"/>
          </w:tcPr>
          <w:p w:rsidRPr="00C50C1C" w:rsidR="007E3A1D" w:rsidP="001A3CF3" w:rsidRDefault="007E3A1D" w14:paraId="48AACA29" w14:textId="77777777">
            <w:pPr>
              <w:tabs>
                <w:tab w:val="left" w:pos="1260"/>
              </w:tabs>
              <w:rPr>
                <w:bCs/>
                <w:color w:val="000000"/>
              </w:rPr>
            </w:pPr>
            <w:r w:rsidRPr="00C50C1C">
              <w:rPr>
                <w:bCs/>
                <w:color w:val="000000"/>
              </w:rPr>
              <w:t>Allocation of Time for Environmental Defense Fund</w:t>
            </w:r>
          </w:p>
          <w:p w:rsidRPr="00C50C1C" w:rsidR="007E3A1D" w:rsidP="001A3CF3" w:rsidRDefault="007E3A1D" w14:paraId="1D71044F" w14:textId="77777777">
            <w:pPr>
              <w:tabs>
                <w:tab w:val="left" w:pos="1260"/>
              </w:tabs>
              <w:rPr>
                <w:bCs/>
                <w:color w:val="000000"/>
              </w:rPr>
            </w:pPr>
          </w:p>
          <w:p w:rsidRPr="00C50C1C" w:rsidR="007E3A1D" w:rsidP="007E3A1D" w:rsidRDefault="007E3A1D" w14:paraId="2C06E156" w14:textId="173A1BEE">
            <w:pPr>
              <w:pStyle w:val="Default"/>
            </w:pPr>
            <w:r w:rsidRPr="00C50C1C">
              <w:t xml:space="preserve">1. Megan Myers is a legal consultant for EDF with approximately </w:t>
            </w:r>
            <w:r w:rsidRPr="00C50C1C" w:rsidR="00075F54">
              <w:t>19</w:t>
            </w:r>
            <w:r w:rsidRPr="00C50C1C">
              <w:t xml:space="preserve"> years of experience as an attorney</w:t>
            </w:r>
            <w:r w:rsidRPr="00C50C1C" w:rsidR="00075F54">
              <w:t>, including over 10 years working as a regulatory attorney representing clients before the California Public Utilities Commission</w:t>
            </w:r>
            <w:r w:rsidRPr="00C50C1C">
              <w:t xml:space="preserve">. </w:t>
            </w:r>
            <w:r w:rsidRPr="00C50C1C" w:rsidR="00075F54">
              <w:t xml:space="preserve"> Given her experience, she is classified as</w:t>
            </w:r>
            <w:r w:rsidRPr="00C50C1C" w:rsidR="00742BD3">
              <w:rPr>
                <w:rStyle w:val="FootnoteReference"/>
              </w:rPr>
              <w:footnoteReference w:id="5"/>
            </w:r>
            <w:r w:rsidRPr="00C50C1C" w:rsidR="00075F54">
              <w:t xml:space="preserve"> </w:t>
            </w:r>
          </w:p>
          <w:p w:rsidRPr="00C50C1C" w:rsidR="00075F54" w:rsidP="007E3A1D" w:rsidRDefault="00075F54" w14:paraId="29B6F775" w14:textId="77777777">
            <w:pPr>
              <w:pStyle w:val="Default"/>
            </w:pPr>
          </w:p>
          <w:p w:rsidRPr="00C50C1C" w:rsidR="007E3A1D" w:rsidP="007E3A1D" w:rsidRDefault="00075F54" w14:paraId="780D55D1" w14:textId="2DDC9F39">
            <w:pPr>
              <w:pStyle w:val="Default"/>
            </w:pPr>
            <w:r w:rsidRPr="00C50C1C">
              <w:t>2</w:t>
            </w:r>
            <w:r w:rsidRPr="00C50C1C" w:rsidR="007E3A1D">
              <w:t xml:space="preserve">. Michael Colvin </w:t>
            </w:r>
            <w:r w:rsidRPr="00C50C1C">
              <w:t>spent over 10 years at the California Public Utilities Commission and another 5 at Environmental Defense Fund.  Given his experience, he is classified as Public Policy Analyst IV.</w:t>
            </w:r>
            <w:r w:rsidRPr="00C50C1C" w:rsidR="007E3A1D">
              <w:t xml:space="preserve"> </w:t>
            </w:r>
          </w:p>
          <w:p w:rsidRPr="00C50C1C" w:rsidR="00075F54" w:rsidP="007E3A1D" w:rsidRDefault="00075F54" w14:paraId="738D2EAA" w14:textId="77777777">
            <w:pPr>
              <w:pStyle w:val="Default"/>
            </w:pPr>
          </w:p>
          <w:p w:rsidRPr="00C50C1C" w:rsidR="007E3A1D" w:rsidP="007E3A1D" w:rsidRDefault="00075F54" w14:paraId="1153F082" w14:textId="77777777">
            <w:pPr>
              <w:tabs>
                <w:tab w:val="left" w:pos="1260"/>
              </w:tabs>
            </w:pPr>
            <w:r w:rsidRPr="00C50C1C">
              <w:t xml:space="preserve">3. </w:t>
            </w:r>
            <w:r w:rsidRPr="00C50C1C" w:rsidR="007E3A1D">
              <w:t xml:space="preserve">Steven Moss has over 20 years of experience as a technical expert for utility regulatory proceedings. </w:t>
            </w:r>
          </w:p>
          <w:p w:rsidRPr="00C50C1C" w:rsidR="00837B77" w:rsidP="007E3A1D" w:rsidRDefault="00837B77" w14:paraId="60C3C58D" w14:textId="77777777">
            <w:pPr>
              <w:tabs>
                <w:tab w:val="left" w:pos="1260"/>
              </w:tabs>
              <w:rPr>
                <w:bCs/>
              </w:rPr>
            </w:pPr>
          </w:p>
          <w:p w:rsidRPr="00C50C1C" w:rsidR="00837B77" w:rsidP="007E3A1D" w:rsidRDefault="00837B77" w14:paraId="677222EF" w14:textId="3E526BF2">
            <w:pPr>
              <w:tabs>
                <w:tab w:val="left" w:pos="1260"/>
              </w:tabs>
              <w:rPr>
                <w:bCs/>
                <w:color w:val="000000"/>
              </w:rPr>
            </w:pPr>
            <w:r w:rsidRPr="00C50C1C">
              <w:rPr>
                <w:bCs/>
              </w:rPr>
              <w:t xml:space="preserve">4. Cole Jermyn is an Attorney who is licensed to practice in Washington D.C.  He has worked for EDF since August 2021 first as an Energy Transition Legal Fello and then as an Energy Transition Attorney since August 2022. </w:t>
            </w:r>
          </w:p>
        </w:tc>
      </w:tr>
    </w:tbl>
    <w:p w:rsidRPr="007F620E" w:rsidR="00A92D0B" w:rsidP="005B5B44" w:rsidRDefault="00A92D0B" w14:paraId="0D8B7003" w14:textId="4637C93E">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 xml:space="preserve">Adjustments </w:t>
      </w:r>
    </w:p>
    <w:tbl>
      <w:tblPr>
        <w:tblW w:w="97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21"/>
        <w:gridCol w:w="8106"/>
      </w:tblGrid>
      <w:tr w:rsidRPr="00C50C1C" w:rsidR="00A92D0B" w:rsidTr="008A3E39" w14:paraId="52CD0603" w14:textId="77777777">
        <w:trPr>
          <w:tblHeader/>
        </w:trPr>
        <w:tc>
          <w:tcPr>
            <w:tcW w:w="1616" w:type="dxa"/>
            <w:shd w:val="pct12" w:color="auto" w:fill="auto"/>
          </w:tcPr>
          <w:p w:rsidRPr="00C50C1C" w:rsidR="00A92D0B" w:rsidP="00EB64CF" w:rsidRDefault="00072C81" w14:paraId="3954EC4C" w14:textId="77777777">
            <w:pPr>
              <w:tabs>
                <w:tab w:val="left" w:pos="1440"/>
              </w:tabs>
              <w:jc w:val="center"/>
              <w:rPr>
                <w:b/>
                <w:color w:val="000000"/>
              </w:rPr>
            </w:pPr>
            <w:r w:rsidRPr="00C50C1C">
              <w:rPr>
                <w:b/>
                <w:color w:val="000000"/>
              </w:rPr>
              <w:t>Item</w:t>
            </w:r>
          </w:p>
        </w:tc>
        <w:tc>
          <w:tcPr>
            <w:tcW w:w="8106" w:type="dxa"/>
            <w:shd w:val="pct12" w:color="auto" w:fill="auto"/>
          </w:tcPr>
          <w:p w:rsidRPr="00C50C1C" w:rsidR="00A92D0B" w:rsidP="00EB64CF" w:rsidRDefault="00A92D0B" w14:paraId="09F9E4D9" w14:textId="77777777">
            <w:pPr>
              <w:tabs>
                <w:tab w:val="left" w:pos="1440"/>
              </w:tabs>
              <w:jc w:val="center"/>
              <w:rPr>
                <w:b/>
                <w:color w:val="000000"/>
              </w:rPr>
            </w:pPr>
            <w:r w:rsidRPr="00C50C1C">
              <w:rPr>
                <w:b/>
                <w:color w:val="000000"/>
              </w:rPr>
              <w:t>Reason</w:t>
            </w:r>
          </w:p>
        </w:tc>
      </w:tr>
      <w:tr w:rsidRPr="00C50C1C" w:rsidR="00A92D0B" w:rsidTr="008A3E39" w14:paraId="69DEE01C" w14:textId="77777777">
        <w:tc>
          <w:tcPr>
            <w:tcW w:w="1616" w:type="dxa"/>
          </w:tcPr>
          <w:p w:rsidRPr="00C50C1C" w:rsidR="00A92D0B" w:rsidP="00EB64CF" w:rsidRDefault="00523E24" w14:paraId="1E6C8F3D" w14:textId="45AC56B3">
            <w:pPr>
              <w:tabs>
                <w:tab w:val="left" w:pos="1440"/>
              </w:tabs>
              <w:rPr>
                <w:color w:val="000000"/>
              </w:rPr>
            </w:pPr>
            <w:r w:rsidRPr="00C50C1C">
              <w:rPr>
                <w:color w:val="000000"/>
              </w:rPr>
              <w:t>[1]</w:t>
            </w:r>
            <w:r w:rsidRPr="00C50C1C" w:rsidR="00AB1A92">
              <w:rPr>
                <w:color w:val="000000"/>
              </w:rPr>
              <w:t xml:space="preserve"> Guidance Regarding Compliance with the Intervenor Compensation </w:t>
            </w:r>
            <w:r w:rsidRPr="00C50C1C" w:rsidR="00AB1A92">
              <w:rPr>
                <w:color w:val="000000"/>
              </w:rPr>
              <w:lastRenderedPageBreak/>
              <w:t>Program Requirements</w:t>
            </w:r>
          </w:p>
        </w:tc>
        <w:tc>
          <w:tcPr>
            <w:tcW w:w="8106" w:type="dxa"/>
          </w:tcPr>
          <w:p w:rsidRPr="00C50C1C" w:rsidR="00A92D0B" w:rsidP="00EB64CF" w:rsidRDefault="00523E24" w14:paraId="45BFCB16" w14:textId="076B3C39">
            <w:pPr>
              <w:tabs>
                <w:tab w:val="left" w:pos="1440"/>
              </w:tabs>
              <w:rPr>
                <w:color w:val="000000"/>
              </w:rPr>
            </w:pPr>
            <w:r w:rsidRPr="00C50C1C">
              <w:rPr>
                <w:color w:val="000000"/>
              </w:rPr>
              <w:lastRenderedPageBreak/>
              <w:t>In Part II.A: Substantial Contribution, EDF frequently cited sections of the Decision which summarized their comments, and/or simply listed that they filed comments as their substantial contribution. We remind EDF that submitting comments does not</w:t>
            </w:r>
            <w:r w:rsidRPr="00C50C1C" w:rsidR="00F05774">
              <w:rPr>
                <w:color w:val="000000"/>
              </w:rPr>
              <w:t>, in and of itself,</w:t>
            </w:r>
            <w:r w:rsidRPr="00C50C1C">
              <w:rPr>
                <w:color w:val="000000"/>
              </w:rPr>
              <w:t xml:space="preserve"> constitute </w:t>
            </w:r>
            <w:r w:rsidRPr="00C50C1C" w:rsidR="00795DFC">
              <w:rPr>
                <w:color w:val="000000"/>
              </w:rPr>
              <w:t>a substantial</w:t>
            </w:r>
            <w:r w:rsidRPr="00C50C1C" w:rsidR="0001754F">
              <w:rPr>
                <w:color w:val="000000"/>
              </w:rPr>
              <w:t xml:space="preserve"> </w:t>
            </w:r>
            <w:r w:rsidRPr="00C50C1C">
              <w:rPr>
                <w:color w:val="000000"/>
              </w:rPr>
              <w:t xml:space="preserve">contribution. </w:t>
            </w:r>
          </w:p>
        </w:tc>
      </w:tr>
      <w:tr w:rsidRPr="00C50C1C" w:rsidR="00A92D0B" w:rsidTr="008A3E39" w14:paraId="52155EFC" w14:textId="77777777">
        <w:tc>
          <w:tcPr>
            <w:tcW w:w="1616" w:type="dxa"/>
          </w:tcPr>
          <w:p w:rsidRPr="00C50C1C" w:rsidR="00A92D0B" w:rsidP="00EB64CF" w:rsidRDefault="00D47283" w14:paraId="26487933" w14:textId="2821D231">
            <w:pPr>
              <w:tabs>
                <w:tab w:val="left" w:pos="1440"/>
              </w:tabs>
              <w:rPr>
                <w:color w:val="000000"/>
              </w:rPr>
            </w:pPr>
            <w:r w:rsidRPr="00C50C1C">
              <w:rPr>
                <w:color w:val="000000"/>
              </w:rPr>
              <w:t>[2]</w:t>
            </w:r>
            <w:r w:rsidRPr="00C50C1C" w:rsidR="000F7C11">
              <w:rPr>
                <w:color w:val="000000"/>
              </w:rPr>
              <w:t xml:space="preserve"> </w:t>
            </w:r>
            <w:r w:rsidRPr="00C50C1C" w:rsidR="00091392">
              <w:rPr>
                <w:color w:val="000000"/>
              </w:rPr>
              <w:t>Myers 2021, 2022, an</w:t>
            </w:r>
            <w:r w:rsidRPr="00C50C1C" w:rsidR="00217D0E">
              <w:rPr>
                <w:color w:val="000000"/>
              </w:rPr>
              <w:t>d 2023 Rate</w:t>
            </w:r>
            <w:r w:rsidRPr="00C50C1C" w:rsidR="00BD5E80">
              <w:rPr>
                <w:color w:val="000000"/>
              </w:rPr>
              <w:t xml:space="preserve"> </w:t>
            </w:r>
          </w:p>
        </w:tc>
        <w:tc>
          <w:tcPr>
            <w:tcW w:w="8106" w:type="dxa"/>
          </w:tcPr>
          <w:p w:rsidRPr="00C50C1C" w:rsidR="00F1660B" w:rsidP="00F1660B" w:rsidRDefault="00F1660B" w14:paraId="52F4C3BB" w14:textId="7F0C177F">
            <w:pPr>
              <w:suppressAutoHyphens/>
            </w:pPr>
            <w:r w:rsidRPr="00C50C1C">
              <w:t>Upon further review, the Commission has determined that Myers is a consultant. Pursuant to Commission policy, the rate requested by an intervenor must not exceed the rate billed to that intervenor by any outside consultant it hires, even if the consultant’s billed rate is below the floor for a given experience level.</w:t>
            </w:r>
            <w:r w:rsidRPr="00C50C1C">
              <w:rPr>
                <w:vertAlign w:val="superscript"/>
              </w:rPr>
              <w:footnoteReference w:id="6"/>
            </w:r>
            <w:r w:rsidRPr="00C50C1C">
              <w:t xml:space="preserve">  Per the </w:t>
            </w:r>
            <w:proofErr w:type="spellStart"/>
            <w:r w:rsidRPr="00C50C1C">
              <w:t>IComp</w:t>
            </w:r>
            <w:proofErr w:type="spellEnd"/>
            <w:r w:rsidRPr="00C50C1C">
              <w:t xml:space="preserve"> Program Guide at 24, the Commission may audit the records and books of the intervenors to the extent necessary to verify the basis for the award (§ 1804(d)).</w:t>
            </w:r>
          </w:p>
          <w:p w:rsidRPr="00C50C1C" w:rsidR="005A547D" w:rsidP="00F1660B" w:rsidRDefault="005A547D" w14:paraId="121D6115" w14:textId="77777777">
            <w:pPr>
              <w:suppressAutoHyphens/>
            </w:pPr>
          </w:p>
          <w:p w:rsidRPr="00C50C1C" w:rsidR="00725FE2" w:rsidP="00725FE2" w:rsidRDefault="005A547D" w14:paraId="50522DF7" w14:textId="4DBDCAFB">
            <w:pPr>
              <w:suppressAutoHyphens/>
              <w:rPr>
                <w:color w:val="000000"/>
              </w:rPr>
            </w:pPr>
            <w:r w:rsidRPr="00C50C1C">
              <w:t>The documentation provided by EDF verified that Myers billed EDF a 2021, 2022, and 2023 hourly rate of $490.00. We approve a 202</w:t>
            </w:r>
            <w:r w:rsidRPr="00C50C1C" w:rsidR="00725FE2">
              <w:t>1, 2022, and 2023</w:t>
            </w:r>
            <w:r w:rsidRPr="00C50C1C">
              <w:t xml:space="preserve"> hourly rate of $4</w:t>
            </w:r>
            <w:r w:rsidRPr="00C50C1C" w:rsidR="00725FE2">
              <w:t xml:space="preserve">90.00 </w:t>
            </w:r>
            <w:r w:rsidRPr="00C50C1C">
              <w:t xml:space="preserve">for </w:t>
            </w:r>
            <w:r w:rsidRPr="00C50C1C" w:rsidR="00725FE2">
              <w:t>Myer</w:t>
            </w:r>
            <w:r w:rsidRPr="00C50C1C">
              <w:t>'s work in this claim</w:t>
            </w:r>
            <w:r w:rsidRPr="00C50C1C" w:rsidR="00725FE2">
              <w:t>.</w:t>
            </w:r>
            <w:r w:rsidRPr="00C50C1C" w:rsidR="00725FE2">
              <w:rPr>
                <w:color w:val="000000"/>
              </w:rPr>
              <w:t xml:space="preserve"> </w:t>
            </w:r>
            <w:r w:rsidRPr="00C50C1C" w:rsidR="007F6809">
              <w:rPr>
                <w:color w:val="000000"/>
              </w:rPr>
              <w:t>Additionally, w</w:t>
            </w:r>
            <w:r w:rsidRPr="00C50C1C" w:rsidR="00725FE2">
              <w:rPr>
                <w:color w:val="000000"/>
              </w:rPr>
              <w:t>e apply ½ of Myer’s 2023 rate of $490.00 for an intervenor compensation claim preparation rate of $245.00.</w:t>
            </w:r>
          </w:p>
          <w:p w:rsidRPr="00C50C1C" w:rsidR="00B6088A" w:rsidP="00725FE2" w:rsidRDefault="00B6088A" w14:paraId="2A444E3A" w14:textId="77777777">
            <w:pPr>
              <w:suppressAutoHyphens/>
              <w:rPr>
                <w:color w:val="000000"/>
              </w:rPr>
            </w:pPr>
          </w:p>
          <w:p w:rsidRPr="00C50C1C" w:rsidR="00B6088A" w:rsidP="00B6088A" w:rsidRDefault="00B6088A" w14:paraId="54542DD3" w14:textId="3978E884">
            <w:pPr>
              <w:tabs>
                <w:tab w:val="left" w:pos="1440"/>
              </w:tabs>
              <w:rPr>
                <w:color w:val="000000"/>
              </w:rPr>
            </w:pPr>
            <w:r w:rsidRPr="00C50C1C">
              <w:rPr>
                <w:color w:val="000000"/>
              </w:rPr>
              <w:t>The award determined herein for Myer’s contribution in this proceeding shall be paid in full to Myers, and no portion of this part of the award shall be kept by the intervenor. Additionally, the rates approved here are specific to work in this proceeding and the contract terms between Myers and EDF, as they are established in accordance with the Commission’s policy on consultant compensation.</w:t>
            </w:r>
          </w:p>
          <w:p w:rsidRPr="00C50C1C" w:rsidR="00725FE2" w:rsidP="00F1660B" w:rsidRDefault="00725FE2" w14:paraId="35082B77" w14:textId="77777777">
            <w:pPr>
              <w:tabs>
                <w:tab w:val="left" w:pos="1440"/>
              </w:tabs>
              <w:rPr>
                <w:color w:val="000000"/>
              </w:rPr>
            </w:pPr>
          </w:p>
          <w:p w:rsidRPr="00C50C1C" w:rsidR="00A92D0B" w:rsidP="00B32A45" w:rsidRDefault="00F1660B" w14:paraId="455E6A00" w14:textId="321D2BD4">
            <w:pPr>
              <w:tabs>
                <w:tab w:val="left" w:pos="1440"/>
              </w:tabs>
              <w:rPr>
                <w:color w:val="000000"/>
              </w:rPr>
            </w:pPr>
            <w:r w:rsidRPr="00C50C1C">
              <w:rPr>
                <w:color w:val="000000"/>
              </w:rPr>
              <w:t xml:space="preserve">We reiterate that it is the responsibility of the intervenor to provide the appropriate documentation with the initial claim to ensure efficient </w:t>
            </w:r>
            <w:proofErr w:type="gramStart"/>
            <w:r w:rsidRPr="00C50C1C">
              <w:rPr>
                <w:color w:val="000000"/>
              </w:rPr>
              <w:t>processing, and</w:t>
            </w:r>
            <w:proofErr w:type="gramEnd"/>
            <w:r w:rsidRPr="00C50C1C">
              <w:rPr>
                <w:color w:val="000000"/>
              </w:rPr>
              <w:t xml:space="preserve"> thus avoid the need for the Commission to request supplemental documentation. In this instance, </w:t>
            </w:r>
            <w:r w:rsidRPr="00C50C1C" w:rsidR="00725FE2">
              <w:rPr>
                <w:color w:val="000000"/>
              </w:rPr>
              <w:t>EDF</w:t>
            </w:r>
            <w:r w:rsidRPr="00C50C1C">
              <w:rPr>
                <w:color w:val="000000"/>
              </w:rPr>
              <w:t xml:space="preserve"> did not provide all the documentation pertaining to the contract terms between </w:t>
            </w:r>
            <w:r w:rsidRPr="00C50C1C" w:rsidR="00725FE2">
              <w:rPr>
                <w:color w:val="000000"/>
              </w:rPr>
              <w:t>EDF</w:t>
            </w:r>
            <w:r w:rsidRPr="00C50C1C">
              <w:rPr>
                <w:color w:val="000000"/>
              </w:rPr>
              <w:t xml:space="preserve"> and </w:t>
            </w:r>
            <w:r w:rsidRPr="00C50C1C" w:rsidR="00725FE2">
              <w:rPr>
                <w:color w:val="000000"/>
              </w:rPr>
              <w:t>Myers</w:t>
            </w:r>
            <w:r w:rsidRPr="00C50C1C">
              <w:rPr>
                <w:color w:val="000000"/>
              </w:rPr>
              <w:t xml:space="preserve"> in the initial claim and waited until the Commission requested supplemental documentation which delays the processing of the claim.</w:t>
            </w:r>
          </w:p>
        </w:tc>
      </w:tr>
      <w:tr w:rsidRPr="00C50C1C" w:rsidR="00BC234E" w:rsidTr="008A3E39" w14:paraId="3E78EB02" w14:textId="77777777">
        <w:tc>
          <w:tcPr>
            <w:tcW w:w="1616" w:type="dxa"/>
          </w:tcPr>
          <w:p w:rsidRPr="00C50C1C" w:rsidR="00BC234E" w:rsidP="00EB64CF" w:rsidRDefault="00217D0E" w14:paraId="32C06E13" w14:textId="28A0CAB4">
            <w:pPr>
              <w:tabs>
                <w:tab w:val="left" w:pos="1440"/>
              </w:tabs>
              <w:rPr>
                <w:color w:val="000000"/>
              </w:rPr>
            </w:pPr>
            <w:r w:rsidRPr="00C50C1C">
              <w:rPr>
                <w:color w:val="000000"/>
              </w:rPr>
              <w:t>[3] Colvin</w:t>
            </w:r>
            <w:r w:rsidRPr="00C50C1C" w:rsidR="00686E8A">
              <w:rPr>
                <w:color w:val="000000"/>
              </w:rPr>
              <w:t xml:space="preserve"> 2021,</w:t>
            </w:r>
            <w:r w:rsidRPr="00C50C1C">
              <w:rPr>
                <w:color w:val="000000"/>
              </w:rPr>
              <w:t xml:space="preserve"> 2022</w:t>
            </w:r>
            <w:r w:rsidRPr="00C50C1C" w:rsidR="00686E8A">
              <w:rPr>
                <w:color w:val="000000"/>
              </w:rPr>
              <w:t>, and 2023 Rate</w:t>
            </w:r>
          </w:p>
        </w:tc>
        <w:tc>
          <w:tcPr>
            <w:tcW w:w="8106" w:type="dxa"/>
          </w:tcPr>
          <w:p w:rsidRPr="00C50C1C" w:rsidR="00725FE2" w:rsidP="00EB64CF" w:rsidRDefault="00725FE2" w14:paraId="5B041B4F" w14:textId="77777777">
            <w:pPr>
              <w:tabs>
                <w:tab w:val="left" w:pos="1440"/>
              </w:tabs>
              <w:rPr>
                <w:color w:val="000000"/>
              </w:rPr>
            </w:pPr>
            <w:r w:rsidRPr="00C50C1C">
              <w:rPr>
                <w:color w:val="000000"/>
              </w:rPr>
              <w:t xml:space="preserve">D.22-11-037 approved a 2021 hourly rate of $480.00 for Colvin. </w:t>
            </w:r>
          </w:p>
          <w:p w:rsidRPr="00C50C1C" w:rsidR="00725FE2" w:rsidP="00EB64CF" w:rsidRDefault="00725FE2" w14:paraId="41925519" w14:textId="77777777">
            <w:pPr>
              <w:tabs>
                <w:tab w:val="left" w:pos="1440"/>
              </w:tabs>
              <w:rPr>
                <w:color w:val="000000"/>
              </w:rPr>
            </w:pPr>
            <w:r w:rsidRPr="00C50C1C">
              <w:rPr>
                <w:color w:val="000000"/>
              </w:rPr>
              <w:t xml:space="preserve">D.24-05-026 approved a 2022 hourly rate of $505.00 for Colvin. </w:t>
            </w:r>
          </w:p>
          <w:p w:rsidRPr="00C50C1C" w:rsidR="00E50EE0" w:rsidP="00EB64CF" w:rsidRDefault="00E50EE0" w14:paraId="38B6A78D" w14:textId="77777777">
            <w:pPr>
              <w:tabs>
                <w:tab w:val="left" w:pos="1440"/>
              </w:tabs>
              <w:rPr>
                <w:color w:val="000000"/>
              </w:rPr>
            </w:pPr>
          </w:p>
          <w:p w:rsidRPr="00C50C1C" w:rsidR="00844D0C" w:rsidP="00BB4370" w:rsidRDefault="00BB4370" w14:paraId="1B4B9AA8" w14:textId="03CC3B8E">
            <w:r w:rsidRPr="00C50C1C">
              <w:t xml:space="preserve">D.24-05-026 verified a 2023 rate of $520.00 for Michael Colvin as an Expert – Public Policy Analyst - IV. Upon review of the submitted resume, we have revaluated Colvin’s 2023 rate. The 2023 rate range for an Expert - Public Policy Analyst - V is $543.52 to $920.24, with a median of $702.42. Colvin has 15+ years of experience in public policy, holding various roles across management, analysis, and consulting. Therefore, we summarily classify Colvin as an Expert - </w:t>
            </w:r>
            <w:r w:rsidRPr="00C50C1C">
              <w:lastRenderedPageBreak/>
              <w:t>Public Policy Analyst - V and approve a 2023 hourly rate of $545.00 for Colvin going forward.</w:t>
            </w:r>
          </w:p>
        </w:tc>
      </w:tr>
      <w:tr w:rsidRPr="00C50C1C" w:rsidR="00BC234E" w:rsidTr="008A3E39" w14:paraId="7EC9C5C2" w14:textId="77777777">
        <w:tc>
          <w:tcPr>
            <w:tcW w:w="1616" w:type="dxa"/>
          </w:tcPr>
          <w:p w:rsidRPr="00C50C1C" w:rsidR="00BC234E" w:rsidP="00EB64CF" w:rsidRDefault="00686E8A" w14:paraId="429F5A72" w14:textId="71C15EB0">
            <w:pPr>
              <w:tabs>
                <w:tab w:val="left" w:pos="1440"/>
              </w:tabs>
              <w:rPr>
                <w:color w:val="000000"/>
              </w:rPr>
            </w:pPr>
            <w:r w:rsidRPr="00C50C1C">
              <w:rPr>
                <w:color w:val="000000"/>
              </w:rPr>
              <w:lastRenderedPageBreak/>
              <w:t>[4] Moss 2022 and 2023 Rate</w:t>
            </w:r>
          </w:p>
        </w:tc>
        <w:tc>
          <w:tcPr>
            <w:tcW w:w="8106" w:type="dxa"/>
          </w:tcPr>
          <w:p w:rsidRPr="00C50C1C" w:rsidR="00725FE2" w:rsidP="00725FE2" w:rsidRDefault="00725FE2" w14:paraId="40288BD0" w14:textId="5F2169E5">
            <w:pPr>
              <w:suppressAutoHyphens/>
            </w:pPr>
            <w:r w:rsidRPr="00C50C1C">
              <w:t>Upon further review, the Commission has determined that Moss is a consultant. Pursuant to Commission policy, the rate requested by an intervenor must not exceed the rate billed to that intervenor by any outside consultant it hires, even if the consultant’s billed rate is below the floor for a given experience level.</w:t>
            </w:r>
            <w:r w:rsidRPr="00C50C1C">
              <w:rPr>
                <w:vertAlign w:val="superscript"/>
              </w:rPr>
              <w:footnoteReference w:id="7"/>
            </w:r>
            <w:r w:rsidRPr="00C50C1C">
              <w:t xml:space="preserve">  Per the </w:t>
            </w:r>
            <w:proofErr w:type="spellStart"/>
            <w:r w:rsidRPr="00C50C1C">
              <w:t>IComp</w:t>
            </w:r>
            <w:proofErr w:type="spellEnd"/>
            <w:r w:rsidRPr="00C50C1C">
              <w:t xml:space="preserve"> Program Guide at 24, the Commission may audit the records and books of the intervenors to the extent necessary to verify the basis for the award (§ 1804(d)).</w:t>
            </w:r>
          </w:p>
          <w:p w:rsidRPr="00C50C1C" w:rsidR="00725FE2" w:rsidP="00725FE2" w:rsidRDefault="00725FE2" w14:paraId="6E887F4E" w14:textId="77777777">
            <w:pPr>
              <w:suppressAutoHyphens/>
            </w:pPr>
          </w:p>
          <w:p w:rsidRPr="00C50C1C" w:rsidR="007646D7" w:rsidP="00725FE2" w:rsidRDefault="00725FE2" w14:paraId="11C9C8B4" w14:textId="77777777">
            <w:pPr>
              <w:suppressAutoHyphens/>
              <w:rPr>
                <w:color w:val="000000"/>
              </w:rPr>
            </w:pPr>
            <w:r w:rsidRPr="00C50C1C">
              <w:t>The documentation provided by EDF verified that Moss billed EDF a 2022 and 2023 hourly rate of $300.00. We approve a 2022 and 2023 hourly rate of $300.00 for Moss’s work in this claim.</w:t>
            </w:r>
            <w:r w:rsidRPr="00C50C1C">
              <w:rPr>
                <w:color w:val="000000"/>
              </w:rPr>
              <w:t xml:space="preserve"> </w:t>
            </w:r>
          </w:p>
          <w:p w:rsidRPr="00C50C1C" w:rsidR="00725FE2" w:rsidP="00725FE2" w:rsidRDefault="00725FE2" w14:paraId="069F9E85" w14:textId="77777777">
            <w:pPr>
              <w:suppressAutoHyphens/>
              <w:rPr>
                <w:color w:val="000000"/>
              </w:rPr>
            </w:pPr>
          </w:p>
          <w:p w:rsidRPr="00C50C1C" w:rsidR="00B6088A" w:rsidP="00B6088A" w:rsidRDefault="00B6088A" w14:paraId="1BDAC575" w14:textId="21B453CF">
            <w:pPr>
              <w:tabs>
                <w:tab w:val="left" w:pos="1440"/>
              </w:tabs>
              <w:rPr>
                <w:color w:val="000000"/>
              </w:rPr>
            </w:pPr>
            <w:r w:rsidRPr="00C50C1C">
              <w:rPr>
                <w:color w:val="000000"/>
              </w:rPr>
              <w:t xml:space="preserve">The award determined herein for </w:t>
            </w:r>
            <w:proofErr w:type="spellStart"/>
            <w:r w:rsidRPr="00C50C1C">
              <w:rPr>
                <w:color w:val="000000"/>
              </w:rPr>
              <w:t>Moss’</w:t>
            </w:r>
            <w:proofErr w:type="spellEnd"/>
            <w:r w:rsidRPr="00C50C1C">
              <w:rPr>
                <w:color w:val="000000"/>
              </w:rPr>
              <w:t xml:space="preserve"> contribution in this proceeding shall be paid in full to Moss, and no portion of this part of the award shall be kept by the intervenor. Additionally, the rates approved here are specific to work in this proceeding and the contract terms between Moss and EDF, as they are established in accordance with the Commission’s policy on consultant compensation.</w:t>
            </w:r>
          </w:p>
          <w:p w:rsidRPr="00C50C1C" w:rsidR="00A41B22" w:rsidP="00A41B22" w:rsidRDefault="00A41B22" w14:paraId="0EBFD6A4" w14:textId="77777777">
            <w:pPr>
              <w:suppressAutoHyphens/>
            </w:pPr>
          </w:p>
          <w:p w:rsidRPr="00C50C1C" w:rsidR="00725FE2" w:rsidP="00725FE2" w:rsidRDefault="00725FE2" w14:paraId="765D927D" w14:textId="03537294">
            <w:pPr>
              <w:suppressAutoHyphens/>
              <w:rPr>
                <w:color w:val="000000"/>
              </w:rPr>
            </w:pPr>
            <w:r w:rsidRPr="00C50C1C">
              <w:rPr>
                <w:color w:val="000000"/>
              </w:rPr>
              <w:t xml:space="preserve">We reiterate that it is the responsibility of the intervenor to provide the appropriate documentation with the initial claim to ensure efficient </w:t>
            </w:r>
            <w:proofErr w:type="gramStart"/>
            <w:r w:rsidRPr="00C50C1C">
              <w:rPr>
                <w:color w:val="000000"/>
              </w:rPr>
              <w:t>processing, and</w:t>
            </w:r>
            <w:proofErr w:type="gramEnd"/>
            <w:r w:rsidRPr="00C50C1C">
              <w:rPr>
                <w:color w:val="000000"/>
              </w:rPr>
              <w:t xml:space="preserve"> thus avoid the need for the Commission to request supplemental documentation. In this instance, EDF did not provide all the documentation pertaining to the contract terms between EDF and Moss in the initial claim and waited until the Commission requested supplemental documentation which delays the processing of the claim.</w:t>
            </w:r>
          </w:p>
        </w:tc>
      </w:tr>
      <w:tr w:rsidRPr="00C50C1C" w:rsidR="00BC234E" w:rsidTr="008A3E39" w14:paraId="7ED0C383" w14:textId="77777777">
        <w:tc>
          <w:tcPr>
            <w:tcW w:w="1616" w:type="dxa"/>
          </w:tcPr>
          <w:p w:rsidRPr="00C50C1C" w:rsidR="00BC234E" w:rsidP="00EB64CF" w:rsidRDefault="00686E8A" w14:paraId="171FBCD7" w14:textId="37C67A82">
            <w:pPr>
              <w:tabs>
                <w:tab w:val="left" w:pos="1440"/>
              </w:tabs>
              <w:rPr>
                <w:color w:val="000000"/>
              </w:rPr>
            </w:pPr>
            <w:r w:rsidRPr="00C50C1C">
              <w:rPr>
                <w:color w:val="000000"/>
              </w:rPr>
              <w:t>[5] Jermyn 2021, 2022, and 2023 Rate</w:t>
            </w:r>
          </w:p>
        </w:tc>
        <w:tc>
          <w:tcPr>
            <w:tcW w:w="8106" w:type="dxa"/>
          </w:tcPr>
          <w:p w:rsidRPr="00C50C1C" w:rsidR="00BC234E" w:rsidP="00EB64CF" w:rsidRDefault="00E352B8" w14:paraId="3E602261" w14:textId="50BCBAC5">
            <w:pPr>
              <w:tabs>
                <w:tab w:val="left" w:pos="1440"/>
              </w:tabs>
              <w:rPr>
                <w:color w:val="000000"/>
              </w:rPr>
            </w:pPr>
            <w:r w:rsidRPr="00C50C1C">
              <w:rPr>
                <w:color w:val="000000"/>
              </w:rPr>
              <w:t xml:space="preserve">Cole Jermyn </w:t>
            </w:r>
            <w:r w:rsidRPr="00C50C1C" w:rsidR="00016BD3">
              <w:rPr>
                <w:color w:val="000000"/>
              </w:rPr>
              <w:t xml:space="preserve">received a </w:t>
            </w:r>
            <w:r w:rsidRPr="00C50C1C" w:rsidR="00B902B4">
              <w:rPr>
                <w:color w:val="000000"/>
              </w:rPr>
              <w:t xml:space="preserve">BS </w:t>
            </w:r>
            <w:r w:rsidRPr="00C50C1C" w:rsidR="00496D08">
              <w:rPr>
                <w:color w:val="000000"/>
              </w:rPr>
              <w:t>in</w:t>
            </w:r>
            <w:r w:rsidRPr="00C50C1C" w:rsidR="00B902B4">
              <w:rPr>
                <w:color w:val="000000"/>
              </w:rPr>
              <w:t xml:space="preserve"> Environmental Resources Engineerin</w:t>
            </w:r>
            <w:r w:rsidRPr="00C50C1C" w:rsidR="00496D08">
              <w:rPr>
                <w:color w:val="000000"/>
              </w:rPr>
              <w:t>g</w:t>
            </w:r>
            <w:r w:rsidRPr="00C50C1C" w:rsidR="00C8281B">
              <w:rPr>
                <w:color w:val="000000"/>
              </w:rPr>
              <w:t xml:space="preserve"> from </w:t>
            </w:r>
            <w:r w:rsidRPr="00C50C1C" w:rsidR="005D0F1F">
              <w:rPr>
                <w:color w:val="000000"/>
              </w:rPr>
              <w:t>State University of New York</w:t>
            </w:r>
            <w:r w:rsidRPr="00C50C1C" w:rsidR="00C8281B">
              <w:rPr>
                <w:color w:val="000000"/>
              </w:rPr>
              <w:t xml:space="preserve"> </w:t>
            </w:r>
            <w:r w:rsidRPr="00C50C1C" w:rsidR="00496D08">
              <w:rPr>
                <w:color w:val="000000"/>
              </w:rPr>
              <w:t xml:space="preserve">in </w:t>
            </w:r>
            <w:proofErr w:type="gramStart"/>
            <w:r w:rsidRPr="00C50C1C" w:rsidR="00B902B4">
              <w:rPr>
                <w:color w:val="000000"/>
              </w:rPr>
              <w:t>May 2018</w:t>
            </w:r>
            <w:r w:rsidRPr="00C50C1C" w:rsidR="00496D08">
              <w:rPr>
                <w:color w:val="000000"/>
              </w:rPr>
              <w:t>, and</w:t>
            </w:r>
            <w:proofErr w:type="gramEnd"/>
            <w:r w:rsidRPr="00C50C1C" w:rsidR="00496D08">
              <w:rPr>
                <w:color w:val="000000"/>
              </w:rPr>
              <w:t xml:space="preserve"> </w:t>
            </w:r>
            <w:r w:rsidRPr="00C50C1C" w:rsidR="000A24C2">
              <w:rPr>
                <w:color w:val="000000"/>
              </w:rPr>
              <w:t>received a</w:t>
            </w:r>
            <w:r w:rsidRPr="00C50C1C" w:rsidR="00C8281B">
              <w:rPr>
                <w:color w:val="000000"/>
              </w:rPr>
              <w:t xml:space="preserve"> </w:t>
            </w:r>
            <w:r w:rsidRPr="00C50C1C" w:rsidR="00016BD3">
              <w:rPr>
                <w:color w:val="000000"/>
              </w:rPr>
              <w:t xml:space="preserve">JD from </w:t>
            </w:r>
            <w:r w:rsidRPr="00C50C1C" w:rsidR="00174F77">
              <w:rPr>
                <w:color w:val="000000"/>
              </w:rPr>
              <w:t>Harvard Law School</w:t>
            </w:r>
            <w:r w:rsidRPr="00C50C1C" w:rsidR="009A0CA6">
              <w:rPr>
                <w:color w:val="000000"/>
              </w:rPr>
              <w:t xml:space="preserve"> in</w:t>
            </w:r>
            <w:r w:rsidRPr="00C50C1C" w:rsidR="00C808BC">
              <w:rPr>
                <w:color w:val="000000"/>
              </w:rPr>
              <w:t xml:space="preserve"> May</w:t>
            </w:r>
            <w:r w:rsidRPr="00C50C1C" w:rsidR="009A0CA6">
              <w:rPr>
                <w:color w:val="000000"/>
              </w:rPr>
              <w:t xml:space="preserve"> </w:t>
            </w:r>
            <w:r w:rsidRPr="00C50C1C" w:rsidR="00016BD3">
              <w:rPr>
                <w:color w:val="000000"/>
              </w:rPr>
              <w:t>2021</w:t>
            </w:r>
            <w:r w:rsidRPr="00C50C1C" w:rsidR="000A24C2">
              <w:rPr>
                <w:color w:val="000000"/>
              </w:rPr>
              <w:t xml:space="preserve">. Mr. Jermyn joined EDF as a Legal Fellow in </w:t>
            </w:r>
            <w:r w:rsidRPr="00C50C1C" w:rsidR="00E50EE0">
              <w:rPr>
                <w:color w:val="000000"/>
              </w:rPr>
              <w:t>August 2021 and</w:t>
            </w:r>
            <w:r w:rsidRPr="00C50C1C" w:rsidR="000A24C2">
              <w:rPr>
                <w:color w:val="000000"/>
              </w:rPr>
              <w:t xml:space="preserve"> </w:t>
            </w:r>
            <w:r w:rsidRPr="00C50C1C" w:rsidR="00CC422C">
              <w:rPr>
                <w:color w:val="000000"/>
              </w:rPr>
              <w:t xml:space="preserve">was </w:t>
            </w:r>
            <w:r w:rsidRPr="00C50C1C" w:rsidR="00812FBC">
              <w:rPr>
                <w:color w:val="000000"/>
              </w:rPr>
              <w:t>admitted to t</w:t>
            </w:r>
            <w:r w:rsidRPr="00C50C1C" w:rsidR="0075219F">
              <w:rPr>
                <w:color w:val="000000"/>
              </w:rPr>
              <w:t>he bar</w:t>
            </w:r>
            <w:r w:rsidRPr="00C50C1C" w:rsidR="00A01052">
              <w:rPr>
                <w:color w:val="000000"/>
              </w:rPr>
              <w:t xml:space="preserve"> in</w:t>
            </w:r>
            <w:r w:rsidRPr="00C50C1C" w:rsidR="00016BD3">
              <w:rPr>
                <w:color w:val="000000"/>
              </w:rPr>
              <w:t xml:space="preserve"> </w:t>
            </w:r>
            <w:r w:rsidRPr="00C50C1C" w:rsidR="00DC03B8">
              <w:rPr>
                <w:color w:val="000000"/>
              </w:rPr>
              <w:t>Washington, D.C.</w:t>
            </w:r>
            <w:r w:rsidRPr="00C50C1C" w:rsidR="0075219F">
              <w:rPr>
                <w:color w:val="000000"/>
              </w:rPr>
              <w:t xml:space="preserve"> on November 29, 2021.</w:t>
            </w:r>
            <w:r w:rsidRPr="00C50C1C" w:rsidR="00A01052">
              <w:rPr>
                <w:color w:val="000000"/>
              </w:rPr>
              <w:t xml:space="preserve"> </w:t>
            </w:r>
          </w:p>
          <w:p w:rsidRPr="00C50C1C" w:rsidR="00A01052" w:rsidP="0075219F" w:rsidRDefault="00A01052" w14:paraId="018A4C9A" w14:textId="77777777">
            <w:pPr>
              <w:tabs>
                <w:tab w:val="left" w:pos="1440"/>
              </w:tabs>
              <w:rPr>
                <w:color w:val="000000"/>
              </w:rPr>
            </w:pPr>
          </w:p>
          <w:p w:rsidRPr="00C50C1C" w:rsidR="00F02920" w:rsidP="0075219F" w:rsidRDefault="0075219F" w14:paraId="05CA9895" w14:textId="26CE6FC2">
            <w:pPr>
              <w:tabs>
                <w:tab w:val="left" w:pos="1440"/>
              </w:tabs>
              <w:rPr>
                <w:color w:val="000000"/>
              </w:rPr>
            </w:pPr>
            <w:r w:rsidRPr="00C50C1C">
              <w:rPr>
                <w:color w:val="000000"/>
              </w:rPr>
              <w:t xml:space="preserve">Prior to being </w:t>
            </w:r>
            <w:r w:rsidRPr="00C50C1C" w:rsidR="00D82EF2">
              <w:rPr>
                <w:color w:val="000000"/>
              </w:rPr>
              <w:t>licensed with any bar association, Mr. Jermyn</w:t>
            </w:r>
            <w:r w:rsidRPr="00C50C1C" w:rsidR="00246608">
              <w:rPr>
                <w:color w:val="000000"/>
              </w:rPr>
              <w:t>’s exper</w:t>
            </w:r>
            <w:r w:rsidRPr="00C50C1C" w:rsidR="00220681">
              <w:rPr>
                <w:color w:val="000000"/>
              </w:rPr>
              <w:t xml:space="preserve">ience </w:t>
            </w:r>
            <w:r w:rsidRPr="00C50C1C" w:rsidR="00C733A3">
              <w:rPr>
                <w:color w:val="000000"/>
              </w:rPr>
              <w:t>was</w:t>
            </w:r>
            <w:r w:rsidRPr="00C50C1C" w:rsidR="00941D91">
              <w:rPr>
                <w:color w:val="000000"/>
              </w:rPr>
              <w:t xml:space="preserve"> commensurate </w:t>
            </w:r>
            <w:r w:rsidRPr="00C50C1C" w:rsidR="000A24C2">
              <w:rPr>
                <w:color w:val="000000"/>
              </w:rPr>
              <w:t xml:space="preserve">with </w:t>
            </w:r>
            <w:r w:rsidRPr="00C50C1C" w:rsidR="00664115">
              <w:rPr>
                <w:color w:val="000000"/>
              </w:rPr>
              <w:t xml:space="preserve">that of </w:t>
            </w:r>
            <w:r w:rsidRPr="00C50C1C" w:rsidR="000A24C2">
              <w:rPr>
                <w:color w:val="000000"/>
              </w:rPr>
              <w:t>a Paralegal</w:t>
            </w:r>
            <w:r w:rsidRPr="00C50C1C" w:rsidR="002102C7">
              <w:rPr>
                <w:color w:val="000000"/>
              </w:rPr>
              <w:t xml:space="preserve"> – Level I. EDF’s requested </w:t>
            </w:r>
            <w:r w:rsidRPr="00C50C1C" w:rsidR="00670D79">
              <w:rPr>
                <w:color w:val="000000"/>
              </w:rPr>
              <w:t xml:space="preserve">2021 </w:t>
            </w:r>
            <w:r w:rsidRPr="00C50C1C" w:rsidR="002102C7">
              <w:rPr>
                <w:color w:val="000000"/>
              </w:rPr>
              <w:t xml:space="preserve">hourly rate of </w:t>
            </w:r>
            <w:r w:rsidRPr="00C50C1C" w:rsidR="00664115">
              <w:rPr>
                <w:color w:val="000000"/>
              </w:rPr>
              <w:t>$100</w:t>
            </w:r>
            <w:r w:rsidRPr="00C50C1C" w:rsidR="00670D79">
              <w:rPr>
                <w:color w:val="000000"/>
              </w:rPr>
              <w:t xml:space="preserve">, and requested 2022 hourly rate of </w:t>
            </w:r>
            <w:r w:rsidRPr="00C50C1C" w:rsidR="00664115">
              <w:rPr>
                <w:color w:val="000000"/>
              </w:rPr>
              <w:t>$</w:t>
            </w:r>
            <w:r w:rsidRPr="00C50C1C" w:rsidR="00664BF7">
              <w:rPr>
                <w:color w:val="000000"/>
              </w:rPr>
              <w:t>115,</w:t>
            </w:r>
            <w:r w:rsidRPr="00C50C1C" w:rsidR="0075310F">
              <w:rPr>
                <w:color w:val="000000"/>
              </w:rPr>
              <w:t xml:space="preserve"> for Mr.</w:t>
            </w:r>
            <w:r w:rsidRPr="00C50C1C" w:rsidR="000A06EC">
              <w:rPr>
                <w:color w:val="000000"/>
              </w:rPr>
              <w:t xml:space="preserve"> Jermyn are </w:t>
            </w:r>
            <w:r w:rsidRPr="00C50C1C" w:rsidR="00C733A3">
              <w:rPr>
                <w:color w:val="000000"/>
              </w:rPr>
              <w:t xml:space="preserve">in the middle of the </w:t>
            </w:r>
            <w:r w:rsidRPr="00C50C1C" w:rsidR="00F02920">
              <w:rPr>
                <w:color w:val="000000"/>
              </w:rPr>
              <w:t>salary range for a Paralegal – Level I,</w:t>
            </w:r>
            <w:r w:rsidRPr="00C50C1C" w:rsidR="006F5EF4">
              <w:rPr>
                <w:color w:val="000000"/>
              </w:rPr>
              <w:t xml:space="preserve"> </w:t>
            </w:r>
            <w:r w:rsidRPr="00C50C1C" w:rsidR="00E740BC">
              <w:rPr>
                <w:color w:val="000000"/>
              </w:rPr>
              <w:t>are reasonable</w:t>
            </w:r>
            <w:r w:rsidRPr="00C50C1C" w:rsidR="00CF66D0">
              <w:rPr>
                <w:color w:val="000000"/>
              </w:rPr>
              <w:t xml:space="preserve"> </w:t>
            </w:r>
            <w:r w:rsidRPr="00C50C1C" w:rsidR="00F02920">
              <w:rPr>
                <w:color w:val="000000"/>
              </w:rPr>
              <w:t>and are approved.</w:t>
            </w:r>
          </w:p>
          <w:p w:rsidRPr="00C50C1C" w:rsidR="00AE2E92" w:rsidP="00AE2E92" w:rsidRDefault="00AE2E92" w14:paraId="1D70BA87" w14:textId="77777777">
            <w:pPr>
              <w:tabs>
                <w:tab w:val="left" w:pos="1440"/>
              </w:tabs>
              <w:rPr>
                <w:color w:val="000000"/>
              </w:rPr>
            </w:pPr>
          </w:p>
          <w:p w:rsidRPr="00C50C1C" w:rsidR="0075219F" w:rsidP="0075219F" w:rsidRDefault="00AE2E92" w14:paraId="379C3602" w14:textId="15357C01">
            <w:pPr>
              <w:tabs>
                <w:tab w:val="left" w:pos="1440"/>
              </w:tabs>
              <w:rPr>
                <w:color w:val="000000"/>
              </w:rPr>
            </w:pPr>
            <w:r w:rsidRPr="00C50C1C">
              <w:rPr>
                <w:color w:val="000000"/>
              </w:rPr>
              <w:t xml:space="preserve">EDF requests for a 2023 hourly rate as an Attorney – Level I, with 0-1 years of experience for Mr. Jermyn. The 2023 rate range for </w:t>
            </w:r>
            <w:proofErr w:type="gramStart"/>
            <w:r w:rsidRPr="00C50C1C">
              <w:rPr>
                <w:color w:val="000000"/>
              </w:rPr>
              <w:t>an Attorney</w:t>
            </w:r>
            <w:proofErr w:type="gramEnd"/>
            <w:r w:rsidRPr="00C50C1C">
              <w:rPr>
                <w:color w:val="000000"/>
              </w:rPr>
              <w:t xml:space="preserve"> I is $193.45 - </w:t>
            </w:r>
            <w:r w:rsidRPr="00C50C1C">
              <w:rPr>
                <w:color w:val="000000"/>
              </w:rPr>
              <w:lastRenderedPageBreak/>
              <w:t xml:space="preserve">$317.95, and given Cole Jermyn’s relevant experience of </w:t>
            </w:r>
            <w:r w:rsidRPr="00C50C1C" w:rsidR="00460796">
              <w:rPr>
                <w:color w:val="000000"/>
              </w:rPr>
              <w:t xml:space="preserve">0-1 </w:t>
            </w:r>
            <w:r w:rsidRPr="00C50C1C">
              <w:rPr>
                <w:color w:val="000000"/>
              </w:rPr>
              <w:t>years, we find a rate of $315.00 reasonable and adopt it here. The awarded 2023 rate of $315.00 is at the top of the range for an Attorney – I, commensurate of Cole Jermyn’s experience, and is consistent with the previously awarded 2024 hourly rate of $365.00.</w:t>
            </w:r>
          </w:p>
        </w:tc>
      </w:tr>
      <w:tr w:rsidRPr="00C50C1C" w:rsidR="00BC234E" w:rsidTr="008A3E39" w14:paraId="0AF8824C" w14:textId="77777777">
        <w:tc>
          <w:tcPr>
            <w:tcW w:w="1616" w:type="dxa"/>
          </w:tcPr>
          <w:p w:rsidRPr="00C50C1C" w:rsidR="00BC234E" w:rsidP="00EB64CF" w:rsidRDefault="00EC6CCC" w14:paraId="0B28F799" w14:textId="0C4427F8">
            <w:pPr>
              <w:tabs>
                <w:tab w:val="left" w:pos="1440"/>
              </w:tabs>
              <w:rPr>
                <w:color w:val="000000"/>
              </w:rPr>
            </w:pPr>
            <w:r w:rsidRPr="00C50C1C">
              <w:rPr>
                <w:color w:val="000000"/>
              </w:rPr>
              <w:lastRenderedPageBreak/>
              <w:t xml:space="preserve">[6] </w:t>
            </w:r>
            <w:r w:rsidRPr="00C50C1C" w:rsidR="000777C9">
              <w:rPr>
                <w:color w:val="000000"/>
              </w:rPr>
              <w:t>Moss 2022 Disallowance</w:t>
            </w:r>
          </w:p>
        </w:tc>
        <w:tc>
          <w:tcPr>
            <w:tcW w:w="8106" w:type="dxa"/>
          </w:tcPr>
          <w:p w:rsidRPr="00C50C1C" w:rsidR="00BC234E" w:rsidP="00511326" w:rsidRDefault="00EB6C1D" w14:paraId="05436CE3" w14:textId="7A37D2CF">
            <w:pPr>
              <w:tabs>
                <w:tab w:val="left" w:pos="1440"/>
              </w:tabs>
              <w:rPr>
                <w:color w:val="000000"/>
              </w:rPr>
            </w:pPr>
            <w:r w:rsidRPr="00C50C1C">
              <w:rPr>
                <w:color w:val="000000"/>
              </w:rPr>
              <w:t>The f</w:t>
            </w:r>
            <w:r w:rsidRPr="00C50C1C" w:rsidR="00465B1B">
              <w:rPr>
                <w:color w:val="000000"/>
              </w:rPr>
              <w:t>ollowing activit</w:t>
            </w:r>
            <w:r w:rsidRPr="00C50C1C" w:rsidR="00AA505A">
              <w:rPr>
                <w:color w:val="000000"/>
              </w:rPr>
              <w:t>y</w:t>
            </w:r>
            <w:r w:rsidRPr="00C50C1C" w:rsidR="008B4CB6">
              <w:rPr>
                <w:color w:val="000000"/>
              </w:rPr>
              <w:t xml:space="preserve"> </w:t>
            </w:r>
            <w:r w:rsidRPr="00C50C1C" w:rsidR="000777C9">
              <w:rPr>
                <w:color w:val="000000"/>
              </w:rPr>
              <w:t>is</w:t>
            </w:r>
            <w:r w:rsidRPr="00C50C1C" w:rsidR="00465B1B">
              <w:rPr>
                <w:color w:val="000000"/>
              </w:rPr>
              <w:t xml:space="preserve"> disallowed as vague and </w:t>
            </w:r>
            <w:r w:rsidRPr="00C50C1C" w:rsidR="006C32B4">
              <w:rPr>
                <w:color w:val="000000"/>
              </w:rPr>
              <w:t>lacks</w:t>
            </w:r>
            <w:r w:rsidRPr="00C50C1C" w:rsidR="00C030F3">
              <w:rPr>
                <w:color w:val="000000"/>
              </w:rPr>
              <w:t xml:space="preserve"> the necessary detail to demonstrate how it </w:t>
            </w:r>
            <w:r w:rsidRPr="00C50C1C" w:rsidR="00465B1B">
              <w:rPr>
                <w:color w:val="000000"/>
              </w:rPr>
              <w:t>contribut</w:t>
            </w:r>
            <w:r w:rsidRPr="00C50C1C" w:rsidR="00C030F3">
              <w:rPr>
                <w:color w:val="000000"/>
              </w:rPr>
              <w:t>ed</w:t>
            </w:r>
            <w:r w:rsidRPr="00C50C1C" w:rsidR="00465B1B">
              <w:rPr>
                <w:color w:val="000000"/>
              </w:rPr>
              <w:t xml:space="preserve"> to </w:t>
            </w:r>
            <w:r w:rsidRPr="00C50C1C" w:rsidR="00C367CF">
              <w:rPr>
                <w:color w:val="000000"/>
              </w:rPr>
              <w:t>the decision-making process:</w:t>
            </w:r>
          </w:p>
          <w:p w:rsidRPr="00C50C1C" w:rsidR="001750E8" w:rsidP="00FE17D4" w:rsidRDefault="00A56953" w14:paraId="0C8238BC" w14:textId="77777777">
            <w:pPr>
              <w:pStyle w:val="ListParagraph"/>
              <w:numPr>
                <w:ilvl w:val="0"/>
                <w:numId w:val="11"/>
              </w:numPr>
              <w:tabs>
                <w:tab w:val="left" w:pos="1440"/>
              </w:tabs>
              <w:rPr>
                <w:rFonts w:ascii="Times New Roman" w:hAnsi="Times New Roman"/>
                <w:color w:val="000000"/>
                <w:sz w:val="24"/>
                <w:szCs w:val="24"/>
              </w:rPr>
            </w:pPr>
            <w:r w:rsidRPr="00C50C1C">
              <w:rPr>
                <w:rFonts w:ascii="Times New Roman" w:hAnsi="Times New Roman"/>
                <w:color w:val="000000"/>
                <w:sz w:val="24"/>
                <w:szCs w:val="24"/>
              </w:rPr>
              <w:t>11/9/2022 (Moss): “</w:t>
            </w:r>
            <w:r w:rsidRPr="00C50C1C" w:rsidR="00F749E3">
              <w:rPr>
                <w:rFonts w:ascii="Times New Roman" w:hAnsi="Times New Roman"/>
                <w:color w:val="000000"/>
                <w:sz w:val="24"/>
                <w:szCs w:val="24"/>
              </w:rPr>
              <w:t>Conference call” – 1.0</w:t>
            </w:r>
          </w:p>
          <w:p w:rsidRPr="00C50C1C" w:rsidR="00C030F3" w:rsidP="00C030F3" w:rsidRDefault="00C030F3" w14:paraId="59B419EF" w14:textId="77777777">
            <w:pPr>
              <w:tabs>
                <w:tab w:val="left" w:pos="1440"/>
              </w:tabs>
              <w:rPr>
                <w:color w:val="000000"/>
              </w:rPr>
            </w:pPr>
          </w:p>
          <w:p w:rsidRPr="00C50C1C" w:rsidR="00C030F3" w:rsidP="006C32B4" w:rsidRDefault="00C030F3" w14:paraId="3DAF5910" w14:textId="2E221742">
            <w:pPr>
              <w:tabs>
                <w:tab w:val="left" w:pos="1440"/>
              </w:tabs>
              <w:rPr>
                <w:color w:val="000000"/>
              </w:rPr>
            </w:pPr>
            <w:r w:rsidRPr="00C50C1C">
              <w:rPr>
                <w:color w:val="000000"/>
              </w:rPr>
              <w:t>Intervenors bear the burden of proof to show that all claimed hours were spent efficiently and made a substantial contribution, as required under program guidelines.</w:t>
            </w:r>
          </w:p>
        </w:tc>
      </w:tr>
      <w:tr w:rsidRPr="00C50C1C" w:rsidR="00BC234E" w:rsidTr="008A3E39" w14:paraId="394C2FAF" w14:textId="77777777">
        <w:tc>
          <w:tcPr>
            <w:tcW w:w="1616" w:type="dxa"/>
          </w:tcPr>
          <w:p w:rsidRPr="00C50C1C" w:rsidR="00BC234E" w:rsidP="00EB64CF" w:rsidRDefault="000777C9" w14:paraId="72C6D92E" w14:textId="0F21D6D0">
            <w:pPr>
              <w:tabs>
                <w:tab w:val="left" w:pos="1440"/>
              </w:tabs>
              <w:rPr>
                <w:color w:val="000000"/>
              </w:rPr>
            </w:pPr>
            <w:r w:rsidRPr="00C50C1C">
              <w:rPr>
                <w:color w:val="000000"/>
              </w:rPr>
              <w:t xml:space="preserve">[7] </w:t>
            </w:r>
            <w:r w:rsidRPr="00C50C1C" w:rsidR="00803A79">
              <w:rPr>
                <w:color w:val="000000"/>
              </w:rPr>
              <w:t>Disallowances for Clerical Work</w:t>
            </w:r>
          </w:p>
        </w:tc>
        <w:tc>
          <w:tcPr>
            <w:tcW w:w="8106" w:type="dxa"/>
          </w:tcPr>
          <w:p w:rsidRPr="00C50C1C" w:rsidR="002A31E7" w:rsidP="002A31E7" w:rsidRDefault="002A31E7" w14:paraId="260FE259" w14:textId="77777777">
            <w:pPr>
              <w:tabs>
                <w:tab w:val="left" w:pos="1440"/>
              </w:tabs>
              <w:rPr>
                <w:color w:val="000000"/>
              </w:rPr>
            </w:pPr>
            <w:r w:rsidRPr="00C50C1C">
              <w:rPr>
                <w:color w:val="000000"/>
              </w:rPr>
              <w:t xml:space="preserve">The CPUC does not compensate for the time spent on clerical and </w:t>
            </w:r>
          </w:p>
          <w:p w:rsidRPr="00C50C1C" w:rsidR="002A31E7" w:rsidP="002A31E7" w:rsidRDefault="002A31E7" w14:paraId="4A6B3CFC" w14:textId="7FB8EBDA">
            <w:pPr>
              <w:tabs>
                <w:tab w:val="left" w:pos="1440"/>
              </w:tabs>
              <w:rPr>
                <w:color w:val="000000"/>
              </w:rPr>
            </w:pPr>
            <w:r w:rsidRPr="00C50C1C">
              <w:rPr>
                <w:color w:val="000000"/>
              </w:rPr>
              <w:t xml:space="preserve">administrative tasks, as these fees are subsumed </w:t>
            </w:r>
            <w:r w:rsidRPr="00C50C1C" w:rsidR="00C030F3">
              <w:rPr>
                <w:color w:val="000000"/>
              </w:rPr>
              <w:t>within professional fees.</w:t>
            </w:r>
            <w:r w:rsidRPr="00C50C1C" w:rsidR="00F0233C">
              <w:rPr>
                <w:rStyle w:val="FootnoteReference"/>
                <w:color w:val="000000"/>
              </w:rPr>
              <w:footnoteReference w:id="8"/>
            </w:r>
            <w:r w:rsidRPr="00C50C1C">
              <w:rPr>
                <w:color w:val="000000"/>
              </w:rPr>
              <w:t xml:space="preserve">  </w:t>
            </w:r>
          </w:p>
          <w:p w:rsidRPr="00C50C1C" w:rsidR="00BC234E" w:rsidP="002A31E7" w:rsidRDefault="002A31E7" w14:paraId="17DFB44B" w14:textId="77777777">
            <w:pPr>
              <w:tabs>
                <w:tab w:val="left" w:pos="1440"/>
              </w:tabs>
              <w:rPr>
                <w:color w:val="000000"/>
              </w:rPr>
            </w:pPr>
            <w:r w:rsidRPr="00C50C1C">
              <w:rPr>
                <w:color w:val="000000"/>
              </w:rPr>
              <w:t>We disallow the following hours:</w:t>
            </w:r>
          </w:p>
          <w:p w:rsidRPr="00C50C1C" w:rsidR="0027724B" w:rsidP="0027724B" w:rsidRDefault="00723006" w14:paraId="7DDD6878" w14:textId="64938136">
            <w:pPr>
              <w:pStyle w:val="ListParagraph"/>
              <w:numPr>
                <w:ilvl w:val="0"/>
                <w:numId w:val="11"/>
              </w:numPr>
              <w:tabs>
                <w:tab w:val="left" w:pos="1440"/>
              </w:tabs>
              <w:rPr>
                <w:rFonts w:ascii="Times New Roman" w:hAnsi="Times New Roman"/>
                <w:color w:val="000000"/>
                <w:sz w:val="24"/>
                <w:szCs w:val="24"/>
              </w:rPr>
            </w:pPr>
            <w:r w:rsidRPr="00C50C1C">
              <w:rPr>
                <w:rFonts w:ascii="Times New Roman" w:hAnsi="Times New Roman"/>
                <w:color w:val="000000"/>
                <w:sz w:val="24"/>
                <w:szCs w:val="24"/>
              </w:rPr>
              <w:t>1/20/2022 (</w:t>
            </w:r>
            <w:r w:rsidRPr="00C50C1C" w:rsidR="00204E73">
              <w:rPr>
                <w:rFonts w:ascii="Times New Roman" w:hAnsi="Times New Roman"/>
                <w:color w:val="000000"/>
                <w:sz w:val="24"/>
                <w:szCs w:val="24"/>
              </w:rPr>
              <w:t>Myers): “File and serve EDF's Response” – 1.0</w:t>
            </w:r>
          </w:p>
          <w:p w:rsidRPr="00C50C1C" w:rsidR="00204E73" w:rsidP="0027724B" w:rsidRDefault="00603300" w14:paraId="2D954D42" w14:textId="00FFE8BA">
            <w:pPr>
              <w:pStyle w:val="ListParagraph"/>
              <w:numPr>
                <w:ilvl w:val="0"/>
                <w:numId w:val="11"/>
              </w:numPr>
              <w:tabs>
                <w:tab w:val="left" w:pos="1440"/>
              </w:tabs>
              <w:rPr>
                <w:rFonts w:ascii="Times New Roman" w:hAnsi="Times New Roman"/>
                <w:color w:val="000000"/>
                <w:sz w:val="24"/>
                <w:szCs w:val="24"/>
              </w:rPr>
            </w:pPr>
            <w:r w:rsidRPr="00C50C1C">
              <w:rPr>
                <w:rFonts w:ascii="Times New Roman" w:hAnsi="Times New Roman"/>
                <w:color w:val="000000"/>
                <w:sz w:val="24"/>
                <w:szCs w:val="24"/>
              </w:rPr>
              <w:t xml:space="preserve">4/18/2022 (Myers): “File and serve EDF's Three Working Days' Notice of Ex </w:t>
            </w:r>
            <w:proofErr w:type="spellStart"/>
            <w:r w:rsidRPr="00C50C1C">
              <w:rPr>
                <w:rFonts w:ascii="Times New Roman" w:hAnsi="Times New Roman"/>
                <w:color w:val="000000"/>
                <w:sz w:val="24"/>
                <w:szCs w:val="24"/>
              </w:rPr>
              <w:t>Parte</w:t>
            </w:r>
            <w:proofErr w:type="spellEnd"/>
            <w:r w:rsidRPr="00C50C1C">
              <w:rPr>
                <w:rFonts w:ascii="Times New Roman" w:hAnsi="Times New Roman"/>
                <w:color w:val="000000"/>
                <w:sz w:val="24"/>
                <w:szCs w:val="24"/>
              </w:rPr>
              <w:t>” – 1.0</w:t>
            </w:r>
          </w:p>
          <w:p w:rsidRPr="00C50C1C" w:rsidR="00624D91" w:rsidP="0027724B" w:rsidRDefault="00624D91" w14:paraId="6EF363CA" w14:textId="7D8B1BE6">
            <w:pPr>
              <w:pStyle w:val="ListParagraph"/>
              <w:numPr>
                <w:ilvl w:val="0"/>
                <w:numId w:val="11"/>
              </w:numPr>
              <w:tabs>
                <w:tab w:val="left" w:pos="1440"/>
              </w:tabs>
              <w:rPr>
                <w:rFonts w:ascii="Times New Roman" w:hAnsi="Times New Roman"/>
                <w:color w:val="000000"/>
                <w:sz w:val="24"/>
                <w:szCs w:val="24"/>
              </w:rPr>
            </w:pPr>
            <w:r w:rsidRPr="00C50C1C">
              <w:rPr>
                <w:rFonts w:ascii="Times New Roman" w:hAnsi="Times New Roman"/>
                <w:color w:val="000000"/>
                <w:sz w:val="24"/>
                <w:szCs w:val="24"/>
              </w:rPr>
              <w:t>4/28/2022 (Myers): “</w:t>
            </w:r>
            <w:r w:rsidRPr="00C50C1C" w:rsidR="00D1523A">
              <w:rPr>
                <w:rFonts w:ascii="Times New Roman" w:hAnsi="Times New Roman"/>
                <w:color w:val="000000"/>
                <w:sz w:val="24"/>
                <w:szCs w:val="24"/>
              </w:rPr>
              <w:t xml:space="preserve">File and serve EDF's Notice of Ex </w:t>
            </w:r>
            <w:proofErr w:type="spellStart"/>
            <w:r w:rsidRPr="00C50C1C" w:rsidR="00D1523A">
              <w:rPr>
                <w:rFonts w:ascii="Times New Roman" w:hAnsi="Times New Roman"/>
                <w:color w:val="000000"/>
                <w:sz w:val="24"/>
                <w:szCs w:val="24"/>
              </w:rPr>
              <w:t>Parte</w:t>
            </w:r>
            <w:proofErr w:type="spellEnd"/>
            <w:r w:rsidRPr="00C50C1C" w:rsidR="00D1523A">
              <w:rPr>
                <w:rFonts w:ascii="Times New Roman" w:hAnsi="Times New Roman"/>
                <w:color w:val="000000"/>
                <w:sz w:val="24"/>
                <w:szCs w:val="24"/>
              </w:rPr>
              <w:t>” – 1.0</w:t>
            </w:r>
          </w:p>
          <w:p w:rsidRPr="00C50C1C" w:rsidR="006C3CA6" w:rsidP="0027724B" w:rsidRDefault="006C3CA6" w14:paraId="3F5D79FB" w14:textId="69D187B4">
            <w:pPr>
              <w:pStyle w:val="ListParagraph"/>
              <w:numPr>
                <w:ilvl w:val="0"/>
                <w:numId w:val="11"/>
              </w:numPr>
              <w:tabs>
                <w:tab w:val="left" w:pos="1440"/>
              </w:tabs>
              <w:rPr>
                <w:rFonts w:ascii="Times New Roman" w:hAnsi="Times New Roman"/>
                <w:color w:val="000000"/>
                <w:sz w:val="24"/>
                <w:szCs w:val="24"/>
              </w:rPr>
            </w:pPr>
            <w:r w:rsidRPr="00C50C1C">
              <w:rPr>
                <w:rFonts w:ascii="Times New Roman" w:hAnsi="Times New Roman"/>
                <w:color w:val="000000"/>
                <w:sz w:val="24"/>
                <w:szCs w:val="24"/>
              </w:rPr>
              <w:t>12/26/2022 (Myers): “File and serve EDF's Opening Testimony” – 1.0</w:t>
            </w:r>
          </w:p>
          <w:p w:rsidRPr="00C50C1C" w:rsidR="006C3CA6" w:rsidP="0027724B" w:rsidRDefault="0074647E" w14:paraId="64014D17" w14:textId="5810865E">
            <w:pPr>
              <w:pStyle w:val="ListParagraph"/>
              <w:numPr>
                <w:ilvl w:val="0"/>
                <w:numId w:val="11"/>
              </w:numPr>
              <w:tabs>
                <w:tab w:val="left" w:pos="1440"/>
              </w:tabs>
              <w:rPr>
                <w:rFonts w:ascii="Times New Roman" w:hAnsi="Times New Roman"/>
                <w:color w:val="000000"/>
                <w:sz w:val="24"/>
                <w:szCs w:val="24"/>
              </w:rPr>
            </w:pPr>
            <w:r w:rsidRPr="00C50C1C">
              <w:rPr>
                <w:rFonts w:ascii="Times New Roman" w:hAnsi="Times New Roman"/>
                <w:color w:val="000000"/>
                <w:sz w:val="24"/>
                <w:szCs w:val="24"/>
              </w:rPr>
              <w:t>1/30/2023 (Myers): “Review, revise, submit and serve EDF's Rebuttal Testimony” – 1.5</w:t>
            </w:r>
          </w:p>
          <w:p w:rsidRPr="00C50C1C" w:rsidR="0074647E" w:rsidP="0027724B" w:rsidRDefault="009927E6" w14:paraId="455424F8" w14:textId="1795C67C">
            <w:pPr>
              <w:pStyle w:val="ListParagraph"/>
              <w:numPr>
                <w:ilvl w:val="0"/>
                <w:numId w:val="11"/>
              </w:numPr>
              <w:tabs>
                <w:tab w:val="left" w:pos="1440"/>
              </w:tabs>
              <w:rPr>
                <w:rFonts w:ascii="Times New Roman" w:hAnsi="Times New Roman"/>
                <w:color w:val="000000"/>
                <w:sz w:val="24"/>
                <w:szCs w:val="24"/>
              </w:rPr>
            </w:pPr>
            <w:r w:rsidRPr="00C50C1C">
              <w:rPr>
                <w:rFonts w:ascii="Times New Roman" w:hAnsi="Times New Roman"/>
                <w:color w:val="000000"/>
                <w:sz w:val="24"/>
                <w:szCs w:val="24"/>
              </w:rPr>
              <w:t xml:space="preserve">3/21/2023 (Myers): “File and serve Notice of Ex </w:t>
            </w:r>
            <w:proofErr w:type="spellStart"/>
            <w:r w:rsidRPr="00C50C1C">
              <w:rPr>
                <w:rFonts w:ascii="Times New Roman" w:hAnsi="Times New Roman"/>
                <w:color w:val="000000"/>
                <w:sz w:val="24"/>
                <w:szCs w:val="24"/>
              </w:rPr>
              <w:t>Parte</w:t>
            </w:r>
            <w:proofErr w:type="spellEnd"/>
            <w:r w:rsidRPr="00C50C1C">
              <w:rPr>
                <w:rFonts w:ascii="Times New Roman" w:hAnsi="Times New Roman"/>
                <w:color w:val="000000"/>
                <w:sz w:val="24"/>
                <w:szCs w:val="24"/>
              </w:rPr>
              <w:t>” - 0.5</w:t>
            </w:r>
          </w:p>
          <w:p w:rsidRPr="00C50C1C" w:rsidR="00CD7CAF" w:rsidP="0027724B" w:rsidRDefault="00CD7CAF" w14:paraId="0D520FD0" w14:textId="010BF22C">
            <w:pPr>
              <w:pStyle w:val="ListParagraph"/>
              <w:numPr>
                <w:ilvl w:val="0"/>
                <w:numId w:val="11"/>
              </w:numPr>
              <w:tabs>
                <w:tab w:val="left" w:pos="1440"/>
              </w:tabs>
              <w:rPr>
                <w:rFonts w:ascii="Times New Roman" w:hAnsi="Times New Roman"/>
                <w:color w:val="000000"/>
                <w:sz w:val="24"/>
                <w:szCs w:val="24"/>
              </w:rPr>
            </w:pPr>
            <w:r w:rsidRPr="00C50C1C">
              <w:rPr>
                <w:rFonts w:ascii="Times New Roman" w:hAnsi="Times New Roman"/>
                <w:color w:val="000000"/>
                <w:sz w:val="24"/>
                <w:szCs w:val="24"/>
              </w:rPr>
              <w:t>6/9/2023 (Myers): “</w:t>
            </w:r>
            <w:r w:rsidRPr="00C50C1C" w:rsidR="005E3577">
              <w:rPr>
                <w:rFonts w:ascii="Times New Roman" w:hAnsi="Times New Roman"/>
                <w:color w:val="000000"/>
                <w:sz w:val="24"/>
                <w:szCs w:val="24"/>
              </w:rPr>
              <w:t>File and serve EDF's Opening Brief” – 1.0</w:t>
            </w:r>
          </w:p>
          <w:p w:rsidRPr="00C50C1C" w:rsidR="00985607" w:rsidP="0027724B" w:rsidRDefault="00985607" w14:paraId="614D3123" w14:textId="1138820D">
            <w:pPr>
              <w:pStyle w:val="ListParagraph"/>
              <w:numPr>
                <w:ilvl w:val="0"/>
                <w:numId w:val="11"/>
              </w:numPr>
              <w:tabs>
                <w:tab w:val="left" w:pos="1440"/>
              </w:tabs>
              <w:rPr>
                <w:rFonts w:ascii="Times New Roman" w:hAnsi="Times New Roman"/>
                <w:color w:val="000000"/>
                <w:sz w:val="24"/>
                <w:szCs w:val="24"/>
              </w:rPr>
            </w:pPr>
            <w:r w:rsidRPr="00C50C1C">
              <w:rPr>
                <w:rFonts w:ascii="Times New Roman" w:hAnsi="Times New Roman"/>
                <w:color w:val="000000"/>
                <w:sz w:val="24"/>
                <w:szCs w:val="24"/>
              </w:rPr>
              <w:t>07/07/2023 (Myers): “File and serve EDF’s Reply Brief” – 1.0</w:t>
            </w:r>
          </w:p>
          <w:p w:rsidRPr="00C50C1C" w:rsidR="00F36BA0" w:rsidP="0027724B" w:rsidRDefault="00F36BA0" w14:paraId="21AA5498" w14:textId="201F069B">
            <w:pPr>
              <w:pStyle w:val="ListParagraph"/>
              <w:numPr>
                <w:ilvl w:val="0"/>
                <w:numId w:val="11"/>
              </w:numPr>
              <w:tabs>
                <w:tab w:val="left" w:pos="1440"/>
              </w:tabs>
              <w:rPr>
                <w:rFonts w:ascii="Times New Roman" w:hAnsi="Times New Roman"/>
                <w:color w:val="000000"/>
                <w:sz w:val="24"/>
                <w:szCs w:val="24"/>
              </w:rPr>
            </w:pPr>
            <w:r w:rsidRPr="00C50C1C">
              <w:rPr>
                <w:rFonts w:ascii="Times New Roman" w:hAnsi="Times New Roman"/>
                <w:color w:val="000000"/>
                <w:sz w:val="24"/>
                <w:szCs w:val="24"/>
              </w:rPr>
              <w:t>7/</w:t>
            </w:r>
            <w:r w:rsidRPr="00C50C1C" w:rsidR="00985607">
              <w:rPr>
                <w:rFonts w:ascii="Times New Roman" w:hAnsi="Times New Roman"/>
                <w:color w:val="000000"/>
                <w:sz w:val="24"/>
                <w:szCs w:val="24"/>
              </w:rPr>
              <w:t>2</w:t>
            </w:r>
            <w:r w:rsidRPr="00C50C1C">
              <w:rPr>
                <w:rFonts w:ascii="Times New Roman" w:hAnsi="Times New Roman"/>
                <w:color w:val="000000"/>
                <w:sz w:val="24"/>
                <w:szCs w:val="24"/>
              </w:rPr>
              <w:t>6/2023 (Myers): “File and serve EDF's Response to Reply Briefs” – 1.0</w:t>
            </w:r>
          </w:p>
          <w:p w:rsidRPr="00C50C1C" w:rsidR="00D26EA2" w:rsidP="0027724B" w:rsidRDefault="00D26EA2" w14:paraId="522012C0" w14:textId="1BB32FFE">
            <w:pPr>
              <w:pStyle w:val="ListParagraph"/>
              <w:numPr>
                <w:ilvl w:val="0"/>
                <w:numId w:val="11"/>
              </w:numPr>
              <w:tabs>
                <w:tab w:val="left" w:pos="1440"/>
              </w:tabs>
              <w:rPr>
                <w:rFonts w:ascii="Times New Roman" w:hAnsi="Times New Roman"/>
                <w:color w:val="000000"/>
                <w:sz w:val="24"/>
                <w:szCs w:val="24"/>
              </w:rPr>
            </w:pPr>
            <w:r w:rsidRPr="00C50C1C">
              <w:rPr>
                <w:rFonts w:ascii="Times New Roman" w:hAnsi="Times New Roman"/>
                <w:color w:val="000000"/>
                <w:sz w:val="24"/>
                <w:szCs w:val="24"/>
              </w:rPr>
              <w:t>10/16/2023 (Myers): “</w:t>
            </w:r>
            <w:r w:rsidRPr="00C50C1C" w:rsidR="008922AA">
              <w:rPr>
                <w:rFonts w:ascii="Times New Roman" w:hAnsi="Times New Roman"/>
                <w:color w:val="000000"/>
                <w:sz w:val="24"/>
                <w:szCs w:val="24"/>
              </w:rPr>
              <w:t>File and serve EDF's Opening Comments on the Proposed Decision” – 1.0</w:t>
            </w:r>
          </w:p>
          <w:p w:rsidRPr="00C50C1C" w:rsidR="002A31E7" w:rsidP="002A31E7" w:rsidRDefault="008922AA" w14:paraId="13965B2D" w14:textId="77777777">
            <w:pPr>
              <w:pStyle w:val="ListParagraph"/>
              <w:numPr>
                <w:ilvl w:val="0"/>
                <w:numId w:val="11"/>
              </w:numPr>
              <w:tabs>
                <w:tab w:val="left" w:pos="1440"/>
              </w:tabs>
              <w:rPr>
                <w:rFonts w:ascii="Times New Roman" w:hAnsi="Times New Roman"/>
                <w:color w:val="000000"/>
                <w:sz w:val="24"/>
                <w:szCs w:val="24"/>
              </w:rPr>
            </w:pPr>
            <w:r w:rsidRPr="00C50C1C">
              <w:rPr>
                <w:rFonts w:ascii="Times New Roman" w:hAnsi="Times New Roman"/>
                <w:color w:val="000000"/>
                <w:sz w:val="24"/>
                <w:szCs w:val="24"/>
              </w:rPr>
              <w:t>10/23/2023 (Myers): “</w:t>
            </w:r>
            <w:r w:rsidRPr="00C50C1C" w:rsidR="00F47555">
              <w:rPr>
                <w:rFonts w:ascii="Times New Roman" w:hAnsi="Times New Roman"/>
                <w:color w:val="000000"/>
                <w:sz w:val="24"/>
                <w:szCs w:val="24"/>
              </w:rPr>
              <w:t>File and serve EDF's Reply Comments on the Proposed Decision” – 1.0</w:t>
            </w:r>
          </w:p>
          <w:p w:rsidRPr="00C50C1C" w:rsidR="00E1068D" w:rsidP="00E1068D" w:rsidRDefault="00E1068D" w14:paraId="7DAFABB3" w14:textId="77777777">
            <w:pPr>
              <w:pStyle w:val="ListParagraph"/>
              <w:tabs>
                <w:tab w:val="left" w:pos="1440"/>
              </w:tabs>
              <w:rPr>
                <w:rFonts w:ascii="Times New Roman" w:hAnsi="Times New Roman"/>
                <w:color w:val="000000"/>
                <w:sz w:val="24"/>
                <w:szCs w:val="24"/>
              </w:rPr>
            </w:pPr>
          </w:p>
          <w:p w:rsidRPr="00C50C1C" w:rsidR="00E1068D" w:rsidP="00E1068D" w:rsidRDefault="00E1068D" w14:paraId="55E3806D" w14:textId="77777777">
            <w:pPr>
              <w:tabs>
                <w:tab w:val="left" w:pos="1440"/>
              </w:tabs>
              <w:rPr>
                <w:color w:val="000000"/>
                <w:u w:val="single"/>
              </w:rPr>
            </w:pPr>
            <w:proofErr w:type="spellStart"/>
            <w:r w:rsidRPr="00C50C1C">
              <w:rPr>
                <w:color w:val="000000"/>
                <w:u w:val="single"/>
              </w:rPr>
              <w:t>IComp</w:t>
            </w:r>
            <w:proofErr w:type="spellEnd"/>
            <w:r w:rsidRPr="00C50C1C">
              <w:rPr>
                <w:color w:val="000000"/>
                <w:u w:val="single"/>
              </w:rPr>
              <w:t xml:space="preserve"> Preparation Hours:</w:t>
            </w:r>
          </w:p>
          <w:p w:rsidRPr="00C50C1C" w:rsidR="00E1068D" w:rsidP="00E1068D" w:rsidRDefault="00E1068D" w14:paraId="57792392" w14:textId="1E533C20">
            <w:pPr>
              <w:tabs>
                <w:tab w:val="left" w:pos="1440"/>
              </w:tabs>
              <w:rPr>
                <w:color w:val="000000"/>
              </w:rPr>
            </w:pPr>
            <w:r w:rsidRPr="00C50C1C">
              <w:rPr>
                <w:color w:val="000000"/>
              </w:rPr>
              <w:t>We reduce 50% of the hours for Intervenor Compensation Preparation hours below</w:t>
            </w:r>
            <w:r w:rsidRPr="00C50C1C">
              <w:rPr>
                <w:rFonts w:eastAsia="Calibri"/>
                <w:color w:val="000000"/>
              </w:rPr>
              <w:t xml:space="preserve"> as the CPUC </w:t>
            </w:r>
            <w:r w:rsidRPr="00C50C1C">
              <w:rPr>
                <w:color w:val="000000"/>
              </w:rPr>
              <w:t xml:space="preserve">does not compensate for the time spent on clerical and </w:t>
            </w:r>
          </w:p>
          <w:p w:rsidRPr="00C50C1C" w:rsidR="00E1068D" w:rsidP="00E1068D" w:rsidRDefault="00E1068D" w14:paraId="105DEA90" w14:textId="0C368FA8">
            <w:pPr>
              <w:tabs>
                <w:tab w:val="left" w:pos="1440"/>
              </w:tabs>
              <w:rPr>
                <w:color w:val="000000"/>
              </w:rPr>
            </w:pPr>
            <w:r w:rsidRPr="00C50C1C">
              <w:rPr>
                <w:color w:val="000000"/>
              </w:rPr>
              <w:t>administrative tasks, as these fees are subsumed in the fees paid to attorneys.</w:t>
            </w:r>
          </w:p>
          <w:p w:rsidRPr="00C50C1C" w:rsidR="00E1068D" w:rsidP="00E1068D" w:rsidRDefault="00E1068D" w14:paraId="2262AB53" w14:textId="77777777">
            <w:pPr>
              <w:tabs>
                <w:tab w:val="left" w:pos="1440"/>
              </w:tabs>
              <w:rPr>
                <w:color w:val="000000"/>
              </w:rPr>
            </w:pPr>
          </w:p>
          <w:p w:rsidRPr="00C50C1C" w:rsidR="00E1068D" w:rsidP="00E1068D" w:rsidRDefault="00E1068D" w14:paraId="5186BEA2" w14:textId="18B6DF23">
            <w:pPr>
              <w:pStyle w:val="ListParagraph"/>
              <w:numPr>
                <w:ilvl w:val="0"/>
                <w:numId w:val="12"/>
              </w:numPr>
              <w:tabs>
                <w:tab w:val="left" w:pos="1440"/>
              </w:tabs>
              <w:rPr>
                <w:rFonts w:ascii="Times New Roman" w:hAnsi="Times New Roman"/>
                <w:color w:val="000000"/>
                <w:sz w:val="24"/>
                <w:szCs w:val="24"/>
              </w:rPr>
            </w:pPr>
            <w:r w:rsidRPr="00C50C1C">
              <w:rPr>
                <w:rFonts w:ascii="Times New Roman" w:hAnsi="Times New Roman"/>
                <w:color w:val="000000"/>
                <w:sz w:val="24"/>
                <w:szCs w:val="24"/>
              </w:rPr>
              <w:t>03/01/2022 (Myers): “Revise, file, and serve Notice of Intent to Claim Intervenor Compensation” – 0.50 hours</w:t>
            </w:r>
          </w:p>
        </w:tc>
      </w:tr>
      <w:tr w:rsidRPr="00C50C1C" w:rsidR="008116D2" w:rsidTr="008A3E39" w14:paraId="007F73A8" w14:textId="77777777">
        <w:tc>
          <w:tcPr>
            <w:tcW w:w="1616" w:type="dxa"/>
          </w:tcPr>
          <w:p w:rsidRPr="00C50C1C" w:rsidR="008116D2" w:rsidP="00EB64CF" w:rsidRDefault="008116D2" w14:paraId="32470787" w14:textId="186E4211">
            <w:pPr>
              <w:tabs>
                <w:tab w:val="left" w:pos="1440"/>
              </w:tabs>
              <w:rPr>
                <w:color w:val="000000"/>
              </w:rPr>
            </w:pPr>
            <w:r w:rsidRPr="00C50C1C">
              <w:rPr>
                <w:color w:val="000000"/>
              </w:rPr>
              <w:lastRenderedPageBreak/>
              <w:t>[8] Internal Duplication</w:t>
            </w:r>
          </w:p>
        </w:tc>
        <w:tc>
          <w:tcPr>
            <w:tcW w:w="8106" w:type="dxa"/>
          </w:tcPr>
          <w:p w:rsidRPr="00C50C1C" w:rsidR="008116D2" w:rsidP="002A31E7" w:rsidRDefault="008116D2" w14:paraId="299DDC94" w14:textId="6395DDD2">
            <w:pPr>
              <w:tabs>
                <w:tab w:val="left" w:pos="1440"/>
              </w:tabs>
              <w:rPr>
                <w:color w:val="000000"/>
              </w:rPr>
            </w:pPr>
            <w:r w:rsidRPr="00C50C1C">
              <w:rPr>
                <w:color w:val="000000"/>
              </w:rPr>
              <w:t xml:space="preserve">Approximately 15 hours claimed by EDF’s internal staff relate to reading, reviewing, and editing each other’s work. </w:t>
            </w:r>
            <w:r w:rsidRPr="00C50C1C" w:rsidR="0062760B">
              <w:rPr>
                <w:color w:val="000000"/>
              </w:rPr>
              <w:t xml:space="preserve">As </w:t>
            </w:r>
            <w:r w:rsidRPr="00C50C1C" w:rsidR="00AD774E">
              <w:rPr>
                <w:color w:val="000000"/>
              </w:rPr>
              <w:t>noted in</w:t>
            </w:r>
            <w:r w:rsidRPr="00C50C1C" w:rsidR="0062760B">
              <w:rPr>
                <w:color w:val="000000"/>
              </w:rPr>
              <w:t xml:space="preserve"> D.24-01-022, the Commission awards intervenor compensation for efficient efforts that contribute to proceeding </w:t>
            </w:r>
            <w:proofErr w:type="gramStart"/>
            <w:r w:rsidRPr="00C50C1C" w:rsidR="0062760B">
              <w:rPr>
                <w:color w:val="000000"/>
              </w:rPr>
              <w:t>outcomes, and</w:t>
            </w:r>
            <w:proofErr w:type="gramEnd"/>
            <w:r w:rsidRPr="00C50C1C" w:rsidR="0062760B">
              <w:rPr>
                <w:color w:val="000000"/>
              </w:rPr>
              <w:t xml:space="preserve"> has disallowed activities or made reductions to hours that reflect internal duplication and excessive hours claimed.</w:t>
            </w:r>
            <w:r w:rsidRPr="00C50C1C" w:rsidR="0062760B">
              <w:rPr>
                <w:rStyle w:val="FootnoteReference"/>
                <w:color w:val="000000"/>
              </w:rPr>
              <w:footnoteReference w:id="9"/>
            </w:r>
          </w:p>
          <w:p w:rsidRPr="00C50C1C" w:rsidR="008116D2" w:rsidP="002A31E7" w:rsidRDefault="008116D2" w14:paraId="020F637B" w14:textId="77777777">
            <w:pPr>
              <w:tabs>
                <w:tab w:val="left" w:pos="1440"/>
              </w:tabs>
              <w:rPr>
                <w:color w:val="000000"/>
              </w:rPr>
            </w:pPr>
          </w:p>
          <w:p w:rsidRPr="00C50C1C" w:rsidR="008116D2" w:rsidP="002A31E7" w:rsidRDefault="008116D2" w14:paraId="69F8952B" w14:textId="1A77D466">
            <w:pPr>
              <w:tabs>
                <w:tab w:val="left" w:pos="1440"/>
              </w:tabs>
              <w:rPr>
                <w:color w:val="000000"/>
              </w:rPr>
            </w:pPr>
            <w:r w:rsidRPr="00C50C1C">
              <w:rPr>
                <w:color w:val="000000"/>
              </w:rPr>
              <w:t xml:space="preserve">For internal duplication, we disallow an additional </w:t>
            </w:r>
            <w:r w:rsidRPr="00C50C1C" w:rsidR="007906C8">
              <w:rPr>
                <w:color w:val="000000"/>
              </w:rPr>
              <w:t>5</w:t>
            </w:r>
            <w:r w:rsidRPr="00C50C1C" w:rsidR="0062760B">
              <w:rPr>
                <w:color w:val="000000"/>
              </w:rPr>
              <w:t xml:space="preserve"> percent</w:t>
            </w:r>
            <w:r w:rsidRPr="00C50C1C">
              <w:rPr>
                <w:color w:val="000000"/>
              </w:rPr>
              <w:t xml:space="preserve"> of the total hours not already disallowed above by EDF’s staff members Colvin and Moss.</w:t>
            </w:r>
          </w:p>
        </w:tc>
      </w:tr>
      <w:tr w:rsidRPr="00C50C1C" w:rsidR="00BC234E" w:rsidTr="008A3E39" w14:paraId="02831FA5" w14:textId="77777777">
        <w:trPr>
          <w:trHeight w:val="8176"/>
        </w:trPr>
        <w:tc>
          <w:tcPr>
            <w:tcW w:w="1616" w:type="dxa"/>
          </w:tcPr>
          <w:p w:rsidRPr="00C50C1C" w:rsidR="00BC234E" w:rsidP="00EB64CF" w:rsidRDefault="0027724B" w14:paraId="2E8CDD64" w14:textId="214A9455">
            <w:pPr>
              <w:tabs>
                <w:tab w:val="left" w:pos="1440"/>
              </w:tabs>
              <w:rPr>
                <w:color w:val="000000"/>
              </w:rPr>
            </w:pPr>
            <w:r w:rsidRPr="00C50C1C">
              <w:rPr>
                <w:color w:val="000000"/>
              </w:rPr>
              <w:t>[</w:t>
            </w:r>
            <w:r w:rsidRPr="00C50C1C" w:rsidR="004171D5">
              <w:rPr>
                <w:color w:val="000000"/>
              </w:rPr>
              <w:t>9</w:t>
            </w:r>
            <w:r w:rsidRPr="00C50C1C">
              <w:rPr>
                <w:color w:val="000000"/>
              </w:rPr>
              <w:t>]</w:t>
            </w:r>
            <w:r w:rsidRPr="00C50C1C" w:rsidR="0022775E">
              <w:rPr>
                <w:color w:val="000000"/>
              </w:rPr>
              <w:t xml:space="preserve"> </w:t>
            </w:r>
            <w:r w:rsidRPr="00C50C1C" w:rsidR="00E52A3A">
              <w:rPr>
                <w:color w:val="000000"/>
              </w:rPr>
              <w:t>Failure to Allocate Hours by Issue Area</w:t>
            </w:r>
          </w:p>
        </w:tc>
        <w:tc>
          <w:tcPr>
            <w:tcW w:w="8106" w:type="dxa"/>
          </w:tcPr>
          <w:p w:rsidRPr="00C50C1C" w:rsidR="0080310E" w:rsidP="00E52A3A" w:rsidRDefault="00C03C84" w14:paraId="3979937A" w14:textId="2FA07505">
            <w:pPr>
              <w:tabs>
                <w:tab w:val="left" w:pos="1440"/>
              </w:tabs>
            </w:pPr>
            <w:r w:rsidRPr="00C50C1C">
              <w:rPr>
                <w:color w:val="000000"/>
              </w:rPr>
              <w:t>EDF did not allocate hours by issue</w:t>
            </w:r>
            <w:r w:rsidRPr="00C50C1C" w:rsidR="00E52A3A">
              <w:rPr>
                <w:color w:val="000000"/>
              </w:rPr>
              <w:t xml:space="preserve"> areas</w:t>
            </w:r>
            <w:r w:rsidRPr="00C50C1C">
              <w:rPr>
                <w:color w:val="000000"/>
              </w:rPr>
              <w:t xml:space="preserve"> in the</w:t>
            </w:r>
            <w:r w:rsidRPr="00C50C1C" w:rsidR="001810AC">
              <w:rPr>
                <w:color w:val="000000"/>
              </w:rPr>
              <w:t>ir</w:t>
            </w:r>
            <w:r w:rsidRPr="00C50C1C">
              <w:rPr>
                <w:color w:val="000000"/>
              </w:rPr>
              <w:t xml:space="preserve"> submitted timeshee</w:t>
            </w:r>
            <w:r w:rsidRPr="00C50C1C" w:rsidR="008A5EF0">
              <w:rPr>
                <w:color w:val="000000"/>
              </w:rPr>
              <w:t xml:space="preserve">t. </w:t>
            </w:r>
            <w:r w:rsidRPr="00C50C1C" w:rsidR="00E52A3A">
              <w:rPr>
                <w:color w:val="000000"/>
              </w:rPr>
              <w:t xml:space="preserve">Nearly all hours in their submitted timesheet entry are categorized under “all”. </w:t>
            </w:r>
            <w:r w:rsidRPr="00C50C1C" w:rsidR="008A5EF0">
              <w:rPr>
                <w:color w:val="000000"/>
              </w:rPr>
              <w:t xml:space="preserve">As </w:t>
            </w:r>
            <w:r w:rsidRPr="00C50C1C" w:rsidR="00972607">
              <w:rPr>
                <w:color w:val="000000"/>
              </w:rPr>
              <w:t xml:space="preserve">noted in </w:t>
            </w:r>
            <w:r w:rsidRPr="00C50C1C" w:rsidR="00474694">
              <w:rPr>
                <w:color w:val="000000"/>
              </w:rPr>
              <w:t xml:space="preserve">D.24-01-022, if there is more than one issue area </w:t>
            </w:r>
            <w:r w:rsidRPr="00C50C1C" w:rsidR="00F85EAC">
              <w:rPr>
                <w:color w:val="000000"/>
              </w:rPr>
              <w:t>EDF</w:t>
            </w:r>
            <w:r w:rsidRPr="00C50C1C" w:rsidR="00474694">
              <w:rPr>
                <w:color w:val="000000"/>
              </w:rPr>
              <w:t xml:space="preserve"> must show how their requested hours were apportioned among the issues on which they claim a substantial contribution.</w:t>
            </w:r>
            <w:r w:rsidRPr="00C50C1C" w:rsidR="00474694">
              <w:rPr>
                <w:rStyle w:val="FootnoteReference"/>
                <w:color w:val="000000"/>
              </w:rPr>
              <w:footnoteReference w:id="10"/>
            </w:r>
            <w:r w:rsidRPr="00C50C1C" w:rsidR="00FF2A26">
              <w:rPr>
                <w:color w:val="000000"/>
              </w:rPr>
              <w:t xml:space="preserve"> </w:t>
            </w:r>
            <w:r w:rsidRPr="00C50C1C" w:rsidR="00364ADE">
              <w:rPr>
                <w:color w:val="000000"/>
              </w:rPr>
              <w:t>This requirement is necessary not only to support a finding of substantial contribution, but to help</w:t>
            </w:r>
            <w:r w:rsidRPr="00C50C1C" w:rsidR="00212D77">
              <w:rPr>
                <w:color w:val="000000"/>
              </w:rPr>
              <w:t xml:space="preserve"> identify instances where staff may be</w:t>
            </w:r>
            <w:r w:rsidRPr="00C50C1C" w:rsidR="00364ADE">
              <w:rPr>
                <w:color w:val="000000"/>
              </w:rPr>
              <w:t xml:space="preserve"> </w:t>
            </w:r>
            <w:r w:rsidRPr="00C50C1C" w:rsidR="00D84A6E">
              <w:rPr>
                <w:color w:val="000000"/>
              </w:rPr>
              <w:t xml:space="preserve">working on different issue areas </w:t>
            </w:r>
            <w:r w:rsidRPr="00C50C1C" w:rsidR="00212D77">
              <w:rPr>
                <w:color w:val="000000"/>
              </w:rPr>
              <w:t>in the</w:t>
            </w:r>
            <w:r w:rsidRPr="00C50C1C" w:rsidR="00D84A6E">
              <w:rPr>
                <w:color w:val="000000"/>
              </w:rPr>
              <w:t xml:space="preserve"> same or similar documents</w:t>
            </w:r>
            <w:r w:rsidRPr="00C50C1C" w:rsidR="00A97874">
              <w:rPr>
                <w:color w:val="000000"/>
              </w:rPr>
              <w:t>.</w:t>
            </w:r>
            <w:r w:rsidRPr="00C50C1C" w:rsidR="00725FE2">
              <w:rPr>
                <w:color w:val="000000"/>
              </w:rPr>
              <w:t xml:space="preserve"> </w:t>
            </w:r>
            <w:r w:rsidRPr="00C50C1C" w:rsidR="00090EAD">
              <w:t xml:space="preserve">Most of the professional work on the proceeding can and must be associated with the proceeding’s substantive issues. </w:t>
            </w:r>
            <w:r w:rsidRPr="00C50C1C" w:rsidR="00090EAD">
              <w:rPr>
                <w:i/>
                <w:iCs/>
              </w:rPr>
              <w:t>See</w:t>
            </w:r>
            <w:r w:rsidRPr="00C50C1C" w:rsidR="00090EAD">
              <w:t xml:space="preserve"> D.10-04-023 at 13-14.”</w:t>
            </w:r>
            <w:r w:rsidRPr="00C50C1C" w:rsidR="00E52A3A">
              <w:t xml:space="preserve"> </w:t>
            </w:r>
            <w:r w:rsidRPr="00C50C1C" w:rsidR="00E52A3A">
              <w:rPr>
                <w:i/>
                <w:iCs/>
              </w:rPr>
              <w:t>See</w:t>
            </w:r>
            <w:r w:rsidRPr="00C50C1C" w:rsidR="00E52A3A">
              <w:t xml:space="preserve"> </w:t>
            </w:r>
            <w:proofErr w:type="spellStart"/>
            <w:r w:rsidRPr="00C50C1C" w:rsidR="00E52A3A">
              <w:t>IComp</w:t>
            </w:r>
            <w:proofErr w:type="spellEnd"/>
            <w:r w:rsidRPr="00C50C1C" w:rsidR="00E52A3A">
              <w:t xml:space="preserve"> Program Guide at 21. As such, we reduce all hours for Myers, Colvin</w:t>
            </w:r>
            <w:r w:rsidRPr="00C50C1C" w:rsidR="00D31CB4">
              <w:t>,</w:t>
            </w:r>
            <w:r w:rsidRPr="00C50C1C" w:rsidR="00E52A3A">
              <w:t xml:space="preserve"> Jermyn</w:t>
            </w:r>
            <w:r w:rsidRPr="00C50C1C" w:rsidR="00D31CB4">
              <w:t xml:space="preserve"> and Moss</w:t>
            </w:r>
            <w:r w:rsidRPr="00C50C1C" w:rsidR="00E52A3A">
              <w:t xml:space="preserve"> by 10%. </w:t>
            </w:r>
          </w:p>
          <w:p w:rsidRPr="00C50C1C" w:rsidR="0080310E" w:rsidP="00E52A3A" w:rsidRDefault="0080310E" w14:paraId="238C3A04" w14:textId="77777777">
            <w:pPr>
              <w:tabs>
                <w:tab w:val="left" w:pos="1440"/>
              </w:tabs>
              <w:rPr>
                <w:color w:val="000000"/>
              </w:rPr>
            </w:pPr>
          </w:p>
          <w:tbl>
            <w:tblPr>
              <w:tblStyle w:val="TableGrid"/>
              <w:tblW w:w="7880" w:type="dxa"/>
              <w:jc w:val="center"/>
              <w:tblLook w:val="04A0" w:firstRow="1" w:lastRow="0" w:firstColumn="1" w:lastColumn="0" w:noHBand="0" w:noVBand="1"/>
            </w:tblPr>
            <w:tblGrid>
              <w:gridCol w:w="1444"/>
              <w:gridCol w:w="1566"/>
              <w:gridCol w:w="1748"/>
              <w:gridCol w:w="1573"/>
              <w:gridCol w:w="1549"/>
            </w:tblGrid>
            <w:tr w:rsidRPr="00C50C1C" w:rsidR="0080310E" w:rsidTr="009640F5" w14:paraId="3CEF55A7" w14:textId="77777777">
              <w:trPr>
                <w:trHeight w:val="737"/>
                <w:jc w:val="center"/>
              </w:trPr>
              <w:tc>
                <w:tcPr>
                  <w:tcW w:w="1444"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1148F108" w14:textId="77777777">
                  <w:pPr>
                    <w:tabs>
                      <w:tab w:val="left" w:pos="1440"/>
                    </w:tabs>
                    <w:jc w:val="center"/>
                    <w:rPr>
                      <w:b/>
                      <w:bCs/>
                    </w:rPr>
                  </w:pPr>
                  <w:r w:rsidRPr="00C50C1C">
                    <w:rPr>
                      <w:b/>
                      <w:bCs/>
                    </w:rPr>
                    <w:t>Year</w:t>
                  </w:r>
                </w:p>
              </w:tc>
              <w:tc>
                <w:tcPr>
                  <w:tcW w:w="1566" w:type="dxa"/>
                  <w:tcBorders>
                    <w:top w:val="single" w:color="auto" w:sz="4" w:space="0"/>
                    <w:left w:val="single" w:color="auto" w:sz="4" w:space="0"/>
                    <w:bottom w:val="single" w:color="auto" w:sz="4" w:space="0"/>
                    <w:right w:val="single" w:color="auto" w:sz="4" w:space="0"/>
                  </w:tcBorders>
                  <w:hideMark/>
                </w:tcPr>
                <w:p w:rsidRPr="00C50C1C" w:rsidR="0080310E" w:rsidP="0080310E" w:rsidRDefault="0080310E" w14:paraId="36537A47" w14:textId="77777777">
                  <w:pPr>
                    <w:tabs>
                      <w:tab w:val="left" w:pos="1440"/>
                    </w:tabs>
                    <w:jc w:val="center"/>
                    <w:rPr>
                      <w:b/>
                      <w:bCs/>
                    </w:rPr>
                  </w:pPr>
                  <w:r w:rsidRPr="00C50C1C">
                    <w:rPr>
                      <w:b/>
                      <w:bCs/>
                    </w:rPr>
                    <w:t>Person</w:t>
                  </w:r>
                </w:p>
              </w:tc>
              <w:tc>
                <w:tcPr>
                  <w:tcW w:w="1748" w:type="dxa"/>
                  <w:tcBorders>
                    <w:top w:val="single" w:color="auto" w:sz="4" w:space="0"/>
                    <w:left w:val="single" w:color="auto" w:sz="4" w:space="0"/>
                    <w:bottom w:val="single" w:color="auto" w:sz="4" w:space="0"/>
                    <w:right w:val="single" w:color="auto" w:sz="4" w:space="0"/>
                  </w:tcBorders>
                  <w:hideMark/>
                </w:tcPr>
                <w:p w:rsidRPr="00C50C1C" w:rsidR="0080310E" w:rsidP="0080310E" w:rsidRDefault="0080310E" w14:paraId="3B86BC60" w14:textId="72D71BC5">
                  <w:pPr>
                    <w:tabs>
                      <w:tab w:val="left" w:pos="1440"/>
                    </w:tabs>
                    <w:jc w:val="center"/>
                    <w:rPr>
                      <w:b/>
                      <w:bCs/>
                    </w:rPr>
                  </w:pPr>
                  <w:r w:rsidRPr="00C50C1C">
                    <w:rPr>
                      <w:b/>
                      <w:bCs/>
                      <w:color w:val="000000"/>
                    </w:rPr>
                    <w:t>Total requested hours (includes prior disallowances)</w:t>
                  </w:r>
                </w:p>
              </w:tc>
              <w:tc>
                <w:tcPr>
                  <w:tcW w:w="1573" w:type="dxa"/>
                  <w:tcBorders>
                    <w:top w:val="single" w:color="auto" w:sz="4" w:space="0"/>
                    <w:left w:val="single" w:color="auto" w:sz="4" w:space="0"/>
                    <w:bottom w:val="single" w:color="auto" w:sz="4" w:space="0"/>
                    <w:right w:val="single" w:color="auto" w:sz="4" w:space="0"/>
                  </w:tcBorders>
                  <w:hideMark/>
                </w:tcPr>
                <w:p w:rsidRPr="00C50C1C" w:rsidR="0080310E" w:rsidP="0080310E" w:rsidRDefault="0080310E" w14:paraId="3AF58CC3" w14:textId="77777777">
                  <w:pPr>
                    <w:tabs>
                      <w:tab w:val="left" w:pos="1440"/>
                    </w:tabs>
                    <w:jc w:val="center"/>
                    <w:rPr>
                      <w:b/>
                      <w:bCs/>
                    </w:rPr>
                  </w:pPr>
                  <w:r w:rsidRPr="00C50C1C">
                    <w:rPr>
                      <w:b/>
                      <w:bCs/>
                    </w:rPr>
                    <w:t>Hours Disallowed</w:t>
                  </w:r>
                </w:p>
              </w:tc>
              <w:tc>
                <w:tcPr>
                  <w:tcW w:w="1549" w:type="dxa"/>
                  <w:tcBorders>
                    <w:top w:val="single" w:color="auto" w:sz="4" w:space="0"/>
                    <w:left w:val="single" w:color="auto" w:sz="4" w:space="0"/>
                    <w:bottom w:val="single" w:color="auto" w:sz="4" w:space="0"/>
                    <w:right w:val="single" w:color="auto" w:sz="4" w:space="0"/>
                  </w:tcBorders>
                  <w:hideMark/>
                </w:tcPr>
                <w:p w:rsidRPr="00C50C1C" w:rsidR="0080310E" w:rsidP="0080310E" w:rsidRDefault="0080310E" w14:paraId="7925DF2A" w14:textId="77777777">
                  <w:pPr>
                    <w:tabs>
                      <w:tab w:val="left" w:pos="1440"/>
                    </w:tabs>
                    <w:jc w:val="center"/>
                    <w:rPr>
                      <w:b/>
                      <w:bCs/>
                    </w:rPr>
                  </w:pPr>
                  <w:r w:rsidRPr="00C50C1C">
                    <w:rPr>
                      <w:b/>
                      <w:bCs/>
                    </w:rPr>
                    <w:t xml:space="preserve">Hours Awarded </w:t>
                  </w:r>
                </w:p>
              </w:tc>
            </w:tr>
            <w:tr w:rsidRPr="00C50C1C" w:rsidR="0080310E" w:rsidTr="009640F5" w14:paraId="4A6DE381" w14:textId="77777777">
              <w:trPr>
                <w:trHeight w:val="287"/>
                <w:jc w:val="center"/>
              </w:trPr>
              <w:tc>
                <w:tcPr>
                  <w:tcW w:w="1444"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44B5CA33" w14:textId="3428E099">
                  <w:pPr>
                    <w:tabs>
                      <w:tab w:val="left" w:pos="1440"/>
                    </w:tabs>
                    <w:jc w:val="center"/>
                  </w:pPr>
                  <w:r w:rsidRPr="00C50C1C">
                    <w:t>2021</w:t>
                  </w:r>
                </w:p>
              </w:tc>
              <w:tc>
                <w:tcPr>
                  <w:tcW w:w="1566" w:type="dxa"/>
                  <w:vMerge w:val="restart"/>
                  <w:tcBorders>
                    <w:top w:val="single" w:color="auto" w:sz="4" w:space="0"/>
                    <w:left w:val="single" w:color="auto" w:sz="4" w:space="0"/>
                    <w:right w:val="single" w:color="auto" w:sz="4" w:space="0"/>
                  </w:tcBorders>
                  <w:hideMark/>
                </w:tcPr>
                <w:p w:rsidRPr="00C50C1C" w:rsidR="0080310E" w:rsidP="0080310E" w:rsidRDefault="0080310E" w14:paraId="7C13AE55" w14:textId="77777777">
                  <w:pPr>
                    <w:tabs>
                      <w:tab w:val="left" w:pos="1440"/>
                    </w:tabs>
                    <w:jc w:val="center"/>
                  </w:pPr>
                </w:p>
                <w:p w:rsidRPr="00C50C1C" w:rsidR="0080310E" w:rsidP="0080310E" w:rsidRDefault="0080310E" w14:paraId="0D1ADAE6" w14:textId="374C1022">
                  <w:pPr>
                    <w:tabs>
                      <w:tab w:val="left" w:pos="1440"/>
                    </w:tabs>
                    <w:jc w:val="center"/>
                  </w:pPr>
                  <w:r w:rsidRPr="00C50C1C">
                    <w:t>Megan Myers</w:t>
                  </w:r>
                </w:p>
              </w:tc>
              <w:tc>
                <w:tcPr>
                  <w:tcW w:w="1748" w:type="dxa"/>
                  <w:tcBorders>
                    <w:top w:val="single" w:color="auto" w:sz="4" w:space="0"/>
                    <w:left w:val="single" w:color="auto" w:sz="4" w:space="0"/>
                    <w:bottom w:val="single" w:color="auto" w:sz="4" w:space="0"/>
                    <w:right w:val="single" w:color="auto" w:sz="4" w:space="0"/>
                  </w:tcBorders>
                  <w:hideMark/>
                </w:tcPr>
                <w:p w:rsidRPr="00C50C1C" w:rsidR="0080310E" w:rsidP="0080310E" w:rsidRDefault="0080310E" w14:paraId="5A4C7143" w14:textId="062069C6">
                  <w:pPr>
                    <w:tabs>
                      <w:tab w:val="left" w:pos="1440"/>
                    </w:tabs>
                    <w:jc w:val="center"/>
                  </w:pPr>
                  <w:r w:rsidRPr="00C50C1C">
                    <w:t xml:space="preserve">1.00 </w:t>
                  </w:r>
                </w:p>
              </w:tc>
              <w:tc>
                <w:tcPr>
                  <w:tcW w:w="1573" w:type="dxa"/>
                  <w:tcBorders>
                    <w:top w:val="single" w:color="auto" w:sz="4" w:space="0"/>
                    <w:left w:val="single" w:color="auto" w:sz="4" w:space="0"/>
                    <w:bottom w:val="single" w:color="auto" w:sz="4" w:space="0"/>
                    <w:right w:val="single" w:color="auto" w:sz="4" w:space="0"/>
                  </w:tcBorders>
                  <w:hideMark/>
                </w:tcPr>
                <w:p w:rsidRPr="00C50C1C" w:rsidR="0080310E" w:rsidP="0080310E" w:rsidRDefault="0080310E" w14:paraId="41A1EAA9" w14:textId="1CEE15C0">
                  <w:pPr>
                    <w:tabs>
                      <w:tab w:val="left" w:pos="1440"/>
                    </w:tabs>
                    <w:jc w:val="center"/>
                  </w:pPr>
                  <w:r w:rsidRPr="00C50C1C">
                    <w:t>0.10</w:t>
                  </w:r>
                </w:p>
              </w:tc>
              <w:tc>
                <w:tcPr>
                  <w:tcW w:w="1549" w:type="dxa"/>
                  <w:tcBorders>
                    <w:top w:val="single" w:color="auto" w:sz="4" w:space="0"/>
                    <w:left w:val="single" w:color="auto" w:sz="4" w:space="0"/>
                    <w:bottom w:val="single" w:color="auto" w:sz="4" w:space="0"/>
                    <w:right w:val="single" w:color="auto" w:sz="4" w:space="0"/>
                  </w:tcBorders>
                  <w:hideMark/>
                </w:tcPr>
                <w:p w:rsidRPr="00C50C1C" w:rsidR="0080310E" w:rsidP="0080310E" w:rsidRDefault="0080310E" w14:paraId="7BB42EA1" w14:textId="7483A593">
                  <w:pPr>
                    <w:tabs>
                      <w:tab w:val="left" w:pos="1440"/>
                    </w:tabs>
                    <w:jc w:val="center"/>
                  </w:pPr>
                  <w:r w:rsidRPr="00C50C1C">
                    <w:t>0.90 hours</w:t>
                  </w:r>
                </w:p>
              </w:tc>
            </w:tr>
            <w:tr w:rsidRPr="00C50C1C" w:rsidR="0080310E" w:rsidTr="00103391" w14:paraId="1333502A" w14:textId="77777777">
              <w:trPr>
                <w:trHeight w:val="179"/>
                <w:jc w:val="center"/>
              </w:trPr>
              <w:tc>
                <w:tcPr>
                  <w:tcW w:w="1444"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74BDA001" w14:textId="093ABF1B">
                  <w:pPr>
                    <w:tabs>
                      <w:tab w:val="left" w:pos="1440"/>
                    </w:tabs>
                    <w:jc w:val="center"/>
                  </w:pPr>
                  <w:r w:rsidRPr="00C50C1C">
                    <w:t>2022</w:t>
                  </w:r>
                </w:p>
              </w:tc>
              <w:tc>
                <w:tcPr>
                  <w:tcW w:w="1566" w:type="dxa"/>
                  <w:vMerge/>
                  <w:tcBorders>
                    <w:left w:val="single" w:color="auto" w:sz="4" w:space="0"/>
                    <w:right w:val="single" w:color="auto" w:sz="4" w:space="0"/>
                  </w:tcBorders>
                </w:tcPr>
                <w:p w:rsidRPr="00C50C1C" w:rsidR="0080310E" w:rsidP="0080310E" w:rsidRDefault="0080310E" w14:paraId="29B045E5" w14:textId="77777777">
                  <w:pPr>
                    <w:tabs>
                      <w:tab w:val="left" w:pos="1440"/>
                    </w:tabs>
                    <w:jc w:val="center"/>
                  </w:pPr>
                </w:p>
              </w:tc>
              <w:tc>
                <w:tcPr>
                  <w:tcW w:w="1748" w:type="dxa"/>
                  <w:tcBorders>
                    <w:top w:val="single" w:color="auto" w:sz="4" w:space="0"/>
                    <w:left w:val="single" w:color="auto" w:sz="4" w:space="0"/>
                    <w:bottom w:val="single" w:color="auto" w:sz="4" w:space="0"/>
                    <w:right w:val="single" w:color="auto" w:sz="4" w:space="0"/>
                  </w:tcBorders>
                </w:tcPr>
                <w:p w:rsidRPr="00C50C1C" w:rsidR="0080310E" w:rsidP="0080310E" w:rsidRDefault="00FE1B7E" w14:paraId="6A761BA9" w14:textId="743CF7D0">
                  <w:pPr>
                    <w:tabs>
                      <w:tab w:val="left" w:pos="1440"/>
                    </w:tabs>
                    <w:jc w:val="center"/>
                  </w:pPr>
                  <w:r w:rsidRPr="00C50C1C">
                    <w:t>30</w:t>
                  </w:r>
                  <w:r w:rsidRPr="00C50C1C" w:rsidR="0080310E">
                    <w:t xml:space="preserve">.40 </w:t>
                  </w:r>
                </w:p>
              </w:tc>
              <w:tc>
                <w:tcPr>
                  <w:tcW w:w="1573" w:type="dxa"/>
                  <w:tcBorders>
                    <w:top w:val="single" w:color="auto" w:sz="4" w:space="0"/>
                    <w:left w:val="single" w:color="auto" w:sz="4" w:space="0"/>
                    <w:bottom w:val="single" w:color="auto" w:sz="4" w:space="0"/>
                    <w:right w:val="single" w:color="auto" w:sz="4" w:space="0"/>
                  </w:tcBorders>
                </w:tcPr>
                <w:p w:rsidRPr="00C50C1C" w:rsidR="0080310E" w:rsidP="0080310E" w:rsidRDefault="00FE1B7E" w14:paraId="50100872" w14:textId="61FBDCDF">
                  <w:pPr>
                    <w:tabs>
                      <w:tab w:val="left" w:pos="1440"/>
                    </w:tabs>
                    <w:jc w:val="center"/>
                  </w:pPr>
                  <w:r w:rsidRPr="00C50C1C">
                    <w:t>3.04</w:t>
                  </w:r>
                </w:p>
              </w:tc>
              <w:tc>
                <w:tcPr>
                  <w:tcW w:w="1549" w:type="dxa"/>
                  <w:tcBorders>
                    <w:top w:val="single" w:color="auto" w:sz="4" w:space="0"/>
                    <w:left w:val="single" w:color="auto" w:sz="4" w:space="0"/>
                    <w:bottom w:val="single" w:color="auto" w:sz="4" w:space="0"/>
                    <w:right w:val="single" w:color="auto" w:sz="4" w:space="0"/>
                  </w:tcBorders>
                </w:tcPr>
                <w:p w:rsidRPr="00C50C1C" w:rsidR="0080310E" w:rsidP="0080310E" w:rsidRDefault="00FE1B7E" w14:paraId="1220E664" w14:textId="16555006">
                  <w:pPr>
                    <w:tabs>
                      <w:tab w:val="left" w:pos="1440"/>
                    </w:tabs>
                    <w:jc w:val="center"/>
                  </w:pPr>
                  <w:r w:rsidRPr="00C50C1C">
                    <w:t xml:space="preserve">27.36 </w:t>
                  </w:r>
                  <w:r w:rsidRPr="00C50C1C" w:rsidR="0080310E">
                    <w:t>hours</w:t>
                  </w:r>
                </w:p>
              </w:tc>
            </w:tr>
            <w:tr w:rsidRPr="00C50C1C" w:rsidR="0080310E" w:rsidTr="009640F5" w14:paraId="297493F7" w14:textId="77777777">
              <w:trPr>
                <w:trHeight w:val="179"/>
                <w:jc w:val="center"/>
              </w:trPr>
              <w:tc>
                <w:tcPr>
                  <w:tcW w:w="1444"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522E9CA7" w14:textId="55806932">
                  <w:pPr>
                    <w:tabs>
                      <w:tab w:val="left" w:pos="1440"/>
                    </w:tabs>
                    <w:jc w:val="center"/>
                  </w:pPr>
                  <w:r w:rsidRPr="00C50C1C">
                    <w:t>2023</w:t>
                  </w:r>
                </w:p>
              </w:tc>
              <w:tc>
                <w:tcPr>
                  <w:tcW w:w="1566" w:type="dxa"/>
                  <w:vMerge/>
                  <w:tcBorders>
                    <w:left w:val="single" w:color="auto" w:sz="4" w:space="0"/>
                    <w:bottom w:val="single" w:color="auto" w:sz="4" w:space="0"/>
                    <w:right w:val="single" w:color="auto" w:sz="4" w:space="0"/>
                  </w:tcBorders>
                </w:tcPr>
                <w:p w:rsidRPr="00C50C1C" w:rsidR="0080310E" w:rsidP="0080310E" w:rsidRDefault="0080310E" w14:paraId="613C8D54" w14:textId="77777777">
                  <w:pPr>
                    <w:tabs>
                      <w:tab w:val="left" w:pos="1440"/>
                    </w:tabs>
                    <w:jc w:val="center"/>
                  </w:pPr>
                </w:p>
              </w:tc>
              <w:tc>
                <w:tcPr>
                  <w:tcW w:w="1748"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6B06C779" w14:textId="61EBB711">
                  <w:pPr>
                    <w:tabs>
                      <w:tab w:val="left" w:pos="1440"/>
                    </w:tabs>
                    <w:jc w:val="center"/>
                  </w:pPr>
                  <w:r w:rsidRPr="00C50C1C">
                    <w:t>6</w:t>
                  </w:r>
                  <w:r w:rsidRPr="00C50C1C" w:rsidR="00FE1B7E">
                    <w:t>3</w:t>
                  </w:r>
                  <w:r w:rsidRPr="00C50C1C">
                    <w:t xml:space="preserve">.50 </w:t>
                  </w:r>
                </w:p>
              </w:tc>
              <w:tc>
                <w:tcPr>
                  <w:tcW w:w="1573"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7E1F65BD" w14:textId="2ADAEC8E">
                  <w:pPr>
                    <w:tabs>
                      <w:tab w:val="left" w:pos="1440"/>
                    </w:tabs>
                    <w:jc w:val="center"/>
                  </w:pPr>
                  <w:r w:rsidRPr="00C50C1C">
                    <w:t>6.</w:t>
                  </w:r>
                  <w:r w:rsidRPr="00C50C1C" w:rsidR="00FE1B7E">
                    <w:t>3</w:t>
                  </w:r>
                  <w:r w:rsidRPr="00C50C1C">
                    <w:t>5</w:t>
                  </w:r>
                </w:p>
              </w:tc>
              <w:tc>
                <w:tcPr>
                  <w:tcW w:w="1549" w:type="dxa"/>
                  <w:tcBorders>
                    <w:top w:val="single" w:color="auto" w:sz="4" w:space="0"/>
                    <w:left w:val="single" w:color="auto" w:sz="4" w:space="0"/>
                    <w:bottom w:val="single" w:color="auto" w:sz="4" w:space="0"/>
                    <w:right w:val="single" w:color="auto" w:sz="4" w:space="0"/>
                  </w:tcBorders>
                </w:tcPr>
                <w:p w:rsidRPr="00C50C1C" w:rsidR="0080310E" w:rsidP="0080310E" w:rsidRDefault="00FE1B7E" w14:paraId="158EFC5F" w14:textId="2BB1D436">
                  <w:pPr>
                    <w:tabs>
                      <w:tab w:val="left" w:pos="1440"/>
                    </w:tabs>
                    <w:jc w:val="center"/>
                  </w:pPr>
                  <w:r w:rsidRPr="00C50C1C">
                    <w:t>57.15</w:t>
                  </w:r>
                  <w:r w:rsidRPr="00C50C1C" w:rsidR="0080310E">
                    <w:t xml:space="preserve"> hours</w:t>
                  </w:r>
                </w:p>
              </w:tc>
            </w:tr>
            <w:tr w:rsidRPr="00C50C1C" w:rsidR="0080310E" w:rsidTr="009640F5" w14:paraId="0D0BF9DF" w14:textId="77777777">
              <w:trPr>
                <w:trHeight w:val="172"/>
                <w:jc w:val="center"/>
              </w:trPr>
              <w:tc>
                <w:tcPr>
                  <w:tcW w:w="1444" w:type="dxa"/>
                  <w:tcBorders>
                    <w:left w:val="single" w:color="auto" w:sz="4" w:space="0"/>
                    <w:right w:val="single" w:color="auto" w:sz="4" w:space="0"/>
                  </w:tcBorders>
                </w:tcPr>
                <w:p w:rsidRPr="00C50C1C" w:rsidR="0080310E" w:rsidP="0080310E" w:rsidRDefault="0080310E" w14:paraId="25CF30E4" w14:textId="3C1C4B10">
                  <w:pPr>
                    <w:tabs>
                      <w:tab w:val="left" w:pos="1440"/>
                    </w:tabs>
                    <w:jc w:val="center"/>
                  </w:pPr>
                  <w:r w:rsidRPr="00C50C1C">
                    <w:t>2021</w:t>
                  </w:r>
                </w:p>
              </w:tc>
              <w:tc>
                <w:tcPr>
                  <w:tcW w:w="1566" w:type="dxa"/>
                  <w:vMerge w:val="restart"/>
                  <w:tcBorders>
                    <w:left w:val="single" w:color="auto" w:sz="4" w:space="0"/>
                    <w:right w:val="single" w:color="auto" w:sz="4" w:space="0"/>
                  </w:tcBorders>
                </w:tcPr>
                <w:p w:rsidRPr="00C50C1C" w:rsidR="0080310E" w:rsidP="0080310E" w:rsidRDefault="0080310E" w14:paraId="18936F20" w14:textId="505E5112">
                  <w:pPr>
                    <w:tabs>
                      <w:tab w:val="left" w:pos="1440"/>
                    </w:tabs>
                    <w:jc w:val="center"/>
                  </w:pPr>
                  <w:r w:rsidRPr="00C50C1C">
                    <w:t>Michael Colvin</w:t>
                  </w:r>
                </w:p>
              </w:tc>
              <w:tc>
                <w:tcPr>
                  <w:tcW w:w="1748"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6B1ADF5C" w14:textId="29568D9D">
                  <w:pPr>
                    <w:tabs>
                      <w:tab w:val="left" w:pos="1440"/>
                    </w:tabs>
                    <w:jc w:val="center"/>
                  </w:pPr>
                  <w:r w:rsidRPr="00C50C1C">
                    <w:t>2.38</w:t>
                  </w:r>
                </w:p>
              </w:tc>
              <w:tc>
                <w:tcPr>
                  <w:tcW w:w="1573"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00F7CA3B" w14:textId="706A26D1">
                  <w:pPr>
                    <w:tabs>
                      <w:tab w:val="left" w:pos="1440"/>
                    </w:tabs>
                    <w:jc w:val="center"/>
                  </w:pPr>
                  <w:r w:rsidRPr="00C50C1C">
                    <w:t>0.24</w:t>
                  </w:r>
                </w:p>
              </w:tc>
              <w:tc>
                <w:tcPr>
                  <w:tcW w:w="1549"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3D15EC03" w14:textId="69A23AB3">
                  <w:pPr>
                    <w:tabs>
                      <w:tab w:val="left" w:pos="1440"/>
                    </w:tabs>
                    <w:jc w:val="center"/>
                  </w:pPr>
                  <w:r w:rsidRPr="00C50C1C">
                    <w:t>2.14 hours</w:t>
                  </w:r>
                </w:p>
              </w:tc>
            </w:tr>
            <w:tr w:rsidRPr="00C50C1C" w:rsidR="0080310E" w:rsidTr="009640F5" w14:paraId="6FE49296" w14:textId="77777777">
              <w:trPr>
                <w:trHeight w:val="172"/>
                <w:jc w:val="center"/>
              </w:trPr>
              <w:tc>
                <w:tcPr>
                  <w:tcW w:w="1444" w:type="dxa"/>
                  <w:tcBorders>
                    <w:left w:val="single" w:color="auto" w:sz="4" w:space="0"/>
                    <w:right w:val="single" w:color="auto" w:sz="4" w:space="0"/>
                  </w:tcBorders>
                </w:tcPr>
                <w:p w:rsidRPr="00C50C1C" w:rsidR="0080310E" w:rsidP="0080310E" w:rsidRDefault="0080310E" w14:paraId="4A760B04" w14:textId="472B1F22">
                  <w:pPr>
                    <w:tabs>
                      <w:tab w:val="left" w:pos="1440"/>
                    </w:tabs>
                    <w:jc w:val="center"/>
                  </w:pPr>
                  <w:r w:rsidRPr="00C50C1C">
                    <w:t>2022</w:t>
                  </w:r>
                </w:p>
              </w:tc>
              <w:tc>
                <w:tcPr>
                  <w:tcW w:w="1566" w:type="dxa"/>
                  <w:vMerge/>
                  <w:tcBorders>
                    <w:left w:val="single" w:color="auto" w:sz="4" w:space="0"/>
                    <w:right w:val="single" w:color="auto" w:sz="4" w:space="0"/>
                  </w:tcBorders>
                </w:tcPr>
                <w:p w:rsidRPr="00C50C1C" w:rsidR="0080310E" w:rsidP="0080310E" w:rsidRDefault="0080310E" w14:paraId="2D917CC9" w14:textId="77777777">
                  <w:pPr>
                    <w:tabs>
                      <w:tab w:val="left" w:pos="1440"/>
                    </w:tabs>
                    <w:jc w:val="center"/>
                  </w:pPr>
                </w:p>
              </w:tc>
              <w:tc>
                <w:tcPr>
                  <w:tcW w:w="1748"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416CE6D0" w14:textId="4BF5A6D1">
                  <w:pPr>
                    <w:tabs>
                      <w:tab w:val="left" w:pos="1440"/>
                    </w:tabs>
                    <w:jc w:val="center"/>
                  </w:pPr>
                  <w:r w:rsidRPr="00C50C1C">
                    <w:t>12.59</w:t>
                  </w:r>
                </w:p>
              </w:tc>
              <w:tc>
                <w:tcPr>
                  <w:tcW w:w="1573"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09DF9175" w14:textId="724E6826">
                  <w:pPr>
                    <w:tabs>
                      <w:tab w:val="left" w:pos="1440"/>
                    </w:tabs>
                    <w:jc w:val="center"/>
                  </w:pPr>
                  <w:r w:rsidRPr="00C50C1C">
                    <w:t>1.26</w:t>
                  </w:r>
                </w:p>
              </w:tc>
              <w:tc>
                <w:tcPr>
                  <w:tcW w:w="1549"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60DBEB73" w14:textId="60067315">
                  <w:pPr>
                    <w:tabs>
                      <w:tab w:val="left" w:pos="1440"/>
                    </w:tabs>
                    <w:jc w:val="center"/>
                  </w:pPr>
                  <w:r w:rsidRPr="00C50C1C">
                    <w:t>11.33 hours</w:t>
                  </w:r>
                </w:p>
              </w:tc>
            </w:tr>
            <w:tr w:rsidRPr="00C50C1C" w:rsidR="0080310E" w:rsidTr="009640F5" w14:paraId="32EA99F0" w14:textId="77777777">
              <w:trPr>
                <w:trHeight w:val="172"/>
                <w:jc w:val="center"/>
              </w:trPr>
              <w:tc>
                <w:tcPr>
                  <w:tcW w:w="1444" w:type="dxa"/>
                  <w:tcBorders>
                    <w:left w:val="single" w:color="auto" w:sz="4" w:space="0"/>
                    <w:right w:val="single" w:color="auto" w:sz="4" w:space="0"/>
                  </w:tcBorders>
                </w:tcPr>
                <w:p w:rsidRPr="00C50C1C" w:rsidR="0080310E" w:rsidP="0080310E" w:rsidRDefault="0080310E" w14:paraId="13A6B833" w14:textId="55BDC98A">
                  <w:pPr>
                    <w:tabs>
                      <w:tab w:val="left" w:pos="1440"/>
                    </w:tabs>
                    <w:jc w:val="center"/>
                  </w:pPr>
                  <w:r w:rsidRPr="00C50C1C">
                    <w:t>2023</w:t>
                  </w:r>
                </w:p>
              </w:tc>
              <w:tc>
                <w:tcPr>
                  <w:tcW w:w="1566" w:type="dxa"/>
                  <w:vMerge/>
                  <w:tcBorders>
                    <w:left w:val="single" w:color="auto" w:sz="4" w:space="0"/>
                    <w:right w:val="single" w:color="auto" w:sz="4" w:space="0"/>
                  </w:tcBorders>
                </w:tcPr>
                <w:p w:rsidRPr="00C50C1C" w:rsidR="0080310E" w:rsidP="0080310E" w:rsidRDefault="0080310E" w14:paraId="7DF5376B" w14:textId="77777777">
                  <w:pPr>
                    <w:tabs>
                      <w:tab w:val="left" w:pos="1440"/>
                    </w:tabs>
                    <w:jc w:val="center"/>
                  </w:pPr>
                </w:p>
              </w:tc>
              <w:tc>
                <w:tcPr>
                  <w:tcW w:w="1748" w:type="dxa"/>
                  <w:tcBorders>
                    <w:top w:val="single" w:color="auto" w:sz="4" w:space="0"/>
                    <w:left w:val="single" w:color="auto" w:sz="4" w:space="0"/>
                    <w:bottom w:val="single" w:color="auto" w:sz="4" w:space="0"/>
                    <w:right w:val="single" w:color="auto" w:sz="4" w:space="0"/>
                  </w:tcBorders>
                </w:tcPr>
                <w:p w:rsidRPr="00C50C1C" w:rsidR="0080310E" w:rsidP="0080310E" w:rsidRDefault="00D31CB4" w14:paraId="435BFB3B" w14:textId="226C189B">
                  <w:pPr>
                    <w:tabs>
                      <w:tab w:val="left" w:pos="1440"/>
                    </w:tabs>
                    <w:jc w:val="center"/>
                  </w:pPr>
                  <w:r w:rsidRPr="00C50C1C">
                    <w:t>13.54</w:t>
                  </w:r>
                </w:p>
              </w:tc>
              <w:tc>
                <w:tcPr>
                  <w:tcW w:w="1573" w:type="dxa"/>
                  <w:tcBorders>
                    <w:top w:val="single" w:color="auto" w:sz="4" w:space="0"/>
                    <w:left w:val="single" w:color="auto" w:sz="4" w:space="0"/>
                    <w:bottom w:val="single" w:color="auto" w:sz="4" w:space="0"/>
                    <w:right w:val="single" w:color="auto" w:sz="4" w:space="0"/>
                  </w:tcBorders>
                </w:tcPr>
                <w:p w:rsidRPr="00C50C1C" w:rsidR="0080310E" w:rsidP="0080310E" w:rsidRDefault="00D31CB4" w14:paraId="3AC1EDE9" w14:textId="2264E8C2">
                  <w:pPr>
                    <w:tabs>
                      <w:tab w:val="left" w:pos="1440"/>
                    </w:tabs>
                    <w:jc w:val="center"/>
                  </w:pPr>
                  <w:r w:rsidRPr="00C50C1C">
                    <w:t>1.35</w:t>
                  </w:r>
                </w:p>
              </w:tc>
              <w:tc>
                <w:tcPr>
                  <w:tcW w:w="1549"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3CD0D791" w14:textId="7DCAC85B">
                  <w:pPr>
                    <w:tabs>
                      <w:tab w:val="left" w:pos="1440"/>
                    </w:tabs>
                    <w:jc w:val="center"/>
                  </w:pPr>
                  <w:r w:rsidRPr="00C50C1C">
                    <w:t>12.</w:t>
                  </w:r>
                  <w:r w:rsidRPr="00C50C1C" w:rsidR="00D31CB4">
                    <w:t>19</w:t>
                  </w:r>
                  <w:r w:rsidRPr="00C50C1C">
                    <w:t xml:space="preserve"> hours</w:t>
                  </w:r>
                </w:p>
              </w:tc>
            </w:tr>
            <w:tr w:rsidRPr="00C50C1C" w:rsidR="0080310E" w:rsidTr="009640F5" w14:paraId="5FD3E4F8" w14:textId="77777777">
              <w:trPr>
                <w:trHeight w:val="172"/>
                <w:jc w:val="center"/>
              </w:trPr>
              <w:tc>
                <w:tcPr>
                  <w:tcW w:w="1444" w:type="dxa"/>
                  <w:tcBorders>
                    <w:left w:val="single" w:color="auto" w:sz="4" w:space="0"/>
                    <w:right w:val="single" w:color="auto" w:sz="4" w:space="0"/>
                  </w:tcBorders>
                </w:tcPr>
                <w:p w:rsidRPr="00C50C1C" w:rsidR="0080310E" w:rsidP="0080310E" w:rsidRDefault="0080310E" w14:paraId="4E271149" w14:textId="60915329">
                  <w:pPr>
                    <w:tabs>
                      <w:tab w:val="left" w:pos="1440"/>
                    </w:tabs>
                    <w:jc w:val="center"/>
                  </w:pPr>
                  <w:r w:rsidRPr="00C50C1C">
                    <w:t>2021</w:t>
                  </w:r>
                </w:p>
              </w:tc>
              <w:tc>
                <w:tcPr>
                  <w:tcW w:w="1566" w:type="dxa"/>
                  <w:vMerge w:val="restart"/>
                  <w:tcBorders>
                    <w:left w:val="single" w:color="auto" w:sz="4" w:space="0"/>
                    <w:right w:val="single" w:color="auto" w:sz="4" w:space="0"/>
                  </w:tcBorders>
                </w:tcPr>
                <w:p w:rsidRPr="00C50C1C" w:rsidR="0080310E" w:rsidP="0080310E" w:rsidRDefault="0080310E" w14:paraId="4BCEF9FC" w14:textId="6FB3DF29">
                  <w:pPr>
                    <w:tabs>
                      <w:tab w:val="left" w:pos="1440"/>
                    </w:tabs>
                    <w:jc w:val="center"/>
                  </w:pPr>
                  <w:r w:rsidRPr="00C50C1C">
                    <w:t>Cole Jermyn</w:t>
                  </w:r>
                </w:p>
              </w:tc>
              <w:tc>
                <w:tcPr>
                  <w:tcW w:w="1748"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5E590892" w14:textId="2ADBC7AD">
                  <w:pPr>
                    <w:tabs>
                      <w:tab w:val="left" w:pos="1440"/>
                    </w:tabs>
                    <w:jc w:val="center"/>
                  </w:pPr>
                  <w:r w:rsidRPr="00C50C1C">
                    <w:t>2.00</w:t>
                  </w:r>
                </w:p>
              </w:tc>
              <w:tc>
                <w:tcPr>
                  <w:tcW w:w="1573"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18AAA295" w14:textId="2DB33055">
                  <w:pPr>
                    <w:tabs>
                      <w:tab w:val="left" w:pos="1440"/>
                    </w:tabs>
                    <w:jc w:val="center"/>
                  </w:pPr>
                  <w:r w:rsidRPr="00C50C1C">
                    <w:t>0.20</w:t>
                  </w:r>
                </w:p>
              </w:tc>
              <w:tc>
                <w:tcPr>
                  <w:tcW w:w="1549"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652BE3ED" w14:textId="4398953B">
                  <w:pPr>
                    <w:tabs>
                      <w:tab w:val="left" w:pos="1440"/>
                    </w:tabs>
                    <w:jc w:val="center"/>
                  </w:pPr>
                  <w:r w:rsidRPr="00C50C1C">
                    <w:t>1.80 hours</w:t>
                  </w:r>
                </w:p>
              </w:tc>
            </w:tr>
            <w:tr w:rsidRPr="00C50C1C" w:rsidR="0080310E" w:rsidTr="009640F5" w14:paraId="24AEE3F0" w14:textId="77777777">
              <w:trPr>
                <w:trHeight w:val="172"/>
                <w:jc w:val="center"/>
              </w:trPr>
              <w:tc>
                <w:tcPr>
                  <w:tcW w:w="1444" w:type="dxa"/>
                  <w:tcBorders>
                    <w:left w:val="single" w:color="auto" w:sz="4" w:space="0"/>
                    <w:right w:val="single" w:color="auto" w:sz="4" w:space="0"/>
                  </w:tcBorders>
                </w:tcPr>
                <w:p w:rsidRPr="00C50C1C" w:rsidR="0080310E" w:rsidP="0080310E" w:rsidRDefault="0080310E" w14:paraId="688E74BC" w14:textId="0791B640">
                  <w:pPr>
                    <w:tabs>
                      <w:tab w:val="left" w:pos="1440"/>
                    </w:tabs>
                    <w:jc w:val="center"/>
                  </w:pPr>
                  <w:r w:rsidRPr="00C50C1C">
                    <w:t>2022</w:t>
                  </w:r>
                </w:p>
              </w:tc>
              <w:tc>
                <w:tcPr>
                  <w:tcW w:w="1566" w:type="dxa"/>
                  <w:vMerge/>
                  <w:tcBorders>
                    <w:left w:val="single" w:color="auto" w:sz="4" w:space="0"/>
                    <w:right w:val="single" w:color="auto" w:sz="4" w:space="0"/>
                  </w:tcBorders>
                </w:tcPr>
                <w:p w:rsidRPr="00C50C1C" w:rsidR="0080310E" w:rsidP="0080310E" w:rsidRDefault="0080310E" w14:paraId="3C2142A3" w14:textId="77777777">
                  <w:pPr>
                    <w:tabs>
                      <w:tab w:val="left" w:pos="1440"/>
                    </w:tabs>
                    <w:jc w:val="center"/>
                  </w:pPr>
                </w:p>
              </w:tc>
              <w:tc>
                <w:tcPr>
                  <w:tcW w:w="1748"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63064818" w14:textId="1306B1E3">
                  <w:pPr>
                    <w:tabs>
                      <w:tab w:val="left" w:pos="1440"/>
                    </w:tabs>
                    <w:jc w:val="center"/>
                  </w:pPr>
                  <w:r w:rsidRPr="00C50C1C">
                    <w:t>4.00</w:t>
                  </w:r>
                </w:p>
              </w:tc>
              <w:tc>
                <w:tcPr>
                  <w:tcW w:w="1573"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0308BB9B" w14:textId="6186F69C">
                  <w:pPr>
                    <w:tabs>
                      <w:tab w:val="left" w:pos="1440"/>
                    </w:tabs>
                    <w:jc w:val="center"/>
                  </w:pPr>
                  <w:r w:rsidRPr="00C50C1C">
                    <w:t>0.40</w:t>
                  </w:r>
                </w:p>
              </w:tc>
              <w:tc>
                <w:tcPr>
                  <w:tcW w:w="1549"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0111D898" w14:textId="2A0B244B">
                  <w:pPr>
                    <w:tabs>
                      <w:tab w:val="left" w:pos="1440"/>
                    </w:tabs>
                    <w:jc w:val="center"/>
                  </w:pPr>
                  <w:r w:rsidRPr="00C50C1C">
                    <w:t>3.60 hours</w:t>
                  </w:r>
                </w:p>
              </w:tc>
            </w:tr>
            <w:tr w:rsidRPr="00C50C1C" w:rsidR="0080310E" w:rsidTr="009640F5" w14:paraId="5333C451" w14:textId="77777777">
              <w:trPr>
                <w:trHeight w:val="172"/>
                <w:jc w:val="center"/>
              </w:trPr>
              <w:tc>
                <w:tcPr>
                  <w:tcW w:w="1444" w:type="dxa"/>
                  <w:tcBorders>
                    <w:left w:val="single" w:color="auto" w:sz="4" w:space="0"/>
                    <w:right w:val="single" w:color="auto" w:sz="4" w:space="0"/>
                  </w:tcBorders>
                </w:tcPr>
                <w:p w:rsidRPr="00C50C1C" w:rsidR="0080310E" w:rsidP="0080310E" w:rsidRDefault="0080310E" w14:paraId="5119ADE2" w14:textId="2EEB8899">
                  <w:pPr>
                    <w:tabs>
                      <w:tab w:val="left" w:pos="1440"/>
                    </w:tabs>
                    <w:jc w:val="center"/>
                  </w:pPr>
                  <w:r w:rsidRPr="00C50C1C">
                    <w:t>2023</w:t>
                  </w:r>
                </w:p>
              </w:tc>
              <w:tc>
                <w:tcPr>
                  <w:tcW w:w="1566" w:type="dxa"/>
                  <w:vMerge/>
                  <w:tcBorders>
                    <w:left w:val="single" w:color="auto" w:sz="4" w:space="0"/>
                    <w:right w:val="single" w:color="auto" w:sz="4" w:space="0"/>
                  </w:tcBorders>
                </w:tcPr>
                <w:p w:rsidRPr="00C50C1C" w:rsidR="0080310E" w:rsidP="0080310E" w:rsidRDefault="0080310E" w14:paraId="6130A877" w14:textId="77777777">
                  <w:pPr>
                    <w:tabs>
                      <w:tab w:val="left" w:pos="1440"/>
                    </w:tabs>
                    <w:jc w:val="center"/>
                  </w:pPr>
                </w:p>
              </w:tc>
              <w:tc>
                <w:tcPr>
                  <w:tcW w:w="1748"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22BBD69E" w14:textId="0400472C">
                  <w:pPr>
                    <w:tabs>
                      <w:tab w:val="left" w:pos="1440"/>
                    </w:tabs>
                    <w:jc w:val="center"/>
                  </w:pPr>
                  <w:r w:rsidRPr="00C50C1C">
                    <w:t>2.00</w:t>
                  </w:r>
                </w:p>
              </w:tc>
              <w:tc>
                <w:tcPr>
                  <w:tcW w:w="1573"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1B2528C4" w14:textId="55CE5CDA">
                  <w:pPr>
                    <w:tabs>
                      <w:tab w:val="left" w:pos="1440"/>
                    </w:tabs>
                    <w:jc w:val="center"/>
                  </w:pPr>
                  <w:r w:rsidRPr="00C50C1C">
                    <w:t>0.20</w:t>
                  </w:r>
                </w:p>
              </w:tc>
              <w:tc>
                <w:tcPr>
                  <w:tcW w:w="1549" w:type="dxa"/>
                  <w:tcBorders>
                    <w:top w:val="single" w:color="auto" w:sz="4" w:space="0"/>
                    <w:left w:val="single" w:color="auto" w:sz="4" w:space="0"/>
                    <w:bottom w:val="single" w:color="auto" w:sz="4" w:space="0"/>
                    <w:right w:val="single" w:color="auto" w:sz="4" w:space="0"/>
                  </w:tcBorders>
                </w:tcPr>
                <w:p w:rsidRPr="00C50C1C" w:rsidR="0080310E" w:rsidP="0080310E" w:rsidRDefault="0080310E" w14:paraId="7B99B7F9" w14:textId="6F119870">
                  <w:pPr>
                    <w:tabs>
                      <w:tab w:val="left" w:pos="1440"/>
                    </w:tabs>
                    <w:jc w:val="center"/>
                  </w:pPr>
                  <w:r w:rsidRPr="00C50C1C">
                    <w:t>1.80 hours</w:t>
                  </w:r>
                </w:p>
              </w:tc>
            </w:tr>
            <w:tr w:rsidRPr="00C50C1C" w:rsidR="00D31CB4" w:rsidTr="009640F5" w14:paraId="17A66B34" w14:textId="77777777">
              <w:trPr>
                <w:trHeight w:val="172"/>
                <w:jc w:val="center"/>
              </w:trPr>
              <w:tc>
                <w:tcPr>
                  <w:tcW w:w="1444" w:type="dxa"/>
                  <w:tcBorders>
                    <w:left w:val="single" w:color="auto" w:sz="4" w:space="0"/>
                    <w:right w:val="single" w:color="auto" w:sz="4" w:space="0"/>
                  </w:tcBorders>
                </w:tcPr>
                <w:p w:rsidRPr="00C50C1C" w:rsidR="00D31CB4" w:rsidP="0080310E" w:rsidRDefault="00D31CB4" w14:paraId="1A34DBB9" w14:textId="43E5E059">
                  <w:pPr>
                    <w:tabs>
                      <w:tab w:val="left" w:pos="1440"/>
                    </w:tabs>
                    <w:jc w:val="center"/>
                  </w:pPr>
                  <w:r w:rsidRPr="00C50C1C">
                    <w:t>2022</w:t>
                  </w:r>
                </w:p>
              </w:tc>
              <w:tc>
                <w:tcPr>
                  <w:tcW w:w="1566" w:type="dxa"/>
                  <w:vMerge w:val="restart"/>
                  <w:tcBorders>
                    <w:left w:val="single" w:color="auto" w:sz="4" w:space="0"/>
                    <w:right w:val="single" w:color="auto" w:sz="4" w:space="0"/>
                  </w:tcBorders>
                </w:tcPr>
                <w:p w:rsidRPr="00C50C1C" w:rsidR="00D31CB4" w:rsidP="0080310E" w:rsidRDefault="00D31CB4" w14:paraId="78DDFCA7" w14:textId="072A4CC2">
                  <w:pPr>
                    <w:tabs>
                      <w:tab w:val="left" w:pos="1440"/>
                    </w:tabs>
                    <w:jc w:val="center"/>
                  </w:pPr>
                  <w:r w:rsidRPr="00C50C1C">
                    <w:t>Steven Moss</w:t>
                  </w:r>
                </w:p>
              </w:tc>
              <w:tc>
                <w:tcPr>
                  <w:tcW w:w="1748" w:type="dxa"/>
                  <w:tcBorders>
                    <w:top w:val="single" w:color="auto" w:sz="4" w:space="0"/>
                    <w:left w:val="single" w:color="auto" w:sz="4" w:space="0"/>
                    <w:bottom w:val="single" w:color="auto" w:sz="4" w:space="0"/>
                    <w:right w:val="single" w:color="auto" w:sz="4" w:space="0"/>
                  </w:tcBorders>
                </w:tcPr>
                <w:p w:rsidRPr="00C50C1C" w:rsidR="00D31CB4" w:rsidP="0080310E" w:rsidRDefault="00D31CB4" w14:paraId="77329890" w14:textId="75506E9E">
                  <w:pPr>
                    <w:tabs>
                      <w:tab w:val="left" w:pos="1440"/>
                    </w:tabs>
                    <w:jc w:val="center"/>
                  </w:pPr>
                  <w:r w:rsidRPr="00C50C1C">
                    <w:t>26.60</w:t>
                  </w:r>
                </w:p>
              </w:tc>
              <w:tc>
                <w:tcPr>
                  <w:tcW w:w="1573" w:type="dxa"/>
                  <w:tcBorders>
                    <w:top w:val="single" w:color="auto" w:sz="4" w:space="0"/>
                    <w:left w:val="single" w:color="auto" w:sz="4" w:space="0"/>
                    <w:bottom w:val="single" w:color="auto" w:sz="4" w:space="0"/>
                    <w:right w:val="single" w:color="auto" w:sz="4" w:space="0"/>
                  </w:tcBorders>
                </w:tcPr>
                <w:p w:rsidRPr="00C50C1C" w:rsidR="00D31CB4" w:rsidP="0080310E" w:rsidRDefault="00D31CB4" w14:paraId="6B13BCED" w14:textId="4B23B2EE">
                  <w:pPr>
                    <w:tabs>
                      <w:tab w:val="left" w:pos="1440"/>
                    </w:tabs>
                    <w:jc w:val="center"/>
                  </w:pPr>
                  <w:r w:rsidRPr="00C50C1C">
                    <w:t>2.66</w:t>
                  </w:r>
                </w:p>
              </w:tc>
              <w:tc>
                <w:tcPr>
                  <w:tcW w:w="1549" w:type="dxa"/>
                  <w:tcBorders>
                    <w:top w:val="single" w:color="auto" w:sz="4" w:space="0"/>
                    <w:left w:val="single" w:color="auto" w:sz="4" w:space="0"/>
                    <w:bottom w:val="single" w:color="auto" w:sz="4" w:space="0"/>
                    <w:right w:val="single" w:color="auto" w:sz="4" w:space="0"/>
                  </w:tcBorders>
                </w:tcPr>
                <w:p w:rsidRPr="00C50C1C" w:rsidR="00D31CB4" w:rsidP="0080310E" w:rsidRDefault="00D31CB4" w14:paraId="6F43D099" w14:textId="410BC605">
                  <w:pPr>
                    <w:tabs>
                      <w:tab w:val="left" w:pos="1440"/>
                    </w:tabs>
                    <w:jc w:val="center"/>
                  </w:pPr>
                  <w:r w:rsidRPr="00C50C1C">
                    <w:t>23.94 hours</w:t>
                  </w:r>
                </w:p>
              </w:tc>
            </w:tr>
            <w:tr w:rsidRPr="00C50C1C" w:rsidR="00D31CB4" w:rsidTr="009640F5" w14:paraId="695EE8DE" w14:textId="77777777">
              <w:trPr>
                <w:trHeight w:val="172"/>
                <w:jc w:val="center"/>
              </w:trPr>
              <w:tc>
                <w:tcPr>
                  <w:tcW w:w="1444" w:type="dxa"/>
                  <w:tcBorders>
                    <w:left w:val="single" w:color="auto" w:sz="4" w:space="0"/>
                    <w:right w:val="single" w:color="auto" w:sz="4" w:space="0"/>
                  </w:tcBorders>
                </w:tcPr>
                <w:p w:rsidRPr="00C50C1C" w:rsidR="00D31CB4" w:rsidP="0080310E" w:rsidRDefault="00D31CB4" w14:paraId="5301BD8D" w14:textId="2DA24744">
                  <w:pPr>
                    <w:tabs>
                      <w:tab w:val="left" w:pos="1440"/>
                    </w:tabs>
                    <w:jc w:val="center"/>
                  </w:pPr>
                  <w:r w:rsidRPr="00C50C1C">
                    <w:t>2023</w:t>
                  </w:r>
                </w:p>
              </w:tc>
              <w:tc>
                <w:tcPr>
                  <w:tcW w:w="1566" w:type="dxa"/>
                  <w:vMerge/>
                  <w:tcBorders>
                    <w:left w:val="single" w:color="auto" w:sz="4" w:space="0"/>
                    <w:right w:val="single" w:color="auto" w:sz="4" w:space="0"/>
                  </w:tcBorders>
                </w:tcPr>
                <w:p w:rsidRPr="00C50C1C" w:rsidR="00D31CB4" w:rsidP="0080310E" w:rsidRDefault="00D31CB4" w14:paraId="04D1A112" w14:textId="77777777">
                  <w:pPr>
                    <w:tabs>
                      <w:tab w:val="left" w:pos="1440"/>
                    </w:tabs>
                    <w:jc w:val="center"/>
                  </w:pPr>
                </w:p>
              </w:tc>
              <w:tc>
                <w:tcPr>
                  <w:tcW w:w="1748" w:type="dxa"/>
                  <w:tcBorders>
                    <w:top w:val="single" w:color="auto" w:sz="4" w:space="0"/>
                    <w:left w:val="single" w:color="auto" w:sz="4" w:space="0"/>
                    <w:bottom w:val="single" w:color="auto" w:sz="4" w:space="0"/>
                    <w:right w:val="single" w:color="auto" w:sz="4" w:space="0"/>
                  </w:tcBorders>
                </w:tcPr>
                <w:p w:rsidRPr="00C50C1C" w:rsidR="00D31CB4" w:rsidP="0080310E" w:rsidRDefault="00D31CB4" w14:paraId="791CD0A7" w14:textId="270B29A7">
                  <w:pPr>
                    <w:tabs>
                      <w:tab w:val="left" w:pos="1440"/>
                    </w:tabs>
                    <w:jc w:val="center"/>
                  </w:pPr>
                  <w:r w:rsidRPr="00C50C1C">
                    <w:t>35.15</w:t>
                  </w:r>
                </w:p>
              </w:tc>
              <w:tc>
                <w:tcPr>
                  <w:tcW w:w="1573" w:type="dxa"/>
                  <w:tcBorders>
                    <w:top w:val="single" w:color="auto" w:sz="4" w:space="0"/>
                    <w:left w:val="single" w:color="auto" w:sz="4" w:space="0"/>
                    <w:bottom w:val="single" w:color="auto" w:sz="4" w:space="0"/>
                    <w:right w:val="single" w:color="auto" w:sz="4" w:space="0"/>
                  </w:tcBorders>
                </w:tcPr>
                <w:p w:rsidRPr="00C50C1C" w:rsidR="00D31CB4" w:rsidP="0080310E" w:rsidRDefault="00D31CB4" w14:paraId="617DA1CF" w14:textId="66D00D25">
                  <w:pPr>
                    <w:tabs>
                      <w:tab w:val="left" w:pos="1440"/>
                    </w:tabs>
                    <w:jc w:val="center"/>
                  </w:pPr>
                  <w:r w:rsidRPr="00C50C1C">
                    <w:t>3.52</w:t>
                  </w:r>
                </w:p>
              </w:tc>
              <w:tc>
                <w:tcPr>
                  <w:tcW w:w="1549" w:type="dxa"/>
                  <w:tcBorders>
                    <w:top w:val="single" w:color="auto" w:sz="4" w:space="0"/>
                    <w:left w:val="single" w:color="auto" w:sz="4" w:space="0"/>
                    <w:bottom w:val="single" w:color="auto" w:sz="4" w:space="0"/>
                    <w:right w:val="single" w:color="auto" w:sz="4" w:space="0"/>
                  </w:tcBorders>
                </w:tcPr>
                <w:p w:rsidRPr="00C50C1C" w:rsidR="00D31CB4" w:rsidP="0080310E" w:rsidRDefault="00D31CB4" w14:paraId="2BB567E1" w14:textId="59846777">
                  <w:pPr>
                    <w:tabs>
                      <w:tab w:val="left" w:pos="1440"/>
                    </w:tabs>
                    <w:jc w:val="center"/>
                  </w:pPr>
                  <w:r w:rsidRPr="00C50C1C">
                    <w:t>31.63 hours</w:t>
                  </w:r>
                </w:p>
              </w:tc>
            </w:tr>
          </w:tbl>
          <w:p w:rsidRPr="00C50C1C" w:rsidR="0080310E" w:rsidP="00E52A3A" w:rsidRDefault="0080310E" w14:paraId="6D16107B" w14:textId="132AF1D7">
            <w:pPr>
              <w:tabs>
                <w:tab w:val="left" w:pos="1440"/>
              </w:tabs>
              <w:rPr>
                <w:color w:val="000000"/>
              </w:rPr>
            </w:pPr>
          </w:p>
        </w:tc>
      </w:tr>
      <w:tr w:rsidRPr="00C50C1C" w:rsidR="00215CFF" w:rsidTr="00855D90" w14:paraId="421CBA1E" w14:textId="77777777">
        <w:tc>
          <w:tcPr>
            <w:tcW w:w="1729" w:type="dxa"/>
          </w:tcPr>
          <w:p w:rsidRPr="00C50C1C" w:rsidR="00215CFF" w:rsidP="00DD6033" w:rsidRDefault="00215CFF" w14:paraId="41646CD9" w14:textId="77777777">
            <w:pPr>
              <w:tabs>
                <w:tab w:val="left" w:pos="1440"/>
              </w:tabs>
              <w:rPr>
                <w:color w:val="000000"/>
              </w:rPr>
            </w:pPr>
            <w:r w:rsidRPr="00C50C1C">
              <w:rPr>
                <w:color w:val="000000"/>
              </w:rPr>
              <w:lastRenderedPageBreak/>
              <w:t xml:space="preserve">[10] </w:t>
            </w:r>
          </w:p>
          <w:p w:rsidRPr="00C50C1C" w:rsidR="00215CFF" w:rsidP="00DD6033" w:rsidRDefault="00E63FFC" w14:paraId="3F0B8168" w14:textId="4E3628E3">
            <w:pPr>
              <w:tabs>
                <w:tab w:val="left" w:pos="1440"/>
              </w:tabs>
              <w:rPr>
                <w:color w:val="000000"/>
              </w:rPr>
            </w:pPr>
            <w:r w:rsidRPr="00E63FFC">
              <w:rPr>
                <w:color w:val="000000"/>
              </w:rPr>
              <w:t>Intervenor Responsibility for Transparency and Accuracy in Compensation Requests</w:t>
            </w:r>
          </w:p>
        </w:tc>
        <w:tc>
          <w:tcPr>
            <w:tcW w:w="8106" w:type="dxa"/>
          </w:tcPr>
          <w:p w:rsidRPr="009B03C9" w:rsidR="009B03C9" w:rsidP="009B03C9" w:rsidRDefault="009B03C9" w14:paraId="39905627" w14:textId="77777777">
            <w:r w:rsidRPr="009B03C9">
              <w:t xml:space="preserve">The Commission takes this opportunity to remind all intervenors that they bear the burden of providing accurate, complete, and honest information </w:t>
            </w:r>
            <w:proofErr w:type="gramStart"/>
            <w:r w:rsidRPr="009B03C9">
              <w:t>in</w:t>
            </w:r>
            <w:proofErr w:type="gramEnd"/>
            <w:r w:rsidRPr="009B03C9">
              <w:t xml:space="preserve"> all compensation requests. The Commission relies on intervenors' good faith representations, particularly regarding consultant agreements and payments, as it does not have the resources to review every contract or non-standard arrangement in detail.</w:t>
            </w:r>
          </w:p>
          <w:p w:rsidRPr="009B03C9" w:rsidR="009B03C9" w:rsidP="009B03C9" w:rsidRDefault="009B03C9" w14:paraId="7145F134" w14:textId="77777777"/>
          <w:p w:rsidRPr="009B03C9" w:rsidR="009B03C9" w:rsidP="009B03C9" w:rsidRDefault="009B03C9" w14:paraId="23434C55" w14:textId="7CC1A18C">
            <w:r w:rsidRPr="009B03C9">
              <w:t xml:space="preserve">Intervenor compensation is funded by ratepayers, and the Commission takes seriously any effort to mislead or obscure the financial basis for a claim. </w:t>
            </w:r>
            <w:r w:rsidRPr="003C78B4" w:rsidR="006C2AF4">
              <w:t xml:space="preserve">Although no violation of Rule 1.1 has been found in this instance, </w:t>
            </w:r>
            <w:r w:rsidR="006C2AF4">
              <w:t>we remind intervenors that u</w:t>
            </w:r>
            <w:r w:rsidRPr="009B03C9">
              <w:t>nder Rule 1.1, intent to deceive is not required for a violation, misstatements may still be actionable. Dishonest or misleading claims not only risk denial of compensation but may also subject the intervenor to penalties.</w:t>
            </w:r>
          </w:p>
          <w:p w:rsidRPr="009B03C9" w:rsidR="009B03C9" w:rsidP="009B03C9" w:rsidRDefault="009B03C9" w14:paraId="67D416D8" w14:textId="77777777"/>
          <w:p w:rsidR="006C2AF4" w:rsidP="009B03C9" w:rsidRDefault="009B03C9" w14:paraId="09B8FF39" w14:textId="1DAB8C6E">
            <w:r w:rsidRPr="009B03C9">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r>
              <w:t>.</w:t>
            </w:r>
            <w:r w:rsidRPr="009B03C9" w:rsidDel="009B03C9">
              <w:t xml:space="preserve"> </w:t>
            </w:r>
          </w:p>
          <w:p w:rsidRPr="00C50C1C" w:rsidR="00215CFF" w:rsidP="00215CFF" w:rsidRDefault="00215CFF" w14:paraId="1C8F5781" w14:textId="3AA6D23C">
            <w:pPr>
              <w:tabs>
                <w:tab w:val="left" w:pos="1440"/>
              </w:tabs>
              <w:rPr>
                <w:color w:val="000000"/>
              </w:rPr>
            </w:pPr>
          </w:p>
        </w:tc>
      </w:tr>
    </w:tbl>
    <w:p w:rsidRPr="007F620E" w:rsidR="00A92D0B" w:rsidP="00575494" w:rsidRDefault="00A92D0B" w14:paraId="18E9D359" w14:textId="6359BE69">
      <w:pPr>
        <w:keepNext/>
        <w:tabs>
          <w:tab w:val="left" w:pos="1260"/>
        </w:tabs>
        <w:spacing w:before="480"/>
        <w:jc w:val="center"/>
        <w:rPr>
          <w:b/>
          <w:color w:val="000000"/>
        </w:rPr>
      </w:pPr>
      <w:r w:rsidRPr="007F620E">
        <w:rPr>
          <w:b/>
          <w:color w:val="000000"/>
        </w:rPr>
        <w:t>PART IV</w:t>
      </w:r>
      <w:r w:rsidRPr="007F620E" w:rsidR="004E0AA9">
        <w:rPr>
          <w:b/>
          <w:color w:val="000000"/>
        </w:rPr>
        <w:t>:</w:t>
      </w:r>
      <w:r w:rsidR="004E0AA9">
        <w:rPr>
          <w:b/>
          <w:color w:val="000000"/>
        </w:rPr>
        <w:t xml:space="preserve"> OPPOSITIONS</w:t>
      </w:r>
      <w:r w:rsidRPr="007F620E">
        <w:rPr>
          <w:b/>
          <w:color w:val="000000"/>
        </w:rPr>
        <w:t xml:space="preserve">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205"/>
        <w:gridCol w:w="1961"/>
      </w:tblGrid>
      <w:tr w:rsidRPr="007F620E" w:rsidR="00A92D0B" w:rsidTr="00757805" w14:paraId="46A51699" w14:textId="77777777">
        <w:tc>
          <w:tcPr>
            <w:tcW w:w="7205"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1961" w:type="dxa"/>
          </w:tcPr>
          <w:p w:rsidRPr="007F620E" w:rsidR="00A92D0B" w:rsidP="005A3018" w:rsidRDefault="00DF095C" w14:paraId="6E7CD931" w14:textId="4586EB2F">
            <w:pPr>
              <w:rPr>
                <w:color w:val="000000"/>
              </w:rPr>
            </w:pPr>
            <w:r>
              <w:rPr>
                <w:color w:val="000000"/>
              </w:rPr>
              <w:t>No</w:t>
            </w:r>
          </w:p>
        </w:tc>
      </w:tr>
      <w:tr w:rsidRPr="007F620E" w:rsidR="00A92D0B" w:rsidTr="00757805" w14:paraId="7A0D8740" w14:textId="77777777">
        <w:tc>
          <w:tcPr>
            <w:tcW w:w="7205" w:type="dxa"/>
          </w:tcPr>
          <w:p w:rsidRPr="007F620E" w:rsidR="00A92D0B" w:rsidP="005A3018" w:rsidRDefault="00A92D0B" w14:paraId="37D28D8D" w14:textId="51B3AE1F">
            <w:pPr>
              <w:ind w:left="360" w:hanging="360"/>
              <w:rPr>
                <w:color w:val="000000"/>
              </w:rPr>
            </w:pPr>
            <w:r w:rsidRPr="007F620E">
              <w:rPr>
                <w:b/>
                <w:color w:val="000000"/>
              </w:rPr>
              <w:t>B.</w:t>
            </w:r>
            <w:r w:rsidR="005A3018">
              <w:rPr>
                <w:b/>
                <w:color w:val="000000"/>
              </w:rPr>
              <w:tab/>
            </w:r>
            <w:r w:rsidRPr="007F620E">
              <w:rPr>
                <w:b/>
                <w:color w:val="000000"/>
              </w:rPr>
              <w:t>Comment Period</w:t>
            </w:r>
            <w:r w:rsidRPr="007F620E" w:rsidR="00CA5F60">
              <w:rPr>
                <w:b/>
                <w:color w:val="000000"/>
              </w:rPr>
              <w:t>: Was</w:t>
            </w:r>
            <w:r w:rsidRPr="007F620E">
              <w:rPr>
                <w:b/>
                <w:color w:val="000000"/>
              </w:rPr>
              <w:t xml:space="preserve">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1961" w:type="dxa"/>
          </w:tcPr>
          <w:p w:rsidRPr="007F620E" w:rsidR="00A92D0B" w:rsidP="00DE3A5D" w:rsidRDefault="00555813" w14:paraId="238D2D3F" w14:textId="0EA7D3FF">
            <w:pPr>
              <w:keepNext/>
              <w:keepLines/>
              <w:spacing w:after="240"/>
              <w:rPr>
                <w:color w:val="000000"/>
              </w:rPr>
            </w:pPr>
            <w:r>
              <w:rPr>
                <w:color w:val="000000"/>
              </w:rPr>
              <w:t>Yes</w:t>
            </w:r>
          </w:p>
        </w:tc>
      </w:tr>
    </w:tbl>
    <w:p w:rsidR="00EE1889" w:rsidP="00EE1889" w:rsidRDefault="00EE1889" w14:paraId="3042D517" w14:textId="77777777">
      <w:pPr>
        <w:rPr>
          <w:bCs/>
          <w:color w:val="000000"/>
        </w:rPr>
      </w:pPr>
    </w:p>
    <w:p w:rsidR="00EE1889" w:rsidP="00EE1889" w:rsidRDefault="00EE1889" w14:paraId="68EFF367" w14:textId="5123E14D">
      <w:pPr>
        <w:rPr>
          <w:bCs/>
          <w:color w:val="000000"/>
        </w:rPr>
      </w:pPr>
      <w:r w:rsidRPr="00CA5F60">
        <w:rPr>
          <w:bCs/>
          <w:color w:val="000000"/>
        </w:rPr>
        <w:t xml:space="preserve">Although the 30-day comment period was waived, the Administrative Law Judge issued a ruling </w:t>
      </w:r>
      <w:r w:rsidRPr="00CA5F60" w:rsidR="00A677B2">
        <w:rPr>
          <w:bCs/>
          <w:color w:val="000000"/>
        </w:rPr>
        <w:t xml:space="preserve">on August </w:t>
      </w:r>
      <w:r w:rsidR="00A677B2">
        <w:rPr>
          <w:bCs/>
          <w:color w:val="000000"/>
        </w:rPr>
        <w:t>6</w:t>
      </w:r>
      <w:r w:rsidRPr="00CA5F60" w:rsidR="00A677B2">
        <w:rPr>
          <w:bCs/>
          <w:color w:val="000000"/>
        </w:rPr>
        <w:t>, 202</w:t>
      </w:r>
      <w:r w:rsidR="00A677B2">
        <w:rPr>
          <w:bCs/>
          <w:color w:val="000000"/>
        </w:rPr>
        <w:t>5</w:t>
      </w:r>
      <w:r w:rsidRPr="00CA5F60" w:rsidR="00A677B2">
        <w:rPr>
          <w:bCs/>
          <w:color w:val="000000"/>
        </w:rPr>
        <w:t xml:space="preserve">, </w:t>
      </w:r>
      <w:r w:rsidRPr="00CA5F60">
        <w:rPr>
          <w:bCs/>
          <w:color w:val="000000"/>
        </w:rPr>
        <w:t xml:space="preserve">permitting </w:t>
      </w:r>
      <w:r w:rsidR="00A677B2">
        <w:rPr>
          <w:bCs/>
          <w:color w:val="000000"/>
        </w:rPr>
        <w:t xml:space="preserve">party </w:t>
      </w:r>
      <w:r w:rsidRPr="00CA5F60">
        <w:rPr>
          <w:bCs/>
          <w:color w:val="000000"/>
        </w:rPr>
        <w:t xml:space="preserve">comments and reply comments to the </w:t>
      </w:r>
      <w:r w:rsidR="00E96914">
        <w:rPr>
          <w:bCs/>
          <w:color w:val="000000"/>
        </w:rPr>
        <w:t>P</w:t>
      </w:r>
      <w:r w:rsidRPr="00CA5F60">
        <w:rPr>
          <w:bCs/>
          <w:color w:val="000000"/>
        </w:rPr>
        <w:t xml:space="preserve">roposed </w:t>
      </w:r>
      <w:r w:rsidR="00E96914">
        <w:rPr>
          <w:bCs/>
          <w:color w:val="000000"/>
        </w:rPr>
        <w:t>D</w:t>
      </w:r>
      <w:r w:rsidRPr="00CA5F60">
        <w:rPr>
          <w:bCs/>
          <w:color w:val="000000"/>
        </w:rPr>
        <w:t>ecision. Comments were filed by EDF on August 1</w:t>
      </w:r>
      <w:r>
        <w:rPr>
          <w:bCs/>
          <w:color w:val="000000"/>
        </w:rPr>
        <w:t>5</w:t>
      </w:r>
      <w:r w:rsidRPr="00CA5F60">
        <w:rPr>
          <w:bCs/>
          <w:color w:val="000000"/>
        </w:rPr>
        <w:t>, 202</w:t>
      </w:r>
      <w:r>
        <w:rPr>
          <w:bCs/>
          <w:color w:val="000000"/>
        </w:rPr>
        <w:t>5.</w:t>
      </w:r>
    </w:p>
    <w:p w:rsidR="00EE1889" w:rsidP="00EE1889" w:rsidRDefault="00EE1889" w14:paraId="7A771B18" w14:textId="77777777">
      <w:pPr>
        <w:rPr>
          <w:bCs/>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44"/>
        <w:gridCol w:w="4741"/>
        <w:gridCol w:w="2965"/>
      </w:tblGrid>
      <w:tr w:rsidRPr="003349DE" w:rsidR="00EE1889" w:rsidTr="00924F3E" w14:paraId="37E87972" w14:textId="77777777">
        <w:tc>
          <w:tcPr>
            <w:tcW w:w="1644" w:type="dxa"/>
            <w:shd w:val="pct12" w:color="auto" w:fill="auto"/>
          </w:tcPr>
          <w:p w:rsidRPr="003349DE" w:rsidR="00EE1889" w:rsidP="001248CD" w:rsidRDefault="00EE1889" w14:paraId="46AA988A" w14:textId="77777777">
            <w:pPr>
              <w:keepNext/>
              <w:keepLines/>
              <w:spacing w:before="120"/>
              <w:jc w:val="center"/>
              <w:rPr>
                <w:b/>
                <w:color w:val="000000"/>
              </w:rPr>
            </w:pPr>
            <w:r w:rsidRPr="003349DE">
              <w:rPr>
                <w:b/>
                <w:color w:val="000000"/>
              </w:rPr>
              <w:lastRenderedPageBreak/>
              <w:t>Party</w:t>
            </w:r>
          </w:p>
        </w:tc>
        <w:tc>
          <w:tcPr>
            <w:tcW w:w="4741" w:type="dxa"/>
            <w:shd w:val="pct12" w:color="auto" w:fill="auto"/>
          </w:tcPr>
          <w:p w:rsidRPr="003349DE" w:rsidR="00EE1889" w:rsidP="001248CD" w:rsidRDefault="00EE1889" w14:paraId="19AAC778" w14:textId="77777777">
            <w:pPr>
              <w:keepNext/>
              <w:keepLines/>
              <w:spacing w:before="120"/>
              <w:jc w:val="center"/>
              <w:rPr>
                <w:color w:val="000000"/>
              </w:rPr>
            </w:pPr>
            <w:r w:rsidRPr="003349DE">
              <w:rPr>
                <w:b/>
                <w:color w:val="000000"/>
              </w:rPr>
              <w:t>Comment</w:t>
            </w:r>
          </w:p>
        </w:tc>
        <w:tc>
          <w:tcPr>
            <w:tcW w:w="2965" w:type="dxa"/>
            <w:shd w:val="pct12" w:color="auto" w:fill="auto"/>
          </w:tcPr>
          <w:p w:rsidRPr="003349DE" w:rsidR="00EE1889" w:rsidP="001248CD" w:rsidRDefault="00EE1889" w14:paraId="47B2F832" w14:textId="77777777">
            <w:pPr>
              <w:keepNext/>
              <w:keepLines/>
              <w:spacing w:before="120"/>
              <w:jc w:val="center"/>
              <w:rPr>
                <w:color w:val="000000"/>
              </w:rPr>
            </w:pPr>
            <w:r w:rsidRPr="003349DE">
              <w:rPr>
                <w:b/>
                <w:color w:val="000000"/>
              </w:rPr>
              <w:t>CPUC Discussion</w:t>
            </w:r>
          </w:p>
        </w:tc>
      </w:tr>
      <w:tr w:rsidRPr="003349DE" w:rsidR="00EE1889" w:rsidTr="00924F3E" w14:paraId="108EB783" w14:textId="77777777">
        <w:trPr>
          <w:trHeight w:val="5040"/>
        </w:trPr>
        <w:tc>
          <w:tcPr>
            <w:tcW w:w="1644" w:type="dxa"/>
            <w:vMerge w:val="restart"/>
          </w:tcPr>
          <w:p w:rsidRPr="003349DE" w:rsidR="00EE1889" w:rsidP="001248CD" w:rsidRDefault="00EE1889" w14:paraId="6C87D7BD" w14:textId="77777777">
            <w:pPr>
              <w:keepNext/>
              <w:keepLines/>
              <w:spacing w:before="120"/>
              <w:rPr>
                <w:color w:val="000000"/>
              </w:rPr>
            </w:pPr>
            <w:r>
              <w:rPr>
                <w:color w:val="000000"/>
              </w:rPr>
              <w:t>Environmental Defense Fund</w:t>
            </w:r>
          </w:p>
        </w:tc>
        <w:tc>
          <w:tcPr>
            <w:tcW w:w="4741" w:type="dxa"/>
          </w:tcPr>
          <w:p w:rsidRPr="00EF6049" w:rsidR="00720138" w:rsidP="001248CD" w:rsidRDefault="00720138" w14:paraId="064A2BBD" w14:textId="7CEE04FB">
            <w:pPr>
              <w:keepNext/>
              <w:keepLines/>
              <w:spacing w:before="120"/>
              <w:rPr>
                <w:b/>
                <w:bCs/>
                <w:color w:val="000000"/>
                <w:u w:val="single"/>
              </w:rPr>
            </w:pPr>
            <w:r w:rsidRPr="00EF6049">
              <w:rPr>
                <w:b/>
                <w:bCs/>
                <w:color w:val="000000"/>
                <w:u w:val="single"/>
              </w:rPr>
              <w:t xml:space="preserve">Rule </w:t>
            </w:r>
            <w:r w:rsidR="000C739C">
              <w:rPr>
                <w:b/>
                <w:bCs/>
                <w:color w:val="000000"/>
                <w:u w:val="single"/>
              </w:rPr>
              <w:t>1.</w:t>
            </w:r>
            <w:r w:rsidRPr="00EF6049">
              <w:rPr>
                <w:b/>
                <w:bCs/>
                <w:color w:val="000000"/>
                <w:u w:val="single"/>
              </w:rPr>
              <w:t>1</w:t>
            </w:r>
            <w:r>
              <w:rPr>
                <w:b/>
                <w:bCs/>
                <w:color w:val="000000"/>
                <w:u w:val="single"/>
              </w:rPr>
              <w:t xml:space="preserve"> Language</w:t>
            </w:r>
            <w:r w:rsidRPr="00EF6049">
              <w:rPr>
                <w:b/>
                <w:bCs/>
                <w:color w:val="000000"/>
                <w:u w:val="single"/>
              </w:rPr>
              <w:t xml:space="preserve">: </w:t>
            </w:r>
          </w:p>
          <w:p w:rsidR="00EE1889" w:rsidP="001248CD" w:rsidRDefault="007C076C" w14:paraId="326C58E2" w14:textId="6851D06E">
            <w:pPr>
              <w:keepNext/>
              <w:keepLines/>
              <w:spacing w:before="120"/>
              <w:rPr>
                <w:color w:val="000000"/>
              </w:rPr>
            </w:pPr>
            <w:r>
              <w:rPr>
                <w:color w:val="000000"/>
              </w:rPr>
              <w:t>EDF states that t</w:t>
            </w:r>
            <w:r w:rsidRPr="00CA5F60" w:rsidR="00EE1889">
              <w:rPr>
                <w:color w:val="000000"/>
              </w:rPr>
              <w:t>he Proposed Decision inappropriately contains language insinuating that EDF has violated the Commission’s Rule</w:t>
            </w:r>
            <w:r w:rsidR="00E96914">
              <w:rPr>
                <w:color w:val="000000"/>
              </w:rPr>
              <w:t>s</w:t>
            </w:r>
            <w:r w:rsidRPr="00CA5F60" w:rsidR="00EE1889">
              <w:rPr>
                <w:color w:val="000000"/>
              </w:rPr>
              <w:t xml:space="preserve"> of Practice and Procedure, Rule 1.1. </w:t>
            </w:r>
            <w:r>
              <w:rPr>
                <w:color w:val="000000"/>
              </w:rPr>
              <w:t>EDF acknowledge</w:t>
            </w:r>
            <w:r w:rsidR="00741885">
              <w:rPr>
                <w:color w:val="000000"/>
              </w:rPr>
              <w:t>s</w:t>
            </w:r>
            <w:r>
              <w:rPr>
                <w:color w:val="000000"/>
              </w:rPr>
              <w:t xml:space="preserve"> that although </w:t>
            </w:r>
            <w:r w:rsidRPr="00CA5F60" w:rsidR="00EE1889">
              <w:rPr>
                <w:color w:val="000000"/>
              </w:rPr>
              <w:t xml:space="preserve">the Proposed Decision only insinuates this violation, </w:t>
            </w:r>
            <w:r w:rsidR="00482743">
              <w:rPr>
                <w:color w:val="000000"/>
              </w:rPr>
              <w:t xml:space="preserve">it </w:t>
            </w:r>
            <w:r w:rsidRPr="00CA5F60" w:rsidR="00EE1889">
              <w:rPr>
                <w:color w:val="000000"/>
              </w:rPr>
              <w:t>present</w:t>
            </w:r>
            <w:r w:rsidR="00E96914">
              <w:rPr>
                <w:color w:val="000000"/>
              </w:rPr>
              <w:t>ed</w:t>
            </w:r>
            <w:r w:rsidRPr="00CA5F60" w:rsidR="00EE1889">
              <w:rPr>
                <w:color w:val="000000"/>
              </w:rPr>
              <w:t xml:space="preserve"> no evidence nor ma</w:t>
            </w:r>
            <w:r w:rsidR="00E96914">
              <w:rPr>
                <w:color w:val="000000"/>
              </w:rPr>
              <w:t>de</w:t>
            </w:r>
            <w:r w:rsidRPr="00CA5F60" w:rsidR="00EE1889">
              <w:rPr>
                <w:color w:val="000000"/>
              </w:rPr>
              <w:t xml:space="preserve"> any finding of fact, nor conclusion of law to support. </w:t>
            </w:r>
            <w:r w:rsidR="00741885">
              <w:rPr>
                <w:color w:val="000000"/>
              </w:rPr>
              <w:t>EDF says t</w:t>
            </w:r>
            <w:r w:rsidRPr="00CA5F60" w:rsidR="00EE1889">
              <w:rPr>
                <w:color w:val="000000"/>
              </w:rPr>
              <w:t xml:space="preserve">he Proposed Decision alleges that EDF did not provide documentation pertaining to the contract terms between EDF and Steven Moss and EDF and Megan Myers in its initial claim and waited until the Commission requested supplemental documentation which delayed processing </w:t>
            </w:r>
            <w:r w:rsidR="00482743">
              <w:rPr>
                <w:color w:val="000000"/>
              </w:rPr>
              <w:t>of the</w:t>
            </w:r>
            <w:r w:rsidRPr="00CA5F60" w:rsidR="00EE1889">
              <w:rPr>
                <w:color w:val="000000"/>
              </w:rPr>
              <w:t xml:space="preserve"> claim.</w:t>
            </w:r>
            <w:r w:rsidR="00482743">
              <w:rPr>
                <w:color w:val="000000"/>
              </w:rPr>
              <w:t xml:space="preserve"> </w:t>
            </w:r>
            <w:r w:rsidRPr="00CA5F60" w:rsidR="00EE1889">
              <w:rPr>
                <w:color w:val="000000"/>
              </w:rPr>
              <w:t xml:space="preserve">EDF </w:t>
            </w:r>
            <w:r w:rsidR="00482743">
              <w:rPr>
                <w:color w:val="000000"/>
              </w:rPr>
              <w:t xml:space="preserve">states that it </w:t>
            </w:r>
            <w:r w:rsidRPr="00CA5F60" w:rsidR="00EE1889">
              <w:rPr>
                <w:color w:val="000000"/>
              </w:rPr>
              <w:t>cannot accept an insinuation of a Rule 1 violation when this is not a standard practice for any intervenor who engages with outside counsel or experts.</w:t>
            </w:r>
          </w:p>
          <w:p w:rsidRPr="003349DE" w:rsidR="00EE1889" w:rsidP="001248CD" w:rsidRDefault="00482743" w14:paraId="25F506E1" w14:textId="1C1CB8BB">
            <w:pPr>
              <w:keepNext/>
              <w:keepLines/>
              <w:spacing w:before="120"/>
              <w:rPr>
                <w:color w:val="000000"/>
              </w:rPr>
            </w:pPr>
            <w:r>
              <w:rPr>
                <w:color w:val="000000"/>
              </w:rPr>
              <w:t>EDF also states that while t</w:t>
            </w:r>
            <w:r w:rsidRPr="00CA5F60" w:rsidR="00EE1889">
              <w:rPr>
                <w:color w:val="000000"/>
              </w:rPr>
              <w:t>he Proposed Decision reminds EDF to be “truthful in all representations to the Commission</w:t>
            </w:r>
            <w:r>
              <w:rPr>
                <w:color w:val="000000"/>
              </w:rPr>
              <w:t>,</w:t>
            </w:r>
            <w:r w:rsidRPr="00CA5F60" w:rsidR="00EE1889">
              <w:rPr>
                <w:color w:val="000000"/>
              </w:rPr>
              <w:t xml:space="preserve">” </w:t>
            </w:r>
            <w:r>
              <w:rPr>
                <w:color w:val="000000"/>
              </w:rPr>
              <w:t xml:space="preserve">it </w:t>
            </w:r>
            <w:r w:rsidRPr="00CA5F60" w:rsidR="00EE1889">
              <w:rPr>
                <w:color w:val="000000"/>
              </w:rPr>
              <w:t>provides no examples of how EDF has been untruthful or why it should be “reminded” of its duties under Rule 1</w:t>
            </w:r>
            <w:r w:rsidR="000B7E41">
              <w:rPr>
                <w:color w:val="000000"/>
              </w:rPr>
              <w:t xml:space="preserve">, and </w:t>
            </w:r>
            <w:r w:rsidRPr="00CA5F60" w:rsidR="00EE1889">
              <w:rPr>
                <w:color w:val="000000"/>
              </w:rPr>
              <w:t xml:space="preserve">requests that the Proposed Decision be modified to remove </w:t>
            </w:r>
            <w:proofErr w:type="gramStart"/>
            <w:r w:rsidRPr="00CA5F60" w:rsidR="00EE1889">
              <w:rPr>
                <w:color w:val="000000"/>
              </w:rPr>
              <w:t>any and all</w:t>
            </w:r>
            <w:proofErr w:type="gramEnd"/>
            <w:r w:rsidRPr="00CA5F60" w:rsidR="00EE1889">
              <w:rPr>
                <w:color w:val="000000"/>
              </w:rPr>
              <w:t xml:space="preserve"> mentions of Rule 1.</w:t>
            </w:r>
          </w:p>
        </w:tc>
        <w:tc>
          <w:tcPr>
            <w:tcW w:w="2965" w:type="dxa"/>
          </w:tcPr>
          <w:p w:rsidRPr="00EB21E3" w:rsidR="008D5C90" w:rsidP="008D5C90" w:rsidRDefault="008D5C90" w14:paraId="78C59913" w14:textId="4F507F4B">
            <w:pPr>
              <w:keepNext/>
              <w:keepLines/>
              <w:spacing w:before="120"/>
              <w:rPr>
                <w:b/>
                <w:bCs/>
                <w:color w:val="000000"/>
                <w:u w:val="single"/>
              </w:rPr>
            </w:pPr>
            <w:r w:rsidRPr="00EB21E3">
              <w:rPr>
                <w:b/>
                <w:bCs/>
                <w:color w:val="000000"/>
                <w:u w:val="single"/>
              </w:rPr>
              <w:t xml:space="preserve">Rule </w:t>
            </w:r>
            <w:r w:rsidR="000C739C">
              <w:rPr>
                <w:b/>
                <w:bCs/>
                <w:color w:val="000000"/>
                <w:u w:val="single"/>
              </w:rPr>
              <w:t>1.</w:t>
            </w:r>
            <w:r w:rsidRPr="00EB21E3">
              <w:rPr>
                <w:b/>
                <w:bCs/>
                <w:color w:val="000000"/>
                <w:u w:val="single"/>
              </w:rPr>
              <w:t>1</w:t>
            </w:r>
            <w:r>
              <w:rPr>
                <w:b/>
                <w:bCs/>
                <w:color w:val="000000"/>
                <w:u w:val="single"/>
              </w:rPr>
              <w:t xml:space="preserve"> Language</w:t>
            </w:r>
            <w:r w:rsidRPr="00EB21E3">
              <w:rPr>
                <w:b/>
                <w:bCs/>
                <w:color w:val="000000"/>
                <w:u w:val="single"/>
              </w:rPr>
              <w:t xml:space="preserve">: </w:t>
            </w:r>
          </w:p>
          <w:p w:rsidRPr="00EF6049" w:rsidR="00EE1889" w:rsidP="00924F3E" w:rsidRDefault="00BB48DE" w14:paraId="4415BA09" w14:textId="058B9ECA">
            <w:pPr>
              <w:rPr>
                <w:rFonts w:eastAsiaTheme="minorEastAsia"/>
                <w:bCs/>
              </w:rPr>
            </w:pPr>
            <w:r>
              <w:t xml:space="preserve">As EDF itself has acknowledged, the </w:t>
            </w:r>
            <w:r w:rsidRPr="00CA5F60" w:rsidR="00FB31BF">
              <w:rPr>
                <w:color w:val="000000"/>
              </w:rPr>
              <w:t xml:space="preserve">Proposed Decision </w:t>
            </w:r>
            <w:r w:rsidR="007E5893">
              <w:rPr>
                <w:color w:val="000000"/>
              </w:rPr>
              <w:t xml:space="preserve">did not </w:t>
            </w:r>
            <w:r w:rsidR="008C5398">
              <w:rPr>
                <w:color w:val="000000"/>
              </w:rPr>
              <w:t>allege</w:t>
            </w:r>
            <w:r w:rsidR="007E5893">
              <w:rPr>
                <w:color w:val="000000"/>
              </w:rPr>
              <w:t xml:space="preserve"> that</w:t>
            </w:r>
            <w:r w:rsidR="00FB31BF">
              <w:rPr>
                <w:color w:val="000000"/>
              </w:rPr>
              <w:t xml:space="preserve"> EDF </w:t>
            </w:r>
            <w:r w:rsidR="008C5398">
              <w:rPr>
                <w:color w:val="000000"/>
              </w:rPr>
              <w:t>violated R</w:t>
            </w:r>
            <w:r w:rsidR="00FB31BF">
              <w:rPr>
                <w:color w:val="000000"/>
              </w:rPr>
              <w:t xml:space="preserve">ule 1.1. </w:t>
            </w:r>
            <w:r w:rsidR="005129A6">
              <w:t xml:space="preserve">Rather, </w:t>
            </w:r>
            <w:r w:rsidR="008D29F9">
              <w:t>t</w:t>
            </w:r>
            <w:r w:rsidR="00C705A3">
              <w:t xml:space="preserve">he </w:t>
            </w:r>
            <w:r w:rsidR="004A529C">
              <w:t>language</w:t>
            </w:r>
            <w:r w:rsidR="00C705A3">
              <w:t xml:space="preserve"> incorporated in </w:t>
            </w:r>
            <w:r w:rsidR="005129A6">
              <w:t>the</w:t>
            </w:r>
            <w:r w:rsidR="00C705A3">
              <w:t xml:space="preserve"> </w:t>
            </w:r>
            <w:r w:rsidR="00E73D04">
              <w:t>P</w:t>
            </w:r>
            <w:r w:rsidR="00C705A3">
              <w:t xml:space="preserve">roposed </w:t>
            </w:r>
            <w:r w:rsidR="00E73D04">
              <w:t>D</w:t>
            </w:r>
            <w:r w:rsidR="00C705A3">
              <w:t xml:space="preserve">ecision </w:t>
            </w:r>
            <w:r w:rsidR="002A2DFE">
              <w:t>serves as</w:t>
            </w:r>
            <w:r w:rsidR="00C705A3">
              <w:t xml:space="preserve"> a </w:t>
            </w:r>
            <w:r w:rsidR="005129A6">
              <w:t xml:space="preserve">general </w:t>
            </w:r>
            <w:r w:rsidR="00C705A3">
              <w:t xml:space="preserve">reminder to all intervenors who </w:t>
            </w:r>
            <w:r w:rsidR="005129A6">
              <w:t>engage</w:t>
            </w:r>
            <w:r w:rsidR="00C705A3">
              <w:t xml:space="preserve"> </w:t>
            </w:r>
            <w:r w:rsidR="004A529C">
              <w:t xml:space="preserve">consultants </w:t>
            </w:r>
            <w:r w:rsidR="001F19F5">
              <w:t>th</w:t>
            </w:r>
            <w:r w:rsidR="00155F30">
              <w:t xml:space="preserve">at the </w:t>
            </w:r>
            <w:r w:rsidRPr="00CC7389" w:rsidR="00155F30">
              <w:rPr>
                <w:rFonts w:eastAsiaTheme="minorEastAsia"/>
                <w:bCs/>
              </w:rPr>
              <w:t xml:space="preserve">Commission relies on their representations </w:t>
            </w:r>
            <w:r w:rsidR="005A7C23">
              <w:rPr>
                <w:rFonts w:eastAsiaTheme="minorEastAsia"/>
                <w:bCs/>
              </w:rPr>
              <w:t>regarding</w:t>
            </w:r>
            <w:r w:rsidR="00B96DF9">
              <w:rPr>
                <w:rFonts w:eastAsiaTheme="minorEastAsia"/>
                <w:bCs/>
              </w:rPr>
              <w:t xml:space="preserve"> </w:t>
            </w:r>
            <w:r w:rsidR="00741885">
              <w:rPr>
                <w:rFonts w:eastAsiaTheme="minorEastAsia"/>
                <w:bCs/>
              </w:rPr>
              <w:t xml:space="preserve">consultant </w:t>
            </w:r>
            <w:r w:rsidRPr="00CC7389" w:rsidR="00155F30">
              <w:rPr>
                <w:rFonts w:eastAsiaTheme="minorEastAsia"/>
                <w:bCs/>
              </w:rPr>
              <w:t>agreements.</w:t>
            </w:r>
            <w:r w:rsidR="00202038">
              <w:rPr>
                <w:rFonts w:eastAsiaTheme="minorEastAsia"/>
                <w:bCs/>
              </w:rPr>
              <w:t xml:space="preserve"> </w:t>
            </w:r>
            <w:r w:rsidRPr="00274288" w:rsidR="00F925F6">
              <w:rPr>
                <w:color w:val="000000"/>
              </w:rPr>
              <w:t xml:space="preserve">This reference </w:t>
            </w:r>
            <w:r w:rsidRPr="00CC7389" w:rsidR="00010AD4">
              <w:rPr>
                <w:rFonts w:eastAsiaTheme="minorEastAsia"/>
                <w:bCs/>
              </w:rPr>
              <w:t>is not intended to imply any dishonesty</w:t>
            </w:r>
            <w:r w:rsidR="000C739C">
              <w:rPr>
                <w:rFonts w:eastAsiaTheme="minorEastAsia"/>
                <w:bCs/>
              </w:rPr>
              <w:t>,</w:t>
            </w:r>
            <w:r w:rsidRPr="00CC7389" w:rsidR="00010AD4">
              <w:rPr>
                <w:rFonts w:eastAsiaTheme="minorEastAsia"/>
                <w:bCs/>
              </w:rPr>
              <w:t xml:space="preserve"> </w:t>
            </w:r>
            <w:r w:rsidRPr="00CC7389" w:rsidR="003C0BD3">
              <w:rPr>
                <w:rFonts w:eastAsiaTheme="minorEastAsia"/>
                <w:bCs/>
              </w:rPr>
              <w:t>but</w:t>
            </w:r>
            <w:r w:rsidRPr="00CC7389" w:rsidR="00010AD4">
              <w:rPr>
                <w:rFonts w:eastAsiaTheme="minorEastAsia"/>
                <w:bCs/>
              </w:rPr>
              <w:t xml:space="preserve"> </w:t>
            </w:r>
            <w:r w:rsidR="000C739C">
              <w:rPr>
                <w:rFonts w:eastAsiaTheme="minorEastAsia"/>
                <w:bCs/>
              </w:rPr>
              <w:t>rather to underscore the</w:t>
            </w:r>
            <w:r w:rsidR="00DE2B41">
              <w:rPr>
                <w:rFonts w:eastAsiaTheme="minorEastAsia"/>
                <w:bCs/>
              </w:rPr>
              <w:t xml:space="preserve"> ethical obligation of </w:t>
            </w:r>
            <w:r w:rsidR="006B0B5E">
              <w:rPr>
                <w:rFonts w:eastAsiaTheme="minorEastAsia"/>
                <w:bCs/>
              </w:rPr>
              <w:t>integrity</w:t>
            </w:r>
            <w:r w:rsidR="00DE2B41">
              <w:rPr>
                <w:rFonts w:eastAsiaTheme="minorEastAsia"/>
                <w:bCs/>
              </w:rPr>
              <w:t xml:space="preserve"> </w:t>
            </w:r>
            <w:r w:rsidR="000C739C">
              <w:rPr>
                <w:rFonts w:eastAsiaTheme="minorEastAsia"/>
                <w:bCs/>
              </w:rPr>
              <w:t xml:space="preserve">that all </w:t>
            </w:r>
            <w:r w:rsidR="00DE2B41">
              <w:rPr>
                <w:rFonts w:eastAsiaTheme="minorEastAsia"/>
                <w:bCs/>
              </w:rPr>
              <w:t>intervenors</w:t>
            </w:r>
            <w:r w:rsidRPr="00274288" w:rsidR="000C739C">
              <w:rPr>
                <w:color w:val="000000"/>
              </w:rPr>
              <w:t xml:space="preserve"> are expected to uphold</w:t>
            </w:r>
            <w:r w:rsidR="00DE2B41">
              <w:rPr>
                <w:rFonts w:eastAsiaTheme="minorEastAsia"/>
                <w:bCs/>
              </w:rPr>
              <w:t xml:space="preserve">. </w:t>
            </w:r>
          </w:p>
        </w:tc>
      </w:tr>
      <w:tr w:rsidRPr="003349DE" w:rsidR="00EE1889" w:rsidTr="00924F3E" w14:paraId="478024B9" w14:textId="77777777">
        <w:tc>
          <w:tcPr>
            <w:tcW w:w="1644" w:type="dxa"/>
            <w:vMerge/>
          </w:tcPr>
          <w:p w:rsidRPr="003349DE" w:rsidR="00EE1889" w:rsidP="001248CD" w:rsidRDefault="00EE1889" w14:paraId="4E22DC47" w14:textId="77777777">
            <w:pPr>
              <w:keepNext/>
              <w:keepLines/>
              <w:spacing w:before="120"/>
              <w:rPr>
                <w:color w:val="000000"/>
              </w:rPr>
            </w:pPr>
          </w:p>
        </w:tc>
        <w:tc>
          <w:tcPr>
            <w:tcW w:w="4741" w:type="dxa"/>
          </w:tcPr>
          <w:p w:rsidRPr="00EB21E3" w:rsidR="00720138" w:rsidP="00720138" w:rsidRDefault="00720138" w14:paraId="1F4E69FC" w14:textId="5C24AF2C">
            <w:pPr>
              <w:keepNext/>
              <w:keepLines/>
              <w:spacing w:before="120"/>
              <w:rPr>
                <w:b/>
                <w:bCs/>
                <w:color w:val="000000"/>
                <w:u w:val="single"/>
              </w:rPr>
            </w:pPr>
            <w:r>
              <w:rPr>
                <w:b/>
                <w:bCs/>
                <w:color w:val="000000"/>
                <w:u w:val="single"/>
              </w:rPr>
              <w:t>Consultant Status:</w:t>
            </w:r>
            <w:r w:rsidRPr="00EB21E3">
              <w:rPr>
                <w:b/>
                <w:bCs/>
                <w:color w:val="000000"/>
                <w:u w:val="single"/>
              </w:rPr>
              <w:t xml:space="preserve"> </w:t>
            </w:r>
          </w:p>
          <w:p w:rsidR="00EE1889" w:rsidP="001248CD" w:rsidRDefault="000B7E41" w14:paraId="2A6978C5" w14:textId="074C0D46">
            <w:pPr>
              <w:keepNext/>
              <w:keepLines/>
              <w:spacing w:before="120"/>
              <w:rPr>
                <w:color w:val="000000"/>
              </w:rPr>
            </w:pPr>
            <w:r>
              <w:rPr>
                <w:color w:val="000000"/>
              </w:rPr>
              <w:t>EDF claims that t</w:t>
            </w:r>
            <w:r w:rsidRPr="00CA5F60" w:rsidR="00EE1889">
              <w:rPr>
                <w:color w:val="000000"/>
              </w:rPr>
              <w:t>he Proposed Decision inappropriately recategorizes Myers and Moss as consultants</w:t>
            </w:r>
            <w:r>
              <w:rPr>
                <w:color w:val="000000"/>
              </w:rPr>
              <w:t xml:space="preserve">, without </w:t>
            </w:r>
            <w:r w:rsidRPr="00CA5F60" w:rsidR="00EE1889">
              <w:rPr>
                <w:color w:val="000000"/>
              </w:rPr>
              <w:t>explain</w:t>
            </w:r>
            <w:r w:rsidR="00720138">
              <w:rPr>
                <w:color w:val="000000"/>
              </w:rPr>
              <w:t>ing</w:t>
            </w:r>
            <w:r w:rsidRPr="00CA5F60" w:rsidR="00EE1889">
              <w:rPr>
                <w:color w:val="000000"/>
              </w:rPr>
              <w:t xml:space="preserve"> why this change was made. EDF notes that Myers is an attorney and serve</w:t>
            </w:r>
            <w:r w:rsidR="00720138">
              <w:rPr>
                <w:color w:val="000000"/>
              </w:rPr>
              <w:t>s</w:t>
            </w:r>
            <w:r w:rsidRPr="00CA5F60" w:rsidR="00EE1889">
              <w:rPr>
                <w:color w:val="000000"/>
              </w:rPr>
              <w:t xml:space="preserve"> as outside counsel to EDF, and Moss is an expert.</w:t>
            </w:r>
          </w:p>
          <w:p w:rsidRPr="003349DE" w:rsidR="00EE1889" w:rsidP="001248CD" w:rsidRDefault="00720138" w14:paraId="2B4AE367" w14:textId="585F298A">
            <w:pPr>
              <w:keepNext/>
              <w:keepLines/>
              <w:spacing w:before="120"/>
              <w:rPr>
                <w:color w:val="000000"/>
              </w:rPr>
            </w:pPr>
            <w:r>
              <w:rPr>
                <w:color w:val="000000"/>
              </w:rPr>
              <w:t>EDF states that t</w:t>
            </w:r>
            <w:r w:rsidRPr="00CA5F60" w:rsidR="00EE1889">
              <w:rPr>
                <w:color w:val="000000"/>
              </w:rPr>
              <w:t>he Proposed Decision does not provide information as to why these individuals should be identified as consultants. In EDF’s opinion, the structure of the Intervenor Compensation is designed so that it can hire outside expertise (such as regulatory attorneys or market experts) to help the Commission develop a full and robust record. EDF’s claim for making a substantial contribution has not been called into question in this Proposed Decision</w:t>
            </w:r>
            <w:r>
              <w:rPr>
                <w:color w:val="000000"/>
              </w:rPr>
              <w:t xml:space="preserve">, and </w:t>
            </w:r>
            <w:r w:rsidRPr="00757805" w:rsidR="00EE1889">
              <w:rPr>
                <w:color w:val="000000"/>
              </w:rPr>
              <w:t>requests that the roles of “attorney” and “expert” be restored.</w:t>
            </w:r>
          </w:p>
        </w:tc>
        <w:tc>
          <w:tcPr>
            <w:tcW w:w="2965" w:type="dxa"/>
          </w:tcPr>
          <w:p w:rsidRPr="00EB21E3" w:rsidR="008D5C90" w:rsidP="008D5C90" w:rsidRDefault="008D5C90" w14:paraId="5FA58283" w14:textId="77777777">
            <w:pPr>
              <w:keepNext/>
              <w:keepLines/>
              <w:spacing w:before="120"/>
              <w:rPr>
                <w:b/>
                <w:bCs/>
                <w:color w:val="000000"/>
                <w:u w:val="single"/>
              </w:rPr>
            </w:pPr>
            <w:r>
              <w:rPr>
                <w:b/>
                <w:bCs/>
                <w:color w:val="000000"/>
                <w:u w:val="single"/>
              </w:rPr>
              <w:t>Consultant Status:</w:t>
            </w:r>
            <w:r w:rsidRPr="00EB21E3">
              <w:rPr>
                <w:b/>
                <w:bCs/>
                <w:color w:val="000000"/>
                <w:u w:val="single"/>
              </w:rPr>
              <w:t xml:space="preserve"> </w:t>
            </w:r>
          </w:p>
          <w:p w:rsidR="003300A9" w:rsidP="00CC7389" w:rsidRDefault="000C1CCD" w14:paraId="000A6906" w14:textId="1EAC2F28">
            <w:pPr>
              <w:keepNext/>
              <w:keepLines/>
              <w:spacing w:before="120"/>
              <w:rPr>
                <w:color w:val="000000"/>
              </w:rPr>
            </w:pPr>
            <w:r w:rsidRPr="000C1CCD">
              <w:rPr>
                <w:color w:val="000000"/>
              </w:rPr>
              <w:t>As outlined in Part III.D [</w:t>
            </w:r>
            <w:r w:rsidR="000F4796">
              <w:rPr>
                <w:color w:val="000000"/>
              </w:rPr>
              <w:t>2, 4</w:t>
            </w:r>
            <w:r w:rsidRPr="000C1CCD">
              <w:rPr>
                <w:color w:val="000000"/>
              </w:rPr>
              <w:t xml:space="preserve">] of this Proposed Decision, </w:t>
            </w:r>
            <w:r w:rsidR="009725A3">
              <w:rPr>
                <w:color w:val="000000"/>
              </w:rPr>
              <w:t xml:space="preserve">EDF submitted </w:t>
            </w:r>
            <w:r w:rsidRPr="000C1CCD">
              <w:rPr>
                <w:color w:val="000000"/>
              </w:rPr>
              <w:t>supplemental documentation confirm</w:t>
            </w:r>
            <w:r w:rsidR="00D67AB4">
              <w:rPr>
                <w:color w:val="000000"/>
              </w:rPr>
              <w:t>ing</w:t>
            </w:r>
            <w:r w:rsidRPr="000C1CCD">
              <w:rPr>
                <w:color w:val="000000"/>
              </w:rPr>
              <w:t xml:space="preserve"> that </w:t>
            </w:r>
            <w:r w:rsidR="000F4796">
              <w:rPr>
                <w:color w:val="000000"/>
              </w:rPr>
              <w:t>Myers</w:t>
            </w:r>
            <w:r w:rsidR="00EE0CD1">
              <w:rPr>
                <w:color w:val="000000"/>
              </w:rPr>
              <w:t xml:space="preserve"> (</w:t>
            </w:r>
            <w:r w:rsidR="00174AB5">
              <w:rPr>
                <w:color w:val="000000"/>
              </w:rPr>
              <w:t>outside counsel</w:t>
            </w:r>
            <w:r w:rsidR="00EE0CD1">
              <w:rPr>
                <w:color w:val="000000"/>
              </w:rPr>
              <w:t>)</w:t>
            </w:r>
            <w:r w:rsidR="000F4796">
              <w:rPr>
                <w:color w:val="000000"/>
              </w:rPr>
              <w:t xml:space="preserve"> and Moss</w:t>
            </w:r>
            <w:r w:rsidR="00EE0CD1">
              <w:rPr>
                <w:color w:val="000000"/>
              </w:rPr>
              <w:t xml:space="preserve"> (</w:t>
            </w:r>
            <w:r w:rsidR="00174AB5">
              <w:rPr>
                <w:color w:val="000000"/>
              </w:rPr>
              <w:t>external consultant</w:t>
            </w:r>
            <w:r w:rsidR="00EE0CD1">
              <w:rPr>
                <w:color w:val="000000"/>
              </w:rPr>
              <w:t>)</w:t>
            </w:r>
            <w:r w:rsidR="00174AB5">
              <w:rPr>
                <w:color w:val="000000"/>
              </w:rPr>
              <w:t xml:space="preserve"> </w:t>
            </w:r>
            <w:r w:rsidR="00334BE7">
              <w:rPr>
                <w:color w:val="000000"/>
              </w:rPr>
              <w:t xml:space="preserve">provided </w:t>
            </w:r>
            <w:r w:rsidR="00454DDD">
              <w:rPr>
                <w:color w:val="000000"/>
              </w:rPr>
              <w:t>services to EDF and issued billable invoices for the</w:t>
            </w:r>
            <w:r w:rsidR="003C68FA">
              <w:rPr>
                <w:color w:val="000000"/>
              </w:rPr>
              <w:t>ir</w:t>
            </w:r>
            <w:r w:rsidR="00454DDD">
              <w:rPr>
                <w:color w:val="000000"/>
              </w:rPr>
              <w:t xml:space="preserve"> work.</w:t>
            </w:r>
            <w:r w:rsidR="00621936">
              <w:rPr>
                <w:color w:val="000000"/>
              </w:rPr>
              <w:t xml:space="preserve"> </w:t>
            </w:r>
          </w:p>
          <w:p w:rsidR="00AC60F9" w:rsidP="00CC7389" w:rsidRDefault="000C1CCD" w14:paraId="4D397475" w14:textId="6CB78E3D">
            <w:pPr>
              <w:keepNext/>
              <w:keepLines/>
              <w:spacing w:before="120"/>
              <w:rPr>
                <w:color w:val="000000"/>
              </w:rPr>
            </w:pPr>
            <w:r w:rsidRPr="000C1CCD">
              <w:rPr>
                <w:color w:val="000000"/>
              </w:rPr>
              <w:t>Pursuant to Commission policy, the rate requested by an intervenor must not exceed the rate billed to that intervenor by any outside consultant it hires, even if the consultant’s billed rate is below the floor for a given experience level (pursuant to D.07-01-009, D.08-04-010, and Resolution ALJ-235)</w:t>
            </w:r>
            <w:r w:rsidR="00AF037B">
              <w:rPr>
                <w:color w:val="000000"/>
              </w:rPr>
              <w:t xml:space="preserve">. Accordingly, </w:t>
            </w:r>
            <w:r w:rsidR="00DA5B10">
              <w:rPr>
                <w:color w:val="000000"/>
              </w:rPr>
              <w:t>the Proposed Decision</w:t>
            </w:r>
            <w:r w:rsidRPr="000C1CCD">
              <w:rPr>
                <w:color w:val="000000"/>
              </w:rPr>
              <w:t xml:space="preserve"> </w:t>
            </w:r>
            <w:r w:rsidR="004362A6">
              <w:rPr>
                <w:color w:val="000000"/>
              </w:rPr>
              <w:t xml:space="preserve">awarded EDF the </w:t>
            </w:r>
            <w:r w:rsidR="00DA5B10">
              <w:rPr>
                <w:color w:val="000000"/>
              </w:rPr>
              <w:t xml:space="preserve">hourly </w:t>
            </w:r>
            <w:r w:rsidR="004362A6">
              <w:rPr>
                <w:color w:val="000000"/>
              </w:rPr>
              <w:t>rate it was</w:t>
            </w:r>
            <w:r w:rsidR="00DA5B10">
              <w:rPr>
                <w:color w:val="000000"/>
              </w:rPr>
              <w:t xml:space="preserve"> </w:t>
            </w:r>
            <w:r w:rsidR="004362A6">
              <w:rPr>
                <w:color w:val="000000"/>
              </w:rPr>
              <w:t xml:space="preserve">billed </w:t>
            </w:r>
            <w:r w:rsidR="00DA5B10">
              <w:rPr>
                <w:color w:val="000000"/>
              </w:rPr>
              <w:t>for</w:t>
            </w:r>
            <w:r w:rsidR="004362A6">
              <w:rPr>
                <w:color w:val="000000"/>
              </w:rPr>
              <w:t xml:space="preserve"> </w:t>
            </w:r>
            <w:r w:rsidR="00B25993">
              <w:rPr>
                <w:color w:val="000000"/>
              </w:rPr>
              <w:t xml:space="preserve">Myers and </w:t>
            </w:r>
            <w:proofErr w:type="spellStart"/>
            <w:r w:rsidR="00B25993">
              <w:rPr>
                <w:color w:val="000000"/>
              </w:rPr>
              <w:t>Moss</w:t>
            </w:r>
            <w:r w:rsidR="00DA5B10">
              <w:rPr>
                <w:color w:val="000000"/>
              </w:rPr>
              <w:t>’</w:t>
            </w:r>
            <w:proofErr w:type="spellEnd"/>
            <w:r w:rsidR="00DA5B10">
              <w:rPr>
                <w:color w:val="000000"/>
              </w:rPr>
              <w:t xml:space="preserve"> work</w:t>
            </w:r>
            <w:r w:rsidRPr="000C1CCD">
              <w:rPr>
                <w:color w:val="000000"/>
              </w:rPr>
              <w:t xml:space="preserve">. </w:t>
            </w:r>
          </w:p>
          <w:p w:rsidRPr="00CC7389" w:rsidR="00CC7389" w:rsidP="00CC7389" w:rsidRDefault="007A57A3" w14:paraId="4BF47DC5" w14:textId="5FA6277C">
            <w:pPr>
              <w:keepNext/>
              <w:keepLines/>
              <w:spacing w:before="120"/>
              <w:rPr>
                <w:color w:val="000000"/>
              </w:rPr>
            </w:pPr>
            <w:r>
              <w:rPr>
                <w:color w:val="000000"/>
              </w:rPr>
              <w:t>Because</w:t>
            </w:r>
            <w:r w:rsidR="00454DDD">
              <w:rPr>
                <w:color w:val="000000"/>
              </w:rPr>
              <w:t xml:space="preserve"> Moss and Myers are not employees of EDF</w:t>
            </w:r>
            <w:r>
              <w:rPr>
                <w:color w:val="000000"/>
              </w:rPr>
              <w:t xml:space="preserve">, </w:t>
            </w:r>
            <w:r w:rsidR="00F20F8D">
              <w:rPr>
                <w:color w:val="000000"/>
              </w:rPr>
              <w:t>t</w:t>
            </w:r>
            <w:r w:rsidRPr="000C1CCD" w:rsidR="000C1CCD">
              <w:rPr>
                <w:color w:val="000000"/>
              </w:rPr>
              <w:t xml:space="preserve">he </w:t>
            </w:r>
            <w:r w:rsidR="00454DDD">
              <w:rPr>
                <w:color w:val="000000"/>
              </w:rPr>
              <w:t>rate</w:t>
            </w:r>
            <w:r>
              <w:rPr>
                <w:color w:val="000000"/>
              </w:rPr>
              <w:t>s</w:t>
            </w:r>
            <w:r w:rsidR="00454DDD">
              <w:rPr>
                <w:color w:val="000000"/>
              </w:rPr>
              <w:t xml:space="preserve"> awarded</w:t>
            </w:r>
            <w:r w:rsidRPr="000C1CCD" w:rsidR="000C1CCD">
              <w:rPr>
                <w:color w:val="000000"/>
              </w:rPr>
              <w:t xml:space="preserve"> appropriate</w:t>
            </w:r>
            <w:r w:rsidR="00287119">
              <w:rPr>
                <w:color w:val="000000"/>
              </w:rPr>
              <w:t>ly</w:t>
            </w:r>
            <w:r w:rsidRPr="000C1CCD" w:rsidR="000C1CCD">
              <w:rPr>
                <w:color w:val="000000"/>
              </w:rPr>
              <w:t xml:space="preserve"> reflect </w:t>
            </w:r>
            <w:r w:rsidR="00F20F8D">
              <w:rPr>
                <w:color w:val="000000"/>
              </w:rPr>
              <w:t xml:space="preserve">their </w:t>
            </w:r>
            <w:r w:rsidR="00287119">
              <w:rPr>
                <w:color w:val="000000"/>
              </w:rPr>
              <w:t>status</w:t>
            </w:r>
            <w:r w:rsidR="002C7DBE">
              <w:rPr>
                <w:color w:val="000000"/>
              </w:rPr>
              <w:t xml:space="preserve"> in accordance with</w:t>
            </w:r>
            <w:r w:rsidRPr="000C1CCD" w:rsidR="000C1CCD">
              <w:rPr>
                <w:color w:val="000000"/>
              </w:rPr>
              <w:t xml:space="preserve"> the guidelines </w:t>
            </w:r>
            <w:r w:rsidR="002C7DBE">
              <w:rPr>
                <w:color w:val="000000"/>
              </w:rPr>
              <w:t>under</w:t>
            </w:r>
            <w:r w:rsidRPr="000C1CCD" w:rsidR="000C1CCD">
              <w:rPr>
                <w:color w:val="000000"/>
              </w:rPr>
              <w:t xml:space="preserve"> Resolution ALJ-393</w:t>
            </w:r>
            <w:r w:rsidR="00F20F8D">
              <w:rPr>
                <w:color w:val="000000"/>
              </w:rPr>
              <w:t>.</w:t>
            </w:r>
            <w:r w:rsidR="00621936">
              <w:rPr>
                <w:color w:val="000000"/>
              </w:rPr>
              <w:t xml:space="preserve"> </w:t>
            </w:r>
            <w:r w:rsidR="002300D1">
              <w:rPr>
                <w:color w:val="000000"/>
              </w:rPr>
              <w:t xml:space="preserve">Although </w:t>
            </w:r>
            <w:r w:rsidR="002C7DBE">
              <w:rPr>
                <w:color w:val="000000"/>
              </w:rPr>
              <w:t>EDF</w:t>
            </w:r>
            <w:r w:rsidR="002300D1">
              <w:rPr>
                <w:color w:val="000000"/>
              </w:rPr>
              <w:t xml:space="preserve"> may </w:t>
            </w:r>
            <w:r w:rsidR="00BC7605">
              <w:rPr>
                <w:color w:val="000000"/>
              </w:rPr>
              <w:t xml:space="preserve">not </w:t>
            </w:r>
            <w:r w:rsidR="002C7DBE">
              <w:rPr>
                <w:color w:val="000000"/>
              </w:rPr>
              <w:t xml:space="preserve">explicitly label them </w:t>
            </w:r>
            <w:r w:rsidR="00BC7605">
              <w:rPr>
                <w:color w:val="000000"/>
              </w:rPr>
              <w:t xml:space="preserve">as “consultants,” the nature of their duties and the </w:t>
            </w:r>
            <w:proofErr w:type="gramStart"/>
            <w:r w:rsidR="00BC7605">
              <w:rPr>
                <w:color w:val="000000"/>
              </w:rPr>
              <w:t>manner in which</w:t>
            </w:r>
            <w:proofErr w:type="gramEnd"/>
            <w:r w:rsidR="00BC7605">
              <w:rPr>
                <w:color w:val="000000"/>
              </w:rPr>
              <w:t xml:space="preserve"> they are compensated </w:t>
            </w:r>
            <w:r w:rsidR="002C7DBE">
              <w:rPr>
                <w:color w:val="000000"/>
              </w:rPr>
              <w:t>clearly align with the definition of</w:t>
            </w:r>
            <w:r w:rsidR="00BC7605">
              <w:rPr>
                <w:color w:val="000000"/>
              </w:rPr>
              <w:t xml:space="preserve"> that role.</w:t>
            </w:r>
          </w:p>
          <w:p w:rsidRPr="003349DE" w:rsidR="00EE1889" w:rsidP="001248CD" w:rsidRDefault="00EE1889" w14:paraId="7302A4FB" w14:textId="77777777">
            <w:pPr>
              <w:keepNext/>
              <w:keepLines/>
              <w:spacing w:before="120"/>
              <w:rPr>
                <w:color w:val="000000"/>
              </w:rPr>
            </w:pPr>
          </w:p>
        </w:tc>
      </w:tr>
      <w:tr w:rsidRPr="003349DE" w:rsidR="00EE1889" w:rsidTr="00924F3E" w14:paraId="2957E535" w14:textId="77777777">
        <w:tc>
          <w:tcPr>
            <w:tcW w:w="1644" w:type="dxa"/>
            <w:vMerge/>
          </w:tcPr>
          <w:p w:rsidRPr="003349DE" w:rsidR="00EE1889" w:rsidP="001248CD" w:rsidRDefault="00EE1889" w14:paraId="1A0DAAA5" w14:textId="77777777">
            <w:pPr>
              <w:keepNext/>
              <w:keepLines/>
              <w:spacing w:before="120"/>
              <w:rPr>
                <w:color w:val="000000"/>
              </w:rPr>
            </w:pPr>
          </w:p>
        </w:tc>
        <w:tc>
          <w:tcPr>
            <w:tcW w:w="4741" w:type="dxa"/>
          </w:tcPr>
          <w:p w:rsidR="00720138" w:rsidP="001248CD" w:rsidRDefault="00720138" w14:paraId="5BA0FE9C" w14:textId="77777777">
            <w:pPr>
              <w:keepNext/>
              <w:keepLines/>
              <w:spacing w:before="120"/>
              <w:rPr>
                <w:color w:val="000000"/>
              </w:rPr>
            </w:pPr>
            <w:r w:rsidRPr="00EF6049">
              <w:rPr>
                <w:b/>
                <w:bCs/>
                <w:color w:val="000000"/>
                <w:u w:val="single"/>
              </w:rPr>
              <w:t>Reductions</w:t>
            </w:r>
            <w:r>
              <w:rPr>
                <w:color w:val="000000"/>
              </w:rPr>
              <w:t>:</w:t>
            </w:r>
          </w:p>
          <w:p w:rsidRPr="003349DE" w:rsidR="00EE1889" w:rsidP="008D5C90" w:rsidRDefault="00EE1889" w14:paraId="6A086C0C" w14:textId="0DF76DE9">
            <w:pPr>
              <w:keepNext/>
              <w:keepLines/>
              <w:spacing w:before="120"/>
              <w:rPr>
                <w:color w:val="000000"/>
              </w:rPr>
            </w:pPr>
            <w:r w:rsidRPr="00757805">
              <w:rPr>
                <w:color w:val="000000"/>
              </w:rPr>
              <w:t>The Proposed Decision reduces all hours for Colvin, Myers, Moss, and Jermyn by 10%</w:t>
            </w:r>
            <w:r w:rsidR="008D5C90">
              <w:rPr>
                <w:color w:val="000000"/>
              </w:rPr>
              <w:t xml:space="preserve"> because </w:t>
            </w:r>
            <w:r w:rsidRPr="00757805">
              <w:rPr>
                <w:color w:val="000000"/>
              </w:rPr>
              <w:t xml:space="preserve">EDF did not adequately demonstrate how the requested hours were apportioned among the issues. However, </w:t>
            </w:r>
            <w:r w:rsidR="00C01F54">
              <w:rPr>
                <w:color w:val="000000"/>
              </w:rPr>
              <w:t xml:space="preserve">EDF claims that </w:t>
            </w:r>
            <w:r w:rsidRPr="00757805">
              <w:rPr>
                <w:color w:val="000000"/>
              </w:rPr>
              <w:t>the descriptions in the Allocation of Hours clearly demonstrate which issues were worked on</w:t>
            </w:r>
            <w:r w:rsidR="008D5C90">
              <w:rPr>
                <w:color w:val="000000"/>
              </w:rPr>
              <w:t xml:space="preserve">, </w:t>
            </w:r>
            <w:r w:rsidR="00DA5B10">
              <w:rPr>
                <w:color w:val="000000"/>
              </w:rPr>
              <w:t xml:space="preserve">that </w:t>
            </w:r>
            <w:r w:rsidR="008D5C90">
              <w:rPr>
                <w:color w:val="000000"/>
              </w:rPr>
              <w:t>t</w:t>
            </w:r>
            <w:r w:rsidRPr="00757805">
              <w:rPr>
                <w:color w:val="000000"/>
              </w:rPr>
              <w:t xml:space="preserve">he nature of the issues addressed in this proceeding did not directly map into a scoping memo category, and </w:t>
            </w:r>
            <w:r w:rsidR="00DA5B10">
              <w:rPr>
                <w:color w:val="000000"/>
              </w:rPr>
              <w:t xml:space="preserve">that </w:t>
            </w:r>
            <w:r w:rsidRPr="00757805">
              <w:rPr>
                <w:color w:val="000000"/>
              </w:rPr>
              <w:t xml:space="preserve">the Proposed </w:t>
            </w:r>
            <w:r w:rsidR="008D5C90">
              <w:rPr>
                <w:color w:val="000000"/>
              </w:rPr>
              <w:t>D</w:t>
            </w:r>
            <w:r w:rsidRPr="00757805">
              <w:rPr>
                <w:color w:val="000000"/>
              </w:rPr>
              <w:t xml:space="preserve">ecision itself did not have distinct component parts that could allow EDF to map </w:t>
            </w:r>
            <w:proofErr w:type="spellStart"/>
            <w:r w:rsidRPr="00757805">
              <w:rPr>
                <w:color w:val="000000"/>
              </w:rPr>
              <w:t>its</w:t>
            </w:r>
            <w:proofErr w:type="spellEnd"/>
            <w:r w:rsidRPr="00757805">
              <w:rPr>
                <w:color w:val="000000"/>
              </w:rPr>
              <w:t xml:space="preserve"> time to demonstrate a substantial contribution.</w:t>
            </w:r>
            <w:r w:rsidR="008D5C90">
              <w:rPr>
                <w:color w:val="000000"/>
              </w:rPr>
              <w:t xml:space="preserve"> </w:t>
            </w:r>
            <w:r w:rsidRPr="00757805">
              <w:rPr>
                <w:color w:val="000000"/>
              </w:rPr>
              <w:t xml:space="preserve">EDF requests that the Proposed Decision be modified to remove the 10% reduction made to the hours for Colvin, Myers, Moss, and Jermyn. </w:t>
            </w:r>
          </w:p>
        </w:tc>
        <w:tc>
          <w:tcPr>
            <w:tcW w:w="2965" w:type="dxa"/>
          </w:tcPr>
          <w:p w:rsidR="008D5C90" w:rsidP="008D5C90" w:rsidRDefault="008D5C90" w14:paraId="6DF703BA" w14:textId="77777777">
            <w:pPr>
              <w:keepNext/>
              <w:keepLines/>
              <w:spacing w:before="120"/>
              <w:rPr>
                <w:color w:val="000000"/>
              </w:rPr>
            </w:pPr>
            <w:r w:rsidRPr="00EB21E3">
              <w:rPr>
                <w:b/>
                <w:bCs/>
                <w:color w:val="000000"/>
                <w:u w:val="single"/>
              </w:rPr>
              <w:t>Reductions</w:t>
            </w:r>
            <w:r>
              <w:rPr>
                <w:color w:val="000000"/>
              </w:rPr>
              <w:t>:</w:t>
            </w:r>
          </w:p>
          <w:p w:rsidR="00705215" w:rsidP="001248CD" w:rsidRDefault="00CC693F" w14:paraId="7C46718E" w14:textId="348FE3C1">
            <w:pPr>
              <w:keepNext/>
              <w:keepLines/>
              <w:spacing w:before="120"/>
              <w:rPr>
                <w:color w:val="000000"/>
              </w:rPr>
            </w:pPr>
            <w:r>
              <w:rPr>
                <w:color w:val="000000"/>
              </w:rPr>
              <w:t xml:space="preserve">Pursuant to </w:t>
            </w:r>
            <w:r w:rsidR="00DA5B10">
              <w:rPr>
                <w:color w:val="000000"/>
              </w:rPr>
              <w:t xml:space="preserve">the </w:t>
            </w:r>
            <w:r>
              <w:rPr>
                <w:color w:val="000000"/>
              </w:rPr>
              <w:t xml:space="preserve">Intervenor Compensation Program Guide at 14, </w:t>
            </w:r>
            <w:r w:rsidR="00D63470">
              <w:rPr>
                <w:color w:val="000000"/>
              </w:rPr>
              <w:t>“</w:t>
            </w:r>
            <w:r w:rsidR="006B2795">
              <w:rPr>
                <w:color w:val="000000"/>
              </w:rPr>
              <w:t>m</w:t>
            </w:r>
            <w:r w:rsidRPr="006B2795" w:rsidR="006B2795">
              <w:rPr>
                <w:color w:val="000000"/>
              </w:rPr>
              <w:t>ost of the professional work on the proceeding can and must be associated with the proceeding’s substantive issues.</w:t>
            </w:r>
            <w:r w:rsidR="006B2795">
              <w:rPr>
                <w:color w:val="000000"/>
              </w:rPr>
              <w:t xml:space="preserve">” </w:t>
            </w:r>
            <w:r w:rsidR="00AE4BFE">
              <w:rPr>
                <w:color w:val="000000"/>
              </w:rPr>
              <w:t xml:space="preserve">While EDF lists the </w:t>
            </w:r>
            <w:r w:rsidR="00637940">
              <w:rPr>
                <w:color w:val="000000"/>
              </w:rPr>
              <w:t>issue areas</w:t>
            </w:r>
            <w:r w:rsidR="007703F6">
              <w:rPr>
                <w:color w:val="000000"/>
              </w:rPr>
              <w:t xml:space="preserve"> for </w:t>
            </w:r>
            <w:r w:rsidR="00276D80">
              <w:rPr>
                <w:color w:val="000000"/>
              </w:rPr>
              <w:t xml:space="preserve">time </w:t>
            </w:r>
            <w:r w:rsidR="007703F6">
              <w:rPr>
                <w:color w:val="000000"/>
              </w:rPr>
              <w:t>allocation (</w:t>
            </w:r>
            <w:proofErr w:type="spellStart"/>
            <w:r w:rsidR="007703F6">
              <w:rPr>
                <w:color w:val="000000"/>
              </w:rPr>
              <w:t>i.e</w:t>
            </w:r>
            <w:proofErr w:type="spellEnd"/>
            <w:r w:rsidR="007703F6">
              <w:rPr>
                <w:color w:val="000000"/>
              </w:rPr>
              <w:t xml:space="preserve"> Evidentiary Hearings, Coordination, General Hearing &amp; Workshop), the time records </w:t>
            </w:r>
            <w:r w:rsidR="00E84384">
              <w:rPr>
                <w:color w:val="000000"/>
              </w:rPr>
              <w:t xml:space="preserve">submitted by EDF </w:t>
            </w:r>
            <w:r w:rsidR="00D130CB">
              <w:rPr>
                <w:color w:val="000000"/>
              </w:rPr>
              <w:t xml:space="preserve">categorized </w:t>
            </w:r>
            <w:r w:rsidR="00D005F1">
              <w:rPr>
                <w:color w:val="000000"/>
              </w:rPr>
              <w:t xml:space="preserve">the </w:t>
            </w:r>
            <w:r w:rsidR="00AC1651">
              <w:rPr>
                <w:color w:val="000000"/>
              </w:rPr>
              <w:t>entr</w:t>
            </w:r>
            <w:r w:rsidR="00276D80">
              <w:rPr>
                <w:color w:val="000000"/>
              </w:rPr>
              <w:t>ies</w:t>
            </w:r>
            <w:r w:rsidR="00AC1651">
              <w:rPr>
                <w:color w:val="000000"/>
              </w:rPr>
              <w:t xml:space="preserve"> and tasks</w:t>
            </w:r>
            <w:r w:rsidR="00355985">
              <w:rPr>
                <w:color w:val="000000"/>
              </w:rPr>
              <w:t xml:space="preserve"> </w:t>
            </w:r>
            <w:r w:rsidR="00D130CB">
              <w:rPr>
                <w:color w:val="000000"/>
              </w:rPr>
              <w:t>under “</w:t>
            </w:r>
            <w:r w:rsidR="00355985">
              <w:rPr>
                <w:color w:val="000000"/>
              </w:rPr>
              <w:t>A</w:t>
            </w:r>
            <w:r w:rsidR="00D130CB">
              <w:rPr>
                <w:color w:val="000000"/>
              </w:rPr>
              <w:t>ll</w:t>
            </w:r>
            <w:r w:rsidR="00276D80">
              <w:rPr>
                <w:color w:val="000000"/>
              </w:rPr>
              <w:t>,</w:t>
            </w:r>
            <w:r w:rsidR="00D130CB">
              <w:rPr>
                <w:color w:val="000000"/>
              </w:rPr>
              <w:t xml:space="preserve">” </w:t>
            </w:r>
            <w:r w:rsidRPr="00705215" w:rsidR="00705215">
              <w:rPr>
                <w:color w:val="000000"/>
              </w:rPr>
              <w:t>without specific attribution to individual issue areas</w:t>
            </w:r>
            <w:r w:rsidR="00705215">
              <w:rPr>
                <w:color w:val="000000"/>
              </w:rPr>
              <w:t xml:space="preserve">. </w:t>
            </w:r>
          </w:p>
          <w:p w:rsidR="00CC693F" w:rsidP="001248CD" w:rsidRDefault="00D005F1" w14:paraId="03CA45B2" w14:textId="0A1853EE">
            <w:pPr>
              <w:keepNext/>
              <w:keepLines/>
              <w:spacing w:before="120"/>
              <w:rPr>
                <w:color w:val="000000"/>
              </w:rPr>
            </w:pPr>
            <w:r>
              <w:rPr>
                <w:color w:val="000000"/>
              </w:rPr>
              <w:t xml:space="preserve">The </w:t>
            </w:r>
            <w:r w:rsidR="00CE69B6">
              <w:rPr>
                <w:color w:val="000000"/>
              </w:rPr>
              <w:t xml:space="preserve">Intervenor Compensation Program Guide </w:t>
            </w:r>
            <w:r w:rsidR="00764264">
              <w:rPr>
                <w:color w:val="000000"/>
              </w:rPr>
              <w:t>at 21</w:t>
            </w:r>
            <w:r w:rsidR="001015AC">
              <w:rPr>
                <w:color w:val="000000"/>
              </w:rPr>
              <w:t xml:space="preserve"> also emphasizes that intervenors must “</w:t>
            </w:r>
            <w:r w:rsidRPr="00920866" w:rsidR="00920866">
              <w:rPr>
                <w:color w:val="000000"/>
              </w:rPr>
              <w:t xml:space="preserve">show how the requested hours were apportioned among the issues on which you claim a substantial contribution (e.g., 30% of hours – issue A; 25% - B; etc.) </w:t>
            </w:r>
            <w:r w:rsidRPr="00EF6049" w:rsidR="00920866">
              <w:rPr>
                <w:i/>
                <w:iCs/>
                <w:color w:val="000000"/>
              </w:rPr>
              <w:t>See</w:t>
            </w:r>
            <w:r w:rsidRPr="00920866" w:rsidR="00920866">
              <w:rPr>
                <w:color w:val="000000"/>
              </w:rPr>
              <w:t xml:space="preserve"> D.98-04-059 and D.85-08-012.</w:t>
            </w:r>
            <w:r w:rsidR="00920866">
              <w:rPr>
                <w:color w:val="000000"/>
              </w:rPr>
              <w:t>”</w:t>
            </w:r>
          </w:p>
          <w:p w:rsidRPr="003349DE" w:rsidR="00EE1889" w:rsidP="001248CD" w:rsidRDefault="00705215" w14:paraId="6025E891" w14:textId="7C8F5181">
            <w:pPr>
              <w:keepNext/>
              <w:keepLines/>
              <w:spacing w:before="120"/>
              <w:rPr>
                <w:color w:val="000000"/>
              </w:rPr>
            </w:pPr>
            <w:proofErr w:type="gramStart"/>
            <w:r>
              <w:rPr>
                <w:color w:val="000000"/>
              </w:rPr>
              <w:t>In light of</w:t>
            </w:r>
            <w:proofErr w:type="gramEnd"/>
            <w:r>
              <w:rPr>
                <w:color w:val="000000"/>
              </w:rPr>
              <w:t xml:space="preserve"> these requirements</w:t>
            </w:r>
            <w:r w:rsidR="00FB122C">
              <w:rPr>
                <w:color w:val="000000"/>
              </w:rPr>
              <w:t>, t</w:t>
            </w:r>
            <w:r w:rsidRPr="00F346CE" w:rsidR="00F346CE">
              <w:rPr>
                <w:color w:val="000000"/>
              </w:rPr>
              <w:t xml:space="preserve">he disallowances </w:t>
            </w:r>
            <w:r>
              <w:rPr>
                <w:color w:val="000000"/>
              </w:rPr>
              <w:t xml:space="preserve">applied to EDF’s </w:t>
            </w:r>
            <w:r w:rsidRPr="00F346CE" w:rsidR="00F346CE">
              <w:rPr>
                <w:color w:val="000000"/>
              </w:rPr>
              <w:t xml:space="preserve">claim </w:t>
            </w:r>
            <w:proofErr w:type="gramStart"/>
            <w:r>
              <w:rPr>
                <w:color w:val="000000"/>
              </w:rPr>
              <w:t>is</w:t>
            </w:r>
            <w:proofErr w:type="gramEnd"/>
            <w:r w:rsidRPr="00F346CE" w:rsidR="00F346CE">
              <w:rPr>
                <w:color w:val="000000"/>
              </w:rPr>
              <w:t xml:space="preserve"> reasonabl</w:t>
            </w:r>
            <w:r w:rsidR="00453857">
              <w:rPr>
                <w:color w:val="000000"/>
              </w:rPr>
              <w:t>e</w:t>
            </w:r>
            <w:r>
              <w:rPr>
                <w:color w:val="000000"/>
              </w:rPr>
              <w:t xml:space="preserve">.  Accordingly, </w:t>
            </w:r>
            <w:r w:rsidR="002A3A17">
              <w:rPr>
                <w:color w:val="000000"/>
              </w:rPr>
              <w:t xml:space="preserve">no changes </w:t>
            </w:r>
            <w:r>
              <w:rPr>
                <w:color w:val="000000"/>
              </w:rPr>
              <w:t xml:space="preserve">are made </w:t>
            </w:r>
            <w:r w:rsidR="002A3A17">
              <w:rPr>
                <w:color w:val="000000"/>
              </w:rPr>
              <w:t>to the 10%</w:t>
            </w:r>
            <w:r w:rsidR="001D2609">
              <w:rPr>
                <w:color w:val="000000"/>
              </w:rPr>
              <w:t xml:space="preserve"> reduction.</w:t>
            </w:r>
          </w:p>
        </w:tc>
      </w:tr>
    </w:tbl>
    <w:p w:rsidR="00EE1889" w:rsidP="00EE1889" w:rsidRDefault="00EE1889" w14:paraId="4E677F27" w14:textId="77777777">
      <w:pPr>
        <w:rPr>
          <w:bCs/>
          <w:color w:val="000000"/>
        </w:rPr>
      </w:pPr>
    </w:p>
    <w:p w:rsidRPr="007F620E" w:rsidR="00A92D0B" w:rsidP="00757805" w:rsidRDefault="00A92D0B" w14:paraId="186E115A" w14:textId="21BEC61B">
      <w:pPr>
        <w:keepNext/>
        <w:spacing w:before="480" w:after="240"/>
        <w:jc w:val="center"/>
        <w:rPr>
          <w:b/>
          <w:color w:val="000000"/>
          <w:u w:val="single"/>
        </w:rPr>
      </w:pPr>
      <w:r w:rsidRPr="007F620E">
        <w:rPr>
          <w:b/>
          <w:color w:val="000000"/>
          <w:u w:val="single"/>
        </w:rPr>
        <w:t>FINDINGS OF FACT</w:t>
      </w:r>
    </w:p>
    <w:p w:rsidRPr="000A556C" w:rsidR="00A92D0B" w:rsidP="007F237B" w:rsidRDefault="00A743F7" w14:paraId="7772A9DC" w14:textId="46772EAD">
      <w:pPr>
        <w:pStyle w:val="ListParagraph"/>
        <w:numPr>
          <w:ilvl w:val="0"/>
          <w:numId w:val="15"/>
        </w:numPr>
        <w:spacing w:after="120"/>
        <w:ind w:left="540" w:hanging="540"/>
        <w:rPr>
          <w:rFonts w:ascii="Times New Roman" w:hAnsi="Times New Roman"/>
          <w:sz w:val="24"/>
          <w:szCs w:val="24"/>
        </w:rPr>
      </w:pPr>
      <w:r w:rsidRPr="000A556C">
        <w:rPr>
          <w:rFonts w:ascii="Times New Roman" w:hAnsi="Times New Roman"/>
          <w:sz w:val="24"/>
          <w:szCs w:val="24"/>
        </w:rPr>
        <w:t xml:space="preserve">Environmental Defense Fund </w:t>
      </w:r>
      <w:r w:rsidRPr="000A556C" w:rsidR="00A92D0B">
        <w:rPr>
          <w:rFonts w:ascii="Times New Roman" w:hAnsi="Times New Roman"/>
          <w:sz w:val="24"/>
          <w:szCs w:val="24"/>
        </w:rPr>
        <w:t>has made a substantia</w:t>
      </w:r>
      <w:r w:rsidRPr="000A556C" w:rsidR="00DE3A5D">
        <w:rPr>
          <w:rFonts w:ascii="Times New Roman" w:hAnsi="Times New Roman"/>
          <w:sz w:val="24"/>
          <w:szCs w:val="24"/>
        </w:rPr>
        <w:t>l contribution to D.</w:t>
      </w:r>
      <w:r w:rsidRPr="000A556C">
        <w:rPr>
          <w:rFonts w:ascii="Times New Roman" w:hAnsi="Times New Roman"/>
          <w:sz w:val="24"/>
          <w:szCs w:val="24"/>
        </w:rPr>
        <w:t>23-11-006.</w:t>
      </w:r>
    </w:p>
    <w:p w:rsidRPr="000A556C" w:rsidR="00A92D0B" w:rsidP="007F237B" w:rsidRDefault="00A92D0B" w14:paraId="04EB50FD" w14:textId="42448D68">
      <w:pPr>
        <w:pStyle w:val="ListParagraph"/>
        <w:numPr>
          <w:ilvl w:val="0"/>
          <w:numId w:val="15"/>
        </w:numPr>
        <w:spacing w:after="120"/>
        <w:ind w:left="540" w:hanging="540"/>
        <w:rPr>
          <w:rFonts w:ascii="Times New Roman" w:hAnsi="Times New Roman"/>
          <w:sz w:val="24"/>
          <w:szCs w:val="24"/>
        </w:rPr>
      </w:pPr>
      <w:r w:rsidRPr="000A556C">
        <w:rPr>
          <w:rFonts w:ascii="Times New Roman" w:hAnsi="Times New Roman"/>
          <w:sz w:val="24"/>
          <w:szCs w:val="24"/>
        </w:rPr>
        <w:lastRenderedPageBreak/>
        <w:t xml:space="preserve">The </w:t>
      </w:r>
      <w:proofErr w:type="gramStart"/>
      <w:r w:rsidRPr="000A556C">
        <w:rPr>
          <w:rFonts w:ascii="Times New Roman" w:hAnsi="Times New Roman"/>
          <w:sz w:val="24"/>
          <w:szCs w:val="24"/>
        </w:rPr>
        <w:t>requested hourly rates</w:t>
      </w:r>
      <w:proofErr w:type="gramEnd"/>
      <w:r w:rsidRPr="000A556C">
        <w:rPr>
          <w:rFonts w:ascii="Times New Roman" w:hAnsi="Times New Roman"/>
          <w:sz w:val="24"/>
          <w:szCs w:val="24"/>
        </w:rPr>
        <w:t xml:space="preserve"> for</w:t>
      </w:r>
      <w:r w:rsidRPr="000A556C" w:rsidR="00A743F7">
        <w:rPr>
          <w:rFonts w:ascii="Times New Roman" w:hAnsi="Times New Roman"/>
          <w:sz w:val="24"/>
          <w:szCs w:val="24"/>
        </w:rPr>
        <w:t xml:space="preserve"> Environmental Defense Fund</w:t>
      </w:r>
      <w:r w:rsidRPr="000A556C" w:rsidR="0060154E">
        <w:rPr>
          <w:rFonts w:ascii="Times New Roman" w:hAnsi="Times New Roman"/>
          <w:sz w:val="24"/>
          <w:szCs w:val="24"/>
        </w:rPr>
        <w:t>’s</w:t>
      </w:r>
      <w:r w:rsidRPr="000A556C" w:rsidR="005A63D4">
        <w:rPr>
          <w:rFonts w:ascii="Times New Roman" w:hAnsi="Times New Roman"/>
          <w:sz w:val="24"/>
          <w:szCs w:val="24"/>
        </w:rPr>
        <w:t xml:space="preserve"> </w:t>
      </w:r>
      <w:r w:rsidRPr="000A556C">
        <w:rPr>
          <w:rFonts w:ascii="Times New Roman" w:hAnsi="Times New Roman"/>
          <w:sz w:val="24"/>
          <w:szCs w:val="24"/>
        </w:rPr>
        <w:t>representatives,</w:t>
      </w:r>
      <w:r w:rsidRPr="000A556C" w:rsidR="003B5EAC">
        <w:rPr>
          <w:rFonts w:ascii="Times New Roman" w:hAnsi="Times New Roman"/>
          <w:sz w:val="24"/>
          <w:szCs w:val="24"/>
        </w:rPr>
        <w:t xml:space="preserve"> </w:t>
      </w:r>
      <w:r w:rsidRPr="000A556C">
        <w:rPr>
          <w:rFonts w:ascii="Times New Roman" w:hAnsi="Times New Roman"/>
          <w:sz w:val="24"/>
          <w:szCs w:val="24"/>
        </w:rPr>
        <w:t xml:space="preserve">as adjusted herein, are comparable to market rates paid to experts and </w:t>
      </w:r>
      <w:proofErr w:type="gramStart"/>
      <w:r w:rsidRPr="000A556C">
        <w:rPr>
          <w:rFonts w:ascii="Times New Roman" w:hAnsi="Times New Roman"/>
          <w:sz w:val="24"/>
          <w:szCs w:val="24"/>
        </w:rPr>
        <w:t>advocates</w:t>
      </w:r>
      <w:proofErr w:type="gramEnd"/>
      <w:r w:rsidRPr="000A556C">
        <w:rPr>
          <w:rFonts w:ascii="Times New Roman" w:hAnsi="Times New Roman"/>
          <w:sz w:val="24"/>
          <w:szCs w:val="24"/>
        </w:rPr>
        <w:t xml:space="preserve"> having comparable training and experience and offering similar services.</w:t>
      </w:r>
    </w:p>
    <w:p w:rsidRPr="000A556C" w:rsidR="00A92D0B" w:rsidP="007F237B" w:rsidRDefault="00A92D0B" w14:paraId="528EBB52" w14:textId="3E3FA211">
      <w:pPr>
        <w:pStyle w:val="ListParagraph"/>
        <w:numPr>
          <w:ilvl w:val="0"/>
          <w:numId w:val="15"/>
        </w:numPr>
        <w:spacing w:after="120"/>
        <w:ind w:left="540" w:hanging="540"/>
        <w:rPr>
          <w:rFonts w:ascii="Times New Roman" w:hAnsi="Times New Roman"/>
          <w:sz w:val="24"/>
          <w:szCs w:val="24"/>
        </w:rPr>
      </w:pPr>
      <w:r w:rsidRPr="000A556C">
        <w:rPr>
          <w:rFonts w:ascii="Times New Roman" w:hAnsi="Times New Roman"/>
          <w:sz w:val="24"/>
          <w:szCs w:val="24"/>
        </w:rPr>
        <w:t>The claimed costs and expenses,</w:t>
      </w:r>
      <w:r w:rsidRPr="000A556C" w:rsidR="003B5EAC">
        <w:rPr>
          <w:rFonts w:ascii="Times New Roman" w:hAnsi="Times New Roman"/>
          <w:sz w:val="24"/>
          <w:szCs w:val="24"/>
        </w:rPr>
        <w:t xml:space="preserve"> </w:t>
      </w:r>
      <w:r w:rsidRPr="000A556C">
        <w:rPr>
          <w:rFonts w:ascii="Times New Roman" w:hAnsi="Times New Roman"/>
          <w:sz w:val="24"/>
          <w:szCs w:val="24"/>
        </w:rPr>
        <w:t xml:space="preserve">as adjusted herein, are reasonable and commensurate with the work performed. </w:t>
      </w:r>
    </w:p>
    <w:p w:rsidRPr="000A556C" w:rsidR="00A92D0B" w:rsidP="007F237B" w:rsidRDefault="00A92D0B" w14:paraId="48B52895" w14:textId="59B94638">
      <w:pPr>
        <w:pStyle w:val="ListParagraph"/>
        <w:numPr>
          <w:ilvl w:val="0"/>
          <w:numId w:val="15"/>
        </w:numPr>
        <w:spacing w:after="120"/>
        <w:ind w:left="540" w:hanging="540"/>
        <w:rPr>
          <w:rFonts w:ascii="Times New Roman" w:hAnsi="Times New Roman"/>
          <w:sz w:val="24"/>
          <w:szCs w:val="24"/>
        </w:rPr>
      </w:pPr>
      <w:r w:rsidRPr="000A556C">
        <w:rPr>
          <w:rFonts w:ascii="Times New Roman" w:hAnsi="Times New Roman"/>
          <w:sz w:val="24"/>
          <w:szCs w:val="24"/>
        </w:rPr>
        <w:t xml:space="preserve">The total reasonable </w:t>
      </w:r>
      <w:r w:rsidRPr="000A556C" w:rsidR="003C608A">
        <w:rPr>
          <w:rFonts w:ascii="Times New Roman" w:hAnsi="Times New Roman"/>
          <w:sz w:val="24"/>
          <w:szCs w:val="24"/>
        </w:rPr>
        <w:t xml:space="preserve">compensation </w:t>
      </w:r>
      <w:r w:rsidRPr="000A556C">
        <w:rPr>
          <w:rFonts w:ascii="Times New Roman" w:hAnsi="Times New Roman"/>
          <w:sz w:val="24"/>
          <w:szCs w:val="24"/>
        </w:rPr>
        <w:t>is $</w:t>
      </w:r>
      <w:r w:rsidRPr="000A556C" w:rsidR="00E50EE0">
        <w:rPr>
          <w:rFonts w:ascii="Times New Roman" w:hAnsi="Times New Roman"/>
          <w:sz w:val="24"/>
          <w:szCs w:val="24"/>
        </w:rPr>
        <w:t>74,006.30</w:t>
      </w:r>
      <w:r w:rsidRPr="000A556C">
        <w:rPr>
          <w:rFonts w:ascii="Times New Roman" w:hAnsi="Times New Roman"/>
          <w:sz w:val="24"/>
          <w:szCs w:val="24"/>
        </w:rPr>
        <w:t>.</w:t>
      </w:r>
    </w:p>
    <w:p w:rsidRPr="007F620E" w:rsidR="00A92D0B" w:rsidP="00CE057B" w:rsidRDefault="00A92D0B" w14:paraId="5C773C3F" w14:textId="77777777">
      <w:pPr>
        <w:keepNext/>
        <w:spacing w:before="480" w:after="240"/>
        <w:jc w:val="center"/>
        <w:rPr>
          <w:b/>
          <w:color w:val="000000"/>
          <w:u w:val="single"/>
        </w:rPr>
      </w:pPr>
      <w:r w:rsidRPr="007F620E">
        <w:rPr>
          <w:b/>
          <w:color w:val="000000"/>
          <w:u w:val="single"/>
        </w:rPr>
        <w:t>CONCLUSION OF LAW</w:t>
      </w:r>
    </w:p>
    <w:p w:rsidRPr="00597602" w:rsidR="00A92D0B" w:rsidP="000536A9" w:rsidRDefault="00A92D0B" w14:paraId="654F2C27" w14:textId="4CA2CF89">
      <w:pPr>
        <w:pStyle w:val="ListParagraph"/>
        <w:numPr>
          <w:ilvl w:val="0"/>
          <w:numId w:val="16"/>
        </w:numPr>
        <w:spacing w:before="240"/>
        <w:ind w:left="360"/>
        <w:rPr>
          <w:rFonts w:ascii="Times New Roman" w:hAnsi="Times New Roman"/>
          <w:color w:val="000000"/>
          <w:sz w:val="24"/>
          <w:szCs w:val="24"/>
        </w:rPr>
      </w:pPr>
      <w:r w:rsidRPr="00597602">
        <w:rPr>
          <w:rFonts w:ascii="Times New Roman" w:hAnsi="Times New Roman"/>
          <w:sz w:val="24"/>
          <w:szCs w:val="24"/>
        </w:rPr>
        <w:t>The</w:t>
      </w:r>
      <w:r w:rsidRPr="00597602">
        <w:rPr>
          <w:rFonts w:ascii="Times New Roman" w:hAnsi="Times New Roman"/>
          <w:color w:val="000000"/>
          <w:sz w:val="24"/>
          <w:szCs w:val="24"/>
        </w:rPr>
        <w:t xml:space="preserve"> Claim, with any adjustment set forth above, satisfies</w:t>
      </w:r>
      <w:r w:rsidRPr="00597602" w:rsidR="00DE3A5D">
        <w:rPr>
          <w:rFonts w:ascii="Times New Roman" w:hAnsi="Times New Roman"/>
          <w:color w:val="000000"/>
          <w:sz w:val="24"/>
          <w:szCs w:val="24"/>
        </w:rPr>
        <w:t xml:space="preserve"> all requirements of Pub. Util.</w:t>
      </w:r>
      <w:r w:rsidRPr="00597602">
        <w:rPr>
          <w:rFonts w:ascii="Times New Roman" w:hAnsi="Times New Roman"/>
          <w:color w:val="000000"/>
          <w:sz w:val="24"/>
          <w:szCs w:val="24"/>
        </w:rPr>
        <w:t xml:space="preserve"> Code §§ 1801-1812.</w:t>
      </w:r>
    </w:p>
    <w:p w:rsidRPr="007F620E" w:rsidR="00A92D0B" w:rsidP="00CE057B" w:rsidRDefault="00A92D0B" w14:paraId="0E2503A5" w14:textId="77777777">
      <w:pPr>
        <w:keepNext/>
        <w:spacing w:before="480" w:after="240"/>
        <w:jc w:val="center"/>
        <w:rPr>
          <w:b/>
          <w:color w:val="000000"/>
          <w:u w:val="single"/>
        </w:rPr>
      </w:pPr>
      <w:r w:rsidRPr="007F620E">
        <w:rPr>
          <w:b/>
          <w:color w:val="000000"/>
          <w:u w:val="single"/>
        </w:rPr>
        <w:t>ORDER</w:t>
      </w:r>
    </w:p>
    <w:p w:rsidRPr="007F620E" w:rsidR="00A92D0B" w:rsidP="00CE1A83" w:rsidRDefault="0060154E" w14:paraId="33FB4E15" w14:textId="6EEBB2CB">
      <w:pPr>
        <w:keepNext/>
        <w:numPr>
          <w:ilvl w:val="0"/>
          <w:numId w:val="4"/>
        </w:numPr>
        <w:tabs>
          <w:tab w:val="clear" w:pos="900"/>
        </w:tabs>
        <w:ind w:left="540" w:hanging="540"/>
        <w:rPr>
          <w:color w:val="000000"/>
        </w:rPr>
      </w:pPr>
      <w:r w:rsidRPr="0060154E">
        <w:t>Environmental Defense Fund</w:t>
      </w:r>
      <w:r w:rsidRPr="00FE3BAE" w:rsidR="00FE3BAE">
        <w:t xml:space="preserve"> </w:t>
      </w:r>
      <w:r w:rsidR="00831652">
        <w:t>is</w:t>
      </w:r>
      <w:r w:rsidRPr="00FE3BAE" w:rsidR="00FE3BAE">
        <w:t xml:space="preserve"> </w:t>
      </w:r>
      <w:r w:rsidRPr="00FE3BAE" w:rsidR="00A92D0B">
        <w:rPr>
          <w:color w:val="000000"/>
        </w:rPr>
        <w:t xml:space="preserve">awarded </w:t>
      </w:r>
      <w:r w:rsidRPr="007F620E" w:rsidR="00A92D0B">
        <w:rPr>
          <w:color w:val="000000"/>
        </w:rPr>
        <w:t>$</w:t>
      </w:r>
      <w:r w:rsidR="00E50EE0">
        <w:rPr>
          <w:color w:val="000000"/>
        </w:rPr>
        <w:t>74,006.30</w:t>
      </w:r>
      <w:r w:rsidRPr="007F620E" w:rsidR="00A92D0B">
        <w:rPr>
          <w:color w:val="000000"/>
        </w:rPr>
        <w:t>.</w:t>
      </w:r>
    </w:p>
    <w:p w:rsidR="00A92D0B" w:rsidP="00CE1A83" w:rsidRDefault="00A92D0B" w14:paraId="4AEF5671" w14:textId="5C286B8D">
      <w:pPr>
        <w:numPr>
          <w:ilvl w:val="0"/>
          <w:numId w:val="4"/>
        </w:numPr>
        <w:tabs>
          <w:tab w:val="clear" w:pos="900"/>
        </w:tabs>
        <w:spacing w:before="240"/>
        <w:ind w:left="540" w:hanging="540"/>
      </w:pPr>
      <w:r w:rsidRPr="007F620E">
        <w:t>Within 30 days of the effective date of this decision,</w:t>
      </w:r>
      <w:r w:rsidR="0060154E">
        <w:t xml:space="preserve"> San Diego Gas &amp; Electric Company</w:t>
      </w:r>
      <w:r w:rsidRPr="007F620E">
        <w:t xml:space="preserve"> shall pay</w:t>
      </w:r>
      <w:r w:rsidR="0060154E">
        <w:t xml:space="preserve"> Environmental Defense Fund</w:t>
      </w:r>
      <w:r w:rsidRPr="0022302F" w:rsidR="00FE3BAE">
        <w:t xml:space="preserve"> </w:t>
      </w:r>
      <w:r w:rsidRPr="0022302F">
        <w:t xml:space="preserve">the </w:t>
      </w:r>
      <w:r w:rsidRPr="007F620E">
        <w:t xml:space="preserve">total award. Payment of the award </w:t>
      </w:r>
      <w:r w:rsidRPr="00831652">
        <w:t>shall</w:t>
      </w:r>
      <w:r w:rsidRPr="007F620E">
        <w:t xml:space="preserve"> include</w:t>
      </w:r>
      <w:r w:rsidRPr="007F620E" w:rsidR="004E3939">
        <w:t xml:space="preserve"> compound </w:t>
      </w:r>
      <w:r w:rsidRPr="007F620E">
        <w:t xml:space="preserve">interest at the rate earned on prime, three-month </w:t>
      </w:r>
      <w:r w:rsidRPr="007F620E" w:rsidR="00214B22">
        <w:t xml:space="preserve">non-financial </w:t>
      </w:r>
      <w:r w:rsidRPr="007F620E">
        <w:t>commercial paper as reported in Federal Reserve Statistical Release H.15, beginning</w:t>
      </w:r>
      <w:r w:rsidRPr="007F620E" w:rsidR="00357F1A">
        <w:t xml:space="preserve"> </w:t>
      </w:r>
      <w:r w:rsidR="005E7D92">
        <w:t>March 13, 2024</w:t>
      </w:r>
      <w:r w:rsidRPr="007F620E" w:rsidR="00357F1A">
        <w:t xml:space="preserve">, </w:t>
      </w:r>
      <w:r w:rsidRPr="007F620E">
        <w:t>the 75</w:t>
      </w:r>
      <w:r w:rsidRPr="007F620E">
        <w:rPr>
          <w:vertAlign w:val="superscript"/>
        </w:rPr>
        <w:t>th</w:t>
      </w:r>
      <w:r w:rsidRPr="007F620E">
        <w:t xml:space="preserve"> day after the filing of</w:t>
      </w:r>
      <w:r w:rsidR="0060154E">
        <w:t xml:space="preserve"> Environmental Defense Fund’s</w:t>
      </w:r>
      <w:r w:rsidRPr="003B6A1B" w:rsidR="00FE3BAE">
        <w:rPr>
          <w:b/>
        </w:rPr>
        <w:t xml:space="preserve"> </w:t>
      </w:r>
      <w:r w:rsidRPr="007F620E">
        <w:t>request, and continuing until full payment is made.</w:t>
      </w:r>
    </w:p>
    <w:p w:rsidRPr="007F620E" w:rsidR="00A92D0B" w:rsidP="00CE1A83" w:rsidRDefault="00A92D0B" w14:paraId="5AD40C95" w14:textId="39BCB601">
      <w:pPr>
        <w:keepNext/>
        <w:keepLines/>
        <w:numPr>
          <w:ilvl w:val="0"/>
          <w:numId w:val="4"/>
        </w:numPr>
        <w:tabs>
          <w:tab w:val="clear" w:pos="900"/>
        </w:tabs>
        <w:spacing w:before="240"/>
        <w:ind w:left="540" w:hanging="540"/>
      </w:pPr>
      <w:r w:rsidRPr="007F620E">
        <w:t>The comment period for today’s decision is waived.</w:t>
      </w:r>
    </w:p>
    <w:p w:rsidRPr="007F620E" w:rsidR="00A92D0B" w:rsidP="00CE1A83" w:rsidRDefault="00A92D0B" w14:paraId="13F3A0AD" w14:textId="77777777">
      <w:pPr>
        <w:keepNext/>
        <w:keepLines/>
        <w:spacing w:before="240"/>
        <w:ind w:firstLine="540"/>
        <w:rPr>
          <w:color w:val="000000"/>
        </w:rPr>
      </w:pPr>
      <w:r w:rsidRPr="007F620E">
        <w:rPr>
          <w:color w:val="000000"/>
        </w:rPr>
        <w:t>This decision is effective today.</w:t>
      </w:r>
    </w:p>
    <w:p w:rsidR="006A2D46" w:rsidP="006A2D46" w:rsidRDefault="00A92D0B" w14:paraId="7680C954" w14:textId="72F9C93D">
      <w:pPr>
        <w:keepNext/>
        <w:keepLines/>
        <w:spacing w:before="240"/>
        <w:ind w:left="547"/>
        <w:rPr>
          <w:color w:val="000000"/>
        </w:rPr>
      </w:pPr>
      <w:r w:rsidRPr="007F620E">
        <w:rPr>
          <w:color w:val="000000"/>
        </w:rPr>
        <w:t xml:space="preserve">Dated </w:t>
      </w:r>
      <w:r w:rsidR="003362E1">
        <w:rPr>
          <w:color w:val="000000"/>
        </w:rPr>
        <w:t>November 20</w:t>
      </w:r>
      <w:r w:rsidRPr="007F620E">
        <w:rPr>
          <w:color w:val="000000"/>
        </w:rPr>
        <w:t>,</w:t>
      </w:r>
      <w:r w:rsidR="003362E1">
        <w:rPr>
          <w:color w:val="000000"/>
        </w:rPr>
        <w:t xml:space="preserve"> </w:t>
      </w:r>
      <w:r w:rsidR="00CE2AE6">
        <w:rPr>
          <w:color w:val="000000"/>
        </w:rPr>
        <w:t>2025,</w:t>
      </w:r>
      <w:r w:rsidRPr="007F620E">
        <w:rPr>
          <w:color w:val="000000"/>
        </w:rPr>
        <w:t xml:space="preserve"> at </w:t>
      </w:r>
      <w:r w:rsidR="0039515B">
        <w:rPr>
          <w:color w:val="000000"/>
        </w:rPr>
        <w:t>San Francisco</w:t>
      </w:r>
      <w:r w:rsidRPr="007F620E">
        <w:rPr>
          <w:color w:val="000000"/>
        </w:rPr>
        <w:t>, California.</w:t>
      </w:r>
    </w:p>
    <w:p w:rsidR="00CE2AE6" w:rsidP="006A2D46" w:rsidRDefault="00CE2AE6" w14:paraId="7D320A25" w14:textId="77777777">
      <w:pPr>
        <w:keepNext/>
        <w:keepLines/>
        <w:spacing w:before="240"/>
        <w:ind w:left="547"/>
        <w:rPr>
          <w:color w:val="000000"/>
        </w:rPr>
      </w:pPr>
    </w:p>
    <w:p w:rsidRPr="005B55A7" w:rsidR="00CE2AE6" w:rsidP="005B55A7" w:rsidRDefault="00CE2AE6" w14:paraId="1466DDA8" w14:textId="77777777">
      <w:pPr>
        <w:keepNext/>
        <w:keepLines/>
        <w:autoSpaceDE w:val="0"/>
        <w:autoSpaceDN w:val="0"/>
        <w:adjustRightInd w:val="0"/>
        <w:ind w:left="5040"/>
        <w:jc w:val="both"/>
      </w:pPr>
      <w:r w:rsidRPr="005B55A7">
        <w:t>ALICE REYNOLDS</w:t>
      </w:r>
    </w:p>
    <w:p w:rsidRPr="005B55A7" w:rsidR="00CE2AE6" w:rsidP="005B55A7" w:rsidRDefault="00CE2AE6" w14:paraId="4952436F" w14:textId="77777777">
      <w:pPr>
        <w:keepNext/>
        <w:keepLines/>
        <w:autoSpaceDE w:val="0"/>
        <w:autoSpaceDN w:val="0"/>
        <w:adjustRightInd w:val="0"/>
        <w:ind w:left="720" w:firstLine="720"/>
        <w:jc w:val="both"/>
      </w:pPr>
      <w:r w:rsidRPr="005B55A7">
        <w:tab/>
      </w:r>
      <w:r w:rsidRPr="005B55A7">
        <w:tab/>
      </w:r>
      <w:r w:rsidRPr="005B55A7">
        <w:tab/>
      </w:r>
      <w:r w:rsidRPr="005B55A7">
        <w:tab/>
      </w:r>
      <w:r w:rsidRPr="005B55A7">
        <w:tab/>
        <w:t xml:space="preserve">                       President</w:t>
      </w:r>
    </w:p>
    <w:p w:rsidRPr="005B55A7" w:rsidR="00CE2AE6" w:rsidP="005B55A7" w:rsidRDefault="00CE2AE6" w14:paraId="73F1C526" w14:textId="77777777">
      <w:pPr>
        <w:autoSpaceDE w:val="0"/>
        <w:autoSpaceDN w:val="0"/>
        <w:adjustRightInd w:val="0"/>
        <w:ind w:left="4320" w:firstLine="720"/>
        <w:jc w:val="both"/>
      </w:pPr>
      <w:r w:rsidRPr="005B55A7">
        <w:t>DARCIE L. HOUCK</w:t>
      </w:r>
    </w:p>
    <w:p w:rsidRPr="005B55A7" w:rsidR="00CE2AE6" w:rsidP="005B55A7" w:rsidRDefault="00CE2AE6" w14:paraId="1D253C1E" w14:textId="77777777">
      <w:pPr>
        <w:autoSpaceDE w:val="0"/>
        <w:autoSpaceDN w:val="0"/>
        <w:adjustRightInd w:val="0"/>
        <w:ind w:left="4320" w:firstLine="720"/>
        <w:jc w:val="both"/>
      </w:pPr>
      <w:r w:rsidRPr="005B55A7">
        <w:t>JOHN REYNOLDS</w:t>
      </w:r>
    </w:p>
    <w:p w:rsidRPr="005B55A7" w:rsidR="00CE2AE6" w:rsidP="005B55A7" w:rsidRDefault="00CE2AE6" w14:paraId="3880015F" w14:textId="77777777">
      <w:pPr>
        <w:autoSpaceDE w:val="0"/>
        <w:autoSpaceDN w:val="0"/>
        <w:adjustRightInd w:val="0"/>
        <w:ind w:left="4320" w:firstLine="720"/>
        <w:jc w:val="both"/>
        <w:rPr>
          <w:color w:val="000000"/>
        </w:rPr>
      </w:pPr>
      <w:r w:rsidRPr="005B55A7">
        <w:rPr>
          <w:color w:val="000000"/>
        </w:rPr>
        <w:t>KAREN DOUGLAS</w:t>
      </w:r>
    </w:p>
    <w:p w:rsidRPr="005B55A7" w:rsidR="00CE2AE6" w:rsidP="005B55A7" w:rsidRDefault="00CE2AE6" w14:paraId="21C17560" w14:textId="77777777">
      <w:pPr>
        <w:keepNext/>
        <w:keepLines/>
        <w:autoSpaceDE w:val="0"/>
        <w:autoSpaceDN w:val="0"/>
        <w:adjustRightInd w:val="0"/>
        <w:ind w:left="5040" w:firstLine="720"/>
        <w:jc w:val="both"/>
      </w:pPr>
      <w:r w:rsidRPr="005B55A7">
        <w:t xml:space="preserve">            Commissioners</w:t>
      </w:r>
    </w:p>
    <w:p w:rsidRPr="005B55A7" w:rsidR="00CE2AE6" w:rsidP="005B55A7" w:rsidRDefault="00CE2AE6" w14:paraId="15C0B1E1" w14:textId="77777777">
      <w:pPr>
        <w:pStyle w:val="standard"/>
        <w:keepNext/>
        <w:keepLines/>
        <w:ind w:left="720"/>
        <w:rPr>
          <w:rFonts w:ascii="Times New Roman" w:hAnsi="Times New Roman"/>
          <w:sz w:val="24"/>
          <w:szCs w:val="24"/>
        </w:rPr>
      </w:pPr>
    </w:p>
    <w:p w:rsidRPr="005B55A7" w:rsidR="00CE2AE6" w:rsidP="005B55A7" w:rsidRDefault="00CE2AE6" w14:paraId="21CB6ED0" w14:textId="5A5861DE">
      <w:pPr>
        <w:keepNext/>
        <w:keepLines/>
        <w:autoSpaceDE w:val="0"/>
        <w:autoSpaceDN w:val="0"/>
        <w:adjustRightInd w:val="0"/>
        <w:ind w:left="5100"/>
      </w:pPr>
      <w:r w:rsidRPr="005B55A7">
        <w:t>Commissioner Matthew Baker recused himself from this agenda item and was not part of the quorum in its consideration.</w:t>
      </w:r>
    </w:p>
    <w:p w:rsidR="00CE1A83" w:rsidP="006A2D46" w:rsidRDefault="00CE1A83" w14:paraId="537A7359" w14:textId="77777777">
      <w:pPr>
        <w:keepNext/>
        <w:keepLines/>
        <w:spacing w:before="240"/>
        <w:ind w:left="547"/>
        <w:rPr>
          <w:color w:val="000000"/>
        </w:rPr>
      </w:pPr>
    </w:p>
    <w:p w:rsidR="00CE1A83" w:rsidP="006A2D46" w:rsidRDefault="00CE1A83" w14:paraId="05C368DE" w14:textId="6F10C2E6">
      <w:pPr>
        <w:keepNext/>
        <w:keepLines/>
        <w:spacing w:before="240"/>
        <w:ind w:left="547"/>
        <w:rPr>
          <w:color w:val="000000"/>
        </w:rPr>
        <w:sectPr w:rsidR="00CE1A83" w:rsidSect="00D37BC7">
          <w:headerReference w:type="default" r:id="rId8"/>
          <w:footerReference w:type="default" r:id="rId9"/>
          <w:footerReference w:type="first" r:id="rId10"/>
          <w:pgSz w:w="12240" w:h="15840"/>
          <w:pgMar w:top="1728"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3362E1" w14:paraId="16C5D6B1" w14:textId="0125B1D7">
            <w:r w:rsidRPr="003362E1">
              <w:t>D2511021</w:t>
            </w:r>
          </w:p>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AD1155" w14:paraId="6846FB87" w14:textId="16AC39C3">
            <w:pPr>
              <w:jc w:val="center"/>
            </w:pPr>
            <w:r>
              <w:t>No</w:t>
            </w:r>
          </w:p>
        </w:tc>
      </w:tr>
      <w:tr w:rsidRPr="00B803D5" w:rsidR="00FE3BAE" w:rsidTr="006D3C2A"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87D8D" w14:paraId="426F2C45" w14:textId="33D9F13F">
            <w:r>
              <w:t>D2311006</w:t>
            </w:r>
          </w:p>
        </w:tc>
      </w:tr>
      <w:tr w:rsidRPr="00B803D5" w:rsidR="00FE3BAE" w:rsidTr="006D3C2A"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87D8D" w14:paraId="5B85688D" w14:textId="4916DB46">
            <w:r>
              <w:t xml:space="preserve">A2112006 and A2112008 </w:t>
            </w:r>
          </w:p>
        </w:tc>
      </w:tr>
      <w:tr w:rsidRPr="00B803D5" w:rsidR="00FE3BAE" w:rsidTr="006D3C2A"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EB5F10" w14:paraId="5E75C0F0" w14:textId="6E9D70C2">
            <w:r>
              <w:t xml:space="preserve">ALJ </w:t>
            </w:r>
            <w:r w:rsidR="0060154E">
              <w:t>Ste</w:t>
            </w:r>
            <w:r w:rsidR="00BC6B18">
              <w:t xml:space="preserve">phanie </w:t>
            </w:r>
            <w:r>
              <w:t>Wang</w:t>
            </w:r>
          </w:p>
        </w:tc>
      </w:tr>
      <w:tr w:rsidRPr="00B803D5" w:rsidR="00FE3BAE" w:rsidTr="006D3C2A"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EB5F10" w14:paraId="7CA711B6" w14:textId="1A99BD26">
            <w:r>
              <w:t>San Diego Gas &amp; Electric Company</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848"/>
        <w:gridCol w:w="1383"/>
        <w:gridCol w:w="1356"/>
        <w:gridCol w:w="1438"/>
        <w:gridCol w:w="1390"/>
        <w:gridCol w:w="3025"/>
      </w:tblGrid>
      <w:tr w:rsidRPr="00B803D5" w:rsidR="00FE3BAE" w:rsidTr="001C2693" w14:paraId="6CDB318E" w14:textId="77777777">
        <w:trPr>
          <w:jc w:val="center"/>
        </w:trPr>
        <w:tc>
          <w:tcPr>
            <w:tcW w:w="2066"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60"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2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88"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236"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367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1C2693" w14:paraId="080524E3" w14:textId="77777777">
        <w:trPr>
          <w:trHeight w:val="872"/>
          <w:jc w:val="center"/>
        </w:trPr>
        <w:tc>
          <w:tcPr>
            <w:tcW w:w="2066" w:type="dxa"/>
            <w:tcBorders>
              <w:top w:val="single" w:color="auto" w:sz="4" w:space="0"/>
              <w:left w:val="single" w:color="auto" w:sz="4" w:space="0"/>
              <w:bottom w:val="single" w:color="auto" w:sz="4" w:space="0"/>
              <w:right w:val="single" w:color="auto" w:sz="4" w:space="0"/>
            </w:tcBorders>
            <w:hideMark/>
          </w:tcPr>
          <w:p w:rsidRPr="006D3C2A" w:rsidR="00FE3BAE" w:rsidP="008F6320" w:rsidRDefault="001F4EE9" w14:paraId="3008FB17" w14:textId="327C37AD">
            <w:pPr>
              <w:jc w:val="center"/>
            </w:pPr>
            <w:r w:rsidRPr="006D3C2A">
              <w:t>Environmental Defense Fund</w:t>
            </w:r>
          </w:p>
        </w:tc>
        <w:tc>
          <w:tcPr>
            <w:tcW w:w="146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B25CD8" w14:paraId="63956769" w14:textId="53F16509">
            <w:pPr>
              <w:jc w:val="center"/>
            </w:pPr>
            <w:r>
              <w:t>12/29/2023</w:t>
            </w:r>
          </w:p>
        </w:tc>
        <w:tc>
          <w:tcPr>
            <w:tcW w:w="1420" w:type="dxa"/>
            <w:tcBorders>
              <w:top w:val="single" w:color="auto" w:sz="4" w:space="0"/>
              <w:left w:val="single" w:color="auto" w:sz="4" w:space="0"/>
              <w:bottom w:val="single" w:color="auto" w:sz="4" w:space="0"/>
              <w:right w:val="single" w:color="auto" w:sz="4" w:space="0"/>
            </w:tcBorders>
            <w:hideMark/>
          </w:tcPr>
          <w:p w:rsidRPr="00B25CD8" w:rsidR="00FE3BAE" w:rsidP="00A23C17" w:rsidRDefault="00B25CD8" w14:paraId="75AD20FA" w14:textId="05CDD8E2">
            <w:pPr>
              <w:jc w:val="center"/>
              <w:rPr>
                <w:bCs/>
              </w:rPr>
            </w:pPr>
            <w:r w:rsidRPr="00B25CD8">
              <w:rPr>
                <w:bCs/>
                <w:color w:val="000000"/>
              </w:rPr>
              <w:t>$89,498.25</w:t>
            </w:r>
          </w:p>
        </w:tc>
        <w:tc>
          <w:tcPr>
            <w:tcW w:w="1588" w:type="dxa"/>
            <w:tcBorders>
              <w:top w:val="single" w:color="auto" w:sz="4" w:space="0"/>
              <w:left w:val="single" w:color="auto" w:sz="4" w:space="0"/>
              <w:bottom w:val="single" w:color="auto" w:sz="4" w:space="0"/>
              <w:right w:val="single" w:color="auto" w:sz="4" w:space="0"/>
            </w:tcBorders>
            <w:hideMark/>
          </w:tcPr>
          <w:p w:rsidRPr="00B803D5" w:rsidR="00FE3BAE" w:rsidP="00A23C17" w:rsidRDefault="00AE6502" w14:paraId="0DD6FE00" w14:textId="6403280F">
            <w:pPr>
              <w:jc w:val="center"/>
            </w:pPr>
            <w:r>
              <w:t>$</w:t>
            </w:r>
            <w:r w:rsidR="00E50EE0">
              <w:t>74,006.30</w:t>
            </w:r>
          </w:p>
        </w:tc>
        <w:tc>
          <w:tcPr>
            <w:tcW w:w="236"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E3BAE" w14:paraId="0BDAFE20" w14:textId="77777777">
            <w:pPr>
              <w:jc w:val="center"/>
            </w:pPr>
            <w:r w:rsidRPr="00B803D5">
              <w:t>N/A</w:t>
            </w:r>
          </w:p>
        </w:tc>
        <w:tc>
          <w:tcPr>
            <w:tcW w:w="367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E63D8D" w14:paraId="6B53C6F9" w14:textId="353FD155">
            <w:pPr>
              <w:jc w:val="center"/>
            </w:pPr>
            <w:r w:rsidRPr="00E63D8D">
              <w:rPr>
                <w:i/>
                <w:iCs/>
              </w:rPr>
              <w:t>See</w:t>
            </w:r>
            <w:r w:rsidRPr="00E63D8D">
              <w:t xml:space="preserve"> Part III.D CPUC Comments, Disallowances, and Adjustments above.</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1A0487"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C02649" w:rsidTr="006D3C2A"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6D3C2A" w:rsidR="003B6A1B" w:rsidP="008F335B" w:rsidRDefault="001A0487" w14:paraId="0F0C6D6C" w14:textId="4186D876">
            <w:pPr>
              <w:jc w:val="center"/>
            </w:pPr>
            <w:r w:rsidRPr="006D3C2A">
              <w:t>Megan</w:t>
            </w:r>
          </w:p>
        </w:tc>
        <w:tc>
          <w:tcPr>
            <w:tcW w:w="1725" w:type="dxa"/>
            <w:tcBorders>
              <w:top w:val="single" w:color="auto" w:sz="4" w:space="0"/>
              <w:left w:val="single" w:color="auto" w:sz="4" w:space="0"/>
              <w:bottom w:val="single" w:color="auto" w:sz="4" w:space="0"/>
              <w:right w:val="single" w:color="auto" w:sz="4" w:space="0"/>
            </w:tcBorders>
          </w:tcPr>
          <w:p w:rsidRPr="006D3C2A" w:rsidR="003B6A1B" w:rsidP="008F335B" w:rsidRDefault="001A0487" w14:paraId="6ACE7B68" w14:textId="629E4FF7">
            <w:pPr>
              <w:jc w:val="center"/>
            </w:pPr>
            <w:r w:rsidRPr="006D3C2A">
              <w:t>Myers</w:t>
            </w:r>
          </w:p>
        </w:tc>
        <w:tc>
          <w:tcPr>
            <w:tcW w:w="2088" w:type="dxa"/>
            <w:tcBorders>
              <w:top w:val="single" w:color="auto" w:sz="4" w:space="0"/>
              <w:left w:val="single" w:color="auto" w:sz="4" w:space="0"/>
              <w:bottom w:val="single" w:color="auto" w:sz="4" w:space="0"/>
              <w:right w:val="single" w:color="auto" w:sz="4" w:space="0"/>
            </w:tcBorders>
          </w:tcPr>
          <w:p w:rsidRPr="006D3C2A" w:rsidR="003B6A1B" w:rsidP="008F335B" w:rsidRDefault="001A0487" w14:paraId="0E61474F" w14:textId="0F1E6A10">
            <w:pPr>
              <w:jc w:val="center"/>
            </w:pPr>
            <w:r w:rsidRPr="006D3C2A">
              <w:t>Attorney</w:t>
            </w:r>
            <w:bookmarkStart w:name="_Ref201153860" w:id="0"/>
            <w:r w:rsidR="009647E3">
              <w:rPr>
                <w:rStyle w:val="FootnoteReference"/>
              </w:rPr>
              <w:footnoteReference w:id="11"/>
            </w:r>
            <w:bookmarkEnd w:id="0"/>
          </w:p>
        </w:tc>
        <w:tc>
          <w:tcPr>
            <w:tcW w:w="1748" w:type="dxa"/>
            <w:tcBorders>
              <w:top w:val="single" w:color="auto" w:sz="4" w:space="0"/>
              <w:left w:val="single" w:color="auto" w:sz="4" w:space="0"/>
              <w:bottom w:val="single" w:color="auto" w:sz="4" w:space="0"/>
              <w:right w:val="single" w:color="auto" w:sz="4" w:space="0"/>
            </w:tcBorders>
          </w:tcPr>
          <w:p w:rsidRPr="006D3C2A" w:rsidR="003B6A1B" w:rsidP="008F335B" w:rsidRDefault="001A0487" w14:paraId="44F9655C" w14:textId="3A815CB2">
            <w:pPr>
              <w:jc w:val="center"/>
            </w:pPr>
            <w:r w:rsidRPr="006D3C2A">
              <w:t>$490</w:t>
            </w:r>
          </w:p>
        </w:tc>
        <w:tc>
          <w:tcPr>
            <w:tcW w:w="1725" w:type="dxa"/>
            <w:tcBorders>
              <w:top w:val="single" w:color="auto" w:sz="4" w:space="0"/>
              <w:left w:val="single" w:color="auto" w:sz="4" w:space="0"/>
              <w:bottom w:val="single" w:color="auto" w:sz="4" w:space="0"/>
              <w:right w:val="single" w:color="auto" w:sz="4" w:space="0"/>
            </w:tcBorders>
          </w:tcPr>
          <w:p w:rsidRPr="006D3C2A" w:rsidR="003B6A1B" w:rsidP="008F335B" w:rsidRDefault="001A0487" w14:paraId="2EB25516" w14:textId="63BBFC7A">
            <w:pPr>
              <w:jc w:val="center"/>
            </w:pPr>
            <w:r w:rsidRPr="006D3C2A">
              <w:t>2021</w:t>
            </w:r>
          </w:p>
        </w:tc>
        <w:tc>
          <w:tcPr>
            <w:tcW w:w="1634" w:type="dxa"/>
            <w:tcBorders>
              <w:top w:val="single" w:color="auto" w:sz="4" w:space="0"/>
              <w:left w:val="single" w:color="auto" w:sz="4" w:space="0"/>
              <w:bottom w:val="single" w:color="auto" w:sz="4" w:space="0"/>
              <w:right w:val="single" w:color="auto" w:sz="4" w:space="0"/>
            </w:tcBorders>
          </w:tcPr>
          <w:p w:rsidRPr="006D3C2A" w:rsidR="00D84106" w:rsidP="00A57852" w:rsidRDefault="00D84106" w14:paraId="0A76FE98" w14:textId="7124981F">
            <w:pPr>
              <w:jc w:val="center"/>
            </w:pPr>
            <w:r>
              <w:t>$490</w:t>
            </w:r>
            <w:r w:rsidR="00A57852">
              <w:t>.00</w:t>
            </w:r>
          </w:p>
        </w:tc>
      </w:tr>
      <w:tr w:rsidRPr="00B803D5" w:rsidR="001A0487" w:rsidTr="006D3C2A"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4CFDAB24" w14:textId="5EDF3501">
            <w:pPr>
              <w:jc w:val="center"/>
            </w:pPr>
            <w:r w:rsidRPr="006D3C2A">
              <w:t>Megan</w:t>
            </w:r>
          </w:p>
        </w:tc>
        <w:tc>
          <w:tcPr>
            <w:tcW w:w="1725"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3A9B4F75" w14:textId="3401635F">
            <w:pPr>
              <w:jc w:val="center"/>
            </w:pPr>
            <w:r w:rsidRPr="006D3C2A">
              <w:t>Myers</w:t>
            </w:r>
          </w:p>
        </w:tc>
        <w:tc>
          <w:tcPr>
            <w:tcW w:w="2088"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73440B00" w14:textId="1BEC1642">
            <w:pPr>
              <w:jc w:val="center"/>
            </w:pPr>
            <w:r w:rsidRPr="006D3C2A">
              <w:t>Attorney</w:t>
            </w:r>
            <w:fldSimple w:instr=" NOTEREF _Ref201153860 \f ">
              <w:r w:rsidRPr="00A8760E" w:rsidR="00A8760E">
                <w:rPr>
                  <w:rStyle w:val="FootnoteReference"/>
                </w:rPr>
                <w:t>18</w:t>
              </w:r>
            </w:fldSimple>
          </w:p>
        </w:tc>
        <w:tc>
          <w:tcPr>
            <w:tcW w:w="1748"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1466F47E" w14:textId="2F2CC0D8">
            <w:pPr>
              <w:jc w:val="center"/>
            </w:pPr>
            <w:r w:rsidRPr="006D3C2A">
              <w:t>$490</w:t>
            </w:r>
          </w:p>
        </w:tc>
        <w:tc>
          <w:tcPr>
            <w:tcW w:w="1725"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4CBE320E" w14:textId="2BCCB7CA">
            <w:pPr>
              <w:jc w:val="center"/>
            </w:pPr>
            <w:r w:rsidRPr="006D3C2A">
              <w:t>2022</w:t>
            </w:r>
          </w:p>
        </w:tc>
        <w:tc>
          <w:tcPr>
            <w:tcW w:w="1634" w:type="dxa"/>
            <w:tcBorders>
              <w:top w:val="single" w:color="auto" w:sz="4" w:space="0"/>
              <w:left w:val="single" w:color="auto" w:sz="4" w:space="0"/>
              <w:bottom w:val="single" w:color="auto" w:sz="4" w:space="0"/>
              <w:right w:val="single" w:color="auto" w:sz="4" w:space="0"/>
            </w:tcBorders>
          </w:tcPr>
          <w:p w:rsidRPr="006D3C2A" w:rsidR="001A0487" w:rsidP="00A57852" w:rsidRDefault="00D84106" w14:paraId="37932A57" w14:textId="3CE1F7BA">
            <w:pPr>
              <w:jc w:val="center"/>
            </w:pPr>
            <w:r>
              <w:t>$</w:t>
            </w:r>
            <w:r w:rsidR="002F7E16">
              <w:t>490.00</w:t>
            </w:r>
          </w:p>
        </w:tc>
      </w:tr>
      <w:tr w:rsidRPr="00B803D5" w:rsidR="001A0487" w:rsidTr="006D3C2A"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65C04662" w14:textId="0E65F9F1">
            <w:pPr>
              <w:jc w:val="center"/>
            </w:pPr>
            <w:r w:rsidRPr="006D3C2A">
              <w:t>Megan</w:t>
            </w:r>
          </w:p>
        </w:tc>
        <w:tc>
          <w:tcPr>
            <w:tcW w:w="1725"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1C590887" w14:textId="793243DA">
            <w:pPr>
              <w:jc w:val="center"/>
            </w:pPr>
            <w:r w:rsidRPr="006D3C2A">
              <w:t>Myers</w:t>
            </w:r>
          </w:p>
        </w:tc>
        <w:tc>
          <w:tcPr>
            <w:tcW w:w="2088"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1EA8DE3D" w14:textId="73D34135">
            <w:pPr>
              <w:jc w:val="center"/>
            </w:pPr>
            <w:r w:rsidRPr="006D3C2A">
              <w:t>Attorney</w:t>
            </w:r>
            <w:fldSimple w:instr=" NOTEREF _Ref201153860 \f ">
              <w:r w:rsidRPr="00A8760E" w:rsidR="00A8760E">
                <w:rPr>
                  <w:rStyle w:val="FootnoteReference"/>
                </w:rPr>
                <w:t>18</w:t>
              </w:r>
            </w:fldSimple>
          </w:p>
        </w:tc>
        <w:tc>
          <w:tcPr>
            <w:tcW w:w="1748"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4F6290AB" w14:textId="003FB49F">
            <w:pPr>
              <w:jc w:val="center"/>
            </w:pPr>
            <w:r w:rsidRPr="006D3C2A">
              <w:t>$490</w:t>
            </w:r>
          </w:p>
        </w:tc>
        <w:tc>
          <w:tcPr>
            <w:tcW w:w="1725"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1354C70A" w14:textId="6D9B2C1F">
            <w:pPr>
              <w:jc w:val="center"/>
            </w:pPr>
            <w:r w:rsidRPr="006D3C2A">
              <w:t>2023</w:t>
            </w:r>
          </w:p>
        </w:tc>
        <w:tc>
          <w:tcPr>
            <w:tcW w:w="1634" w:type="dxa"/>
            <w:tcBorders>
              <w:top w:val="single" w:color="auto" w:sz="4" w:space="0"/>
              <w:left w:val="single" w:color="auto" w:sz="4" w:space="0"/>
              <w:bottom w:val="single" w:color="auto" w:sz="4" w:space="0"/>
              <w:right w:val="single" w:color="auto" w:sz="4" w:space="0"/>
            </w:tcBorders>
          </w:tcPr>
          <w:p w:rsidRPr="006D3C2A" w:rsidR="001A0487" w:rsidP="00A57852" w:rsidRDefault="00D84106" w14:paraId="36649915" w14:textId="12BB8684">
            <w:pPr>
              <w:jc w:val="center"/>
            </w:pPr>
            <w:r>
              <w:t>$</w:t>
            </w:r>
            <w:r w:rsidR="002F7E16">
              <w:t>490.00</w:t>
            </w:r>
          </w:p>
        </w:tc>
      </w:tr>
      <w:tr w:rsidRPr="00B803D5" w:rsidR="001A0487" w:rsidTr="006D3C2A"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71BF257F" w14:textId="75FA857C">
            <w:pPr>
              <w:jc w:val="center"/>
            </w:pPr>
            <w:r w:rsidRPr="006D3C2A">
              <w:t>Michael</w:t>
            </w:r>
          </w:p>
        </w:tc>
        <w:tc>
          <w:tcPr>
            <w:tcW w:w="1725"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4D0E5B24" w14:textId="26DFEEDE">
            <w:pPr>
              <w:jc w:val="center"/>
            </w:pPr>
            <w:r w:rsidRPr="006D3C2A">
              <w:t>Colvin</w:t>
            </w:r>
          </w:p>
        </w:tc>
        <w:tc>
          <w:tcPr>
            <w:tcW w:w="2088"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3ACB6465" w14:textId="77DB8832">
            <w:pPr>
              <w:jc w:val="center"/>
            </w:pPr>
            <w:r w:rsidRPr="006D3C2A">
              <w:t>Expert</w:t>
            </w:r>
          </w:p>
        </w:tc>
        <w:tc>
          <w:tcPr>
            <w:tcW w:w="1748"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27D75B3F" w14:textId="720AC520">
            <w:pPr>
              <w:jc w:val="center"/>
            </w:pPr>
            <w:r w:rsidRPr="006D3C2A">
              <w:t>$490</w:t>
            </w:r>
          </w:p>
        </w:tc>
        <w:tc>
          <w:tcPr>
            <w:tcW w:w="1725"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0BD45097" w14:textId="5FC4735F">
            <w:pPr>
              <w:jc w:val="center"/>
            </w:pPr>
            <w:r w:rsidRPr="006D3C2A">
              <w:t>2021</w:t>
            </w:r>
          </w:p>
        </w:tc>
        <w:tc>
          <w:tcPr>
            <w:tcW w:w="1634" w:type="dxa"/>
            <w:tcBorders>
              <w:top w:val="single" w:color="auto" w:sz="4" w:space="0"/>
              <w:left w:val="single" w:color="auto" w:sz="4" w:space="0"/>
              <w:bottom w:val="single" w:color="auto" w:sz="4" w:space="0"/>
              <w:right w:val="single" w:color="auto" w:sz="4" w:space="0"/>
            </w:tcBorders>
          </w:tcPr>
          <w:p w:rsidRPr="006D3C2A" w:rsidR="001A0487" w:rsidP="00A57852" w:rsidRDefault="00D84106" w14:paraId="6B245605" w14:textId="34A66635">
            <w:pPr>
              <w:jc w:val="center"/>
            </w:pPr>
            <w:r>
              <w:t>$480</w:t>
            </w:r>
            <w:r w:rsidR="00A57852">
              <w:t>.00</w:t>
            </w:r>
          </w:p>
        </w:tc>
      </w:tr>
      <w:tr w:rsidRPr="00B803D5" w:rsidR="001A0487" w:rsidTr="006D3C2A" w14:paraId="474E258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115C1393" w14:textId="03253E25">
            <w:pPr>
              <w:jc w:val="center"/>
            </w:pPr>
            <w:r w:rsidRPr="006D3C2A">
              <w:t>Michael</w:t>
            </w:r>
          </w:p>
        </w:tc>
        <w:tc>
          <w:tcPr>
            <w:tcW w:w="1725"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1467A27B" w14:textId="774F737E">
            <w:pPr>
              <w:jc w:val="center"/>
            </w:pPr>
            <w:r w:rsidRPr="006D3C2A">
              <w:t>Colvin</w:t>
            </w:r>
          </w:p>
        </w:tc>
        <w:tc>
          <w:tcPr>
            <w:tcW w:w="2088"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66D10560" w14:textId="3F55D0AE">
            <w:pPr>
              <w:jc w:val="center"/>
            </w:pPr>
            <w:r w:rsidRPr="006D3C2A">
              <w:t>Expert</w:t>
            </w:r>
          </w:p>
        </w:tc>
        <w:tc>
          <w:tcPr>
            <w:tcW w:w="1748"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7BC812A8" w14:textId="72A9F46C">
            <w:pPr>
              <w:jc w:val="center"/>
            </w:pPr>
            <w:r w:rsidRPr="006D3C2A">
              <w:t>$515</w:t>
            </w:r>
          </w:p>
        </w:tc>
        <w:tc>
          <w:tcPr>
            <w:tcW w:w="1725"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4580AE9E" w14:textId="2F9E5250">
            <w:pPr>
              <w:jc w:val="center"/>
            </w:pPr>
            <w:r w:rsidRPr="006D3C2A">
              <w:t>2022</w:t>
            </w:r>
          </w:p>
        </w:tc>
        <w:tc>
          <w:tcPr>
            <w:tcW w:w="1634" w:type="dxa"/>
            <w:tcBorders>
              <w:top w:val="single" w:color="auto" w:sz="4" w:space="0"/>
              <w:left w:val="single" w:color="auto" w:sz="4" w:space="0"/>
              <w:bottom w:val="single" w:color="auto" w:sz="4" w:space="0"/>
              <w:right w:val="single" w:color="auto" w:sz="4" w:space="0"/>
            </w:tcBorders>
          </w:tcPr>
          <w:p w:rsidRPr="006D3C2A" w:rsidR="001A0487" w:rsidP="00A57852" w:rsidRDefault="00D84106" w14:paraId="74B7B957" w14:textId="3CADCA14">
            <w:pPr>
              <w:jc w:val="center"/>
            </w:pPr>
            <w:r>
              <w:t>$5</w:t>
            </w:r>
            <w:r w:rsidR="00E50EE0">
              <w:t>05</w:t>
            </w:r>
            <w:r w:rsidR="00A57852">
              <w:t>.00</w:t>
            </w:r>
          </w:p>
        </w:tc>
      </w:tr>
      <w:tr w:rsidRPr="00B803D5" w:rsidR="001A0487" w:rsidTr="006D3C2A" w14:paraId="0DC4129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1C03A89B" w14:textId="71AF3760">
            <w:pPr>
              <w:jc w:val="center"/>
            </w:pPr>
            <w:r w:rsidRPr="006D3C2A">
              <w:t>Michael</w:t>
            </w:r>
          </w:p>
        </w:tc>
        <w:tc>
          <w:tcPr>
            <w:tcW w:w="1725"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53680AFD" w14:textId="3A3FBFC2">
            <w:pPr>
              <w:jc w:val="center"/>
            </w:pPr>
            <w:r w:rsidRPr="006D3C2A">
              <w:t>Colvin</w:t>
            </w:r>
          </w:p>
        </w:tc>
        <w:tc>
          <w:tcPr>
            <w:tcW w:w="2088"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597A6D17" w14:textId="6B4C6025">
            <w:pPr>
              <w:jc w:val="center"/>
            </w:pPr>
            <w:r w:rsidRPr="006D3C2A">
              <w:t>Expert</w:t>
            </w:r>
          </w:p>
        </w:tc>
        <w:tc>
          <w:tcPr>
            <w:tcW w:w="1748"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48B7FBBF" w14:textId="5140D6F5">
            <w:pPr>
              <w:jc w:val="center"/>
            </w:pPr>
            <w:r w:rsidRPr="006D3C2A">
              <w:t>$540</w:t>
            </w:r>
          </w:p>
        </w:tc>
        <w:tc>
          <w:tcPr>
            <w:tcW w:w="1725"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5541B9E8" w14:textId="6ED2EFF9">
            <w:pPr>
              <w:jc w:val="center"/>
            </w:pPr>
            <w:r w:rsidRPr="006D3C2A">
              <w:t>2023</w:t>
            </w:r>
          </w:p>
        </w:tc>
        <w:tc>
          <w:tcPr>
            <w:tcW w:w="1634" w:type="dxa"/>
            <w:tcBorders>
              <w:top w:val="single" w:color="auto" w:sz="4" w:space="0"/>
              <w:left w:val="single" w:color="auto" w:sz="4" w:space="0"/>
              <w:bottom w:val="single" w:color="auto" w:sz="4" w:space="0"/>
              <w:right w:val="single" w:color="auto" w:sz="4" w:space="0"/>
            </w:tcBorders>
          </w:tcPr>
          <w:p w:rsidRPr="006D3C2A" w:rsidR="001A0487" w:rsidP="00A57852" w:rsidRDefault="00D84106" w14:paraId="5585EC38" w14:textId="76608FBC">
            <w:pPr>
              <w:jc w:val="center"/>
            </w:pPr>
            <w:r>
              <w:t>$5</w:t>
            </w:r>
            <w:r w:rsidR="00E50EE0">
              <w:t>45</w:t>
            </w:r>
            <w:r w:rsidR="00A57852">
              <w:t>.00</w:t>
            </w:r>
          </w:p>
        </w:tc>
      </w:tr>
      <w:tr w:rsidRPr="00B803D5" w:rsidR="001A0487" w:rsidTr="006D3C2A" w14:paraId="29AE6932"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360AC496" w14:textId="35B59EA9">
            <w:pPr>
              <w:jc w:val="center"/>
            </w:pPr>
            <w:r w:rsidRPr="006D3C2A">
              <w:t>Steven</w:t>
            </w:r>
          </w:p>
        </w:tc>
        <w:tc>
          <w:tcPr>
            <w:tcW w:w="1725"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56248722" w14:textId="2165B7A5">
            <w:pPr>
              <w:jc w:val="center"/>
            </w:pPr>
            <w:r w:rsidRPr="006D3C2A">
              <w:t>Moss</w:t>
            </w:r>
          </w:p>
        </w:tc>
        <w:tc>
          <w:tcPr>
            <w:tcW w:w="2088"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5260F89F" w14:textId="4A12DC9E">
            <w:pPr>
              <w:jc w:val="center"/>
            </w:pPr>
            <w:r w:rsidRPr="006D3C2A">
              <w:t>Expert</w:t>
            </w:r>
            <w:bookmarkStart w:name="_Ref201153894" w:id="1"/>
            <w:r w:rsidR="009647E3">
              <w:rPr>
                <w:rStyle w:val="FootnoteReference"/>
              </w:rPr>
              <w:footnoteReference w:id="12"/>
            </w:r>
            <w:bookmarkEnd w:id="1"/>
          </w:p>
        </w:tc>
        <w:tc>
          <w:tcPr>
            <w:tcW w:w="1748"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6D2EBA5C" w14:textId="78101C40">
            <w:pPr>
              <w:jc w:val="center"/>
            </w:pPr>
            <w:r w:rsidRPr="006D3C2A">
              <w:t>$300</w:t>
            </w:r>
          </w:p>
        </w:tc>
        <w:tc>
          <w:tcPr>
            <w:tcW w:w="1725"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34B04A04" w14:textId="3097B799">
            <w:pPr>
              <w:jc w:val="center"/>
            </w:pPr>
            <w:r w:rsidRPr="006D3C2A">
              <w:t>2022</w:t>
            </w:r>
          </w:p>
        </w:tc>
        <w:tc>
          <w:tcPr>
            <w:tcW w:w="1634" w:type="dxa"/>
            <w:tcBorders>
              <w:top w:val="single" w:color="auto" w:sz="4" w:space="0"/>
              <w:left w:val="single" w:color="auto" w:sz="4" w:space="0"/>
              <w:bottom w:val="single" w:color="auto" w:sz="4" w:space="0"/>
              <w:right w:val="single" w:color="auto" w:sz="4" w:space="0"/>
            </w:tcBorders>
          </w:tcPr>
          <w:p w:rsidRPr="006D3C2A" w:rsidR="001A0487" w:rsidP="00A57852" w:rsidRDefault="00D84106" w14:paraId="6A145930" w14:textId="1CBE6D09">
            <w:pPr>
              <w:jc w:val="center"/>
            </w:pPr>
            <w:r>
              <w:t>$</w:t>
            </w:r>
            <w:r w:rsidR="002F7E16">
              <w:t>300.00</w:t>
            </w:r>
          </w:p>
        </w:tc>
      </w:tr>
      <w:tr w:rsidRPr="00B803D5" w:rsidR="001A0487" w:rsidTr="006D3C2A" w14:paraId="7BBD5E13"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23066614" w14:textId="1A66DDF6">
            <w:pPr>
              <w:jc w:val="center"/>
            </w:pPr>
            <w:r w:rsidRPr="006D3C2A">
              <w:t>Steven</w:t>
            </w:r>
          </w:p>
        </w:tc>
        <w:tc>
          <w:tcPr>
            <w:tcW w:w="1725"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4786C89C" w14:textId="50691683">
            <w:pPr>
              <w:jc w:val="center"/>
            </w:pPr>
            <w:r w:rsidRPr="006D3C2A">
              <w:t>Moss</w:t>
            </w:r>
          </w:p>
        </w:tc>
        <w:tc>
          <w:tcPr>
            <w:tcW w:w="2088"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18CADD1E" w14:textId="7515C7C4">
            <w:pPr>
              <w:jc w:val="center"/>
            </w:pPr>
            <w:r w:rsidRPr="006D3C2A">
              <w:t>Expert</w:t>
            </w:r>
            <w:fldSimple w:instr=" NOTEREF _Ref201153894 \f ">
              <w:r w:rsidRPr="00A8760E" w:rsidR="00A8760E">
                <w:rPr>
                  <w:rStyle w:val="FootnoteReference"/>
                </w:rPr>
                <w:t>19</w:t>
              </w:r>
            </w:fldSimple>
          </w:p>
        </w:tc>
        <w:tc>
          <w:tcPr>
            <w:tcW w:w="1748"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39919693" w14:textId="78DE86ED">
            <w:pPr>
              <w:jc w:val="center"/>
            </w:pPr>
            <w:r w:rsidRPr="006D3C2A">
              <w:t>$300</w:t>
            </w:r>
          </w:p>
        </w:tc>
        <w:tc>
          <w:tcPr>
            <w:tcW w:w="1725" w:type="dxa"/>
            <w:tcBorders>
              <w:top w:val="single" w:color="auto" w:sz="4" w:space="0"/>
              <w:left w:val="single" w:color="auto" w:sz="4" w:space="0"/>
              <w:bottom w:val="single" w:color="auto" w:sz="4" w:space="0"/>
              <w:right w:val="single" w:color="auto" w:sz="4" w:space="0"/>
            </w:tcBorders>
          </w:tcPr>
          <w:p w:rsidRPr="006D3C2A" w:rsidR="001A0487" w:rsidP="008F335B" w:rsidRDefault="001A0487" w14:paraId="214A549B" w14:textId="086F87EC">
            <w:pPr>
              <w:jc w:val="center"/>
            </w:pPr>
            <w:r w:rsidRPr="006D3C2A">
              <w:t>2023</w:t>
            </w:r>
          </w:p>
        </w:tc>
        <w:tc>
          <w:tcPr>
            <w:tcW w:w="1634" w:type="dxa"/>
            <w:tcBorders>
              <w:top w:val="single" w:color="auto" w:sz="4" w:space="0"/>
              <w:left w:val="single" w:color="auto" w:sz="4" w:space="0"/>
              <w:bottom w:val="single" w:color="auto" w:sz="4" w:space="0"/>
              <w:right w:val="single" w:color="auto" w:sz="4" w:space="0"/>
            </w:tcBorders>
          </w:tcPr>
          <w:p w:rsidRPr="006D3C2A" w:rsidR="001A0487" w:rsidP="00A57852" w:rsidRDefault="00D84106" w14:paraId="3B9C718F" w14:textId="0C386539">
            <w:pPr>
              <w:jc w:val="center"/>
            </w:pPr>
            <w:r>
              <w:t>$</w:t>
            </w:r>
            <w:r w:rsidR="002F7E16">
              <w:t>300.00</w:t>
            </w:r>
          </w:p>
        </w:tc>
      </w:tr>
      <w:tr w:rsidRPr="00B803D5" w:rsidR="001A0487" w:rsidTr="006D3C2A" w14:paraId="1906C055"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6D3C2A" w:rsidR="001A0487" w:rsidP="008F335B" w:rsidRDefault="002A2267" w14:paraId="2ACF0B05" w14:textId="78F56947">
            <w:pPr>
              <w:jc w:val="center"/>
            </w:pPr>
            <w:r w:rsidRPr="006D3C2A">
              <w:t>Cole</w:t>
            </w:r>
          </w:p>
        </w:tc>
        <w:tc>
          <w:tcPr>
            <w:tcW w:w="1725" w:type="dxa"/>
            <w:tcBorders>
              <w:top w:val="single" w:color="auto" w:sz="4" w:space="0"/>
              <w:left w:val="single" w:color="auto" w:sz="4" w:space="0"/>
              <w:bottom w:val="single" w:color="auto" w:sz="4" w:space="0"/>
              <w:right w:val="single" w:color="auto" w:sz="4" w:space="0"/>
            </w:tcBorders>
          </w:tcPr>
          <w:p w:rsidRPr="006D3C2A" w:rsidR="001A0487" w:rsidP="008F335B" w:rsidRDefault="002A2267" w14:paraId="63E68C11" w14:textId="2524447F">
            <w:pPr>
              <w:jc w:val="center"/>
            </w:pPr>
            <w:r w:rsidRPr="006D3C2A">
              <w:t>Jermyn</w:t>
            </w:r>
          </w:p>
        </w:tc>
        <w:tc>
          <w:tcPr>
            <w:tcW w:w="2088" w:type="dxa"/>
            <w:tcBorders>
              <w:top w:val="single" w:color="auto" w:sz="4" w:space="0"/>
              <w:left w:val="single" w:color="auto" w:sz="4" w:space="0"/>
              <w:bottom w:val="single" w:color="auto" w:sz="4" w:space="0"/>
              <w:right w:val="single" w:color="auto" w:sz="4" w:space="0"/>
            </w:tcBorders>
          </w:tcPr>
          <w:p w:rsidRPr="006D3C2A" w:rsidR="001A0487" w:rsidP="008F335B" w:rsidRDefault="00154C2C" w14:paraId="1E984C6F" w14:textId="3DFE71FB">
            <w:pPr>
              <w:jc w:val="center"/>
            </w:pPr>
            <w:r>
              <w:t>Paralegal</w:t>
            </w:r>
          </w:p>
        </w:tc>
        <w:tc>
          <w:tcPr>
            <w:tcW w:w="1748" w:type="dxa"/>
            <w:tcBorders>
              <w:top w:val="single" w:color="auto" w:sz="4" w:space="0"/>
              <w:left w:val="single" w:color="auto" w:sz="4" w:space="0"/>
              <w:bottom w:val="single" w:color="auto" w:sz="4" w:space="0"/>
              <w:right w:val="single" w:color="auto" w:sz="4" w:space="0"/>
            </w:tcBorders>
          </w:tcPr>
          <w:p w:rsidRPr="006D3C2A" w:rsidR="001A0487" w:rsidP="008F335B" w:rsidRDefault="002A2267" w14:paraId="53B8F326" w14:textId="6CC525C2">
            <w:pPr>
              <w:jc w:val="center"/>
            </w:pPr>
            <w:r w:rsidRPr="006D3C2A">
              <w:t>$100</w:t>
            </w:r>
          </w:p>
        </w:tc>
        <w:tc>
          <w:tcPr>
            <w:tcW w:w="1725" w:type="dxa"/>
            <w:tcBorders>
              <w:top w:val="single" w:color="auto" w:sz="4" w:space="0"/>
              <w:left w:val="single" w:color="auto" w:sz="4" w:space="0"/>
              <w:bottom w:val="single" w:color="auto" w:sz="4" w:space="0"/>
              <w:right w:val="single" w:color="auto" w:sz="4" w:space="0"/>
            </w:tcBorders>
          </w:tcPr>
          <w:p w:rsidRPr="006D3C2A" w:rsidR="001A0487" w:rsidP="008F335B" w:rsidRDefault="002A2267" w14:paraId="7954D4D0" w14:textId="599C9955">
            <w:pPr>
              <w:jc w:val="center"/>
            </w:pPr>
            <w:r w:rsidRPr="006D3C2A">
              <w:t>2021</w:t>
            </w:r>
          </w:p>
        </w:tc>
        <w:tc>
          <w:tcPr>
            <w:tcW w:w="1634" w:type="dxa"/>
            <w:tcBorders>
              <w:top w:val="single" w:color="auto" w:sz="4" w:space="0"/>
              <w:left w:val="single" w:color="auto" w:sz="4" w:space="0"/>
              <w:bottom w:val="single" w:color="auto" w:sz="4" w:space="0"/>
              <w:right w:val="single" w:color="auto" w:sz="4" w:space="0"/>
            </w:tcBorders>
          </w:tcPr>
          <w:p w:rsidRPr="006D3C2A" w:rsidR="001A0487" w:rsidP="00A57852" w:rsidRDefault="00D84106" w14:paraId="467531DD" w14:textId="6E743708">
            <w:pPr>
              <w:jc w:val="center"/>
            </w:pPr>
            <w:r>
              <w:t>$100</w:t>
            </w:r>
            <w:r w:rsidR="00A57852">
              <w:t>.00</w:t>
            </w:r>
          </w:p>
        </w:tc>
      </w:tr>
      <w:tr w:rsidRPr="00B803D5" w:rsidR="002A2267" w:rsidTr="006D3C2A" w14:paraId="2DF6C557"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6D3C2A" w:rsidR="002A2267" w:rsidP="008F335B" w:rsidRDefault="002A2267" w14:paraId="65A735F5" w14:textId="5C7A2517">
            <w:pPr>
              <w:jc w:val="center"/>
            </w:pPr>
            <w:r w:rsidRPr="006D3C2A">
              <w:lastRenderedPageBreak/>
              <w:t>Cole</w:t>
            </w:r>
          </w:p>
        </w:tc>
        <w:tc>
          <w:tcPr>
            <w:tcW w:w="1725" w:type="dxa"/>
            <w:tcBorders>
              <w:top w:val="single" w:color="auto" w:sz="4" w:space="0"/>
              <w:left w:val="single" w:color="auto" w:sz="4" w:space="0"/>
              <w:bottom w:val="single" w:color="auto" w:sz="4" w:space="0"/>
              <w:right w:val="single" w:color="auto" w:sz="4" w:space="0"/>
            </w:tcBorders>
          </w:tcPr>
          <w:p w:rsidRPr="006D3C2A" w:rsidR="002A2267" w:rsidP="008F335B" w:rsidRDefault="002A2267" w14:paraId="5ACDD98F" w14:textId="7C3D796F">
            <w:pPr>
              <w:jc w:val="center"/>
            </w:pPr>
            <w:r w:rsidRPr="006D3C2A">
              <w:t>Jermyn</w:t>
            </w:r>
          </w:p>
        </w:tc>
        <w:tc>
          <w:tcPr>
            <w:tcW w:w="2088" w:type="dxa"/>
            <w:tcBorders>
              <w:top w:val="single" w:color="auto" w:sz="4" w:space="0"/>
              <w:left w:val="single" w:color="auto" w:sz="4" w:space="0"/>
              <w:bottom w:val="single" w:color="auto" w:sz="4" w:space="0"/>
              <w:right w:val="single" w:color="auto" w:sz="4" w:space="0"/>
            </w:tcBorders>
          </w:tcPr>
          <w:p w:rsidRPr="006D3C2A" w:rsidR="002A2267" w:rsidP="008F335B" w:rsidRDefault="00154C2C" w14:paraId="26202FD2" w14:textId="4D36C786">
            <w:pPr>
              <w:jc w:val="center"/>
            </w:pPr>
            <w:r>
              <w:t>Paralegal</w:t>
            </w:r>
          </w:p>
        </w:tc>
        <w:tc>
          <w:tcPr>
            <w:tcW w:w="1748" w:type="dxa"/>
            <w:tcBorders>
              <w:top w:val="single" w:color="auto" w:sz="4" w:space="0"/>
              <w:left w:val="single" w:color="auto" w:sz="4" w:space="0"/>
              <w:bottom w:val="single" w:color="auto" w:sz="4" w:space="0"/>
              <w:right w:val="single" w:color="auto" w:sz="4" w:space="0"/>
            </w:tcBorders>
          </w:tcPr>
          <w:p w:rsidRPr="006D3C2A" w:rsidR="002A2267" w:rsidP="008F335B" w:rsidRDefault="002A2267" w14:paraId="3BD76235" w14:textId="259A91C6">
            <w:pPr>
              <w:jc w:val="center"/>
            </w:pPr>
            <w:r w:rsidRPr="006D3C2A">
              <w:t>$115</w:t>
            </w:r>
          </w:p>
        </w:tc>
        <w:tc>
          <w:tcPr>
            <w:tcW w:w="1725" w:type="dxa"/>
            <w:tcBorders>
              <w:top w:val="single" w:color="auto" w:sz="4" w:space="0"/>
              <w:left w:val="single" w:color="auto" w:sz="4" w:space="0"/>
              <w:bottom w:val="single" w:color="auto" w:sz="4" w:space="0"/>
              <w:right w:val="single" w:color="auto" w:sz="4" w:space="0"/>
            </w:tcBorders>
          </w:tcPr>
          <w:p w:rsidRPr="006D3C2A" w:rsidR="002A2267" w:rsidP="008F335B" w:rsidRDefault="002A2267" w14:paraId="50DF59B4" w14:textId="41603598">
            <w:pPr>
              <w:jc w:val="center"/>
            </w:pPr>
            <w:r w:rsidRPr="006D3C2A">
              <w:t>2022</w:t>
            </w:r>
          </w:p>
        </w:tc>
        <w:tc>
          <w:tcPr>
            <w:tcW w:w="1634" w:type="dxa"/>
            <w:tcBorders>
              <w:top w:val="single" w:color="auto" w:sz="4" w:space="0"/>
              <w:left w:val="single" w:color="auto" w:sz="4" w:space="0"/>
              <w:bottom w:val="single" w:color="auto" w:sz="4" w:space="0"/>
              <w:right w:val="single" w:color="auto" w:sz="4" w:space="0"/>
            </w:tcBorders>
          </w:tcPr>
          <w:p w:rsidRPr="006D3C2A" w:rsidR="002A2267" w:rsidP="00A57852" w:rsidRDefault="00D84106" w14:paraId="23812F0D" w14:textId="7B7021E4">
            <w:pPr>
              <w:jc w:val="center"/>
            </w:pPr>
            <w:r>
              <w:t>$115</w:t>
            </w:r>
            <w:r w:rsidR="00A57852">
              <w:t>.00</w:t>
            </w:r>
          </w:p>
        </w:tc>
      </w:tr>
      <w:tr w:rsidRPr="00B803D5" w:rsidR="002A2267" w:rsidTr="006D3C2A" w14:paraId="752B2F8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6D3C2A" w:rsidR="002A2267" w:rsidP="008F335B" w:rsidRDefault="002A2267" w14:paraId="0D606081" w14:textId="4A052466">
            <w:pPr>
              <w:jc w:val="center"/>
            </w:pPr>
            <w:r w:rsidRPr="006D3C2A">
              <w:t>Cole</w:t>
            </w:r>
          </w:p>
        </w:tc>
        <w:tc>
          <w:tcPr>
            <w:tcW w:w="1725" w:type="dxa"/>
            <w:tcBorders>
              <w:top w:val="single" w:color="auto" w:sz="4" w:space="0"/>
              <w:left w:val="single" w:color="auto" w:sz="4" w:space="0"/>
              <w:bottom w:val="single" w:color="auto" w:sz="4" w:space="0"/>
              <w:right w:val="single" w:color="auto" w:sz="4" w:space="0"/>
            </w:tcBorders>
          </w:tcPr>
          <w:p w:rsidRPr="006D3C2A" w:rsidR="002A2267" w:rsidP="008F335B" w:rsidRDefault="002A2267" w14:paraId="4562F3A7" w14:textId="4B1C46C5">
            <w:pPr>
              <w:jc w:val="center"/>
            </w:pPr>
            <w:r w:rsidRPr="006D3C2A">
              <w:t>Jermyn</w:t>
            </w:r>
          </w:p>
        </w:tc>
        <w:tc>
          <w:tcPr>
            <w:tcW w:w="2088" w:type="dxa"/>
            <w:tcBorders>
              <w:top w:val="single" w:color="auto" w:sz="4" w:space="0"/>
              <w:left w:val="single" w:color="auto" w:sz="4" w:space="0"/>
              <w:bottom w:val="single" w:color="auto" w:sz="4" w:space="0"/>
              <w:right w:val="single" w:color="auto" w:sz="4" w:space="0"/>
            </w:tcBorders>
          </w:tcPr>
          <w:p w:rsidRPr="006D3C2A" w:rsidR="002A2267" w:rsidP="008F335B" w:rsidRDefault="002A2267" w14:paraId="002A2FC1" w14:textId="33162171">
            <w:pPr>
              <w:jc w:val="center"/>
            </w:pPr>
            <w:r w:rsidRPr="006D3C2A">
              <w:t>Attorney</w:t>
            </w:r>
          </w:p>
        </w:tc>
        <w:tc>
          <w:tcPr>
            <w:tcW w:w="1748" w:type="dxa"/>
            <w:tcBorders>
              <w:top w:val="single" w:color="auto" w:sz="4" w:space="0"/>
              <w:left w:val="single" w:color="auto" w:sz="4" w:space="0"/>
              <w:bottom w:val="single" w:color="auto" w:sz="4" w:space="0"/>
              <w:right w:val="single" w:color="auto" w:sz="4" w:space="0"/>
            </w:tcBorders>
          </w:tcPr>
          <w:p w:rsidRPr="006D3C2A" w:rsidR="002A2267" w:rsidP="008F335B" w:rsidRDefault="002A2267" w14:paraId="6D76A9AC" w14:textId="4037CB73">
            <w:pPr>
              <w:jc w:val="center"/>
            </w:pPr>
            <w:r w:rsidRPr="006D3C2A">
              <w:t>$175</w:t>
            </w:r>
          </w:p>
        </w:tc>
        <w:tc>
          <w:tcPr>
            <w:tcW w:w="1725" w:type="dxa"/>
            <w:tcBorders>
              <w:top w:val="single" w:color="auto" w:sz="4" w:space="0"/>
              <w:left w:val="single" w:color="auto" w:sz="4" w:space="0"/>
              <w:bottom w:val="single" w:color="auto" w:sz="4" w:space="0"/>
              <w:right w:val="single" w:color="auto" w:sz="4" w:space="0"/>
            </w:tcBorders>
          </w:tcPr>
          <w:p w:rsidRPr="006D3C2A" w:rsidR="002A2267" w:rsidP="008F335B" w:rsidRDefault="002A2267" w14:paraId="7C580BEA" w14:textId="6D2523CA">
            <w:pPr>
              <w:jc w:val="center"/>
            </w:pPr>
            <w:r w:rsidRPr="006D3C2A">
              <w:t>2023</w:t>
            </w:r>
          </w:p>
        </w:tc>
        <w:tc>
          <w:tcPr>
            <w:tcW w:w="1634" w:type="dxa"/>
            <w:tcBorders>
              <w:top w:val="single" w:color="auto" w:sz="4" w:space="0"/>
              <w:left w:val="single" w:color="auto" w:sz="4" w:space="0"/>
              <w:bottom w:val="single" w:color="auto" w:sz="4" w:space="0"/>
              <w:right w:val="single" w:color="auto" w:sz="4" w:space="0"/>
            </w:tcBorders>
          </w:tcPr>
          <w:p w:rsidRPr="006D3C2A" w:rsidR="002A2267" w:rsidP="00A57852" w:rsidRDefault="00D84106" w14:paraId="58CE15E7" w14:textId="17D12EED">
            <w:pPr>
              <w:jc w:val="center"/>
            </w:pPr>
            <w:r>
              <w:t>$175</w:t>
            </w:r>
            <w:r w:rsidR="00A57852">
              <w:t>.00</w:t>
            </w:r>
          </w:p>
        </w:tc>
      </w:tr>
    </w:tbl>
    <w:p w:rsidR="00A11A27" w:rsidP="00A11A27" w:rsidRDefault="00A11A27" w14:paraId="75CE452A" w14:textId="77777777">
      <w:pPr>
        <w:spacing w:line="360" w:lineRule="auto"/>
        <w:rPr>
          <w:b/>
        </w:rPr>
      </w:pPr>
    </w:p>
    <w:p w:rsidR="00A11A27" w:rsidP="00A11A27" w:rsidRDefault="00A11A27" w14:paraId="0ECC47C7" w14:textId="77777777">
      <w:pPr>
        <w:spacing w:line="360" w:lineRule="auto"/>
        <w:rPr>
          <w:b/>
        </w:rPr>
      </w:pPr>
    </w:p>
    <w:p w:rsidR="00A11A27" w:rsidP="00A11A27" w:rsidRDefault="00A11A27" w14:paraId="2F99D937" w14:textId="77777777">
      <w:pPr>
        <w:spacing w:line="360" w:lineRule="auto"/>
        <w:rPr>
          <w:b/>
        </w:rPr>
      </w:pPr>
    </w:p>
    <w:p w:rsidRPr="00B803D5" w:rsidR="00FE3BAE" w:rsidP="00FE3BAE" w:rsidRDefault="00FE3BAE" w14:paraId="53F54635" w14:textId="4DEA465A">
      <w:pPr>
        <w:jc w:val="center"/>
      </w:pPr>
      <w:r w:rsidRPr="00B803D5">
        <w:rPr>
          <w:b/>
        </w:rPr>
        <w:t xml:space="preserve">(END OF </w:t>
      </w:r>
      <w:r w:rsidRPr="00B803D5">
        <w:rPr>
          <w:b/>
          <w:szCs w:val="26"/>
        </w:rPr>
        <w:t>APPENDIX</w:t>
      </w:r>
      <w:r w:rsidRPr="00B803D5">
        <w:rPr>
          <w:b/>
        </w:rPr>
        <w:t>)</w:t>
      </w:r>
    </w:p>
    <w:sectPr w:rsidRPr="00B803D5" w:rsidR="00FE3BAE" w:rsidSect="00D5580A">
      <w:footerReference w:type="default" r:id="rId11"/>
      <w:pgSz w:w="12240" w:h="15840"/>
      <w:pgMar w:top="1728"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CB16" w14:textId="77777777" w:rsidR="00C46177" w:rsidRDefault="00C46177" w:rsidP="00885956">
      <w:r>
        <w:separator/>
      </w:r>
    </w:p>
  </w:endnote>
  <w:endnote w:type="continuationSeparator" w:id="0">
    <w:p w14:paraId="241351C6" w14:textId="77777777" w:rsidR="00C46177" w:rsidRDefault="00C46177"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520109"/>
      <w:docPartObj>
        <w:docPartGallery w:val="Page Numbers (Bottom of Page)"/>
        <w:docPartUnique/>
      </w:docPartObj>
    </w:sdtPr>
    <w:sdtEndPr>
      <w:rPr>
        <w:noProof/>
      </w:rPr>
    </w:sdtEndPr>
    <w:sdtContent>
      <w:p w14:paraId="03D1DD96" w14:textId="3337E352" w:rsidR="00435C30" w:rsidRDefault="00795DFC" w:rsidP="00795D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530581"/>
      <w:docPartObj>
        <w:docPartGallery w:val="Page Numbers (Bottom of Page)"/>
        <w:docPartUnique/>
      </w:docPartObj>
    </w:sdtPr>
    <w:sdtEndPr>
      <w:rPr>
        <w:noProof/>
      </w:rPr>
    </w:sdtEndPr>
    <w:sdtContent>
      <w:p w14:paraId="15BB940C" w14:textId="3F4493B4" w:rsidR="005705F7" w:rsidRDefault="005705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654D64" w14:textId="293EC519" w:rsidR="000161FE" w:rsidRPr="00042037" w:rsidRDefault="00480949" w:rsidP="00480949">
    <w:pPr>
      <w:pStyle w:val="Footer"/>
      <w:rPr>
        <w:sz w:val="16"/>
        <w:szCs w:val="16"/>
      </w:rPr>
    </w:pPr>
    <w:r w:rsidRPr="00480949">
      <w:rPr>
        <w:sz w:val="16"/>
        <w:szCs w:val="16"/>
      </w:rPr>
      <w:t>588332447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F5D3" w14:textId="5B978F98" w:rsidR="001B4D79" w:rsidRDefault="001B4D79" w:rsidP="00795D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6F65" w14:textId="77777777" w:rsidR="00C46177" w:rsidRDefault="00C46177" w:rsidP="00885956">
      <w:r>
        <w:separator/>
      </w:r>
    </w:p>
  </w:footnote>
  <w:footnote w:type="continuationSeparator" w:id="0">
    <w:p w14:paraId="6BF32664" w14:textId="77777777" w:rsidR="00C46177" w:rsidRDefault="00C46177" w:rsidP="00885956">
      <w:r>
        <w:continuationSeparator/>
      </w:r>
    </w:p>
  </w:footnote>
  <w:footnote w:id="1">
    <w:p w14:paraId="4A8FD6A8" w14:textId="27ACDB56" w:rsidR="00945285" w:rsidRPr="00945285" w:rsidRDefault="00945285">
      <w:pPr>
        <w:pStyle w:val="FootnoteText"/>
        <w:rPr>
          <w:lang w:val="en-ZW"/>
        </w:rPr>
      </w:pPr>
      <w:r>
        <w:rPr>
          <w:rStyle w:val="FootnoteReference"/>
        </w:rPr>
        <w:footnoteRef/>
      </w:r>
      <w:r>
        <w:t xml:space="preserve"> </w:t>
      </w:r>
      <w:r>
        <w:rPr>
          <w:lang w:val="en-ZW"/>
        </w:rPr>
        <w:t>This proceeding was reassigned to President Alice Reynolds on April 26, 2024.</w:t>
      </w:r>
    </w:p>
  </w:footnote>
  <w:footnote w:id="2">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3">
    <w:p w14:paraId="2A44723A" w14:textId="35298FD2" w:rsidR="008B7BB0" w:rsidRPr="00DE3A5D" w:rsidRDefault="008B7BB0"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szCs w:val="22"/>
          </w:rPr>
          <w:t>http://members.calbar.ca.gov/fal/MemberSearch/QuickSearch</w:t>
        </w:r>
      </w:hyperlink>
      <w:r>
        <w:rPr>
          <w:color w:val="000000"/>
        </w:rPr>
        <w:t>.</w:t>
      </w:r>
    </w:p>
  </w:footnote>
  <w:footnote w:id="4">
    <w:p w14:paraId="5B643815" w14:textId="0E0760B1" w:rsidR="00B02980" w:rsidRPr="00B02980" w:rsidRDefault="00B02980">
      <w:pPr>
        <w:pStyle w:val="FootnoteText"/>
        <w:rPr>
          <w:lang w:val="en-ZW"/>
        </w:rPr>
      </w:pPr>
      <w:r>
        <w:rPr>
          <w:rStyle w:val="FootnoteReference"/>
        </w:rPr>
        <w:footnoteRef/>
      </w:r>
      <w:r>
        <w:t xml:space="preserve"> </w:t>
      </w:r>
      <w:r>
        <w:rPr>
          <w:lang w:val="en-ZW"/>
        </w:rPr>
        <w:t>Attachments not included in the final decision.</w:t>
      </w:r>
    </w:p>
  </w:footnote>
  <w:footnote w:id="5">
    <w:p w14:paraId="2B4E32A2" w14:textId="7B8CA96F" w:rsidR="00742BD3" w:rsidRPr="006C32B4" w:rsidRDefault="00742BD3">
      <w:pPr>
        <w:pStyle w:val="FootnoteText"/>
        <w:rPr>
          <w:lang w:val="en-ZW"/>
        </w:rPr>
      </w:pPr>
      <w:r>
        <w:rPr>
          <w:rStyle w:val="FootnoteReference"/>
        </w:rPr>
        <w:footnoteRef/>
      </w:r>
      <w:r>
        <w:t xml:space="preserve"> </w:t>
      </w:r>
      <w:r>
        <w:rPr>
          <w:lang w:val="en-ZW"/>
        </w:rPr>
        <w:t>This statement is incomplete. We remind EDF to double-check their work to avoid missing information relative to their claim.</w:t>
      </w:r>
    </w:p>
  </w:footnote>
  <w:footnote w:id="6">
    <w:p w14:paraId="1305D0DA" w14:textId="77777777" w:rsidR="00F1660B" w:rsidRDefault="00F1660B" w:rsidP="00F1660B">
      <w:pPr>
        <w:pStyle w:val="FootnoteText"/>
      </w:pPr>
      <w:r>
        <w:rPr>
          <w:rStyle w:val="FootnoteReference"/>
        </w:rPr>
        <w:footnoteRef/>
      </w:r>
      <w:r>
        <w:t xml:space="preserve"> </w:t>
      </w:r>
      <w:r w:rsidRPr="00390673">
        <w:t xml:space="preserve">D.07-01-009, D.08-04-010, and ALJ Resolution ALJ 235.   </w:t>
      </w:r>
    </w:p>
  </w:footnote>
  <w:footnote w:id="7">
    <w:p w14:paraId="69E96C54" w14:textId="77777777" w:rsidR="00725FE2" w:rsidRDefault="00725FE2" w:rsidP="00725FE2">
      <w:pPr>
        <w:pStyle w:val="FootnoteText"/>
      </w:pPr>
      <w:r>
        <w:rPr>
          <w:rStyle w:val="FootnoteReference"/>
        </w:rPr>
        <w:footnoteRef/>
      </w:r>
      <w:r>
        <w:t xml:space="preserve"> </w:t>
      </w:r>
      <w:r w:rsidRPr="00390673">
        <w:t xml:space="preserve">D.07-01-009, D.08-04-010, and ALJ Resolution ALJ 235.   </w:t>
      </w:r>
    </w:p>
  </w:footnote>
  <w:footnote w:id="8">
    <w:p w14:paraId="441F05FB" w14:textId="36C2E4E5" w:rsidR="00F0233C" w:rsidRPr="00F0233C" w:rsidRDefault="00F0233C">
      <w:pPr>
        <w:pStyle w:val="FootnoteText"/>
        <w:rPr>
          <w:lang w:val="en-ZW"/>
        </w:rPr>
      </w:pPr>
      <w:r>
        <w:rPr>
          <w:rStyle w:val="FootnoteReference"/>
        </w:rPr>
        <w:footnoteRef/>
      </w:r>
      <w:r>
        <w:t xml:space="preserve"> </w:t>
      </w:r>
      <w:r w:rsidRPr="00F0233C">
        <w:rPr>
          <w:i/>
          <w:iCs/>
        </w:rPr>
        <w:t>See</w:t>
      </w:r>
      <w:r w:rsidRPr="00F0233C">
        <w:t xml:space="preserve"> </w:t>
      </w:r>
      <w:r w:rsidR="00C030F3" w:rsidRPr="00C030F3">
        <w:t>D.11-07-024 at p. 18</w:t>
      </w:r>
      <w:r w:rsidRPr="00F0233C">
        <w:t>, and the Commission’s Intervenor Compensation Program Guide at 12 and 22.</w:t>
      </w:r>
    </w:p>
  </w:footnote>
  <w:footnote w:id="9">
    <w:p w14:paraId="4549FD21" w14:textId="790B0660" w:rsidR="0062760B" w:rsidRPr="0062760B" w:rsidRDefault="0062760B">
      <w:pPr>
        <w:pStyle w:val="FootnoteText"/>
        <w:rPr>
          <w:lang w:val="en-ZW"/>
        </w:rPr>
      </w:pPr>
      <w:r>
        <w:rPr>
          <w:rStyle w:val="FootnoteReference"/>
        </w:rPr>
        <w:footnoteRef/>
      </w:r>
      <w:r>
        <w:t xml:space="preserve"> </w:t>
      </w:r>
      <w:r>
        <w:rPr>
          <w:lang w:val="en-ZW"/>
        </w:rPr>
        <w:t>D.22-04-022 at 22</w:t>
      </w:r>
      <w:r w:rsidR="00AD774E">
        <w:rPr>
          <w:lang w:val="en-ZW"/>
        </w:rPr>
        <w:t>.</w:t>
      </w:r>
    </w:p>
  </w:footnote>
  <w:footnote w:id="10">
    <w:p w14:paraId="5D08065A" w14:textId="51373F16" w:rsidR="00474694" w:rsidRPr="00474694" w:rsidRDefault="00474694">
      <w:pPr>
        <w:pStyle w:val="FootnoteText"/>
        <w:rPr>
          <w:lang w:val="en-ZW"/>
        </w:rPr>
      </w:pPr>
      <w:r>
        <w:rPr>
          <w:rStyle w:val="FootnoteReference"/>
        </w:rPr>
        <w:footnoteRef/>
      </w:r>
      <w:r>
        <w:t xml:space="preserve"> </w:t>
      </w:r>
      <w:r>
        <w:rPr>
          <w:lang w:val="en-ZW"/>
        </w:rPr>
        <w:t>D.</w:t>
      </w:r>
      <w:r w:rsidR="003216DB">
        <w:rPr>
          <w:lang w:val="en-ZW"/>
        </w:rPr>
        <w:t xml:space="preserve">21-04-022 at </w:t>
      </w:r>
      <w:r w:rsidR="00FF2A26">
        <w:rPr>
          <w:lang w:val="en-ZW"/>
        </w:rPr>
        <w:t>22.</w:t>
      </w:r>
    </w:p>
  </w:footnote>
  <w:footnote w:id="11">
    <w:p w14:paraId="1CD79260" w14:textId="6B8B8ADF" w:rsidR="009647E3" w:rsidRPr="009647E3" w:rsidRDefault="009647E3">
      <w:pPr>
        <w:pStyle w:val="FootnoteText"/>
        <w:rPr>
          <w:lang w:val="en-ZW"/>
        </w:rPr>
      </w:pPr>
      <w:r>
        <w:rPr>
          <w:rStyle w:val="FootnoteReference"/>
        </w:rPr>
        <w:footnoteRef/>
      </w:r>
      <w:r>
        <w:t xml:space="preserve"> </w:t>
      </w:r>
      <w:r>
        <w:rPr>
          <w:lang w:val="en-ZW"/>
        </w:rPr>
        <w:t>Myers serves as a consultant for EDF.</w:t>
      </w:r>
    </w:p>
  </w:footnote>
  <w:footnote w:id="12">
    <w:p w14:paraId="50A676C2" w14:textId="208D5B81" w:rsidR="009647E3" w:rsidRPr="009647E3" w:rsidRDefault="009647E3">
      <w:pPr>
        <w:pStyle w:val="FootnoteText"/>
        <w:rPr>
          <w:lang w:val="en-ZW"/>
        </w:rPr>
      </w:pPr>
      <w:r>
        <w:rPr>
          <w:rStyle w:val="FootnoteReference"/>
        </w:rPr>
        <w:footnoteRef/>
      </w:r>
      <w:r>
        <w:t xml:space="preserve"> </w:t>
      </w:r>
      <w:r>
        <w:rPr>
          <w:lang w:val="en-ZW"/>
        </w:rPr>
        <w:t>Moss serves as a consultant for EDF.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CFEF" w14:textId="49B4F3B0" w:rsidR="000161FE" w:rsidRDefault="000161FE" w:rsidP="003362E1">
    <w:pPr>
      <w:pStyle w:val="Header"/>
      <w:tabs>
        <w:tab w:val="left" w:pos="8160"/>
      </w:tabs>
    </w:pPr>
    <w:r>
      <w:t>A.21-12-006 et al. ALJ/</w:t>
    </w:r>
    <w:r w:rsidR="00D37BC7">
      <w:t>SW9/kp7</w:t>
    </w:r>
    <w:r w:rsidR="00D37BC7">
      <w:tab/>
    </w:r>
    <w:r w:rsidR="00D37BC7">
      <w:tab/>
    </w:r>
    <w:r w:rsidR="003362E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9C6093"/>
    <w:multiLevelType w:val="hybridMultilevel"/>
    <w:tmpl w:val="2F6A45A0"/>
    <w:lvl w:ilvl="0" w:tplc="91B42DCE">
      <w:start w:val="1"/>
      <w:numFmt w:val="decimal"/>
      <w:lvlText w:val="%1."/>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17BB7"/>
    <w:multiLevelType w:val="hybridMultilevel"/>
    <w:tmpl w:val="2536EB7E"/>
    <w:lvl w:ilvl="0" w:tplc="1D1AE624">
      <w:start w:val="1"/>
      <w:numFmt w:val="decimal"/>
      <w:lvlText w:val="%1."/>
      <w:lvlJc w:val="left"/>
      <w:pPr>
        <w:ind w:left="0" w:firstLine="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52F0203"/>
    <w:multiLevelType w:val="hybridMultilevel"/>
    <w:tmpl w:val="61E292D6"/>
    <w:lvl w:ilvl="0" w:tplc="03982774">
      <w:start w:val="1"/>
      <w:numFmt w:val="decimal"/>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042462"/>
    <w:multiLevelType w:val="hybridMultilevel"/>
    <w:tmpl w:val="63B2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4806A2"/>
    <w:multiLevelType w:val="multilevel"/>
    <w:tmpl w:val="5428E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2" w15:restartNumberingAfterBreak="0">
    <w:nsid w:val="5B7E4697"/>
    <w:multiLevelType w:val="hybridMultilevel"/>
    <w:tmpl w:val="176CFB8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BF72C18"/>
    <w:multiLevelType w:val="hybridMultilevel"/>
    <w:tmpl w:val="B4D87058"/>
    <w:lvl w:ilvl="0" w:tplc="85906F4E">
      <w:start w:val="1"/>
      <w:numFmt w:val="decimal"/>
      <w:lvlText w:val="%1."/>
      <w:lvlJc w:val="left"/>
      <w:pPr>
        <w:ind w:left="7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8179A5"/>
    <w:multiLevelType w:val="hybridMultilevel"/>
    <w:tmpl w:val="747EA056"/>
    <w:lvl w:ilvl="0" w:tplc="1E782E62">
      <w:start w:val="1"/>
      <w:numFmt w:val="decimal"/>
      <w:pStyle w:val="FoF"/>
      <w:lvlText w:val="%1."/>
      <w:lvlJc w:val="left"/>
      <w:pPr>
        <w:tabs>
          <w:tab w:val="num" w:pos="0"/>
        </w:tabs>
        <w:ind w:left="7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CC5719"/>
    <w:multiLevelType w:val="hybridMultilevel"/>
    <w:tmpl w:val="2264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431786">
    <w:abstractNumId w:val="14"/>
  </w:num>
  <w:num w:numId="2" w16cid:durableId="296566636">
    <w:abstractNumId w:val="0"/>
  </w:num>
  <w:num w:numId="3" w16cid:durableId="2098595014">
    <w:abstractNumId w:val="15"/>
  </w:num>
  <w:num w:numId="4" w16cid:durableId="1312905431">
    <w:abstractNumId w:val="9"/>
  </w:num>
  <w:num w:numId="5" w16cid:durableId="417093550">
    <w:abstractNumId w:val="6"/>
  </w:num>
  <w:num w:numId="6" w16cid:durableId="1486429129">
    <w:abstractNumId w:val="11"/>
  </w:num>
  <w:num w:numId="7" w16cid:durableId="258221757">
    <w:abstractNumId w:val="7"/>
  </w:num>
  <w:num w:numId="8" w16cid:durableId="842936081">
    <w:abstractNumId w:val="10"/>
  </w:num>
  <w:num w:numId="9" w16cid:durableId="1685205339">
    <w:abstractNumId w:val="2"/>
  </w:num>
  <w:num w:numId="10" w16cid:durableId="789317941">
    <w:abstractNumId w:val="4"/>
  </w:num>
  <w:num w:numId="11" w16cid:durableId="281495655">
    <w:abstractNumId w:val="5"/>
  </w:num>
  <w:num w:numId="12" w16cid:durableId="13852534">
    <w:abstractNumId w:val="16"/>
  </w:num>
  <w:num w:numId="13" w16cid:durableId="1616911921">
    <w:abstractNumId w:val="1"/>
  </w:num>
  <w:num w:numId="14" w16cid:durableId="519588102">
    <w:abstractNumId w:val="3"/>
  </w:num>
  <w:num w:numId="15" w16cid:durableId="2078554425">
    <w:abstractNumId w:val="13"/>
  </w:num>
  <w:num w:numId="16" w16cid:durableId="1170023571">
    <w:abstractNumId w:val="12"/>
  </w:num>
  <w:num w:numId="17" w16cid:durableId="1418939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0B9A"/>
    <w:rsid w:val="0000142C"/>
    <w:rsid w:val="00001F2B"/>
    <w:rsid w:val="00003A49"/>
    <w:rsid w:val="00007E36"/>
    <w:rsid w:val="00010AD4"/>
    <w:rsid w:val="000161FE"/>
    <w:rsid w:val="00016339"/>
    <w:rsid w:val="00016BD3"/>
    <w:rsid w:val="0001754F"/>
    <w:rsid w:val="00021360"/>
    <w:rsid w:val="00023B21"/>
    <w:rsid w:val="00024B8F"/>
    <w:rsid w:val="00025902"/>
    <w:rsid w:val="00025E05"/>
    <w:rsid w:val="00026A15"/>
    <w:rsid w:val="00027457"/>
    <w:rsid w:val="00031F8B"/>
    <w:rsid w:val="000331C0"/>
    <w:rsid w:val="00034492"/>
    <w:rsid w:val="000350FF"/>
    <w:rsid w:val="00036DC8"/>
    <w:rsid w:val="00036EE9"/>
    <w:rsid w:val="00036F54"/>
    <w:rsid w:val="00042037"/>
    <w:rsid w:val="00043775"/>
    <w:rsid w:val="00045A2F"/>
    <w:rsid w:val="00045D15"/>
    <w:rsid w:val="00046A37"/>
    <w:rsid w:val="000470D7"/>
    <w:rsid w:val="00047938"/>
    <w:rsid w:val="00047C3A"/>
    <w:rsid w:val="00050B51"/>
    <w:rsid w:val="00052C50"/>
    <w:rsid w:val="00052E3B"/>
    <w:rsid w:val="000536A9"/>
    <w:rsid w:val="00053B87"/>
    <w:rsid w:val="0005538D"/>
    <w:rsid w:val="00055843"/>
    <w:rsid w:val="00056E0D"/>
    <w:rsid w:val="0005765D"/>
    <w:rsid w:val="0006226B"/>
    <w:rsid w:val="00067FE9"/>
    <w:rsid w:val="0007040A"/>
    <w:rsid w:val="00072C81"/>
    <w:rsid w:val="00073262"/>
    <w:rsid w:val="00075083"/>
    <w:rsid w:val="00075F54"/>
    <w:rsid w:val="00076951"/>
    <w:rsid w:val="000777C9"/>
    <w:rsid w:val="00080BC8"/>
    <w:rsid w:val="0008184D"/>
    <w:rsid w:val="000829E5"/>
    <w:rsid w:val="00090838"/>
    <w:rsid w:val="00090EAD"/>
    <w:rsid w:val="00091392"/>
    <w:rsid w:val="000971C0"/>
    <w:rsid w:val="00097C42"/>
    <w:rsid w:val="00097F30"/>
    <w:rsid w:val="000A06EC"/>
    <w:rsid w:val="000A0D77"/>
    <w:rsid w:val="000A24C2"/>
    <w:rsid w:val="000A3895"/>
    <w:rsid w:val="000A556C"/>
    <w:rsid w:val="000A6380"/>
    <w:rsid w:val="000B0860"/>
    <w:rsid w:val="000B0D33"/>
    <w:rsid w:val="000B1B22"/>
    <w:rsid w:val="000B6E89"/>
    <w:rsid w:val="000B7E41"/>
    <w:rsid w:val="000C0F8C"/>
    <w:rsid w:val="000C1CCD"/>
    <w:rsid w:val="000C3C88"/>
    <w:rsid w:val="000C739C"/>
    <w:rsid w:val="000C79AE"/>
    <w:rsid w:val="000C7EED"/>
    <w:rsid w:val="000D135E"/>
    <w:rsid w:val="000D148A"/>
    <w:rsid w:val="000D1E70"/>
    <w:rsid w:val="000D3DCB"/>
    <w:rsid w:val="000D3E9E"/>
    <w:rsid w:val="000D4DF9"/>
    <w:rsid w:val="000D6491"/>
    <w:rsid w:val="000D6CA0"/>
    <w:rsid w:val="000D6DF8"/>
    <w:rsid w:val="000E0C99"/>
    <w:rsid w:val="000E372B"/>
    <w:rsid w:val="000E41D9"/>
    <w:rsid w:val="000E4BFA"/>
    <w:rsid w:val="000E6ABD"/>
    <w:rsid w:val="000E72FA"/>
    <w:rsid w:val="000F280D"/>
    <w:rsid w:val="000F3094"/>
    <w:rsid w:val="000F4796"/>
    <w:rsid w:val="000F595C"/>
    <w:rsid w:val="000F5C31"/>
    <w:rsid w:val="000F7670"/>
    <w:rsid w:val="000F7C11"/>
    <w:rsid w:val="00100C87"/>
    <w:rsid w:val="001011F0"/>
    <w:rsid w:val="001015AC"/>
    <w:rsid w:val="00101BE0"/>
    <w:rsid w:val="0010480F"/>
    <w:rsid w:val="00105C12"/>
    <w:rsid w:val="0011043B"/>
    <w:rsid w:val="00110D89"/>
    <w:rsid w:val="00114B26"/>
    <w:rsid w:val="00116666"/>
    <w:rsid w:val="00120C69"/>
    <w:rsid w:val="00123103"/>
    <w:rsid w:val="00124626"/>
    <w:rsid w:val="00125492"/>
    <w:rsid w:val="0012587E"/>
    <w:rsid w:val="00127CF5"/>
    <w:rsid w:val="00131037"/>
    <w:rsid w:val="001346EB"/>
    <w:rsid w:val="0013667B"/>
    <w:rsid w:val="00141A4E"/>
    <w:rsid w:val="00151AA8"/>
    <w:rsid w:val="00152F94"/>
    <w:rsid w:val="00154C2C"/>
    <w:rsid w:val="00155D02"/>
    <w:rsid w:val="00155F30"/>
    <w:rsid w:val="00162D9A"/>
    <w:rsid w:val="00164114"/>
    <w:rsid w:val="00171EBF"/>
    <w:rsid w:val="00172171"/>
    <w:rsid w:val="00174AB5"/>
    <w:rsid w:val="00174F77"/>
    <w:rsid w:val="001750E8"/>
    <w:rsid w:val="00175865"/>
    <w:rsid w:val="00180E8C"/>
    <w:rsid w:val="001810AC"/>
    <w:rsid w:val="00181A84"/>
    <w:rsid w:val="001853E3"/>
    <w:rsid w:val="00185EAF"/>
    <w:rsid w:val="001860CA"/>
    <w:rsid w:val="00190B8E"/>
    <w:rsid w:val="00191887"/>
    <w:rsid w:val="00195A7C"/>
    <w:rsid w:val="001962EB"/>
    <w:rsid w:val="001A0487"/>
    <w:rsid w:val="001A3CF3"/>
    <w:rsid w:val="001B036A"/>
    <w:rsid w:val="001B206B"/>
    <w:rsid w:val="001B4565"/>
    <w:rsid w:val="001B4D79"/>
    <w:rsid w:val="001B6F67"/>
    <w:rsid w:val="001C0AD9"/>
    <w:rsid w:val="001C0C2B"/>
    <w:rsid w:val="001C0DD1"/>
    <w:rsid w:val="001C13D9"/>
    <w:rsid w:val="001C21AE"/>
    <w:rsid w:val="001C2693"/>
    <w:rsid w:val="001D2609"/>
    <w:rsid w:val="001D3ED2"/>
    <w:rsid w:val="001D4D97"/>
    <w:rsid w:val="001D5DAB"/>
    <w:rsid w:val="001E2D9B"/>
    <w:rsid w:val="001E54F8"/>
    <w:rsid w:val="001E77CF"/>
    <w:rsid w:val="001E7EE2"/>
    <w:rsid w:val="001F19F5"/>
    <w:rsid w:val="001F238E"/>
    <w:rsid w:val="001F347D"/>
    <w:rsid w:val="001F4EE9"/>
    <w:rsid w:val="00202038"/>
    <w:rsid w:val="00204139"/>
    <w:rsid w:val="00204E3A"/>
    <w:rsid w:val="00204E73"/>
    <w:rsid w:val="00205CF4"/>
    <w:rsid w:val="00207FA7"/>
    <w:rsid w:val="002102C7"/>
    <w:rsid w:val="00212A77"/>
    <w:rsid w:val="00212D77"/>
    <w:rsid w:val="00212E10"/>
    <w:rsid w:val="00214B22"/>
    <w:rsid w:val="00214EE0"/>
    <w:rsid w:val="00215CFF"/>
    <w:rsid w:val="00217224"/>
    <w:rsid w:val="00217D0E"/>
    <w:rsid w:val="00220681"/>
    <w:rsid w:val="002209D6"/>
    <w:rsid w:val="0022302F"/>
    <w:rsid w:val="00224F37"/>
    <w:rsid w:val="002264CC"/>
    <w:rsid w:val="0022658E"/>
    <w:rsid w:val="0022775E"/>
    <w:rsid w:val="002300D1"/>
    <w:rsid w:val="00230392"/>
    <w:rsid w:val="0023300B"/>
    <w:rsid w:val="00234626"/>
    <w:rsid w:val="002415DC"/>
    <w:rsid w:val="00241E3E"/>
    <w:rsid w:val="00246149"/>
    <w:rsid w:val="00246608"/>
    <w:rsid w:val="002466F8"/>
    <w:rsid w:val="002467E1"/>
    <w:rsid w:val="00246E5D"/>
    <w:rsid w:val="00250AAB"/>
    <w:rsid w:val="00256F00"/>
    <w:rsid w:val="00260518"/>
    <w:rsid w:val="00261124"/>
    <w:rsid w:val="0026176E"/>
    <w:rsid w:val="002621A4"/>
    <w:rsid w:val="00264333"/>
    <w:rsid w:val="00270E2E"/>
    <w:rsid w:val="00271FCB"/>
    <w:rsid w:val="00271FF9"/>
    <w:rsid w:val="00273208"/>
    <w:rsid w:val="00274288"/>
    <w:rsid w:val="00276D80"/>
    <w:rsid w:val="0027724B"/>
    <w:rsid w:val="0027751F"/>
    <w:rsid w:val="00281616"/>
    <w:rsid w:val="002844F6"/>
    <w:rsid w:val="00285176"/>
    <w:rsid w:val="00285E6B"/>
    <w:rsid w:val="00287119"/>
    <w:rsid w:val="00290AA1"/>
    <w:rsid w:val="0029480B"/>
    <w:rsid w:val="002959E0"/>
    <w:rsid w:val="002A1692"/>
    <w:rsid w:val="002A2267"/>
    <w:rsid w:val="002A2DFE"/>
    <w:rsid w:val="002A31E7"/>
    <w:rsid w:val="002A3A17"/>
    <w:rsid w:val="002A474B"/>
    <w:rsid w:val="002A4E8F"/>
    <w:rsid w:val="002A6C07"/>
    <w:rsid w:val="002B0DD3"/>
    <w:rsid w:val="002B196B"/>
    <w:rsid w:val="002B7B80"/>
    <w:rsid w:val="002C16D3"/>
    <w:rsid w:val="002C44D4"/>
    <w:rsid w:val="002C7339"/>
    <w:rsid w:val="002C7DBE"/>
    <w:rsid w:val="002D0BE2"/>
    <w:rsid w:val="002D21CA"/>
    <w:rsid w:val="002D53AA"/>
    <w:rsid w:val="002D5893"/>
    <w:rsid w:val="002E243D"/>
    <w:rsid w:val="002E47B4"/>
    <w:rsid w:val="002E4A0D"/>
    <w:rsid w:val="002E58AC"/>
    <w:rsid w:val="002E5F83"/>
    <w:rsid w:val="002E6185"/>
    <w:rsid w:val="002E77D8"/>
    <w:rsid w:val="002F07ED"/>
    <w:rsid w:val="002F158E"/>
    <w:rsid w:val="002F3598"/>
    <w:rsid w:val="002F7E16"/>
    <w:rsid w:val="00300112"/>
    <w:rsid w:val="0030176B"/>
    <w:rsid w:val="00303C2B"/>
    <w:rsid w:val="00306638"/>
    <w:rsid w:val="003108F7"/>
    <w:rsid w:val="00311EB0"/>
    <w:rsid w:val="00313D12"/>
    <w:rsid w:val="00314784"/>
    <w:rsid w:val="00315438"/>
    <w:rsid w:val="003216DB"/>
    <w:rsid w:val="00325670"/>
    <w:rsid w:val="0032707B"/>
    <w:rsid w:val="003300A9"/>
    <w:rsid w:val="00333DE8"/>
    <w:rsid w:val="00334A0B"/>
    <w:rsid w:val="00334BE7"/>
    <w:rsid w:val="003350D9"/>
    <w:rsid w:val="0033619F"/>
    <w:rsid w:val="003362E1"/>
    <w:rsid w:val="00344297"/>
    <w:rsid w:val="003501DD"/>
    <w:rsid w:val="0035027D"/>
    <w:rsid w:val="00355985"/>
    <w:rsid w:val="00357623"/>
    <w:rsid w:val="00357F1A"/>
    <w:rsid w:val="003606C1"/>
    <w:rsid w:val="00362D4C"/>
    <w:rsid w:val="003633C7"/>
    <w:rsid w:val="003640A6"/>
    <w:rsid w:val="00364ADE"/>
    <w:rsid w:val="00371C9A"/>
    <w:rsid w:val="00374FD1"/>
    <w:rsid w:val="00377884"/>
    <w:rsid w:val="00377B14"/>
    <w:rsid w:val="00380703"/>
    <w:rsid w:val="00383450"/>
    <w:rsid w:val="003835D4"/>
    <w:rsid w:val="0039180D"/>
    <w:rsid w:val="00391C70"/>
    <w:rsid w:val="0039515B"/>
    <w:rsid w:val="003A0199"/>
    <w:rsid w:val="003A2A5A"/>
    <w:rsid w:val="003A665F"/>
    <w:rsid w:val="003A6928"/>
    <w:rsid w:val="003A7185"/>
    <w:rsid w:val="003B167F"/>
    <w:rsid w:val="003B1782"/>
    <w:rsid w:val="003B5EAC"/>
    <w:rsid w:val="003B6A1B"/>
    <w:rsid w:val="003B752E"/>
    <w:rsid w:val="003B7755"/>
    <w:rsid w:val="003C0BD3"/>
    <w:rsid w:val="003C111F"/>
    <w:rsid w:val="003C3F56"/>
    <w:rsid w:val="003C608A"/>
    <w:rsid w:val="003C68FA"/>
    <w:rsid w:val="003C78B4"/>
    <w:rsid w:val="003D1311"/>
    <w:rsid w:val="003D19CD"/>
    <w:rsid w:val="003D1DC8"/>
    <w:rsid w:val="003D2E21"/>
    <w:rsid w:val="003D359B"/>
    <w:rsid w:val="003D35A5"/>
    <w:rsid w:val="003D4455"/>
    <w:rsid w:val="003E34FD"/>
    <w:rsid w:val="003E4483"/>
    <w:rsid w:val="003E5037"/>
    <w:rsid w:val="003E72F2"/>
    <w:rsid w:val="003E7E36"/>
    <w:rsid w:val="003F0871"/>
    <w:rsid w:val="003F705A"/>
    <w:rsid w:val="00401172"/>
    <w:rsid w:val="0040293B"/>
    <w:rsid w:val="00404C6F"/>
    <w:rsid w:val="00404DAC"/>
    <w:rsid w:val="004058D7"/>
    <w:rsid w:val="00410978"/>
    <w:rsid w:val="0041539B"/>
    <w:rsid w:val="00415E9F"/>
    <w:rsid w:val="00416E78"/>
    <w:rsid w:val="004171D5"/>
    <w:rsid w:val="00421156"/>
    <w:rsid w:val="0042216B"/>
    <w:rsid w:val="00423659"/>
    <w:rsid w:val="0042377A"/>
    <w:rsid w:val="0043159C"/>
    <w:rsid w:val="00431BE8"/>
    <w:rsid w:val="00433F29"/>
    <w:rsid w:val="0043554E"/>
    <w:rsid w:val="00435C30"/>
    <w:rsid w:val="004362A6"/>
    <w:rsid w:val="00437243"/>
    <w:rsid w:val="00443333"/>
    <w:rsid w:val="00443BB1"/>
    <w:rsid w:val="00443CE8"/>
    <w:rsid w:val="004534E7"/>
    <w:rsid w:val="00453857"/>
    <w:rsid w:val="00454DDD"/>
    <w:rsid w:val="00460796"/>
    <w:rsid w:val="004617C1"/>
    <w:rsid w:val="0046248A"/>
    <w:rsid w:val="00463291"/>
    <w:rsid w:val="00465B1B"/>
    <w:rsid w:val="004672CB"/>
    <w:rsid w:val="00467E65"/>
    <w:rsid w:val="00472EB0"/>
    <w:rsid w:val="0047308B"/>
    <w:rsid w:val="00474694"/>
    <w:rsid w:val="00476390"/>
    <w:rsid w:val="00480949"/>
    <w:rsid w:val="00480BF6"/>
    <w:rsid w:val="00482743"/>
    <w:rsid w:val="004840D2"/>
    <w:rsid w:val="00486558"/>
    <w:rsid w:val="004900EA"/>
    <w:rsid w:val="0049590A"/>
    <w:rsid w:val="004968E2"/>
    <w:rsid w:val="00496D08"/>
    <w:rsid w:val="0049728E"/>
    <w:rsid w:val="004A01E0"/>
    <w:rsid w:val="004A1085"/>
    <w:rsid w:val="004A1BEE"/>
    <w:rsid w:val="004A4320"/>
    <w:rsid w:val="004A529C"/>
    <w:rsid w:val="004A6FD4"/>
    <w:rsid w:val="004B13A3"/>
    <w:rsid w:val="004B2EBD"/>
    <w:rsid w:val="004C0961"/>
    <w:rsid w:val="004C39A1"/>
    <w:rsid w:val="004C7813"/>
    <w:rsid w:val="004D6B6D"/>
    <w:rsid w:val="004D6B9B"/>
    <w:rsid w:val="004D779D"/>
    <w:rsid w:val="004E0395"/>
    <w:rsid w:val="004E0AA9"/>
    <w:rsid w:val="004E143F"/>
    <w:rsid w:val="004E1996"/>
    <w:rsid w:val="004E3143"/>
    <w:rsid w:val="004E3939"/>
    <w:rsid w:val="004E3A7B"/>
    <w:rsid w:val="004E3D93"/>
    <w:rsid w:val="004E7F91"/>
    <w:rsid w:val="004F1D33"/>
    <w:rsid w:val="004F2FBE"/>
    <w:rsid w:val="004F530B"/>
    <w:rsid w:val="0050121D"/>
    <w:rsid w:val="00503B90"/>
    <w:rsid w:val="00511326"/>
    <w:rsid w:val="00511889"/>
    <w:rsid w:val="00512046"/>
    <w:rsid w:val="005129A6"/>
    <w:rsid w:val="00514D08"/>
    <w:rsid w:val="00516CE7"/>
    <w:rsid w:val="00520AC1"/>
    <w:rsid w:val="005215EF"/>
    <w:rsid w:val="00521B86"/>
    <w:rsid w:val="00523E24"/>
    <w:rsid w:val="00527FDB"/>
    <w:rsid w:val="00530D7E"/>
    <w:rsid w:val="0053272A"/>
    <w:rsid w:val="0053328D"/>
    <w:rsid w:val="00533373"/>
    <w:rsid w:val="005340D3"/>
    <w:rsid w:val="0053435F"/>
    <w:rsid w:val="00537ED6"/>
    <w:rsid w:val="00547145"/>
    <w:rsid w:val="00551967"/>
    <w:rsid w:val="00551A3A"/>
    <w:rsid w:val="00552031"/>
    <w:rsid w:val="0055228B"/>
    <w:rsid w:val="00553A83"/>
    <w:rsid w:val="00555813"/>
    <w:rsid w:val="00562256"/>
    <w:rsid w:val="0056343D"/>
    <w:rsid w:val="005646CA"/>
    <w:rsid w:val="00564D2A"/>
    <w:rsid w:val="00567530"/>
    <w:rsid w:val="005705F7"/>
    <w:rsid w:val="0057088A"/>
    <w:rsid w:val="0057367A"/>
    <w:rsid w:val="00575494"/>
    <w:rsid w:val="005816F9"/>
    <w:rsid w:val="005836E0"/>
    <w:rsid w:val="0058628E"/>
    <w:rsid w:val="005912FA"/>
    <w:rsid w:val="00592468"/>
    <w:rsid w:val="0059289A"/>
    <w:rsid w:val="00594A9E"/>
    <w:rsid w:val="00597602"/>
    <w:rsid w:val="005A2DA7"/>
    <w:rsid w:val="005A3018"/>
    <w:rsid w:val="005A53F1"/>
    <w:rsid w:val="005A547D"/>
    <w:rsid w:val="005A54E4"/>
    <w:rsid w:val="005A63D4"/>
    <w:rsid w:val="005A65C2"/>
    <w:rsid w:val="005A7C23"/>
    <w:rsid w:val="005B55A7"/>
    <w:rsid w:val="005B5B44"/>
    <w:rsid w:val="005C19BF"/>
    <w:rsid w:val="005C2406"/>
    <w:rsid w:val="005C327F"/>
    <w:rsid w:val="005C56B5"/>
    <w:rsid w:val="005D075A"/>
    <w:rsid w:val="005D0F0D"/>
    <w:rsid w:val="005D0F1F"/>
    <w:rsid w:val="005D6501"/>
    <w:rsid w:val="005E17BB"/>
    <w:rsid w:val="005E3577"/>
    <w:rsid w:val="005E4208"/>
    <w:rsid w:val="005E50F0"/>
    <w:rsid w:val="005E5F96"/>
    <w:rsid w:val="005E7D92"/>
    <w:rsid w:val="005F4D82"/>
    <w:rsid w:val="005F64A5"/>
    <w:rsid w:val="0060079A"/>
    <w:rsid w:val="0060154E"/>
    <w:rsid w:val="00601BA3"/>
    <w:rsid w:val="00603300"/>
    <w:rsid w:val="00613A3F"/>
    <w:rsid w:val="00614571"/>
    <w:rsid w:val="00614AE5"/>
    <w:rsid w:val="00620AAC"/>
    <w:rsid w:val="00621936"/>
    <w:rsid w:val="00621A7C"/>
    <w:rsid w:val="0062332A"/>
    <w:rsid w:val="00623745"/>
    <w:rsid w:val="00623893"/>
    <w:rsid w:val="00624D91"/>
    <w:rsid w:val="00625F35"/>
    <w:rsid w:val="00627039"/>
    <w:rsid w:val="0062760B"/>
    <w:rsid w:val="0063290A"/>
    <w:rsid w:val="00633CEE"/>
    <w:rsid w:val="00635C58"/>
    <w:rsid w:val="00637940"/>
    <w:rsid w:val="0064478D"/>
    <w:rsid w:val="0065087E"/>
    <w:rsid w:val="00652DEA"/>
    <w:rsid w:val="006554BB"/>
    <w:rsid w:val="00660228"/>
    <w:rsid w:val="00660832"/>
    <w:rsid w:val="00660A56"/>
    <w:rsid w:val="00660D7E"/>
    <w:rsid w:val="006637D2"/>
    <w:rsid w:val="00664115"/>
    <w:rsid w:val="00664BF7"/>
    <w:rsid w:val="00670D79"/>
    <w:rsid w:val="00671569"/>
    <w:rsid w:val="00671627"/>
    <w:rsid w:val="0067185B"/>
    <w:rsid w:val="0067186A"/>
    <w:rsid w:val="00673595"/>
    <w:rsid w:val="00673EB1"/>
    <w:rsid w:val="00676A5F"/>
    <w:rsid w:val="0068139B"/>
    <w:rsid w:val="00681F29"/>
    <w:rsid w:val="006825B0"/>
    <w:rsid w:val="0068386C"/>
    <w:rsid w:val="00684AF2"/>
    <w:rsid w:val="00686E8A"/>
    <w:rsid w:val="00687511"/>
    <w:rsid w:val="00690B1B"/>
    <w:rsid w:val="00690B89"/>
    <w:rsid w:val="00691528"/>
    <w:rsid w:val="00692619"/>
    <w:rsid w:val="00692738"/>
    <w:rsid w:val="00695CAF"/>
    <w:rsid w:val="006A2B17"/>
    <w:rsid w:val="006A2D46"/>
    <w:rsid w:val="006A7272"/>
    <w:rsid w:val="006A747D"/>
    <w:rsid w:val="006B0B5E"/>
    <w:rsid w:val="006B0BC7"/>
    <w:rsid w:val="006B2795"/>
    <w:rsid w:val="006B3C10"/>
    <w:rsid w:val="006B666D"/>
    <w:rsid w:val="006B7228"/>
    <w:rsid w:val="006B7375"/>
    <w:rsid w:val="006C2AF4"/>
    <w:rsid w:val="006C2C5C"/>
    <w:rsid w:val="006C32B4"/>
    <w:rsid w:val="006C3CA6"/>
    <w:rsid w:val="006D1BE0"/>
    <w:rsid w:val="006D21EA"/>
    <w:rsid w:val="006D3C2A"/>
    <w:rsid w:val="006D4B0E"/>
    <w:rsid w:val="006D66D4"/>
    <w:rsid w:val="006D67C9"/>
    <w:rsid w:val="006E7035"/>
    <w:rsid w:val="006F35F5"/>
    <w:rsid w:val="006F5EF4"/>
    <w:rsid w:val="006F61D5"/>
    <w:rsid w:val="006F76E3"/>
    <w:rsid w:val="00700B8F"/>
    <w:rsid w:val="00703D5A"/>
    <w:rsid w:val="00705215"/>
    <w:rsid w:val="007056FC"/>
    <w:rsid w:val="00706C25"/>
    <w:rsid w:val="00720138"/>
    <w:rsid w:val="00723006"/>
    <w:rsid w:val="00725FE2"/>
    <w:rsid w:val="007270E4"/>
    <w:rsid w:val="0073065A"/>
    <w:rsid w:val="00732C6D"/>
    <w:rsid w:val="00741885"/>
    <w:rsid w:val="00742BD3"/>
    <w:rsid w:val="007439E9"/>
    <w:rsid w:val="0074620B"/>
    <w:rsid w:val="0074647E"/>
    <w:rsid w:val="0075219F"/>
    <w:rsid w:val="0075310F"/>
    <w:rsid w:val="00753F0B"/>
    <w:rsid w:val="00755FF5"/>
    <w:rsid w:val="00757805"/>
    <w:rsid w:val="00757B44"/>
    <w:rsid w:val="00762520"/>
    <w:rsid w:val="0076264B"/>
    <w:rsid w:val="00763797"/>
    <w:rsid w:val="00764264"/>
    <w:rsid w:val="007646D7"/>
    <w:rsid w:val="007703F6"/>
    <w:rsid w:val="0077317E"/>
    <w:rsid w:val="007734A2"/>
    <w:rsid w:val="007761B8"/>
    <w:rsid w:val="0077752C"/>
    <w:rsid w:val="00780C7B"/>
    <w:rsid w:val="007824D2"/>
    <w:rsid w:val="00783091"/>
    <w:rsid w:val="007863D2"/>
    <w:rsid w:val="00786CAD"/>
    <w:rsid w:val="00787D8D"/>
    <w:rsid w:val="007906C8"/>
    <w:rsid w:val="00790E78"/>
    <w:rsid w:val="00795DFC"/>
    <w:rsid w:val="007967F6"/>
    <w:rsid w:val="00797A09"/>
    <w:rsid w:val="007A1BE2"/>
    <w:rsid w:val="007A3FCC"/>
    <w:rsid w:val="007A4727"/>
    <w:rsid w:val="007A57A3"/>
    <w:rsid w:val="007A5F56"/>
    <w:rsid w:val="007A7123"/>
    <w:rsid w:val="007A71E0"/>
    <w:rsid w:val="007B0D2E"/>
    <w:rsid w:val="007B1FA9"/>
    <w:rsid w:val="007B21EF"/>
    <w:rsid w:val="007B292D"/>
    <w:rsid w:val="007B3235"/>
    <w:rsid w:val="007B357D"/>
    <w:rsid w:val="007C03E0"/>
    <w:rsid w:val="007C076C"/>
    <w:rsid w:val="007C07ED"/>
    <w:rsid w:val="007C1B69"/>
    <w:rsid w:val="007C62CC"/>
    <w:rsid w:val="007C7175"/>
    <w:rsid w:val="007D0DCC"/>
    <w:rsid w:val="007D2730"/>
    <w:rsid w:val="007D3171"/>
    <w:rsid w:val="007D5990"/>
    <w:rsid w:val="007E06EB"/>
    <w:rsid w:val="007E3A1D"/>
    <w:rsid w:val="007E5893"/>
    <w:rsid w:val="007E7189"/>
    <w:rsid w:val="007E71C3"/>
    <w:rsid w:val="007F222F"/>
    <w:rsid w:val="007F237B"/>
    <w:rsid w:val="007F620E"/>
    <w:rsid w:val="007F6809"/>
    <w:rsid w:val="007F69C2"/>
    <w:rsid w:val="007F6CF5"/>
    <w:rsid w:val="007F6E1A"/>
    <w:rsid w:val="00802101"/>
    <w:rsid w:val="0080219E"/>
    <w:rsid w:val="0080231F"/>
    <w:rsid w:val="00802701"/>
    <w:rsid w:val="0080310E"/>
    <w:rsid w:val="00803A79"/>
    <w:rsid w:val="00805162"/>
    <w:rsid w:val="008075F9"/>
    <w:rsid w:val="008116D2"/>
    <w:rsid w:val="00811DB1"/>
    <w:rsid w:val="00812FBC"/>
    <w:rsid w:val="00814902"/>
    <w:rsid w:val="00815F1F"/>
    <w:rsid w:val="0081626F"/>
    <w:rsid w:val="00820377"/>
    <w:rsid w:val="00823A6A"/>
    <w:rsid w:val="00823E16"/>
    <w:rsid w:val="00827F14"/>
    <w:rsid w:val="00831652"/>
    <w:rsid w:val="00832183"/>
    <w:rsid w:val="008322D4"/>
    <w:rsid w:val="0083350A"/>
    <w:rsid w:val="00834223"/>
    <w:rsid w:val="0083442F"/>
    <w:rsid w:val="0083665E"/>
    <w:rsid w:val="0083686B"/>
    <w:rsid w:val="008369BE"/>
    <w:rsid w:val="00837B77"/>
    <w:rsid w:val="00844D0C"/>
    <w:rsid w:val="008470F6"/>
    <w:rsid w:val="00847512"/>
    <w:rsid w:val="00850741"/>
    <w:rsid w:val="008520C3"/>
    <w:rsid w:val="008551DD"/>
    <w:rsid w:val="00855D90"/>
    <w:rsid w:val="00855FD7"/>
    <w:rsid w:val="00860A76"/>
    <w:rsid w:val="00863401"/>
    <w:rsid w:val="00865DE8"/>
    <w:rsid w:val="008711D6"/>
    <w:rsid w:val="00874127"/>
    <w:rsid w:val="00877143"/>
    <w:rsid w:val="00880855"/>
    <w:rsid w:val="0088362E"/>
    <w:rsid w:val="008844B6"/>
    <w:rsid w:val="00884D43"/>
    <w:rsid w:val="008851C6"/>
    <w:rsid w:val="00885956"/>
    <w:rsid w:val="00886869"/>
    <w:rsid w:val="00887536"/>
    <w:rsid w:val="008922AA"/>
    <w:rsid w:val="00894A4C"/>
    <w:rsid w:val="00896488"/>
    <w:rsid w:val="0089758B"/>
    <w:rsid w:val="0089790C"/>
    <w:rsid w:val="008A2BB0"/>
    <w:rsid w:val="008A3A8A"/>
    <w:rsid w:val="008A3E39"/>
    <w:rsid w:val="008A4331"/>
    <w:rsid w:val="008A5EF0"/>
    <w:rsid w:val="008A6BC2"/>
    <w:rsid w:val="008B0DE8"/>
    <w:rsid w:val="008B2437"/>
    <w:rsid w:val="008B4B7B"/>
    <w:rsid w:val="008B4CB6"/>
    <w:rsid w:val="008B66C1"/>
    <w:rsid w:val="008B67E2"/>
    <w:rsid w:val="008B6D9E"/>
    <w:rsid w:val="008B7BB0"/>
    <w:rsid w:val="008C09F7"/>
    <w:rsid w:val="008C2208"/>
    <w:rsid w:val="008C229D"/>
    <w:rsid w:val="008C4FE9"/>
    <w:rsid w:val="008C5398"/>
    <w:rsid w:val="008D29F9"/>
    <w:rsid w:val="008D2ABD"/>
    <w:rsid w:val="008D35B5"/>
    <w:rsid w:val="008D4903"/>
    <w:rsid w:val="008D50B2"/>
    <w:rsid w:val="008D5C90"/>
    <w:rsid w:val="008E0ADF"/>
    <w:rsid w:val="008E182E"/>
    <w:rsid w:val="008E3450"/>
    <w:rsid w:val="008E4336"/>
    <w:rsid w:val="008E4FB1"/>
    <w:rsid w:val="008E7323"/>
    <w:rsid w:val="008F0D1B"/>
    <w:rsid w:val="008F2563"/>
    <w:rsid w:val="008F335B"/>
    <w:rsid w:val="008F4287"/>
    <w:rsid w:val="008F6320"/>
    <w:rsid w:val="008F663D"/>
    <w:rsid w:val="008F785F"/>
    <w:rsid w:val="00901160"/>
    <w:rsid w:val="009015E9"/>
    <w:rsid w:val="00904EAD"/>
    <w:rsid w:val="00905913"/>
    <w:rsid w:val="00911126"/>
    <w:rsid w:val="009118C3"/>
    <w:rsid w:val="009120DE"/>
    <w:rsid w:val="00912464"/>
    <w:rsid w:val="00915118"/>
    <w:rsid w:val="00917D8C"/>
    <w:rsid w:val="009202FA"/>
    <w:rsid w:val="00920866"/>
    <w:rsid w:val="00921D06"/>
    <w:rsid w:val="00924F3E"/>
    <w:rsid w:val="00925AD9"/>
    <w:rsid w:val="00925FAB"/>
    <w:rsid w:val="00936976"/>
    <w:rsid w:val="00941D91"/>
    <w:rsid w:val="0094223A"/>
    <w:rsid w:val="009422D4"/>
    <w:rsid w:val="009436C8"/>
    <w:rsid w:val="00943897"/>
    <w:rsid w:val="00945285"/>
    <w:rsid w:val="0094731F"/>
    <w:rsid w:val="00947C95"/>
    <w:rsid w:val="009504E7"/>
    <w:rsid w:val="009549D0"/>
    <w:rsid w:val="00956598"/>
    <w:rsid w:val="009625ED"/>
    <w:rsid w:val="0096389C"/>
    <w:rsid w:val="00963EEF"/>
    <w:rsid w:val="009647E3"/>
    <w:rsid w:val="009667B0"/>
    <w:rsid w:val="00966E87"/>
    <w:rsid w:val="009725A3"/>
    <w:rsid w:val="00972607"/>
    <w:rsid w:val="00972C63"/>
    <w:rsid w:val="00974339"/>
    <w:rsid w:val="0098079E"/>
    <w:rsid w:val="00981604"/>
    <w:rsid w:val="00984492"/>
    <w:rsid w:val="0098491F"/>
    <w:rsid w:val="00985607"/>
    <w:rsid w:val="00985C8E"/>
    <w:rsid w:val="00987872"/>
    <w:rsid w:val="009927E6"/>
    <w:rsid w:val="00992F2E"/>
    <w:rsid w:val="009933A7"/>
    <w:rsid w:val="009A0165"/>
    <w:rsid w:val="009A0B8A"/>
    <w:rsid w:val="009A0CA6"/>
    <w:rsid w:val="009A4A41"/>
    <w:rsid w:val="009A533E"/>
    <w:rsid w:val="009A5C5D"/>
    <w:rsid w:val="009A62F6"/>
    <w:rsid w:val="009B03C9"/>
    <w:rsid w:val="009B2D5F"/>
    <w:rsid w:val="009B33A1"/>
    <w:rsid w:val="009C0B01"/>
    <w:rsid w:val="009C36DA"/>
    <w:rsid w:val="009C3DEB"/>
    <w:rsid w:val="009C3FDD"/>
    <w:rsid w:val="009C4A5E"/>
    <w:rsid w:val="009C66B1"/>
    <w:rsid w:val="009D2C24"/>
    <w:rsid w:val="009E0C23"/>
    <w:rsid w:val="009E2C50"/>
    <w:rsid w:val="009E48E4"/>
    <w:rsid w:val="009E75A7"/>
    <w:rsid w:val="009F1BCC"/>
    <w:rsid w:val="009F7CD1"/>
    <w:rsid w:val="00A01052"/>
    <w:rsid w:val="00A01367"/>
    <w:rsid w:val="00A01A91"/>
    <w:rsid w:val="00A031C3"/>
    <w:rsid w:val="00A03DB2"/>
    <w:rsid w:val="00A05D1F"/>
    <w:rsid w:val="00A07A96"/>
    <w:rsid w:val="00A11A27"/>
    <w:rsid w:val="00A20044"/>
    <w:rsid w:val="00A2222B"/>
    <w:rsid w:val="00A23930"/>
    <w:rsid w:val="00A24E91"/>
    <w:rsid w:val="00A30D4C"/>
    <w:rsid w:val="00A319DE"/>
    <w:rsid w:val="00A33BE4"/>
    <w:rsid w:val="00A41239"/>
    <w:rsid w:val="00A41B22"/>
    <w:rsid w:val="00A44539"/>
    <w:rsid w:val="00A44AFF"/>
    <w:rsid w:val="00A466A5"/>
    <w:rsid w:val="00A47354"/>
    <w:rsid w:val="00A5052B"/>
    <w:rsid w:val="00A50565"/>
    <w:rsid w:val="00A52385"/>
    <w:rsid w:val="00A56953"/>
    <w:rsid w:val="00A574EB"/>
    <w:rsid w:val="00A57852"/>
    <w:rsid w:val="00A6002B"/>
    <w:rsid w:val="00A60203"/>
    <w:rsid w:val="00A61A60"/>
    <w:rsid w:val="00A677B2"/>
    <w:rsid w:val="00A67E89"/>
    <w:rsid w:val="00A713E6"/>
    <w:rsid w:val="00A743F7"/>
    <w:rsid w:val="00A75D2D"/>
    <w:rsid w:val="00A7767B"/>
    <w:rsid w:val="00A83C4A"/>
    <w:rsid w:val="00A86489"/>
    <w:rsid w:val="00A86988"/>
    <w:rsid w:val="00A8760E"/>
    <w:rsid w:val="00A87B90"/>
    <w:rsid w:val="00A910F1"/>
    <w:rsid w:val="00A92D0B"/>
    <w:rsid w:val="00A93604"/>
    <w:rsid w:val="00A94823"/>
    <w:rsid w:val="00A948ED"/>
    <w:rsid w:val="00A94986"/>
    <w:rsid w:val="00A97874"/>
    <w:rsid w:val="00A97C43"/>
    <w:rsid w:val="00AA1740"/>
    <w:rsid w:val="00AA3F9C"/>
    <w:rsid w:val="00AA42AE"/>
    <w:rsid w:val="00AA505A"/>
    <w:rsid w:val="00AA5C02"/>
    <w:rsid w:val="00AA7378"/>
    <w:rsid w:val="00AB07E4"/>
    <w:rsid w:val="00AB1A92"/>
    <w:rsid w:val="00AB2F7F"/>
    <w:rsid w:val="00AB3510"/>
    <w:rsid w:val="00AB4094"/>
    <w:rsid w:val="00AB4622"/>
    <w:rsid w:val="00AB5C90"/>
    <w:rsid w:val="00AC1651"/>
    <w:rsid w:val="00AC24F2"/>
    <w:rsid w:val="00AC29E2"/>
    <w:rsid w:val="00AC5A4B"/>
    <w:rsid w:val="00AC5BDC"/>
    <w:rsid w:val="00AC60F9"/>
    <w:rsid w:val="00AD1155"/>
    <w:rsid w:val="00AD13F9"/>
    <w:rsid w:val="00AD2EF4"/>
    <w:rsid w:val="00AD5797"/>
    <w:rsid w:val="00AD742A"/>
    <w:rsid w:val="00AD774E"/>
    <w:rsid w:val="00AD7DAD"/>
    <w:rsid w:val="00AE0B1F"/>
    <w:rsid w:val="00AE1254"/>
    <w:rsid w:val="00AE128B"/>
    <w:rsid w:val="00AE201F"/>
    <w:rsid w:val="00AE2E92"/>
    <w:rsid w:val="00AE3941"/>
    <w:rsid w:val="00AE429F"/>
    <w:rsid w:val="00AE4BFE"/>
    <w:rsid w:val="00AE6488"/>
    <w:rsid w:val="00AE6502"/>
    <w:rsid w:val="00AE74A7"/>
    <w:rsid w:val="00AF037B"/>
    <w:rsid w:val="00AF61A9"/>
    <w:rsid w:val="00B00BCD"/>
    <w:rsid w:val="00B00F05"/>
    <w:rsid w:val="00B02980"/>
    <w:rsid w:val="00B03003"/>
    <w:rsid w:val="00B0619A"/>
    <w:rsid w:val="00B06864"/>
    <w:rsid w:val="00B1211C"/>
    <w:rsid w:val="00B1593B"/>
    <w:rsid w:val="00B1620A"/>
    <w:rsid w:val="00B17005"/>
    <w:rsid w:val="00B21ED9"/>
    <w:rsid w:val="00B22835"/>
    <w:rsid w:val="00B25993"/>
    <w:rsid w:val="00B25CD8"/>
    <w:rsid w:val="00B25D42"/>
    <w:rsid w:val="00B2684E"/>
    <w:rsid w:val="00B27388"/>
    <w:rsid w:val="00B27B14"/>
    <w:rsid w:val="00B3069C"/>
    <w:rsid w:val="00B30F84"/>
    <w:rsid w:val="00B312DA"/>
    <w:rsid w:val="00B31565"/>
    <w:rsid w:val="00B3231D"/>
    <w:rsid w:val="00B32A45"/>
    <w:rsid w:val="00B35F6B"/>
    <w:rsid w:val="00B42610"/>
    <w:rsid w:val="00B43427"/>
    <w:rsid w:val="00B43A7D"/>
    <w:rsid w:val="00B51C2B"/>
    <w:rsid w:val="00B51F03"/>
    <w:rsid w:val="00B52D97"/>
    <w:rsid w:val="00B541B8"/>
    <w:rsid w:val="00B54991"/>
    <w:rsid w:val="00B55CCD"/>
    <w:rsid w:val="00B55D78"/>
    <w:rsid w:val="00B6088A"/>
    <w:rsid w:val="00B60B63"/>
    <w:rsid w:val="00B61B4F"/>
    <w:rsid w:val="00B62AC0"/>
    <w:rsid w:val="00B66CF5"/>
    <w:rsid w:val="00B70147"/>
    <w:rsid w:val="00B7233E"/>
    <w:rsid w:val="00B725A6"/>
    <w:rsid w:val="00B738CA"/>
    <w:rsid w:val="00B803D5"/>
    <w:rsid w:val="00B82511"/>
    <w:rsid w:val="00B82AFE"/>
    <w:rsid w:val="00B8471D"/>
    <w:rsid w:val="00B87207"/>
    <w:rsid w:val="00B902B4"/>
    <w:rsid w:val="00B93212"/>
    <w:rsid w:val="00B932F2"/>
    <w:rsid w:val="00B96AB3"/>
    <w:rsid w:val="00B96DF9"/>
    <w:rsid w:val="00B972C7"/>
    <w:rsid w:val="00BA548C"/>
    <w:rsid w:val="00BA7BE4"/>
    <w:rsid w:val="00BB2CF0"/>
    <w:rsid w:val="00BB4370"/>
    <w:rsid w:val="00BB48DE"/>
    <w:rsid w:val="00BB49BB"/>
    <w:rsid w:val="00BB5D28"/>
    <w:rsid w:val="00BB68FF"/>
    <w:rsid w:val="00BC04B3"/>
    <w:rsid w:val="00BC1CBF"/>
    <w:rsid w:val="00BC234E"/>
    <w:rsid w:val="00BC2BA9"/>
    <w:rsid w:val="00BC3881"/>
    <w:rsid w:val="00BC4E9D"/>
    <w:rsid w:val="00BC524D"/>
    <w:rsid w:val="00BC6B18"/>
    <w:rsid w:val="00BC7605"/>
    <w:rsid w:val="00BD2161"/>
    <w:rsid w:val="00BD4AAB"/>
    <w:rsid w:val="00BD5E80"/>
    <w:rsid w:val="00BE053A"/>
    <w:rsid w:val="00BE45D0"/>
    <w:rsid w:val="00BE5959"/>
    <w:rsid w:val="00BE61ED"/>
    <w:rsid w:val="00BE71E5"/>
    <w:rsid w:val="00BF12F9"/>
    <w:rsid w:val="00BF2F45"/>
    <w:rsid w:val="00BF43B8"/>
    <w:rsid w:val="00BF4E1E"/>
    <w:rsid w:val="00C01D00"/>
    <w:rsid w:val="00C01F54"/>
    <w:rsid w:val="00C02649"/>
    <w:rsid w:val="00C030F3"/>
    <w:rsid w:val="00C03C84"/>
    <w:rsid w:val="00C03F83"/>
    <w:rsid w:val="00C0471D"/>
    <w:rsid w:val="00C04CA8"/>
    <w:rsid w:val="00C13B3F"/>
    <w:rsid w:val="00C16981"/>
    <w:rsid w:val="00C1773E"/>
    <w:rsid w:val="00C2408C"/>
    <w:rsid w:val="00C258B5"/>
    <w:rsid w:val="00C26F08"/>
    <w:rsid w:val="00C367CF"/>
    <w:rsid w:val="00C372E0"/>
    <w:rsid w:val="00C42EEF"/>
    <w:rsid w:val="00C442CF"/>
    <w:rsid w:val="00C45097"/>
    <w:rsid w:val="00C46177"/>
    <w:rsid w:val="00C47051"/>
    <w:rsid w:val="00C47A2B"/>
    <w:rsid w:val="00C50C1C"/>
    <w:rsid w:val="00C54B1B"/>
    <w:rsid w:val="00C575B3"/>
    <w:rsid w:val="00C57DD2"/>
    <w:rsid w:val="00C62CB5"/>
    <w:rsid w:val="00C62F7C"/>
    <w:rsid w:val="00C67335"/>
    <w:rsid w:val="00C705A3"/>
    <w:rsid w:val="00C71838"/>
    <w:rsid w:val="00C72950"/>
    <w:rsid w:val="00C733A3"/>
    <w:rsid w:val="00C742D7"/>
    <w:rsid w:val="00C751BA"/>
    <w:rsid w:val="00C7522D"/>
    <w:rsid w:val="00C75703"/>
    <w:rsid w:val="00C765A2"/>
    <w:rsid w:val="00C80612"/>
    <w:rsid w:val="00C80771"/>
    <w:rsid w:val="00C808BC"/>
    <w:rsid w:val="00C814A3"/>
    <w:rsid w:val="00C8281B"/>
    <w:rsid w:val="00C82CB3"/>
    <w:rsid w:val="00C85A6D"/>
    <w:rsid w:val="00C90268"/>
    <w:rsid w:val="00C91105"/>
    <w:rsid w:val="00C91631"/>
    <w:rsid w:val="00C925D7"/>
    <w:rsid w:val="00C97045"/>
    <w:rsid w:val="00CA3310"/>
    <w:rsid w:val="00CA5696"/>
    <w:rsid w:val="00CA5F60"/>
    <w:rsid w:val="00CA6ABB"/>
    <w:rsid w:val="00CA6C61"/>
    <w:rsid w:val="00CA7614"/>
    <w:rsid w:val="00CB13E5"/>
    <w:rsid w:val="00CB1AAE"/>
    <w:rsid w:val="00CC10AF"/>
    <w:rsid w:val="00CC118D"/>
    <w:rsid w:val="00CC422C"/>
    <w:rsid w:val="00CC4B40"/>
    <w:rsid w:val="00CC4C45"/>
    <w:rsid w:val="00CC693F"/>
    <w:rsid w:val="00CC6AF0"/>
    <w:rsid w:val="00CC7389"/>
    <w:rsid w:val="00CD0990"/>
    <w:rsid w:val="00CD09F6"/>
    <w:rsid w:val="00CD6886"/>
    <w:rsid w:val="00CD7CAF"/>
    <w:rsid w:val="00CD7D17"/>
    <w:rsid w:val="00CD7D91"/>
    <w:rsid w:val="00CE057B"/>
    <w:rsid w:val="00CE1A83"/>
    <w:rsid w:val="00CE25A5"/>
    <w:rsid w:val="00CE2AE6"/>
    <w:rsid w:val="00CE2EDE"/>
    <w:rsid w:val="00CE4C46"/>
    <w:rsid w:val="00CE69B6"/>
    <w:rsid w:val="00CF1129"/>
    <w:rsid w:val="00CF1E06"/>
    <w:rsid w:val="00CF38B5"/>
    <w:rsid w:val="00CF66D0"/>
    <w:rsid w:val="00D005F1"/>
    <w:rsid w:val="00D0246F"/>
    <w:rsid w:val="00D025BA"/>
    <w:rsid w:val="00D06729"/>
    <w:rsid w:val="00D06DEB"/>
    <w:rsid w:val="00D075B1"/>
    <w:rsid w:val="00D10372"/>
    <w:rsid w:val="00D130CB"/>
    <w:rsid w:val="00D1523A"/>
    <w:rsid w:val="00D15A4B"/>
    <w:rsid w:val="00D1778A"/>
    <w:rsid w:val="00D234C6"/>
    <w:rsid w:val="00D23A10"/>
    <w:rsid w:val="00D23C3E"/>
    <w:rsid w:val="00D26EA2"/>
    <w:rsid w:val="00D27D5F"/>
    <w:rsid w:val="00D30039"/>
    <w:rsid w:val="00D30C4F"/>
    <w:rsid w:val="00D30D00"/>
    <w:rsid w:val="00D30EA8"/>
    <w:rsid w:val="00D31CB4"/>
    <w:rsid w:val="00D36884"/>
    <w:rsid w:val="00D36927"/>
    <w:rsid w:val="00D37BC7"/>
    <w:rsid w:val="00D46026"/>
    <w:rsid w:val="00D47283"/>
    <w:rsid w:val="00D47A3D"/>
    <w:rsid w:val="00D47DAB"/>
    <w:rsid w:val="00D532CB"/>
    <w:rsid w:val="00D5580A"/>
    <w:rsid w:val="00D56BCA"/>
    <w:rsid w:val="00D57941"/>
    <w:rsid w:val="00D6175B"/>
    <w:rsid w:val="00D61AED"/>
    <w:rsid w:val="00D61B50"/>
    <w:rsid w:val="00D63470"/>
    <w:rsid w:val="00D6497B"/>
    <w:rsid w:val="00D67115"/>
    <w:rsid w:val="00D67AB4"/>
    <w:rsid w:val="00D7298B"/>
    <w:rsid w:val="00D749A0"/>
    <w:rsid w:val="00D74F4E"/>
    <w:rsid w:val="00D75107"/>
    <w:rsid w:val="00D752A1"/>
    <w:rsid w:val="00D75ACC"/>
    <w:rsid w:val="00D82E6B"/>
    <w:rsid w:val="00D82EF2"/>
    <w:rsid w:val="00D84106"/>
    <w:rsid w:val="00D84A6E"/>
    <w:rsid w:val="00D84F94"/>
    <w:rsid w:val="00D8769E"/>
    <w:rsid w:val="00D917B7"/>
    <w:rsid w:val="00D94098"/>
    <w:rsid w:val="00D97AD9"/>
    <w:rsid w:val="00DA1D91"/>
    <w:rsid w:val="00DA2872"/>
    <w:rsid w:val="00DA3AEE"/>
    <w:rsid w:val="00DA4C9B"/>
    <w:rsid w:val="00DA4DB5"/>
    <w:rsid w:val="00DA5B10"/>
    <w:rsid w:val="00DB34B4"/>
    <w:rsid w:val="00DB515A"/>
    <w:rsid w:val="00DB66FD"/>
    <w:rsid w:val="00DB68A2"/>
    <w:rsid w:val="00DC03B8"/>
    <w:rsid w:val="00DC0731"/>
    <w:rsid w:val="00DC64BB"/>
    <w:rsid w:val="00DD00E4"/>
    <w:rsid w:val="00DD3E4A"/>
    <w:rsid w:val="00DD52BB"/>
    <w:rsid w:val="00DE0001"/>
    <w:rsid w:val="00DE051B"/>
    <w:rsid w:val="00DE0C5A"/>
    <w:rsid w:val="00DE2B41"/>
    <w:rsid w:val="00DE3A5D"/>
    <w:rsid w:val="00DE5427"/>
    <w:rsid w:val="00DE5EA0"/>
    <w:rsid w:val="00DE6E47"/>
    <w:rsid w:val="00DF095C"/>
    <w:rsid w:val="00DF6662"/>
    <w:rsid w:val="00E00990"/>
    <w:rsid w:val="00E00FCE"/>
    <w:rsid w:val="00E01AE3"/>
    <w:rsid w:val="00E04BDF"/>
    <w:rsid w:val="00E05C06"/>
    <w:rsid w:val="00E07457"/>
    <w:rsid w:val="00E07C21"/>
    <w:rsid w:val="00E1068D"/>
    <w:rsid w:val="00E110C6"/>
    <w:rsid w:val="00E11173"/>
    <w:rsid w:val="00E1273F"/>
    <w:rsid w:val="00E15DC3"/>
    <w:rsid w:val="00E175C6"/>
    <w:rsid w:val="00E17B34"/>
    <w:rsid w:val="00E17ED4"/>
    <w:rsid w:val="00E2153E"/>
    <w:rsid w:val="00E21EA5"/>
    <w:rsid w:val="00E24134"/>
    <w:rsid w:val="00E246ED"/>
    <w:rsid w:val="00E24FC4"/>
    <w:rsid w:val="00E25078"/>
    <w:rsid w:val="00E34A2E"/>
    <w:rsid w:val="00E352B8"/>
    <w:rsid w:val="00E3786F"/>
    <w:rsid w:val="00E40008"/>
    <w:rsid w:val="00E40140"/>
    <w:rsid w:val="00E4735D"/>
    <w:rsid w:val="00E50742"/>
    <w:rsid w:val="00E50EE0"/>
    <w:rsid w:val="00E52774"/>
    <w:rsid w:val="00E52992"/>
    <w:rsid w:val="00E52A3A"/>
    <w:rsid w:val="00E5650E"/>
    <w:rsid w:val="00E60942"/>
    <w:rsid w:val="00E60971"/>
    <w:rsid w:val="00E63D8D"/>
    <w:rsid w:val="00E63FFC"/>
    <w:rsid w:val="00E66FE7"/>
    <w:rsid w:val="00E73D04"/>
    <w:rsid w:val="00E740BC"/>
    <w:rsid w:val="00E75E09"/>
    <w:rsid w:val="00E7716E"/>
    <w:rsid w:val="00E773EE"/>
    <w:rsid w:val="00E775D0"/>
    <w:rsid w:val="00E80118"/>
    <w:rsid w:val="00E81881"/>
    <w:rsid w:val="00E829DC"/>
    <w:rsid w:val="00E84384"/>
    <w:rsid w:val="00E866F6"/>
    <w:rsid w:val="00E86D9B"/>
    <w:rsid w:val="00E90FD6"/>
    <w:rsid w:val="00E91CAD"/>
    <w:rsid w:val="00E9354D"/>
    <w:rsid w:val="00E9366A"/>
    <w:rsid w:val="00E959A0"/>
    <w:rsid w:val="00E96037"/>
    <w:rsid w:val="00E96914"/>
    <w:rsid w:val="00EA2DBD"/>
    <w:rsid w:val="00EA438C"/>
    <w:rsid w:val="00EA6202"/>
    <w:rsid w:val="00EB037C"/>
    <w:rsid w:val="00EB0DBA"/>
    <w:rsid w:val="00EB4FE5"/>
    <w:rsid w:val="00EB5F10"/>
    <w:rsid w:val="00EB64CF"/>
    <w:rsid w:val="00EB6C1D"/>
    <w:rsid w:val="00EC0A4C"/>
    <w:rsid w:val="00EC6387"/>
    <w:rsid w:val="00EC6CCC"/>
    <w:rsid w:val="00ED3D38"/>
    <w:rsid w:val="00ED4113"/>
    <w:rsid w:val="00ED6B6B"/>
    <w:rsid w:val="00ED73AE"/>
    <w:rsid w:val="00EE0CD1"/>
    <w:rsid w:val="00EE16C9"/>
    <w:rsid w:val="00EE1889"/>
    <w:rsid w:val="00EE55B8"/>
    <w:rsid w:val="00EE6A9D"/>
    <w:rsid w:val="00EF12AD"/>
    <w:rsid w:val="00EF5B6B"/>
    <w:rsid w:val="00EF6049"/>
    <w:rsid w:val="00F00B0B"/>
    <w:rsid w:val="00F00B98"/>
    <w:rsid w:val="00F01119"/>
    <w:rsid w:val="00F0233C"/>
    <w:rsid w:val="00F028C8"/>
    <w:rsid w:val="00F02920"/>
    <w:rsid w:val="00F04904"/>
    <w:rsid w:val="00F04CE6"/>
    <w:rsid w:val="00F05774"/>
    <w:rsid w:val="00F10860"/>
    <w:rsid w:val="00F1660B"/>
    <w:rsid w:val="00F20061"/>
    <w:rsid w:val="00F20F8D"/>
    <w:rsid w:val="00F26371"/>
    <w:rsid w:val="00F2682B"/>
    <w:rsid w:val="00F27D07"/>
    <w:rsid w:val="00F30DA8"/>
    <w:rsid w:val="00F32B89"/>
    <w:rsid w:val="00F346CE"/>
    <w:rsid w:val="00F34C1F"/>
    <w:rsid w:val="00F356C7"/>
    <w:rsid w:val="00F361A0"/>
    <w:rsid w:val="00F3686F"/>
    <w:rsid w:val="00F36BA0"/>
    <w:rsid w:val="00F3772B"/>
    <w:rsid w:val="00F43166"/>
    <w:rsid w:val="00F44251"/>
    <w:rsid w:val="00F455C6"/>
    <w:rsid w:val="00F468A2"/>
    <w:rsid w:val="00F47555"/>
    <w:rsid w:val="00F47E87"/>
    <w:rsid w:val="00F511CC"/>
    <w:rsid w:val="00F5197A"/>
    <w:rsid w:val="00F567A7"/>
    <w:rsid w:val="00F60615"/>
    <w:rsid w:val="00F62A6C"/>
    <w:rsid w:val="00F63426"/>
    <w:rsid w:val="00F63C29"/>
    <w:rsid w:val="00F640D3"/>
    <w:rsid w:val="00F646A7"/>
    <w:rsid w:val="00F64922"/>
    <w:rsid w:val="00F650AE"/>
    <w:rsid w:val="00F739D1"/>
    <w:rsid w:val="00F74461"/>
    <w:rsid w:val="00F749E3"/>
    <w:rsid w:val="00F752A3"/>
    <w:rsid w:val="00F7579D"/>
    <w:rsid w:val="00F77946"/>
    <w:rsid w:val="00F77A83"/>
    <w:rsid w:val="00F81778"/>
    <w:rsid w:val="00F84A5A"/>
    <w:rsid w:val="00F85EAC"/>
    <w:rsid w:val="00F862A9"/>
    <w:rsid w:val="00F87201"/>
    <w:rsid w:val="00F908BC"/>
    <w:rsid w:val="00F925F6"/>
    <w:rsid w:val="00FA3419"/>
    <w:rsid w:val="00FA38A5"/>
    <w:rsid w:val="00FA4732"/>
    <w:rsid w:val="00FA4BA2"/>
    <w:rsid w:val="00FA5240"/>
    <w:rsid w:val="00FB122C"/>
    <w:rsid w:val="00FB31BF"/>
    <w:rsid w:val="00FB6D08"/>
    <w:rsid w:val="00FC1821"/>
    <w:rsid w:val="00FC22F0"/>
    <w:rsid w:val="00FC3AF0"/>
    <w:rsid w:val="00FC61D5"/>
    <w:rsid w:val="00FC72B7"/>
    <w:rsid w:val="00FD327D"/>
    <w:rsid w:val="00FD35EF"/>
    <w:rsid w:val="00FD688E"/>
    <w:rsid w:val="00FE17D4"/>
    <w:rsid w:val="00FE1B7E"/>
    <w:rsid w:val="00FE3BAE"/>
    <w:rsid w:val="00FE73AA"/>
    <w:rsid w:val="00FF2A26"/>
    <w:rsid w:val="00FF4647"/>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06BE72B3-5369-4D9F-8C83-94FBC764689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
    <w:basedOn w:val="Normal"/>
    <w:link w:val="FootnoteTextChar"/>
    <w:uiPriority w:val="99"/>
    <w:qFormat/>
    <w:rsid w:val="00A86489"/>
    <w:pPr>
      <w:spacing w:after="120"/>
    </w:pPr>
    <w:rPr>
      <w:sz w:val="22"/>
      <w:szCs w:val="20"/>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99"/>
    <w:rsid w:val="00A86489"/>
    <w:rPr>
      <w:sz w:val="22"/>
    </w:rPr>
  </w:style>
  <w:style w:type="character" w:styleId="FootnoteReference">
    <w:name w:val="footnote reference"/>
    <w:aliases w:val="o,fr,o1,o2,o3,o4,o5,o6,o11,o21,o7,Style 3,Style 21,Style 12,o + Times New Roman,Style 58"/>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Default">
    <w:name w:val="Default"/>
    <w:rsid w:val="00056E0D"/>
    <w:pPr>
      <w:autoSpaceDE w:val="0"/>
      <w:autoSpaceDN w:val="0"/>
      <w:adjustRightInd w:val="0"/>
    </w:pPr>
    <w:rPr>
      <w:color w:val="000000"/>
      <w:sz w:val="24"/>
      <w:szCs w:val="24"/>
    </w:rPr>
  </w:style>
  <w:style w:type="paragraph" w:customStyle="1" w:styleId="FoF">
    <w:name w:val="FoF"/>
    <w:basedOn w:val="Normal"/>
    <w:uiPriority w:val="6"/>
    <w:qFormat/>
    <w:rsid w:val="004E3143"/>
    <w:pPr>
      <w:numPr>
        <w:numId w:val="3"/>
      </w:numPr>
      <w:tabs>
        <w:tab w:val="clear" w:pos="0"/>
      </w:tabs>
      <w:spacing w:line="360" w:lineRule="auto"/>
      <w:ind w:left="0" w:firstLine="540"/>
    </w:pPr>
    <w:rPr>
      <w:rFonts w:ascii="Book Antiqua" w:eastAsiaTheme="minorHAnsi" w:hAnsi="Book Antiqua" w:cstheme="minorBid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333378">
      <w:bodyDiv w:val="1"/>
      <w:marLeft w:val="0"/>
      <w:marRight w:val="0"/>
      <w:marTop w:val="0"/>
      <w:marBottom w:val="0"/>
      <w:divBdr>
        <w:top w:val="none" w:sz="0" w:space="0" w:color="auto"/>
        <w:left w:val="none" w:sz="0" w:space="0" w:color="auto"/>
        <w:bottom w:val="none" w:sz="0" w:space="0" w:color="auto"/>
        <w:right w:val="none" w:sz="0" w:space="0" w:color="auto"/>
      </w:divBdr>
      <w:divsChild>
        <w:div w:id="1434856903">
          <w:marLeft w:val="0"/>
          <w:marRight w:val="0"/>
          <w:marTop w:val="0"/>
          <w:marBottom w:val="0"/>
          <w:divBdr>
            <w:top w:val="none" w:sz="0" w:space="0" w:color="auto"/>
            <w:left w:val="none" w:sz="0" w:space="0" w:color="auto"/>
            <w:bottom w:val="none" w:sz="0" w:space="0" w:color="auto"/>
            <w:right w:val="none" w:sz="0" w:space="0" w:color="auto"/>
          </w:divBdr>
          <w:divsChild>
            <w:div w:id="1342194738">
              <w:marLeft w:val="0"/>
              <w:marRight w:val="0"/>
              <w:marTop w:val="0"/>
              <w:marBottom w:val="0"/>
              <w:divBdr>
                <w:top w:val="none" w:sz="0" w:space="0" w:color="auto"/>
                <w:left w:val="none" w:sz="0" w:space="0" w:color="auto"/>
                <w:bottom w:val="none" w:sz="0" w:space="0" w:color="auto"/>
                <w:right w:val="none" w:sz="0" w:space="0" w:color="auto"/>
              </w:divBdr>
              <w:divsChild>
                <w:div w:id="883830636">
                  <w:marLeft w:val="0"/>
                  <w:marRight w:val="0"/>
                  <w:marTop w:val="0"/>
                  <w:marBottom w:val="0"/>
                  <w:divBdr>
                    <w:top w:val="none" w:sz="0" w:space="0" w:color="auto"/>
                    <w:left w:val="none" w:sz="0" w:space="0" w:color="auto"/>
                    <w:bottom w:val="none" w:sz="0" w:space="0" w:color="auto"/>
                    <w:right w:val="none" w:sz="0" w:space="0" w:color="auto"/>
                  </w:divBdr>
                  <w:divsChild>
                    <w:div w:id="657610346">
                      <w:marLeft w:val="0"/>
                      <w:marRight w:val="0"/>
                      <w:marTop w:val="0"/>
                      <w:marBottom w:val="0"/>
                      <w:divBdr>
                        <w:top w:val="none" w:sz="0" w:space="0" w:color="auto"/>
                        <w:left w:val="none" w:sz="0" w:space="0" w:color="auto"/>
                        <w:bottom w:val="none" w:sz="0" w:space="0" w:color="auto"/>
                        <w:right w:val="none" w:sz="0" w:space="0" w:color="auto"/>
                      </w:divBdr>
                      <w:divsChild>
                        <w:div w:id="1182359099">
                          <w:marLeft w:val="0"/>
                          <w:marRight w:val="0"/>
                          <w:marTop w:val="0"/>
                          <w:marBottom w:val="0"/>
                          <w:divBdr>
                            <w:top w:val="none" w:sz="0" w:space="0" w:color="auto"/>
                            <w:left w:val="none" w:sz="0" w:space="0" w:color="auto"/>
                            <w:bottom w:val="none" w:sz="0" w:space="0" w:color="auto"/>
                            <w:right w:val="none" w:sz="0" w:space="0" w:color="auto"/>
                          </w:divBdr>
                          <w:divsChild>
                            <w:div w:id="8501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541179">
      <w:bodyDiv w:val="1"/>
      <w:marLeft w:val="0"/>
      <w:marRight w:val="0"/>
      <w:marTop w:val="0"/>
      <w:marBottom w:val="0"/>
      <w:divBdr>
        <w:top w:val="none" w:sz="0" w:space="0" w:color="auto"/>
        <w:left w:val="none" w:sz="0" w:space="0" w:color="auto"/>
        <w:bottom w:val="none" w:sz="0" w:space="0" w:color="auto"/>
        <w:right w:val="none" w:sz="0" w:space="0" w:color="auto"/>
      </w:divBdr>
    </w:div>
    <w:div w:id="1728264762">
      <w:bodyDiv w:val="1"/>
      <w:marLeft w:val="0"/>
      <w:marRight w:val="0"/>
      <w:marTop w:val="0"/>
      <w:marBottom w:val="0"/>
      <w:divBdr>
        <w:top w:val="none" w:sz="0" w:space="0" w:color="auto"/>
        <w:left w:val="none" w:sz="0" w:space="0" w:color="auto"/>
        <w:bottom w:val="none" w:sz="0" w:space="0" w:color="auto"/>
        <w:right w:val="none" w:sz="0" w:space="0" w:color="auto"/>
      </w:divBdr>
      <w:divsChild>
        <w:div w:id="376661469">
          <w:marLeft w:val="0"/>
          <w:marRight w:val="0"/>
          <w:marTop w:val="0"/>
          <w:marBottom w:val="0"/>
          <w:divBdr>
            <w:top w:val="none" w:sz="0" w:space="0" w:color="auto"/>
            <w:left w:val="none" w:sz="0" w:space="0" w:color="auto"/>
            <w:bottom w:val="none" w:sz="0" w:space="0" w:color="auto"/>
            <w:right w:val="none" w:sz="0" w:space="0" w:color="auto"/>
          </w:divBdr>
          <w:divsChild>
            <w:div w:id="356196531">
              <w:marLeft w:val="0"/>
              <w:marRight w:val="0"/>
              <w:marTop w:val="0"/>
              <w:marBottom w:val="0"/>
              <w:divBdr>
                <w:top w:val="none" w:sz="0" w:space="0" w:color="auto"/>
                <w:left w:val="none" w:sz="0" w:space="0" w:color="auto"/>
                <w:bottom w:val="none" w:sz="0" w:space="0" w:color="auto"/>
                <w:right w:val="none" w:sz="0" w:space="0" w:color="auto"/>
              </w:divBdr>
              <w:divsChild>
                <w:div w:id="912744105">
                  <w:marLeft w:val="0"/>
                  <w:marRight w:val="0"/>
                  <w:marTop w:val="0"/>
                  <w:marBottom w:val="0"/>
                  <w:divBdr>
                    <w:top w:val="none" w:sz="0" w:space="0" w:color="auto"/>
                    <w:left w:val="none" w:sz="0" w:space="0" w:color="auto"/>
                    <w:bottom w:val="none" w:sz="0" w:space="0" w:color="auto"/>
                    <w:right w:val="none" w:sz="0" w:space="0" w:color="auto"/>
                  </w:divBdr>
                  <w:divsChild>
                    <w:div w:id="1412005328">
                      <w:marLeft w:val="0"/>
                      <w:marRight w:val="0"/>
                      <w:marTop w:val="0"/>
                      <w:marBottom w:val="0"/>
                      <w:divBdr>
                        <w:top w:val="none" w:sz="0" w:space="0" w:color="auto"/>
                        <w:left w:val="none" w:sz="0" w:space="0" w:color="auto"/>
                        <w:bottom w:val="none" w:sz="0" w:space="0" w:color="auto"/>
                        <w:right w:val="none" w:sz="0" w:space="0" w:color="auto"/>
                      </w:divBdr>
                      <w:divsChild>
                        <w:div w:id="1716806071">
                          <w:marLeft w:val="0"/>
                          <w:marRight w:val="0"/>
                          <w:marTop w:val="0"/>
                          <w:marBottom w:val="0"/>
                          <w:divBdr>
                            <w:top w:val="none" w:sz="0" w:space="0" w:color="auto"/>
                            <w:left w:val="none" w:sz="0" w:space="0" w:color="auto"/>
                            <w:bottom w:val="none" w:sz="0" w:space="0" w:color="auto"/>
                            <w:right w:val="none" w:sz="0" w:space="0" w:color="auto"/>
                          </w:divBdr>
                          <w:divsChild>
                            <w:div w:id="106078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22</ap:Pages>
  <ap:Words>5359</ap:Words>
  <ap:Characters>30551</ap:Characters>
  <ap:Application>Microsoft Office Word</ap:Application>
  <ap:DocSecurity>0</ap:DocSecurity>
  <ap:Lines>254</ap:Lines>
  <ap:Paragraphs>71</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35839</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2025-09-12T16:19:00Z</cp:lastPrinted>
  <dcterms:created xsi:type="dcterms:W3CDTF">2025-11-24T11:05:42Z</dcterms:created>
  <dcterms:modified xsi:type="dcterms:W3CDTF">2025-11-24T11:05:42Z</dcterms:modified>
</cp:coreProperties>
</file>