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A27" w:rsidR="003E69B2" w:rsidP="003E69B2" w:rsidRDefault="005D6089" w14:paraId="66BAB93B" w14:textId="5D46A2B4">
      <w:pPr>
        <w:tabs>
          <w:tab w:val="center" w:pos="4680"/>
          <w:tab w:val="right" w:pos="9360"/>
        </w:tabs>
        <w:rPr>
          <w:b/>
          <w:bCs/>
        </w:rPr>
      </w:pPr>
      <w:r w:rsidRPr="00BC1A27">
        <w:t>ALJ</w:t>
      </w:r>
      <w:r w:rsidRPr="00BC1A27" w:rsidR="003E69B2">
        <w:t>/</w:t>
      </w:r>
      <w:r w:rsidRPr="00BC1A27">
        <w:t>RIM</w:t>
      </w:r>
      <w:r w:rsidRPr="00BC1A27" w:rsidR="003E69B2">
        <w:t>/</w:t>
      </w:r>
      <w:r w:rsidRPr="00BC1A27" w:rsidR="00E14852">
        <w:t>kp7</w:t>
      </w:r>
      <w:r w:rsidRPr="00BC1A27" w:rsidR="003E69B2">
        <w:tab/>
      </w:r>
      <w:r w:rsidRPr="00BC1A27" w:rsidR="003E69B2">
        <w:rPr>
          <w:b/>
          <w:bCs/>
        </w:rPr>
        <w:t>PROPOSED DECISION</w:t>
      </w:r>
      <w:r w:rsidRPr="00BC1A27" w:rsidR="003E69B2">
        <w:rPr>
          <w:b/>
          <w:bCs/>
        </w:rPr>
        <w:tab/>
        <w:t>Agenda ID #</w:t>
      </w:r>
      <w:r w:rsidR="00AE10DB">
        <w:rPr>
          <w:b/>
          <w:bCs/>
        </w:rPr>
        <w:t>23881</w:t>
      </w:r>
    </w:p>
    <w:p w:rsidRPr="00BC1A27" w:rsidR="003E69B2" w:rsidP="003E69B2" w:rsidRDefault="003E69B2" w14:paraId="37F5747E" w14:textId="166AACF6">
      <w:pPr>
        <w:jc w:val="right"/>
        <w:rPr>
          <w:b/>
          <w:bCs/>
        </w:rPr>
      </w:pPr>
      <w:r w:rsidRPr="00BC1A27">
        <w:rPr>
          <w:b/>
          <w:bCs/>
        </w:rPr>
        <w:t>Quasi</w:t>
      </w:r>
      <w:r w:rsidRPr="00BC1A27" w:rsidR="008E3B78">
        <w:rPr>
          <w:b/>
          <w:bCs/>
        </w:rPr>
        <w:noBreakHyphen/>
      </w:r>
      <w:r w:rsidRPr="00BC1A27">
        <w:rPr>
          <w:b/>
          <w:bCs/>
        </w:rPr>
        <w:t>legislative</w:t>
      </w:r>
    </w:p>
    <w:p w:rsidRPr="00BC1A27" w:rsidR="003E69B2" w:rsidP="003E69B2" w:rsidRDefault="003E69B2" w14:paraId="5F44CAA2" w14:textId="77777777"/>
    <w:p w:rsidRPr="00BC1A27" w:rsidR="003E69B2" w:rsidP="003E69B2" w:rsidRDefault="003E69B2" w14:paraId="58A01554" w14:textId="77777777"/>
    <w:p w:rsidRPr="008436EB" w:rsidR="005B0E9C" w:rsidP="003E69B2" w:rsidRDefault="005B0E9C" w14:paraId="1B808AB9" w14:textId="75D45250">
      <w:pPr>
        <w:rPr>
          <w:sz w:val="20"/>
          <w:u w:val="single"/>
        </w:rPr>
      </w:pPr>
      <w:r w:rsidRPr="008436EB">
        <w:t xml:space="preserve">Decision </w:t>
      </w:r>
      <w:r w:rsidR="003E69B2">
        <w:t>__________</w:t>
      </w:r>
    </w:p>
    <w:p w:rsidRPr="00A80752" w:rsidR="00056BEE" w:rsidRDefault="00056BEE" w14:paraId="6D7E77CE" w14:textId="77777777">
      <w:pPr>
        <w:pStyle w:val="Header"/>
      </w:pPr>
    </w:p>
    <w:p w:rsidRPr="00A80752" w:rsidR="00056BEE" w:rsidRDefault="00056BEE" w14:paraId="27C6F94C" w14:textId="77777777">
      <w:pPr>
        <w:pStyle w:val="Header"/>
      </w:pPr>
    </w:p>
    <w:p w:rsidRPr="00CA180C" w:rsidR="00056BEE" w:rsidRDefault="00056BEE" w14:paraId="17569BF9"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70AA5E3F" w14:textId="77777777">
      <w:pPr>
        <w:suppressAutoHyphens/>
      </w:pPr>
    </w:p>
    <w:tbl>
      <w:tblPr>
        <w:tblStyle w:val="TableGrid"/>
        <w:tblW w:w="0" w:type="auto"/>
        <w:tblLook w:val="04A0" w:firstRow="1" w:lastRow="0" w:firstColumn="1" w:lastColumn="0" w:noHBand="0" w:noVBand="1"/>
      </w:tblPr>
      <w:tblGrid>
        <w:gridCol w:w="4675"/>
        <w:gridCol w:w="4675"/>
      </w:tblGrid>
      <w:tr w:rsidR="003E69B2" w:rsidTr="00037E6A" w14:paraId="6B67741D" w14:textId="77777777">
        <w:tc>
          <w:tcPr>
            <w:tcW w:w="4675" w:type="dxa"/>
            <w:tcBorders>
              <w:top w:val="nil"/>
              <w:left w:val="nil"/>
              <w:bottom w:val="single" w:color="auto" w:sz="4" w:space="0"/>
              <w:right w:val="single" w:color="auto" w:sz="4" w:space="0"/>
            </w:tcBorders>
          </w:tcPr>
          <w:p w:rsidR="003E69B2" w:rsidRDefault="00340DD4" w14:paraId="24051345" w14:textId="3CCAC312">
            <w:r w:rsidRPr="00340DD4">
              <w:t>Order Instituting Investigation into the Creation of a Shared Database or Statewide Census of Utility Poles and Conduit in California.</w:t>
            </w:r>
          </w:p>
          <w:p w:rsidR="00340DD4" w:rsidRDefault="00340DD4" w14:paraId="05130152" w14:textId="78DDA149"/>
        </w:tc>
        <w:tc>
          <w:tcPr>
            <w:tcW w:w="4675" w:type="dxa"/>
            <w:tcBorders>
              <w:top w:val="nil"/>
              <w:left w:val="single" w:color="auto" w:sz="4" w:space="0"/>
              <w:bottom w:val="nil"/>
              <w:right w:val="nil"/>
            </w:tcBorders>
            <w:vAlign w:val="center"/>
          </w:tcPr>
          <w:p w:rsidR="003E69B2" w:rsidP="003E69B2" w:rsidRDefault="003E69B2" w14:paraId="45265A6A" w14:textId="07A5AEE2">
            <w:pPr>
              <w:jc w:val="center"/>
            </w:pPr>
            <w:bookmarkStart w:name="_Hlk35572581" w:id="0"/>
            <w:r>
              <w:t>Investigation 17</w:t>
            </w:r>
            <w:r w:rsidR="008E3B78">
              <w:noBreakHyphen/>
            </w:r>
            <w:r>
              <w:t>06</w:t>
            </w:r>
            <w:r w:rsidR="008E3B78">
              <w:noBreakHyphen/>
            </w:r>
            <w:r>
              <w:t>027</w:t>
            </w:r>
            <w:bookmarkEnd w:id="0"/>
          </w:p>
        </w:tc>
      </w:tr>
      <w:tr w:rsidR="003E69B2" w:rsidTr="00037E6A" w14:paraId="5AB9EAE5" w14:textId="77777777">
        <w:tc>
          <w:tcPr>
            <w:tcW w:w="4675" w:type="dxa"/>
            <w:tcBorders>
              <w:top w:val="single" w:color="auto" w:sz="4" w:space="0"/>
              <w:left w:val="nil"/>
              <w:bottom w:val="single" w:color="auto" w:sz="4" w:space="0"/>
              <w:right w:val="single" w:color="auto" w:sz="4" w:space="0"/>
            </w:tcBorders>
          </w:tcPr>
          <w:p w:rsidR="003E69B2" w:rsidRDefault="003E69B2" w14:paraId="1163A240" w14:textId="77777777"/>
          <w:p w:rsidR="003E69B2" w:rsidRDefault="003E69B2" w14:paraId="58A3DC1E" w14:textId="77777777">
            <w:r>
              <w:t>And Related Matter.</w:t>
            </w:r>
          </w:p>
          <w:p w:rsidR="003E69B2" w:rsidRDefault="003E69B2" w14:paraId="7ADE740B" w14:textId="2E6C7224"/>
        </w:tc>
        <w:tc>
          <w:tcPr>
            <w:tcW w:w="4675" w:type="dxa"/>
            <w:tcBorders>
              <w:top w:val="nil"/>
              <w:left w:val="single" w:color="auto" w:sz="4" w:space="0"/>
              <w:bottom w:val="nil"/>
              <w:right w:val="nil"/>
            </w:tcBorders>
            <w:vAlign w:val="center"/>
          </w:tcPr>
          <w:p w:rsidR="003E69B2" w:rsidP="003E69B2" w:rsidRDefault="003E69B2" w14:paraId="4316BF69" w14:textId="5AAB61E5">
            <w:pPr>
              <w:jc w:val="center"/>
            </w:pPr>
            <w:r>
              <w:t>Rulemaking 17</w:t>
            </w:r>
            <w:r w:rsidR="008E3B78">
              <w:noBreakHyphen/>
            </w:r>
            <w:r>
              <w:t>06</w:t>
            </w:r>
            <w:r w:rsidR="008E3B78">
              <w:noBreakHyphen/>
            </w:r>
            <w:r>
              <w:t>028</w:t>
            </w:r>
          </w:p>
        </w:tc>
      </w:tr>
    </w:tbl>
    <w:p w:rsidRPr="00A80752" w:rsidR="003E69B2" w:rsidRDefault="003E69B2" w14:paraId="39076189" w14:textId="77777777"/>
    <w:p w:rsidRPr="00A80752" w:rsidR="00056BEE" w:rsidRDefault="00056BEE" w14:paraId="0DC97177" w14:textId="77777777"/>
    <w:p w:rsidRPr="00CA180C" w:rsidR="00122DD7" w:rsidP="00B368FB" w:rsidRDefault="003854D9" w14:paraId="04128A2C" w14:textId="77777777">
      <w:pPr>
        <w:pStyle w:val="main"/>
      </w:pPr>
      <w:r>
        <w:t>ORDER EXTENDING STATUTORY DEADLINE</w:t>
      </w:r>
    </w:p>
    <w:p w:rsidRPr="00A80752" w:rsidR="00CA180C" w:rsidP="00CA180C" w:rsidRDefault="00CA180C" w14:paraId="564B6657" w14:textId="77777777"/>
    <w:p w:rsidRPr="001024AA" w:rsidR="00DC64A4" w:rsidP="00B368FB" w:rsidRDefault="00DC64A4" w14:paraId="25A205D4" w14:textId="77777777">
      <w:pPr>
        <w:pStyle w:val="dummy"/>
      </w:pPr>
      <w:r w:rsidRPr="00CA180C">
        <w:t>Summary</w:t>
      </w:r>
    </w:p>
    <w:p w:rsidRPr="00A80752" w:rsidR="00DC64A4" w:rsidP="00963C2B" w:rsidRDefault="003854D9" w14:paraId="53C650E9" w14:textId="3C899344">
      <w:pPr>
        <w:pStyle w:val="standard"/>
      </w:pPr>
      <w:r>
        <w:t xml:space="preserve">This decision extends the statutory deadline in this proceeding </w:t>
      </w:r>
      <w:r w:rsidR="004340DE">
        <w:t xml:space="preserve">until </w:t>
      </w:r>
      <w:r w:rsidR="00EC2E80">
        <w:t>June 30, 2026.</w:t>
      </w:r>
    </w:p>
    <w:p w:rsidR="00963C2B" w:rsidP="004C0BE1" w:rsidRDefault="003854D9" w14:paraId="7A1ACBA4" w14:textId="77777777">
      <w:pPr>
        <w:pStyle w:val="Heading1"/>
      </w:pPr>
      <w:r>
        <w:t>Background</w:t>
      </w:r>
      <w:r w:rsidR="00055C20">
        <w:t xml:space="preserve"> and Justification</w:t>
      </w:r>
    </w:p>
    <w:p w:rsidR="00B06911" w:rsidP="009245CB" w:rsidRDefault="0034538B" w14:paraId="39A99742" w14:textId="721D78AA">
      <w:pPr>
        <w:pStyle w:val="standard"/>
      </w:pPr>
      <w:bookmarkStart w:name="_Hlk158291994" w:id="1"/>
      <w:r w:rsidRPr="002E47F9">
        <w:t>Pub</w:t>
      </w:r>
      <w:r w:rsidRPr="002E47F9" w:rsidR="00124993">
        <w:t xml:space="preserve">lic </w:t>
      </w:r>
      <w:r w:rsidRPr="002E47F9">
        <w:t>Util</w:t>
      </w:r>
      <w:r w:rsidRPr="002E47F9" w:rsidR="00124993">
        <w:t>ities</w:t>
      </w:r>
      <w:r>
        <w:t xml:space="preserve"> </w:t>
      </w:r>
      <w:r w:rsidR="00EC2E80">
        <w:t xml:space="preserve">Code </w:t>
      </w:r>
      <w:r w:rsidR="00124993">
        <w:t>(</w:t>
      </w:r>
      <w:r w:rsidRPr="002E47F9" w:rsidR="009245CB">
        <w:t>Pub. Util.</w:t>
      </w:r>
      <w:r w:rsidR="00EC2E80">
        <w:t xml:space="preserve"> Code</w:t>
      </w:r>
      <w:r w:rsidR="00124993">
        <w:t>)</w:t>
      </w:r>
      <w:bookmarkEnd w:id="1"/>
      <w:r w:rsidR="00124993">
        <w:t xml:space="preserve"> Section </w:t>
      </w:r>
      <w:r w:rsidRPr="00C8610C">
        <w:t>1701.5(a)</w:t>
      </w:r>
      <w:r>
        <w:t xml:space="preserve"> </w:t>
      </w:r>
      <w:r w:rsidRPr="00C8610C">
        <w:t xml:space="preserve">provides </w:t>
      </w:r>
      <w:r>
        <w:t>that quasi</w:t>
      </w:r>
      <w:r w:rsidR="008E3B78">
        <w:noBreakHyphen/>
      </w:r>
      <w:r>
        <w:t xml:space="preserve">legislative cases must be resolved within 18 months of the date the scoping memo is issued unless the </w:t>
      </w:r>
      <w:r w:rsidRPr="002E47F9" w:rsidR="00E43C7C">
        <w:t xml:space="preserve">California Public Utilities Commission </w:t>
      </w:r>
      <w:r w:rsidR="00E43C7C">
        <w:t>(</w:t>
      </w:r>
      <w:r w:rsidRPr="002E47F9" w:rsidR="00E43C7C">
        <w:t>Commission</w:t>
      </w:r>
      <w:r w:rsidR="00E43C7C">
        <w:t xml:space="preserve">) </w:t>
      </w:r>
      <w:r>
        <w:t xml:space="preserve">makes findings </w:t>
      </w:r>
      <w:r w:rsidR="005F5214">
        <w:t xml:space="preserve">as to </w:t>
      </w:r>
      <w:r>
        <w:t>why that statutory deadline cannot be met and issues an order extending the 18</w:t>
      </w:r>
      <w:r w:rsidR="008E3B78">
        <w:noBreakHyphen/>
      </w:r>
      <w:r>
        <w:t>month deadline</w:t>
      </w:r>
      <w:r w:rsidR="008F25D5">
        <w:t>.</w:t>
      </w:r>
      <w:r w:rsidR="00551D8D">
        <w:t xml:space="preserve"> </w:t>
      </w:r>
      <w:r w:rsidRPr="00C8610C">
        <w:t>In th</w:t>
      </w:r>
      <w:r>
        <w:t>is</w:t>
      </w:r>
      <w:r w:rsidRPr="00C8610C">
        <w:t xml:space="preserve"> </w:t>
      </w:r>
      <w:r>
        <w:t>proceeding</w:t>
      </w:r>
      <w:r w:rsidRPr="00C8610C">
        <w:t>,</w:t>
      </w:r>
      <w:r w:rsidRPr="00F04914">
        <w:t xml:space="preserve"> the </w:t>
      </w:r>
      <w:r>
        <w:t>statutory deadline</w:t>
      </w:r>
      <w:r w:rsidRPr="00F04914">
        <w:t xml:space="preserve"> </w:t>
      </w:r>
      <w:r w:rsidR="00DA4840">
        <w:t xml:space="preserve">is December </w:t>
      </w:r>
      <w:r w:rsidR="004D13D5">
        <w:t>3</w:t>
      </w:r>
      <w:r w:rsidR="00DA4840">
        <w:t>1, 202</w:t>
      </w:r>
      <w:r w:rsidR="008568C9">
        <w:t>5</w:t>
      </w:r>
      <w:r w:rsidR="008F25D5">
        <w:t>.</w:t>
      </w:r>
    </w:p>
    <w:p w:rsidRPr="000B1DAA" w:rsidR="005110B0" w:rsidP="000B1DAA" w:rsidRDefault="000B1DAA" w14:paraId="5DFBC91B" w14:textId="44F3023C">
      <w:pPr>
        <w:pStyle w:val="Heading2"/>
        <w:rPr>
          <w:i/>
          <w:iCs/>
        </w:rPr>
      </w:pPr>
      <w:r w:rsidRPr="000B1DAA">
        <w:rPr>
          <w:iCs/>
        </w:rPr>
        <w:lastRenderedPageBreak/>
        <w:t>Background</w:t>
      </w:r>
    </w:p>
    <w:p w:rsidR="00647211" w:rsidP="004E66D3" w:rsidRDefault="00647211" w14:paraId="0E6E52DF" w14:textId="4AD51547">
      <w:pPr>
        <w:pStyle w:val="standard"/>
      </w:pPr>
      <w:r>
        <w:t xml:space="preserve">On </w:t>
      </w:r>
      <w:r w:rsidR="00B06911">
        <w:t>June </w:t>
      </w:r>
      <w:r>
        <w:t xml:space="preserve">29, 2017, the </w:t>
      </w:r>
      <w:r w:rsidRPr="00E43C7C">
        <w:t>Commission</w:t>
      </w:r>
      <w:r>
        <w:t xml:space="preserve"> issued </w:t>
      </w:r>
      <w:r w:rsidRPr="002E47F9">
        <w:t>Investigation</w:t>
      </w:r>
      <w:r>
        <w:t xml:space="preserve"> </w:t>
      </w:r>
      <w:r w:rsidR="009245CB">
        <w:t>(</w:t>
      </w:r>
      <w:r w:rsidRPr="002E47F9" w:rsidR="009245CB">
        <w:t>I.</w:t>
      </w:r>
      <w:r w:rsidR="009245CB">
        <w:t>) </w:t>
      </w:r>
      <w:r>
        <w:t>17</w:t>
      </w:r>
      <w:r w:rsidR="008E3B78">
        <w:noBreakHyphen/>
      </w:r>
      <w:r>
        <w:t>06</w:t>
      </w:r>
      <w:r w:rsidR="008E3B78">
        <w:noBreakHyphen/>
      </w:r>
      <w:r>
        <w:t xml:space="preserve">027 and </w:t>
      </w:r>
      <w:r w:rsidRPr="002E47F9">
        <w:t>Rulemaking</w:t>
      </w:r>
      <w:r>
        <w:t xml:space="preserve"> </w:t>
      </w:r>
      <w:r w:rsidR="009245CB">
        <w:t>(</w:t>
      </w:r>
      <w:r w:rsidRPr="002E47F9" w:rsidR="009245CB">
        <w:t>R.</w:t>
      </w:r>
      <w:r w:rsidR="009245CB">
        <w:t>) </w:t>
      </w:r>
      <w:r>
        <w:t>17</w:t>
      </w:r>
      <w:r w:rsidR="008E3B78">
        <w:noBreakHyphen/>
      </w:r>
      <w:r>
        <w:t>06</w:t>
      </w:r>
      <w:r w:rsidR="008E3B78">
        <w:noBreakHyphen/>
      </w:r>
      <w:r>
        <w:t>028 (O</w:t>
      </w:r>
      <w:r w:rsidR="00524D76">
        <w:t xml:space="preserve">rder </w:t>
      </w:r>
      <w:r>
        <w:t>I</w:t>
      </w:r>
      <w:r w:rsidR="00524D76">
        <w:t xml:space="preserve">nstituting </w:t>
      </w:r>
      <w:r>
        <w:t>I</w:t>
      </w:r>
      <w:r w:rsidR="00524D76">
        <w:t>nvestigation</w:t>
      </w:r>
      <w:r>
        <w:t>/O</w:t>
      </w:r>
      <w:r w:rsidR="00524D76">
        <w:t xml:space="preserve">rder </w:t>
      </w:r>
      <w:r>
        <w:t>I</w:t>
      </w:r>
      <w:r w:rsidR="00524D76">
        <w:t xml:space="preserve">nstituting </w:t>
      </w:r>
      <w:r>
        <w:t>R</w:t>
      </w:r>
      <w:r w:rsidR="00524D76">
        <w:t>ulemaking</w:t>
      </w:r>
      <w:r>
        <w:t xml:space="preserve"> proceeding) to consider strategies for increased and non</w:t>
      </w:r>
      <w:r w:rsidR="008E3B78">
        <w:noBreakHyphen/>
      </w:r>
      <w:r>
        <w:t>discriminatory access to poles and conduit by competitive communications providers, the impact of such increased access on safety, and how best to ensure the integrity of the affected communications and electric supply infrastructure going forward.</w:t>
      </w:r>
    </w:p>
    <w:p w:rsidR="00B06911" w:rsidP="004E66D3" w:rsidRDefault="00DE4703" w14:paraId="2739E052" w14:textId="6FAAFD5A">
      <w:pPr>
        <w:pStyle w:val="standard"/>
      </w:pPr>
      <w:r w:rsidRPr="00DE4703">
        <w:t>Since its issuance</w:t>
      </w:r>
      <w:r>
        <w:t xml:space="preserve">, the Commission has issued </w:t>
      </w:r>
      <w:r w:rsidR="00DB2A5A">
        <w:t>several</w:t>
      </w:r>
      <w:r>
        <w:t xml:space="preserve"> decisions</w:t>
      </w:r>
      <w:r w:rsidR="00DB2A5A">
        <w:t xml:space="preserve"> to promote pole safety, service reliability, </w:t>
      </w:r>
      <w:r w:rsidR="00D05074">
        <w:t>and access.</w:t>
      </w:r>
      <w:r w:rsidR="00DF2563">
        <w:t xml:space="preserve"> </w:t>
      </w:r>
      <w:r w:rsidR="0039354C">
        <w:t>M</w:t>
      </w:r>
      <w:r w:rsidR="00DF2563">
        <w:t>ost recently</w:t>
      </w:r>
      <w:r w:rsidR="00F47858">
        <w:t xml:space="preserve">, with </w:t>
      </w:r>
      <w:r w:rsidRPr="002E47F9" w:rsidR="00F47858">
        <w:t>Decision</w:t>
      </w:r>
      <w:r w:rsidR="00F47858">
        <w:t xml:space="preserve"> </w:t>
      </w:r>
      <w:r w:rsidR="00EB3201">
        <w:t>(</w:t>
      </w:r>
      <w:r w:rsidRPr="002E47F9" w:rsidR="00EB3201">
        <w:t>D.</w:t>
      </w:r>
      <w:r w:rsidR="00EB3201">
        <w:t>) </w:t>
      </w:r>
      <w:r w:rsidR="00F47858">
        <w:t>21</w:t>
      </w:r>
      <w:r w:rsidR="008E3B78">
        <w:noBreakHyphen/>
      </w:r>
      <w:r w:rsidR="00F47858">
        <w:t>10</w:t>
      </w:r>
      <w:r w:rsidR="008E3B78">
        <w:noBreakHyphen/>
      </w:r>
      <w:r w:rsidR="00F47858">
        <w:t>019</w:t>
      </w:r>
      <w:r w:rsidR="00500E6B">
        <w:t xml:space="preserve">, the Commission imposed on the five major pole owners in California (Pacific Gas and Electric Company, Southern California Edison </w:t>
      </w:r>
      <w:r w:rsidR="00DC627A">
        <w:t>Company</w:t>
      </w:r>
      <w:r w:rsidR="00500E6B">
        <w:t xml:space="preserve">, </w:t>
      </w:r>
      <w:r w:rsidR="00E04147">
        <w:t>San </w:t>
      </w:r>
      <w:r w:rsidR="00DC627A">
        <w:t>Diego</w:t>
      </w:r>
      <w:r w:rsidR="00500E6B">
        <w:t xml:space="preserve"> Gas</w:t>
      </w:r>
      <w:r w:rsidR="00E04147">
        <w:t xml:space="preserve"> &amp; </w:t>
      </w:r>
      <w:r w:rsidR="00500E6B">
        <w:t>Electric Company, Frontier Communications</w:t>
      </w:r>
      <w:r w:rsidR="00DC627A">
        <w:t>, and AT</w:t>
      </w:r>
      <w:r w:rsidR="0047664F">
        <w:t>&amp;T</w:t>
      </w:r>
      <w:r w:rsidR="008568C9">
        <w:t>)</w:t>
      </w:r>
      <w:r w:rsidR="00327C28">
        <w:rPr>
          <w:rStyle w:val="FootnoteReference"/>
        </w:rPr>
        <w:footnoteReference w:id="2"/>
      </w:r>
      <w:r w:rsidR="00327C28">
        <w:t xml:space="preserve"> </w:t>
      </w:r>
      <w:r w:rsidR="00E305EF">
        <w:t>t</w:t>
      </w:r>
      <w:r w:rsidR="00970B62">
        <w:t>he</w:t>
      </w:r>
      <w:r w:rsidR="00E305EF">
        <w:t xml:space="preserve"> duty to include granular information about each electric attachment and communications attachment to each pole in each major pole owner’s </w:t>
      </w:r>
      <w:r w:rsidR="00860985">
        <w:t>database</w:t>
      </w:r>
      <w:r w:rsidR="00E305EF">
        <w:t>.</w:t>
      </w:r>
      <w:r w:rsidR="00860985">
        <w:t xml:space="preserve"> By requiring the inclusion of standardized attachment data, the Commission </w:t>
      </w:r>
      <w:r w:rsidR="00796500">
        <w:t xml:space="preserve">took a major </w:t>
      </w:r>
      <w:r w:rsidR="0039354C">
        <w:t>step</w:t>
      </w:r>
      <w:r w:rsidR="00796500">
        <w:t xml:space="preserve"> forward in providing clearer insight into each pole’s safety, available capacity, and available physical space for access.</w:t>
      </w:r>
    </w:p>
    <w:p w:rsidR="006E511E" w:rsidP="004E66D3" w:rsidRDefault="006E511E" w14:paraId="507D60E0" w14:textId="4A862F03">
      <w:pPr>
        <w:pStyle w:val="standard"/>
      </w:pPr>
      <w:r>
        <w:t xml:space="preserve">The Commission recognized, however, that </w:t>
      </w:r>
      <w:r w:rsidR="00373DAC">
        <w:t xml:space="preserve">each pole attacher’s duty to provide its granular attachment information to each respective pole owner </w:t>
      </w:r>
      <w:r w:rsidR="005505BA">
        <w:t xml:space="preserve">would not be an easy task. </w:t>
      </w:r>
      <w:r w:rsidR="005E6730">
        <w:t>(D.21</w:t>
      </w:r>
      <w:r w:rsidR="008E3B78">
        <w:noBreakHyphen/>
      </w:r>
      <w:r w:rsidR="005E6730">
        <w:t>10</w:t>
      </w:r>
      <w:r w:rsidR="008E3B78">
        <w:noBreakHyphen/>
      </w:r>
      <w:r w:rsidR="005E6730">
        <w:t>019 at 115.) To accommodate this potential difficulty</w:t>
      </w:r>
      <w:r w:rsidR="00130B58">
        <w:t xml:space="preserve"> </w:t>
      </w:r>
      <w:r w:rsidRPr="002E47F9" w:rsidR="00130B58">
        <w:t>O</w:t>
      </w:r>
      <w:r w:rsidRPr="002E47F9" w:rsidR="00370C2E">
        <w:t xml:space="preserve">rdering Paragraph </w:t>
      </w:r>
      <w:r w:rsidR="00370C2E">
        <w:t>(</w:t>
      </w:r>
      <w:r w:rsidRPr="002E47F9" w:rsidR="00370C2E">
        <w:t>O</w:t>
      </w:r>
      <w:r w:rsidRPr="002E47F9" w:rsidR="00130B58">
        <w:t>P</w:t>
      </w:r>
      <w:r w:rsidR="00370C2E">
        <w:t>) </w:t>
      </w:r>
      <w:r w:rsidR="00130B58">
        <w:t>10 of D.21</w:t>
      </w:r>
      <w:r w:rsidR="008E3B78">
        <w:noBreakHyphen/>
      </w:r>
      <w:r w:rsidR="00130B58">
        <w:t>10</w:t>
      </w:r>
      <w:r w:rsidR="008E3B78">
        <w:noBreakHyphen/>
      </w:r>
      <w:r w:rsidR="00130B58">
        <w:t xml:space="preserve">019 included an opportunity </w:t>
      </w:r>
      <w:r w:rsidR="00130B58">
        <w:lastRenderedPageBreak/>
        <w:t xml:space="preserve">for attachers to submit a written request </w:t>
      </w:r>
      <w:r w:rsidR="00F3678D">
        <w:t xml:space="preserve">for extension </w:t>
      </w:r>
      <w:r w:rsidR="00130B58">
        <w:t xml:space="preserve">to the Executive </w:t>
      </w:r>
      <w:r w:rsidR="00B66004">
        <w:t>D</w:t>
      </w:r>
      <w:r w:rsidR="00130B58">
        <w:t xml:space="preserve">irector no later than 30 days before the expiration </w:t>
      </w:r>
      <w:r w:rsidR="00F3678D">
        <w:t>of their 12</w:t>
      </w:r>
      <w:r w:rsidR="008E3B78">
        <w:noBreakHyphen/>
      </w:r>
      <w:r w:rsidR="00F3678D">
        <w:t>month deadline.</w:t>
      </w:r>
    </w:p>
    <w:p w:rsidR="00B06911" w:rsidP="00DA4840" w:rsidRDefault="00FE5120" w14:paraId="72BB42A7" w14:textId="4B6B1C14">
      <w:pPr>
        <w:pStyle w:val="Heading2"/>
      </w:pPr>
      <w:r w:rsidRPr="00FE5120">
        <w:rPr>
          <w:iCs/>
        </w:rPr>
        <w:t>Justification</w:t>
      </w:r>
    </w:p>
    <w:p w:rsidR="004D13D5" w:rsidP="00FE5120" w:rsidRDefault="00DA4840" w14:paraId="4442E0F4" w14:textId="5B72371F">
      <w:pPr>
        <w:pStyle w:val="standard"/>
      </w:pPr>
      <w:r>
        <w:t>B</w:t>
      </w:r>
      <w:r w:rsidRPr="00FE5120" w:rsidR="00FE5120">
        <w:t xml:space="preserve">etween </w:t>
      </w:r>
      <w:r w:rsidR="00B06911">
        <w:t>July </w:t>
      </w:r>
      <w:r w:rsidRPr="00FE5120" w:rsidR="00FE5120">
        <w:t xml:space="preserve">28, 2023, and </w:t>
      </w:r>
      <w:r w:rsidR="00B06911">
        <w:t>September </w:t>
      </w:r>
      <w:r w:rsidRPr="00FE5120" w:rsidR="00FE5120">
        <w:t>8, 2023, the following pole attachers sought extensions of time to comply with D.21</w:t>
      </w:r>
      <w:r w:rsidR="008E3B78">
        <w:noBreakHyphen/>
      </w:r>
      <w:r w:rsidRPr="00FE5120" w:rsidR="00FE5120">
        <w:t>10</w:t>
      </w:r>
      <w:r w:rsidR="008E3B78">
        <w:noBreakHyphen/>
      </w:r>
      <w:r w:rsidRPr="00FE5120" w:rsidR="00FE5120">
        <w:t xml:space="preserve">019 </w:t>
      </w:r>
      <w:r w:rsidR="00F56D0E">
        <w:t>OP </w:t>
      </w:r>
      <w:r w:rsidRPr="00FE5120" w:rsidR="00FE5120">
        <w:t>8, which required the attachers to provide the information required by Data Points</w:t>
      </w:r>
      <w:r w:rsidR="00991320">
        <w:t> </w:t>
      </w:r>
      <w:r w:rsidRPr="00FE5120" w:rsidR="00FE5120">
        <w:t>1</w:t>
      </w:r>
      <w:r w:rsidR="008E3B78">
        <w:noBreakHyphen/>
      </w:r>
      <w:r w:rsidRPr="00FE5120" w:rsidR="00FE5120">
        <w:t xml:space="preserve">5 and </w:t>
      </w:r>
      <w:r w:rsidRPr="00FE5120" w:rsidR="00991320">
        <w:t>Data Points</w:t>
      </w:r>
      <w:r w:rsidR="00991320">
        <w:t> </w:t>
      </w:r>
      <w:r w:rsidRPr="00FE5120" w:rsidR="00FE5120">
        <w:t>18</w:t>
      </w:r>
      <w:r w:rsidR="008E3B78">
        <w:noBreakHyphen/>
      </w:r>
      <w:r w:rsidRPr="00FE5120" w:rsidR="00FE5120">
        <w:t>20 for existing and new pole attachments</w:t>
      </w:r>
      <w:r w:rsidR="00B06911">
        <w:t xml:space="preserve">:  </w:t>
      </w:r>
      <w:r w:rsidRPr="00FE5120" w:rsidR="00FE5120">
        <w:t>Comcast Phone of California, LLC</w:t>
      </w:r>
      <w:r w:rsidR="007626B8">
        <w:t xml:space="preserve">; </w:t>
      </w:r>
      <w:r w:rsidRPr="00FE5120" w:rsidR="00FE5120">
        <w:t>Consolidated Communications of California Company</w:t>
      </w:r>
      <w:r w:rsidR="007626B8">
        <w:t xml:space="preserve">; </w:t>
      </w:r>
      <w:r w:rsidRPr="00FE5120" w:rsidR="00FE5120">
        <w:t>ExteNet Systems (</w:t>
      </w:r>
      <w:r w:rsidRPr="002E47F9" w:rsidR="00FE5120">
        <w:t>California</w:t>
      </w:r>
      <w:r w:rsidRPr="00FE5120" w:rsidR="00FE5120">
        <w:t>), LLC</w:t>
      </w:r>
      <w:r w:rsidR="007626B8">
        <w:t xml:space="preserve">; </w:t>
      </w:r>
      <w:r w:rsidRPr="00FE5120" w:rsidR="00FE5120">
        <w:t>ExteNet Telecom Solutions, Inc.</w:t>
      </w:r>
      <w:r w:rsidR="007626B8">
        <w:t xml:space="preserve">; </w:t>
      </w:r>
      <w:r w:rsidRPr="00FE5120" w:rsidR="00FE5120">
        <w:t>Sonic Telecom, LLC</w:t>
      </w:r>
      <w:r w:rsidR="007626B8">
        <w:t xml:space="preserve">; </w:t>
      </w:r>
      <w:r w:rsidRPr="00FE5120" w:rsidR="00FE5120">
        <w:t>Spectrum Pacific West, LLC</w:t>
      </w:r>
      <w:r w:rsidR="007626B8">
        <w:t xml:space="preserve">; </w:t>
      </w:r>
      <w:r w:rsidRPr="00FE5120" w:rsidR="00FE5120">
        <w:t>T</w:t>
      </w:r>
      <w:r w:rsidR="008E3B78">
        <w:noBreakHyphen/>
      </w:r>
      <w:r w:rsidRPr="00FE5120" w:rsidR="00FE5120">
        <w:t>Mobile West LLC dba T</w:t>
      </w:r>
      <w:r w:rsidR="008E3B78">
        <w:noBreakHyphen/>
      </w:r>
      <w:r w:rsidRPr="00FE5120" w:rsidR="00FE5120">
        <w:t>Mobile</w:t>
      </w:r>
      <w:r w:rsidR="007626B8">
        <w:t xml:space="preserve">; </w:t>
      </w:r>
      <w:r w:rsidRPr="00FE5120" w:rsidR="00FE5120">
        <w:t>Cellco Partnership, on behalf of itself and its facilities</w:t>
      </w:r>
      <w:r w:rsidR="008E3B78">
        <w:noBreakHyphen/>
      </w:r>
      <w:r w:rsidRPr="00FE5120" w:rsidR="00FE5120">
        <w:t>based wireless affiliates (Verizon Wireless)</w:t>
      </w:r>
      <w:r w:rsidR="007626B8">
        <w:t xml:space="preserve">; </w:t>
      </w:r>
      <w:r w:rsidRPr="00FE5120" w:rsidR="00FE5120">
        <w:t>MCImetro Access Transmission Services LLC</w:t>
      </w:r>
      <w:r w:rsidR="007626B8">
        <w:t xml:space="preserve">; </w:t>
      </w:r>
      <w:r w:rsidRPr="00FE5120" w:rsidR="00FE5120">
        <w:t xml:space="preserve">and MCI Communications Services LLC. </w:t>
      </w:r>
      <w:r w:rsidR="004340DE">
        <w:t xml:space="preserve"> </w:t>
      </w:r>
      <w:r w:rsidRPr="00FE5120" w:rsidR="00FE5120">
        <w:t>After considering their requests, the Commission’s Executive Direct</w:t>
      </w:r>
      <w:r w:rsidR="004340DE">
        <w:t>or</w:t>
      </w:r>
      <w:r w:rsidRPr="00FE5120" w:rsidR="00FE5120">
        <w:t xml:space="preserve"> granted the requests so that the duty to provide pole attachment data has been extended to </w:t>
      </w:r>
      <w:r w:rsidR="00B06911">
        <w:t>February </w:t>
      </w:r>
      <w:r w:rsidRPr="00FE5120" w:rsidR="00FE5120">
        <w:t xml:space="preserve">29, 2024, </w:t>
      </w:r>
      <w:r w:rsidR="00B06911">
        <w:t>April </w:t>
      </w:r>
      <w:r w:rsidRPr="00FE5120" w:rsidR="00FE5120">
        <w:t xml:space="preserve">9, 2024, and </w:t>
      </w:r>
      <w:r w:rsidR="00B06911">
        <w:t>April </w:t>
      </w:r>
      <w:r w:rsidRPr="00FE5120" w:rsidR="00FE5120">
        <w:t xml:space="preserve">12, 2024. </w:t>
      </w:r>
      <w:r w:rsidR="00932EB6">
        <w:t xml:space="preserve"> </w:t>
      </w:r>
      <w:r w:rsidR="004D13D5">
        <w:t xml:space="preserve">Staff </w:t>
      </w:r>
      <w:r w:rsidR="00585AE4">
        <w:t>wa</w:t>
      </w:r>
      <w:r w:rsidR="004D13D5">
        <w:t xml:space="preserve">s in the process of monitoring the pole attachers’ progress to ensure compliance with the Commission’s orders, but that overview </w:t>
      </w:r>
      <w:r w:rsidR="00585AE4">
        <w:t>was</w:t>
      </w:r>
      <w:r w:rsidR="004D13D5">
        <w:t xml:space="preserve"> not yet complete</w:t>
      </w:r>
      <w:r w:rsidR="00585AE4">
        <w:t xml:space="preserve">d. Consequently, on </w:t>
      </w:r>
      <w:r w:rsidRPr="00C0564D" w:rsidR="00585AE4">
        <w:t>December 4, 2024, D.</w:t>
      </w:r>
      <w:r w:rsidRPr="00C0564D" w:rsidR="00286368">
        <w:t>24-12-014</w:t>
      </w:r>
      <w:r w:rsidR="00286368">
        <w:t xml:space="preserve"> </w:t>
      </w:r>
      <w:r w:rsidR="00585AE4">
        <w:t>extended the statutory deadline for this proceeding until December 31, 2025.</w:t>
      </w:r>
    </w:p>
    <w:p w:rsidR="00B06911" w:rsidP="00A62C75" w:rsidRDefault="00471320" w14:paraId="500E056D" w14:textId="0DFED7C4">
      <w:pPr>
        <w:pStyle w:val="standard"/>
      </w:pPr>
      <w:r w:rsidRPr="00080682">
        <w:t>The assigned Administrative Law Judge</w:t>
      </w:r>
      <w:r w:rsidRPr="00080682" w:rsidR="00C0564D">
        <w:t xml:space="preserve"> </w:t>
      </w:r>
      <w:r w:rsidRPr="00080682">
        <w:t xml:space="preserve">is currently working with the </w:t>
      </w:r>
      <w:r w:rsidRPr="00080682" w:rsidR="00080682">
        <w:t>Commission’s</w:t>
      </w:r>
      <w:r w:rsidRPr="00080682">
        <w:t xml:space="preserve"> Communications Division and Telecommunications Division on the final decision to close this proceeding.</w:t>
      </w:r>
      <w:r>
        <w:t xml:space="preserve"> </w:t>
      </w:r>
      <w:r w:rsidRPr="00FE5120" w:rsidR="00FE5120">
        <w:t>Therefore, an extension of the statutory deadline until</w:t>
      </w:r>
      <w:r>
        <w:t xml:space="preserve"> June 30, 2026</w:t>
      </w:r>
      <w:r w:rsidRPr="00FE5120" w:rsidR="00FE5120">
        <w:t xml:space="preserve">, is </w:t>
      </w:r>
      <w:r w:rsidR="004340DE">
        <w:t>necessary</w:t>
      </w:r>
      <w:r w:rsidRPr="00FE5120" w:rsidR="00FE5120">
        <w:t>.</w:t>
      </w:r>
    </w:p>
    <w:p w:rsidRPr="00CA180C" w:rsidR="00DC64A4" w:rsidP="009E0AA9" w:rsidRDefault="003854D9" w14:paraId="23D41F23" w14:textId="725F60B5">
      <w:pPr>
        <w:pStyle w:val="Heading1"/>
      </w:pPr>
      <w:r>
        <w:t>Waiver of Comment Period</w:t>
      </w:r>
    </w:p>
    <w:p w:rsidRPr="00A80752" w:rsidR="006D6900" w:rsidP="001C4566" w:rsidRDefault="003854D9" w14:paraId="7B194642" w14:textId="04A82883">
      <w:pPr>
        <w:pStyle w:val="standard"/>
      </w:pPr>
      <w:r w:rsidRPr="00DD5BB0">
        <w:t>Under Rule</w:t>
      </w:r>
      <w:r w:rsidR="004C05FE">
        <w:t> </w:t>
      </w:r>
      <w:r w:rsidRPr="00DD5BB0">
        <w:t>14.6(c)(4) of the Commission’s Rules of Practice and Procedure, the Commission may waive the otherwise applicable 30</w:t>
      </w:r>
      <w:r w:rsidR="008E3B78">
        <w:noBreakHyphen/>
      </w:r>
      <w:r w:rsidRPr="00DD5BB0">
        <w:t xml:space="preserve">day period </w:t>
      </w:r>
      <w:r w:rsidRPr="00DD5BB0">
        <w:lastRenderedPageBreak/>
        <w:t xml:space="preserve">for public review and comment on a decision that extends the </w:t>
      </w:r>
      <w:r w:rsidR="00A35BD7">
        <w:t xml:space="preserve">deadline for resolving </w:t>
      </w:r>
      <w:r w:rsidR="000B64BE">
        <w:t>quasi-legislative</w:t>
      </w:r>
      <w:r w:rsidR="00A35BD7">
        <w:t xml:space="preserve"> proceedings</w:t>
      </w:r>
      <w:r w:rsidRPr="00DD5BB0">
        <w:t xml:space="preserve"> set forth in </w:t>
      </w:r>
      <w:r w:rsidR="009245CB">
        <w:t>Pub. Util.</w:t>
      </w:r>
      <w:r w:rsidRPr="00DD5BB0">
        <w:t xml:space="preserve"> Code </w:t>
      </w:r>
      <w:r w:rsidR="009245CB">
        <w:t>Section </w:t>
      </w:r>
      <w:r w:rsidR="00A35BD7">
        <w:t>1701.5</w:t>
      </w:r>
      <w:r w:rsidRPr="00DD5BB0">
        <w:t>.</w:t>
      </w:r>
      <w:r w:rsidR="00551D8D">
        <w:t xml:space="preserve"> </w:t>
      </w:r>
      <w:r w:rsidRPr="00DD5BB0">
        <w:t>Under the circumstances of this proceeding, it is appropriate to waive the 30</w:t>
      </w:r>
      <w:r w:rsidR="008E3B78">
        <w:noBreakHyphen/>
      </w:r>
      <w:r w:rsidRPr="00DD5BB0">
        <w:t>day period for public review and comment.</w:t>
      </w:r>
    </w:p>
    <w:p w:rsidRPr="00CA180C" w:rsidR="006D6900" w:rsidP="009E0AA9" w:rsidRDefault="003854D9" w14:paraId="13A94EBC" w14:textId="77777777">
      <w:pPr>
        <w:pStyle w:val="Heading1"/>
      </w:pPr>
      <w:bookmarkStart w:name="_Hlk34241689" w:id="2"/>
      <w:r>
        <w:t>Assignment of Proceeding</w:t>
      </w:r>
    </w:p>
    <w:p w:rsidRPr="00A80752" w:rsidR="006D6900" w:rsidP="006D6900" w:rsidRDefault="003C3F43" w14:paraId="613E4668" w14:textId="77D2074B">
      <w:pPr>
        <w:pStyle w:val="standard"/>
      </w:pPr>
      <w:r w:rsidRPr="00D60519">
        <w:t>Presiden</w:t>
      </w:r>
      <w:r w:rsidRPr="00D60519" w:rsidR="00D60519">
        <w:t>t Alice Reynolds</w:t>
      </w:r>
      <w:r w:rsidR="003854D9">
        <w:t xml:space="preserve"> is the assigned Commissioner and</w:t>
      </w:r>
      <w:r w:rsidR="00D60519">
        <w:t xml:space="preserve"> Robert</w:t>
      </w:r>
      <w:r w:rsidR="002E43F9">
        <w:t> </w:t>
      </w:r>
      <w:r w:rsidR="00D60519">
        <w:t>M. Mason</w:t>
      </w:r>
      <w:r w:rsidR="002E43F9">
        <w:t> </w:t>
      </w:r>
      <w:r w:rsidR="00D60519">
        <w:t>III</w:t>
      </w:r>
      <w:r w:rsidR="003854D9">
        <w:t xml:space="preserve"> is the assigned Administrative Law Judge in this </w:t>
      </w:r>
      <w:r w:rsidR="00FA613B">
        <w:t>proceeding.</w:t>
      </w:r>
    </w:p>
    <w:bookmarkEnd w:id="2"/>
    <w:p w:rsidR="00B06911" w:rsidP="002E43F9" w:rsidRDefault="003854D9" w14:paraId="2C5BE286" w14:textId="77777777">
      <w:pPr>
        <w:pStyle w:val="dummy"/>
      </w:pPr>
      <w:r>
        <w:t>Findings of Fact</w:t>
      </w:r>
    </w:p>
    <w:p w:rsidR="0070712E" w:rsidP="00551422" w:rsidRDefault="00F60A93" w14:paraId="3B29C710" w14:textId="3F25BFA0">
      <w:pPr>
        <w:pStyle w:val="FoF"/>
      </w:pPr>
      <w:r>
        <w:t>The current statutory deadline for resolving</w:t>
      </w:r>
      <w:r w:rsidR="00285EC3">
        <w:t xml:space="preserve"> </w:t>
      </w:r>
      <w:r w:rsidR="00380ABA">
        <w:t xml:space="preserve">consolidated proceeding </w:t>
      </w:r>
      <w:r w:rsidR="00875C73">
        <w:t>I</w:t>
      </w:r>
      <w:r w:rsidR="009245CB">
        <w:t>.</w:t>
      </w:r>
      <w:r w:rsidR="00875C73">
        <w:t>17</w:t>
      </w:r>
      <w:r w:rsidR="008E3B78">
        <w:noBreakHyphen/>
      </w:r>
      <w:r w:rsidR="00875C73">
        <w:t>06</w:t>
      </w:r>
      <w:r w:rsidR="008E3B78">
        <w:noBreakHyphen/>
      </w:r>
      <w:r w:rsidR="00875C73">
        <w:t>027 and R</w:t>
      </w:r>
      <w:r w:rsidR="009245CB">
        <w:t>.</w:t>
      </w:r>
      <w:r w:rsidR="00875C73">
        <w:t>17</w:t>
      </w:r>
      <w:r w:rsidR="008E3B78">
        <w:noBreakHyphen/>
      </w:r>
      <w:r w:rsidR="00875C73">
        <w:t>06</w:t>
      </w:r>
      <w:r w:rsidR="008E3B78">
        <w:noBreakHyphen/>
      </w:r>
      <w:r w:rsidR="00875C73">
        <w:t xml:space="preserve">028 </w:t>
      </w:r>
      <w:r w:rsidR="0014499E">
        <w:t>is December 31, 202</w:t>
      </w:r>
      <w:r w:rsidR="00380ABA">
        <w:t>5</w:t>
      </w:r>
      <w:r w:rsidR="00285EC3">
        <w:t>.</w:t>
      </w:r>
    </w:p>
    <w:p w:rsidR="0070712E" w:rsidP="00551422" w:rsidRDefault="00380ABA" w14:paraId="4CC6857B" w14:textId="2716F368">
      <w:pPr>
        <w:pStyle w:val="FoF"/>
      </w:pPr>
      <w:r>
        <w:t xml:space="preserve">Consolidated proceeding </w:t>
      </w:r>
      <w:r w:rsidR="00285EC3">
        <w:t>I</w:t>
      </w:r>
      <w:r w:rsidR="009245CB">
        <w:t>.</w:t>
      </w:r>
      <w:r w:rsidR="00285EC3">
        <w:t>17</w:t>
      </w:r>
      <w:r w:rsidR="008E3B78">
        <w:noBreakHyphen/>
      </w:r>
      <w:r w:rsidR="00285EC3">
        <w:t>06</w:t>
      </w:r>
      <w:r w:rsidR="008E3B78">
        <w:noBreakHyphen/>
      </w:r>
      <w:r w:rsidR="00285EC3">
        <w:t>027 and R</w:t>
      </w:r>
      <w:r w:rsidR="009245CB">
        <w:t>.</w:t>
      </w:r>
      <w:r w:rsidR="00285EC3">
        <w:t>17</w:t>
      </w:r>
      <w:r w:rsidR="008E3B78">
        <w:noBreakHyphen/>
      </w:r>
      <w:r w:rsidR="00285EC3">
        <w:t>06</w:t>
      </w:r>
      <w:r w:rsidR="008E3B78">
        <w:noBreakHyphen/>
      </w:r>
      <w:r w:rsidR="00285EC3">
        <w:t xml:space="preserve">028 </w:t>
      </w:r>
      <w:r w:rsidR="005468A8">
        <w:t xml:space="preserve">cannot </w:t>
      </w:r>
      <w:r w:rsidR="0070712E">
        <w:t xml:space="preserve">be completed by </w:t>
      </w:r>
      <w:r w:rsidR="00B06911">
        <w:t>December </w:t>
      </w:r>
      <w:r w:rsidR="0014499E">
        <w:t>31, 202</w:t>
      </w:r>
      <w:r>
        <w:t>5</w:t>
      </w:r>
      <w:r w:rsidR="0070712E">
        <w:t>.</w:t>
      </w:r>
    </w:p>
    <w:p w:rsidRPr="003829E4" w:rsidR="0070712E" w:rsidP="00551422" w:rsidRDefault="0070712E" w14:paraId="76FBA343" w14:textId="6B983BC4">
      <w:pPr>
        <w:pStyle w:val="FoF"/>
      </w:pPr>
      <w:r>
        <w:t xml:space="preserve">An extension of the statutory deadline </w:t>
      </w:r>
      <w:r w:rsidR="004F6471">
        <w:t>to</w:t>
      </w:r>
      <w:r w:rsidR="00380ABA">
        <w:t xml:space="preserve"> June 30, 2026</w:t>
      </w:r>
      <w:r w:rsidR="00FA613B">
        <w:t>,</w:t>
      </w:r>
      <w:r>
        <w:t xml:space="preserve"> is necessary to allow adequate time to complete this </w:t>
      </w:r>
      <w:r w:rsidR="00F60A93">
        <w:t>proceeding</w:t>
      </w:r>
      <w:r w:rsidRPr="00A80752" w:rsidR="00BE6381">
        <w:t>.</w:t>
      </w:r>
      <w:bookmarkStart w:name="_Hlk10631608" w:id="3"/>
    </w:p>
    <w:p w:rsidRPr="009245CB" w:rsidR="00904595" w:rsidP="009245CB" w:rsidRDefault="00904595" w14:paraId="2EB32A8A" w14:textId="77777777">
      <w:pPr>
        <w:pStyle w:val="dummy"/>
      </w:pPr>
      <w:r w:rsidRPr="002E43F9">
        <w:t>Conclusion</w:t>
      </w:r>
      <w:r w:rsidRPr="009245CB">
        <w:t xml:space="preserve"> of Law</w:t>
      </w:r>
    </w:p>
    <w:bookmarkEnd w:id="3"/>
    <w:p w:rsidRPr="00DD5BB0" w:rsidR="003829E4" w:rsidP="00B27A92" w:rsidRDefault="00904595" w14:paraId="2A73CADF" w14:textId="76029F12">
      <w:pPr>
        <w:pStyle w:val="standard"/>
      </w:pPr>
      <w:r w:rsidRPr="00DD5BB0">
        <w:t xml:space="preserve">Pursuant to the authority granted to the Commission under </w:t>
      </w:r>
      <w:r w:rsidR="009245CB">
        <w:t>Pub. Util.</w:t>
      </w:r>
      <w:r w:rsidRPr="00DD5BB0">
        <w:t xml:space="preserve"> Code </w:t>
      </w:r>
      <w:r w:rsidR="009245CB">
        <w:t>Section </w:t>
      </w:r>
      <w:r w:rsidRPr="00DD5BB0" w:rsidR="00A35BD7">
        <w:t>1701.</w:t>
      </w:r>
      <w:r w:rsidR="00A35BD7">
        <w:t>5(a)</w:t>
      </w:r>
      <w:r w:rsidRPr="00DD5BB0">
        <w:t xml:space="preserve">, </w:t>
      </w:r>
      <w:r w:rsidRPr="00512B6F">
        <w:t>the</w:t>
      </w:r>
      <w:r w:rsidRPr="00DD5BB0">
        <w:t xml:space="preserve"> statutory deadline should be extended to</w:t>
      </w:r>
      <w:r w:rsidR="00FA613B">
        <w:t xml:space="preserve"> </w:t>
      </w:r>
      <w:r w:rsidR="00380ABA">
        <w:t>June 30, 2026</w:t>
      </w:r>
      <w:r w:rsidR="00CE7A86">
        <w:t>.</w:t>
      </w:r>
    </w:p>
    <w:p w:rsidRPr="00DD5BB0" w:rsidR="00904595" w:rsidP="00512B6F" w:rsidRDefault="00904595" w14:paraId="373AA594" w14:textId="5BC0012E">
      <w:pPr>
        <w:pStyle w:val="standard"/>
        <w:keepNext/>
      </w:pPr>
      <w:r w:rsidRPr="00DD5BB0">
        <w:rPr>
          <w:b/>
        </w:rPr>
        <w:t>IT IS ORDERED</w:t>
      </w:r>
      <w:r w:rsidRPr="00DD5BB0">
        <w:t xml:space="preserve"> that the statutory deadline for completion of this </w:t>
      </w:r>
      <w:r w:rsidRPr="00512B6F">
        <w:t>proceeding</w:t>
      </w:r>
      <w:r w:rsidRPr="00DD5BB0">
        <w:t xml:space="preserve"> is extended </w:t>
      </w:r>
      <w:r w:rsidR="00FA54EF">
        <w:t>to</w:t>
      </w:r>
      <w:r w:rsidR="00CE7A86">
        <w:t xml:space="preserve"> </w:t>
      </w:r>
      <w:r w:rsidR="0063205C">
        <w:t>June 30, 2026</w:t>
      </w:r>
      <w:r w:rsidR="00CE7A86">
        <w:t>.</w:t>
      </w:r>
    </w:p>
    <w:p w:rsidRPr="00DD5BB0" w:rsidR="00904595" w:rsidP="00512B6F" w:rsidRDefault="00904595" w14:paraId="5FEEED10" w14:textId="77777777">
      <w:pPr>
        <w:pStyle w:val="standard"/>
        <w:keepNext/>
      </w:pPr>
      <w:r w:rsidRPr="00DD5BB0">
        <w:t>This order is effective today.</w:t>
      </w:r>
    </w:p>
    <w:p w:rsidRPr="00DD5BB0" w:rsidR="00904595" w:rsidP="00512B6F" w:rsidRDefault="00904595" w14:paraId="6C0977E5" w14:textId="10A2300B">
      <w:pPr>
        <w:pStyle w:val="standard"/>
        <w:keepNext/>
      </w:pPr>
      <w:r w:rsidRPr="00DD5BB0">
        <w:t xml:space="preserve">Dated </w:t>
      </w:r>
      <w:r w:rsidRPr="00DD5BB0" w:rsidR="00DD5BB0">
        <w:t>_________</w:t>
      </w:r>
      <w:r w:rsidR="00512B6F">
        <w:t>_</w:t>
      </w:r>
      <w:r w:rsidRPr="00DD5BB0" w:rsidR="00512B6F">
        <w:t>_________</w:t>
      </w:r>
      <w:r w:rsidR="00512B6F">
        <w:t>_</w:t>
      </w:r>
      <w:r w:rsidRPr="00DD5BB0">
        <w:t>, at</w:t>
      </w:r>
      <w:r w:rsidRPr="0063205C">
        <w:rPr>
          <w:u w:val="single"/>
        </w:rPr>
        <w:t xml:space="preserve"> </w:t>
      </w:r>
      <w:r w:rsidRPr="0063205C" w:rsidR="0063205C">
        <w:rPr>
          <w:u w:val="single"/>
        </w:rPr>
        <w:t xml:space="preserve">                  </w:t>
      </w:r>
      <w:r w:rsidR="0063205C">
        <w:rPr>
          <w:u w:val="single"/>
        </w:rPr>
        <w:t xml:space="preserve">     </w:t>
      </w:r>
      <w:r w:rsidRPr="0063205C" w:rsidR="0063205C">
        <w:rPr>
          <w:u w:val="single"/>
        </w:rPr>
        <w:t xml:space="preserve"> </w:t>
      </w:r>
      <w:r w:rsidRPr="00DD5BB0">
        <w:t>, California.</w:t>
      </w:r>
    </w:p>
    <w:p w:rsidR="00904595" w:rsidP="00512B6F" w:rsidRDefault="00904595" w14:paraId="42497A69" w14:textId="77777777">
      <w:pPr>
        <w:pStyle w:val="standard"/>
        <w:keepNext/>
        <w:rPr>
          <w:rFonts w:cs="Palatino"/>
          <w:szCs w:val="26"/>
        </w:rPr>
      </w:pPr>
    </w:p>
    <w:p w:rsidR="00512B6F" w:rsidP="00512B6F" w:rsidRDefault="00512B6F" w14:paraId="36F890D4" w14:textId="77777777">
      <w:pPr>
        <w:pStyle w:val="standard"/>
        <w:keepNext/>
        <w:rPr>
          <w:rFonts w:cs="Palatino"/>
          <w:szCs w:val="26"/>
        </w:rPr>
      </w:pPr>
    </w:p>
    <w:p w:rsidRPr="00DD5BB0" w:rsidR="00512B6F" w:rsidP="00512B6F" w:rsidRDefault="00512B6F" w14:paraId="31F77FC5" w14:textId="77777777">
      <w:pPr>
        <w:pStyle w:val="standard"/>
        <w:keepNext/>
        <w:rPr>
          <w:rFonts w:cs="Palatino"/>
          <w:szCs w:val="26"/>
        </w:rPr>
      </w:pPr>
    </w:p>
    <w:sectPr w:rsidRPr="00DD5BB0" w:rsidR="00512B6F" w:rsidSect="00481EF6">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F32" w14:textId="77777777" w:rsidR="00B4585D" w:rsidRDefault="00B4585D">
      <w:r>
        <w:separator/>
      </w:r>
    </w:p>
  </w:endnote>
  <w:endnote w:type="continuationSeparator" w:id="0">
    <w:p w14:paraId="2C3B4D86" w14:textId="77777777" w:rsidR="00B4585D" w:rsidRDefault="00B4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F1F2" w14:textId="67B988B9" w:rsidR="00A80752" w:rsidRPr="00A80752" w:rsidRDefault="008E3B78" w:rsidP="00A80752">
    <w:pPr>
      <w:pStyle w:val="Footer"/>
    </w:pPr>
    <w:r>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4</w:t>
    </w:r>
    <w:r w:rsidR="00A80752" w:rsidRPr="00A80752">
      <w:rPr>
        <w:noProof/>
      </w:rPr>
      <w:fldChar w:fldCharType="end"/>
    </w:r>
    <w:r w:rsidR="00A80752" w:rsidRPr="00A80752">
      <w:t xml:space="preserve"> </w:t>
    </w:r>
    <w: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204E" w14:textId="107F3CAC" w:rsidR="00787BB6" w:rsidRPr="00B06911" w:rsidRDefault="00BC1A27" w:rsidP="007A3391">
    <w:pPr>
      <w:pStyle w:val="Footer"/>
      <w:jc w:val="left"/>
    </w:pPr>
    <w:r w:rsidRPr="00BC1A27">
      <w:rPr>
        <w:sz w:val="16"/>
      </w:rPr>
      <w:t>588795530</w:t>
    </w:r>
    <w:r w:rsidR="00787BB6" w:rsidRPr="00A80752">
      <w:rPr>
        <w:rFonts w:ascii="Arial" w:hAnsi="Arial"/>
        <w:sz w:val="16"/>
      </w:rPr>
      <w:tab/>
    </w:r>
    <w:r w:rsidR="008E3B78">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1</w:t>
    </w:r>
    <w:r w:rsidR="00A80752" w:rsidRPr="00A80752">
      <w:rPr>
        <w:noProof/>
      </w:rPr>
      <w:fldChar w:fldCharType="end"/>
    </w:r>
    <w:r w:rsidR="00A80752" w:rsidRPr="00A80752">
      <w:t xml:space="preserve"> </w:t>
    </w:r>
    <w:r w:rsidR="008E3B78">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F722" w14:textId="77777777" w:rsidR="00B4585D" w:rsidRDefault="00B4585D">
      <w:r>
        <w:separator/>
      </w:r>
    </w:p>
  </w:footnote>
  <w:footnote w:type="continuationSeparator" w:id="0">
    <w:p w14:paraId="6A0262CD" w14:textId="77777777" w:rsidR="00B4585D" w:rsidRDefault="00B4585D">
      <w:r>
        <w:continuationSeparator/>
      </w:r>
    </w:p>
  </w:footnote>
  <w:footnote w:type="continuationNotice" w:id="1">
    <w:p w14:paraId="12AB92DE" w14:textId="77777777" w:rsidR="00B4585D" w:rsidRDefault="00B4585D">
      <w:pPr>
        <w:rPr>
          <w:sz w:val="22"/>
        </w:rPr>
      </w:pPr>
    </w:p>
    <w:p w14:paraId="5B2E189A" w14:textId="77777777" w:rsidR="00B4585D" w:rsidRDefault="00B4585D">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21D437D1" w14:textId="328FFAAD" w:rsidR="00327C28" w:rsidRDefault="00327C28">
      <w:pPr>
        <w:pStyle w:val="FootnoteText"/>
      </w:pPr>
      <w:r>
        <w:rPr>
          <w:rStyle w:val="FootnoteReference"/>
        </w:rPr>
        <w:footnoteRef/>
      </w:r>
      <w:r>
        <w:t xml:space="preserve"> AT&amp;T stands for </w:t>
      </w:r>
      <w:r w:rsidRPr="00327C28">
        <w:t xml:space="preserve">Pacific Bell Telephone Company, d/b/a AT&amp;T California, AT&amp;T Mobility </w:t>
      </w:r>
      <w:r w:rsidR="00970B62">
        <w:t>(</w:t>
      </w:r>
      <w:r w:rsidRPr="00327C28">
        <w:t>AT&amp;T Mobility Wireless Operations Holdings, Inc., New Cingular Wireless PCS, LLC, and Santa Barbara Cellular Systems, Ltd</w:t>
      </w:r>
      <w:r w:rsidR="00970B62">
        <w:t>)</w:t>
      </w:r>
      <w:r w:rsidRPr="00327C28">
        <w:t xml:space="preserve"> and AT&amp;T Corp</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CF48" w14:textId="336678EB" w:rsidR="001024AA" w:rsidRDefault="00037E6A" w:rsidP="00037E6A">
    <w:pPr>
      <w:tabs>
        <w:tab w:val="right" w:pos="9360"/>
      </w:tabs>
    </w:pPr>
    <w:r w:rsidRPr="00037E6A">
      <w:t>I</w:t>
    </w:r>
    <w:r>
      <w:t>.</w:t>
    </w:r>
    <w:r w:rsidRPr="00037E6A">
      <w:t>17</w:t>
    </w:r>
    <w:r w:rsidR="008E3B78">
      <w:noBreakHyphen/>
    </w:r>
    <w:r w:rsidRPr="00037E6A">
      <w:t>06</w:t>
    </w:r>
    <w:r w:rsidR="008E3B78">
      <w:noBreakHyphen/>
    </w:r>
    <w:r w:rsidRPr="00037E6A">
      <w:t xml:space="preserve">027, </w:t>
    </w:r>
    <w:r w:rsidRPr="00037E6A">
      <w:rPr>
        <w:i/>
        <w:iCs/>
      </w:rPr>
      <w:t>et al.</w:t>
    </w:r>
    <w:r>
      <w:t xml:space="preserve">  </w:t>
    </w:r>
    <w:r w:rsidR="005D6089">
      <w:t>ALJ</w:t>
    </w:r>
    <w:r>
      <w:t>/</w:t>
    </w:r>
    <w:r w:rsidR="005D6089">
      <w:t>RIM/</w:t>
    </w:r>
    <w:r w:rsidR="00E14852">
      <w:t>kp7</w:t>
    </w:r>
    <w:r>
      <w:tab/>
      <w:t>PROPOSED DECISION</w:t>
    </w:r>
  </w:p>
  <w:p w14:paraId="2F35F09A" w14:textId="77777777" w:rsidR="00EF7FC0" w:rsidRDefault="00EF7FC0" w:rsidP="00EF7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5F056CB"/>
    <w:multiLevelType w:val="multilevel"/>
    <w:tmpl w:val="18F4A5AC"/>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7060642"/>
    <w:multiLevelType w:val="singleLevel"/>
    <w:tmpl w:val="F3AE1DA0"/>
    <w:lvl w:ilvl="0">
      <w:start w:val="1"/>
      <w:numFmt w:val="decimal"/>
      <w:lvlText w:val="%1."/>
      <w:legacy w:legacy="1" w:legacySpace="0" w:legacyIndent="0"/>
      <w:lvlJc w:val="left"/>
    </w:lvl>
  </w:abstractNum>
  <w:abstractNum w:abstractNumId="8" w15:restartNumberingAfterBreak="0">
    <w:nsid w:val="1B1F2A61"/>
    <w:multiLevelType w:val="singleLevel"/>
    <w:tmpl w:val="E46A7320"/>
    <w:lvl w:ilvl="0">
      <w:start w:val="1"/>
      <w:numFmt w:val="decimal"/>
      <w:lvlText w:val="%1."/>
      <w:legacy w:legacy="1" w:legacySpace="144" w:legacyIndent="0"/>
      <w:lvlJc w:val="left"/>
    </w:lvl>
  </w:abstractNum>
  <w:abstractNum w:abstractNumId="9"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C3A99"/>
    <w:multiLevelType w:val="multilevel"/>
    <w:tmpl w:val="9CF6FFCE"/>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40E62B6"/>
    <w:multiLevelType w:val="singleLevel"/>
    <w:tmpl w:val="F3AE1DA0"/>
    <w:lvl w:ilvl="0">
      <w:start w:val="1"/>
      <w:numFmt w:val="decimal"/>
      <w:lvlText w:val="%1."/>
      <w:legacy w:legacy="1" w:legacySpace="0" w:legacyIndent="0"/>
      <w:lvlJc w:val="left"/>
    </w:lvl>
  </w:abstractNum>
  <w:abstractNum w:abstractNumId="14" w15:restartNumberingAfterBreak="0">
    <w:nsid w:val="2A832F16"/>
    <w:multiLevelType w:val="singleLevel"/>
    <w:tmpl w:val="E46A7320"/>
    <w:lvl w:ilvl="0">
      <w:start w:val="1"/>
      <w:numFmt w:val="decimal"/>
      <w:lvlText w:val="%1."/>
      <w:legacy w:legacy="1" w:legacySpace="144" w:legacyIndent="0"/>
      <w:lvlJc w:val="left"/>
    </w:lvl>
  </w:abstractNum>
  <w:abstractNum w:abstractNumId="15" w15:restartNumberingAfterBreak="0">
    <w:nsid w:val="2D6B1AE0"/>
    <w:multiLevelType w:val="singleLevel"/>
    <w:tmpl w:val="F3AE1DA0"/>
    <w:lvl w:ilvl="0">
      <w:start w:val="1"/>
      <w:numFmt w:val="decimal"/>
      <w:lvlText w:val="%1."/>
      <w:legacy w:legacy="1" w:legacySpace="0"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D4236"/>
    <w:multiLevelType w:val="singleLevel"/>
    <w:tmpl w:val="F3AE1DA0"/>
    <w:lvl w:ilvl="0">
      <w:start w:val="1"/>
      <w:numFmt w:val="decimal"/>
      <w:lvlText w:val="%1."/>
      <w:legacy w:legacy="1" w:legacySpace="0" w:legacyIndent="0"/>
      <w:lvlJc w:val="left"/>
    </w:lvl>
  </w:abstractNum>
  <w:abstractNum w:abstractNumId="21" w15:restartNumberingAfterBreak="0">
    <w:nsid w:val="3CC22DAD"/>
    <w:multiLevelType w:val="singleLevel"/>
    <w:tmpl w:val="E46A7320"/>
    <w:lvl w:ilvl="0">
      <w:start w:val="1"/>
      <w:numFmt w:val="decimal"/>
      <w:lvlText w:val="%1."/>
      <w:legacy w:legacy="1" w:legacySpace="144" w:legacyIndent="0"/>
      <w:lvlJc w:val="left"/>
    </w:lvl>
  </w:abstractNum>
  <w:abstractNum w:abstractNumId="22"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7753"/>
    <w:multiLevelType w:val="singleLevel"/>
    <w:tmpl w:val="F3AE1DA0"/>
    <w:lvl w:ilvl="0">
      <w:start w:val="1"/>
      <w:numFmt w:val="decimal"/>
      <w:lvlText w:val="%1."/>
      <w:legacy w:legacy="1" w:legacySpace="0" w:legacyIndent="0"/>
      <w:lvlJc w:val="left"/>
    </w:lvl>
  </w:abstractNum>
  <w:abstractNum w:abstractNumId="24" w15:restartNumberingAfterBreak="0">
    <w:nsid w:val="42BF523E"/>
    <w:multiLevelType w:val="singleLevel"/>
    <w:tmpl w:val="F3AE1DA0"/>
    <w:lvl w:ilvl="0">
      <w:start w:val="1"/>
      <w:numFmt w:val="decimal"/>
      <w:lvlText w:val="%1."/>
      <w:legacy w:legacy="1" w:legacySpace="0" w:legacyIndent="0"/>
      <w:lvlJc w:val="left"/>
    </w:lvl>
  </w:abstractNum>
  <w:abstractNum w:abstractNumId="25" w15:restartNumberingAfterBreak="0">
    <w:nsid w:val="453077A7"/>
    <w:multiLevelType w:val="singleLevel"/>
    <w:tmpl w:val="E46A7320"/>
    <w:lvl w:ilvl="0">
      <w:start w:val="1"/>
      <w:numFmt w:val="decimal"/>
      <w:lvlText w:val="%1."/>
      <w:legacy w:legacy="1" w:legacySpace="144" w:legacyIndent="0"/>
      <w:lvlJc w:val="left"/>
    </w:lvl>
  </w:abstractNum>
  <w:abstractNum w:abstractNumId="26" w15:restartNumberingAfterBreak="0">
    <w:nsid w:val="4A527F38"/>
    <w:multiLevelType w:val="singleLevel"/>
    <w:tmpl w:val="5C26854A"/>
    <w:lvl w:ilvl="0">
      <w:start w:val="1"/>
      <w:numFmt w:val="decimal"/>
      <w:pStyle w:val="num1"/>
      <w:lvlText w:val="%1."/>
      <w:lvlJc w:val="left"/>
      <w:pPr>
        <w:ind w:left="0" w:firstLine="547"/>
      </w:pPr>
      <w:rPr>
        <w:rFonts w:hint="default"/>
      </w:rPr>
    </w:lvl>
  </w:abstractNum>
  <w:abstractNum w:abstractNumId="27" w15:restartNumberingAfterBreak="0">
    <w:nsid w:val="4C9C4791"/>
    <w:multiLevelType w:val="singleLevel"/>
    <w:tmpl w:val="F3AE1DA0"/>
    <w:lvl w:ilvl="0">
      <w:start w:val="1"/>
      <w:numFmt w:val="decimal"/>
      <w:lvlText w:val="%1."/>
      <w:legacy w:legacy="1" w:legacySpace="0" w:legacyIndent="0"/>
      <w:lvlJc w:val="left"/>
    </w:lvl>
  </w:abstractNum>
  <w:abstractNum w:abstractNumId="28"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0FD3C73"/>
    <w:multiLevelType w:val="singleLevel"/>
    <w:tmpl w:val="E46A7320"/>
    <w:lvl w:ilvl="0">
      <w:start w:val="1"/>
      <w:numFmt w:val="decimal"/>
      <w:lvlText w:val="%1."/>
      <w:legacy w:legacy="1" w:legacySpace="144" w:legacyIndent="0"/>
      <w:lvlJc w:val="left"/>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9D042D7"/>
    <w:multiLevelType w:val="multilevel"/>
    <w:tmpl w:val="18F4A5AC"/>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3"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3D1C82"/>
    <w:multiLevelType w:val="singleLevel"/>
    <w:tmpl w:val="F3AE1DA0"/>
    <w:lvl w:ilvl="0">
      <w:start w:val="1"/>
      <w:numFmt w:val="decimal"/>
      <w:lvlText w:val="%1."/>
      <w:legacy w:legacy="1" w:legacySpace="0" w:legacyIndent="0"/>
      <w:lvlJc w:val="left"/>
    </w:lvl>
  </w:abstractNum>
  <w:abstractNum w:abstractNumId="35" w15:restartNumberingAfterBreak="0">
    <w:nsid w:val="69941F85"/>
    <w:multiLevelType w:val="singleLevel"/>
    <w:tmpl w:val="F3AE1DA0"/>
    <w:lvl w:ilvl="0">
      <w:start w:val="1"/>
      <w:numFmt w:val="decimal"/>
      <w:lvlText w:val="%1."/>
      <w:legacy w:legacy="1" w:legacySpace="0" w:legacyIndent="0"/>
      <w:lvlJc w:val="left"/>
    </w:lvl>
  </w:abstractNum>
  <w:abstractNum w:abstractNumId="36" w15:restartNumberingAfterBreak="0">
    <w:nsid w:val="7D142BE1"/>
    <w:multiLevelType w:val="singleLevel"/>
    <w:tmpl w:val="E46A7320"/>
    <w:lvl w:ilvl="0">
      <w:start w:val="1"/>
      <w:numFmt w:val="decimal"/>
      <w:lvlText w:val="%1."/>
      <w:legacy w:legacy="1" w:legacySpace="144" w:legacyIndent="0"/>
      <w:lvlJc w:val="left"/>
    </w:lvl>
  </w:abstractNum>
  <w:abstractNum w:abstractNumId="37" w15:restartNumberingAfterBreak="0">
    <w:nsid w:val="7D905A9E"/>
    <w:multiLevelType w:val="singleLevel"/>
    <w:tmpl w:val="F3AE1DA0"/>
    <w:lvl w:ilvl="0">
      <w:start w:val="1"/>
      <w:numFmt w:val="decimal"/>
      <w:lvlText w:val="%1."/>
      <w:legacy w:legacy="1" w:legacySpace="0" w:legacyIndent="0"/>
      <w:lvlJc w:val="left"/>
    </w:lvl>
  </w:abstractNum>
  <w:abstractNum w:abstractNumId="38"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3"/>
  </w:num>
  <w:num w:numId="2" w16cid:durableId="1392148201">
    <w:abstractNumId w:val="35"/>
  </w:num>
  <w:num w:numId="3" w16cid:durableId="46997149">
    <w:abstractNumId w:val="20"/>
  </w:num>
  <w:num w:numId="4" w16cid:durableId="2903515">
    <w:abstractNumId w:val="34"/>
  </w:num>
  <w:num w:numId="5" w16cid:durableId="247812381">
    <w:abstractNumId w:val="37"/>
  </w:num>
  <w:num w:numId="6" w16cid:durableId="996151179">
    <w:abstractNumId w:val="7"/>
  </w:num>
  <w:num w:numId="7" w16cid:durableId="1559703303">
    <w:abstractNumId w:val="24"/>
  </w:num>
  <w:num w:numId="8" w16cid:durableId="107313427">
    <w:abstractNumId w:val="30"/>
  </w:num>
  <w:num w:numId="9" w16cid:durableId="1533808885">
    <w:abstractNumId w:val="13"/>
  </w:num>
  <w:num w:numId="10" w16cid:durableId="1431852859">
    <w:abstractNumId w:val="15"/>
  </w:num>
  <w:num w:numId="11" w16cid:durableId="237440467">
    <w:abstractNumId w:val="18"/>
  </w:num>
  <w:num w:numId="12" w16cid:durableId="97067747">
    <w:abstractNumId w:val="27"/>
  </w:num>
  <w:num w:numId="13" w16cid:durableId="95096540">
    <w:abstractNumId w:val="31"/>
  </w:num>
  <w:num w:numId="14" w16cid:durableId="409086644">
    <w:abstractNumId w:val="16"/>
  </w:num>
  <w:num w:numId="15" w16cid:durableId="1263563870">
    <w:abstractNumId w:val="38"/>
  </w:num>
  <w:num w:numId="16" w16cid:durableId="838430016">
    <w:abstractNumId w:val="17"/>
  </w:num>
  <w:num w:numId="17" w16cid:durableId="1649478513">
    <w:abstractNumId w:val="14"/>
  </w:num>
  <w:num w:numId="18" w16cid:durableId="753622597">
    <w:abstractNumId w:val="8"/>
  </w:num>
  <w:num w:numId="19" w16cid:durableId="1869024838">
    <w:abstractNumId w:val="5"/>
  </w:num>
  <w:num w:numId="20" w16cid:durableId="38827619">
    <w:abstractNumId w:val="0"/>
  </w:num>
  <w:num w:numId="21" w16cid:durableId="831994995">
    <w:abstractNumId w:val="25"/>
  </w:num>
  <w:num w:numId="22" w16cid:durableId="1578897656">
    <w:abstractNumId w:val="4"/>
  </w:num>
  <w:num w:numId="23" w16cid:durableId="476921117">
    <w:abstractNumId w:val="2"/>
  </w:num>
  <w:num w:numId="24" w16cid:durableId="1392849270">
    <w:abstractNumId w:val="29"/>
  </w:num>
  <w:num w:numId="25" w16cid:durableId="811751959">
    <w:abstractNumId w:val="21"/>
  </w:num>
  <w:num w:numId="26" w16cid:durableId="1136527014">
    <w:abstractNumId w:val="36"/>
  </w:num>
  <w:num w:numId="27" w16cid:durableId="1667437909">
    <w:abstractNumId w:val="3"/>
  </w:num>
  <w:num w:numId="28" w16cid:durableId="355037492">
    <w:abstractNumId w:val="28"/>
  </w:num>
  <w:num w:numId="29" w16cid:durableId="1814758383">
    <w:abstractNumId w:val="26"/>
  </w:num>
  <w:num w:numId="30" w16cid:durableId="213079820">
    <w:abstractNumId w:val="9"/>
  </w:num>
  <w:num w:numId="31" w16cid:durableId="1150251053">
    <w:abstractNumId w:val="33"/>
  </w:num>
  <w:num w:numId="32" w16cid:durableId="173111079">
    <w:abstractNumId w:val="1"/>
  </w:num>
  <w:num w:numId="33" w16cid:durableId="587234817">
    <w:abstractNumId w:val="12"/>
  </w:num>
  <w:num w:numId="34" w16cid:durableId="423722681">
    <w:abstractNumId w:val="19"/>
  </w:num>
  <w:num w:numId="35" w16cid:durableId="920410041">
    <w:abstractNumId w:val="10"/>
  </w:num>
  <w:num w:numId="36" w16cid:durableId="819004782">
    <w:abstractNumId w:val="22"/>
  </w:num>
  <w:num w:numId="37" w16cid:durableId="1070276542">
    <w:abstractNumId w:val="11"/>
  </w:num>
  <w:num w:numId="38" w16cid:durableId="1845825409">
    <w:abstractNumId w:val="6"/>
  </w:num>
  <w:num w:numId="39" w16cid:durableId="1927498276">
    <w:abstractNumId w:val="32"/>
  </w:num>
  <w:num w:numId="40" w16cid:durableId="407265990">
    <w:abstractNumId w:val="6"/>
  </w:num>
  <w:num w:numId="41" w16cid:durableId="412312837">
    <w:abstractNumId w:val="32"/>
  </w:num>
  <w:num w:numId="42" w16cid:durableId="788594889">
    <w:abstractNumId w:val="32"/>
  </w:num>
  <w:num w:numId="43" w16cid:durableId="16527549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8B"/>
    <w:rsid w:val="0000147E"/>
    <w:rsid w:val="00001A72"/>
    <w:rsid w:val="00002110"/>
    <w:rsid w:val="00003A6B"/>
    <w:rsid w:val="000046BC"/>
    <w:rsid w:val="00007FFC"/>
    <w:rsid w:val="00010EE2"/>
    <w:rsid w:val="00014252"/>
    <w:rsid w:val="000150AC"/>
    <w:rsid w:val="00015B5A"/>
    <w:rsid w:val="0002229F"/>
    <w:rsid w:val="00026E96"/>
    <w:rsid w:val="00031E1A"/>
    <w:rsid w:val="00032E3F"/>
    <w:rsid w:val="00037E6A"/>
    <w:rsid w:val="00041691"/>
    <w:rsid w:val="000416DB"/>
    <w:rsid w:val="00052B05"/>
    <w:rsid w:val="00055C20"/>
    <w:rsid w:val="00056BEE"/>
    <w:rsid w:val="0006000A"/>
    <w:rsid w:val="00063102"/>
    <w:rsid w:val="00066278"/>
    <w:rsid w:val="0007659D"/>
    <w:rsid w:val="00077D15"/>
    <w:rsid w:val="00080682"/>
    <w:rsid w:val="00086529"/>
    <w:rsid w:val="00087130"/>
    <w:rsid w:val="00090DA7"/>
    <w:rsid w:val="000A7B61"/>
    <w:rsid w:val="000B1DAA"/>
    <w:rsid w:val="000B2087"/>
    <w:rsid w:val="000B5AF7"/>
    <w:rsid w:val="000B64BE"/>
    <w:rsid w:val="000C1314"/>
    <w:rsid w:val="000C411F"/>
    <w:rsid w:val="000C70C1"/>
    <w:rsid w:val="000C76F8"/>
    <w:rsid w:val="000D2E05"/>
    <w:rsid w:val="000F38F1"/>
    <w:rsid w:val="0010141E"/>
    <w:rsid w:val="001024AA"/>
    <w:rsid w:val="00104DF4"/>
    <w:rsid w:val="00107CBC"/>
    <w:rsid w:val="00115928"/>
    <w:rsid w:val="001179C9"/>
    <w:rsid w:val="00122DD7"/>
    <w:rsid w:val="00124993"/>
    <w:rsid w:val="00130B58"/>
    <w:rsid w:val="00135523"/>
    <w:rsid w:val="001422AB"/>
    <w:rsid w:val="00143ADC"/>
    <w:rsid w:val="00143F10"/>
    <w:rsid w:val="0014499E"/>
    <w:rsid w:val="00150A38"/>
    <w:rsid w:val="0015684C"/>
    <w:rsid w:val="001646C7"/>
    <w:rsid w:val="001A39E9"/>
    <w:rsid w:val="001B08E7"/>
    <w:rsid w:val="001C25AC"/>
    <w:rsid w:val="001C4566"/>
    <w:rsid w:val="001C7D8D"/>
    <w:rsid w:val="001D0430"/>
    <w:rsid w:val="001D4701"/>
    <w:rsid w:val="001E5027"/>
    <w:rsid w:val="001E6267"/>
    <w:rsid w:val="001E652D"/>
    <w:rsid w:val="001F3624"/>
    <w:rsid w:val="001F5AA0"/>
    <w:rsid w:val="002166DB"/>
    <w:rsid w:val="00217B92"/>
    <w:rsid w:val="00223A2E"/>
    <w:rsid w:val="002335B1"/>
    <w:rsid w:val="0024545D"/>
    <w:rsid w:val="00246F86"/>
    <w:rsid w:val="00250146"/>
    <w:rsid w:val="00254BFE"/>
    <w:rsid w:val="00256CFB"/>
    <w:rsid w:val="002639C0"/>
    <w:rsid w:val="00263F77"/>
    <w:rsid w:val="00271EA7"/>
    <w:rsid w:val="00274C87"/>
    <w:rsid w:val="002819F9"/>
    <w:rsid w:val="00285EC3"/>
    <w:rsid w:val="00286368"/>
    <w:rsid w:val="00287A15"/>
    <w:rsid w:val="002A07F8"/>
    <w:rsid w:val="002A3F44"/>
    <w:rsid w:val="002A55EF"/>
    <w:rsid w:val="002B4519"/>
    <w:rsid w:val="002B5F48"/>
    <w:rsid w:val="002C082A"/>
    <w:rsid w:val="002C40DA"/>
    <w:rsid w:val="002C4389"/>
    <w:rsid w:val="002C4E65"/>
    <w:rsid w:val="002D28E5"/>
    <w:rsid w:val="002E0628"/>
    <w:rsid w:val="002E1CB5"/>
    <w:rsid w:val="002E43F9"/>
    <w:rsid w:val="002E47F9"/>
    <w:rsid w:val="002F3577"/>
    <w:rsid w:val="003019E5"/>
    <w:rsid w:val="0030370C"/>
    <w:rsid w:val="00303C28"/>
    <w:rsid w:val="00310BFF"/>
    <w:rsid w:val="003147D4"/>
    <w:rsid w:val="00315990"/>
    <w:rsid w:val="00316829"/>
    <w:rsid w:val="003225C8"/>
    <w:rsid w:val="00322AC0"/>
    <w:rsid w:val="00322E77"/>
    <w:rsid w:val="00327C28"/>
    <w:rsid w:val="00331D21"/>
    <w:rsid w:val="00331F74"/>
    <w:rsid w:val="003341CE"/>
    <w:rsid w:val="0033721F"/>
    <w:rsid w:val="00340DD4"/>
    <w:rsid w:val="00342C08"/>
    <w:rsid w:val="00342C29"/>
    <w:rsid w:val="0034538B"/>
    <w:rsid w:val="00351053"/>
    <w:rsid w:val="00363B14"/>
    <w:rsid w:val="00370C2E"/>
    <w:rsid w:val="00372EE0"/>
    <w:rsid w:val="00373DAC"/>
    <w:rsid w:val="003764AE"/>
    <w:rsid w:val="00377FF3"/>
    <w:rsid w:val="00380ABA"/>
    <w:rsid w:val="003829E4"/>
    <w:rsid w:val="003854D9"/>
    <w:rsid w:val="0039354C"/>
    <w:rsid w:val="00394C72"/>
    <w:rsid w:val="00397115"/>
    <w:rsid w:val="003A0943"/>
    <w:rsid w:val="003A7279"/>
    <w:rsid w:val="003A7904"/>
    <w:rsid w:val="003B3161"/>
    <w:rsid w:val="003C283F"/>
    <w:rsid w:val="003C3F43"/>
    <w:rsid w:val="003D2CCF"/>
    <w:rsid w:val="003E0A18"/>
    <w:rsid w:val="003E1131"/>
    <w:rsid w:val="003E69B2"/>
    <w:rsid w:val="003F0C6C"/>
    <w:rsid w:val="003F2E0C"/>
    <w:rsid w:val="00400D17"/>
    <w:rsid w:val="0040306C"/>
    <w:rsid w:val="00406167"/>
    <w:rsid w:val="004066BF"/>
    <w:rsid w:val="004250C5"/>
    <w:rsid w:val="00431131"/>
    <w:rsid w:val="004340DE"/>
    <w:rsid w:val="00447D15"/>
    <w:rsid w:val="00447E59"/>
    <w:rsid w:val="00452F2F"/>
    <w:rsid w:val="00471320"/>
    <w:rsid w:val="004747C6"/>
    <w:rsid w:val="0047664F"/>
    <w:rsid w:val="00476738"/>
    <w:rsid w:val="00480489"/>
    <w:rsid w:val="00481CA3"/>
    <w:rsid w:val="00481EF6"/>
    <w:rsid w:val="00486080"/>
    <w:rsid w:val="00486C89"/>
    <w:rsid w:val="00491164"/>
    <w:rsid w:val="004956DA"/>
    <w:rsid w:val="0049618B"/>
    <w:rsid w:val="004962A9"/>
    <w:rsid w:val="004A2453"/>
    <w:rsid w:val="004A2DB6"/>
    <w:rsid w:val="004A3428"/>
    <w:rsid w:val="004B365B"/>
    <w:rsid w:val="004C05FE"/>
    <w:rsid w:val="004C0BE1"/>
    <w:rsid w:val="004C21F4"/>
    <w:rsid w:val="004C3160"/>
    <w:rsid w:val="004C4AAA"/>
    <w:rsid w:val="004C6635"/>
    <w:rsid w:val="004D0F62"/>
    <w:rsid w:val="004D13D5"/>
    <w:rsid w:val="004D65CC"/>
    <w:rsid w:val="004E66D3"/>
    <w:rsid w:val="004F0F8E"/>
    <w:rsid w:val="004F3888"/>
    <w:rsid w:val="004F59F3"/>
    <w:rsid w:val="004F6471"/>
    <w:rsid w:val="004F65A3"/>
    <w:rsid w:val="004F6923"/>
    <w:rsid w:val="004F7F10"/>
    <w:rsid w:val="00500E6B"/>
    <w:rsid w:val="005110B0"/>
    <w:rsid w:val="00512B6F"/>
    <w:rsid w:val="00513F6C"/>
    <w:rsid w:val="00520365"/>
    <w:rsid w:val="00524D76"/>
    <w:rsid w:val="0053690C"/>
    <w:rsid w:val="00545E4A"/>
    <w:rsid w:val="005468A8"/>
    <w:rsid w:val="00550304"/>
    <w:rsid w:val="005505BA"/>
    <w:rsid w:val="00551422"/>
    <w:rsid w:val="00551D8D"/>
    <w:rsid w:val="0055265D"/>
    <w:rsid w:val="00555235"/>
    <w:rsid w:val="00561833"/>
    <w:rsid w:val="00563EB7"/>
    <w:rsid w:val="005641C9"/>
    <w:rsid w:val="00567A41"/>
    <w:rsid w:val="005714E9"/>
    <w:rsid w:val="0057715A"/>
    <w:rsid w:val="005819CE"/>
    <w:rsid w:val="00585AE4"/>
    <w:rsid w:val="00595670"/>
    <w:rsid w:val="00595EF8"/>
    <w:rsid w:val="005963C6"/>
    <w:rsid w:val="005A186C"/>
    <w:rsid w:val="005B0E9C"/>
    <w:rsid w:val="005C03B5"/>
    <w:rsid w:val="005C0C47"/>
    <w:rsid w:val="005C3445"/>
    <w:rsid w:val="005C5C5F"/>
    <w:rsid w:val="005D1B7F"/>
    <w:rsid w:val="005D467A"/>
    <w:rsid w:val="005D6089"/>
    <w:rsid w:val="005D7702"/>
    <w:rsid w:val="005E6730"/>
    <w:rsid w:val="005E7046"/>
    <w:rsid w:val="005F3764"/>
    <w:rsid w:val="005F4CAB"/>
    <w:rsid w:val="005F5214"/>
    <w:rsid w:val="0061086A"/>
    <w:rsid w:val="00612689"/>
    <w:rsid w:val="00621E24"/>
    <w:rsid w:val="006220C2"/>
    <w:rsid w:val="00622308"/>
    <w:rsid w:val="00623E31"/>
    <w:rsid w:val="00631946"/>
    <w:rsid w:val="0063205C"/>
    <w:rsid w:val="00637EA4"/>
    <w:rsid w:val="006446FA"/>
    <w:rsid w:val="00647211"/>
    <w:rsid w:val="006512D7"/>
    <w:rsid w:val="00657FFA"/>
    <w:rsid w:val="00677B14"/>
    <w:rsid w:val="00677E63"/>
    <w:rsid w:val="00687CF7"/>
    <w:rsid w:val="0069299F"/>
    <w:rsid w:val="006A075C"/>
    <w:rsid w:val="006A192B"/>
    <w:rsid w:val="006A5A8D"/>
    <w:rsid w:val="006C1793"/>
    <w:rsid w:val="006C3127"/>
    <w:rsid w:val="006D2558"/>
    <w:rsid w:val="006D4CC0"/>
    <w:rsid w:val="006D5437"/>
    <w:rsid w:val="006D6138"/>
    <w:rsid w:val="006D6900"/>
    <w:rsid w:val="006D7C95"/>
    <w:rsid w:val="006E0936"/>
    <w:rsid w:val="006E24B9"/>
    <w:rsid w:val="006E2A10"/>
    <w:rsid w:val="006E2C2B"/>
    <w:rsid w:val="006E511E"/>
    <w:rsid w:val="006E5FB6"/>
    <w:rsid w:val="006F05AF"/>
    <w:rsid w:val="006F4AEF"/>
    <w:rsid w:val="006F5EAB"/>
    <w:rsid w:val="00703FD3"/>
    <w:rsid w:val="0070712E"/>
    <w:rsid w:val="00710D83"/>
    <w:rsid w:val="0073259D"/>
    <w:rsid w:val="00733E99"/>
    <w:rsid w:val="00735F2B"/>
    <w:rsid w:val="0074000F"/>
    <w:rsid w:val="00741B04"/>
    <w:rsid w:val="007544B4"/>
    <w:rsid w:val="00760900"/>
    <w:rsid w:val="007626B8"/>
    <w:rsid w:val="007638AD"/>
    <w:rsid w:val="00770922"/>
    <w:rsid w:val="0077123B"/>
    <w:rsid w:val="00771C84"/>
    <w:rsid w:val="00787BB6"/>
    <w:rsid w:val="007901BF"/>
    <w:rsid w:val="0079338F"/>
    <w:rsid w:val="007948A1"/>
    <w:rsid w:val="00796500"/>
    <w:rsid w:val="00797F52"/>
    <w:rsid w:val="007A3391"/>
    <w:rsid w:val="007B0997"/>
    <w:rsid w:val="007C0F1B"/>
    <w:rsid w:val="007C55EE"/>
    <w:rsid w:val="007C7969"/>
    <w:rsid w:val="007C7E8B"/>
    <w:rsid w:val="007C7E94"/>
    <w:rsid w:val="007D39A6"/>
    <w:rsid w:val="007E7D9B"/>
    <w:rsid w:val="007F4FD6"/>
    <w:rsid w:val="007F5F30"/>
    <w:rsid w:val="00803B47"/>
    <w:rsid w:val="008043F4"/>
    <w:rsid w:val="00805559"/>
    <w:rsid w:val="008055CF"/>
    <w:rsid w:val="00825448"/>
    <w:rsid w:val="00826CB5"/>
    <w:rsid w:val="00831BA9"/>
    <w:rsid w:val="00837795"/>
    <w:rsid w:val="00840699"/>
    <w:rsid w:val="00843FCB"/>
    <w:rsid w:val="00854FC2"/>
    <w:rsid w:val="008568C9"/>
    <w:rsid w:val="00860985"/>
    <w:rsid w:val="008632C0"/>
    <w:rsid w:val="0086474E"/>
    <w:rsid w:val="00871B57"/>
    <w:rsid w:val="00875C73"/>
    <w:rsid w:val="008819CE"/>
    <w:rsid w:val="00882919"/>
    <w:rsid w:val="00884BF8"/>
    <w:rsid w:val="008907B1"/>
    <w:rsid w:val="008B36E0"/>
    <w:rsid w:val="008C784A"/>
    <w:rsid w:val="008D7C5C"/>
    <w:rsid w:val="008E3B78"/>
    <w:rsid w:val="008E4A7A"/>
    <w:rsid w:val="008E50DB"/>
    <w:rsid w:val="008F25D5"/>
    <w:rsid w:val="00900F70"/>
    <w:rsid w:val="00901480"/>
    <w:rsid w:val="009035B7"/>
    <w:rsid w:val="00904595"/>
    <w:rsid w:val="009055E1"/>
    <w:rsid w:val="00906840"/>
    <w:rsid w:val="00906B83"/>
    <w:rsid w:val="009212E7"/>
    <w:rsid w:val="00921F55"/>
    <w:rsid w:val="009245CB"/>
    <w:rsid w:val="00926942"/>
    <w:rsid w:val="00932EB6"/>
    <w:rsid w:val="00933190"/>
    <w:rsid w:val="00941B3B"/>
    <w:rsid w:val="00941E75"/>
    <w:rsid w:val="00947BE5"/>
    <w:rsid w:val="00950BDC"/>
    <w:rsid w:val="009606BF"/>
    <w:rsid w:val="00962D61"/>
    <w:rsid w:val="009632BC"/>
    <w:rsid w:val="00963C2B"/>
    <w:rsid w:val="0096428B"/>
    <w:rsid w:val="00970B62"/>
    <w:rsid w:val="00970B98"/>
    <w:rsid w:val="00971B02"/>
    <w:rsid w:val="009737AE"/>
    <w:rsid w:val="00980B61"/>
    <w:rsid w:val="00980BD3"/>
    <w:rsid w:val="0098748D"/>
    <w:rsid w:val="00991320"/>
    <w:rsid w:val="009A18DE"/>
    <w:rsid w:val="009B1BD0"/>
    <w:rsid w:val="009B405E"/>
    <w:rsid w:val="009D65AF"/>
    <w:rsid w:val="009D7469"/>
    <w:rsid w:val="009E0AA9"/>
    <w:rsid w:val="009E1CD7"/>
    <w:rsid w:val="009E5A9D"/>
    <w:rsid w:val="00A13571"/>
    <w:rsid w:val="00A1368A"/>
    <w:rsid w:val="00A30C4B"/>
    <w:rsid w:val="00A3176E"/>
    <w:rsid w:val="00A35BD7"/>
    <w:rsid w:val="00A3671C"/>
    <w:rsid w:val="00A449CB"/>
    <w:rsid w:val="00A52B2F"/>
    <w:rsid w:val="00A62C75"/>
    <w:rsid w:val="00A6497E"/>
    <w:rsid w:val="00A72450"/>
    <w:rsid w:val="00A737DC"/>
    <w:rsid w:val="00A7747B"/>
    <w:rsid w:val="00A80752"/>
    <w:rsid w:val="00A80C04"/>
    <w:rsid w:val="00A814DD"/>
    <w:rsid w:val="00A879AB"/>
    <w:rsid w:val="00A912B0"/>
    <w:rsid w:val="00AA0395"/>
    <w:rsid w:val="00AA3154"/>
    <w:rsid w:val="00AA47A5"/>
    <w:rsid w:val="00AA5531"/>
    <w:rsid w:val="00AD3817"/>
    <w:rsid w:val="00AE0E7F"/>
    <w:rsid w:val="00AE10DB"/>
    <w:rsid w:val="00AF5477"/>
    <w:rsid w:val="00B0426D"/>
    <w:rsid w:val="00B06710"/>
    <w:rsid w:val="00B06911"/>
    <w:rsid w:val="00B12DCC"/>
    <w:rsid w:val="00B138B1"/>
    <w:rsid w:val="00B2376C"/>
    <w:rsid w:val="00B237B9"/>
    <w:rsid w:val="00B25225"/>
    <w:rsid w:val="00B27A92"/>
    <w:rsid w:val="00B3127A"/>
    <w:rsid w:val="00B3638B"/>
    <w:rsid w:val="00B368FB"/>
    <w:rsid w:val="00B36BA9"/>
    <w:rsid w:val="00B371F2"/>
    <w:rsid w:val="00B42578"/>
    <w:rsid w:val="00B45849"/>
    <w:rsid w:val="00B4585D"/>
    <w:rsid w:val="00B543F8"/>
    <w:rsid w:val="00B64B2D"/>
    <w:rsid w:val="00B65152"/>
    <w:rsid w:val="00B66004"/>
    <w:rsid w:val="00B70C0D"/>
    <w:rsid w:val="00B73C03"/>
    <w:rsid w:val="00B74278"/>
    <w:rsid w:val="00B77E7C"/>
    <w:rsid w:val="00B82EC6"/>
    <w:rsid w:val="00B90AFC"/>
    <w:rsid w:val="00B935B4"/>
    <w:rsid w:val="00B94B56"/>
    <w:rsid w:val="00B95A3E"/>
    <w:rsid w:val="00B9688F"/>
    <w:rsid w:val="00BA0AB4"/>
    <w:rsid w:val="00BA1129"/>
    <w:rsid w:val="00BC1A27"/>
    <w:rsid w:val="00BC7F54"/>
    <w:rsid w:val="00BD089D"/>
    <w:rsid w:val="00BD1DA6"/>
    <w:rsid w:val="00BE6381"/>
    <w:rsid w:val="00BE729F"/>
    <w:rsid w:val="00BE7D7A"/>
    <w:rsid w:val="00BF6664"/>
    <w:rsid w:val="00C0155F"/>
    <w:rsid w:val="00C01D67"/>
    <w:rsid w:val="00C0564D"/>
    <w:rsid w:val="00C24A22"/>
    <w:rsid w:val="00C326DF"/>
    <w:rsid w:val="00C40645"/>
    <w:rsid w:val="00C41458"/>
    <w:rsid w:val="00C451DE"/>
    <w:rsid w:val="00C45F95"/>
    <w:rsid w:val="00C47A02"/>
    <w:rsid w:val="00C50340"/>
    <w:rsid w:val="00C50BF1"/>
    <w:rsid w:val="00C63E7C"/>
    <w:rsid w:val="00C746FF"/>
    <w:rsid w:val="00C8534B"/>
    <w:rsid w:val="00C97E35"/>
    <w:rsid w:val="00CA180C"/>
    <w:rsid w:val="00CA5050"/>
    <w:rsid w:val="00CA558C"/>
    <w:rsid w:val="00CB5413"/>
    <w:rsid w:val="00CC1E9E"/>
    <w:rsid w:val="00CC7AEF"/>
    <w:rsid w:val="00CD0F4D"/>
    <w:rsid w:val="00CD1B59"/>
    <w:rsid w:val="00CD1C1D"/>
    <w:rsid w:val="00CD6EE4"/>
    <w:rsid w:val="00CE5467"/>
    <w:rsid w:val="00CE7A86"/>
    <w:rsid w:val="00CE7E35"/>
    <w:rsid w:val="00CF1851"/>
    <w:rsid w:val="00CF7496"/>
    <w:rsid w:val="00D0352C"/>
    <w:rsid w:val="00D05074"/>
    <w:rsid w:val="00D07EE0"/>
    <w:rsid w:val="00D1316E"/>
    <w:rsid w:val="00D154F1"/>
    <w:rsid w:val="00D1608C"/>
    <w:rsid w:val="00D251B3"/>
    <w:rsid w:val="00D2596D"/>
    <w:rsid w:val="00D30676"/>
    <w:rsid w:val="00D328C0"/>
    <w:rsid w:val="00D32957"/>
    <w:rsid w:val="00D43F18"/>
    <w:rsid w:val="00D47160"/>
    <w:rsid w:val="00D533F2"/>
    <w:rsid w:val="00D60519"/>
    <w:rsid w:val="00D62851"/>
    <w:rsid w:val="00D63CC6"/>
    <w:rsid w:val="00D772F6"/>
    <w:rsid w:val="00D93C0A"/>
    <w:rsid w:val="00DA228B"/>
    <w:rsid w:val="00DA4840"/>
    <w:rsid w:val="00DA4E49"/>
    <w:rsid w:val="00DA5440"/>
    <w:rsid w:val="00DA67C9"/>
    <w:rsid w:val="00DA7F6C"/>
    <w:rsid w:val="00DB0395"/>
    <w:rsid w:val="00DB0B51"/>
    <w:rsid w:val="00DB2A5A"/>
    <w:rsid w:val="00DB5894"/>
    <w:rsid w:val="00DC36A3"/>
    <w:rsid w:val="00DC5FF9"/>
    <w:rsid w:val="00DC627A"/>
    <w:rsid w:val="00DC64A4"/>
    <w:rsid w:val="00DD5BB0"/>
    <w:rsid w:val="00DD633C"/>
    <w:rsid w:val="00DE4703"/>
    <w:rsid w:val="00DF2563"/>
    <w:rsid w:val="00DF59AD"/>
    <w:rsid w:val="00E0151D"/>
    <w:rsid w:val="00E02085"/>
    <w:rsid w:val="00E04147"/>
    <w:rsid w:val="00E14852"/>
    <w:rsid w:val="00E17937"/>
    <w:rsid w:val="00E305EF"/>
    <w:rsid w:val="00E43B60"/>
    <w:rsid w:val="00E43C7C"/>
    <w:rsid w:val="00E43F53"/>
    <w:rsid w:val="00E5043B"/>
    <w:rsid w:val="00E7178A"/>
    <w:rsid w:val="00E90E57"/>
    <w:rsid w:val="00EA1B30"/>
    <w:rsid w:val="00EA41D1"/>
    <w:rsid w:val="00EB3201"/>
    <w:rsid w:val="00EB3CB8"/>
    <w:rsid w:val="00EC2E80"/>
    <w:rsid w:val="00ED343F"/>
    <w:rsid w:val="00ED6846"/>
    <w:rsid w:val="00EE080A"/>
    <w:rsid w:val="00EE28AA"/>
    <w:rsid w:val="00EE5350"/>
    <w:rsid w:val="00EF3DC1"/>
    <w:rsid w:val="00EF4E65"/>
    <w:rsid w:val="00EF7FC0"/>
    <w:rsid w:val="00F047C3"/>
    <w:rsid w:val="00F07BC5"/>
    <w:rsid w:val="00F10238"/>
    <w:rsid w:val="00F2224D"/>
    <w:rsid w:val="00F32D29"/>
    <w:rsid w:val="00F33A69"/>
    <w:rsid w:val="00F3521D"/>
    <w:rsid w:val="00F3650E"/>
    <w:rsid w:val="00F3678D"/>
    <w:rsid w:val="00F4367D"/>
    <w:rsid w:val="00F46DCA"/>
    <w:rsid w:val="00F47106"/>
    <w:rsid w:val="00F47858"/>
    <w:rsid w:val="00F5294C"/>
    <w:rsid w:val="00F5459B"/>
    <w:rsid w:val="00F56D0E"/>
    <w:rsid w:val="00F60A93"/>
    <w:rsid w:val="00F61F2B"/>
    <w:rsid w:val="00F71813"/>
    <w:rsid w:val="00F75B55"/>
    <w:rsid w:val="00F815AD"/>
    <w:rsid w:val="00F868D2"/>
    <w:rsid w:val="00F9475A"/>
    <w:rsid w:val="00F9492E"/>
    <w:rsid w:val="00FA18C8"/>
    <w:rsid w:val="00FA54EF"/>
    <w:rsid w:val="00FA613B"/>
    <w:rsid w:val="00FB3A05"/>
    <w:rsid w:val="00FB4DAD"/>
    <w:rsid w:val="00FB4F94"/>
    <w:rsid w:val="00FB5D7E"/>
    <w:rsid w:val="00FB6618"/>
    <w:rsid w:val="00FB7100"/>
    <w:rsid w:val="00FC1EEE"/>
    <w:rsid w:val="00FC2ADE"/>
    <w:rsid w:val="00FD0AEB"/>
    <w:rsid w:val="00FD12E8"/>
    <w:rsid w:val="00FD2128"/>
    <w:rsid w:val="00FE00AB"/>
    <w:rsid w:val="00FE5120"/>
    <w:rsid w:val="00FE7796"/>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496E9"/>
  <w15:docId w15:val="{469C7B65-A631-4084-9B86-A2F56C4FD2C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71C"/>
    <w:rPr>
      <w:rFonts w:ascii="Book Antiqua" w:hAnsi="Book Antiqua"/>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rsid w:val="004C0BE1"/>
    <w:pPr>
      <w:keepNext/>
      <w:numPr>
        <w:ilvl w:val="1"/>
        <w:numId w:val="37"/>
      </w:numPr>
      <w:spacing w:before="120" w:after="120"/>
      <w:outlineLvl w:val="1"/>
    </w:pPr>
    <w:rPr>
      <w:rFonts w:ascii="Arial" w:hAnsi="Arial"/>
      <w:b/>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paragraph" w:customStyle="1" w:styleId="dummy">
    <w:name w:val="dummy"/>
    <w:basedOn w:val="main"/>
    <w:qFormat/>
    <w:rsid w:val="009245CB"/>
    <w:pPr>
      <w:keepNext/>
      <w:spacing w:after="120"/>
      <w:jc w:val="left"/>
    </w:pPr>
  </w:style>
  <w:style w:type="paragraph" w:customStyle="1" w:styleId="FoF">
    <w:name w:val="FoF"/>
    <w:basedOn w:val="standard"/>
    <w:uiPriority w:val="6"/>
    <w:qFormat/>
    <w:rsid w:val="00551422"/>
    <w:pPr>
      <w:numPr>
        <w:numId w:val="41"/>
      </w:numPr>
    </w:pPr>
    <w:rPr>
      <w:rFonts w:eastAsiaTheme="minorHAnsi" w:cstheme="minorBidi"/>
      <w:szCs w:val="22"/>
    </w:rPr>
  </w:style>
  <w:style w:type="paragraph" w:customStyle="1" w:styleId="CoL">
    <w:name w:val="CoL"/>
    <w:basedOn w:val="standard"/>
    <w:uiPriority w:val="7"/>
    <w:qFormat/>
    <w:rsid w:val="00551422"/>
    <w:pPr>
      <w:numPr>
        <w:numId w:val="40"/>
      </w:numPr>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3" ma:contentTypeDescription="Create a new document." ma:contentTypeScope="" ma:versionID="362c4cbec342ebe9ed4aa4eb2b95e267">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977e93953bc1eac0f125ced8ecd7c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Props1.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2.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3.xml><?xml version="1.0" encoding="utf-8"?>
<ds:datastoreItem xmlns:ds="http://schemas.openxmlformats.org/officeDocument/2006/customXml" ds:itemID="{EB5F628E-A705-48FE-89AF-02CF5326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810</ap:Words>
  <ap:Characters>4620</ap:Characters>
  <ap:Application>Microsoft Office Word</ap:Application>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I1706027 et al. Mason OESD PD 12-4 Agenda (NON)</vt:lpstr>
    </vt:vector>
  </ap:TitlesOfParts>
  <ap:Company/>
  <ap:LinksUpToDate>false</ap:LinksUpToDate>
  <ap:CharactersWithSpaces>5420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2025-11-25T13:00:01Z</dcterms:created>
  <dcterms:modified xsi:type="dcterms:W3CDTF">2025-11-25T13:00:01Z</dcterms:modified>
</cp:coreProperties>
</file>