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0101"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E30101">
        <w:rPr>
          <w:rFonts w:ascii="Helvetica" w:hAnsi="Helvetica" w:eastAsia="Times New Roman" w:cs="Times New Roman"/>
          <w:b/>
          <w:bCs/>
          <w:spacing w:val="20"/>
          <w:kern w:val="0"/>
          <w:sz w:val="26"/>
          <w:szCs w:val="20"/>
          <w14:ligatures w14:val="none"/>
        </w:rPr>
        <w:t>PUBLIC UTILITIES COMMISSION OF THE STATE OF CALIFORNIA</w:t>
      </w:r>
    </w:p>
    <w:p w:rsidRPr="00BC778A" w:rsidR="00A76F4A" w:rsidP="00A76F4A" w:rsidRDefault="00A76F4A" w14:paraId="739BA5B3" w14:textId="77777777">
      <w:pPr>
        <w:suppressAutoHyphens/>
        <w:spacing w:after="0" w:line="240" w:lineRule="auto"/>
        <w:rPr>
          <w:rFonts w:ascii="Palatino Linotype" w:hAnsi="Palatino Linotype" w:eastAsia="Times New Roman" w:cs="Times New Roman"/>
          <w:kern w:val="0"/>
          <w:sz w:val="26"/>
          <w:szCs w:val="20"/>
          <w14:ligatures w14:val="none"/>
        </w:rPr>
      </w:pPr>
    </w:p>
    <w:p w:rsidRPr="00E30101" w:rsidR="00A76F4A" w:rsidP="00A76F4A" w:rsidRDefault="00E30101" w14:paraId="2AFEBBF1" w14:textId="131446E0">
      <w:pPr>
        <w:tabs>
          <w:tab w:val="right" w:pos="8820"/>
        </w:tabs>
        <w:spacing w:after="0" w:line="240" w:lineRule="auto"/>
        <w:rPr>
          <w:rFonts w:ascii="Palatino Linotype" w:hAnsi="Palatino Linotype" w:eastAsia="Times New Roman" w:cs="Times New Roman"/>
          <w:b/>
          <w:kern w:val="0"/>
          <w14:ligatures w14:val="none"/>
        </w:rPr>
      </w:pPr>
      <w:r w:rsidRPr="00E30101">
        <w:rPr>
          <w:rFonts w:ascii="Palatino Linotype" w:hAnsi="Palatino Linotype" w:eastAsia="Times New Roman" w:cs="Times New Roman"/>
          <w:b/>
          <w:kern w:val="0"/>
          <w14:ligatures w14:val="none"/>
        </w:rPr>
        <w:tab/>
      </w:r>
      <w:r w:rsidRPr="00E30101" w:rsidR="00A76F4A">
        <w:rPr>
          <w:rFonts w:ascii="Palatino Linotype" w:hAnsi="Palatino Linotype" w:eastAsia="Times New Roman" w:cs="Times New Roman"/>
          <w:b/>
          <w:kern w:val="0"/>
          <w14:ligatures w14:val="none"/>
        </w:rPr>
        <w:t>Agenda ID#</w:t>
      </w:r>
      <w:r w:rsidRPr="008F73BC" w:rsidR="008F73BC">
        <w:rPr>
          <w:rFonts w:ascii="Palatino Linotype" w:hAnsi="Palatino Linotype" w:eastAsia="Times New Roman" w:cs="Times New Roman"/>
          <w:b/>
          <w:kern w:val="0"/>
          <w14:ligatures w14:val="none"/>
        </w:rPr>
        <w:t>23860</w:t>
      </w:r>
    </w:p>
    <w:p w:rsidRPr="00E30101" w:rsidR="00A76F4A" w:rsidP="00E30101" w:rsidRDefault="00204B1B" w14:paraId="097CE738" w14:textId="1A438049">
      <w:pPr>
        <w:tabs>
          <w:tab w:val="right" w:pos="8820"/>
        </w:tabs>
        <w:spacing w:after="0" w:line="240" w:lineRule="auto"/>
        <w:ind w:left="360"/>
        <w:rPr>
          <w:rFonts w:ascii="Palatino Linotype" w:hAnsi="Palatino Linotype" w:eastAsia="Palatino Linotype" w:cs="Times New Roman"/>
          <w:b/>
          <w:kern w:val="0"/>
          <w14:ligatures w14:val="none"/>
        </w:rPr>
      </w:pPr>
      <w:r w:rsidRPr="00E30101">
        <w:rPr>
          <w:rFonts w:ascii="Palatino Linotype" w:hAnsi="Palatino Linotype" w:eastAsia="Palatino Linotype" w:cs="Times New Roman"/>
          <w:b/>
          <w:kern w:val="0"/>
          <w14:ligatures w14:val="none"/>
        </w:rPr>
        <w:t>ENERGY DIVISION</w:t>
      </w:r>
      <w:r w:rsidRPr="00E30101" w:rsidR="00A76F4A">
        <w:rPr>
          <w:rFonts w:ascii="Palatino Linotype" w:hAnsi="Palatino Linotype" w:eastAsia="Times New Roman" w:cs="Times New Roman"/>
          <w:b/>
          <w:kern w:val="0"/>
          <w14:ligatures w14:val="none"/>
        </w:rPr>
        <w:tab/>
      </w:r>
      <w:r w:rsidRPr="00E30101" w:rsidR="00A76F4A">
        <w:rPr>
          <w:rFonts w:ascii="Palatino Linotype" w:hAnsi="Palatino Linotype" w:eastAsia="Palatino Linotype" w:cs="Times New Roman"/>
          <w:b/>
          <w:kern w:val="0"/>
          <w14:ligatures w14:val="none"/>
        </w:rPr>
        <w:t xml:space="preserve">       </w:t>
      </w:r>
      <w:r w:rsidRPr="00E30101" w:rsidR="00A76F4A">
        <w:rPr>
          <w:rFonts w:ascii="Palatino Linotype" w:hAnsi="Palatino Linotype" w:eastAsia="Palatino Linotype" w:cs="Times New Roman"/>
          <w:b/>
        </w:rPr>
        <w:t>RESOLUTION E</w:t>
      </w:r>
      <w:r w:rsidRPr="00E30101" w:rsidR="00617B59">
        <w:rPr>
          <w:rFonts w:ascii="Palatino Linotype" w:hAnsi="Palatino Linotype" w:eastAsia="Palatino Linotype" w:cs="Times New Roman"/>
          <w:b/>
        </w:rPr>
        <w:t>-5425</w:t>
      </w:r>
    </w:p>
    <w:p w:rsidRPr="00BC778A" w:rsidR="00A76F4A" w:rsidP="00C4766D" w:rsidRDefault="000E1DAA" w14:paraId="17BEFA95" w14:textId="1498CDC3">
      <w:pPr>
        <w:tabs>
          <w:tab w:val="right" w:pos="8820"/>
        </w:tabs>
        <w:spacing w:after="0" w:line="240" w:lineRule="auto"/>
        <w:ind w:left="5040" w:right="540"/>
        <w:jc w:val="right"/>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January 15, 2026</w:t>
      </w:r>
    </w:p>
    <w:p w:rsidRPr="00BC778A"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BC778A">
        <w:rPr>
          <w:rFonts w:ascii="Palatino Linotype" w:hAnsi="Palatino Linotype" w:eastAsia="Times New Roman" w:cs="Times New Roman"/>
          <w:b/>
          <w:kern w:val="0"/>
          <w14:ligatures w14:val="none"/>
        </w:rPr>
        <w:tab/>
      </w:r>
    </w:p>
    <w:p w:rsidRPr="00BC778A" w:rsidR="00A76F4A" w:rsidP="00A76F4A" w:rsidRDefault="00A76F4A" w14:paraId="524F4DC8" w14:textId="77777777">
      <w:pPr>
        <w:tabs>
          <w:tab w:val="right" w:pos="8910"/>
        </w:tabs>
        <w:spacing w:after="0" w:line="240" w:lineRule="auto"/>
        <w:ind w:left="1440" w:firstLine="720"/>
        <w:rPr>
          <w:rFonts w:ascii="Palatino Linotype" w:hAnsi="Palatino Linotype" w:eastAsia="Times New Roman" w:cs="Times New Roman"/>
          <w:b/>
          <w:kern w:val="0"/>
          <w:szCs w:val="20"/>
          <w14:ligatures w14:val="none"/>
        </w:rPr>
      </w:pPr>
    </w:p>
    <w:p w:rsidRPr="00DE4456"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DE4456">
        <w:rPr>
          <w:rFonts w:ascii="Helvetica" w:hAnsi="Helvetica" w:eastAsia="Times New Roman" w:cs="Times New Roman"/>
          <w:b/>
          <w:spacing w:val="120"/>
          <w:kern w:val="0"/>
          <w:sz w:val="26"/>
          <w:szCs w:val="20"/>
          <w:u w:val="single"/>
          <w14:ligatures w14:val="none"/>
        </w:rPr>
        <w:t>RESOLUTION</w:t>
      </w:r>
    </w:p>
    <w:p w:rsidRPr="00BC778A" w:rsidR="00A76F4A" w:rsidP="00A76F4A" w:rsidRDefault="00A76F4A" w14:paraId="778B8F8D" w14:textId="77777777">
      <w:pPr>
        <w:spacing w:after="0" w:line="240" w:lineRule="auto"/>
        <w:rPr>
          <w:rFonts w:ascii="Palatino Linotype" w:hAnsi="Palatino Linotype" w:eastAsia="Palatino Linotype" w:cs="Times New Roman"/>
          <w:kern w:val="0"/>
          <w:sz w:val="26"/>
          <w:szCs w:val="20"/>
          <w14:ligatures w14:val="none"/>
        </w:rPr>
      </w:pPr>
    </w:p>
    <w:p w:rsidRPr="00DE4456" w:rsidR="00A76F4A" w:rsidP="003711E5" w:rsidRDefault="00A76F4A" w14:paraId="400F09B6" w14:textId="581D2025">
      <w:pPr>
        <w:spacing w:after="0" w:line="240" w:lineRule="auto"/>
        <w:ind w:left="720" w:right="270"/>
        <w:rPr>
          <w:rFonts w:ascii="Palatino Linotype" w:hAnsi="Palatino Linotype" w:eastAsia="Times New Roman" w:cs="Times New Roman"/>
          <w:b/>
          <w:bCs/>
          <w:kern w:val="0"/>
          <w14:ligatures w14:val="none"/>
        </w:rPr>
      </w:pPr>
      <w:r w:rsidRPr="00DE4456">
        <w:rPr>
          <w:rFonts w:ascii="Palatino Linotype" w:hAnsi="Palatino Linotype" w:eastAsia="Times New Roman" w:cs="Times New Roman"/>
          <w:kern w:val="0"/>
          <w14:ligatures w14:val="none"/>
        </w:rPr>
        <w:t>Resolution E</w:t>
      </w:r>
      <w:r w:rsidRPr="00DE4456" w:rsidR="00097C6F">
        <w:rPr>
          <w:rFonts w:ascii="Palatino Linotype" w:hAnsi="Palatino Linotype" w:eastAsia="Times New Roman" w:cs="Times New Roman"/>
          <w:kern w:val="0"/>
          <w14:ligatures w14:val="none"/>
        </w:rPr>
        <w:t>-54</w:t>
      </w:r>
      <w:r w:rsidRPr="00DE4456" w:rsidR="000D5AA3">
        <w:rPr>
          <w:rFonts w:ascii="Palatino Linotype" w:hAnsi="Palatino Linotype" w:eastAsia="Times New Roman" w:cs="Times New Roman"/>
          <w:kern w:val="0"/>
          <w14:ligatures w14:val="none"/>
        </w:rPr>
        <w:t>25</w:t>
      </w:r>
      <w:r w:rsidRPr="00DE4456">
        <w:rPr>
          <w:rFonts w:ascii="Palatino Linotype" w:hAnsi="Palatino Linotype" w:eastAsia="Times New Roman" w:cs="Times New Roman"/>
          <w:kern w:val="0"/>
          <w14:ligatures w14:val="none"/>
        </w:rPr>
        <w:t xml:space="preserve">. </w:t>
      </w:r>
      <w:r w:rsidRPr="00DE4456" w:rsidR="009E6884">
        <w:rPr>
          <w:rFonts w:ascii="Palatino Linotype" w:hAnsi="Palatino Linotype" w:eastAsia="Times New Roman" w:cs="Times New Roman"/>
          <w:kern w:val="0"/>
          <w14:ligatures w14:val="none"/>
        </w:rPr>
        <w:t>Pacific Gas and Electric</w:t>
      </w:r>
      <w:r w:rsidRPr="00DE4456" w:rsidR="00DB6D0D">
        <w:rPr>
          <w:rFonts w:ascii="Palatino Linotype" w:hAnsi="Palatino Linotype" w:eastAsia="Times New Roman" w:cs="Times New Roman"/>
          <w:kern w:val="0"/>
          <w14:ligatures w14:val="none"/>
        </w:rPr>
        <w:t xml:space="preserve"> Advice Letter 7606-E</w:t>
      </w:r>
      <w:r w:rsidRPr="00DE4456" w:rsidR="009E6884">
        <w:rPr>
          <w:rFonts w:ascii="Palatino Linotype" w:hAnsi="Palatino Linotype" w:eastAsia="Times New Roman" w:cs="Times New Roman"/>
          <w:kern w:val="0"/>
          <w14:ligatures w14:val="none"/>
        </w:rPr>
        <w:t xml:space="preserve"> and San Diego Gas &amp; Electric</w:t>
      </w:r>
      <w:r w:rsidRPr="00DE4456" w:rsidR="001E4598">
        <w:rPr>
          <w:rFonts w:ascii="Palatino Linotype" w:hAnsi="Palatino Linotype" w:eastAsia="Times New Roman" w:cs="Times New Roman"/>
          <w:kern w:val="0"/>
          <w14:ligatures w14:val="none"/>
        </w:rPr>
        <w:t xml:space="preserve"> </w:t>
      </w:r>
      <w:r w:rsidRPr="00DE4456" w:rsidR="002D38EE">
        <w:rPr>
          <w:rFonts w:ascii="Palatino Linotype" w:hAnsi="Palatino Linotype" w:eastAsia="Times New Roman" w:cs="Times New Roman"/>
          <w:kern w:val="0"/>
          <w14:ligatures w14:val="none"/>
        </w:rPr>
        <w:t xml:space="preserve">Advice Letter </w:t>
      </w:r>
      <w:r w:rsidRPr="00DE4456" w:rsidR="00DB6D0D">
        <w:rPr>
          <w:rFonts w:ascii="Palatino Linotype" w:hAnsi="Palatino Linotype" w:eastAsia="Times New Roman" w:cs="Times New Roman"/>
          <w:kern w:val="0"/>
          <w14:ligatures w14:val="none"/>
        </w:rPr>
        <w:t>4664-E</w:t>
      </w:r>
      <w:r w:rsidRPr="00DE4456" w:rsidR="003C797F">
        <w:rPr>
          <w:rFonts w:ascii="Palatino Linotype" w:hAnsi="Palatino Linotype" w:eastAsia="Times New Roman" w:cs="Times New Roman"/>
          <w:kern w:val="0"/>
          <w14:ligatures w14:val="none"/>
        </w:rPr>
        <w:t>:</w:t>
      </w:r>
      <w:r w:rsidRPr="00DE4456" w:rsidR="00DB6D0D">
        <w:rPr>
          <w:rFonts w:ascii="Palatino Linotype" w:hAnsi="Palatino Linotype" w:eastAsia="Times New Roman" w:cs="Times New Roman"/>
          <w:kern w:val="0"/>
          <w14:ligatures w14:val="none"/>
        </w:rPr>
        <w:t xml:space="preserve"> </w:t>
      </w:r>
      <w:r w:rsidRPr="00DE4456" w:rsidR="007C2E73">
        <w:rPr>
          <w:rFonts w:ascii="Palatino Linotype" w:hAnsi="Palatino Linotype" w:eastAsia="Times New Roman" w:cs="Times New Roman"/>
          <w:kern w:val="0"/>
          <w14:ligatures w14:val="none"/>
        </w:rPr>
        <w:t>Public Utility Regulatory Policies Act compliant tariff</w:t>
      </w:r>
      <w:r w:rsidRPr="00DE4456" w:rsidR="009E6884">
        <w:rPr>
          <w:rFonts w:ascii="Palatino Linotype" w:hAnsi="Palatino Linotype" w:eastAsia="Times New Roman" w:cs="Times New Roman"/>
          <w:kern w:val="0"/>
          <w14:ligatures w14:val="none"/>
        </w:rPr>
        <w:t>s</w:t>
      </w:r>
      <w:r w:rsidRPr="00DE4456" w:rsidR="007C2E73">
        <w:rPr>
          <w:rFonts w:ascii="Palatino Linotype" w:hAnsi="Palatino Linotype" w:eastAsia="Times New Roman" w:cs="Times New Roman"/>
          <w:kern w:val="0"/>
          <w14:ligatures w14:val="none"/>
        </w:rPr>
        <w:t xml:space="preserve"> f</w:t>
      </w:r>
      <w:r w:rsidRPr="00DE4456" w:rsidR="00BE33FD">
        <w:rPr>
          <w:rFonts w:ascii="Palatino Linotype" w:hAnsi="Palatino Linotype" w:eastAsia="Times New Roman" w:cs="Times New Roman"/>
          <w:kern w:val="0"/>
          <w14:ligatures w14:val="none"/>
        </w:rPr>
        <w:t>or customer-generators</w:t>
      </w:r>
      <w:r w:rsidRPr="00DE4456" w:rsidR="00FD3D00">
        <w:rPr>
          <w:rFonts w:ascii="Palatino Linotype" w:hAnsi="Palatino Linotype" w:eastAsia="Times New Roman" w:cs="Times New Roman"/>
          <w:kern w:val="0"/>
          <w14:ligatures w14:val="none"/>
        </w:rPr>
        <w:t xml:space="preserve">’ facilities </w:t>
      </w:r>
      <w:r w:rsidRPr="00DE4456" w:rsidR="00BE33FD">
        <w:rPr>
          <w:rFonts w:ascii="Palatino Linotype" w:hAnsi="Palatino Linotype" w:eastAsia="Times New Roman" w:cs="Times New Roman"/>
          <w:kern w:val="0"/>
          <w14:ligatures w14:val="none"/>
        </w:rPr>
        <w:t xml:space="preserve">with a prevailing wage violation </w:t>
      </w:r>
      <w:r w:rsidRPr="00DE4456" w:rsidR="00C60AF6">
        <w:rPr>
          <w:rFonts w:ascii="Palatino Linotype" w:hAnsi="Palatino Linotype" w:eastAsia="Times New Roman" w:cs="Times New Roman"/>
          <w:kern w:val="0"/>
          <w14:ligatures w14:val="none"/>
        </w:rPr>
        <w:t xml:space="preserve">pursuant to Decision 23-11-068 and Public Utilities Code </w:t>
      </w:r>
      <w:r w:rsidRPr="00DE4456" w:rsidR="006A3699">
        <w:rPr>
          <w:rFonts w:ascii="Palatino Linotype" w:hAnsi="Palatino Linotype" w:eastAsia="Times New Roman" w:cs="Times New Roman"/>
          <w:b/>
          <w:bCs/>
          <w:kern w:val="0"/>
          <w14:ligatures w14:val="none"/>
        </w:rPr>
        <w:t>§</w:t>
      </w:r>
      <w:r w:rsidRPr="00DE4456" w:rsidR="00C60AF6">
        <w:rPr>
          <w:rFonts w:ascii="Palatino Linotype" w:hAnsi="Palatino Linotype" w:eastAsia="Times New Roman" w:cs="Times New Roman"/>
          <w:kern w:val="0"/>
          <w14:ligatures w14:val="none"/>
        </w:rPr>
        <w:t>769.2.</w:t>
      </w:r>
    </w:p>
    <w:p w:rsidRPr="00BC778A" w:rsidR="00A76F4A" w:rsidP="004F7A83"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BC778A" w:rsidR="00A76F4A" w:rsidP="00A76F4A" w:rsidRDefault="00A76F4A" w14:paraId="287E77C0" w14:textId="77777777">
      <w:pPr>
        <w:spacing w:after="0" w:line="240" w:lineRule="auto"/>
        <w:ind w:left="720" w:right="720"/>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PROPOSED OUTCOME: </w:t>
      </w:r>
    </w:p>
    <w:p w:rsidRPr="00BC778A" w:rsidR="002F79A0" w:rsidP="00617B59" w:rsidRDefault="002F79A0" w14:paraId="0DF59026" w14:textId="1001C862">
      <w:pPr>
        <w:pStyle w:val="ListParagraph"/>
        <w:numPr>
          <w:ilvl w:val="0"/>
          <w:numId w:val="6"/>
        </w:numPr>
        <w:spacing w:after="0" w:line="240" w:lineRule="auto"/>
        <w:ind w:right="720"/>
        <w:rPr>
          <w:rFonts w:ascii="Palatino Linotype" w:hAnsi="Palatino Linotype" w:eastAsia="Palatino Linotype" w:cs="Times New Roman"/>
          <w:kern w:val="0"/>
          <w14:ligatures w14:val="none"/>
        </w:rPr>
      </w:pPr>
      <w:r w:rsidRPr="00BC778A">
        <w:rPr>
          <w:rFonts w:ascii="Palatino Linotype" w:hAnsi="Palatino Linotype" w:eastAsia="Times New Roman" w:cs="Times New Roman"/>
          <w:kern w:val="0"/>
          <w14:ligatures w14:val="none"/>
        </w:rPr>
        <w:t xml:space="preserve">Approves </w:t>
      </w:r>
      <w:r w:rsidRPr="00BC778A" w:rsidR="004D3A0D">
        <w:rPr>
          <w:rFonts w:ascii="Palatino Linotype" w:hAnsi="Palatino Linotype" w:eastAsia="Times New Roman" w:cs="Times New Roman"/>
          <w:kern w:val="0"/>
          <w14:ligatures w14:val="none"/>
        </w:rPr>
        <w:t>with modifications</w:t>
      </w:r>
      <w:r w:rsidR="003C797F">
        <w:rPr>
          <w:rFonts w:ascii="Palatino Linotype" w:hAnsi="Palatino Linotype" w:eastAsia="Times New Roman" w:cs="Times New Roman"/>
          <w:kern w:val="0"/>
          <w14:ligatures w14:val="none"/>
        </w:rPr>
        <w:t>,</w:t>
      </w:r>
      <w:r w:rsidRPr="00BC778A">
        <w:rPr>
          <w:rFonts w:ascii="Palatino Linotype" w:hAnsi="Palatino Linotype" w:eastAsia="Times New Roman" w:cs="Times New Roman"/>
          <w:kern w:val="0"/>
          <w14:ligatures w14:val="none"/>
        </w:rPr>
        <w:t xml:space="preserve"> Pacific Gas and Electric (PG&amp;E) Advice Letter 7606-E </w:t>
      </w:r>
      <w:r w:rsidRPr="00BC778A" w:rsidR="000901DD">
        <w:rPr>
          <w:rFonts w:ascii="Palatino Linotype" w:hAnsi="Palatino Linotype" w:eastAsia="Times New Roman" w:cs="Times New Roman"/>
          <w:kern w:val="0"/>
          <w14:ligatures w14:val="none"/>
        </w:rPr>
        <w:t xml:space="preserve">and San Diego Gas &amp; Electric Advice Letter 4664-E </w:t>
      </w:r>
      <w:r w:rsidRPr="00BC778A" w:rsidR="00122339">
        <w:rPr>
          <w:rFonts w:ascii="Palatino Linotype" w:hAnsi="Palatino Linotype" w:eastAsia="Times New Roman" w:cs="Times New Roman"/>
          <w:kern w:val="0"/>
          <w14:ligatures w14:val="none"/>
        </w:rPr>
        <w:t xml:space="preserve">proposing </w:t>
      </w:r>
      <w:r w:rsidRPr="00BC778A" w:rsidR="003418AF">
        <w:rPr>
          <w:rFonts w:ascii="Palatino Linotype" w:hAnsi="Palatino Linotype" w:eastAsia="Times New Roman" w:cs="Times New Roman"/>
          <w:kern w:val="0"/>
          <w14:ligatures w14:val="none"/>
        </w:rPr>
        <w:t xml:space="preserve">the </w:t>
      </w:r>
      <w:r w:rsidRPr="00BC778A" w:rsidR="00F276D8">
        <w:rPr>
          <w:rFonts w:ascii="Palatino Linotype" w:hAnsi="Palatino Linotype" w:eastAsia="Times New Roman" w:cs="Times New Roman"/>
          <w:kern w:val="0"/>
          <w14:ligatures w14:val="none"/>
        </w:rPr>
        <w:t xml:space="preserve">Public </w:t>
      </w:r>
      <w:r w:rsidRPr="00BC778A" w:rsidR="00757298">
        <w:rPr>
          <w:rFonts w:ascii="Palatino Linotype" w:hAnsi="Palatino Linotype" w:eastAsia="Times New Roman" w:cs="Times New Roman"/>
        </w:rPr>
        <w:t xml:space="preserve">Utilities </w:t>
      </w:r>
      <w:r w:rsidRPr="00BC778A" w:rsidR="00F276D8">
        <w:rPr>
          <w:rFonts w:ascii="Palatino Linotype" w:hAnsi="Palatino Linotype" w:eastAsia="Times New Roman" w:cs="Times New Roman"/>
          <w:kern w:val="0"/>
          <w14:ligatures w14:val="none"/>
        </w:rPr>
        <w:t>Regulatory Policies Act (PURPA)</w:t>
      </w:r>
      <w:r w:rsidRPr="00BC778A" w:rsidR="003418AF">
        <w:rPr>
          <w:rFonts w:ascii="Palatino Linotype" w:hAnsi="Palatino Linotype" w:eastAsia="Times New Roman" w:cs="Times New Roman"/>
          <w:kern w:val="0"/>
          <w14:ligatures w14:val="none"/>
        </w:rPr>
        <w:t xml:space="preserve"> compliant tariff</w:t>
      </w:r>
      <w:r w:rsidR="00E3566E">
        <w:rPr>
          <w:rFonts w:ascii="Palatino Linotype" w:hAnsi="Palatino Linotype" w:eastAsia="Times New Roman" w:cs="Times New Roman"/>
          <w:kern w:val="0"/>
          <w14:ligatures w14:val="none"/>
        </w:rPr>
        <w:t>s</w:t>
      </w:r>
      <w:r w:rsidRPr="00BC778A" w:rsidR="00F77298">
        <w:rPr>
          <w:rFonts w:ascii="Palatino Linotype" w:hAnsi="Palatino Linotype" w:eastAsia="Times New Roman" w:cs="Times New Roman"/>
          <w:kern w:val="0"/>
          <w14:ligatures w14:val="none"/>
        </w:rPr>
        <w:t xml:space="preserve"> </w:t>
      </w:r>
      <w:r w:rsidRPr="00BC778A" w:rsidR="00122339">
        <w:rPr>
          <w:rFonts w:ascii="Palatino Linotype" w:hAnsi="Palatino Linotype" w:eastAsia="Times New Roman" w:cs="Times New Roman"/>
          <w:kern w:val="0"/>
          <w14:ligatures w14:val="none"/>
        </w:rPr>
        <w:t>directed in</w:t>
      </w:r>
      <w:r w:rsidRPr="00BC778A" w:rsidR="008D3E9E">
        <w:rPr>
          <w:rFonts w:ascii="Palatino Linotype" w:hAnsi="Palatino Linotype" w:eastAsia="Times New Roman" w:cs="Times New Roman"/>
          <w:kern w:val="0"/>
          <w14:ligatures w14:val="none"/>
        </w:rPr>
        <w:t xml:space="preserve"> Decision 23-11-068 and Public Utilities Codes </w:t>
      </w:r>
      <w:r w:rsidRPr="00BC778A" w:rsidR="008D3E9E">
        <w:rPr>
          <w:rFonts w:ascii="Palatino Linotype" w:hAnsi="Palatino Linotype" w:eastAsia="Times New Roman" w:cs="Times New Roman"/>
          <w:b/>
          <w:bCs/>
          <w:kern w:val="0"/>
          <w14:ligatures w14:val="none"/>
        </w:rPr>
        <w:t>§</w:t>
      </w:r>
      <w:r w:rsidRPr="00BC778A" w:rsidR="008D3E9E">
        <w:rPr>
          <w:rFonts w:ascii="Palatino Linotype" w:hAnsi="Palatino Linotype" w:eastAsia="Times New Roman" w:cs="Times New Roman"/>
          <w:kern w:val="0"/>
          <w14:ligatures w14:val="none"/>
        </w:rPr>
        <w:t>769.2</w:t>
      </w:r>
      <w:r w:rsidRPr="00BC778A" w:rsidR="00122339">
        <w:rPr>
          <w:rFonts w:ascii="Palatino Linotype" w:hAnsi="Palatino Linotype" w:eastAsia="Times New Roman" w:cs="Times New Roman"/>
          <w:kern w:val="0"/>
          <w14:ligatures w14:val="none"/>
        </w:rPr>
        <w:t>.</w:t>
      </w:r>
    </w:p>
    <w:p w:rsidRPr="00BC778A" w:rsidR="00E258CB" w:rsidRDefault="00E258CB" w14:paraId="1A68A637" w14:textId="09FF92C6">
      <w:pPr>
        <w:numPr>
          <w:ilvl w:val="0"/>
          <w:numId w:val="6"/>
        </w:numPr>
        <w:spacing w:after="0" w:line="240" w:lineRule="auto"/>
        <w:ind w:right="720"/>
        <w:rPr>
          <w:rFonts w:ascii="Palatino Linotype" w:hAnsi="Palatino Linotype" w:eastAsia="Times New Roman" w:cs="Times New Roman"/>
          <w:kern w:val="0"/>
          <w14:ligatures w14:val="none"/>
        </w:rPr>
      </w:pPr>
      <w:r w:rsidRPr="00BC778A">
        <w:rPr>
          <w:rFonts w:ascii="Palatino Linotype" w:hAnsi="Palatino Linotype" w:eastAsia="Times New Roman" w:cs="Times New Roman"/>
          <w:kern w:val="0"/>
          <w14:ligatures w14:val="none"/>
        </w:rPr>
        <w:t xml:space="preserve">Directs SCE to file a Tier 1 </w:t>
      </w:r>
      <w:r w:rsidRPr="00BC778A" w:rsidR="00E3566E">
        <w:rPr>
          <w:rFonts w:ascii="Palatino Linotype" w:hAnsi="Palatino Linotype" w:eastAsia="Times New Roman" w:cs="Times New Roman"/>
          <w:kern w:val="0"/>
          <w14:ligatures w14:val="none"/>
        </w:rPr>
        <w:t>Advice Letter</w:t>
      </w:r>
      <w:r w:rsidRPr="00BC778A">
        <w:rPr>
          <w:rFonts w:ascii="Palatino Linotype" w:hAnsi="Palatino Linotype" w:eastAsia="Times New Roman" w:cs="Times New Roman"/>
          <w:kern w:val="0"/>
          <w14:ligatures w14:val="none"/>
        </w:rPr>
        <w:t xml:space="preserve"> to update its PURPA compliant tariff </w:t>
      </w:r>
      <w:r w:rsidR="00E3566E">
        <w:rPr>
          <w:rFonts w:ascii="Palatino Linotype" w:hAnsi="Palatino Linotype" w:eastAsia="Times New Roman" w:cs="Times New Roman"/>
          <w:kern w:val="0"/>
          <w14:ligatures w14:val="none"/>
        </w:rPr>
        <w:t xml:space="preserve">to be </w:t>
      </w:r>
      <w:r w:rsidRPr="00BC778A" w:rsidR="001B0E22">
        <w:rPr>
          <w:rFonts w:ascii="Palatino Linotype" w:hAnsi="Palatino Linotype" w:eastAsia="Times New Roman" w:cs="Times New Roman"/>
          <w:kern w:val="0"/>
          <w14:ligatures w14:val="none"/>
        </w:rPr>
        <w:t>in alignment with this</w:t>
      </w:r>
      <w:r w:rsidRPr="00BC778A">
        <w:rPr>
          <w:rFonts w:ascii="Palatino Linotype" w:hAnsi="Palatino Linotype" w:eastAsia="Times New Roman" w:cs="Times New Roman"/>
          <w:kern w:val="0"/>
          <w14:ligatures w14:val="none"/>
        </w:rPr>
        <w:t xml:space="preserve"> Resolution’s guidance </w:t>
      </w:r>
      <w:r w:rsidR="00E3566E">
        <w:rPr>
          <w:rFonts w:ascii="Palatino Linotype" w:hAnsi="Palatino Linotype" w:eastAsia="Times New Roman" w:cs="Times New Roman"/>
          <w:kern w:val="0"/>
          <w14:ligatures w14:val="none"/>
        </w:rPr>
        <w:t xml:space="preserve">and </w:t>
      </w:r>
      <w:r w:rsidRPr="00BC778A">
        <w:rPr>
          <w:rFonts w:ascii="Palatino Linotype" w:hAnsi="Palatino Linotype" w:eastAsia="Times New Roman" w:cs="Times New Roman"/>
          <w:kern w:val="0"/>
          <w14:ligatures w14:val="none"/>
        </w:rPr>
        <w:t>ensure consistency amongst the tariffs and avoid customer confusion.</w:t>
      </w:r>
    </w:p>
    <w:p w:rsidRPr="00BC778A" w:rsidR="00A76F4A" w:rsidP="00A76F4A" w:rsidRDefault="00A76F4A" w14:paraId="711BBA7A" w14:textId="77777777">
      <w:pPr>
        <w:spacing w:after="0" w:line="240" w:lineRule="auto"/>
        <w:rPr>
          <w:rFonts w:ascii="Palatino Linotype" w:hAnsi="Palatino Linotype" w:eastAsia="Palatino Linotype" w:cs="Times New Roman"/>
          <w:kern w:val="0"/>
          <w:sz w:val="26"/>
          <w:szCs w:val="20"/>
          <w14:ligatures w14:val="none"/>
        </w:rPr>
      </w:pPr>
    </w:p>
    <w:p w:rsidRPr="00BC778A"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SAFETY CONSIDERATIONS:</w:t>
      </w:r>
    </w:p>
    <w:p w:rsidRPr="00BC778A" w:rsidR="00A76F4A" w:rsidP="00916247" w:rsidRDefault="00A76F4A" w14:paraId="64A6B8D1" w14:textId="26772CCA">
      <w:pPr>
        <w:numPr>
          <w:ilvl w:val="0"/>
          <w:numId w:val="5"/>
        </w:numPr>
        <w:spacing w:after="0" w:line="240" w:lineRule="auto"/>
        <w:ind w:right="720"/>
        <w:rPr>
          <w:rFonts w:ascii="Palatino Linotype" w:hAnsi="Palatino Linotype" w:eastAsia="Palatino Linotype" w:cs="Times New Roman"/>
          <w:kern w:val="0"/>
          <w14:ligatures w14:val="none"/>
        </w:rPr>
      </w:pPr>
      <w:r w:rsidRPr="00BC778A">
        <w:rPr>
          <w:rFonts w:ascii="Palatino Linotype" w:hAnsi="Palatino Linotype" w:eastAsia="Times New Roman" w:cs="Times New Roman"/>
          <w:kern w:val="0"/>
          <w14:ligatures w14:val="none"/>
        </w:rPr>
        <w:t xml:space="preserve"> There </w:t>
      </w:r>
      <w:proofErr w:type="gramStart"/>
      <w:r w:rsidRPr="00BC778A">
        <w:rPr>
          <w:rFonts w:ascii="Palatino Linotype" w:hAnsi="Palatino Linotype" w:eastAsia="Times New Roman" w:cs="Times New Roman"/>
          <w:kern w:val="0"/>
          <w14:ligatures w14:val="none"/>
        </w:rPr>
        <w:t>are</w:t>
      </w:r>
      <w:proofErr w:type="gramEnd"/>
      <w:r w:rsidRPr="00BC778A">
        <w:rPr>
          <w:rFonts w:ascii="Palatino Linotype" w:hAnsi="Palatino Linotype" w:eastAsia="Times New Roman" w:cs="Times New Roman"/>
          <w:kern w:val="0"/>
          <w14:ligatures w14:val="none"/>
        </w:rPr>
        <w:t xml:space="preserve"> no safety considerations associated with this resolution.</w:t>
      </w:r>
    </w:p>
    <w:p w:rsidRPr="00BC778A" w:rsidR="00916247" w:rsidP="00916247" w:rsidRDefault="00916247" w14:paraId="2281191E" w14:textId="77777777">
      <w:pPr>
        <w:spacing w:after="0" w:line="240" w:lineRule="auto"/>
        <w:ind w:left="1440" w:right="720"/>
        <w:rPr>
          <w:rFonts w:ascii="Palatino Linotype" w:hAnsi="Palatino Linotype" w:eastAsia="Palatino Linotype" w:cs="Times New Roman"/>
          <w:kern w:val="0"/>
          <w14:ligatures w14:val="none"/>
        </w:rPr>
      </w:pPr>
    </w:p>
    <w:p w:rsidRPr="00BC778A" w:rsidR="00A76F4A" w:rsidP="00A76F4A" w:rsidRDefault="00A76F4A" w14:paraId="6B0D0B8E" w14:textId="23985810">
      <w:pPr>
        <w:spacing w:after="0" w:line="240" w:lineRule="auto"/>
        <w:ind w:left="720" w:right="720"/>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ESTIMATED COST:</w:t>
      </w:r>
    </w:p>
    <w:p w:rsidRPr="00BC778A" w:rsidR="00A76F4A" w:rsidP="00CA2EC8" w:rsidRDefault="00A76F4A" w14:paraId="0ADF6FD2" w14:textId="175648D2">
      <w:pPr>
        <w:numPr>
          <w:ilvl w:val="0"/>
          <w:numId w:val="5"/>
        </w:numPr>
        <w:spacing w:after="0" w:line="240" w:lineRule="auto"/>
        <w:ind w:right="720"/>
        <w:rPr>
          <w:rFonts w:ascii="Palatino Linotype" w:hAnsi="Palatino Linotype" w:eastAsia="Times New Roman" w:cs="Times New Roman"/>
          <w:kern w:val="0"/>
          <w14:ligatures w14:val="none"/>
        </w:rPr>
      </w:pPr>
      <w:r w:rsidRPr="00BC778A">
        <w:rPr>
          <w:rFonts w:ascii="Palatino Linotype" w:hAnsi="Palatino Linotype" w:eastAsia="Times New Roman" w:cs="Times New Roman"/>
          <w:kern w:val="0"/>
          <w14:ligatures w14:val="none"/>
        </w:rPr>
        <w:t>There are no costs associated with this resolution.</w:t>
      </w:r>
    </w:p>
    <w:p w:rsidRPr="00BC778A"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BC778A" w:rsidR="00A76F4A" w:rsidP="00A76F4A" w:rsidRDefault="00A76F4A" w14:paraId="573E1F48" w14:textId="1DC58519">
      <w:pPr>
        <w:spacing w:after="0" w:line="240" w:lineRule="auto"/>
        <w:ind w:left="720" w:right="720"/>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By </w:t>
      </w:r>
      <w:r w:rsidRPr="00BC778A" w:rsidR="00562F9F">
        <w:rPr>
          <w:rFonts w:ascii="Palatino Linotype" w:hAnsi="Palatino Linotype" w:eastAsia="Palatino Linotype" w:cs="Times New Roman"/>
          <w:kern w:val="0"/>
          <w14:ligatures w14:val="none"/>
        </w:rPr>
        <w:t xml:space="preserve">PG&amp;E </w:t>
      </w:r>
      <w:r w:rsidRPr="00BC778A">
        <w:rPr>
          <w:rFonts w:ascii="Palatino Linotype" w:hAnsi="Palatino Linotype" w:eastAsia="Palatino Linotype" w:cs="Times New Roman"/>
          <w:kern w:val="0"/>
          <w14:ligatures w14:val="none"/>
        </w:rPr>
        <w:t>Advice Letter</w:t>
      </w:r>
      <w:r w:rsidRPr="00BC778A" w:rsidDel="00562F9F" w:rsidR="00CA2EC8">
        <w:rPr>
          <w:rFonts w:ascii="Palatino Linotype" w:hAnsi="Palatino Linotype" w:eastAsia="Palatino Linotype" w:cs="Times New Roman"/>
          <w:kern w:val="0"/>
          <w14:ligatures w14:val="none"/>
        </w:rPr>
        <w:t xml:space="preserve"> </w:t>
      </w:r>
      <w:r w:rsidRPr="00BC778A" w:rsidR="00CA2EC8">
        <w:rPr>
          <w:rFonts w:ascii="Palatino Linotype" w:hAnsi="Palatino Linotype" w:eastAsia="Palatino Linotype" w:cs="Times New Roman"/>
          <w:kern w:val="0"/>
          <w14:ligatures w14:val="none"/>
        </w:rPr>
        <w:t>7606-E</w:t>
      </w:r>
      <w:r w:rsidRPr="00BC778A" w:rsidR="00562F9F">
        <w:rPr>
          <w:rFonts w:ascii="Palatino Linotype" w:hAnsi="Palatino Linotype" w:eastAsia="Palatino Linotype" w:cs="Times New Roman"/>
          <w:kern w:val="0"/>
          <w14:ligatures w14:val="none"/>
        </w:rPr>
        <w:t xml:space="preserve"> and SDG&amp;E Advice Letter 4664-E</w:t>
      </w:r>
      <w:r w:rsidRPr="00BC778A">
        <w:rPr>
          <w:rFonts w:ascii="Palatino Linotype" w:hAnsi="Palatino Linotype" w:eastAsia="Palatino Linotype" w:cs="Times New Roman"/>
          <w:kern w:val="0"/>
          <w14:ligatures w14:val="none"/>
        </w:rPr>
        <w:t xml:space="preserve">, </w:t>
      </w:r>
      <w:r w:rsidRPr="00BC778A" w:rsidR="02297918">
        <w:rPr>
          <w:rFonts w:ascii="Palatino Linotype" w:hAnsi="Palatino Linotype" w:eastAsia="Palatino Linotype" w:cs="Times New Roman"/>
          <w:kern w:val="0"/>
          <w14:ligatures w14:val="none"/>
        </w:rPr>
        <w:t>f</w:t>
      </w:r>
      <w:r w:rsidRPr="00BC778A">
        <w:rPr>
          <w:rFonts w:ascii="Palatino Linotype" w:hAnsi="Palatino Linotype" w:eastAsia="Palatino Linotype" w:cs="Times New Roman"/>
          <w:kern w:val="0"/>
          <w14:ligatures w14:val="none"/>
        </w:rPr>
        <w:t xml:space="preserve">iled on </w:t>
      </w:r>
      <w:r w:rsidRPr="00BC778A" w:rsidR="001D79EC">
        <w:rPr>
          <w:rFonts w:ascii="Palatino Linotype" w:hAnsi="Palatino Linotype" w:eastAsia="Palatino Linotype" w:cs="Times New Roman"/>
          <w:kern w:val="0"/>
          <w14:ligatures w14:val="none"/>
        </w:rPr>
        <w:t>May 23, 2025</w:t>
      </w:r>
      <w:r w:rsidRPr="00BC778A" w:rsidR="00022492">
        <w:rPr>
          <w:rFonts w:ascii="Palatino Linotype" w:hAnsi="Palatino Linotype" w:eastAsia="Palatino Linotype" w:cs="Times New Roman"/>
          <w:kern w:val="0"/>
          <w14:ligatures w14:val="none"/>
        </w:rPr>
        <w:t>.</w:t>
      </w:r>
    </w:p>
    <w:p w:rsidRPr="00BC778A" w:rsidR="00A76F4A" w:rsidP="008C43A4" w:rsidRDefault="00A76F4A" w14:paraId="7279783F" w14:textId="581F6F24">
      <w:pPr>
        <w:spacing w:after="0" w:line="240" w:lineRule="auto"/>
        <w:jc w:val="center"/>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__________________________________________________________</w:t>
      </w:r>
    </w:p>
    <w:p w:rsidRPr="00BC778A"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Summary</w:t>
      </w:r>
      <w:bookmarkEnd w:id="0"/>
    </w:p>
    <w:p w:rsidRPr="00BC778A" w:rsidR="00A76F4A" w:rsidP="00A76F4A" w:rsidRDefault="00A76F4A" w14:paraId="5BA743B0" w14:textId="2FC6C5AA">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Times New Roman" w:cs="Times New Roman"/>
          <w:kern w:val="0"/>
          <w14:ligatures w14:val="none"/>
        </w:rPr>
        <w:t xml:space="preserve">This Resolution </w:t>
      </w:r>
      <w:r w:rsidRPr="00BC778A" w:rsidR="001D79EC">
        <w:rPr>
          <w:rFonts w:ascii="Palatino Linotype" w:hAnsi="Palatino Linotype" w:eastAsia="Times New Roman" w:cs="Times New Roman"/>
          <w:kern w:val="0"/>
          <w14:ligatures w14:val="none"/>
        </w:rPr>
        <w:t xml:space="preserve">approves a </w:t>
      </w:r>
      <w:r w:rsidRPr="00BC778A" w:rsidR="00794A69">
        <w:rPr>
          <w:rFonts w:ascii="Palatino Linotype" w:hAnsi="Palatino Linotype" w:eastAsia="Times New Roman" w:cs="Times New Roman"/>
          <w:kern w:val="0"/>
          <w14:ligatures w14:val="none"/>
        </w:rPr>
        <w:t xml:space="preserve">change </w:t>
      </w:r>
      <w:r w:rsidRPr="00BC778A" w:rsidR="0725914C">
        <w:rPr>
          <w:rFonts w:ascii="Palatino Linotype" w:hAnsi="Palatino Linotype" w:eastAsia="Times New Roman" w:cs="Times New Roman"/>
          <w:kern w:val="0"/>
          <w14:ligatures w14:val="none"/>
        </w:rPr>
        <w:t xml:space="preserve">to the terms directed by </w:t>
      </w:r>
      <w:r w:rsidRPr="00BC778A" w:rsidR="00B22A38">
        <w:rPr>
          <w:rFonts w:ascii="Palatino Linotype" w:hAnsi="Palatino Linotype" w:eastAsia="Times New Roman" w:cs="Times New Roman"/>
          <w:kern w:val="0"/>
          <w14:ligatures w14:val="none"/>
        </w:rPr>
        <w:t xml:space="preserve">Decision </w:t>
      </w:r>
      <w:r w:rsidR="009F4559">
        <w:rPr>
          <w:rFonts w:ascii="Palatino Linotype" w:hAnsi="Palatino Linotype" w:eastAsia="Times New Roman" w:cs="Times New Roman"/>
          <w:kern w:val="0"/>
          <w14:ligatures w14:val="none"/>
        </w:rPr>
        <w:t>(</w:t>
      </w:r>
      <w:r w:rsidRPr="00BC778A" w:rsidR="00285A27">
        <w:rPr>
          <w:rFonts w:ascii="Palatino Linotype" w:hAnsi="Palatino Linotype" w:eastAsia="Times New Roman" w:cs="Times New Roman"/>
          <w:kern w:val="0"/>
          <w14:ligatures w14:val="none"/>
        </w:rPr>
        <w:t>D.</w:t>
      </w:r>
      <w:r w:rsidR="009F4559">
        <w:rPr>
          <w:rFonts w:ascii="Palatino Linotype" w:hAnsi="Palatino Linotype" w:eastAsia="Times New Roman" w:cs="Times New Roman"/>
          <w:kern w:val="0"/>
          <w14:ligatures w14:val="none"/>
        </w:rPr>
        <w:t xml:space="preserve">) </w:t>
      </w:r>
      <w:r w:rsidRPr="00BC778A" w:rsidR="00B22A38">
        <w:rPr>
          <w:rFonts w:ascii="Palatino Linotype" w:hAnsi="Palatino Linotype" w:eastAsia="Times New Roman" w:cs="Times New Roman"/>
          <w:kern w:val="0"/>
          <w14:ligatures w14:val="none"/>
        </w:rPr>
        <w:t>23-11-068</w:t>
      </w:r>
      <w:r w:rsidRPr="00BC778A" w:rsidR="2D891FC7">
        <w:rPr>
          <w:rFonts w:ascii="Palatino Linotype" w:hAnsi="Palatino Linotype" w:eastAsia="Times New Roman" w:cs="Times New Roman"/>
          <w:kern w:val="0"/>
          <w14:ligatures w14:val="none"/>
        </w:rPr>
        <w:t xml:space="preserve"> for </w:t>
      </w:r>
      <w:r w:rsidRPr="00BC778A" w:rsidR="00B22A38">
        <w:rPr>
          <w:rFonts w:ascii="Palatino Linotype" w:hAnsi="Palatino Linotype" w:eastAsia="Times New Roman" w:cs="Times New Roman"/>
          <w:kern w:val="0"/>
          <w14:ligatures w14:val="none"/>
        </w:rPr>
        <w:t>the</w:t>
      </w:r>
      <w:r w:rsidRPr="00BC778A" w:rsidR="009035EC">
        <w:rPr>
          <w:rFonts w:ascii="Palatino Linotype" w:hAnsi="Palatino Linotype" w:eastAsia="Times New Roman" w:cs="Times New Roman"/>
          <w:kern w:val="0"/>
          <w14:ligatures w14:val="none"/>
        </w:rPr>
        <w:t xml:space="preserve"> eligibility </w:t>
      </w:r>
      <w:r w:rsidRPr="00BC778A" w:rsidR="0DE16F90">
        <w:rPr>
          <w:rFonts w:ascii="Palatino Linotype" w:hAnsi="Palatino Linotype" w:eastAsia="Times New Roman" w:cs="Times New Roman"/>
          <w:kern w:val="0"/>
          <w14:ligatures w14:val="none"/>
        </w:rPr>
        <w:t xml:space="preserve">criteria </w:t>
      </w:r>
      <w:r w:rsidRPr="00BC778A" w:rsidR="00B22A38">
        <w:rPr>
          <w:rFonts w:ascii="Palatino Linotype" w:hAnsi="Palatino Linotype" w:eastAsia="Times New Roman" w:cs="Times New Roman"/>
          <w:kern w:val="0"/>
          <w14:ligatures w14:val="none"/>
        </w:rPr>
        <w:t>of</w:t>
      </w:r>
      <w:r w:rsidRPr="00BC778A" w:rsidR="00A44677">
        <w:rPr>
          <w:rFonts w:ascii="Palatino Linotype" w:hAnsi="Palatino Linotype" w:eastAsia="Times New Roman" w:cs="Times New Roman"/>
          <w:kern w:val="0"/>
          <w14:ligatures w14:val="none"/>
        </w:rPr>
        <w:t xml:space="preserve"> the new Public Utilities Regulatory </w:t>
      </w:r>
      <w:r w:rsidRPr="00BC778A" w:rsidR="0038697F">
        <w:rPr>
          <w:rFonts w:ascii="Palatino Linotype" w:hAnsi="Palatino Linotype" w:eastAsia="Times New Roman" w:cs="Times New Roman"/>
          <w:kern w:val="0"/>
          <w14:ligatures w14:val="none"/>
        </w:rPr>
        <w:t xml:space="preserve">Policies </w:t>
      </w:r>
      <w:r w:rsidRPr="00BC778A" w:rsidR="00A44677">
        <w:rPr>
          <w:rFonts w:ascii="Palatino Linotype" w:hAnsi="Palatino Linotype" w:eastAsia="Times New Roman" w:cs="Times New Roman"/>
          <w:kern w:val="0"/>
          <w14:ligatures w14:val="none"/>
        </w:rPr>
        <w:t>Act (PURPA) compliant tariff within</w:t>
      </w:r>
      <w:r w:rsidRPr="00BC778A" w:rsidR="001D79EC">
        <w:rPr>
          <w:rFonts w:ascii="Palatino Linotype" w:hAnsi="Palatino Linotype" w:eastAsia="Times New Roman" w:cs="Times New Roman"/>
          <w:kern w:val="0"/>
          <w14:ligatures w14:val="none"/>
        </w:rPr>
        <w:t xml:space="preserve"> </w:t>
      </w:r>
      <w:r w:rsidRPr="00BC778A" w:rsidR="009035EC">
        <w:rPr>
          <w:rFonts w:ascii="Palatino Linotype" w:hAnsi="Palatino Linotype" w:eastAsia="Times New Roman" w:cs="Times New Roman"/>
          <w:kern w:val="0"/>
          <w14:ligatures w14:val="none"/>
        </w:rPr>
        <w:t>Pacific Gas and Electric (PG&amp;E) A</w:t>
      </w:r>
      <w:r w:rsidRPr="00BC778A" w:rsidR="00A44677">
        <w:rPr>
          <w:rFonts w:ascii="Palatino Linotype" w:hAnsi="Palatino Linotype" w:eastAsia="Times New Roman" w:cs="Times New Roman"/>
          <w:kern w:val="0"/>
          <w14:ligatures w14:val="none"/>
        </w:rPr>
        <w:t>dvice Letter (AL) 7606-E</w:t>
      </w:r>
      <w:r w:rsidRPr="00BC778A" w:rsidR="007E2C55">
        <w:rPr>
          <w:rFonts w:ascii="Palatino Linotype" w:hAnsi="Palatino Linotype" w:eastAsia="Times New Roman" w:cs="Times New Roman"/>
          <w:kern w:val="0"/>
          <w14:ligatures w14:val="none"/>
        </w:rPr>
        <w:t xml:space="preserve">, </w:t>
      </w:r>
      <w:r w:rsidRPr="00BC778A" w:rsidR="007E2C55">
        <w:rPr>
          <w:rFonts w:ascii="Palatino Linotype" w:hAnsi="Palatino Linotype" w:eastAsia="Times New Roman" w:cs="Times New Roman"/>
          <w:kern w:val="0"/>
          <w14:ligatures w14:val="none"/>
        </w:rPr>
        <w:lastRenderedPageBreak/>
        <w:t>submitted on May 23, 2025,</w:t>
      </w:r>
      <w:r w:rsidRPr="00BC778A" w:rsidR="00165025">
        <w:rPr>
          <w:rFonts w:ascii="Palatino Linotype" w:hAnsi="Palatino Linotype" w:eastAsia="Times New Roman" w:cs="Times New Roman"/>
          <w:kern w:val="0"/>
          <w14:ligatures w14:val="none"/>
        </w:rPr>
        <w:t xml:space="preserve"> </w:t>
      </w:r>
      <w:r w:rsidRPr="00BC778A" w:rsidR="00B22A38">
        <w:rPr>
          <w:rFonts w:ascii="Palatino Linotype" w:hAnsi="Palatino Linotype" w:eastAsia="Times New Roman" w:cs="Times New Roman"/>
          <w:kern w:val="0"/>
          <w14:ligatures w14:val="none"/>
        </w:rPr>
        <w:t>and San Diego Gas &amp; Electric Advice Letter AL 4664-E</w:t>
      </w:r>
      <w:r w:rsidRPr="00BC778A" w:rsidR="007E2C55">
        <w:rPr>
          <w:rFonts w:ascii="Palatino Linotype" w:hAnsi="Palatino Linotype" w:eastAsia="Times New Roman" w:cs="Times New Roman"/>
          <w:kern w:val="0"/>
          <w14:ligatures w14:val="none"/>
        </w:rPr>
        <w:t>,</w:t>
      </w:r>
      <w:r w:rsidRPr="00BC778A" w:rsidR="00344D92">
        <w:rPr>
          <w:rFonts w:ascii="Palatino Linotype" w:hAnsi="Palatino Linotype" w:eastAsia="Times New Roman" w:cs="Times New Roman"/>
          <w:kern w:val="0"/>
          <w14:ligatures w14:val="none"/>
        </w:rPr>
        <w:t xml:space="preserve"> submitted on May 27, 2025</w:t>
      </w:r>
      <w:r w:rsidRPr="00BC778A" w:rsidR="00B22A38">
        <w:rPr>
          <w:rFonts w:ascii="Palatino Linotype" w:hAnsi="Palatino Linotype" w:eastAsia="Times New Roman" w:cs="Times New Roman"/>
          <w:kern w:val="0"/>
          <w14:ligatures w14:val="none"/>
        </w:rPr>
        <w:t xml:space="preserve">. The PURPA </w:t>
      </w:r>
      <w:r w:rsidRPr="00BC778A" w:rsidR="007B205F">
        <w:rPr>
          <w:rFonts w:ascii="Palatino Linotype" w:hAnsi="Palatino Linotype" w:eastAsia="Times New Roman" w:cs="Times New Roman"/>
          <w:kern w:val="0"/>
          <w14:ligatures w14:val="none"/>
        </w:rPr>
        <w:t>c</w:t>
      </w:r>
      <w:r w:rsidRPr="00BC778A" w:rsidR="00B22A38">
        <w:rPr>
          <w:rFonts w:ascii="Palatino Linotype" w:hAnsi="Palatino Linotype" w:eastAsia="Times New Roman" w:cs="Times New Roman"/>
          <w:kern w:val="0"/>
          <w14:ligatures w14:val="none"/>
        </w:rPr>
        <w:t xml:space="preserve">ompliant </w:t>
      </w:r>
      <w:r w:rsidRPr="00BC778A" w:rsidR="007B205F">
        <w:rPr>
          <w:rFonts w:ascii="Palatino Linotype" w:hAnsi="Palatino Linotype" w:eastAsia="Times New Roman" w:cs="Times New Roman"/>
          <w:kern w:val="0"/>
          <w14:ligatures w14:val="none"/>
        </w:rPr>
        <w:t>t</w:t>
      </w:r>
      <w:r w:rsidRPr="00BC778A" w:rsidR="00B22A38">
        <w:rPr>
          <w:rFonts w:ascii="Palatino Linotype" w:hAnsi="Palatino Linotype" w:eastAsia="Times New Roman" w:cs="Times New Roman"/>
          <w:kern w:val="0"/>
          <w14:ligatures w14:val="none"/>
        </w:rPr>
        <w:t>ariff</w:t>
      </w:r>
      <w:r w:rsidRPr="00BC778A" w:rsidR="0038697F">
        <w:rPr>
          <w:rFonts w:ascii="Palatino Linotype" w:hAnsi="Palatino Linotype" w:eastAsia="Times New Roman" w:cs="Times New Roman"/>
          <w:kern w:val="0"/>
          <w14:ligatures w14:val="none"/>
        </w:rPr>
        <w:t>s</w:t>
      </w:r>
      <w:r w:rsidRPr="00BC778A" w:rsidR="007B205F">
        <w:rPr>
          <w:rFonts w:ascii="Palatino Linotype" w:hAnsi="Palatino Linotype" w:eastAsia="Times New Roman" w:cs="Times New Roman"/>
          <w:kern w:val="0"/>
          <w14:ligatures w14:val="none"/>
        </w:rPr>
        <w:t>,</w:t>
      </w:r>
      <w:r w:rsidR="002271A1">
        <w:rPr>
          <w:rFonts w:ascii="Palatino Linotype" w:hAnsi="Palatino Linotype" w:eastAsia="Times New Roman" w:cs="Times New Roman"/>
          <w:kern w:val="0"/>
          <w14:ligatures w14:val="none"/>
        </w:rPr>
        <w:t xml:space="preserve"> whose</w:t>
      </w:r>
      <w:r w:rsidRPr="00BC778A" w:rsidR="007B205F">
        <w:rPr>
          <w:rFonts w:ascii="Palatino Linotype" w:hAnsi="Palatino Linotype" w:eastAsia="Times New Roman" w:cs="Times New Roman"/>
          <w:kern w:val="0"/>
          <w14:ligatures w14:val="none"/>
        </w:rPr>
        <w:t xml:space="preserve"> basis for pricing relies on D.20-05-006,</w:t>
      </w:r>
      <w:r w:rsidRPr="00BC778A" w:rsidDel="0038697F" w:rsidR="00B22A38">
        <w:rPr>
          <w:rFonts w:ascii="Palatino Linotype" w:hAnsi="Palatino Linotype" w:eastAsia="Times New Roman" w:cs="Times New Roman"/>
          <w:kern w:val="0"/>
          <w14:ligatures w14:val="none"/>
        </w:rPr>
        <w:t xml:space="preserve"> </w:t>
      </w:r>
      <w:r w:rsidRPr="00BC778A" w:rsidR="0038697F">
        <w:rPr>
          <w:rFonts w:ascii="Palatino Linotype" w:hAnsi="Palatino Linotype" w:eastAsia="Times New Roman" w:cs="Times New Roman"/>
          <w:kern w:val="0"/>
          <w14:ligatures w14:val="none"/>
        </w:rPr>
        <w:t>are</w:t>
      </w:r>
      <w:r w:rsidRPr="00BC778A" w:rsidR="00794A69">
        <w:rPr>
          <w:rFonts w:ascii="Palatino Linotype" w:hAnsi="Palatino Linotype" w:eastAsia="Times New Roman" w:cs="Times New Roman"/>
          <w:kern w:val="0"/>
          <w14:ligatures w14:val="none"/>
        </w:rPr>
        <w:t xml:space="preserve"> now</w:t>
      </w:r>
      <w:r w:rsidRPr="00BC778A" w:rsidR="0038697F">
        <w:rPr>
          <w:rFonts w:ascii="Palatino Linotype" w:hAnsi="Palatino Linotype" w:eastAsia="Times New Roman" w:cs="Times New Roman"/>
          <w:kern w:val="0"/>
          <w14:ligatures w14:val="none"/>
        </w:rPr>
        <w:t xml:space="preserve"> </w:t>
      </w:r>
      <w:r w:rsidRPr="00BC778A" w:rsidR="00B22A38">
        <w:rPr>
          <w:rFonts w:ascii="Palatino Linotype" w:hAnsi="Palatino Linotype" w:eastAsia="Times New Roman" w:cs="Times New Roman"/>
          <w:kern w:val="0"/>
          <w14:ligatures w14:val="none"/>
        </w:rPr>
        <w:t>limited to</w:t>
      </w:r>
      <w:r w:rsidRPr="00BC778A" w:rsidR="00165025">
        <w:rPr>
          <w:rFonts w:ascii="Palatino Linotype" w:hAnsi="Palatino Linotype" w:eastAsia="Times New Roman" w:cs="Times New Roman"/>
          <w:kern w:val="0"/>
          <w14:ligatures w14:val="none"/>
        </w:rPr>
        <w:t xml:space="preserve"> </w:t>
      </w:r>
      <w:r w:rsidRPr="00BC778A" w:rsidR="009A2614">
        <w:rPr>
          <w:rFonts w:ascii="Palatino Linotype" w:hAnsi="Palatino Linotype" w:eastAsia="Times New Roman" w:cs="Times New Roman"/>
          <w:kern w:val="0"/>
          <w14:ligatures w14:val="none"/>
        </w:rPr>
        <w:t>generation facilities</w:t>
      </w:r>
      <w:r w:rsidRPr="00BC778A" w:rsidR="00165025">
        <w:rPr>
          <w:rFonts w:ascii="Palatino Linotype" w:hAnsi="Palatino Linotype" w:eastAsia="Times New Roman" w:cs="Times New Roman"/>
          <w:kern w:val="0"/>
          <w14:ligatures w14:val="none"/>
        </w:rPr>
        <w:t xml:space="preserve"> </w:t>
      </w:r>
      <w:r w:rsidRPr="00BC778A" w:rsidR="00B22A38">
        <w:rPr>
          <w:rFonts w:ascii="Palatino Linotype" w:hAnsi="Palatino Linotype" w:eastAsia="Times New Roman" w:cs="Times New Roman"/>
          <w:kern w:val="0"/>
          <w14:ligatures w14:val="none"/>
        </w:rPr>
        <w:t xml:space="preserve">with a </w:t>
      </w:r>
      <w:r w:rsidRPr="00BC778A" w:rsidR="00165025">
        <w:rPr>
          <w:rFonts w:ascii="Palatino Linotype" w:hAnsi="Palatino Linotype" w:eastAsia="Times New Roman" w:cs="Times New Roman"/>
          <w:kern w:val="0"/>
          <w14:ligatures w14:val="none"/>
        </w:rPr>
        <w:t xml:space="preserve">capacity limit of </w:t>
      </w:r>
      <w:r w:rsidR="00920D4F">
        <w:rPr>
          <w:rFonts w:ascii="Palatino Linotype" w:hAnsi="Palatino Linotype" w:eastAsia="Times New Roman" w:cs="Times New Roman"/>
          <w:kern w:val="0"/>
          <w14:ligatures w14:val="none"/>
        </w:rPr>
        <w:br/>
      </w:r>
      <w:r w:rsidRPr="00BC778A" w:rsidR="00165025">
        <w:rPr>
          <w:rFonts w:ascii="Palatino Linotype" w:hAnsi="Palatino Linotype" w:eastAsia="Times New Roman" w:cs="Times New Roman"/>
          <w:kern w:val="0"/>
          <w14:ligatures w14:val="none"/>
        </w:rPr>
        <w:t>20 megawatts (MW)</w:t>
      </w:r>
      <w:r w:rsidRPr="00BC778A" w:rsidR="009A2614">
        <w:rPr>
          <w:rFonts w:ascii="Palatino Linotype" w:hAnsi="Palatino Linotype" w:eastAsia="Times New Roman" w:cs="Times New Roman"/>
          <w:kern w:val="0"/>
          <w14:ligatures w14:val="none"/>
        </w:rPr>
        <w:t xml:space="preserve"> each</w:t>
      </w:r>
      <w:r w:rsidRPr="00BC778A" w:rsidR="00A44677">
        <w:rPr>
          <w:rFonts w:ascii="Palatino Linotype" w:hAnsi="Palatino Linotype" w:eastAsia="Times New Roman" w:cs="Times New Roman"/>
          <w:kern w:val="0"/>
          <w14:ligatures w14:val="none"/>
        </w:rPr>
        <w:t>.</w:t>
      </w:r>
    </w:p>
    <w:p w:rsidRPr="00BC778A"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BC778A" w:rsidR="00230651" w:rsidP="00FF2CE0" w:rsidRDefault="00A76F4A" w14:paraId="38C28ACC" w14:textId="2F69FECB">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Background</w:t>
      </w:r>
    </w:p>
    <w:p w:rsidRPr="00BC778A" w:rsidR="00230651" w:rsidP="00230651" w:rsidRDefault="00230651" w14:paraId="38070ECF" w14:textId="4F0C2E55">
      <w:pPr>
        <w:spacing w:after="0" w:line="240" w:lineRule="auto"/>
        <w:rPr>
          <w:rFonts w:ascii="Palatino Linotype" w:hAnsi="Palatino Linotype" w:eastAsia="Times New Roman" w:cs="Times New Roman"/>
          <w:kern w:val="0"/>
          <w14:ligatures w14:val="none"/>
        </w:rPr>
      </w:pPr>
      <w:r w:rsidRPr="00BC778A">
        <w:rPr>
          <w:rFonts w:ascii="Palatino Linotype" w:hAnsi="Palatino Linotype" w:eastAsia="Times New Roman" w:cs="Times New Roman"/>
          <w:kern w:val="0"/>
          <w14:ligatures w14:val="none"/>
        </w:rPr>
        <w:t xml:space="preserve">This Resolution </w:t>
      </w:r>
      <w:r w:rsidRPr="00BC778A" w:rsidR="0038697F">
        <w:rPr>
          <w:rFonts w:ascii="Palatino Linotype" w:hAnsi="Palatino Linotype" w:eastAsia="Times New Roman" w:cs="Times New Roman"/>
          <w:kern w:val="0"/>
          <w14:ligatures w14:val="none"/>
        </w:rPr>
        <w:t>approves</w:t>
      </w:r>
      <w:r w:rsidRPr="00BC778A" w:rsidR="007E2C55">
        <w:rPr>
          <w:rFonts w:ascii="Palatino Linotype" w:hAnsi="Palatino Linotype" w:eastAsia="Times New Roman" w:cs="Times New Roman"/>
          <w:kern w:val="0"/>
          <w14:ligatures w14:val="none"/>
        </w:rPr>
        <w:t xml:space="preserve"> </w:t>
      </w:r>
      <w:r w:rsidRPr="00BC778A" w:rsidR="00285A27">
        <w:rPr>
          <w:rFonts w:ascii="Palatino Linotype" w:hAnsi="Palatino Linotype" w:eastAsia="Times New Roman" w:cs="Times New Roman"/>
          <w:kern w:val="0"/>
          <w14:ligatures w14:val="none"/>
        </w:rPr>
        <w:t xml:space="preserve">Pacific Gas and Electric (PG&amp;E) </w:t>
      </w:r>
      <w:r w:rsidRPr="00BC778A" w:rsidR="005233F9">
        <w:rPr>
          <w:rFonts w:ascii="Palatino Linotype" w:hAnsi="Palatino Linotype" w:eastAsia="Times New Roman" w:cs="Times New Roman"/>
          <w:kern w:val="0"/>
          <w14:ligatures w14:val="none"/>
        </w:rPr>
        <w:t>advice letter (</w:t>
      </w:r>
      <w:r w:rsidRPr="00BC778A" w:rsidR="00285A27">
        <w:rPr>
          <w:rFonts w:ascii="Palatino Linotype" w:hAnsi="Palatino Linotype" w:eastAsia="Times New Roman" w:cs="Times New Roman"/>
          <w:kern w:val="0"/>
          <w14:ligatures w14:val="none"/>
        </w:rPr>
        <w:t>AL</w:t>
      </w:r>
      <w:r w:rsidRPr="00BC778A" w:rsidR="005233F9">
        <w:rPr>
          <w:rFonts w:ascii="Palatino Linotype" w:hAnsi="Palatino Linotype" w:eastAsia="Times New Roman" w:cs="Times New Roman"/>
          <w:kern w:val="0"/>
          <w14:ligatures w14:val="none"/>
        </w:rPr>
        <w:t>)</w:t>
      </w:r>
      <w:r w:rsidRPr="00BC778A" w:rsidR="00285A27">
        <w:rPr>
          <w:rFonts w:ascii="Palatino Linotype" w:hAnsi="Palatino Linotype" w:eastAsia="Times New Roman" w:cs="Times New Roman"/>
          <w:kern w:val="0"/>
          <w14:ligatures w14:val="none"/>
        </w:rPr>
        <w:t xml:space="preserve"> 7606-E and </w:t>
      </w:r>
      <w:r w:rsidRPr="00BC778A" w:rsidR="00E0504D">
        <w:rPr>
          <w:rFonts w:ascii="Palatino Linotype" w:hAnsi="Palatino Linotype" w:eastAsia="Times New Roman" w:cs="Times New Roman"/>
          <w:kern w:val="0"/>
          <w14:ligatures w14:val="none"/>
        </w:rPr>
        <w:t xml:space="preserve">San Diego Gas </w:t>
      </w:r>
      <w:r w:rsidRPr="00BC778A" w:rsidR="005233F9">
        <w:rPr>
          <w:rFonts w:ascii="Palatino Linotype" w:hAnsi="Palatino Linotype" w:eastAsia="Times New Roman" w:cs="Times New Roman"/>
          <w:kern w:val="0"/>
          <w14:ligatures w14:val="none"/>
        </w:rPr>
        <w:t>&amp; Electric (</w:t>
      </w:r>
      <w:r w:rsidRPr="00BC778A" w:rsidR="00285A27">
        <w:rPr>
          <w:rFonts w:ascii="Palatino Linotype" w:hAnsi="Palatino Linotype" w:eastAsia="Times New Roman" w:cs="Times New Roman"/>
          <w:kern w:val="0"/>
          <w14:ligatures w14:val="none"/>
        </w:rPr>
        <w:t>SDG&amp;E</w:t>
      </w:r>
      <w:r w:rsidRPr="00BC778A" w:rsidR="005233F9">
        <w:rPr>
          <w:rFonts w:ascii="Palatino Linotype" w:hAnsi="Palatino Linotype" w:eastAsia="Times New Roman" w:cs="Times New Roman"/>
          <w:kern w:val="0"/>
          <w14:ligatures w14:val="none"/>
        </w:rPr>
        <w:t>) AL</w:t>
      </w:r>
      <w:r w:rsidRPr="00BC778A" w:rsidR="00285A27">
        <w:rPr>
          <w:rFonts w:ascii="Palatino Linotype" w:hAnsi="Palatino Linotype" w:eastAsia="Times New Roman" w:cs="Times New Roman"/>
          <w:kern w:val="0"/>
          <w14:ligatures w14:val="none"/>
        </w:rPr>
        <w:t xml:space="preserve"> </w:t>
      </w:r>
      <w:r w:rsidRPr="00BC778A" w:rsidR="00940D39">
        <w:rPr>
          <w:rFonts w:ascii="Palatino Linotype" w:hAnsi="Palatino Linotype" w:eastAsia="Times New Roman" w:cs="Times New Roman"/>
          <w:kern w:val="0"/>
          <w14:ligatures w14:val="none"/>
        </w:rPr>
        <w:t>4664-E</w:t>
      </w:r>
      <w:r w:rsidRPr="00BC778A" w:rsidR="00285A27">
        <w:rPr>
          <w:rFonts w:ascii="Palatino Linotype" w:hAnsi="Palatino Linotype" w:eastAsia="Times New Roman" w:cs="Times New Roman"/>
          <w:kern w:val="0"/>
          <w14:ligatures w14:val="none"/>
        </w:rPr>
        <w:t xml:space="preserve"> </w:t>
      </w:r>
      <w:r w:rsidRPr="00BC778A" w:rsidR="00022492">
        <w:rPr>
          <w:rFonts w:ascii="Palatino Linotype" w:hAnsi="Palatino Linotype" w:eastAsia="Times New Roman" w:cs="Times New Roman"/>
          <w:kern w:val="0"/>
          <w14:ligatures w14:val="none"/>
        </w:rPr>
        <w:t>t</w:t>
      </w:r>
      <w:r w:rsidRPr="00BC778A">
        <w:rPr>
          <w:rFonts w:ascii="Palatino Linotype" w:hAnsi="Palatino Linotype" w:eastAsia="Times New Roman" w:cs="Times New Roman"/>
          <w:kern w:val="0"/>
          <w14:ligatures w14:val="none"/>
        </w:rPr>
        <w:t>o establish</w:t>
      </w:r>
      <w:r w:rsidRPr="00BC778A" w:rsidDel="00940D39">
        <w:rPr>
          <w:rFonts w:ascii="Palatino Linotype" w:hAnsi="Palatino Linotype" w:eastAsia="Times New Roman" w:cs="Times New Roman"/>
          <w:kern w:val="0"/>
          <w14:ligatures w14:val="none"/>
        </w:rPr>
        <w:t xml:space="preserve"> </w:t>
      </w:r>
      <w:r w:rsidRPr="00BC778A">
        <w:rPr>
          <w:rFonts w:ascii="Palatino Linotype" w:hAnsi="Palatino Linotype" w:eastAsia="Times New Roman" w:cs="Times New Roman"/>
          <w:kern w:val="0"/>
          <w14:ligatures w14:val="none"/>
        </w:rPr>
        <w:t>new tariff</w:t>
      </w:r>
      <w:r w:rsidRPr="00BC778A" w:rsidR="00940D39">
        <w:rPr>
          <w:rFonts w:ascii="Palatino Linotype" w:hAnsi="Palatino Linotype" w:eastAsia="Times New Roman" w:cs="Times New Roman"/>
          <w:kern w:val="0"/>
          <w14:ligatures w14:val="none"/>
        </w:rPr>
        <w:t>s</w:t>
      </w:r>
      <w:r w:rsidRPr="00BC778A">
        <w:rPr>
          <w:rFonts w:ascii="Palatino Linotype" w:hAnsi="Palatino Linotype" w:eastAsia="Times New Roman" w:cs="Times New Roman"/>
          <w:kern w:val="0"/>
          <w14:ligatures w14:val="none"/>
        </w:rPr>
        <w:t xml:space="preserve"> </w:t>
      </w:r>
      <w:r w:rsidRPr="00BC778A" w:rsidR="00940D39">
        <w:rPr>
          <w:rFonts w:ascii="Palatino Linotype" w:hAnsi="Palatino Linotype" w:eastAsia="Times New Roman" w:cs="Times New Roman"/>
          <w:kern w:val="0"/>
          <w14:ligatures w14:val="none"/>
        </w:rPr>
        <w:t>directed out of</w:t>
      </w:r>
      <w:r w:rsidRPr="00BC778A" w:rsidR="008B1DD9">
        <w:rPr>
          <w:rFonts w:ascii="Palatino Linotype" w:hAnsi="Palatino Linotype" w:eastAsia="Times New Roman" w:cs="Times New Roman"/>
          <w:kern w:val="0"/>
          <w14:ligatures w14:val="none"/>
        </w:rPr>
        <w:t xml:space="preserve"> Decision (D.) 23-11-068</w:t>
      </w:r>
      <w:r w:rsidR="005646EA">
        <w:rPr>
          <w:rFonts w:ascii="Palatino Linotype" w:hAnsi="Palatino Linotype" w:eastAsia="Times New Roman" w:cs="Times New Roman"/>
          <w:kern w:val="0"/>
          <w14:ligatures w14:val="none"/>
        </w:rPr>
        <w:t>, which implements</w:t>
      </w:r>
      <w:r w:rsidRPr="00BC778A" w:rsidR="00BB64AB">
        <w:rPr>
          <w:rFonts w:ascii="Palatino Linotype" w:hAnsi="Palatino Linotype" w:eastAsia="Times New Roman" w:cs="Times New Roman"/>
          <w:kern w:val="0"/>
          <w14:ligatures w14:val="none"/>
        </w:rPr>
        <w:t xml:space="preserve"> Public Utilities Code (PUC) </w:t>
      </w:r>
      <w:r w:rsidR="005646EA">
        <w:rPr>
          <w:rFonts w:ascii="Palatino Linotype" w:hAnsi="Palatino Linotype" w:eastAsia="Times New Roman" w:cs="Times New Roman"/>
          <w:kern w:val="0"/>
          <w14:ligatures w14:val="none"/>
        </w:rPr>
        <w:t>s</w:t>
      </w:r>
      <w:r w:rsidRPr="00BC778A" w:rsidR="00BB64AB">
        <w:rPr>
          <w:rFonts w:ascii="Palatino Linotype" w:hAnsi="Palatino Linotype" w:eastAsia="Times New Roman" w:cs="Times New Roman"/>
          <w:kern w:val="0"/>
          <w14:ligatures w14:val="none"/>
        </w:rPr>
        <w:t>ection 769.2</w:t>
      </w:r>
      <w:r w:rsidRPr="00BC778A" w:rsidR="0003383D">
        <w:rPr>
          <w:rFonts w:ascii="Palatino Linotype" w:hAnsi="Palatino Linotype" w:eastAsia="Times New Roman" w:cs="Times New Roman"/>
          <w:kern w:val="0"/>
          <w14:ligatures w14:val="none"/>
        </w:rPr>
        <w:t xml:space="preserve">. </w:t>
      </w:r>
      <w:r w:rsidR="00906609">
        <w:rPr>
          <w:rFonts w:ascii="Palatino Linotype" w:hAnsi="Palatino Linotype" w:eastAsia="Times New Roman" w:cs="Times New Roman"/>
          <w:kern w:val="0"/>
          <w14:ligatures w14:val="none"/>
        </w:rPr>
        <w:t xml:space="preserve">Consistent with federal law, </w:t>
      </w:r>
      <w:r w:rsidR="7E435BFF">
        <w:rPr>
          <w:rFonts w:ascii="Palatino Linotype" w:hAnsi="Palatino Linotype" w:eastAsia="Times New Roman" w:cs="Times New Roman"/>
          <w:kern w:val="0"/>
          <w14:ligatures w14:val="none"/>
        </w:rPr>
        <w:t>t</w:t>
      </w:r>
      <w:r w:rsidRPr="00BC778A" w:rsidR="12080D9B">
        <w:rPr>
          <w:rFonts w:ascii="Palatino Linotype" w:hAnsi="Palatino Linotype" w:eastAsia="Times New Roman" w:cs="Times New Roman"/>
          <w:kern w:val="0"/>
          <w14:ligatures w14:val="none"/>
        </w:rPr>
        <w:t>hese</w:t>
      </w:r>
      <w:r w:rsidRPr="00BC778A" w:rsidR="0003383D">
        <w:rPr>
          <w:rFonts w:ascii="Palatino Linotype" w:hAnsi="Palatino Linotype" w:eastAsia="Times New Roman" w:cs="Times New Roman"/>
          <w:kern w:val="0"/>
          <w14:ligatures w14:val="none"/>
        </w:rPr>
        <w:t xml:space="preserve"> tariffs</w:t>
      </w:r>
      <w:r w:rsidRPr="00BC778A" w:rsidR="002235C9">
        <w:rPr>
          <w:rFonts w:ascii="Palatino Linotype" w:hAnsi="Palatino Linotype" w:eastAsia="Times New Roman" w:cs="Times New Roman"/>
          <w:kern w:val="0"/>
          <w14:ligatures w14:val="none"/>
        </w:rPr>
        <w:t xml:space="preserve"> will now</w:t>
      </w:r>
      <w:r w:rsidR="00906609">
        <w:rPr>
          <w:rFonts w:ascii="Palatino Linotype" w:hAnsi="Palatino Linotype" w:eastAsia="Times New Roman" w:cs="Times New Roman"/>
          <w:kern w:val="0"/>
          <w14:ligatures w14:val="none"/>
        </w:rPr>
        <w:t xml:space="preserve"> specifically</w:t>
      </w:r>
      <w:r w:rsidRPr="00BC778A" w:rsidR="008B1DD9">
        <w:rPr>
          <w:rFonts w:ascii="Palatino Linotype" w:hAnsi="Palatino Linotype" w:eastAsia="Times New Roman" w:cs="Times New Roman"/>
          <w:kern w:val="0"/>
          <w14:ligatures w14:val="none"/>
        </w:rPr>
        <w:t xml:space="preserve"> </w:t>
      </w:r>
      <w:r w:rsidRPr="00BC778A">
        <w:rPr>
          <w:rFonts w:ascii="Palatino Linotype" w:hAnsi="Palatino Linotype" w:eastAsia="Times New Roman" w:cs="Times New Roman"/>
          <w:kern w:val="0"/>
          <w14:ligatures w14:val="none"/>
        </w:rPr>
        <w:t xml:space="preserve">include a </w:t>
      </w:r>
      <w:r w:rsidR="004C457D">
        <w:rPr>
          <w:rFonts w:ascii="Palatino Linotype" w:hAnsi="Palatino Linotype" w:eastAsia="Times New Roman" w:cs="Times New Roman"/>
          <w:kern w:val="0"/>
          <w14:ligatures w14:val="none"/>
        </w:rPr>
        <w:t xml:space="preserve">term for a </w:t>
      </w:r>
      <w:r w:rsidRPr="00BC778A">
        <w:rPr>
          <w:rFonts w:ascii="Palatino Linotype" w:hAnsi="Palatino Linotype" w:eastAsia="Times New Roman" w:cs="Times New Roman"/>
          <w:kern w:val="0"/>
          <w14:ligatures w14:val="none"/>
        </w:rPr>
        <w:t>system capacity limit of 20 megawatts (MW</w:t>
      </w:r>
      <w:r w:rsidRPr="00BC778A" w:rsidR="66F2DD75">
        <w:rPr>
          <w:rFonts w:ascii="Palatino Linotype" w:hAnsi="Palatino Linotype" w:eastAsia="Times New Roman" w:cs="Times New Roman"/>
          <w:kern w:val="0"/>
          <w14:ligatures w14:val="none"/>
        </w:rPr>
        <w:t>)</w:t>
      </w:r>
      <w:r w:rsidRPr="00BC778A" w:rsidR="017754B9">
        <w:rPr>
          <w:rFonts w:ascii="Palatino Linotype" w:hAnsi="Palatino Linotype" w:eastAsia="Times New Roman" w:cs="Times New Roman"/>
          <w:kern w:val="0"/>
          <w14:ligatures w14:val="none"/>
        </w:rPr>
        <w:t>.</w:t>
      </w:r>
    </w:p>
    <w:p w:rsidRPr="00BC778A" w:rsidR="00A30641" w:rsidP="00A76F4A" w:rsidRDefault="00A30641" w14:paraId="214D2E80" w14:textId="77777777">
      <w:pPr>
        <w:spacing w:after="0" w:line="240" w:lineRule="auto"/>
        <w:rPr>
          <w:rFonts w:ascii="Palatino Linotype" w:hAnsi="Palatino Linotype" w:eastAsia="Times New Roman" w:cs="Times New Roman"/>
          <w:kern w:val="0"/>
          <w14:ligatures w14:val="none"/>
        </w:rPr>
      </w:pPr>
    </w:p>
    <w:p w:rsidR="004D6D2F" w:rsidP="00BC778A" w:rsidRDefault="00A30641" w14:paraId="7DD16FB8" w14:textId="4F1A507C">
      <w:pPr>
        <w:spacing w:after="0" w:line="240" w:lineRule="auto"/>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kern w:val="0"/>
          <w14:ligatures w14:val="none"/>
        </w:rPr>
        <w:t>AB 2143 (Carrillo, 2022) added</w:t>
      </w:r>
      <w:r w:rsidRPr="00BC778A" w:rsidR="00BB64AB">
        <w:rPr>
          <w:rFonts w:ascii="Palatino Linotype" w:hAnsi="Palatino Linotype" w:eastAsia="Times New Roman" w:cs="Times New Roman"/>
          <w:kern w:val="0"/>
          <w14:ligatures w14:val="none"/>
        </w:rPr>
        <w:t xml:space="preserve"> </w:t>
      </w:r>
      <w:r w:rsidRPr="00BC778A">
        <w:rPr>
          <w:rFonts w:ascii="Palatino Linotype" w:hAnsi="Palatino Linotype" w:eastAsia="Times New Roman" w:cs="Times New Roman"/>
          <w:kern w:val="0"/>
          <w14:ligatures w14:val="none"/>
        </w:rPr>
        <w:t>PU</w:t>
      </w:r>
      <w:r w:rsidRPr="00BC778A">
        <w:rPr>
          <w:rFonts w:ascii="Palatino Linotype" w:hAnsi="Palatino Linotype" w:eastAsia="Times New Roman" w:cs="Times New Roman"/>
          <w:color w:val="000000"/>
          <w:kern w:val="0"/>
          <w:shd w:val="clear" w:color="auto" w:fill="FFFFFF"/>
          <w14:ligatures w14:val="none"/>
        </w:rPr>
        <w:t>C</w:t>
      </w:r>
      <w:r w:rsidRPr="00BC778A" w:rsidR="00156815">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769.2</w:t>
      </w:r>
      <w:r w:rsidRPr="00BC778A" w:rsidR="00156815">
        <w:rPr>
          <w:rFonts w:ascii="Palatino Linotype" w:hAnsi="Palatino Linotype" w:eastAsia="Times New Roman" w:cs="Times New Roman"/>
          <w:color w:val="000000"/>
          <w:kern w:val="0"/>
          <w:shd w:val="clear" w:color="auto" w:fill="FFFFFF"/>
          <w14:ligatures w14:val="none"/>
        </w:rPr>
        <w:t xml:space="preserve"> </w:t>
      </w:r>
      <w:r w:rsidRPr="00BC778A" w:rsidR="005233F9">
        <w:rPr>
          <w:rFonts w:ascii="Palatino Linotype" w:hAnsi="Palatino Linotype" w:eastAsia="Times New Roman" w:cs="Times New Roman"/>
          <w:color w:val="000000"/>
          <w:kern w:val="0"/>
          <w:shd w:val="clear" w:color="auto" w:fill="FFFFFF"/>
          <w14:ligatures w14:val="none"/>
        </w:rPr>
        <w:t>which</w:t>
      </w:r>
      <w:r w:rsidRPr="00BC778A">
        <w:rPr>
          <w:rFonts w:ascii="Palatino Linotype" w:hAnsi="Palatino Linotype" w:eastAsia="Times New Roman" w:cs="Times New Roman"/>
          <w:color w:val="000000"/>
          <w:kern w:val="0"/>
          <w:shd w:val="clear" w:color="auto" w:fill="FFFFFF"/>
          <w14:ligatures w14:val="none"/>
        </w:rPr>
        <w:t xml:space="preserve"> requir</w:t>
      </w:r>
      <w:r w:rsidRPr="00BC778A" w:rsidR="00156815">
        <w:rPr>
          <w:rFonts w:ascii="Palatino Linotype" w:hAnsi="Palatino Linotype" w:eastAsia="Times New Roman" w:cs="Times New Roman"/>
          <w:color w:val="000000"/>
          <w:kern w:val="0"/>
          <w:shd w:val="clear" w:color="auto" w:fill="FFFFFF"/>
          <w14:ligatures w14:val="none"/>
        </w:rPr>
        <w:t>es</w:t>
      </w:r>
      <w:r w:rsidRPr="00BC778A">
        <w:rPr>
          <w:rFonts w:ascii="Palatino Linotype" w:hAnsi="Palatino Linotype" w:eastAsia="Times New Roman" w:cs="Times New Roman"/>
          <w:color w:val="000000"/>
          <w:kern w:val="0"/>
          <w:shd w:val="clear" w:color="auto" w:fill="FFFFFF"/>
          <w14:ligatures w14:val="none"/>
        </w:rPr>
        <w:t xml:space="preserve"> certain customers seeking to access the customer generation tariffs </w:t>
      </w:r>
      <w:r w:rsidRPr="00BC778A" w:rsidR="002235C9">
        <w:rPr>
          <w:rFonts w:ascii="Palatino Linotype" w:hAnsi="Palatino Linotype" w:eastAsia="Times New Roman" w:cs="Times New Roman"/>
          <w:color w:val="000000"/>
          <w:kern w:val="0"/>
          <w:shd w:val="clear" w:color="auto" w:fill="FFFFFF"/>
          <w14:ligatures w14:val="none"/>
        </w:rPr>
        <w:t xml:space="preserve">developed </w:t>
      </w:r>
      <w:r w:rsidRPr="00BC778A">
        <w:rPr>
          <w:rFonts w:ascii="Palatino Linotype" w:hAnsi="Palatino Linotype" w:eastAsia="Times New Roman" w:cs="Times New Roman"/>
          <w:color w:val="000000"/>
          <w:kern w:val="0"/>
          <w:shd w:val="clear" w:color="auto" w:fill="FFFFFF"/>
          <w14:ligatures w14:val="none"/>
        </w:rPr>
        <w:t>pursuant to PUC 2827 and 2827.1</w:t>
      </w:r>
      <w:r w:rsidRPr="00BC778A" w:rsidR="00156815">
        <w:rPr>
          <w:rFonts w:ascii="Palatino Linotype" w:hAnsi="Palatino Linotype" w:eastAsia="Times New Roman" w:cs="Times New Roman"/>
          <w:color w:val="000000"/>
          <w:kern w:val="0"/>
          <w:shd w:val="clear" w:color="auto" w:fill="FFFFFF"/>
          <w14:ligatures w14:val="none"/>
        </w:rPr>
        <w:t xml:space="preserve"> (known as the Net Energy Metering </w:t>
      </w:r>
      <w:r w:rsidRPr="00BC778A" w:rsidR="002235C9">
        <w:rPr>
          <w:rFonts w:ascii="Palatino Linotype" w:hAnsi="Palatino Linotype" w:eastAsia="Times New Roman" w:cs="Times New Roman"/>
          <w:color w:val="000000"/>
          <w:kern w:val="0"/>
          <w:shd w:val="clear" w:color="auto" w:fill="FFFFFF"/>
          <w14:ligatures w14:val="none"/>
        </w:rPr>
        <w:t xml:space="preserve">tariffs </w:t>
      </w:r>
      <w:r w:rsidRPr="00BC778A" w:rsidR="00156815">
        <w:rPr>
          <w:rFonts w:ascii="Palatino Linotype" w:hAnsi="Palatino Linotype" w:eastAsia="Times New Roman" w:cs="Times New Roman"/>
          <w:color w:val="000000"/>
          <w:kern w:val="0"/>
          <w:shd w:val="clear" w:color="auto" w:fill="FFFFFF"/>
          <w14:ligatures w14:val="none"/>
        </w:rPr>
        <w:t xml:space="preserve">or NEM and </w:t>
      </w:r>
      <w:r w:rsidRPr="00BC778A" w:rsidR="002235C9">
        <w:rPr>
          <w:rFonts w:ascii="Palatino Linotype" w:hAnsi="Palatino Linotype" w:eastAsia="Times New Roman" w:cs="Times New Roman"/>
          <w:color w:val="000000"/>
          <w:kern w:val="0"/>
          <w:shd w:val="clear" w:color="auto" w:fill="FFFFFF"/>
          <w14:ligatures w14:val="none"/>
        </w:rPr>
        <w:t>the</w:t>
      </w:r>
      <w:r w:rsidRPr="00BC778A" w:rsidR="00156815">
        <w:rPr>
          <w:rFonts w:ascii="Palatino Linotype" w:hAnsi="Palatino Linotype" w:eastAsia="Times New Roman" w:cs="Times New Roman"/>
          <w:color w:val="000000"/>
          <w:kern w:val="0"/>
          <w:shd w:val="clear" w:color="auto" w:fill="FFFFFF"/>
          <w14:ligatures w14:val="none"/>
        </w:rPr>
        <w:t xml:space="preserve"> Net Billing tariff</w:t>
      </w:r>
      <w:r w:rsidRPr="00BC778A" w:rsidR="002235C9">
        <w:rPr>
          <w:rFonts w:ascii="Palatino Linotype" w:hAnsi="Palatino Linotype" w:eastAsia="Times New Roman" w:cs="Times New Roman"/>
          <w:color w:val="000000"/>
          <w:kern w:val="0"/>
          <w:shd w:val="clear" w:color="auto" w:fill="FFFFFF"/>
          <w14:ligatures w14:val="none"/>
        </w:rPr>
        <w:t>s</w:t>
      </w:r>
      <w:r w:rsidRPr="00BC778A" w:rsidR="00156815">
        <w:rPr>
          <w:rFonts w:ascii="Palatino Linotype" w:hAnsi="Palatino Linotype" w:eastAsia="Times New Roman" w:cs="Times New Roman"/>
          <w:color w:val="000000"/>
          <w:kern w:val="0"/>
          <w:shd w:val="clear" w:color="auto" w:fill="FFFFFF"/>
          <w14:ligatures w14:val="none"/>
        </w:rPr>
        <w:t xml:space="preserve"> or NBT)</w:t>
      </w:r>
      <w:r w:rsidRPr="00BC778A">
        <w:rPr>
          <w:rFonts w:ascii="Palatino Linotype" w:hAnsi="Palatino Linotype" w:eastAsia="Times New Roman" w:cs="Times New Roman"/>
          <w:color w:val="000000"/>
          <w:kern w:val="0"/>
          <w:shd w:val="clear" w:color="auto" w:fill="FFFFFF"/>
          <w14:ligatures w14:val="none"/>
        </w:rPr>
        <w:t xml:space="preserve"> to pay their workers and apprentices prevailing wage</w:t>
      </w:r>
      <w:r w:rsidR="00EB36A8">
        <w:rPr>
          <w:rFonts w:ascii="Palatino Linotype" w:hAnsi="Palatino Linotype" w:eastAsia="Times New Roman" w:cs="Times New Roman"/>
          <w:color w:val="000000"/>
          <w:kern w:val="0"/>
          <w:shd w:val="clear" w:color="auto" w:fill="FFFFFF"/>
          <w14:ligatures w14:val="none"/>
        </w:rPr>
        <w:t>s</w:t>
      </w:r>
      <w:r w:rsidRPr="00BC778A">
        <w:rPr>
          <w:rFonts w:ascii="Palatino Linotype" w:hAnsi="Palatino Linotype" w:eastAsia="Times New Roman" w:cs="Times New Roman"/>
          <w:color w:val="000000"/>
          <w:kern w:val="0"/>
          <w:shd w:val="clear" w:color="auto" w:fill="FFFFFF"/>
          <w14:ligatures w14:val="none"/>
        </w:rPr>
        <w:t xml:space="preserve"> and comply with the Labor Code for public works. </w:t>
      </w:r>
      <w:r w:rsidRPr="00BC778A" w:rsidR="00904822">
        <w:rPr>
          <w:rFonts w:ascii="Palatino Linotype" w:hAnsi="Palatino Linotype" w:eastAsia="Times New Roman" w:cs="Times New Roman"/>
          <w:color w:val="000000"/>
          <w:kern w:val="0"/>
          <w:shd w:val="clear" w:color="auto" w:fill="FFFFFF"/>
          <w14:ligatures w14:val="none"/>
        </w:rPr>
        <w:t>Should a</w:t>
      </w:r>
      <w:r w:rsidRPr="00BC778A" w:rsidDel="00904822">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 xml:space="preserve">contractor </w:t>
      </w:r>
      <w:r w:rsidRPr="00BC778A" w:rsidR="00CB053D">
        <w:rPr>
          <w:rFonts w:ascii="Palatino Linotype" w:hAnsi="Palatino Linotype" w:eastAsia="Times New Roman" w:cs="Times New Roman"/>
          <w:color w:val="000000"/>
          <w:kern w:val="0"/>
          <w:shd w:val="clear" w:color="auto" w:fill="FFFFFF"/>
          <w14:ligatures w14:val="none"/>
        </w:rPr>
        <w:t>fail to</w:t>
      </w:r>
      <w:r w:rsidRPr="00BC778A">
        <w:rPr>
          <w:rFonts w:ascii="Palatino Linotype" w:hAnsi="Palatino Linotype" w:eastAsia="Times New Roman" w:cs="Times New Roman"/>
          <w:color w:val="000000"/>
          <w:kern w:val="0"/>
          <w:shd w:val="clear" w:color="auto" w:fill="FFFFFF"/>
          <w14:ligatures w14:val="none"/>
        </w:rPr>
        <w:t xml:space="preserve"> comply with the law, then </w:t>
      </w:r>
      <w:r w:rsidRPr="00BC778A" w:rsidR="00365A99">
        <w:rPr>
          <w:rFonts w:ascii="Palatino Linotype" w:hAnsi="Palatino Linotype" w:eastAsia="Times New Roman" w:cs="Times New Roman"/>
          <w:color w:val="000000" w:themeColor="text1"/>
        </w:rPr>
        <w:t xml:space="preserve">that </w:t>
      </w:r>
      <w:r w:rsidRPr="00BC778A">
        <w:rPr>
          <w:rFonts w:ascii="Palatino Linotype" w:hAnsi="Palatino Linotype" w:eastAsia="Times New Roman" w:cs="Times New Roman"/>
          <w:color w:val="000000"/>
          <w:kern w:val="0"/>
          <w:shd w:val="clear" w:color="auto" w:fill="FFFFFF"/>
          <w14:ligatures w14:val="none"/>
        </w:rPr>
        <w:t xml:space="preserve">customer’s renewable energy generation facility loses access to </w:t>
      </w:r>
      <w:r w:rsidRPr="00BC778A" w:rsidR="002235C9">
        <w:rPr>
          <w:rFonts w:ascii="Palatino Linotype" w:hAnsi="Palatino Linotype" w:eastAsia="Times New Roman" w:cs="Times New Roman"/>
          <w:color w:val="000000"/>
          <w:kern w:val="0"/>
          <w:shd w:val="clear" w:color="auto" w:fill="FFFFFF"/>
          <w14:ligatures w14:val="none"/>
        </w:rPr>
        <w:t>its</w:t>
      </w:r>
      <w:r w:rsidRPr="00BC778A">
        <w:rPr>
          <w:rFonts w:ascii="Palatino Linotype" w:hAnsi="Palatino Linotype" w:eastAsia="Times New Roman" w:cs="Times New Roman"/>
          <w:color w:val="000000"/>
          <w:kern w:val="0"/>
          <w:shd w:val="clear" w:color="auto" w:fill="FFFFFF"/>
          <w14:ligatures w14:val="none"/>
        </w:rPr>
        <w:t xml:space="preserve"> tariffs</w:t>
      </w:r>
      <w:r w:rsidRPr="00BC778A">
        <w:rPr>
          <w:rFonts w:ascii="Palatino Linotype" w:hAnsi="Palatino Linotype" w:eastAsia="Times New Roman" w:cs="Times New Roman"/>
          <w:color w:val="000000"/>
          <w:kern w:val="0"/>
          <w14:ligatures w14:val="none"/>
        </w:rPr>
        <w:t xml:space="preserve"> </w:t>
      </w:r>
      <w:r w:rsidR="004C457D">
        <w:rPr>
          <w:rFonts w:ascii="Palatino Linotype" w:hAnsi="Palatino Linotype" w:eastAsia="Times New Roman" w:cs="Times New Roman"/>
          <w:color w:val="000000"/>
          <w:kern w:val="0"/>
          <w14:ligatures w14:val="none"/>
        </w:rPr>
        <w:t xml:space="preserve">if </w:t>
      </w:r>
      <w:r w:rsidRPr="00BC778A">
        <w:rPr>
          <w:rFonts w:ascii="Palatino Linotype" w:hAnsi="Palatino Linotype" w:eastAsia="Times New Roman" w:cs="Times New Roman"/>
          <w:color w:val="000000"/>
          <w:kern w:val="0"/>
          <w14:ligatures w14:val="none"/>
        </w:rPr>
        <w:t>approved pursuant to</w:t>
      </w:r>
      <w:r w:rsidRPr="00BC778A">
        <w:rPr>
          <w:rFonts w:ascii="Palatino Linotype" w:hAnsi="Palatino Linotype" w:eastAsia="Times New Roman" w:cs="Times New Roman"/>
          <w:color w:val="000000"/>
          <w:kern w:val="0"/>
          <w:shd w:val="clear" w:color="auto" w:fill="FFFFFF"/>
          <w14:ligatures w14:val="none"/>
        </w:rPr>
        <w:t xml:space="preserve"> PUC 2827 and 2827.1. </w:t>
      </w:r>
      <w:r w:rsidRPr="00BC778A" w:rsidR="00940D39">
        <w:rPr>
          <w:rFonts w:ascii="Palatino Linotype" w:hAnsi="Palatino Linotype" w:eastAsia="Times New Roman" w:cs="Times New Roman"/>
          <w:color w:val="000000"/>
          <w:kern w:val="0"/>
          <w:shd w:val="clear" w:color="auto" w:fill="FFFFFF"/>
          <w14:ligatures w14:val="none"/>
        </w:rPr>
        <w:t>D.</w:t>
      </w:r>
      <w:r w:rsidRPr="00BC778A">
        <w:rPr>
          <w:rFonts w:ascii="Palatino Linotype" w:hAnsi="Palatino Linotype" w:eastAsia="Times New Roman" w:cs="Times New Roman"/>
          <w:color w:val="000000"/>
          <w:kern w:val="0"/>
          <w:shd w:val="clear" w:color="auto" w:fill="FFFFFF"/>
          <w14:ligatures w14:val="none"/>
        </w:rPr>
        <w:t>23-11-068</w:t>
      </w:r>
      <w:r w:rsidRPr="00BC778A" w:rsidR="00910833">
        <w:rPr>
          <w:rFonts w:ascii="Palatino Linotype" w:hAnsi="Palatino Linotype" w:eastAsia="Times New Roman" w:cs="Times New Roman"/>
          <w:color w:val="000000"/>
          <w:kern w:val="0"/>
          <w:shd w:val="clear" w:color="auto" w:fill="FFFFFF"/>
          <w14:ligatures w14:val="none"/>
        </w:rPr>
        <w:t>, issued</w:t>
      </w:r>
      <w:r w:rsidRPr="00BC778A" w:rsidR="00181AB8">
        <w:rPr>
          <w:rFonts w:ascii="Palatino Linotype" w:hAnsi="Palatino Linotype" w:eastAsia="Times New Roman" w:cs="Times New Roman"/>
          <w:color w:val="000000"/>
          <w:kern w:val="0"/>
          <w:shd w:val="clear" w:color="auto" w:fill="FFFFFF"/>
          <w14:ligatures w14:val="none"/>
        </w:rPr>
        <w:t xml:space="preserve"> on </w:t>
      </w:r>
      <w:r w:rsidRPr="00BC778A" w:rsidR="04E7E9B4">
        <w:rPr>
          <w:rFonts w:ascii="Palatino Linotype" w:hAnsi="Palatino Linotype" w:eastAsia="Times New Roman" w:cs="Times New Roman"/>
          <w:color w:val="000000"/>
          <w:kern w:val="0"/>
          <w:shd w:val="clear" w:color="auto" w:fill="FFFFFF"/>
          <w14:ligatures w14:val="none"/>
        </w:rPr>
        <w:t>November 16, 2023</w:t>
      </w:r>
      <w:r w:rsidRPr="00BC778A" w:rsidR="00181AB8">
        <w:rPr>
          <w:rFonts w:ascii="Palatino Linotype" w:hAnsi="Palatino Linotype" w:eastAsia="Times New Roman" w:cs="Times New Roman"/>
          <w:color w:val="000000"/>
          <w:kern w:val="0"/>
          <w:shd w:val="clear" w:color="auto" w:fill="FFFFFF"/>
          <w14:ligatures w14:val="none"/>
        </w:rPr>
        <w:t>,</w:t>
      </w:r>
      <w:r w:rsidRPr="00BC778A" w:rsidDel="00CB053D">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 xml:space="preserve">recognized that such renewable energy generation facilities (REGFs) are permitted to remain interconnected to the distribution grid and export </w:t>
      </w:r>
      <w:r w:rsidRPr="00BC778A" w:rsidDel="000157A2">
        <w:rPr>
          <w:rFonts w:ascii="Palatino Linotype" w:hAnsi="Palatino Linotype" w:eastAsia="Times New Roman" w:cs="Times New Roman"/>
          <w:color w:val="000000"/>
          <w:kern w:val="0"/>
          <w:shd w:val="clear" w:color="auto" w:fill="FFFFFF"/>
          <w14:ligatures w14:val="none"/>
        </w:rPr>
        <w:t xml:space="preserve">available </w:t>
      </w:r>
      <w:r w:rsidRPr="00BC778A">
        <w:rPr>
          <w:rFonts w:ascii="Palatino Linotype" w:hAnsi="Palatino Linotype" w:eastAsia="Times New Roman" w:cs="Times New Roman"/>
          <w:color w:val="000000"/>
          <w:kern w:val="0"/>
          <w:shd w:val="clear" w:color="auto" w:fill="FFFFFF"/>
          <w14:ligatures w14:val="none"/>
        </w:rPr>
        <w:t xml:space="preserve">energy, and in doing so would be considered a qualifying facility under </w:t>
      </w:r>
      <w:r w:rsidR="007E3649">
        <w:rPr>
          <w:rFonts w:ascii="Palatino Linotype" w:hAnsi="Palatino Linotype" w:eastAsia="Times New Roman" w:cs="Times New Roman"/>
          <w:color w:val="000000"/>
          <w:kern w:val="0"/>
          <w:shd w:val="clear" w:color="auto" w:fill="FFFFFF"/>
          <w14:ligatures w14:val="none"/>
        </w:rPr>
        <w:t>the federal Public Utilities Regulatory Policy Act of 1978 (</w:t>
      </w:r>
      <w:r w:rsidRPr="00BC778A">
        <w:rPr>
          <w:rFonts w:ascii="Palatino Linotype" w:hAnsi="Palatino Linotype" w:eastAsia="Times New Roman" w:cs="Times New Roman"/>
          <w:color w:val="000000"/>
          <w:kern w:val="0"/>
          <w:shd w:val="clear" w:color="auto" w:fill="FFFFFF"/>
          <w14:ligatures w14:val="none"/>
        </w:rPr>
        <w:t>PURPA</w:t>
      </w:r>
      <w:r w:rsidR="007E3649">
        <w:rPr>
          <w:rFonts w:ascii="Palatino Linotype" w:hAnsi="Palatino Linotype" w:eastAsia="Times New Roman" w:cs="Times New Roman"/>
          <w:color w:val="000000"/>
          <w:kern w:val="0"/>
          <w:shd w:val="clear" w:color="auto" w:fill="FFFFFF"/>
          <w14:ligatures w14:val="none"/>
        </w:rPr>
        <w:t>)</w:t>
      </w:r>
      <w:r w:rsidR="00F13ED5">
        <w:rPr>
          <w:rFonts w:ascii="Palatino Linotype" w:hAnsi="Palatino Linotype" w:eastAsia="Times New Roman" w:cs="Times New Roman"/>
          <w:color w:val="000000"/>
          <w:kern w:val="0"/>
          <w:shd w:val="clear" w:color="auto" w:fill="FFFFFF"/>
          <w14:ligatures w14:val="none"/>
        </w:rPr>
        <w:t xml:space="preserve"> and </w:t>
      </w:r>
      <w:r w:rsidR="008B11FF">
        <w:rPr>
          <w:rFonts w:ascii="Palatino Linotype" w:hAnsi="Palatino Linotype" w:eastAsia="Times New Roman" w:cs="Times New Roman"/>
          <w:color w:val="000000"/>
          <w:kern w:val="0"/>
          <w:shd w:val="clear" w:color="auto" w:fill="FFFFFF"/>
          <w14:ligatures w14:val="none"/>
        </w:rPr>
        <w:t xml:space="preserve">should </w:t>
      </w:r>
      <w:r w:rsidR="00F13ED5">
        <w:rPr>
          <w:rFonts w:ascii="Palatino Linotype" w:hAnsi="Palatino Linotype" w:eastAsia="Times New Roman" w:cs="Times New Roman"/>
          <w:color w:val="000000"/>
          <w:kern w:val="0"/>
          <w:shd w:val="clear" w:color="auto" w:fill="FFFFFF"/>
          <w14:ligatures w14:val="none"/>
        </w:rPr>
        <w:t>transition to a PURPA compliant</w:t>
      </w:r>
      <w:r w:rsidR="008B11FF">
        <w:rPr>
          <w:rFonts w:ascii="Palatino Linotype" w:hAnsi="Palatino Linotype" w:eastAsia="Times New Roman" w:cs="Times New Roman"/>
          <w:color w:val="000000"/>
          <w:kern w:val="0"/>
          <w:shd w:val="clear" w:color="auto" w:fill="FFFFFF"/>
          <w14:ligatures w14:val="none"/>
        </w:rPr>
        <w:t xml:space="preserve"> export</w:t>
      </w:r>
      <w:r w:rsidR="00F13ED5">
        <w:rPr>
          <w:rFonts w:ascii="Palatino Linotype" w:hAnsi="Palatino Linotype" w:eastAsia="Times New Roman" w:cs="Times New Roman"/>
          <w:color w:val="000000"/>
          <w:kern w:val="0"/>
          <w:shd w:val="clear" w:color="auto" w:fill="FFFFFF"/>
          <w14:ligatures w14:val="none"/>
        </w:rPr>
        <w:t xml:space="preserve"> tariff</w:t>
      </w:r>
      <w:r w:rsidRPr="00BC778A">
        <w:rPr>
          <w:rFonts w:ascii="Palatino Linotype" w:hAnsi="Palatino Linotype" w:eastAsia="Times New Roman" w:cs="Times New Roman"/>
          <w:color w:val="000000"/>
          <w:kern w:val="0"/>
          <w:shd w:val="clear" w:color="auto" w:fill="FFFFFF"/>
          <w14:ligatures w14:val="none"/>
        </w:rPr>
        <w:t>.</w:t>
      </w:r>
    </w:p>
    <w:p w:rsidR="00970375" w:rsidP="00BC778A" w:rsidRDefault="00970375" w14:paraId="729A1186" w14:textId="77777777">
      <w:pPr>
        <w:spacing w:after="0" w:line="240" w:lineRule="auto"/>
        <w:rPr>
          <w:rFonts w:ascii="Palatino Linotype" w:hAnsi="Palatino Linotype" w:eastAsia="Times New Roman" w:cs="Times New Roman"/>
          <w:color w:val="000000"/>
          <w:kern w:val="0"/>
          <w:shd w:val="clear" w:color="auto" w:fill="FFFFFF"/>
          <w14:ligatures w14:val="none"/>
        </w:rPr>
      </w:pPr>
    </w:p>
    <w:p w:rsidRPr="00BC778A" w:rsidR="00F70D74" w:rsidP="00BC778A" w:rsidRDefault="00A30641" w14:paraId="44AD14A0" w14:textId="7EEB2882">
      <w:pPr>
        <w:spacing w:after="0" w:line="240" w:lineRule="auto"/>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Additionally, </w:t>
      </w:r>
      <w:r w:rsidRPr="00BC778A" w:rsidR="00CD57CF">
        <w:rPr>
          <w:rFonts w:ascii="Palatino Linotype" w:hAnsi="Palatino Linotype" w:eastAsia="Times New Roman" w:cs="Times New Roman"/>
          <w:color w:val="000000"/>
          <w:kern w:val="0"/>
          <w:shd w:val="clear" w:color="auto" w:fill="FFFFFF"/>
          <w14:ligatures w14:val="none"/>
        </w:rPr>
        <w:t xml:space="preserve">D.23-11-068 </w:t>
      </w:r>
      <w:r w:rsidRPr="00BC778A">
        <w:rPr>
          <w:rFonts w:ascii="Palatino Linotype" w:hAnsi="Palatino Linotype" w:eastAsia="Times New Roman" w:cs="Times New Roman"/>
          <w:color w:val="000000"/>
          <w:kern w:val="0"/>
          <w:shd w:val="clear" w:color="auto" w:fill="FFFFFF"/>
          <w14:ligatures w14:val="none"/>
        </w:rPr>
        <w:t xml:space="preserve">found that the Commission should address the split incentive created by the law whereby the customer is penalized for wage violations </w:t>
      </w:r>
      <w:r w:rsidRPr="00BC778A" w:rsidR="00EC3DCF">
        <w:rPr>
          <w:rFonts w:ascii="Palatino Linotype" w:hAnsi="Palatino Linotype" w:eastAsia="Times New Roman" w:cs="Times New Roman"/>
          <w:color w:val="000000"/>
          <w:kern w:val="0"/>
          <w:shd w:val="clear" w:color="auto" w:fill="FFFFFF"/>
          <w14:ligatures w14:val="none"/>
        </w:rPr>
        <w:t xml:space="preserve">that </w:t>
      </w:r>
      <w:r w:rsidRPr="00BC778A">
        <w:rPr>
          <w:rFonts w:ascii="Palatino Linotype" w:hAnsi="Palatino Linotype" w:eastAsia="Times New Roman" w:cs="Times New Roman"/>
          <w:color w:val="000000"/>
          <w:kern w:val="0"/>
          <w:shd w:val="clear" w:color="auto" w:fill="FFFFFF"/>
          <w14:ligatures w14:val="none"/>
        </w:rPr>
        <w:t xml:space="preserve">the customer cannot cure. To rectify these issues, </w:t>
      </w:r>
      <w:r w:rsidRPr="00BC778A" w:rsidR="001E4433">
        <w:rPr>
          <w:rFonts w:ascii="Palatino Linotype" w:hAnsi="Palatino Linotype" w:eastAsia="Times New Roman" w:cs="Times New Roman"/>
          <w:color w:val="000000"/>
          <w:kern w:val="0"/>
          <w:shd w:val="clear" w:color="auto" w:fill="FFFFFF"/>
          <w14:ligatures w14:val="none"/>
        </w:rPr>
        <w:t xml:space="preserve">D.23-11-068 </w:t>
      </w:r>
      <w:r w:rsidRPr="00BC778A">
        <w:rPr>
          <w:rFonts w:ascii="Palatino Linotype" w:hAnsi="Palatino Linotype" w:eastAsia="Times New Roman" w:cs="Times New Roman"/>
          <w:color w:val="000000"/>
          <w:kern w:val="0"/>
          <w:shd w:val="clear" w:color="auto" w:fill="FFFFFF"/>
          <w14:ligatures w14:val="none"/>
        </w:rPr>
        <w:t xml:space="preserve">directed the </w:t>
      </w:r>
      <w:r w:rsidRPr="00BC778A" w:rsidR="75218E99">
        <w:rPr>
          <w:rFonts w:ascii="Palatino Linotype" w:hAnsi="Palatino Linotype" w:eastAsia="Times New Roman" w:cs="Times New Roman"/>
          <w:color w:val="000000"/>
          <w:kern w:val="0"/>
          <w:shd w:val="clear" w:color="auto" w:fill="FFFFFF"/>
          <w14:ligatures w14:val="none"/>
        </w:rPr>
        <w:t xml:space="preserve">large electric </w:t>
      </w:r>
      <w:r w:rsidRPr="00BC778A">
        <w:rPr>
          <w:rFonts w:ascii="Palatino Linotype" w:hAnsi="Palatino Linotype" w:eastAsia="Times New Roman" w:cs="Times New Roman"/>
          <w:color w:val="000000"/>
          <w:kern w:val="0"/>
          <w:shd w:val="clear" w:color="auto" w:fill="FFFFFF"/>
          <w14:ligatures w14:val="none"/>
        </w:rPr>
        <w:t>utilities</w:t>
      </w:r>
      <w:r w:rsidRPr="00BC778A" w:rsidR="02DA62CE">
        <w:rPr>
          <w:rFonts w:ascii="Palatino Linotype" w:hAnsi="Palatino Linotype" w:eastAsia="Times New Roman" w:cs="Times New Roman"/>
          <w:color w:val="000000"/>
          <w:kern w:val="0"/>
          <w:shd w:val="clear" w:color="auto" w:fill="FFFFFF"/>
          <w14:ligatures w14:val="none"/>
        </w:rPr>
        <w:t xml:space="preserve"> (PG&amp;E, SDG&amp;E, and Southern California Edison also referred to as SCE)</w:t>
      </w:r>
      <w:r w:rsidRPr="00BC778A">
        <w:rPr>
          <w:rFonts w:ascii="Palatino Linotype" w:hAnsi="Palatino Linotype" w:eastAsia="Times New Roman" w:cs="Times New Roman"/>
          <w:color w:val="000000"/>
          <w:kern w:val="0"/>
          <w:shd w:val="clear" w:color="auto" w:fill="FFFFFF"/>
          <w14:ligatures w14:val="none"/>
        </w:rPr>
        <w:t xml:space="preserve"> to create a PURPA compliant tariff based on </w:t>
      </w:r>
      <w:r w:rsidRPr="00BC778A">
        <w:rPr>
          <w:rFonts w:ascii="Palatino Linotype" w:hAnsi="Palatino Linotype" w:eastAsia="Times New Roman" w:cs="Times New Roman"/>
          <w:color w:val="000000"/>
          <w:kern w:val="0"/>
          <w14:ligatures w14:val="none"/>
        </w:rPr>
        <w:t xml:space="preserve">the </w:t>
      </w:r>
      <w:r w:rsidRPr="00BC778A">
        <w:rPr>
          <w:rFonts w:ascii="Palatino Linotype" w:hAnsi="Palatino Linotype" w:eastAsia="Times New Roman" w:cs="Times New Roman"/>
          <w:color w:val="000000"/>
          <w:kern w:val="0"/>
          <w:shd w:val="clear" w:color="auto" w:fill="FFFFFF"/>
          <w14:ligatures w14:val="none"/>
        </w:rPr>
        <w:t xml:space="preserve">standard offer contract for qualifying facilities authorized in D.20-05-006. </w:t>
      </w:r>
      <w:r w:rsidR="00A12AAC">
        <w:rPr>
          <w:rFonts w:ascii="Palatino Linotype" w:hAnsi="Palatino Linotype" w:eastAsia="Times New Roman" w:cs="Times New Roman"/>
          <w:color w:val="000000"/>
          <w:kern w:val="0"/>
          <w:shd w:val="clear" w:color="auto" w:fill="FFFFFF"/>
          <w14:ligatures w14:val="none"/>
        </w:rPr>
        <w:t xml:space="preserve">Conclusions of Law 104 and 105 of D.23-11-068 explain that </w:t>
      </w:r>
      <w:r w:rsidR="007E581D">
        <w:rPr>
          <w:rFonts w:ascii="Palatino Linotype" w:hAnsi="Palatino Linotype" w:eastAsia="Times New Roman" w:cs="Times New Roman"/>
          <w:color w:val="000000"/>
          <w:kern w:val="0"/>
          <w:shd w:val="clear" w:color="auto" w:fill="FFFFFF"/>
          <w14:ligatures w14:val="none"/>
        </w:rPr>
        <w:t>PURPA “</w:t>
      </w:r>
      <w:r w:rsidR="00A12AAC">
        <w:rPr>
          <w:rFonts w:ascii="Palatino Linotype" w:hAnsi="Palatino Linotype" w:eastAsia="Times New Roman" w:cs="Times New Roman"/>
          <w:color w:val="000000"/>
          <w:kern w:val="0"/>
          <w:shd w:val="clear" w:color="auto" w:fill="FFFFFF"/>
          <w14:ligatures w14:val="none"/>
        </w:rPr>
        <w:t xml:space="preserve">generally requires that a utility must take the energy of a qualifying facility” and that “the Commission should require Utilities to develop a PURPA compliant compensated export tariff using the pricing established in </w:t>
      </w:r>
      <w:r w:rsidR="0029737E">
        <w:rPr>
          <w:rFonts w:ascii="Palatino Linotype" w:hAnsi="Palatino Linotype" w:eastAsia="Times New Roman" w:cs="Times New Roman"/>
          <w:color w:val="000000"/>
          <w:kern w:val="0"/>
          <w:shd w:val="clear" w:color="auto" w:fill="FFFFFF"/>
          <w14:ligatures w14:val="none"/>
        </w:rPr>
        <w:br/>
      </w:r>
      <w:r w:rsidR="00A12AAC">
        <w:rPr>
          <w:rFonts w:ascii="Palatino Linotype" w:hAnsi="Palatino Linotype" w:eastAsia="Times New Roman" w:cs="Times New Roman"/>
          <w:color w:val="000000"/>
          <w:kern w:val="0"/>
          <w:shd w:val="clear" w:color="auto" w:fill="FFFFFF"/>
          <w14:ligatures w14:val="none"/>
        </w:rPr>
        <w:t>D.20-05-006 for a generation facility associate with a PUC 769.2 violation.”</w:t>
      </w:r>
    </w:p>
    <w:p w:rsidRPr="00BC778A" w:rsidR="00F70D74" w:rsidP="00A30641" w:rsidRDefault="00F70D74" w14:paraId="015D2056" w14:textId="77777777">
      <w:pPr>
        <w:spacing w:after="0" w:line="264" w:lineRule="auto"/>
        <w:rPr>
          <w:rFonts w:ascii="Palatino Linotype" w:hAnsi="Palatino Linotype" w:eastAsia="Times New Roman" w:cs="Times New Roman"/>
          <w:color w:val="000000"/>
          <w:kern w:val="0"/>
          <w:shd w:val="clear" w:color="auto" w:fill="FFFFFF"/>
          <w14:ligatures w14:val="none"/>
        </w:rPr>
      </w:pPr>
    </w:p>
    <w:p w:rsidRPr="00BC778A" w:rsidR="00A30641" w:rsidP="00A30641" w:rsidRDefault="00A30641" w14:paraId="450FB720" w14:textId="1E7DFBA4">
      <w:pPr>
        <w:spacing w:after="0" w:line="264" w:lineRule="auto"/>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lastRenderedPageBreak/>
        <w:t xml:space="preserve">In the event of a willful </w:t>
      </w:r>
      <w:r w:rsidR="000541B0">
        <w:rPr>
          <w:rFonts w:ascii="Palatino Linotype" w:hAnsi="Palatino Linotype" w:eastAsia="Times New Roman" w:cs="Times New Roman"/>
          <w:color w:val="000000"/>
          <w:kern w:val="0"/>
          <w:shd w:val="clear" w:color="auto" w:fill="FFFFFF"/>
          <w14:ligatures w14:val="none"/>
        </w:rPr>
        <w:t>violation</w:t>
      </w:r>
      <w:r w:rsidRPr="00BC778A" w:rsidR="000541B0">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 xml:space="preserve">determination, the impacted REGF would automatically transfer to a tariff </w:t>
      </w:r>
      <w:r w:rsidR="00F64F51">
        <w:rPr>
          <w:rFonts w:ascii="Palatino Linotype" w:hAnsi="Palatino Linotype" w:eastAsia="Times New Roman" w:cs="Times New Roman"/>
          <w:color w:val="000000"/>
          <w:kern w:val="0"/>
          <w:shd w:val="clear" w:color="auto" w:fill="FFFFFF"/>
          <w14:ligatures w14:val="none"/>
        </w:rPr>
        <w:t xml:space="preserve">using the </w:t>
      </w:r>
      <w:r w:rsidR="00677DFF">
        <w:rPr>
          <w:rFonts w:ascii="Palatino Linotype" w:hAnsi="Palatino Linotype" w:eastAsia="Times New Roman" w:cs="Times New Roman"/>
          <w:color w:val="000000"/>
          <w:kern w:val="0"/>
          <w:shd w:val="clear" w:color="auto" w:fill="FFFFFF"/>
          <w14:ligatures w14:val="none"/>
        </w:rPr>
        <w:t xml:space="preserve">pricing established in D.20-05-006 </w:t>
      </w:r>
      <w:r w:rsidRPr="00BC778A">
        <w:rPr>
          <w:rFonts w:ascii="Palatino Linotype" w:hAnsi="Palatino Linotype" w:eastAsia="Times New Roman" w:cs="Times New Roman"/>
          <w:color w:val="000000"/>
          <w:kern w:val="0"/>
          <w:shd w:val="clear" w:color="auto" w:fill="FFFFFF"/>
          <w14:ligatures w14:val="none"/>
        </w:rPr>
        <w:t xml:space="preserve">per </w:t>
      </w:r>
      <w:r w:rsidR="0029737E">
        <w:rPr>
          <w:rFonts w:ascii="Palatino Linotype" w:hAnsi="Palatino Linotype" w:eastAsia="Times New Roman" w:cs="Times New Roman"/>
          <w:color w:val="000000"/>
          <w:kern w:val="0"/>
          <w:shd w:val="clear" w:color="auto" w:fill="FFFFFF"/>
          <w14:ligatures w14:val="none"/>
        </w:rPr>
        <w:br/>
      </w:r>
      <w:r w:rsidRPr="00BC778A">
        <w:rPr>
          <w:rFonts w:ascii="Palatino Linotype" w:hAnsi="Palatino Linotype" w:eastAsia="Times New Roman" w:cs="Times New Roman"/>
          <w:color w:val="000000"/>
          <w:kern w:val="0"/>
          <w:shd w:val="clear" w:color="auto" w:fill="FFFFFF"/>
          <w14:ligatures w14:val="none"/>
        </w:rPr>
        <w:t>D.23-11-068 Ordering Paragraph (OP) 39</w:t>
      </w:r>
      <w:r w:rsidR="00C23CC2">
        <w:rPr>
          <w:rFonts w:ascii="Palatino Linotype" w:hAnsi="Palatino Linotype" w:eastAsia="Times New Roman" w:cs="Times New Roman"/>
          <w:color w:val="000000"/>
          <w:kern w:val="0"/>
          <w:shd w:val="clear" w:color="auto" w:fill="FFFFFF"/>
          <w14:ligatures w14:val="none"/>
        </w:rPr>
        <w:t>.</w:t>
      </w:r>
      <w:r w:rsidR="00A0264A">
        <w:rPr>
          <w:rFonts w:ascii="Palatino Linotype" w:hAnsi="Palatino Linotype" w:eastAsia="Times New Roman" w:cs="Times New Roman"/>
          <w:color w:val="000000"/>
          <w:kern w:val="0"/>
          <w:shd w:val="clear" w:color="auto" w:fill="FFFFFF"/>
          <w14:ligatures w14:val="none"/>
        </w:rPr>
        <w:t xml:space="preserve"> </w:t>
      </w:r>
    </w:p>
    <w:p w:rsidRPr="00BC778A" w:rsidR="00A30641" w:rsidP="00A30641" w:rsidRDefault="00A30641" w14:paraId="06F12F87" w14:textId="77777777">
      <w:pPr>
        <w:spacing w:after="0" w:line="264" w:lineRule="auto"/>
        <w:rPr>
          <w:rFonts w:ascii="Palatino Linotype" w:hAnsi="Palatino Linotype" w:eastAsia="Times New Roman" w:cs="Times New Roman"/>
          <w:color w:val="000000"/>
          <w:kern w:val="0"/>
          <w:shd w:val="clear" w:color="auto" w:fill="FFFFFF"/>
          <w14:ligatures w14:val="none"/>
        </w:rPr>
      </w:pPr>
    </w:p>
    <w:p w:rsidRPr="00BC778A" w:rsidR="00A30641" w:rsidP="00A30641" w:rsidRDefault="00A30641" w14:paraId="6DB90CE8" w14:textId="47292EED">
      <w:pPr>
        <w:spacing w:after="0" w:line="264" w:lineRule="auto"/>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The Decision had these requirements for </w:t>
      </w:r>
      <w:r w:rsidR="00191560">
        <w:rPr>
          <w:rFonts w:ascii="Palatino Linotype" w:hAnsi="Palatino Linotype" w:eastAsia="Times New Roman" w:cs="Times New Roman"/>
          <w:color w:val="000000"/>
          <w:kern w:val="0"/>
          <w:shd w:val="clear" w:color="auto" w:fill="FFFFFF"/>
          <w14:ligatures w14:val="none"/>
        </w:rPr>
        <w:t xml:space="preserve">the development of </w:t>
      </w:r>
      <w:r w:rsidRPr="00BC778A">
        <w:rPr>
          <w:rFonts w:ascii="Palatino Linotype" w:hAnsi="Palatino Linotype" w:eastAsia="Times New Roman" w:cs="Times New Roman"/>
          <w:color w:val="000000"/>
          <w:kern w:val="0"/>
          <w:shd w:val="clear" w:color="auto" w:fill="FFFFFF"/>
          <w14:ligatures w14:val="none"/>
        </w:rPr>
        <w:t>a PURPA compliant</w:t>
      </w:r>
      <w:r w:rsidR="00D32686">
        <w:rPr>
          <w:rFonts w:ascii="Palatino Linotype" w:hAnsi="Palatino Linotype" w:eastAsia="Times New Roman" w:cs="Times New Roman"/>
          <w:color w:val="000000"/>
          <w:kern w:val="0"/>
          <w:shd w:val="clear" w:color="auto" w:fill="FFFFFF"/>
          <w14:ligatures w14:val="none"/>
        </w:rPr>
        <w:t xml:space="preserve"> customer-generation export</w:t>
      </w:r>
      <w:r w:rsidRPr="00BC778A">
        <w:rPr>
          <w:rFonts w:ascii="Palatino Linotype" w:hAnsi="Palatino Linotype" w:eastAsia="Times New Roman" w:cs="Times New Roman"/>
          <w:color w:val="000000"/>
          <w:kern w:val="0"/>
          <w:shd w:val="clear" w:color="auto" w:fill="FFFFFF"/>
          <w14:ligatures w14:val="none"/>
        </w:rPr>
        <w:t xml:space="preserve"> tariff:</w:t>
      </w:r>
    </w:p>
    <w:p w:rsidRPr="00BC778A" w:rsidR="00467AB7" w:rsidP="00A30641" w:rsidRDefault="00467AB7" w14:paraId="77F23FF2" w14:textId="25EB01D0">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Tariff is only available to customers with prior </w:t>
      </w:r>
      <w:r w:rsidRPr="00BC778A" w:rsidR="00B836EC">
        <w:rPr>
          <w:rFonts w:ascii="Palatino Linotype" w:hAnsi="Palatino Linotype" w:eastAsia="Times New Roman" w:cs="Times New Roman"/>
          <w:color w:val="000000"/>
          <w:kern w:val="0"/>
          <w:shd w:val="clear" w:color="auto" w:fill="FFFFFF"/>
          <w14:ligatures w14:val="none"/>
        </w:rPr>
        <w:t>access to or a system eligible for the net energy metering or the net billing tariffs.</w:t>
      </w:r>
      <w:r w:rsidRPr="00BC778A" w:rsidR="00B836EC">
        <w:rPr>
          <w:rFonts w:ascii="Palatino Linotype" w:hAnsi="Palatino Linotype" w:eastAsia="Times New Roman" w:cs="Times New Roman"/>
          <w:color w:val="000000"/>
          <w:kern w:val="0"/>
          <w:shd w:val="clear" w:color="auto" w:fill="FFFFFF"/>
          <w:vertAlign w:val="superscript"/>
          <w14:ligatures w14:val="none"/>
        </w:rPr>
        <w:t xml:space="preserve"> </w:t>
      </w:r>
      <w:r w:rsidRPr="00BC778A" w:rsidR="00B836EC">
        <w:rPr>
          <w:rFonts w:ascii="Palatino Linotype" w:hAnsi="Palatino Linotype" w:eastAsia="Times New Roman" w:cs="Times New Roman"/>
          <w:color w:val="000000"/>
          <w:kern w:val="0"/>
          <w:shd w:val="clear" w:color="auto" w:fill="FFFFFF"/>
          <w:vertAlign w:val="superscript"/>
          <w14:ligatures w14:val="none"/>
        </w:rPr>
        <w:footnoteReference w:id="2"/>
      </w:r>
    </w:p>
    <w:p w:rsidRPr="00BC778A" w:rsidR="00A30641" w:rsidP="00A30641" w:rsidRDefault="00A30641" w14:paraId="6F310954" w14:textId="1619D44D">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Tariff will use the pricing established </w:t>
      </w:r>
      <w:proofErr w:type="gramStart"/>
      <w:r w:rsidRPr="00BC778A">
        <w:rPr>
          <w:rFonts w:ascii="Palatino Linotype" w:hAnsi="Palatino Linotype" w:eastAsia="Times New Roman" w:cs="Times New Roman"/>
          <w:color w:val="000000"/>
          <w:kern w:val="0"/>
          <w:shd w:val="clear" w:color="auto" w:fill="FFFFFF"/>
          <w14:ligatures w14:val="none"/>
        </w:rPr>
        <w:t>in</w:t>
      </w:r>
      <w:proofErr w:type="gramEnd"/>
      <w:r w:rsidRPr="00BC778A">
        <w:rPr>
          <w:rFonts w:ascii="Palatino Linotype" w:hAnsi="Palatino Linotype" w:eastAsia="Times New Roman" w:cs="Times New Roman"/>
          <w:color w:val="000000"/>
          <w:kern w:val="0"/>
          <w:shd w:val="clear" w:color="auto" w:fill="FFFFFF"/>
          <w14:ligatures w14:val="none"/>
        </w:rPr>
        <w:t xml:space="preserve"> D.20-05-006.</w:t>
      </w:r>
      <w:r w:rsidRPr="00BC778A">
        <w:rPr>
          <w:rFonts w:ascii="Palatino Linotype" w:hAnsi="Palatino Linotype" w:eastAsia="Times New Roman" w:cs="Times New Roman"/>
          <w:color w:val="000000"/>
          <w:kern w:val="0"/>
          <w:shd w:val="clear" w:color="auto" w:fill="FFFFFF"/>
          <w:vertAlign w:val="superscript"/>
          <w14:ligatures w14:val="none"/>
        </w:rPr>
        <w:footnoteReference w:id="3"/>
      </w:r>
    </w:p>
    <w:p w:rsidRPr="00BC778A" w:rsidR="00A30641" w:rsidP="00A30641" w:rsidRDefault="00A30641" w14:paraId="473FCED5"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will include alternatives to address customers with virtual arrangements.</w:t>
      </w:r>
      <w:r w:rsidRPr="00BC778A">
        <w:rPr>
          <w:rFonts w:ascii="Palatino Linotype" w:hAnsi="Palatino Linotype" w:eastAsia="Times New Roman" w:cs="Times New Roman"/>
          <w:color w:val="000000"/>
          <w:kern w:val="0"/>
          <w:shd w:val="clear" w:color="auto" w:fill="FFFFFF"/>
          <w:vertAlign w:val="superscript"/>
          <w14:ligatures w14:val="none"/>
        </w:rPr>
        <w:footnoteReference w:id="4"/>
      </w:r>
      <w:r w:rsidRPr="00BC778A">
        <w:rPr>
          <w:rFonts w:ascii="Palatino Linotype" w:hAnsi="Palatino Linotype" w:eastAsia="Times New Roman" w:cs="Times New Roman"/>
          <w:color w:val="000000"/>
          <w:kern w:val="0"/>
          <w:shd w:val="clear" w:color="auto" w:fill="FFFFFF"/>
          <w14:ligatures w14:val="none"/>
        </w:rPr>
        <w:t xml:space="preserve"> </w:t>
      </w:r>
    </w:p>
    <w:p w:rsidRPr="00BC778A" w:rsidR="00A30641" w:rsidP="00A30641" w:rsidRDefault="00A30641" w14:paraId="75EE89D5"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will address when one Generation Facility in an arrangement has a violation, and others do not.</w:t>
      </w:r>
      <w:r w:rsidRPr="00BC778A">
        <w:rPr>
          <w:rFonts w:ascii="Palatino Linotype" w:hAnsi="Palatino Linotype" w:eastAsia="Times New Roman" w:cs="Times New Roman"/>
          <w:color w:val="000000"/>
          <w:kern w:val="0"/>
          <w:shd w:val="clear" w:color="auto" w:fill="FFFFFF"/>
          <w:vertAlign w:val="superscript"/>
          <w14:ligatures w14:val="none"/>
        </w:rPr>
        <w:footnoteReference w:id="5"/>
      </w:r>
    </w:p>
    <w:p w:rsidRPr="00BC778A" w:rsidR="00A30641" w:rsidP="00A30641" w:rsidRDefault="00A30641" w14:paraId="5B2AA305"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language should have uniformity amongst Utilities to the extent possible.</w:t>
      </w:r>
      <w:r w:rsidRPr="00BC778A">
        <w:rPr>
          <w:rFonts w:ascii="Palatino Linotype" w:hAnsi="Palatino Linotype" w:eastAsia="Times New Roman" w:cs="Times New Roman"/>
          <w:color w:val="000000"/>
          <w:kern w:val="0"/>
          <w:shd w:val="clear" w:color="auto" w:fill="FFFFFF"/>
          <w:vertAlign w:val="superscript"/>
          <w14:ligatures w14:val="none"/>
        </w:rPr>
        <w:footnoteReference w:id="6"/>
      </w:r>
    </w:p>
    <w:p w:rsidRPr="00BC778A" w:rsidR="00A30641" w:rsidP="00A30641" w:rsidRDefault="00A30641" w14:paraId="0DBCCD5D" w14:textId="65D95543">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Tariff will be accessed automatically after 1) </w:t>
      </w:r>
      <w:r w:rsidR="00AB6127">
        <w:rPr>
          <w:rFonts w:ascii="Palatino Linotype" w:hAnsi="Palatino Linotype" w:eastAsia="Times New Roman" w:cs="Times New Roman"/>
          <w:color w:val="000000"/>
          <w:kern w:val="0"/>
          <w:shd w:val="clear" w:color="auto" w:fill="FFFFFF"/>
          <w14:ligatures w14:val="none"/>
        </w:rPr>
        <w:t>Department of Industrial Relation (</w:t>
      </w:r>
      <w:r w:rsidRPr="00BC778A">
        <w:rPr>
          <w:rFonts w:ascii="Palatino Linotype" w:hAnsi="Palatino Linotype" w:eastAsia="Times New Roman" w:cs="Times New Roman"/>
          <w:color w:val="000000"/>
          <w:kern w:val="0"/>
          <w:shd w:val="clear" w:color="auto" w:fill="FFFFFF"/>
          <w14:ligatures w14:val="none"/>
        </w:rPr>
        <w:t>DIR</w:t>
      </w:r>
      <w:r w:rsidR="00AB6127">
        <w:rPr>
          <w:rFonts w:ascii="Palatino Linotype" w:hAnsi="Palatino Linotype" w:eastAsia="Times New Roman" w:cs="Times New Roman"/>
          <w:color w:val="000000"/>
          <w:kern w:val="0"/>
          <w:shd w:val="clear" w:color="auto" w:fill="FFFFFF"/>
          <w14:ligatures w14:val="none"/>
        </w:rPr>
        <w:t>)</w:t>
      </w:r>
      <w:r w:rsidRPr="00BC778A">
        <w:rPr>
          <w:rFonts w:ascii="Palatino Linotype" w:hAnsi="Palatino Linotype" w:eastAsia="Times New Roman" w:cs="Times New Roman"/>
          <w:color w:val="000000"/>
          <w:kern w:val="0"/>
          <w:shd w:val="clear" w:color="auto" w:fill="FFFFFF"/>
          <w14:ligatures w14:val="none"/>
        </w:rPr>
        <w:t xml:space="preserve"> has confirmed the violation of the facility to the Utility and 2) Utility has met its obligation to notice the impacted customer(s).</w:t>
      </w:r>
      <w:r w:rsidRPr="00BC778A">
        <w:rPr>
          <w:rFonts w:ascii="Palatino Linotype" w:hAnsi="Palatino Linotype" w:eastAsia="Times New Roman" w:cs="Times New Roman"/>
          <w:color w:val="000000"/>
          <w:kern w:val="0"/>
          <w:shd w:val="clear" w:color="auto" w:fill="FFFFFF"/>
          <w:vertAlign w:val="superscript"/>
          <w14:ligatures w14:val="none"/>
        </w:rPr>
        <w:footnoteReference w:id="7"/>
      </w:r>
      <w:r w:rsidRPr="00BC778A">
        <w:rPr>
          <w:rFonts w:ascii="Palatino Linotype" w:hAnsi="Palatino Linotype" w:eastAsia="Times New Roman" w:cs="Times New Roman"/>
          <w:color w:val="000000"/>
          <w:kern w:val="0"/>
          <w:shd w:val="clear" w:color="auto" w:fill="FFFFFF"/>
          <w14:ligatures w14:val="none"/>
        </w:rPr>
        <w:t xml:space="preserve"> </w:t>
      </w:r>
    </w:p>
    <w:p w:rsidRPr="00BC778A" w:rsidR="00A30641" w:rsidP="00A30641" w:rsidRDefault="00A30641" w14:paraId="1F1F1465"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cannot carry-over benefits (like export compensation or energy offsets).</w:t>
      </w:r>
      <w:r w:rsidRPr="00BC778A">
        <w:rPr>
          <w:rFonts w:ascii="Palatino Linotype" w:hAnsi="Palatino Linotype" w:eastAsia="Times New Roman" w:cs="Times New Roman"/>
          <w:color w:val="000000"/>
          <w:kern w:val="0"/>
          <w:shd w:val="clear" w:color="auto" w:fill="FFFFFF"/>
          <w:vertAlign w:val="superscript"/>
          <w14:ligatures w14:val="none"/>
        </w:rPr>
        <w:footnoteReference w:id="8"/>
      </w:r>
    </w:p>
    <w:p w:rsidRPr="00BC778A" w:rsidR="000E0B9D" w:rsidP="000E0B9D" w:rsidRDefault="00A30641" w14:paraId="5CFD0213" w14:textId="16C3B3DB">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will not adjust the interconnection agreement nor necessitate new equipment or engineering review.</w:t>
      </w:r>
      <w:r w:rsidRPr="00BC778A">
        <w:rPr>
          <w:rFonts w:ascii="Palatino Linotype" w:hAnsi="Palatino Linotype" w:eastAsia="Times New Roman" w:cs="Times New Roman"/>
          <w:color w:val="000000"/>
          <w:kern w:val="0"/>
          <w:shd w:val="clear" w:color="auto" w:fill="FFFFFF"/>
          <w:vertAlign w:val="superscript"/>
          <w14:ligatures w14:val="none"/>
        </w:rPr>
        <w:footnoteReference w:id="9"/>
      </w:r>
    </w:p>
    <w:p w:rsidRPr="00BC778A" w:rsidR="004E4694" w:rsidP="004E4694" w:rsidRDefault="004E4694" w14:paraId="4CCBD221" w14:textId="77777777">
      <w:pPr>
        <w:spacing w:after="0" w:line="264" w:lineRule="auto"/>
        <w:contextualSpacing/>
        <w:rPr>
          <w:rFonts w:ascii="Palatino Linotype" w:hAnsi="Palatino Linotype" w:eastAsia="Times New Roman" w:cs="Times New Roman"/>
          <w:color w:val="000000"/>
          <w:kern w:val="0"/>
          <w:shd w:val="clear" w:color="auto" w:fill="FFFFFF"/>
          <w14:ligatures w14:val="none"/>
        </w:rPr>
      </w:pPr>
    </w:p>
    <w:p w:rsidR="00133DCE" w:rsidP="00706461" w:rsidRDefault="007F33B9" w14:paraId="1641D0E4" w14:textId="1B3A93CE">
      <w:p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D.23-11-068 </w:t>
      </w:r>
      <w:r w:rsidRPr="00BC778A" w:rsidR="00FC7C50">
        <w:rPr>
          <w:rFonts w:ascii="Palatino Linotype" w:hAnsi="Palatino Linotype" w:eastAsia="Times New Roman" w:cs="Times New Roman"/>
          <w:color w:val="000000"/>
          <w:kern w:val="0"/>
          <w:shd w:val="clear" w:color="auto" w:fill="FFFFFF"/>
          <w14:ligatures w14:val="none"/>
        </w:rPr>
        <w:t>did not</w:t>
      </w:r>
      <w:r w:rsidRPr="00BC778A">
        <w:rPr>
          <w:rFonts w:ascii="Palatino Linotype" w:hAnsi="Palatino Linotype" w:eastAsia="Times New Roman" w:cs="Times New Roman"/>
          <w:color w:val="000000"/>
          <w:kern w:val="0"/>
          <w:shd w:val="clear" w:color="auto" w:fill="FFFFFF"/>
          <w14:ligatures w14:val="none"/>
        </w:rPr>
        <w:t xml:space="preserve"> </w:t>
      </w:r>
      <w:r w:rsidRPr="00BC778A" w:rsidR="00FC7C50">
        <w:rPr>
          <w:rFonts w:ascii="Palatino Linotype" w:hAnsi="Palatino Linotype" w:eastAsia="Times New Roman" w:cs="Times New Roman"/>
          <w:color w:val="000000"/>
          <w:kern w:val="0"/>
          <w:shd w:val="clear" w:color="auto" w:fill="FFFFFF"/>
          <w14:ligatures w14:val="none"/>
        </w:rPr>
        <w:t xml:space="preserve">discuss </w:t>
      </w:r>
      <w:r w:rsidRPr="00BC778A">
        <w:rPr>
          <w:rFonts w:ascii="Palatino Linotype" w:hAnsi="Palatino Linotype" w:eastAsia="Times New Roman" w:cs="Times New Roman"/>
          <w:color w:val="000000"/>
          <w:kern w:val="0"/>
          <w:shd w:val="clear" w:color="auto" w:fill="FFFFFF"/>
          <w14:ligatures w14:val="none"/>
        </w:rPr>
        <w:t xml:space="preserve">or </w:t>
      </w:r>
      <w:r w:rsidRPr="00BC778A" w:rsidR="00FC7C50">
        <w:rPr>
          <w:rFonts w:ascii="Palatino Linotype" w:hAnsi="Palatino Linotype" w:eastAsia="Times New Roman" w:cs="Times New Roman"/>
          <w:color w:val="000000"/>
          <w:kern w:val="0"/>
          <w:shd w:val="clear" w:color="auto" w:fill="FFFFFF"/>
          <w14:ligatures w14:val="none"/>
        </w:rPr>
        <w:t>reach a</w:t>
      </w:r>
      <w:r w:rsidRPr="00BC778A">
        <w:rPr>
          <w:rFonts w:ascii="Palatino Linotype" w:hAnsi="Palatino Linotype" w:eastAsia="Times New Roman" w:cs="Times New Roman"/>
          <w:color w:val="000000"/>
          <w:kern w:val="0"/>
          <w:shd w:val="clear" w:color="auto" w:fill="FFFFFF"/>
          <w14:ligatures w14:val="none"/>
        </w:rPr>
        <w:t xml:space="preserve"> determination on a capacity size limit or cap for eligible or participating REGFs</w:t>
      </w:r>
      <w:r w:rsidRPr="00BC778A" w:rsidR="00BC578B">
        <w:rPr>
          <w:rFonts w:ascii="Palatino Linotype" w:hAnsi="Palatino Linotype" w:eastAsia="Times New Roman" w:cs="Times New Roman"/>
          <w:color w:val="000000"/>
          <w:kern w:val="0"/>
          <w:shd w:val="clear" w:color="auto" w:fill="FFFFFF"/>
          <w14:ligatures w14:val="none"/>
        </w:rPr>
        <w:t xml:space="preserve"> </w:t>
      </w:r>
      <w:r w:rsidRPr="00BC778A" w:rsidR="001036AD">
        <w:rPr>
          <w:rFonts w:ascii="Palatino Linotype" w:hAnsi="Palatino Linotype" w:eastAsia="Times New Roman" w:cs="Times New Roman"/>
          <w:color w:val="000000"/>
          <w:kern w:val="0"/>
          <w:shd w:val="clear" w:color="auto" w:fill="FFFFFF"/>
          <w14:ligatures w14:val="none"/>
        </w:rPr>
        <w:t>allowed</w:t>
      </w:r>
      <w:r w:rsidRPr="00BC778A" w:rsidR="00BC578B">
        <w:rPr>
          <w:rFonts w:ascii="Palatino Linotype" w:hAnsi="Palatino Linotype" w:eastAsia="Times New Roman" w:cs="Times New Roman"/>
          <w:color w:val="000000"/>
          <w:kern w:val="0"/>
          <w:shd w:val="clear" w:color="auto" w:fill="FFFFFF"/>
          <w14:ligatures w14:val="none"/>
        </w:rPr>
        <w:t xml:space="preserve"> onto this new tariff</w:t>
      </w:r>
      <w:r w:rsidRPr="00BC778A">
        <w:rPr>
          <w:rFonts w:ascii="Palatino Linotype" w:hAnsi="Palatino Linotype" w:eastAsia="Times New Roman" w:cs="Times New Roman"/>
          <w:color w:val="000000"/>
          <w:kern w:val="0"/>
          <w:shd w:val="clear" w:color="auto" w:fill="FFFFFF"/>
          <w14:ligatures w14:val="none"/>
        </w:rPr>
        <w:t xml:space="preserve">. Historically, </w:t>
      </w:r>
      <w:r w:rsidRPr="00BC778A" w:rsidDel="007F33B9" w:rsidR="00BC27D2">
        <w:rPr>
          <w:rFonts w:ascii="Palatino Linotype" w:hAnsi="Palatino Linotype" w:eastAsia="Times New Roman" w:cs="Times New Roman"/>
          <w:color w:val="000000"/>
          <w:kern w:val="0"/>
          <w:shd w:val="clear" w:color="auto" w:fill="FFFFFF"/>
          <w14:ligatures w14:val="none"/>
        </w:rPr>
        <w:t xml:space="preserve">the </w:t>
      </w:r>
      <w:r w:rsidR="006C7E06">
        <w:rPr>
          <w:rFonts w:ascii="Palatino Linotype" w:hAnsi="Palatino Linotype" w:eastAsia="Times New Roman" w:cs="Times New Roman"/>
          <w:color w:val="000000"/>
          <w:kern w:val="0"/>
          <w:shd w:val="clear" w:color="auto" w:fill="FFFFFF"/>
          <w14:ligatures w14:val="none"/>
        </w:rPr>
        <w:t>NEM</w:t>
      </w:r>
      <w:r w:rsidRPr="00BC778A" w:rsidDel="007F33B9" w:rsidR="00BC27D2">
        <w:rPr>
          <w:rFonts w:ascii="Palatino Linotype" w:hAnsi="Palatino Linotype" w:eastAsia="Times New Roman" w:cs="Times New Roman"/>
          <w:color w:val="000000"/>
          <w:kern w:val="0"/>
          <w:shd w:val="clear" w:color="auto" w:fill="FFFFFF"/>
          <w14:ligatures w14:val="none"/>
        </w:rPr>
        <w:t xml:space="preserve"> </w:t>
      </w:r>
      <w:r w:rsidRPr="00BC778A" w:rsidR="00B474EF">
        <w:rPr>
          <w:rFonts w:ascii="Palatino Linotype" w:hAnsi="Palatino Linotype" w:eastAsia="Times New Roman" w:cs="Times New Roman"/>
          <w:color w:val="000000"/>
          <w:kern w:val="0"/>
          <w:shd w:val="clear" w:color="auto" w:fill="FFFFFF"/>
          <w14:ligatures w14:val="none"/>
        </w:rPr>
        <w:t>tariffs had a 1</w:t>
      </w:r>
      <w:r w:rsidRPr="00BC778A" w:rsidR="00072239">
        <w:rPr>
          <w:rFonts w:ascii="Palatino Linotype" w:hAnsi="Palatino Linotype" w:eastAsia="Times New Roman" w:cs="Times New Roman"/>
          <w:color w:val="000000"/>
          <w:kern w:val="0"/>
          <w:shd w:val="clear" w:color="auto" w:fill="FFFFFF"/>
          <w14:ligatures w14:val="none"/>
        </w:rPr>
        <w:t xml:space="preserve"> </w:t>
      </w:r>
      <w:r w:rsidRPr="00BC778A" w:rsidR="00B474EF">
        <w:rPr>
          <w:rFonts w:ascii="Palatino Linotype" w:hAnsi="Palatino Linotype" w:eastAsia="Times New Roman" w:cs="Times New Roman"/>
          <w:color w:val="000000"/>
          <w:kern w:val="0"/>
          <w:shd w:val="clear" w:color="auto" w:fill="FFFFFF"/>
          <w14:ligatures w14:val="none"/>
        </w:rPr>
        <w:t xml:space="preserve">MW capacity limit until </w:t>
      </w:r>
      <w:r w:rsidRPr="00BC778A" w:rsidR="00161E91">
        <w:rPr>
          <w:rFonts w:ascii="Palatino Linotype" w:hAnsi="Palatino Linotype" w:eastAsia="Times New Roman" w:cs="Times New Roman"/>
          <w:color w:val="000000"/>
          <w:kern w:val="0"/>
          <w:shd w:val="clear" w:color="auto" w:fill="FFFFFF"/>
          <w14:ligatures w14:val="none"/>
        </w:rPr>
        <w:t>PUC 2827.1 was amended</w:t>
      </w:r>
      <w:r w:rsidRPr="00BC778A" w:rsidR="003E036A">
        <w:rPr>
          <w:rFonts w:ascii="Palatino Linotype" w:hAnsi="Palatino Linotype" w:eastAsia="Times New Roman" w:cs="Times New Roman"/>
          <w:color w:val="000000"/>
          <w:kern w:val="0"/>
          <w:shd w:val="clear" w:color="auto" w:fill="FFFFFF"/>
          <w14:ligatures w14:val="none"/>
        </w:rPr>
        <w:t xml:space="preserve"> by AB 327 (</w:t>
      </w:r>
      <w:r w:rsidRPr="00BC778A" w:rsidR="00334ABF">
        <w:rPr>
          <w:rFonts w:ascii="Palatino Linotype" w:hAnsi="Palatino Linotype" w:eastAsia="Times New Roman" w:cs="Times New Roman"/>
          <w:color w:val="000000"/>
          <w:kern w:val="0"/>
          <w:shd w:val="clear" w:color="auto" w:fill="FFFFFF"/>
          <w14:ligatures w14:val="none"/>
        </w:rPr>
        <w:t>Perea, 2013)</w:t>
      </w:r>
      <w:r w:rsidRPr="00BC778A" w:rsidR="00161E91">
        <w:rPr>
          <w:rFonts w:ascii="Palatino Linotype" w:hAnsi="Palatino Linotype" w:eastAsia="Times New Roman" w:cs="Times New Roman"/>
          <w:color w:val="000000"/>
          <w:kern w:val="0"/>
          <w:shd w:val="clear" w:color="auto" w:fill="FFFFFF"/>
          <w14:ligatures w14:val="none"/>
        </w:rPr>
        <w:t xml:space="preserve"> to add PUC 2827.1(b)(5) stating </w:t>
      </w:r>
      <w:r w:rsidRPr="00BC778A" w:rsidR="00072239">
        <w:rPr>
          <w:rFonts w:ascii="Palatino Linotype" w:hAnsi="Palatino Linotype" w:eastAsia="Times New Roman" w:cs="Times New Roman"/>
          <w:color w:val="000000"/>
          <w:kern w:val="0"/>
          <w:shd w:val="clear" w:color="auto" w:fill="FFFFFF"/>
          <w14:ligatures w14:val="none"/>
        </w:rPr>
        <w:t>“</w:t>
      </w:r>
      <w:r w:rsidRPr="00BC778A" w:rsidR="00072239">
        <w:rPr>
          <w:rFonts w:ascii="Palatino Linotype" w:hAnsi="Palatino Linotype" w:eastAsia="Times New Roman" w:cs="Times New Roman"/>
          <w:i/>
          <w:iCs/>
          <w:color w:val="000000"/>
          <w:kern w:val="0"/>
          <w:shd w:val="clear" w:color="auto" w:fill="FFFFFF"/>
          <w14:ligatures w14:val="none"/>
        </w:rPr>
        <w:t>Allow projects greater than one megawatt that do not have significant impact on the distribution grid to be built to the size of the onsite load</w:t>
      </w:r>
      <w:r w:rsidR="007579CB">
        <w:rPr>
          <w:rFonts w:ascii="Palatino Linotype" w:hAnsi="Palatino Linotype" w:eastAsia="Times New Roman" w:cs="Times New Roman"/>
          <w:i/>
          <w:iCs/>
          <w:color w:val="000000"/>
          <w:kern w:val="0"/>
          <w:shd w:val="clear" w:color="auto" w:fill="FFFFFF"/>
          <w14:ligatures w14:val="none"/>
        </w:rPr>
        <w:t xml:space="preserve"> </w:t>
      </w:r>
      <w:r w:rsidRPr="007579CB" w:rsidR="007579CB">
        <w:rPr>
          <w:rFonts w:ascii="Palatino Linotype" w:hAnsi="Palatino Linotype" w:eastAsia="Times New Roman" w:cs="Times New Roman"/>
          <w:i/>
          <w:iCs/>
          <w:color w:val="000000"/>
          <w:kern w:val="0"/>
          <w:shd w:val="clear" w:color="auto" w:fill="FFFFFF"/>
          <w14:ligatures w14:val="none"/>
        </w:rPr>
        <w:t xml:space="preserve"> if the projects with a capacity of more than one megawatt are subject to reasonable interconnection charges established pursuant to the commission’s Electric Rule 21 and applicable state and </w:t>
      </w:r>
      <w:r w:rsidRPr="007579CB" w:rsidR="007579CB">
        <w:rPr>
          <w:rFonts w:ascii="Palatino Linotype" w:hAnsi="Palatino Linotype" w:eastAsia="Times New Roman" w:cs="Times New Roman"/>
          <w:i/>
          <w:iCs/>
          <w:color w:val="000000"/>
          <w:kern w:val="0"/>
          <w:shd w:val="clear" w:color="auto" w:fill="FFFFFF"/>
          <w14:ligatures w14:val="none"/>
        </w:rPr>
        <w:lastRenderedPageBreak/>
        <w:t>federal requirements</w:t>
      </w:r>
      <w:r w:rsidRPr="00BC778A" w:rsidR="00072239">
        <w:rPr>
          <w:rFonts w:ascii="Palatino Linotype" w:hAnsi="Palatino Linotype" w:eastAsia="Times New Roman" w:cs="Times New Roman"/>
          <w:i/>
          <w:iCs/>
          <w:color w:val="000000"/>
          <w:kern w:val="0"/>
          <w:shd w:val="clear" w:color="auto" w:fill="FFFFFF"/>
          <w14:ligatures w14:val="none"/>
        </w:rPr>
        <w:t>.”</w:t>
      </w:r>
      <w:r w:rsidRPr="00BC778A" w:rsidR="00072239">
        <w:rPr>
          <w:rFonts w:ascii="Palatino Linotype" w:hAnsi="Palatino Linotype" w:eastAsia="Times New Roman" w:cs="Times New Roman"/>
          <w:color w:val="000000"/>
          <w:kern w:val="0"/>
          <w:shd w:val="clear" w:color="auto" w:fill="FFFFFF"/>
          <w14:ligatures w14:val="none"/>
        </w:rPr>
        <w:t xml:space="preserve"> This</w:t>
      </w:r>
      <w:r w:rsidRPr="00BC778A" w:rsidDel="007F33B9" w:rsidR="00072239">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 xml:space="preserve">statute was </w:t>
      </w:r>
      <w:r w:rsidRPr="00BC778A" w:rsidR="00072239">
        <w:rPr>
          <w:rFonts w:ascii="Palatino Linotype" w:hAnsi="Palatino Linotype" w:eastAsia="Times New Roman" w:cs="Times New Roman"/>
          <w:color w:val="000000"/>
          <w:kern w:val="0"/>
          <w:shd w:val="clear" w:color="auto" w:fill="FFFFFF"/>
          <w14:ligatures w14:val="none"/>
        </w:rPr>
        <w:t xml:space="preserve">implemented </w:t>
      </w:r>
      <w:r w:rsidRPr="00BC778A" w:rsidR="006715E0">
        <w:rPr>
          <w:rFonts w:ascii="Palatino Linotype" w:hAnsi="Palatino Linotype" w:eastAsia="Times New Roman" w:cs="Times New Roman"/>
          <w:color w:val="000000"/>
          <w:kern w:val="0"/>
          <w:shd w:val="clear" w:color="auto" w:fill="FFFFFF"/>
          <w14:ligatures w14:val="none"/>
        </w:rPr>
        <w:t>by</w:t>
      </w:r>
      <w:r w:rsidRPr="00BC778A" w:rsidR="00072239">
        <w:rPr>
          <w:rFonts w:ascii="Palatino Linotype" w:hAnsi="Palatino Linotype" w:eastAsia="Times New Roman" w:cs="Times New Roman"/>
          <w:color w:val="000000"/>
          <w:kern w:val="0"/>
          <w:shd w:val="clear" w:color="auto" w:fill="FFFFFF"/>
          <w14:ligatures w14:val="none"/>
        </w:rPr>
        <w:t xml:space="preserve"> </w:t>
      </w:r>
      <w:r w:rsidRPr="00BC778A" w:rsidR="000F1805">
        <w:rPr>
          <w:rFonts w:ascii="Palatino Linotype" w:hAnsi="Palatino Linotype" w:eastAsia="Times New Roman" w:cs="Times New Roman"/>
          <w:color w:val="000000"/>
          <w:kern w:val="0"/>
          <w:shd w:val="clear" w:color="auto" w:fill="FFFFFF"/>
          <w14:ligatures w14:val="none"/>
        </w:rPr>
        <w:t>D.</w:t>
      </w:r>
      <w:r w:rsidRPr="00BC778A" w:rsidR="00AB43A9">
        <w:rPr>
          <w:rFonts w:ascii="Palatino Linotype" w:hAnsi="Palatino Linotype" w:eastAsia="Times New Roman" w:cs="Times New Roman"/>
          <w:color w:val="000000"/>
          <w:kern w:val="0"/>
          <w:shd w:val="clear" w:color="auto" w:fill="FFFFFF"/>
          <w14:ligatures w14:val="none"/>
        </w:rPr>
        <w:t>16-01-044.</w:t>
      </w:r>
      <w:r w:rsidRPr="00BC778A" w:rsidR="004670B6">
        <w:rPr>
          <w:rStyle w:val="FootnoteReference"/>
          <w:rFonts w:ascii="Palatino Linotype" w:hAnsi="Palatino Linotype" w:eastAsia="Times New Roman" w:cs="Times New Roman"/>
          <w:color w:val="000000"/>
          <w:kern w:val="0"/>
          <w:shd w:val="clear" w:color="auto" w:fill="FFFFFF"/>
          <w14:ligatures w14:val="none"/>
        </w:rPr>
        <w:footnoteReference w:id="10"/>
      </w:r>
      <w:r w:rsidRPr="00BC778A" w:rsidR="007115B3">
        <w:rPr>
          <w:rFonts w:ascii="Palatino Linotype" w:hAnsi="Palatino Linotype" w:eastAsia="Times New Roman" w:cs="Times New Roman"/>
          <w:color w:val="000000"/>
          <w:kern w:val="0"/>
          <w:shd w:val="clear" w:color="auto" w:fill="FFFFFF"/>
          <w14:ligatures w14:val="none"/>
        </w:rPr>
        <w:t xml:space="preserve"> When adopting the net billing tariffs</w:t>
      </w:r>
      <w:r w:rsidRPr="00BC778A">
        <w:rPr>
          <w:rFonts w:ascii="Palatino Linotype" w:hAnsi="Palatino Linotype" w:eastAsia="Times New Roman" w:cs="Times New Roman"/>
          <w:color w:val="000000"/>
          <w:kern w:val="0"/>
          <w:shd w:val="clear" w:color="auto" w:fill="FFFFFF"/>
          <w14:ligatures w14:val="none"/>
        </w:rPr>
        <w:t xml:space="preserve"> in</w:t>
      </w:r>
      <w:r w:rsidRPr="00BC778A" w:rsidR="007115B3">
        <w:rPr>
          <w:rFonts w:ascii="Palatino Linotype" w:hAnsi="Palatino Linotype" w:eastAsia="Times New Roman" w:cs="Times New Roman"/>
          <w:color w:val="000000"/>
          <w:kern w:val="0"/>
          <w:shd w:val="clear" w:color="auto" w:fill="FFFFFF"/>
          <w14:ligatures w14:val="none"/>
        </w:rPr>
        <w:t xml:space="preserve"> D.22-12-056 and D.23-11-068</w:t>
      </w:r>
      <w:r w:rsidRPr="00BC778A" w:rsidR="000F1805">
        <w:rPr>
          <w:rFonts w:ascii="Palatino Linotype" w:hAnsi="Palatino Linotype" w:eastAsia="Times New Roman" w:cs="Times New Roman"/>
          <w:color w:val="000000"/>
          <w:kern w:val="0"/>
          <w:shd w:val="clear" w:color="auto" w:fill="FFFFFF"/>
          <w14:ligatures w14:val="none"/>
        </w:rPr>
        <w:t>,</w:t>
      </w:r>
      <w:r w:rsidRPr="00BC778A" w:rsidR="007115B3">
        <w:rPr>
          <w:rFonts w:ascii="Palatino Linotype" w:hAnsi="Palatino Linotype" w:eastAsia="Times New Roman" w:cs="Times New Roman"/>
          <w:color w:val="000000"/>
          <w:kern w:val="0"/>
          <w:shd w:val="clear" w:color="auto" w:fill="FFFFFF"/>
          <w14:ligatures w14:val="none"/>
        </w:rPr>
        <w:t xml:space="preserve"> </w:t>
      </w:r>
      <w:r w:rsidRPr="00BC778A" w:rsidR="000F1805">
        <w:rPr>
          <w:rFonts w:ascii="Palatino Linotype" w:hAnsi="Palatino Linotype" w:eastAsia="Times New Roman" w:cs="Times New Roman"/>
          <w:color w:val="000000"/>
          <w:kern w:val="0"/>
          <w:shd w:val="clear" w:color="auto" w:fill="FFFFFF"/>
          <w14:ligatures w14:val="none"/>
        </w:rPr>
        <w:t xml:space="preserve">the Commission did not address </w:t>
      </w:r>
      <w:r w:rsidRPr="00BC778A" w:rsidR="00985710">
        <w:rPr>
          <w:rFonts w:ascii="Palatino Linotype" w:hAnsi="Palatino Linotype" w:eastAsia="Times New Roman" w:cs="Times New Roman"/>
          <w:color w:val="000000"/>
          <w:kern w:val="0"/>
          <w:shd w:val="clear" w:color="auto" w:fill="FFFFFF"/>
          <w14:ligatures w14:val="none"/>
        </w:rPr>
        <w:t>energy</w:t>
      </w:r>
      <w:r w:rsidRPr="00BC778A" w:rsidR="007115B3">
        <w:rPr>
          <w:rFonts w:ascii="Palatino Linotype" w:hAnsi="Palatino Linotype" w:eastAsia="Times New Roman" w:cs="Times New Roman"/>
          <w:color w:val="000000"/>
          <w:kern w:val="0"/>
          <w:shd w:val="clear" w:color="auto" w:fill="FFFFFF"/>
          <w14:ligatures w14:val="none"/>
        </w:rPr>
        <w:t xml:space="preserve"> </w:t>
      </w:r>
      <w:r w:rsidRPr="00BC778A" w:rsidR="00985710">
        <w:rPr>
          <w:rFonts w:ascii="Palatino Linotype" w:hAnsi="Palatino Linotype" w:eastAsia="Times New Roman" w:cs="Times New Roman"/>
          <w:color w:val="000000"/>
          <w:kern w:val="0"/>
          <w:shd w:val="clear" w:color="auto" w:fill="FFFFFF"/>
          <w14:ligatures w14:val="none"/>
        </w:rPr>
        <w:t xml:space="preserve">generation </w:t>
      </w:r>
      <w:r w:rsidRPr="00BC778A" w:rsidR="007115B3">
        <w:rPr>
          <w:rFonts w:ascii="Palatino Linotype" w:hAnsi="Palatino Linotype" w:eastAsia="Times New Roman" w:cs="Times New Roman"/>
          <w:color w:val="000000"/>
          <w:kern w:val="0"/>
          <w:shd w:val="clear" w:color="auto" w:fill="FFFFFF"/>
          <w14:ligatures w14:val="none"/>
        </w:rPr>
        <w:t>capacity limits</w:t>
      </w:r>
      <w:r w:rsidRPr="00BC778A" w:rsidR="00985710">
        <w:rPr>
          <w:rFonts w:ascii="Palatino Linotype" w:hAnsi="Palatino Linotype" w:eastAsia="Times New Roman" w:cs="Times New Roman"/>
          <w:color w:val="000000"/>
          <w:kern w:val="0"/>
          <w:shd w:val="clear" w:color="auto" w:fill="FFFFFF"/>
          <w14:ligatures w14:val="none"/>
        </w:rPr>
        <w:t xml:space="preserve"> (in MW)</w:t>
      </w:r>
      <w:r w:rsidRPr="00BC778A">
        <w:rPr>
          <w:rFonts w:ascii="Palatino Linotype" w:hAnsi="Palatino Linotype" w:eastAsia="Times New Roman" w:cs="Times New Roman"/>
          <w:color w:val="000000"/>
          <w:kern w:val="0"/>
          <w:shd w:val="clear" w:color="auto" w:fill="FFFFFF"/>
          <w14:ligatures w14:val="none"/>
        </w:rPr>
        <w:t>.</w:t>
      </w:r>
    </w:p>
    <w:p w:rsidR="00133DCE" w:rsidP="00706461" w:rsidRDefault="00133DCE" w14:paraId="011149A0" w14:textId="77777777">
      <w:pPr>
        <w:spacing w:after="0" w:line="264" w:lineRule="auto"/>
        <w:contextualSpacing/>
        <w:rPr>
          <w:rFonts w:ascii="Palatino Linotype" w:hAnsi="Palatino Linotype" w:eastAsia="Times New Roman" w:cs="Times New Roman"/>
          <w:color w:val="000000"/>
          <w:kern w:val="0"/>
          <w:shd w:val="clear" w:color="auto" w:fill="FFFFFF"/>
          <w14:ligatures w14:val="none"/>
        </w:rPr>
      </w:pPr>
    </w:p>
    <w:p w:rsidR="00911873" w:rsidP="00706461" w:rsidRDefault="00133DCE" w14:paraId="618EF7C6" w14:textId="60128725">
      <w:pPr>
        <w:spacing w:after="0" w:line="264" w:lineRule="auto"/>
        <w:contextualSpacing/>
        <w:rPr>
          <w:rFonts w:ascii="Palatino Linotype" w:hAnsi="Palatino Linotype" w:eastAsia="Times New Roman" w:cs="Times New Roman"/>
          <w:color w:val="000000"/>
          <w:kern w:val="0"/>
          <w:shd w:val="clear" w:color="auto" w:fill="FFFFFF"/>
          <w14:ligatures w14:val="none"/>
        </w:rPr>
      </w:pPr>
      <w:r>
        <w:rPr>
          <w:rFonts w:ascii="Palatino Linotype" w:hAnsi="Palatino Linotype" w:eastAsia="Times New Roman" w:cs="Times New Roman"/>
          <w:color w:val="000000"/>
          <w:kern w:val="0"/>
          <w:shd w:val="clear" w:color="auto" w:fill="FFFFFF"/>
          <w14:ligatures w14:val="none"/>
        </w:rPr>
        <w:t xml:space="preserve">To be compliant with PURPA and the implementation of that federal law by the Federal Energy Regulatory Commission in </w:t>
      </w:r>
      <w:r>
        <w:rPr>
          <w:rFonts w:ascii="Palatino Linotype" w:hAnsi="Palatino Linotype" w:eastAsia="Times New Roman" w:cs="Times New Roman"/>
          <w:i/>
          <w:iCs/>
          <w:color w:val="000000"/>
          <w:kern w:val="0"/>
          <w:shd w:val="clear" w:color="auto" w:fill="FFFFFF"/>
          <w14:ligatures w14:val="none"/>
        </w:rPr>
        <w:t>Order Granting Application to Terminate Purchase Obligation</w:t>
      </w:r>
      <w:r>
        <w:rPr>
          <w:rFonts w:ascii="Palatino Linotype" w:hAnsi="Palatino Linotype" w:eastAsia="Times New Roman" w:cs="Times New Roman"/>
          <w:color w:val="000000"/>
          <w:kern w:val="0"/>
          <w:shd w:val="clear" w:color="auto" w:fill="FFFFFF"/>
          <w14:ligatures w14:val="none"/>
        </w:rPr>
        <w:t xml:space="preserve">, 135 F.E.R.C. </w:t>
      </w:r>
      <w:r w:rsidRPr="00FB4F39">
        <w:rPr>
          <w:rFonts w:ascii="Palatino Linotype" w:hAnsi="Palatino Linotype" w:eastAsia="Times New Roman" w:cs="Times New Roman"/>
          <w:color w:val="000000"/>
          <w:kern w:val="0"/>
          <w:shd w:val="clear" w:color="auto" w:fill="FFFFFF"/>
          <w14:ligatures w14:val="none"/>
        </w:rPr>
        <w:t>¶ 61,234, paragraph 2 (2011)</w:t>
      </w:r>
      <w:r>
        <w:rPr>
          <w:rFonts w:ascii="Palatino Linotype" w:hAnsi="Palatino Linotype" w:eastAsia="Times New Roman" w:cs="Times New Roman"/>
          <w:color w:val="000000"/>
          <w:kern w:val="0"/>
          <w:shd w:val="clear" w:color="auto" w:fill="FFFFFF"/>
          <w14:ligatures w14:val="none"/>
        </w:rPr>
        <w:t>, the power production capacity of a qualifying facility compensated under a must take obligation cannot exceed 20</w:t>
      </w:r>
      <w:r w:rsidR="000165F9">
        <w:rPr>
          <w:rFonts w:ascii="Palatino Linotype" w:hAnsi="Palatino Linotype" w:eastAsia="Times New Roman" w:cs="Times New Roman"/>
          <w:color w:val="000000"/>
          <w:kern w:val="0"/>
          <w:shd w:val="clear" w:color="auto" w:fill="FFFFFF"/>
          <w14:ligatures w14:val="none"/>
        </w:rPr>
        <w:t xml:space="preserve"> </w:t>
      </w:r>
      <w:r>
        <w:rPr>
          <w:rFonts w:ascii="Palatino Linotype" w:hAnsi="Palatino Linotype" w:eastAsia="Times New Roman" w:cs="Times New Roman"/>
          <w:color w:val="000000"/>
          <w:kern w:val="0"/>
          <w:shd w:val="clear" w:color="auto" w:fill="FFFFFF"/>
          <w14:ligatures w14:val="none"/>
        </w:rPr>
        <w:t>MW in California</w:t>
      </w:r>
      <w:r w:rsidR="00A12AAC">
        <w:rPr>
          <w:rFonts w:ascii="Palatino Linotype" w:hAnsi="Palatino Linotype" w:eastAsia="Times New Roman" w:cs="Times New Roman"/>
          <w:color w:val="000000"/>
          <w:kern w:val="0"/>
          <w:shd w:val="clear" w:color="auto" w:fill="FFFFFF"/>
          <w14:ligatures w14:val="none"/>
        </w:rPr>
        <w:t xml:space="preserve">.  </w:t>
      </w:r>
      <w:r w:rsidRPr="00BC778A" w:rsidR="735EB67E">
        <w:rPr>
          <w:rFonts w:ascii="Palatino Linotype" w:hAnsi="Palatino Linotype" w:eastAsia="Times New Roman" w:cs="Times New Roman"/>
          <w:color w:val="000000"/>
          <w:kern w:val="0"/>
          <w:shd w:val="clear" w:color="auto" w:fill="FFFFFF"/>
          <w14:ligatures w14:val="none"/>
        </w:rPr>
        <w:t xml:space="preserve">When discussing the successor to the NEM Fuel Cell tariff the </w:t>
      </w:r>
      <w:r w:rsidRPr="00BC778A" w:rsidR="00BE4CF4">
        <w:rPr>
          <w:rFonts w:ascii="Palatino Linotype" w:hAnsi="Palatino Linotype" w:eastAsia="Times New Roman" w:cs="Times New Roman"/>
          <w:color w:val="000000"/>
          <w:kern w:val="0"/>
          <w:shd w:val="clear" w:color="auto" w:fill="FFFFFF"/>
          <w14:ligatures w14:val="none"/>
        </w:rPr>
        <w:t xml:space="preserve">Commission did recognize in D.23-11-068 that the D.20-05-006 standard offer contract was designed for </w:t>
      </w:r>
      <w:r w:rsidRPr="00BC778A" w:rsidR="00D7370E">
        <w:rPr>
          <w:rFonts w:ascii="Palatino Linotype" w:hAnsi="Palatino Linotype" w:eastAsia="Times New Roman" w:cs="Times New Roman"/>
          <w:color w:val="000000"/>
          <w:kern w:val="0"/>
          <w:shd w:val="clear" w:color="auto" w:fill="FFFFFF"/>
          <w14:ligatures w14:val="none"/>
        </w:rPr>
        <w:t xml:space="preserve">small </w:t>
      </w:r>
      <w:r w:rsidRPr="00BC778A" w:rsidR="00BE4CF4">
        <w:rPr>
          <w:rFonts w:ascii="Palatino Linotype" w:hAnsi="Palatino Linotype" w:eastAsia="Times New Roman" w:cs="Times New Roman"/>
          <w:color w:val="000000"/>
          <w:kern w:val="0"/>
          <w:shd w:val="clear" w:color="auto" w:fill="FFFFFF"/>
          <w14:ligatures w14:val="none"/>
        </w:rPr>
        <w:t>generating facilities with a capacity of 20</w:t>
      </w:r>
      <w:r w:rsidRPr="00BC778A" w:rsidR="009E2CE7">
        <w:rPr>
          <w:rFonts w:ascii="Palatino Linotype" w:hAnsi="Palatino Linotype" w:eastAsia="Times New Roman" w:cs="Times New Roman"/>
          <w:color w:val="000000"/>
          <w:kern w:val="0"/>
          <w:shd w:val="clear" w:color="auto" w:fill="FFFFFF"/>
          <w14:ligatures w14:val="none"/>
        </w:rPr>
        <w:t xml:space="preserve"> </w:t>
      </w:r>
      <w:r w:rsidRPr="00BC778A" w:rsidR="00BE4CF4">
        <w:rPr>
          <w:rFonts w:ascii="Palatino Linotype" w:hAnsi="Palatino Linotype" w:eastAsia="Times New Roman" w:cs="Times New Roman"/>
          <w:color w:val="000000"/>
          <w:kern w:val="0"/>
          <w:shd w:val="clear" w:color="auto" w:fill="FFFFFF"/>
          <w14:ligatures w14:val="none"/>
        </w:rPr>
        <w:t>MW or less.</w:t>
      </w:r>
      <w:r w:rsidRPr="00BC778A" w:rsidR="007F33B9">
        <w:rPr>
          <w:rStyle w:val="FootnoteReference"/>
          <w:rFonts w:ascii="Palatino Linotype" w:hAnsi="Palatino Linotype" w:eastAsia="Times New Roman" w:cs="Times New Roman"/>
          <w:color w:val="000000" w:themeColor="text1"/>
        </w:rPr>
        <w:footnoteReference w:id="11"/>
      </w:r>
    </w:p>
    <w:p w:rsidRPr="00BC778A" w:rsidR="002B681C" w:rsidP="00706461" w:rsidRDefault="002B681C" w14:paraId="624F8392" w14:textId="77777777">
      <w:pPr>
        <w:spacing w:after="0" w:line="264" w:lineRule="auto"/>
        <w:contextualSpacing/>
        <w:rPr>
          <w:rFonts w:ascii="Palatino Linotype" w:hAnsi="Palatino Linotype" w:eastAsia="Times New Roman" w:cs="Times New Roman"/>
          <w:color w:val="000000"/>
          <w:kern w:val="0"/>
          <w:shd w:val="clear" w:color="auto" w:fill="FFFFFF"/>
          <w14:ligatures w14:val="none"/>
        </w:rPr>
      </w:pPr>
    </w:p>
    <w:p w:rsidRPr="00BC778A" w:rsidR="00D16038" w:rsidP="00706461" w:rsidRDefault="00FC7C50" w14:paraId="31A425D2" w14:textId="40D5ECD9">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Prior to the </w:t>
      </w:r>
      <w:r w:rsidRPr="00BC778A" w:rsidR="00CC49C0">
        <w:rPr>
          <w:rFonts w:ascii="Palatino Linotype" w:hAnsi="Palatino Linotype" w:eastAsia="Palatino Linotype" w:cs="Times New Roman"/>
          <w:kern w:val="0"/>
          <w14:ligatures w14:val="none"/>
        </w:rPr>
        <w:t xml:space="preserve">submission of </w:t>
      </w:r>
      <w:r w:rsidRPr="00BC778A" w:rsidR="00CC49C0">
        <w:rPr>
          <w:rFonts w:ascii="Palatino Linotype" w:hAnsi="Palatino Linotype" w:eastAsia="Times New Roman" w:cs="Times New Roman"/>
          <w:kern w:val="0"/>
          <w14:ligatures w14:val="none"/>
        </w:rPr>
        <w:t>PG&amp;E AL 7606-E</w:t>
      </w:r>
      <w:r w:rsidRPr="00BC778A" w:rsidR="00FB22AB">
        <w:rPr>
          <w:rFonts w:ascii="Palatino Linotype" w:hAnsi="Palatino Linotype" w:eastAsia="Times New Roman" w:cs="Times New Roman"/>
          <w:kern w:val="0"/>
          <w14:ligatures w14:val="none"/>
        </w:rPr>
        <w:t xml:space="preserve"> and</w:t>
      </w:r>
      <w:r w:rsidRPr="00BC778A" w:rsidR="00CC49C0">
        <w:rPr>
          <w:rFonts w:ascii="Palatino Linotype" w:hAnsi="Palatino Linotype" w:eastAsia="Times New Roman" w:cs="Times New Roman"/>
          <w:kern w:val="0"/>
          <w14:ligatures w14:val="none"/>
        </w:rPr>
        <w:t xml:space="preserve"> SDG&amp;E AL </w:t>
      </w:r>
      <w:r w:rsidRPr="00BC778A" w:rsidR="00CC49C0">
        <w:rPr>
          <w:rFonts w:ascii="Palatino Linotype" w:hAnsi="Palatino Linotype" w:eastAsia="Palatino Linotype" w:cs="Times New Roman"/>
          <w:kern w:val="0"/>
          <w14:ligatures w14:val="none"/>
        </w:rPr>
        <w:t>4664-E</w:t>
      </w:r>
      <w:r w:rsidRPr="00BC778A">
        <w:rPr>
          <w:rFonts w:ascii="Palatino Linotype" w:hAnsi="Palatino Linotype" w:eastAsia="Palatino Linotype" w:cs="Times New Roman"/>
          <w:kern w:val="0"/>
          <w14:ligatures w14:val="none"/>
        </w:rPr>
        <w:t xml:space="preserve">, both </w:t>
      </w:r>
      <w:r w:rsidRPr="00BC778A" w:rsidR="00706461">
        <w:rPr>
          <w:rFonts w:ascii="Palatino Linotype" w:hAnsi="Palatino Linotype" w:eastAsia="Palatino Linotype" w:cs="Times New Roman"/>
          <w:kern w:val="0"/>
          <w14:ligatures w14:val="none"/>
        </w:rPr>
        <w:t xml:space="preserve">PG&amp;E </w:t>
      </w:r>
      <w:r w:rsidRPr="00BC778A">
        <w:rPr>
          <w:rFonts w:ascii="Palatino Linotype" w:hAnsi="Palatino Linotype" w:eastAsia="Palatino Linotype" w:cs="Times New Roman"/>
          <w:kern w:val="0"/>
          <w14:ligatures w14:val="none"/>
        </w:rPr>
        <w:t xml:space="preserve">and SDG&amp;E timely </w:t>
      </w:r>
      <w:r w:rsidRPr="00BC778A" w:rsidR="00706461">
        <w:rPr>
          <w:rFonts w:ascii="Palatino Linotype" w:hAnsi="Palatino Linotype" w:eastAsia="Palatino Linotype" w:cs="Times New Roman"/>
          <w:kern w:val="0"/>
          <w14:ligatures w14:val="none"/>
        </w:rPr>
        <w:t xml:space="preserve">filed </w:t>
      </w:r>
      <w:r w:rsidRPr="00BC778A" w:rsidR="009A7EC4">
        <w:rPr>
          <w:rFonts w:ascii="Palatino Linotype" w:hAnsi="Palatino Linotype" w:eastAsia="Palatino Linotype" w:cs="Times New Roman"/>
          <w:kern w:val="0"/>
          <w14:ligatures w14:val="none"/>
        </w:rPr>
        <w:t>proposed</w:t>
      </w:r>
      <w:r w:rsidRPr="00BC778A" w:rsidR="00706461">
        <w:rPr>
          <w:rFonts w:ascii="Palatino Linotype" w:hAnsi="Palatino Linotype" w:eastAsia="Palatino Linotype" w:cs="Times New Roman"/>
          <w:kern w:val="0"/>
          <w14:ligatures w14:val="none"/>
        </w:rPr>
        <w:t xml:space="preserve"> PURPA compliant </w:t>
      </w:r>
      <w:r w:rsidRPr="00BC778A" w:rsidDel="00F62D41" w:rsidR="00706461">
        <w:rPr>
          <w:rFonts w:ascii="Palatino Linotype" w:hAnsi="Palatino Linotype" w:eastAsia="Palatino Linotype" w:cs="Times New Roman"/>
          <w:kern w:val="0"/>
          <w14:ligatures w14:val="none"/>
        </w:rPr>
        <w:t>tariff</w:t>
      </w:r>
      <w:r w:rsidRPr="00BC778A">
        <w:rPr>
          <w:rFonts w:ascii="Palatino Linotype" w:hAnsi="Palatino Linotype" w:eastAsia="Palatino Linotype" w:cs="Times New Roman"/>
          <w:kern w:val="0"/>
          <w14:ligatures w14:val="none"/>
        </w:rPr>
        <w:t>s</w:t>
      </w:r>
      <w:r w:rsidRPr="00BC778A" w:rsidR="00706461">
        <w:rPr>
          <w:rFonts w:ascii="Palatino Linotype" w:hAnsi="Palatino Linotype" w:eastAsia="Palatino Linotype" w:cs="Times New Roman"/>
          <w:kern w:val="0"/>
          <w14:ligatures w14:val="none"/>
        </w:rPr>
        <w:t xml:space="preserve"> in AL 7179-E-A</w:t>
      </w:r>
      <w:r w:rsidRPr="00BC778A">
        <w:rPr>
          <w:rFonts w:ascii="Palatino Linotype" w:hAnsi="Palatino Linotype" w:eastAsia="Palatino Linotype" w:cs="Times New Roman"/>
          <w:kern w:val="0"/>
          <w14:ligatures w14:val="none"/>
        </w:rPr>
        <w:t xml:space="preserve"> and </w:t>
      </w:r>
      <w:r w:rsidR="0010074D">
        <w:rPr>
          <w:rFonts w:ascii="Palatino Linotype" w:hAnsi="Palatino Linotype" w:eastAsia="Palatino Linotype" w:cs="Times New Roman"/>
          <w:kern w:val="0"/>
          <w14:ligatures w14:val="none"/>
        </w:rPr>
        <w:br/>
      </w:r>
      <w:r w:rsidRPr="00BC778A" w:rsidR="00422C43">
        <w:rPr>
          <w:rFonts w:ascii="Palatino Linotype" w:hAnsi="Palatino Linotype" w:eastAsia="Palatino Linotype" w:cs="Times New Roman"/>
          <w:kern w:val="0"/>
          <w14:ligatures w14:val="none"/>
        </w:rPr>
        <w:t>AL 4395</w:t>
      </w:r>
      <w:proofErr w:type="gramStart"/>
      <w:r w:rsidRPr="00BC778A" w:rsidR="00422C43">
        <w:rPr>
          <w:rFonts w:ascii="Palatino Linotype" w:hAnsi="Palatino Linotype" w:eastAsia="Palatino Linotype" w:cs="Times New Roman"/>
          <w:kern w:val="0"/>
          <w14:ligatures w14:val="none"/>
        </w:rPr>
        <w:t>-E</w:t>
      </w:r>
      <w:r w:rsidRPr="00BC778A" w:rsidR="008359B9">
        <w:rPr>
          <w:rFonts w:ascii="Palatino Linotype" w:hAnsi="Palatino Linotype" w:eastAsia="Palatino Linotype" w:cs="Times New Roman"/>
          <w:kern w:val="0"/>
          <w14:ligatures w14:val="none"/>
        </w:rPr>
        <w:t>/</w:t>
      </w:r>
      <w:proofErr w:type="gramEnd"/>
      <w:r w:rsidRPr="00BC778A" w:rsidR="008359B9">
        <w:rPr>
          <w:rFonts w:ascii="Palatino Linotype" w:hAnsi="Palatino Linotype" w:eastAsia="Palatino Linotype" w:cs="Times New Roman"/>
          <w:kern w:val="0"/>
          <w14:ligatures w14:val="none"/>
        </w:rPr>
        <w:t>E-A</w:t>
      </w:r>
      <w:r w:rsidRPr="00BC778A" w:rsidR="00DE6D13">
        <w:rPr>
          <w:rFonts w:ascii="Palatino Linotype" w:hAnsi="Palatino Linotype" w:eastAsia="Palatino Linotype" w:cs="Times New Roman"/>
          <w:kern w:val="0"/>
          <w14:ligatures w14:val="none"/>
        </w:rPr>
        <w:t>,</w:t>
      </w:r>
      <w:r w:rsidRPr="00BC778A">
        <w:rPr>
          <w:rFonts w:ascii="Palatino Linotype" w:hAnsi="Palatino Linotype" w:eastAsia="Palatino Linotype" w:cs="Times New Roman"/>
          <w:kern w:val="0"/>
          <w14:ligatures w14:val="none"/>
        </w:rPr>
        <w:t xml:space="preserve"> respectively.</w:t>
      </w:r>
      <w:r w:rsidRPr="00BC778A" w:rsidR="00422C43">
        <w:rPr>
          <w:rFonts w:ascii="Palatino Linotype" w:hAnsi="Palatino Linotype" w:eastAsia="Palatino Linotype" w:cs="Times New Roman"/>
          <w:kern w:val="0"/>
          <w14:ligatures w14:val="none"/>
        </w:rPr>
        <w:t xml:space="preserve"> </w:t>
      </w:r>
      <w:r w:rsidRPr="00BC778A" w:rsidR="28BBD341">
        <w:rPr>
          <w:rFonts w:ascii="Palatino Linotype" w:hAnsi="Palatino Linotype" w:eastAsia="Palatino Linotype" w:cs="Times New Roman"/>
          <w:kern w:val="0"/>
          <w14:ligatures w14:val="none"/>
        </w:rPr>
        <w:t xml:space="preserve">Each included, as part of the proposed tariff, a limit of </w:t>
      </w:r>
      <w:r w:rsidR="0010074D">
        <w:rPr>
          <w:rFonts w:ascii="Palatino Linotype" w:hAnsi="Palatino Linotype" w:eastAsia="Palatino Linotype" w:cs="Times New Roman"/>
          <w:kern w:val="0"/>
          <w14:ligatures w14:val="none"/>
        </w:rPr>
        <w:br/>
      </w:r>
      <w:r w:rsidRPr="00BC778A" w:rsidR="28BBD341">
        <w:rPr>
          <w:rFonts w:ascii="Palatino Linotype" w:hAnsi="Palatino Linotype" w:eastAsia="Palatino Linotype" w:cs="Times New Roman"/>
          <w:kern w:val="0"/>
          <w14:ligatures w14:val="none"/>
        </w:rPr>
        <w:t xml:space="preserve">20 MW for an eligible REGF. </w:t>
      </w:r>
      <w:r w:rsidRPr="00BC778A" w:rsidR="28BBD341">
        <w:rPr>
          <w:rFonts w:ascii="Palatino Linotype" w:hAnsi="Palatino Linotype" w:eastAsia="Palatino Linotype" w:cs="Times New Roman"/>
        </w:rPr>
        <w:t xml:space="preserve">Neither D.23-11-068 OP 39 nor the body of the Decision directed a capacity limit as part of the tariff. </w:t>
      </w:r>
      <w:r w:rsidR="00D547D0">
        <w:rPr>
          <w:rFonts w:ascii="Palatino Linotype" w:hAnsi="Palatino Linotype" w:eastAsia="Palatino Linotype" w:cs="Times New Roman"/>
          <w:kern w:val="0"/>
          <w14:ligatures w14:val="none"/>
        </w:rPr>
        <w:t>B</w:t>
      </w:r>
      <w:r w:rsidRPr="00BC778A" w:rsidR="028539A7">
        <w:rPr>
          <w:rFonts w:ascii="Palatino Linotype" w:hAnsi="Palatino Linotype" w:eastAsia="Palatino Linotype" w:cs="Times New Roman"/>
          <w:kern w:val="0"/>
          <w14:ligatures w14:val="none"/>
        </w:rPr>
        <w:t xml:space="preserve">oth </w:t>
      </w:r>
      <w:r w:rsidRPr="00BC778A" w:rsidR="0B7F368B">
        <w:rPr>
          <w:rFonts w:ascii="Palatino Linotype" w:hAnsi="Palatino Linotype" w:eastAsia="Palatino Linotype" w:cs="Times New Roman"/>
          <w:kern w:val="0"/>
          <w14:ligatures w14:val="none"/>
        </w:rPr>
        <w:t xml:space="preserve">ALs </w:t>
      </w:r>
      <w:r w:rsidRPr="00BC778A" w:rsidR="00422C43">
        <w:rPr>
          <w:rFonts w:ascii="Palatino Linotype" w:hAnsi="Palatino Linotype" w:eastAsia="Palatino Linotype" w:cs="Times New Roman"/>
          <w:kern w:val="0"/>
          <w14:ligatures w14:val="none"/>
        </w:rPr>
        <w:t>were</w:t>
      </w:r>
      <w:r w:rsidRPr="00BC778A" w:rsidR="00706461">
        <w:rPr>
          <w:rFonts w:ascii="Palatino Linotype" w:hAnsi="Palatino Linotype" w:eastAsia="Palatino Linotype" w:cs="Times New Roman"/>
          <w:kern w:val="0"/>
          <w14:ligatures w14:val="none"/>
        </w:rPr>
        <w:t xml:space="preserve"> rejected by Energy Division </w:t>
      </w:r>
      <w:r w:rsidRPr="00BC778A">
        <w:rPr>
          <w:rFonts w:ascii="Palatino Linotype" w:hAnsi="Palatino Linotype" w:eastAsia="Palatino Linotype" w:cs="Times New Roman"/>
          <w:kern w:val="0"/>
          <w14:ligatures w14:val="none"/>
        </w:rPr>
        <w:t>pursuant to</w:t>
      </w:r>
      <w:r w:rsidRPr="00BC778A" w:rsidR="00706461">
        <w:rPr>
          <w:rFonts w:ascii="Palatino Linotype" w:hAnsi="Palatino Linotype" w:eastAsia="Palatino Linotype" w:cs="Times New Roman"/>
          <w:kern w:val="0"/>
          <w14:ligatures w14:val="none"/>
        </w:rPr>
        <w:t xml:space="preserve"> General Orders 96</w:t>
      </w:r>
      <w:r w:rsidRPr="00BC778A" w:rsidR="00FB6948">
        <w:rPr>
          <w:rFonts w:ascii="Palatino Linotype" w:hAnsi="Palatino Linotype" w:eastAsia="Palatino Linotype" w:cs="Times New Roman"/>
          <w:kern w:val="0"/>
          <w14:ligatures w14:val="none"/>
        </w:rPr>
        <w:t>-</w:t>
      </w:r>
      <w:r w:rsidRPr="00BC778A" w:rsidR="00706461">
        <w:rPr>
          <w:rFonts w:ascii="Palatino Linotype" w:hAnsi="Palatino Linotype" w:eastAsia="Palatino Linotype" w:cs="Times New Roman"/>
          <w:kern w:val="0"/>
          <w14:ligatures w14:val="none"/>
        </w:rPr>
        <w:t>B Sections 5.1</w:t>
      </w:r>
      <w:r w:rsidRPr="00BC778A" w:rsidR="3E223475">
        <w:rPr>
          <w:rFonts w:ascii="Palatino Linotype" w:hAnsi="Palatino Linotype" w:eastAsia="Palatino Linotype" w:cs="Times New Roman"/>
          <w:kern w:val="0"/>
          <w14:ligatures w14:val="none"/>
        </w:rPr>
        <w:t xml:space="preserve"> </w:t>
      </w:r>
      <w:r w:rsidRPr="00BC778A" w:rsidR="00706461">
        <w:rPr>
          <w:rFonts w:ascii="Palatino Linotype" w:hAnsi="Palatino Linotype" w:eastAsia="Palatino Linotype" w:cs="Times New Roman"/>
          <w:kern w:val="0"/>
          <w14:ligatures w14:val="none"/>
        </w:rPr>
        <w:t>and 7.6</w:t>
      </w:r>
      <w:r w:rsidRPr="00BC778A" w:rsidR="5F60F31C">
        <w:rPr>
          <w:rFonts w:ascii="Palatino Linotype" w:hAnsi="Palatino Linotype" w:eastAsia="Palatino Linotype" w:cs="Times New Roman"/>
          <w:kern w:val="0"/>
          <w14:ligatures w14:val="none"/>
        </w:rPr>
        <w:t xml:space="preserve"> as the request exceeded the technical matters allowable for review under</w:t>
      </w:r>
      <w:r w:rsidRPr="00BC778A" w:rsidR="4BF6E4F1">
        <w:rPr>
          <w:rFonts w:ascii="Palatino Linotype" w:hAnsi="Palatino Linotype" w:eastAsia="Palatino Linotype" w:cs="Times New Roman"/>
          <w:kern w:val="0"/>
          <w14:ligatures w14:val="none"/>
        </w:rPr>
        <w:t xml:space="preserve"> a</w:t>
      </w:r>
      <w:r w:rsidRPr="00BC778A" w:rsidR="5F60F31C">
        <w:rPr>
          <w:rFonts w:ascii="Palatino Linotype" w:hAnsi="Palatino Linotype" w:eastAsia="Palatino Linotype" w:cs="Times New Roman"/>
          <w:kern w:val="0"/>
          <w14:ligatures w14:val="none"/>
        </w:rPr>
        <w:t xml:space="preserve"> </w:t>
      </w:r>
      <w:r w:rsidR="00C5020D">
        <w:rPr>
          <w:rFonts w:ascii="Palatino Linotype" w:hAnsi="Palatino Linotype" w:eastAsia="Palatino Linotype" w:cs="Times New Roman"/>
          <w:kern w:val="0"/>
          <w14:ligatures w14:val="none"/>
        </w:rPr>
        <w:t>T</w:t>
      </w:r>
      <w:r w:rsidRPr="00BC778A" w:rsidR="5F60F31C">
        <w:rPr>
          <w:rFonts w:ascii="Palatino Linotype" w:hAnsi="Palatino Linotype" w:eastAsia="Palatino Linotype" w:cs="Times New Roman"/>
          <w:kern w:val="0"/>
          <w14:ligatures w14:val="none"/>
        </w:rPr>
        <w:t>ier 2</w:t>
      </w:r>
      <w:r w:rsidRPr="00BC778A" w:rsidR="37B4881A">
        <w:rPr>
          <w:rFonts w:ascii="Palatino Linotype" w:hAnsi="Palatino Linotype" w:eastAsia="Palatino Linotype" w:cs="Times New Roman"/>
          <w:kern w:val="0"/>
          <w14:ligatures w14:val="none"/>
        </w:rPr>
        <w:t xml:space="preserve"> </w:t>
      </w:r>
      <w:r w:rsidRPr="00BC778A" w:rsidR="21069BA6">
        <w:rPr>
          <w:rFonts w:ascii="Palatino Linotype" w:hAnsi="Palatino Linotype" w:eastAsia="Palatino Linotype" w:cs="Times New Roman"/>
          <w:kern w:val="0"/>
          <w14:ligatures w14:val="none"/>
        </w:rPr>
        <w:t>advice letter</w:t>
      </w:r>
      <w:r w:rsidRPr="5402AB9A" w:rsidR="0030003C">
        <w:rPr>
          <w:rFonts w:ascii="Palatino Linotype" w:hAnsi="Palatino Linotype" w:eastAsia="Palatino Linotype" w:cs="Times New Roman"/>
        </w:rPr>
        <w:t>.</w:t>
      </w:r>
      <w:r w:rsidR="0097132B">
        <w:rPr>
          <w:rStyle w:val="FootnoteReference"/>
          <w:rFonts w:ascii="Palatino Linotype" w:hAnsi="Palatino Linotype" w:eastAsia="Palatino Linotype" w:cs="Times New Roman"/>
        </w:rPr>
        <w:footnoteReference w:id="12"/>
      </w:r>
      <w:r w:rsidRPr="5402AB9A" w:rsidR="0030003C">
        <w:rPr>
          <w:rFonts w:ascii="Palatino Linotype" w:hAnsi="Palatino Linotype" w:eastAsia="Palatino Linotype" w:cs="Times New Roman"/>
        </w:rPr>
        <w:t xml:space="preserve"> </w:t>
      </w:r>
      <w:r w:rsidRPr="00BC778A" w:rsidR="37B4881A">
        <w:rPr>
          <w:rFonts w:ascii="Palatino Linotype" w:hAnsi="Palatino Linotype" w:eastAsia="Palatino Linotype" w:cs="Times New Roman"/>
          <w:kern w:val="0"/>
          <w14:ligatures w14:val="none"/>
        </w:rPr>
        <w:t xml:space="preserve">Energy Division </w:t>
      </w:r>
      <w:r w:rsidRPr="00BC778A" w:rsidR="58C6676C">
        <w:rPr>
          <w:rFonts w:ascii="Palatino Linotype" w:hAnsi="Palatino Linotype" w:eastAsia="Palatino Linotype" w:cs="Times New Roman"/>
          <w:kern w:val="0"/>
          <w14:ligatures w14:val="none"/>
        </w:rPr>
        <w:t xml:space="preserve">determined at </w:t>
      </w:r>
      <w:r w:rsidRPr="00BC778A" w:rsidR="37B4881A">
        <w:rPr>
          <w:rFonts w:ascii="Palatino Linotype" w:hAnsi="Palatino Linotype" w:eastAsia="Palatino Linotype" w:cs="Times New Roman"/>
          <w:kern w:val="0"/>
          <w14:ligatures w14:val="none"/>
        </w:rPr>
        <w:t xml:space="preserve">that </w:t>
      </w:r>
      <w:r w:rsidRPr="00BC778A" w:rsidR="75575083">
        <w:rPr>
          <w:rFonts w:ascii="Palatino Linotype" w:hAnsi="Palatino Linotype" w:eastAsia="Palatino Linotype" w:cs="Times New Roman"/>
          <w:kern w:val="0"/>
          <w14:ligatures w14:val="none"/>
        </w:rPr>
        <w:t xml:space="preserve">time that </w:t>
      </w:r>
      <w:r w:rsidRPr="00BC778A" w:rsidR="37B4881A">
        <w:rPr>
          <w:rFonts w:ascii="Palatino Linotype" w:hAnsi="Palatino Linotype" w:eastAsia="Palatino Linotype" w:cs="Times New Roman"/>
          <w:kern w:val="0"/>
          <w14:ligatures w14:val="none"/>
        </w:rPr>
        <w:t xml:space="preserve">the matter </w:t>
      </w:r>
      <w:r w:rsidRPr="00BC778A" w:rsidR="1FD79204">
        <w:rPr>
          <w:rFonts w:ascii="Palatino Linotype" w:hAnsi="Palatino Linotype" w:eastAsia="Palatino Linotype" w:cs="Times New Roman"/>
          <w:kern w:val="0"/>
          <w14:ligatures w14:val="none"/>
        </w:rPr>
        <w:t xml:space="preserve">of adding a 20 MW capacity limit was </w:t>
      </w:r>
      <w:r w:rsidRPr="00BC778A" w:rsidR="37B4881A">
        <w:rPr>
          <w:rFonts w:ascii="Palatino Linotype" w:hAnsi="Palatino Linotype" w:eastAsia="Palatino Linotype" w:cs="Times New Roman"/>
          <w:kern w:val="0"/>
          <w14:ligatures w14:val="none"/>
        </w:rPr>
        <w:lastRenderedPageBreak/>
        <w:t>appropriate to a formal proceeding, not the advice letter process</w:t>
      </w:r>
      <w:r w:rsidRPr="5402AB9A" w:rsidR="0030003C">
        <w:rPr>
          <w:rFonts w:ascii="Palatino Linotype" w:hAnsi="Palatino Linotype" w:eastAsia="Palatino Linotype" w:cs="Times New Roman"/>
        </w:rPr>
        <w:t xml:space="preserve"> given that the</w:t>
      </w:r>
      <w:r w:rsidRPr="5402AB9A" w:rsidR="00C221E7">
        <w:rPr>
          <w:rFonts w:ascii="Palatino Linotype" w:hAnsi="Palatino Linotype" w:eastAsia="Palatino Linotype" w:cs="Times New Roman"/>
        </w:rPr>
        <w:t xml:space="preserve"> proposed limit of 20 MW</w:t>
      </w:r>
      <w:r w:rsidRPr="5402AB9A" w:rsidR="0030003C">
        <w:rPr>
          <w:rFonts w:ascii="Palatino Linotype" w:hAnsi="Palatino Linotype" w:eastAsia="Palatino Linotype" w:cs="Times New Roman"/>
        </w:rPr>
        <w:t xml:space="preserve"> </w:t>
      </w:r>
      <w:r w:rsidRPr="5402AB9A" w:rsidR="00C221E7">
        <w:rPr>
          <w:rFonts w:ascii="Palatino Linotype" w:hAnsi="Palatino Linotype" w:eastAsia="Palatino Linotype" w:cs="Times New Roman"/>
        </w:rPr>
        <w:t>had not been ordered by D.23-11-068</w:t>
      </w:r>
      <w:r w:rsidRPr="00BC778A" w:rsidR="37B4881A">
        <w:rPr>
          <w:rFonts w:ascii="Palatino Linotype" w:hAnsi="Palatino Linotype" w:eastAsia="Palatino Linotype" w:cs="Times New Roman"/>
          <w:kern w:val="0"/>
          <w14:ligatures w14:val="none"/>
        </w:rPr>
        <w:t>.</w:t>
      </w:r>
      <w:r w:rsidRPr="23AFD90E">
        <w:rPr>
          <w:rStyle w:val="FootnoteReference"/>
          <w:rFonts w:ascii="Palatino Linotype" w:hAnsi="Palatino Linotype" w:eastAsia="Palatino Linotype" w:cs="Times New Roman"/>
        </w:rPr>
        <w:footnoteReference w:id="13"/>
      </w:r>
      <w:r w:rsidRPr="0097132B" w:rsidR="0097132B">
        <w:rPr>
          <w:rFonts w:ascii="Palatino Linotype" w:hAnsi="Palatino Linotype" w:eastAsia="Palatino Linotype" w:cs="Times New Roman"/>
          <w:kern w:val="0"/>
          <w:vertAlign w:val="superscript"/>
          <w14:ligatures w14:val="none"/>
        </w:rPr>
        <w:t>,</w:t>
      </w:r>
      <w:r w:rsidR="004217D9">
        <w:rPr>
          <w:rStyle w:val="FootnoteReference"/>
          <w:rFonts w:ascii="Palatino Linotype" w:hAnsi="Palatino Linotype" w:eastAsia="Palatino Linotype" w:cs="Times New Roman"/>
          <w:kern w:val="0"/>
          <w14:ligatures w14:val="none"/>
        </w:rPr>
        <w:footnoteReference w:id="14"/>
      </w:r>
      <w:r w:rsidR="00AE0752">
        <w:rPr>
          <w:rFonts w:ascii="Palatino Linotype" w:hAnsi="Palatino Linotype" w:eastAsia="Palatino Linotype" w:cs="Times New Roman"/>
          <w:kern w:val="0"/>
          <w:vertAlign w:val="superscript"/>
          <w14:ligatures w14:val="none"/>
        </w:rPr>
        <w:t>,</w:t>
      </w:r>
      <w:r w:rsidRPr="00BC778A">
        <w:rPr>
          <w:rStyle w:val="FootnoteReference"/>
          <w:rFonts w:ascii="Palatino Linotype" w:hAnsi="Palatino Linotype" w:eastAsia="Palatino Linotype" w:cs="Times New Roman"/>
        </w:rPr>
        <w:footnoteReference w:id="15"/>
      </w:r>
    </w:p>
    <w:p w:rsidRPr="00BC778A" w:rsidR="00D16038" w:rsidP="00706461" w:rsidRDefault="00D16038" w14:paraId="2728106B" w14:textId="77777777">
      <w:pPr>
        <w:spacing w:after="0" w:line="240" w:lineRule="auto"/>
        <w:rPr>
          <w:rFonts w:ascii="Palatino Linotype" w:hAnsi="Palatino Linotype" w:eastAsia="Palatino Linotype" w:cs="Times New Roman"/>
          <w:kern w:val="0"/>
          <w14:ligatures w14:val="none"/>
        </w:rPr>
      </w:pPr>
    </w:p>
    <w:p w:rsidRPr="00BC778A" w:rsidR="009A7EC4" w:rsidP="6A873BC0" w:rsidRDefault="00755269" w14:paraId="60A7648B" w14:textId="1083BD8B">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rPr>
        <w:t>PG&amp;</w:t>
      </w:r>
      <w:r w:rsidRPr="00BC778A" w:rsidR="00F950DA">
        <w:rPr>
          <w:rFonts w:ascii="Palatino Linotype" w:hAnsi="Palatino Linotype" w:eastAsia="Palatino Linotype" w:cs="Times New Roman"/>
        </w:rPr>
        <w:t xml:space="preserve">E and SDG&amp;E were </w:t>
      </w:r>
      <w:proofErr w:type="gramStart"/>
      <w:r w:rsidRPr="00BC778A" w:rsidR="00F950DA">
        <w:rPr>
          <w:rFonts w:ascii="Palatino Linotype" w:hAnsi="Palatino Linotype" w:eastAsia="Palatino Linotype" w:cs="Times New Roman"/>
        </w:rPr>
        <w:t>provided</w:t>
      </w:r>
      <w:proofErr w:type="gramEnd"/>
      <w:r w:rsidRPr="00BC778A" w:rsidR="00F950DA">
        <w:rPr>
          <w:rFonts w:ascii="Palatino Linotype" w:hAnsi="Palatino Linotype" w:eastAsia="Palatino Linotype" w:cs="Times New Roman"/>
        </w:rPr>
        <w:t xml:space="preserve"> an opportunity at </w:t>
      </w:r>
      <w:r w:rsidRPr="00BC778A">
        <w:rPr>
          <w:rFonts w:ascii="Palatino Linotype" w:hAnsi="Palatino Linotype" w:eastAsia="Palatino Linotype" w:cs="Times New Roman"/>
        </w:rPr>
        <w:t>that</w:t>
      </w:r>
      <w:r w:rsidRPr="00BC778A" w:rsidR="00F950DA">
        <w:rPr>
          <w:rFonts w:ascii="Palatino Linotype" w:hAnsi="Palatino Linotype" w:eastAsia="Palatino Linotype" w:cs="Times New Roman"/>
        </w:rPr>
        <w:t xml:space="preserve"> time to make</w:t>
      </w:r>
      <w:r w:rsidRPr="00BC778A" w:rsidR="006E734F">
        <w:rPr>
          <w:rFonts w:ascii="Palatino Linotype" w:hAnsi="Palatino Linotype" w:eastAsia="Palatino Linotype" w:cs="Times New Roman"/>
          <w:kern w:val="0"/>
          <w14:ligatures w14:val="none"/>
        </w:rPr>
        <w:t xml:space="preserve"> a motion within the </w:t>
      </w:r>
      <w:r w:rsidRPr="00BC778A" w:rsidR="4599C177">
        <w:rPr>
          <w:rFonts w:ascii="Palatino Linotype" w:hAnsi="Palatino Linotype" w:eastAsia="Palatino Linotype" w:cs="Times New Roman"/>
          <w:kern w:val="0"/>
          <w14:ligatures w14:val="none"/>
        </w:rPr>
        <w:t xml:space="preserve">relevant </w:t>
      </w:r>
      <w:r w:rsidRPr="00BC778A" w:rsidR="006E734F">
        <w:rPr>
          <w:rFonts w:ascii="Palatino Linotype" w:hAnsi="Palatino Linotype" w:eastAsia="Palatino Linotype" w:cs="Times New Roman"/>
          <w:kern w:val="0"/>
          <w14:ligatures w14:val="none"/>
        </w:rPr>
        <w:t xml:space="preserve">proceeding </w:t>
      </w:r>
      <w:r w:rsidRPr="00BC778A" w:rsidR="3CA44130">
        <w:rPr>
          <w:rFonts w:ascii="Palatino Linotype" w:hAnsi="Palatino Linotype" w:eastAsia="Palatino Linotype" w:cs="Times New Roman"/>
          <w:kern w:val="0"/>
          <w14:ligatures w14:val="none"/>
        </w:rPr>
        <w:t xml:space="preserve">(Rulemaking </w:t>
      </w:r>
      <w:r w:rsidRPr="5402AB9A" w:rsidR="00A905C8">
        <w:rPr>
          <w:rFonts w:ascii="Palatino Linotype" w:hAnsi="Palatino Linotype" w:eastAsia="Palatino Linotype" w:cs="Times New Roman"/>
        </w:rPr>
        <w:t>R.</w:t>
      </w:r>
      <w:r w:rsidRPr="00BC778A" w:rsidR="3CA44130">
        <w:rPr>
          <w:rFonts w:ascii="Palatino Linotype" w:hAnsi="Palatino Linotype" w:eastAsia="Palatino Linotype" w:cs="Times New Roman"/>
          <w:kern w:val="0"/>
          <w14:ligatures w14:val="none"/>
        </w:rPr>
        <w:t xml:space="preserve">20-08-020) </w:t>
      </w:r>
      <w:proofErr w:type="gramStart"/>
      <w:r w:rsidRPr="00BC778A" w:rsidR="00A66559">
        <w:rPr>
          <w:rFonts w:ascii="Palatino Linotype" w:hAnsi="Palatino Linotype" w:eastAsia="Palatino Linotype" w:cs="Times New Roman"/>
          <w:kern w:val="0"/>
          <w14:ligatures w14:val="none"/>
        </w:rPr>
        <w:t>or</w:t>
      </w:r>
      <w:r w:rsidRPr="00BC778A" w:rsidR="2546A3EF">
        <w:rPr>
          <w:rFonts w:ascii="Palatino Linotype" w:hAnsi="Palatino Linotype" w:eastAsia="Palatino Linotype" w:cs="Times New Roman"/>
          <w:kern w:val="0"/>
          <w14:ligatures w14:val="none"/>
        </w:rPr>
        <w:t>,</w:t>
      </w:r>
      <w:proofErr w:type="gramEnd"/>
      <w:r w:rsidRPr="00BC778A" w:rsidR="2546A3EF">
        <w:rPr>
          <w:rFonts w:ascii="Palatino Linotype" w:hAnsi="Palatino Linotype" w:eastAsia="Palatino Linotype" w:cs="Times New Roman"/>
          <w:kern w:val="0"/>
          <w14:ligatures w14:val="none"/>
        </w:rPr>
        <w:t xml:space="preserve"> should they disagree with the formal proceeding element, </w:t>
      </w:r>
      <w:r w:rsidRPr="00BC778A" w:rsidR="00A66559">
        <w:rPr>
          <w:rFonts w:ascii="Palatino Linotype" w:hAnsi="Palatino Linotype" w:eastAsia="Palatino Linotype" w:cs="Times New Roman"/>
          <w:kern w:val="0"/>
          <w14:ligatures w14:val="none"/>
        </w:rPr>
        <w:t xml:space="preserve">resubmit their original advice letters </w:t>
      </w:r>
      <w:r w:rsidRPr="00BC778A" w:rsidR="00F950DA">
        <w:rPr>
          <w:rFonts w:ascii="Palatino Linotype" w:hAnsi="Palatino Linotype" w:eastAsia="Palatino Linotype" w:cs="Times New Roman"/>
        </w:rPr>
        <w:t xml:space="preserve">with </w:t>
      </w:r>
      <w:r w:rsidRPr="00BC778A" w:rsidR="00A66559">
        <w:rPr>
          <w:rFonts w:ascii="Palatino Linotype" w:hAnsi="Palatino Linotype" w:eastAsia="Palatino Linotype" w:cs="Times New Roman"/>
          <w:kern w:val="0"/>
          <w14:ligatures w14:val="none"/>
        </w:rPr>
        <w:t xml:space="preserve">a Tier 3 </w:t>
      </w:r>
      <w:r w:rsidRPr="00BC778A" w:rsidR="00F950DA">
        <w:rPr>
          <w:rFonts w:ascii="Palatino Linotype" w:hAnsi="Palatino Linotype" w:eastAsia="Palatino Linotype" w:cs="Times New Roman"/>
        </w:rPr>
        <w:t>designati</w:t>
      </w:r>
      <w:r w:rsidR="00AE0752">
        <w:rPr>
          <w:rFonts w:ascii="Palatino Linotype" w:hAnsi="Palatino Linotype" w:eastAsia="Palatino Linotype" w:cs="Times New Roman"/>
        </w:rPr>
        <w:t>on</w:t>
      </w:r>
      <w:r w:rsidRPr="00BC778A" w:rsidR="00A66559">
        <w:rPr>
          <w:rFonts w:ascii="Palatino Linotype" w:hAnsi="Palatino Linotype" w:eastAsia="Palatino Linotype" w:cs="Times New Roman"/>
          <w:kern w:val="0"/>
          <w14:ligatures w14:val="none"/>
        </w:rPr>
        <w:t>.</w:t>
      </w:r>
      <w:r w:rsidRPr="00BC778A" w:rsidR="00A340E2">
        <w:rPr>
          <w:rFonts w:ascii="Palatino Linotype" w:hAnsi="Palatino Linotype" w:eastAsia="Palatino Linotype" w:cs="Times New Roman"/>
          <w:kern w:val="0"/>
          <w14:ligatures w14:val="none"/>
        </w:rPr>
        <w:t xml:space="preserve"> </w:t>
      </w:r>
    </w:p>
    <w:p w:rsidRPr="00BC778A" w:rsidR="008301BC" w:rsidP="00A76F4A" w:rsidRDefault="008301BC" w14:paraId="7484D3CD" w14:textId="77777777">
      <w:pPr>
        <w:spacing w:after="0" w:line="240" w:lineRule="auto"/>
        <w:rPr>
          <w:rFonts w:ascii="Palatino Linotype" w:hAnsi="Palatino Linotype" w:eastAsia="Palatino Linotype" w:cs="Times New Roman"/>
          <w:b/>
          <w:kern w:val="0"/>
          <w:u w:val="single"/>
          <w14:ligatures w14:val="none"/>
        </w:rPr>
      </w:pPr>
    </w:p>
    <w:p w:rsidRPr="00BC778A" w:rsidR="008301BC" w:rsidP="6A873BC0" w:rsidRDefault="002965A3" w14:paraId="66E5BE8C" w14:textId="3A9DE4AA">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Following the rejection</w:t>
      </w:r>
      <w:r w:rsidR="004D380A">
        <w:rPr>
          <w:rFonts w:ascii="Palatino Linotype" w:hAnsi="Palatino Linotype" w:eastAsia="Palatino Linotype" w:cs="Times New Roman"/>
          <w:kern w:val="0"/>
          <w14:ligatures w14:val="none"/>
        </w:rPr>
        <w:t xml:space="preserve"> of </w:t>
      </w:r>
      <w:r w:rsidRPr="00BC778A" w:rsidR="004D380A">
        <w:rPr>
          <w:rFonts w:ascii="Palatino Linotype" w:hAnsi="Palatino Linotype" w:eastAsia="Palatino Linotype" w:cs="Times New Roman"/>
          <w:kern w:val="0"/>
          <w14:ligatures w14:val="none"/>
        </w:rPr>
        <w:t>AL 7179-E-A</w:t>
      </w:r>
      <w:r w:rsidRPr="00BC778A">
        <w:rPr>
          <w:rFonts w:ascii="Palatino Linotype" w:hAnsi="Palatino Linotype" w:eastAsia="Palatino Linotype" w:cs="Times New Roman"/>
          <w:kern w:val="0"/>
          <w14:ligatures w14:val="none"/>
        </w:rPr>
        <w:t xml:space="preserve">, </w:t>
      </w:r>
      <w:r w:rsidRPr="00BC778A" w:rsidR="00586003">
        <w:rPr>
          <w:rFonts w:ascii="Palatino Linotype" w:hAnsi="Palatino Linotype" w:eastAsia="Palatino Linotype" w:cs="Times New Roman"/>
          <w:kern w:val="0"/>
          <w14:ligatures w14:val="none"/>
        </w:rPr>
        <w:t>PG&amp;E submitted AL 7606-E on May 23, 2025</w:t>
      </w:r>
      <w:r w:rsidRPr="00BC778A" w:rsidR="00896D61">
        <w:rPr>
          <w:rFonts w:ascii="Palatino Linotype" w:hAnsi="Palatino Linotype" w:eastAsia="Palatino Linotype" w:cs="Times New Roman"/>
          <w:kern w:val="0"/>
          <w14:ligatures w14:val="none"/>
        </w:rPr>
        <w:t>,</w:t>
      </w:r>
      <w:r w:rsidRPr="00BC778A" w:rsidR="000A17BC">
        <w:rPr>
          <w:rFonts w:ascii="Palatino Linotype" w:hAnsi="Palatino Linotype" w:eastAsia="Palatino Linotype" w:cs="Times New Roman"/>
          <w:kern w:val="0"/>
          <w14:ligatures w14:val="none"/>
        </w:rPr>
        <w:t xml:space="preserve"> </w:t>
      </w:r>
      <w:r w:rsidRPr="00BC778A" w:rsidR="006E0AB9">
        <w:rPr>
          <w:rFonts w:ascii="Palatino Linotype" w:hAnsi="Palatino Linotype" w:eastAsia="Palatino Linotype" w:cs="Times New Roman"/>
          <w:kern w:val="0"/>
          <w14:ligatures w14:val="none"/>
        </w:rPr>
        <w:t xml:space="preserve">seeking </w:t>
      </w:r>
      <w:r w:rsidRPr="00BC778A" w:rsidR="00DB6E87">
        <w:rPr>
          <w:rFonts w:ascii="Palatino Linotype" w:hAnsi="Palatino Linotype" w:eastAsia="Palatino Linotype" w:cs="Times New Roman"/>
          <w:kern w:val="0"/>
          <w14:ligatures w14:val="none"/>
        </w:rPr>
        <w:t>approval of</w:t>
      </w:r>
      <w:r w:rsidRPr="00BC778A" w:rsidR="00C22A25">
        <w:rPr>
          <w:rFonts w:ascii="Palatino Linotype" w:hAnsi="Palatino Linotype" w:eastAsia="Palatino Linotype" w:cs="Times New Roman"/>
          <w:kern w:val="0"/>
          <w14:ligatures w14:val="none"/>
        </w:rPr>
        <w:t xml:space="preserve"> </w:t>
      </w:r>
      <w:r w:rsidRPr="00BC778A" w:rsidR="006E0AB9">
        <w:rPr>
          <w:rFonts w:ascii="Palatino Linotype" w:hAnsi="Palatino Linotype" w:eastAsia="Palatino Linotype" w:cs="Times New Roman"/>
          <w:kern w:val="0"/>
          <w14:ligatures w14:val="none"/>
        </w:rPr>
        <w:t xml:space="preserve">its proposed PURPA compliant </w:t>
      </w:r>
      <w:r w:rsidR="00E4410E">
        <w:rPr>
          <w:rFonts w:ascii="Palatino Linotype" w:hAnsi="Palatino Linotype" w:eastAsia="Palatino Linotype" w:cs="Times New Roman"/>
          <w:kern w:val="0"/>
          <w14:ligatures w14:val="none"/>
        </w:rPr>
        <w:t xml:space="preserve">compensated export </w:t>
      </w:r>
      <w:r w:rsidRPr="00BC778A" w:rsidR="006E0AB9">
        <w:rPr>
          <w:rFonts w:ascii="Palatino Linotype" w:hAnsi="Palatino Linotype" w:eastAsia="Palatino Linotype" w:cs="Times New Roman"/>
          <w:kern w:val="0"/>
          <w14:ligatures w14:val="none"/>
        </w:rPr>
        <w:t>tariff</w:t>
      </w:r>
      <w:r w:rsidRPr="00BC778A" w:rsidR="006E734F">
        <w:rPr>
          <w:rFonts w:ascii="Palatino Linotype" w:hAnsi="Palatino Linotype" w:eastAsia="Palatino Linotype" w:cs="Times New Roman"/>
          <w:kern w:val="0"/>
          <w14:ligatures w14:val="none"/>
        </w:rPr>
        <w:t xml:space="preserve"> that followed D.23-11-068</w:t>
      </w:r>
      <w:r w:rsidRPr="00BC778A" w:rsidR="006E0AB9">
        <w:rPr>
          <w:rFonts w:ascii="Palatino Linotype" w:hAnsi="Palatino Linotype" w:eastAsia="Palatino Linotype" w:cs="Times New Roman"/>
          <w:kern w:val="0"/>
          <w14:ligatures w14:val="none"/>
        </w:rPr>
        <w:t xml:space="preserve">. The </w:t>
      </w:r>
      <w:r w:rsidRPr="00BC778A" w:rsidR="00A555A8">
        <w:rPr>
          <w:rFonts w:ascii="Palatino Linotype" w:hAnsi="Palatino Linotype" w:eastAsia="Palatino Linotype" w:cs="Times New Roman"/>
          <w:kern w:val="0"/>
          <w14:ligatures w14:val="none"/>
        </w:rPr>
        <w:t xml:space="preserve">AL </w:t>
      </w:r>
      <w:r w:rsidRPr="00BC778A" w:rsidR="006E734F">
        <w:rPr>
          <w:rFonts w:ascii="Palatino Linotype" w:hAnsi="Palatino Linotype" w:eastAsia="Palatino Linotype" w:cs="Times New Roman"/>
          <w:kern w:val="0"/>
          <w14:ligatures w14:val="none"/>
        </w:rPr>
        <w:t>cover letter described PG&amp;E’s preference</w:t>
      </w:r>
      <w:r w:rsidRPr="00BC778A" w:rsidR="00A555A8">
        <w:rPr>
          <w:rFonts w:ascii="Palatino Linotype" w:hAnsi="Palatino Linotype" w:eastAsia="Palatino Linotype" w:cs="Times New Roman"/>
          <w:kern w:val="0"/>
          <w14:ligatures w14:val="none"/>
        </w:rPr>
        <w:t xml:space="preserve"> to expand on the </w:t>
      </w:r>
      <w:r w:rsidRPr="00BC778A" w:rsidR="00C22A25">
        <w:rPr>
          <w:rFonts w:ascii="Palatino Linotype" w:hAnsi="Palatino Linotype" w:eastAsia="Palatino Linotype" w:cs="Times New Roman"/>
          <w:kern w:val="0"/>
          <w14:ligatures w14:val="none"/>
        </w:rPr>
        <w:t xml:space="preserve">eligibility requirements set by D.23-11-068 </w:t>
      </w:r>
      <w:r w:rsidRPr="00BC778A" w:rsidR="00A555A8">
        <w:rPr>
          <w:rFonts w:ascii="Palatino Linotype" w:hAnsi="Palatino Linotype" w:eastAsia="Palatino Linotype" w:cs="Times New Roman"/>
          <w:kern w:val="0"/>
          <w14:ligatures w14:val="none"/>
        </w:rPr>
        <w:t xml:space="preserve">by </w:t>
      </w:r>
      <w:r w:rsidRPr="00BC778A" w:rsidR="00C22A25">
        <w:rPr>
          <w:rFonts w:ascii="Palatino Linotype" w:hAnsi="Palatino Linotype" w:eastAsia="Palatino Linotype" w:cs="Times New Roman"/>
          <w:kern w:val="0"/>
          <w14:ligatures w14:val="none"/>
        </w:rPr>
        <w:t>a</w:t>
      </w:r>
      <w:r w:rsidRPr="00BC778A" w:rsidR="005025BB">
        <w:rPr>
          <w:rFonts w:ascii="Palatino Linotype" w:hAnsi="Palatino Linotype" w:eastAsia="Palatino Linotype" w:cs="Times New Roman"/>
          <w:kern w:val="0"/>
          <w14:ligatures w14:val="none"/>
        </w:rPr>
        <w:t>dd</w:t>
      </w:r>
      <w:r w:rsidRPr="00BC778A" w:rsidR="00A555A8">
        <w:rPr>
          <w:rFonts w:ascii="Palatino Linotype" w:hAnsi="Palatino Linotype" w:eastAsia="Palatino Linotype" w:cs="Times New Roman"/>
          <w:kern w:val="0"/>
          <w14:ligatures w14:val="none"/>
        </w:rPr>
        <w:t>ing</w:t>
      </w:r>
      <w:r w:rsidRPr="00BC778A" w:rsidR="005025BB">
        <w:rPr>
          <w:rFonts w:ascii="Palatino Linotype" w:hAnsi="Palatino Linotype" w:eastAsia="Palatino Linotype" w:cs="Times New Roman"/>
          <w:kern w:val="0"/>
          <w14:ligatures w14:val="none"/>
        </w:rPr>
        <w:t xml:space="preserve"> a</w:t>
      </w:r>
      <w:r w:rsidRPr="00BC778A" w:rsidR="00C22A25">
        <w:rPr>
          <w:rFonts w:ascii="Palatino Linotype" w:hAnsi="Palatino Linotype" w:eastAsia="Palatino Linotype" w:cs="Times New Roman"/>
          <w:kern w:val="0"/>
          <w14:ligatures w14:val="none"/>
        </w:rPr>
        <w:t xml:space="preserve"> </w:t>
      </w:r>
      <w:r w:rsidRPr="00BC778A" w:rsidR="004368DD">
        <w:rPr>
          <w:rFonts w:ascii="Palatino Linotype" w:hAnsi="Palatino Linotype" w:eastAsia="Palatino Linotype" w:cs="Times New Roman"/>
          <w:kern w:val="0"/>
          <w14:ligatures w14:val="none"/>
        </w:rPr>
        <w:t xml:space="preserve">generation facility limit of </w:t>
      </w:r>
      <w:r w:rsidR="00A902A2">
        <w:rPr>
          <w:rFonts w:ascii="Palatino Linotype" w:hAnsi="Palatino Linotype" w:eastAsia="Palatino Linotype" w:cs="Times New Roman"/>
          <w:kern w:val="0"/>
          <w14:ligatures w14:val="none"/>
        </w:rPr>
        <w:br/>
      </w:r>
      <w:r w:rsidRPr="00BC778A" w:rsidR="00C22A25">
        <w:rPr>
          <w:rFonts w:ascii="Palatino Linotype" w:hAnsi="Palatino Linotype" w:eastAsia="Palatino Linotype" w:cs="Times New Roman"/>
          <w:kern w:val="0"/>
          <w14:ligatures w14:val="none"/>
        </w:rPr>
        <w:t>20 MW</w:t>
      </w:r>
      <w:r w:rsidRPr="00BC778A" w:rsidR="004368DD">
        <w:rPr>
          <w:rFonts w:ascii="Palatino Linotype" w:hAnsi="Palatino Linotype" w:eastAsia="Palatino Linotype" w:cs="Times New Roman"/>
          <w:kern w:val="0"/>
          <w14:ligatures w14:val="none"/>
        </w:rPr>
        <w:t xml:space="preserve"> based on </w:t>
      </w:r>
      <w:r w:rsidRPr="00BC778A" w:rsidR="0041707A">
        <w:rPr>
          <w:rFonts w:ascii="Palatino Linotype" w:hAnsi="Palatino Linotype" w:eastAsia="Palatino Linotype" w:cs="Times New Roman"/>
          <w:kern w:val="0"/>
          <w14:ligatures w14:val="none"/>
        </w:rPr>
        <w:t>the utility’s “must-take” obligation</w:t>
      </w:r>
      <w:r w:rsidRPr="00BC778A" w:rsidR="002E1A94">
        <w:rPr>
          <w:rFonts w:ascii="Palatino Linotype" w:hAnsi="Palatino Linotype" w:eastAsia="Palatino Linotype" w:cs="Times New Roman"/>
          <w:kern w:val="0"/>
          <w14:ligatures w14:val="none"/>
        </w:rPr>
        <w:t xml:space="preserve"> for qualified facilities under PURPA</w:t>
      </w:r>
      <w:r w:rsidRPr="00BC778A" w:rsidR="00C22A25">
        <w:rPr>
          <w:rFonts w:ascii="Palatino Linotype" w:hAnsi="Palatino Linotype" w:eastAsia="Palatino Linotype" w:cs="Times New Roman"/>
          <w:kern w:val="0"/>
          <w14:ligatures w14:val="none"/>
        </w:rPr>
        <w:t xml:space="preserve">. </w:t>
      </w:r>
      <w:r w:rsidRPr="00BC778A" w:rsidR="002A12FD">
        <w:rPr>
          <w:rFonts w:ascii="Palatino Linotype" w:hAnsi="Palatino Linotype" w:eastAsia="Palatino Linotype" w:cs="Times New Roman"/>
          <w:kern w:val="0"/>
          <w14:ligatures w14:val="none"/>
        </w:rPr>
        <w:t>PG&amp;E</w:t>
      </w:r>
      <w:r w:rsidRPr="00BC778A" w:rsidR="00A555A8">
        <w:rPr>
          <w:rFonts w:ascii="Palatino Linotype" w:hAnsi="Palatino Linotype" w:eastAsia="Palatino Linotype" w:cs="Times New Roman"/>
          <w:kern w:val="0"/>
          <w14:ligatures w14:val="none"/>
        </w:rPr>
        <w:t>’s AL</w:t>
      </w:r>
      <w:r w:rsidRPr="00BC778A" w:rsidR="002A12FD">
        <w:rPr>
          <w:rFonts w:ascii="Palatino Linotype" w:hAnsi="Palatino Linotype" w:eastAsia="Palatino Linotype" w:cs="Times New Roman"/>
          <w:kern w:val="0"/>
          <w14:ligatures w14:val="none"/>
        </w:rPr>
        <w:t xml:space="preserve"> also asserts that </w:t>
      </w:r>
      <w:r w:rsidRPr="00BC778A" w:rsidR="00177BA1">
        <w:rPr>
          <w:rFonts w:ascii="Palatino Linotype" w:hAnsi="Palatino Linotype" w:eastAsia="Palatino Linotype" w:cs="Times New Roman"/>
          <w:kern w:val="0"/>
          <w14:ligatures w14:val="none"/>
        </w:rPr>
        <w:t xml:space="preserve">the staff </w:t>
      </w:r>
      <w:r w:rsidRPr="00BC778A" w:rsidR="002A12FD">
        <w:rPr>
          <w:rFonts w:ascii="Palatino Linotype" w:hAnsi="Palatino Linotype" w:eastAsia="Palatino Linotype" w:cs="Times New Roman"/>
          <w:kern w:val="0"/>
          <w14:ligatures w14:val="none"/>
        </w:rPr>
        <w:t xml:space="preserve">rejection of </w:t>
      </w:r>
      <w:r w:rsidRPr="00BC778A" w:rsidR="00C0029A">
        <w:rPr>
          <w:rFonts w:ascii="Palatino Linotype" w:hAnsi="Palatino Linotype" w:eastAsia="Palatino Linotype" w:cs="Times New Roman"/>
          <w:kern w:val="0"/>
          <w14:ligatures w14:val="none"/>
        </w:rPr>
        <w:t xml:space="preserve">AL </w:t>
      </w:r>
      <w:r w:rsidRPr="00BC778A" w:rsidR="002A12FD">
        <w:rPr>
          <w:rFonts w:ascii="Palatino Linotype" w:hAnsi="Palatino Linotype" w:eastAsia="Palatino Linotype" w:cs="Times New Roman"/>
          <w:kern w:val="0"/>
          <w14:ligatures w14:val="none"/>
        </w:rPr>
        <w:t>7179-E-A</w:t>
      </w:r>
      <w:r w:rsidRPr="00BC778A" w:rsidR="006C6E36">
        <w:rPr>
          <w:rFonts w:ascii="Palatino Linotype" w:hAnsi="Palatino Linotype" w:eastAsia="Palatino Linotype" w:cs="Times New Roman"/>
          <w:kern w:val="0"/>
          <w14:ligatures w14:val="none"/>
        </w:rPr>
        <w:t xml:space="preserve"> was incorrect and erred in its legal reasoning.</w:t>
      </w:r>
      <w:r w:rsidRPr="00BC778A">
        <w:rPr>
          <w:rStyle w:val="FootnoteReference"/>
          <w:rFonts w:ascii="Palatino Linotype" w:hAnsi="Palatino Linotype" w:eastAsia="Palatino Linotype" w:cs="Times New Roman"/>
        </w:rPr>
        <w:footnoteReference w:id="16"/>
      </w:r>
      <w:r w:rsidRPr="00BC778A" w:rsidDel="001B2FD2" w:rsidR="006C6E36">
        <w:rPr>
          <w:rFonts w:ascii="Palatino Linotype" w:hAnsi="Palatino Linotype" w:eastAsia="Palatino Linotype" w:cs="Times New Roman"/>
          <w:kern w:val="0"/>
          <w14:ligatures w14:val="none"/>
        </w:rPr>
        <w:t xml:space="preserve"> </w:t>
      </w:r>
    </w:p>
    <w:p w:rsidRPr="00BC778A" w:rsidR="00C867BC" w:rsidP="00A76F4A" w:rsidRDefault="00C867BC" w14:paraId="4C68AF49" w14:textId="77777777">
      <w:pPr>
        <w:spacing w:after="0" w:line="240" w:lineRule="auto"/>
        <w:rPr>
          <w:rFonts w:ascii="Palatino Linotype" w:hAnsi="Palatino Linotype" w:eastAsia="Palatino Linotype" w:cs="Times New Roman"/>
          <w:bCs/>
          <w:kern w:val="0"/>
          <w14:ligatures w14:val="none"/>
        </w:rPr>
      </w:pPr>
    </w:p>
    <w:p w:rsidRPr="00BC778A" w:rsidR="00C31A6C" w:rsidP="0D81AD8E" w:rsidRDefault="00271A4E" w14:paraId="0125B208" w14:textId="0291EB55">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Subsequently, </w:t>
      </w:r>
      <w:r w:rsidRPr="00BC778A" w:rsidR="006C6E36">
        <w:rPr>
          <w:rFonts w:ascii="Palatino Linotype" w:hAnsi="Palatino Linotype" w:eastAsia="Palatino Linotype" w:cs="Times New Roman"/>
          <w:kern w:val="0"/>
          <w14:ligatures w14:val="none"/>
        </w:rPr>
        <w:t xml:space="preserve">SDG&amp;E submitted AL </w:t>
      </w:r>
      <w:r w:rsidRPr="00BC778A" w:rsidR="00BD1EBC">
        <w:rPr>
          <w:rFonts w:ascii="Palatino Linotype" w:hAnsi="Palatino Linotype" w:eastAsia="Palatino Linotype" w:cs="Times New Roman"/>
          <w:kern w:val="0"/>
          <w14:ligatures w14:val="none"/>
        </w:rPr>
        <w:t xml:space="preserve">4664-E on </w:t>
      </w:r>
      <w:r w:rsidRPr="00BC778A" w:rsidR="00030D8A">
        <w:rPr>
          <w:rFonts w:ascii="Palatino Linotype" w:hAnsi="Palatino Linotype" w:eastAsia="Palatino Linotype" w:cs="Times New Roman"/>
          <w:kern w:val="0"/>
          <w14:ligatures w14:val="none"/>
        </w:rPr>
        <w:t xml:space="preserve">May 27, 2025, </w:t>
      </w:r>
      <w:r w:rsidRPr="00BC778A" w:rsidR="00F869AA">
        <w:rPr>
          <w:rFonts w:ascii="Palatino Linotype" w:hAnsi="Palatino Linotype" w:eastAsia="Palatino Linotype" w:cs="Times New Roman"/>
          <w:kern w:val="0"/>
          <w14:ligatures w14:val="none"/>
        </w:rPr>
        <w:t>with</w:t>
      </w:r>
      <w:r w:rsidRPr="00BC778A" w:rsidDel="00A555A8" w:rsidR="00F869AA">
        <w:rPr>
          <w:rFonts w:ascii="Palatino Linotype" w:hAnsi="Palatino Linotype" w:eastAsia="Palatino Linotype" w:cs="Times New Roman"/>
          <w:kern w:val="0"/>
          <w14:ligatures w14:val="none"/>
        </w:rPr>
        <w:t xml:space="preserve"> </w:t>
      </w:r>
      <w:r w:rsidRPr="00BC778A" w:rsidR="00A555A8">
        <w:rPr>
          <w:rFonts w:ascii="Palatino Linotype" w:hAnsi="Palatino Linotype" w:eastAsia="Palatino Linotype" w:cs="Times New Roman"/>
          <w:kern w:val="0"/>
          <w14:ligatures w14:val="none"/>
        </w:rPr>
        <w:t>its</w:t>
      </w:r>
      <w:r w:rsidRPr="00BC778A" w:rsidR="00F869AA">
        <w:rPr>
          <w:rFonts w:ascii="Palatino Linotype" w:hAnsi="Palatino Linotype" w:eastAsia="Palatino Linotype" w:cs="Times New Roman"/>
          <w:kern w:val="0"/>
          <w14:ligatures w14:val="none"/>
        </w:rPr>
        <w:t xml:space="preserve"> </w:t>
      </w:r>
      <w:r w:rsidRPr="00BC778A" w:rsidR="00A555A8">
        <w:rPr>
          <w:rFonts w:ascii="Palatino Linotype" w:hAnsi="Palatino Linotype" w:eastAsia="Palatino Linotype" w:cs="Times New Roman"/>
          <w:kern w:val="0"/>
          <w14:ligatures w14:val="none"/>
        </w:rPr>
        <w:t xml:space="preserve">proposed </w:t>
      </w:r>
      <w:r w:rsidRPr="00BC778A" w:rsidR="00F869AA">
        <w:rPr>
          <w:rFonts w:ascii="Palatino Linotype" w:hAnsi="Palatino Linotype" w:eastAsia="Palatino Linotype" w:cs="Times New Roman"/>
          <w:kern w:val="0"/>
          <w14:ligatures w14:val="none"/>
        </w:rPr>
        <w:t>PUR</w:t>
      </w:r>
      <w:r w:rsidRPr="00BC778A" w:rsidR="008F7F4C">
        <w:rPr>
          <w:rFonts w:ascii="Palatino Linotype" w:hAnsi="Palatino Linotype" w:eastAsia="Palatino Linotype" w:cs="Times New Roman"/>
          <w:kern w:val="0"/>
          <w14:ligatures w14:val="none"/>
        </w:rPr>
        <w:t>P</w:t>
      </w:r>
      <w:r w:rsidRPr="00BC778A" w:rsidR="00F869AA">
        <w:rPr>
          <w:rFonts w:ascii="Palatino Linotype" w:hAnsi="Palatino Linotype" w:eastAsia="Palatino Linotype" w:cs="Times New Roman"/>
          <w:kern w:val="0"/>
          <w14:ligatures w14:val="none"/>
        </w:rPr>
        <w:t xml:space="preserve">A </w:t>
      </w:r>
      <w:proofErr w:type="gramStart"/>
      <w:r w:rsidR="00B16267">
        <w:rPr>
          <w:rFonts w:ascii="Palatino Linotype" w:hAnsi="Palatino Linotype" w:eastAsia="Palatino Linotype" w:cs="Times New Roman"/>
          <w:kern w:val="0"/>
          <w14:ligatures w14:val="none"/>
        </w:rPr>
        <w:t>compliant</w:t>
      </w:r>
      <w:proofErr w:type="gramEnd"/>
      <w:r w:rsidR="00B16267">
        <w:rPr>
          <w:rFonts w:ascii="Palatino Linotype" w:hAnsi="Palatino Linotype" w:eastAsia="Palatino Linotype" w:cs="Times New Roman"/>
          <w:kern w:val="0"/>
          <w14:ligatures w14:val="none"/>
        </w:rPr>
        <w:t xml:space="preserve"> compensated export </w:t>
      </w:r>
      <w:r w:rsidRPr="00BC778A" w:rsidR="00F869AA">
        <w:rPr>
          <w:rFonts w:ascii="Palatino Linotype" w:hAnsi="Palatino Linotype" w:eastAsia="Palatino Linotype" w:cs="Times New Roman"/>
          <w:kern w:val="0"/>
          <w14:ligatures w14:val="none"/>
        </w:rPr>
        <w:t>tariff</w:t>
      </w:r>
      <w:r w:rsidRPr="00BC778A" w:rsidR="70E4F3C0">
        <w:rPr>
          <w:rFonts w:ascii="Palatino Linotype" w:hAnsi="Palatino Linotype" w:eastAsia="Palatino Linotype" w:cs="Times New Roman"/>
          <w:kern w:val="0"/>
          <w14:ligatures w14:val="none"/>
        </w:rPr>
        <w:t xml:space="preserve"> and removed the 20 MW capacity limit</w:t>
      </w:r>
      <w:r w:rsidRPr="00BC778A" w:rsidR="00A555A8">
        <w:rPr>
          <w:rFonts w:ascii="Palatino Linotype" w:hAnsi="Palatino Linotype" w:eastAsia="Palatino Linotype" w:cs="Times New Roman"/>
          <w:kern w:val="0"/>
          <w14:ligatures w14:val="none"/>
        </w:rPr>
        <w:t>.</w:t>
      </w:r>
      <w:r w:rsidRPr="00BC778A" w:rsidR="00F869AA">
        <w:rPr>
          <w:rFonts w:ascii="Palatino Linotype" w:hAnsi="Palatino Linotype" w:eastAsia="Palatino Linotype" w:cs="Times New Roman"/>
          <w:kern w:val="0"/>
          <w14:ligatures w14:val="none"/>
        </w:rPr>
        <w:t xml:space="preserve"> SDG&amp;E states an opinion in its cover letter that </w:t>
      </w:r>
      <w:r w:rsidRPr="00BC778A" w:rsidR="004D213E">
        <w:rPr>
          <w:rFonts w:ascii="Palatino Linotype" w:hAnsi="Palatino Linotype" w:eastAsia="Palatino Linotype" w:cs="Times New Roman"/>
          <w:kern w:val="0"/>
          <w14:ligatures w14:val="none"/>
        </w:rPr>
        <w:t>a 20</w:t>
      </w:r>
      <w:r w:rsidRPr="00BC778A" w:rsidR="0020031E">
        <w:rPr>
          <w:rFonts w:ascii="Palatino Linotype" w:hAnsi="Palatino Linotype" w:eastAsia="Palatino Linotype" w:cs="Times New Roman"/>
          <w:kern w:val="0"/>
          <w14:ligatures w14:val="none"/>
        </w:rPr>
        <w:t xml:space="preserve"> </w:t>
      </w:r>
      <w:r w:rsidRPr="00BC778A" w:rsidR="004D213E">
        <w:rPr>
          <w:rFonts w:ascii="Palatino Linotype" w:hAnsi="Palatino Linotype" w:eastAsia="Palatino Linotype" w:cs="Times New Roman"/>
          <w:kern w:val="0"/>
          <w14:ligatures w14:val="none"/>
        </w:rPr>
        <w:t xml:space="preserve">MW capacity matches </w:t>
      </w:r>
      <w:r w:rsidRPr="00BC778A" w:rsidR="00C4209B">
        <w:rPr>
          <w:rFonts w:ascii="Palatino Linotype" w:hAnsi="Palatino Linotype" w:eastAsia="Palatino Linotype" w:cs="Times New Roman"/>
          <w:kern w:val="0"/>
          <w14:ligatures w14:val="none"/>
        </w:rPr>
        <w:t>the pricing scheme</w:t>
      </w:r>
      <w:r w:rsidRPr="00BC778A" w:rsidR="00A555A8">
        <w:rPr>
          <w:rFonts w:ascii="Palatino Linotype" w:hAnsi="Palatino Linotype" w:eastAsia="Palatino Linotype" w:cs="Times New Roman"/>
          <w:kern w:val="0"/>
          <w14:ligatures w14:val="none"/>
        </w:rPr>
        <w:t xml:space="preserve"> established</w:t>
      </w:r>
      <w:r w:rsidRPr="00BC778A" w:rsidR="00C4209B">
        <w:rPr>
          <w:rFonts w:ascii="Palatino Linotype" w:hAnsi="Palatino Linotype" w:eastAsia="Palatino Linotype" w:cs="Times New Roman"/>
          <w:kern w:val="0"/>
          <w14:ligatures w14:val="none"/>
        </w:rPr>
        <w:t xml:space="preserve"> </w:t>
      </w:r>
      <w:r w:rsidRPr="00BC778A" w:rsidR="0020031E">
        <w:rPr>
          <w:rFonts w:ascii="Palatino Linotype" w:hAnsi="Palatino Linotype" w:eastAsia="Palatino Linotype" w:cs="Times New Roman"/>
          <w:kern w:val="0"/>
          <w14:ligatures w14:val="none"/>
        </w:rPr>
        <w:t>by</w:t>
      </w:r>
      <w:r w:rsidRPr="00BC778A" w:rsidR="00AE3FBE">
        <w:rPr>
          <w:rFonts w:ascii="Palatino Linotype" w:hAnsi="Palatino Linotype" w:eastAsia="Palatino Linotype" w:cs="Times New Roman"/>
          <w:kern w:val="0"/>
          <w14:ligatures w14:val="none"/>
        </w:rPr>
        <w:t xml:space="preserve"> </w:t>
      </w:r>
      <w:r w:rsidRPr="00BC778A" w:rsidR="00C4209B">
        <w:rPr>
          <w:rFonts w:ascii="Palatino Linotype" w:hAnsi="Palatino Linotype" w:eastAsia="Palatino Linotype" w:cs="Times New Roman"/>
          <w:kern w:val="0"/>
          <w14:ligatures w14:val="none"/>
        </w:rPr>
        <w:t>D.20-05-006</w:t>
      </w:r>
      <w:r w:rsidRPr="00BC778A" w:rsidR="00AE3FBE">
        <w:rPr>
          <w:rFonts w:ascii="Palatino Linotype" w:hAnsi="Palatino Linotype" w:eastAsia="Palatino Linotype" w:cs="Times New Roman"/>
          <w:kern w:val="0"/>
          <w14:ligatures w14:val="none"/>
        </w:rPr>
        <w:t xml:space="preserve"> and </w:t>
      </w:r>
      <w:r w:rsidRPr="00BC778A" w:rsidR="00A555A8">
        <w:rPr>
          <w:rFonts w:ascii="Palatino Linotype" w:hAnsi="Palatino Linotype" w:eastAsia="Palatino Linotype" w:cs="Times New Roman"/>
          <w:kern w:val="0"/>
          <w14:ligatures w14:val="none"/>
        </w:rPr>
        <w:t xml:space="preserve">that SDG&amp;E </w:t>
      </w:r>
      <w:r w:rsidRPr="00BC778A" w:rsidR="00A8350B">
        <w:rPr>
          <w:rFonts w:ascii="Palatino Linotype" w:hAnsi="Palatino Linotype" w:eastAsia="Palatino Linotype" w:cs="Times New Roman"/>
          <w:kern w:val="0"/>
          <w14:ligatures w14:val="none"/>
        </w:rPr>
        <w:t>submitted</w:t>
      </w:r>
      <w:r w:rsidRPr="00BC778A" w:rsidR="00AE3FBE">
        <w:rPr>
          <w:rFonts w:ascii="Palatino Linotype" w:hAnsi="Palatino Linotype" w:eastAsia="Palatino Linotype" w:cs="Times New Roman"/>
          <w:kern w:val="0"/>
          <w14:ligatures w14:val="none"/>
        </w:rPr>
        <w:t xml:space="preserve"> </w:t>
      </w:r>
      <w:r w:rsidRPr="00BC778A" w:rsidR="006E734F">
        <w:rPr>
          <w:rFonts w:ascii="Palatino Linotype" w:hAnsi="Palatino Linotype" w:eastAsia="Palatino Linotype" w:cs="Times New Roman"/>
          <w:kern w:val="0"/>
          <w14:ligatures w14:val="none"/>
        </w:rPr>
        <w:t xml:space="preserve">its </w:t>
      </w:r>
      <w:r w:rsidRPr="00BC778A" w:rsidR="00AE3FBE">
        <w:rPr>
          <w:rFonts w:ascii="Palatino Linotype" w:hAnsi="Palatino Linotype" w:eastAsia="Palatino Linotype" w:cs="Times New Roman"/>
          <w:kern w:val="0"/>
          <w14:ligatures w14:val="none"/>
        </w:rPr>
        <w:t>AL under protest</w:t>
      </w:r>
      <w:r w:rsidRPr="00BC778A" w:rsidR="00C4209B">
        <w:rPr>
          <w:rFonts w:ascii="Palatino Linotype" w:hAnsi="Palatino Linotype" w:eastAsia="Palatino Linotype" w:cs="Times New Roman"/>
          <w:kern w:val="0"/>
          <w14:ligatures w14:val="none"/>
        </w:rPr>
        <w:t>.</w:t>
      </w:r>
      <w:r w:rsidRPr="00BC778A">
        <w:rPr>
          <w:rStyle w:val="FootnoteReference"/>
          <w:rFonts w:ascii="Palatino Linotype" w:hAnsi="Palatino Linotype" w:eastAsia="Palatino Linotype" w:cs="Times New Roman"/>
        </w:rPr>
        <w:footnoteReference w:id="17"/>
      </w:r>
      <w:r w:rsidRPr="00BC778A" w:rsidR="00C4209B">
        <w:rPr>
          <w:rFonts w:ascii="Palatino Linotype" w:hAnsi="Palatino Linotype" w:eastAsia="Palatino Linotype" w:cs="Times New Roman"/>
          <w:kern w:val="0"/>
          <w14:ligatures w14:val="none"/>
        </w:rPr>
        <w:t xml:space="preserve"> </w:t>
      </w:r>
    </w:p>
    <w:p w:rsidRPr="00BC778A" w:rsidR="00C31A6C" w:rsidP="0D81AD8E" w:rsidRDefault="00C31A6C" w14:paraId="26A17DFC" w14:textId="77777777">
      <w:pPr>
        <w:spacing w:after="0" w:line="240" w:lineRule="auto"/>
        <w:rPr>
          <w:rFonts w:ascii="Palatino Linotype" w:hAnsi="Palatino Linotype" w:eastAsia="Palatino Linotype" w:cs="Times New Roman"/>
          <w:kern w:val="0"/>
          <w14:ligatures w14:val="none"/>
        </w:rPr>
      </w:pPr>
    </w:p>
    <w:p w:rsidRPr="00BC778A" w:rsidR="00C31A6C" w:rsidDel="00C31A6C" w:rsidP="0D81AD8E" w:rsidRDefault="00C31A6C" w14:paraId="0EBC9292" w14:textId="4DF10C0B">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Neither PG&amp;E’s</w:t>
      </w:r>
      <w:r w:rsidRPr="00BC778A">
        <w:rPr>
          <w:rFonts w:ascii="Palatino Linotype" w:hAnsi="Palatino Linotype" w:eastAsia="Palatino Linotype" w:cs="Times New Roman"/>
        </w:rPr>
        <w:t xml:space="preserve"> </w:t>
      </w:r>
      <w:r w:rsidRPr="00BC778A" w:rsidR="2AF3AB79">
        <w:rPr>
          <w:rFonts w:ascii="Palatino Linotype" w:hAnsi="Palatino Linotype" w:eastAsia="Times New Roman" w:cs="Times New Roman"/>
        </w:rPr>
        <w:t xml:space="preserve">AL 7606-E or SDG&amp;E AL </w:t>
      </w:r>
      <w:r w:rsidRPr="00BC778A" w:rsidR="2AF3AB79">
        <w:rPr>
          <w:rFonts w:ascii="Palatino Linotype" w:hAnsi="Palatino Linotype" w:eastAsia="Palatino Linotype" w:cs="Times New Roman"/>
        </w:rPr>
        <w:t>4664-E</w:t>
      </w:r>
      <w:r w:rsidRPr="00BC778A" w:rsidR="2AF3AB79">
        <w:rPr>
          <w:rFonts w:ascii="Palatino Linotype" w:hAnsi="Palatino Linotype" w:eastAsia="Palatino Linotype" w:cs="Times New Roman"/>
          <w:kern w:val="0"/>
          <w14:ligatures w14:val="none"/>
        </w:rPr>
        <w:t xml:space="preserve"> </w:t>
      </w:r>
      <w:r w:rsidRPr="00BC778A">
        <w:rPr>
          <w:rFonts w:ascii="Palatino Linotype" w:hAnsi="Palatino Linotype" w:eastAsia="Palatino Linotype" w:cs="Times New Roman"/>
          <w:kern w:val="0"/>
          <w14:ligatures w14:val="none"/>
        </w:rPr>
        <w:t>were protested.</w:t>
      </w:r>
      <w:r w:rsidRPr="00BC778A">
        <w:rPr>
          <w:rFonts w:ascii="Palatino Linotype" w:hAnsi="Palatino Linotype" w:eastAsia="Palatino Linotype" w:cs="Times New Roman"/>
        </w:rPr>
        <w:t xml:space="preserve"> </w:t>
      </w:r>
    </w:p>
    <w:p w:rsidRPr="00BC778A" w:rsidR="001B2FD2" w:rsidDel="00C31A6C" w:rsidP="0D81AD8E" w:rsidRDefault="001B2FD2" w14:paraId="53C22FF5" w14:textId="03FCED20">
      <w:pPr>
        <w:spacing w:after="0" w:line="240" w:lineRule="auto"/>
        <w:rPr>
          <w:rFonts w:ascii="Palatino Linotype" w:hAnsi="Palatino Linotype" w:eastAsia="Palatino Linotype" w:cs="Times New Roman"/>
          <w:kern w:val="0"/>
          <w14:ligatures w14:val="none"/>
        </w:rPr>
      </w:pPr>
    </w:p>
    <w:p w:rsidRPr="00BC778A" w:rsidR="00AE3FBE" w:rsidP="0D81AD8E" w:rsidRDefault="307A44B8" w14:paraId="3CD4E21E" w14:textId="3D14BD00">
      <w:pPr>
        <w:spacing w:after="0" w:line="240" w:lineRule="auto"/>
        <w:rPr>
          <w:rFonts w:ascii="Palatino Linotype" w:hAnsi="Palatino Linotype" w:eastAsia="Palatino Linotype" w:cs="Times New Roman"/>
        </w:rPr>
      </w:pPr>
      <w:r w:rsidRPr="40B28178">
        <w:rPr>
          <w:rFonts w:ascii="Palatino Linotype" w:hAnsi="Palatino Linotype" w:eastAsia="Palatino Linotype" w:cs="Times New Roman"/>
        </w:rPr>
        <w:t xml:space="preserve">In its review of </w:t>
      </w:r>
      <w:r w:rsidRPr="40B28178" w:rsidR="10987A0D">
        <w:rPr>
          <w:rFonts w:ascii="Palatino Linotype" w:hAnsi="Palatino Linotype" w:eastAsia="Palatino Linotype" w:cs="Times New Roman"/>
        </w:rPr>
        <w:t xml:space="preserve">PG&amp;E </w:t>
      </w:r>
      <w:r w:rsidRPr="40B28178">
        <w:rPr>
          <w:rFonts w:ascii="Palatino Linotype" w:hAnsi="Palatino Linotype" w:eastAsia="Palatino Linotype" w:cs="Times New Roman"/>
        </w:rPr>
        <w:t xml:space="preserve">AL 7606-E and SDG&amp;E AL 4664-E, </w:t>
      </w:r>
      <w:r w:rsidRPr="40B28178" w:rsidR="6F58DE33">
        <w:rPr>
          <w:rFonts w:ascii="Palatino Linotype" w:hAnsi="Palatino Linotype" w:eastAsia="Palatino Linotype" w:cs="Times New Roman"/>
        </w:rPr>
        <w:t>the Commission</w:t>
      </w:r>
      <w:r w:rsidRPr="40B28178">
        <w:rPr>
          <w:rFonts w:ascii="Palatino Linotype" w:hAnsi="Palatino Linotype" w:eastAsia="Palatino Linotype" w:cs="Times New Roman"/>
        </w:rPr>
        <w:t xml:space="preserve"> finds that the proposed PURPA </w:t>
      </w:r>
      <w:proofErr w:type="gramStart"/>
      <w:r w:rsidRPr="40B28178">
        <w:rPr>
          <w:rFonts w:ascii="Palatino Linotype" w:hAnsi="Palatino Linotype" w:eastAsia="Palatino Linotype" w:cs="Times New Roman"/>
        </w:rPr>
        <w:t>compliant</w:t>
      </w:r>
      <w:proofErr w:type="gramEnd"/>
      <w:r w:rsidRPr="40B28178" w:rsidR="00B16267">
        <w:rPr>
          <w:rFonts w:ascii="Palatino Linotype" w:hAnsi="Palatino Linotype" w:eastAsia="Palatino Linotype" w:cs="Times New Roman"/>
        </w:rPr>
        <w:t xml:space="preserve"> compensated export</w:t>
      </w:r>
      <w:r w:rsidRPr="40B28178">
        <w:rPr>
          <w:rFonts w:ascii="Palatino Linotype" w:hAnsi="Palatino Linotype" w:eastAsia="Palatino Linotype" w:cs="Times New Roman"/>
        </w:rPr>
        <w:t xml:space="preserve"> tariff comports with D.23-11-068</w:t>
      </w:r>
      <w:r w:rsidR="00DC47CE">
        <w:rPr>
          <w:rFonts w:ascii="Palatino Linotype" w:hAnsi="Palatino Linotype" w:eastAsia="Palatino Linotype" w:cs="Times New Roman"/>
        </w:rPr>
        <w:t xml:space="preserve">. </w:t>
      </w:r>
      <w:r w:rsidRPr="40B28178">
        <w:rPr>
          <w:rFonts w:ascii="Palatino Linotype" w:hAnsi="Palatino Linotype" w:eastAsia="Palatino Linotype" w:cs="Times New Roman"/>
        </w:rPr>
        <w:t xml:space="preserve">However, </w:t>
      </w:r>
      <w:r w:rsidR="00DC47CE">
        <w:rPr>
          <w:rFonts w:ascii="Palatino Linotype" w:hAnsi="Palatino Linotype" w:eastAsia="Palatino Linotype" w:cs="Times New Roman"/>
        </w:rPr>
        <w:t>w</w:t>
      </w:r>
      <w:r w:rsidRPr="40B28178" w:rsidR="161C9CF0">
        <w:rPr>
          <w:rFonts w:ascii="Palatino Linotype" w:hAnsi="Palatino Linotype" w:eastAsia="Palatino Linotype" w:cs="Times New Roman"/>
        </w:rPr>
        <w:t xml:space="preserve">e understand from the cover letters </w:t>
      </w:r>
      <w:r w:rsidRPr="40B28178" w:rsidR="0A8796CD">
        <w:rPr>
          <w:rFonts w:ascii="Palatino Linotype" w:hAnsi="Palatino Linotype" w:eastAsia="Palatino Linotype" w:cs="Times New Roman"/>
        </w:rPr>
        <w:t xml:space="preserve">that </w:t>
      </w:r>
      <w:r w:rsidRPr="40B28178" w:rsidR="161C9CF0">
        <w:rPr>
          <w:rFonts w:ascii="Palatino Linotype" w:hAnsi="Palatino Linotype" w:eastAsia="Palatino Linotype" w:cs="Times New Roman"/>
        </w:rPr>
        <w:t xml:space="preserve">each </w:t>
      </w:r>
      <w:proofErr w:type="gramStart"/>
      <w:r w:rsidRPr="40B28178" w:rsidR="161C9CF0">
        <w:rPr>
          <w:rFonts w:ascii="Palatino Linotype" w:hAnsi="Palatino Linotype" w:eastAsia="Palatino Linotype" w:cs="Times New Roman"/>
        </w:rPr>
        <w:t>utilities’</w:t>
      </w:r>
      <w:proofErr w:type="gramEnd"/>
      <w:r w:rsidRPr="40B28178" w:rsidR="161C9CF0">
        <w:rPr>
          <w:rFonts w:ascii="Palatino Linotype" w:hAnsi="Palatino Linotype" w:eastAsia="Palatino Linotype" w:cs="Times New Roman"/>
        </w:rPr>
        <w:t xml:space="preserve"> opinion </w:t>
      </w:r>
      <w:r w:rsidRPr="40B28178" w:rsidR="4FFE44D3">
        <w:rPr>
          <w:rFonts w:ascii="Palatino Linotype" w:hAnsi="Palatino Linotype" w:eastAsia="Palatino Linotype" w:cs="Times New Roman"/>
        </w:rPr>
        <w:t xml:space="preserve">is that </w:t>
      </w:r>
      <w:r w:rsidRPr="40B28178" w:rsidR="161C9CF0">
        <w:rPr>
          <w:rFonts w:ascii="Palatino Linotype" w:hAnsi="Palatino Linotype" w:eastAsia="Palatino Linotype" w:cs="Times New Roman"/>
        </w:rPr>
        <w:t>a</w:t>
      </w:r>
      <w:r w:rsidRPr="40B28178" w:rsidR="11DF17EB">
        <w:rPr>
          <w:rFonts w:ascii="Palatino Linotype" w:hAnsi="Palatino Linotype" w:eastAsia="Palatino Linotype" w:cs="Times New Roman"/>
        </w:rPr>
        <w:t xml:space="preserve"> capacity</w:t>
      </w:r>
      <w:r w:rsidRPr="40B28178" w:rsidR="161C9CF0">
        <w:rPr>
          <w:rFonts w:ascii="Palatino Linotype" w:hAnsi="Palatino Linotype" w:eastAsia="Palatino Linotype" w:cs="Times New Roman"/>
        </w:rPr>
        <w:t xml:space="preserve"> limit</w:t>
      </w:r>
      <w:r w:rsidRPr="40B28178" w:rsidR="0A43DBE5">
        <w:rPr>
          <w:rFonts w:ascii="Palatino Linotype" w:hAnsi="Palatino Linotype" w:eastAsia="Palatino Linotype" w:cs="Times New Roman"/>
        </w:rPr>
        <w:t xml:space="preserve"> of 20 MW per REGF</w:t>
      </w:r>
      <w:r w:rsidRPr="40B28178" w:rsidR="161C9CF0">
        <w:rPr>
          <w:rFonts w:ascii="Palatino Linotype" w:hAnsi="Palatino Linotype" w:eastAsia="Palatino Linotype" w:cs="Times New Roman"/>
        </w:rPr>
        <w:t xml:space="preserve"> should be included. </w:t>
      </w:r>
    </w:p>
    <w:p w:rsidRPr="00BC778A" w:rsidR="001735B8" w:rsidP="0D81AD8E" w:rsidRDefault="001735B8" w14:paraId="1014BDAA" w14:textId="77777777">
      <w:pPr>
        <w:spacing w:after="0" w:line="240" w:lineRule="auto"/>
        <w:rPr>
          <w:rFonts w:ascii="Palatino Linotype" w:hAnsi="Palatino Linotype" w:eastAsia="Palatino Linotype" w:cs="Times New Roman"/>
          <w:kern w:val="0"/>
          <w14:ligatures w14:val="none"/>
        </w:rPr>
      </w:pPr>
    </w:p>
    <w:p w:rsidRPr="00BC778A" w:rsidR="0D81AD8E" w:rsidP="0D81AD8E" w:rsidRDefault="248843B4" w14:paraId="1B322767" w14:textId="1D8C130A">
      <w:pPr>
        <w:spacing w:after="0" w:line="240" w:lineRule="auto"/>
        <w:rPr>
          <w:rFonts w:ascii="Palatino Linotype" w:hAnsi="Palatino Linotype" w:eastAsia="Palatino Linotype" w:cs="Times New Roman"/>
        </w:rPr>
      </w:pPr>
      <w:r w:rsidRPr="40B28178">
        <w:rPr>
          <w:rFonts w:ascii="Palatino Linotype" w:hAnsi="Palatino Linotype" w:eastAsia="Palatino Linotype" w:cs="Times New Roman"/>
        </w:rPr>
        <w:t xml:space="preserve">The policy matter at hand, whether to add a 20 MW capacity limit, is </w:t>
      </w:r>
      <w:r w:rsidRPr="40B28178" w:rsidR="37B03609">
        <w:rPr>
          <w:rFonts w:ascii="Palatino Linotype" w:hAnsi="Palatino Linotype" w:eastAsia="Palatino Linotype" w:cs="Times New Roman"/>
        </w:rPr>
        <w:t xml:space="preserve">a specific and </w:t>
      </w:r>
      <w:r w:rsidRPr="40B28178" w:rsidR="24A0DA41">
        <w:rPr>
          <w:rFonts w:ascii="Palatino Linotype" w:hAnsi="Palatino Linotype" w:eastAsia="Palatino Linotype" w:cs="Times New Roman"/>
        </w:rPr>
        <w:t xml:space="preserve">discrete </w:t>
      </w:r>
      <w:r w:rsidRPr="40B28178" w:rsidR="37B03609">
        <w:rPr>
          <w:rFonts w:ascii="Palatino Linotype" w:hAnsi="Palatino Linotype" w:eastAsia="Palatino Linotype" w:cs="Times New Roman"/>
        </w:rPr>
        <w:t>issue</w:t>
      </w:r>
      <w:r w:rsidRPr="40B28178" w:rsidR="25730901">
        <w:rPr>
          <w:rFonts w:ascii="Palatino Linotype" w:hAnsi="Palatino Linotype" w:eastAsia="Palatino Linotype" w:cs="Times New Roman"/>
        </w:rPr>
        <w:t xml:space="preserve">. </w:t>
      </w:r>
      <w:r w:rsidRPr="40B28178" w:rsidR="490B98B0">
        <w:rPr>
          <w:rFonts w:ascii="Palatino Linotype" w:hAnsi="Palatino Linotype" w:eastAsia="Palatino Linotype" w:cs="Times New Roman"/>
        </w:rPr>
        <w:t>Accordingly,</w:t>
      </w:r>
      <w:r w:rsidRPr="40B28178">
        <w:rPr>
          <w:rFonts w:ascii="Palatino Linotype" w:hAnsi="Palatino Linotype" w:eastAsia="Palatino Linotype" w:cs="Times New Roman"/>
        </w:rPr>
        <w:t xml:space="preserve"> we </w:t>
      </w:r>
      <w:r w:rsidRPr="40B28178" w:rsidR="70DCE55A">
        <w:rPr>
          <w:rFonts w:ascii="Palatino Linotype" w:hAnsi="Palatino Linotype" w:eastAsia="Palatino Linotype" w:cs="Times New Roman"/>
        </w:rPr>
        <w:t xml:space="preserve">determine that the advice letters can </w:t>
      </w:r>
      <w:r w:rsidRPr="40B28178" w:rsidR="00144694">
        <w:rPr>
          <w:rFonts w:ascii="Palatino Linotype" w:hAnsi="Palatino Linotype" w:eastAsia="Palatino Linotype" w:cs="Times New Roman"/>
        </w:rPr>
        <w:t xml:space="preserve">be processed with </w:t>
      </w:r>
      <w:r w:rsidRPr="40B28178" w:rsidR="73C91A8A">
        <w:rPr>
          <w:rFonts w:ascii="Palatino Linotype" w:hAnsi="Palatino Linotype" w:eastAsia="Palatino Linotype" w:cs="Times New Roman"/>
        </w:rPr>
        <w:t xml:space="preserve">a </w:t>
      </w:r>
      <w:r w:rsidRPr="40B28178" w:rsidR="005F46AD">
        <w:rPr>
          <w:rFonts w:ascii="Palatino Linotype" w:hAnsi="Palatino Linotype" w:eastAsia="Palatino Linotype" w:cs="Times New Roman"/>
        </w:rPr>
        <w:t>T</w:t>
      </w:r>
      <w:r w:rsidRPr="40B28178" w:rsidR="5E8DDB09">
        <w:rPr>
          <w:rFonts w:ascii="Palatino Linotype" w:hAnsi="Palatino Linotype" w:eastAsia="Palatino Linotype" w:cs="Times New Roman"/>
        </w:rPr>
        <w:t>ier 3</w:t>
      </w:r>
      <w:r w:rsidRPr="40B28178" w:rsidR="3A39D0C9">
        <w:rPr>
          <w:rFonts w:ascii="Palatino Linotype" w:hAnsi="Palatino Linotype" w:eastAsia="Palatino Linotype" w:cs="Times New Roman"/>
        </w:rPr>
        <w:t xml:space="preserve"> </w:t>
      </w:r>
      <w:r w:rsidRPr="40B28178" w:rsidR="2AFA3D51">
        <w:rPr>
          <w:rFonts w:ascii="Palatino Linotype" w:hAnsi="Palatino Linotype" w:eastAsia="Palatino Linotype" w:cs="Times New Roman"/>
        </w:rPr>
        <w:t xml:space="preserve">designation satisfying </w:t>
      </w:r>
      <w:r w:rsidRPr="40B28178" w:rsidR="5E8DDB09">
        <w:rPr>
          <w:rFonts w:ascii="Palatino Linotype" w:hAnsi="Palatino Linotype" w:eastAsia="Palatino Linotype" w:cs="Times New Roman"/>
        </w:rPr>
        <w:t>Ge</w:t>
      </w:r>
      <w:r w:rsidRPr="40B28178" w:rsidR="4BF2A02D">
        <w:rPr>
          <w:rFonts w:ascii="Palatino Linotype" w:hAnsi="Palatino Linotype" w:eastAsia="Palatino Linotype" w:cs="Times New Roman"/>
        </w:rPr>
        <w:t>ne</w:t>
      </w:r>
      <w:r w:rsidRPr="40B28178" w:rsidR="5E8DDB09">
        <w:rPr>
          <w:rFonts w:ascii="Palatino Linotype" w:hAnsi="Palatino Linotype" w:eastAsia="Palatino Linotype" w:cs="Times New Roman"/>
        </w:rPr>
        <w:t>ral Order 9</w:t>
      </w:r>
      <w:r w:rsidRPr="40B28178" w:rsidR="7D19547C">
        <w:rPr>
          <w:rFonts w:ascii="Palatino Linotype" w:hAnsi="Palatino Linotype" w:eastAsia="Palatino Linotype" w:cs="Times New Roman"/>
        </w:rPr>
        <w:t>6-B</w:t>
      </w:r>
      <w:r w:rsidRPr="40B28178" w:rsidR="5E8DDB09">
        <w:rPr>
          <w:rFonts w:ascii="Palatino Linotype" w:hAnsi="Palatino Linotype" w:eastAsia="Palatino Linotype" w:cs="Times New Roman"/>
        </w:rPr>
        <w:t xml:space="preserve"> </w:t>
      </w:r>
      <w:r w:rsidRPr="40B28178" w:rsidR="7D19547C">
        <w:rPr>
          <w:rFonts w:ascii="Palatino Linotype" w:hAnsi="Palatino Linotype" w:eastAsia="Palatino Linotype" w:cs="Times New Roman"/>
        </w:rPr>
        <w:t xml:space="preserve">Section 5.3 parts (1) and </w:t>
      </w:r>
      <w:r w:rsidRPr="40B28178" w:rsidR="3E736BD1">
        <w:rPr>
          <w:rFonts w:ascii="Palatino Linotype" w:hAnsi="Palatino Linotype" w:eastAsia="Palatino Linotype" w:cs="Times New Roman"/>
        </w:rPr>
        <w:t>(2).</w:t>
      </w:r>
      <w:r w:rsidRPr="40B28178" w:rsidR="7D19547C">
        <w:rPr>
          <w:rFonts w:ascii="Palatino Linotype" w:hAnsi="Palatino Linotype" w:eastAsia="Palatino Linotype" w:cs="Times New Roman"/>
        </w:rPr>
        <w:t xml:space="preserve"> </w:t>
      </w:r>
      <w:r w:rsidRPr="40B28178" w:rsidR="524FE6BF">
        <w:rPr>
          <w:rFonts w:ascii="Palatino Linotype" w:hAnsi="Palatino Linotype" w:eastAsia="Palatino Linotype" w:cs="Times New Roman"/>
        </w:rPr>
        <w:t xml:space="preserve">Energy </w:t>
      </w:r>
      <w:r w:rsidRPr="40B28178" w:rsidR="1E6D2FEE">
        <w:rPr>
          <w:rFonts w:ascii="Palatino Linotype" w:hAnsi="Palatino Linotype" w:eastAsia="Palatino Linotype" w:cs="Times New Roman"/>
        </w:rPr>
        <w:t>Division</w:t>
      </w:r>
      <w:r w:rsidRPr="40B28178" w:rsidR="524FE6BF">
        <w:rPr>
          <w:rFonts w:ascii="Palatino Linotype" w:hAnsi="Palatino Linotype" w:eastAsia="Palatino Linotype" w:cs="Times New Roman"/>
        </w:rPr>
        <w:t xml:space="preserve"> is authorized under</w:t>
      </w:r>
      <w:r w:rsidRPr="40B28178" w:rsidR="134FA8EE">
        <w:rPr>
          <w:rFonts w:ascii="Palatino Linotype" w:hAnsi="Palatino Linotype" w:eastAsia="Palatino Linotype" w:cs="Times New Roman"/>
        </w:rPr>
        <w:t xml:space="preserve"> General Order 96-B Industry Rule 7</w:t>
      </w:r>
      <w:r w:rsidRPr="40B28178" w:rsidR="1403B739">
        <w:rPr>
          <w:rFonts w:ascii="Palatino Linotype" w:hAnsi="Palatino Linotype" w:eastAsia="Palatino Linotype" w:cs="Times New Roman"/>
        </w:rPr>
        <w:t xml:space="preserve"> to determine whether </w:t>
      </w:r>
      <w:r w:rsidRPr="40B28178" w:rsidR="134FA8EE">
        <w:rPr>
          <w:rFonts w:ascii="Palatino Linotype" w:hAnsi="Palatino Linotype" w:eastAsia="Palatino Linotype" w:cs="Times New Roman"/>
        </w:rPr>
        <w:t xml:space="preserve">the utilities’ designation as a </w:t>
      </w:r>
      <w:r w:rsidRPr="40B28178" w:rsidR="007239F7">
        <w:rPr>
          <w:rFonts w:ascii="Palatino Linotype" w:hAnsi="Palatino Linotype" w:eastAsia="Palatino Linotype" w:cs="Times New Roman"/>
        </w:rPr>
        <w:t>T</w:t>
      </w:r>
      <w:r w:rsidRPr="40B28178" w:rsidR="134FA8EE">
        <w:rPr>
          <w:rFonts w:ascii="Palatino Linotype" w:hAnsi="Palatino Linotype" w:eastAsia="Palatino Linotype" w:cs="Times New Roman"/>
        </w:rPr>
        <w:t>ier 2 is erroneous</w:t>
      </w:r>
      <w:r w:rsidRPr="40B28178" w:rsidR="71B9E1A5">
        <w:rPr>
          <w:rFonts w:ascii="Palatino Linotype" w:hAnsi="Palatino Linotype" w:eastAsia="Palatino Linotype" w:cs="Times New Roman"/>
        </w:rPr>
        <w:t>, which is confirmed</w:t>
      </w:r>
      <w:r w:rsidRPr="40B28178" w:rsidR="008779B5">
        <w:rPr>
          <w:rFonts w:ascii="Palatino Linotype" w:hAnsi="Palatino Linotype" w:eastAsia="Palatino Linotype" w:cs="Times New Roman"/>
        </w:rPr>
        <w:t>.</w:t>
      </w:r>
      <w:r w:rsidRPr="40B28178" w:rsidR="71B9E1A5">
        <w:rPr>
          <w:rFonts w:ascii="Palatino Linotype" w:hAnsi="Palatino Linotype" w:eastAsia="Palatino Linotype" w:cs="Times New Roman"/>
        </w:rPr>
        <w:t xml:space="preserve"> </w:t>
      </w:r>
      <w:r w:rsidRPr="40B28178" w:rsidR="134FA8EE">
        <w:rPr>
          <w:rFonts w:ascii="Palatino Linotype" w:hAnsi="Palatino Linotype" w:eastAsia="Palatino Linotype" w:cs="Times New Roman"/>
        </w:rPr>
        <w:t xml:space="preserve"> </w:t>
      </w:r>
      <w:r w:rsidRPr="40B28178" w:rsidR="427420DB">
        <w:rPr>
          <w:rFonts w:ascii="Palatino Linotype" w:hAnsi="Palatino Linotype" w:eastAsia="Palatino Linotype" w:cs="Times New Roman"/>
        </w:rPr>
        <w:t>T</w:t>
      </w:r>
      <w:r w:rsidRPr="40B28178" w:rsidR="134FA8EE">
        <w:rPr>
          <w:rFonts w:ascii="Palatino Linotype" w:hAnsi="Palatino Linotype" w:eastAsia="Palatino Linotype" w:cs="Times New Roman"/>
        </w:rPr>
        <w:t xml:space="preserve">he tier designation is now adjusted to </w:t>
      </w:r>
      <w:proofErr w:type="gramStart"/>
      <w:r w:rsidRPr="40B28178" w:rsidR="134FA8EE">
        <w:rPr>
          <w:rFonts w:ascii="Palatino Linotype" w:hAnsi="Palatino Linotype" w:eastAsia="Palatino Linotype" w:cs="Times New Roman"/>
        </w:rPr>
        <w:t xml:space="preserve">a </w:t>
      </w:r>
      <w:r w:rsidRPr="40B28178" w:rsidR="007239F7">
        <w:rPr>
          <w:rFonts w:ascii="Palatino Linotype" w:hAnsi="Palatino Linotype" w:eastAsia="Palatino Linotype" w:cs="Times New Roman"/>
        </w:rPr>
        <w:t>T</w:t>
      </w:r>
      <w:r w:rsidRPr="40B28178" w:rsidR="134FA8EE">
        <w:rPr>
          <w:rFonts w:ascii="Palatino Linotype" w:hAnsi="Palatino Linotype" w:eastAsia="Palatino Linotype" w:cs="Times New Roman"/>
        </w:rPr>
        <w:t>ier</w:t>
      </w:r>
      <w:proofErr w:type="gramEnd"/>
      <w:r w:rsidRPr="40B28178" w:rsidR="134FA8EE">
        <w:rPr>
          <w:rFonts w:ascii="Palatino Linotype" w:hAnsi="Palatino Linotype" w:eastAsia="Palatino Linotype" w:cs="Times New Roman"/>
        </w:rPr>
        <w:t xml:space="preserve"> 3</w:t>
      </w:r>
      <w:r w:rsidRPr="40B28178" w:rsidR="003110C9">
        <w:rPr>
          <w:rFonts w:ascii="Palatino Linotype" w:hAnsi="Palatino Linotype" w:eastAsia="Palatino Linotype" w:cs="Times New Roman"/>
        </w:rPr>
        <w:t>, which requires a resol</w:t>
      </w:r>
      <w:r w:rsidRPr="40B28178" w:rsidR="00E07CED">
        <w:rPr>
          <w:rFonts w:ascii="Palatino Linotype" w:hAnsi="Palatino Linotype" w:eastAsia="Palatino Linotype" w:cs="Times New Roman"/>
        </w:rPr>
        <w:t>ution to be considered for approval by the Commission.</w:t>
      </w:r>
    </w:p>
    <w:p w:rsidRPr="00BC778A" w:rsidR="00706461" w:rsidP="0D81AD8E" w:rsidRDefault="00706461" w14:paraId="198132EE" w14:textId="421654E0">
      <w:pPr>
        <w:spacing w:after="0" w:line="240" w:lineRule="auto"/>
        <w:rPr>
          <w:rFonts w:ascii="Palatino Linotype" w:hAnsi="Palatino Linotype" w:eastAsia="Palatino Linotype" w:cs="Times New Roman"/>
          <w:kern w:val="0"/>
          <w14:ligatures w14:val="none"/>
        </w:rPr>
      </w:pPr>
    </w:p>
    <w:p w:rsidRPr="00BC778A" w:rsidR="00A76F4A" w:rsidP="00A76F4A" w:rsidRDefault="00A76F4A" w14:paraId="030741A5" w14:textId="329B403E">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Notice</w:t>
      </w:r>
    </w:p>
    <w:p w:rsidRPr="00BC778A" w:rsidR="00706461" w:rsidP="00A76F4A" w:rsidRDefault="00A76F4A" w14:paraId="6301504B" w14:textId="678D5DBB">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Notice of </w:t>
      </w:r>
      <w:r w:rsidRPr="00BC778A" w:rsidR="003373A6">
        <w:rPr>
          <w:rFonts w:ascii="Palatino Linotype" w:hAnsi="Palatino Linotype" w:eastAsia="Palatino Linotype" w:cs="Times New Roman"/>
          <w:kern w:val="0"/>
          <w14:ligatures w14:val="none"/>
        </w:rPr>
        <w:t xml:space="preserve">PG&amp;E </w:t>
      </w:r>
      <w:r w:rsidRPr="00BC778A">
        <w:rPr>
          <w:rFonts w:ascii="Palatino Linotype" w:hAnsi="Palatino Linotype" w:eastAsia="Palatino Linotype" w:cs="Times New Roman"/>
          <w:kern w:val="0"/>
          <w14:ligatures w14:val="none"/>
        </w:rPr>
        <w:t xml:space="preserve">AL </w:t>
      </w:r>
      <w:r w:rsidRPr="00BC778A" w:rsidR="003373A6">
        <w:rPr>
          <w:rFonts w:ascii="Palatino Linotype" w:hAnsi="Palatino Linotype" w:eastAsia="Palatino Linotype" w:cs="Times New Roman"/>
          <w:kern w:val="0"/>
          <w14:ligatures w14:val="none"/>
        </w:rPr>
        <w:t>7606-E</w:t>
      </w:r>
      <w:r w:rsidRPr="00BC778A">
        <w:rPr>
          <w:rFonts w:ascii="Palatino Linotype" w:hAnsi="Palatino Linotype" w:eastAsia="Palatino Linotype" w:cs="Times New Roman"/>
          <w:kern w:val="0"/>
          <w14:ligatures w14:val="none"/>
        </w:rPr>
        <w:t xml:space="preserve"> </w:t>
      </w:r>
      <w:r w:rsidRPr="00BC778A" w:rsidR="00AD50AF">
        <w:rPr>
          <w:rFonts w:ascii="Palatino Linotype" w:hAnsi="Palatino Linotype" w:eastAsia="Palatino Linotype" w:cs="Times New Roman"/>
          <w:kern w:val="0"/>
          <w14:ligatures w14:val="none"/>
        </w:rPr>
        <w:t xml:space="preserve">and SDG&amp;E AL 4664-E </w:t>
      </w:r>
      <w:r w:rsidRPr="00BC778A">
        <w:rPr>
          <w:rFonts w:ascii="Palatino Linotype" w:hAnsi="Palatino Linotype" w:eastAsia="Palatino Linotype" w:cs="Times New Roman"/>
          <w:kern w:val="0"/>
          <w14:ligatures w14:val="none"/>
        </w:rPr>
        <w:t>was made by publication in the Commission’s Daily Calendar</w:t>
      </w:r>
      <w:r w:rsidRPr="00BC778A" w:rsidR="002B4BFB">
        <w:rPr>
          <w:rFonts w:ascii="Palatino Linotype" w:hAnsi="Palatino Linotype" w:eastAsia="Palatino Linotype" w:cs="Times New Roman"/>
          <w:kern w:val="0"/>
          <w14:ligatures w14:val="none"/>
        </w:rPr>
        <w:t xml:space="preserve"> </w:t>
      </w:r>
      <w:r w:rsidRPr="00BC778A" w:rsidR="00AD50AF">
        <w:rPr>
          <w:rFonts w:ascii="Palatino Linotype" w:hAnsi="Palatino Linotype" w:eastAsia="Palatino Linotype" w:cs="Times New Roman"/>
          <w:kern w:val="0"/>
          <w14:ligatures w14:val="none"/>
        </w:rPr>
        <w:t xml:space="preserve">on </w:t>
      </w:r>
      <w:r w:rsidRPr="00BC778A" w:rsidR="002B4BFB">
        <w:rPr>
          <w:rFonts w:ascii="Palatino Linotype" w:hAnsi="Palatino Linotype" w:eastAsia="Palatino Linotype" w:cs="Times New Roman"/>
          <w:kern w:val="0"/>
          <w14:ligatures w14:val="none"/>
        </w:rPr>
        <w:t>May 30, 2025</w:t>
      </w:r>
      <w:r w:rsidRPr="00BC778A">
        <w:rPr>
          <w:rFonts w:ascii="Palatino Linotype" w:hAnsi="Palatino Linotype" w:eastAsia="Palatino Linotype" w:cs="Times New Roman"/>
          <w:kern w:val="0"/>
          <w14:ligatures w14:val="none"/>
        </w:rPr>
        <w:t xml:space="preserve">.  </w:t>
      </w:r>
      <w:r w:rsidRPr="00BC778A" w:rsidR="002F3457">
        <w:rPr>
          <w:rFonts w:ascii="Palatino Linotype" w:hAnsi="Palatino Linotype" w:eastAsia="Palatino Linotype" w:cs="Times New Roman"/>
          <w:kern w:val="0"/>
          <w14:ligatures w14:val="none"/>
        </w:rPr>
        <w:t>PG&amp;E</w:t>
      </w:r>
      <w:r w:rsidRPr="00BC778A" w:rsidR="00AD50AF">
        <w:rPr>
          <w:rFonts w:ascii="Palatino Linotype" w:hAnsi="Palatino Linotype" w:eastAsia="Palatino Linotype" w:cs="Times New Roman"/>
          <w:kern w:val="0"/>
          <w14:ligatures w14:val="none"/>
        </w:rPr>
        <w:t xml:space="preserve"> and SDG&amp;E</w:t>
      </w:r>
      <w:r w:rsidRPr="00BC778A">
        <w:rPr>
          <w:rFonts w:ascii="Palatino Linotype" w:hAnsi="Palatino Linotype" w:eastAsia="Palatino Linotype" w:cs="Times New Roman"/>
          <w:kern w:val="0"/>
          <w14:ligatures w14:val="none"/>
        </w:rPr>
        <w:t xml:space="preserve"> </w:t>
      </w:r>
      <w:r w:rsidRPr="00BC778A" w:rsidR="007E2C55">
        <w:rPr>
          <w:rFonts w:ascii="Palatino Linotype" w:hAnsi="Palatino Linotype" w:eastAsia="Palatino Linotype" w:cs="Times New Roman"/>
          <w:kern w:val="0"/>
          <w14:ligatures w14:val="none"/>
        </w:rPr>
        <w:t xml:space="preserve">each </w:t>
      </w:r>
      <w:r w:rsidRPr="00BC778A" w:rsidR="000D724C">
        <w:rPr>
          <w:rFonts w:ascii="Palatino Linotype" w:hAnsi="Palatino Linotype" w:eastAsia="Palatino Linotype" w:cs="Times New Roman"/>
          <w:kern w:val="0"/>
          <w14:ligatures w14:val="none"/>
        </w:rPr>
        <w:t>state</w:t>
      </w:r>
      <w:r w:rsidRPr="00BC778A">
        <w:rPr>
          <w:rFonts w:ascii="Palatino Linotype" w:hAnsi="Palatino Linotype" w:eastAsia="Palatino Linotype" w:cs="Times New Roman"/>
          <w:kern w:val="0"/>
          <w14:ligatures w14:val="none"/>
        </w:rPr>
        <w:t xml:space="preserve"> </w:t>
      </w:r>
      <w:r w:rsidRPr="00BC778A" w:rsidR="00727EB1">
        <w:rPr>
          <w:rFonts w:ascii="Palatino Linotype" w:hAnsi="Palatino Linotype" w:eastAsia="Palatino Linotype" w:cs="Times New Roman"/>
          <w:kern w:val="0"/>
          <w14:ligatures w14:val="none"/>
        </w:rPr>
        <w:t xml:space="preserve">in </w:t>
      </w:r>
      <w:r w:rsidRPr="00BC778A" w:rsidR="003E7126">
        <w:rPr>
          <w:rFonts w:ascii="Palatino Linotype" w:hAnsi="Palatino Linotype" w:eastAsia="Palatino Linotype" w:cs="Times New Roman"/>
          <w:kern w:val="0"/>
          <w14:ligatures w14:val="none"/>
        </w:rPr>
        <w:t xml:space="preserve">their </w:t>
      </w:r>
      <w:r w:rsidRPr="00BC778A" w:rsidR="000D724C">
        <w:rPr>
          <w:rFonts w:ascii="Palatino Linotype" w:hAnsi="Palatino Linotype" w:eastAsia="Palatino Linotype" w:cs="Times New Roman"/>
          <w:kern w:val="0"/>
          <w14:ligatures w14:val="none"/>
        </w:rPr>
        <w:t>Advice Letter</w:t>
      </w:r>
      <w:r w:rsidRPr="00BC778A" w:rsidR="00AD50AF">
        <w:rPr>
          <w:rFonts w:ascii="Palatino Linotype" w:hAnsi="Palatino Linotype" w:eastAsia="Palatino Linotype" w:cs="Times New Roman"/>
          <w:kern w:val="0"/>
          <w14:ligatures w14:val="none"/>
        </w:rPr>
        <w:t xml:space="preserve"> (AL)</w:t>
      </w:r>
      <w:r w:rsidRPr="00BC778A" w:rsidR="00727EB1">
        <w:rPr>
          <w:rFonts w:ascii="Palatino Linotype" w:hAnsi="Palatino Linotype" w:eastAsia="Palatino Linotype" w:cs="Times New Roman"/>
          <w:kern w:val="0"/>
          <w14:ligatures w14:val="none"/>
        </w:rPr>
        <w:t xml:space="preserve"> filings </w:t>
      </w:r>
      <w:r w:rsidRPr="00BC778A">
        <w:rPr>
          <w:rFonts w:ascii="Palatino Linotype" w:hAnsi="Palatino Linotype" w:eastAsia="Palatino Linotype" w:cs="Times New Roman"/>
          <w:kern w:val="0"/>
          <w14:ligatures w14:val="none"/>
        </w:rPr>
        <w:t xml:space="preserve">that a copy of the </w:t>
      </w:r>
      <w:r w:rsidRPr="00BC778A" w:rsidR="00AD50AF">
        <w:rPr>
          <w:rFonts w:ascii="Palatino Linotype" w:hAnsi="Palatino Linotype" w:eastAsia="Palatino Linotype" w:cs="Times New Roman"/>
          <w:kern w:val="0"/>
          <w14:ligatures w14:val="none"/>
        </w:rPr>
        <w:t xml:space="preserve">AL </w:t>
      </w:r>
      <w:r w:rsidRPr="00BC778A">
        <w:rPr>
          <w:rFonts w:ascii="Palatino Linotype" w:hAnsi="Palatino Linotype" w:eastAsia="Palatino Linotype" w:cs="Times New Roman"/>
          <w:kern w:val="0"/>
          <w14:ligatures w14:val="none"/>
        </w:rPr>
        <w:t>was mailed and distributed in accordance with Section 4 of General Order 96</w:t>
      </w:r>
      <w:r w:rsidRPr="00BC778A" w:rsidR="00FB6948">
        <w:rPr>
          <w:rFonts w:ascii="Palatino Linotype" w:hAnsi="Palatino Linotype" w:eastAsia="Palatino Linotype" w:cs="Times New Roman"/>
          <w:kern w:val="0"/>
          <w14:ligatures w14:val="none"/>
        </w:rPr>
        <w:t>-</w:t>
      </w:r>
      <w:r w:rsidRPr="00BC778A">
        <w:rPr>
          <w:rFonts w:ascii="Palatino Linotype" w:hAnsi="Palatino Linotype" w:eastAsia="Palatino Linotype" w:cs="Times New Roman"/>
          <w:kern w:val="0"/>
          <w14:ligatures w14:val="none"/>
        </w:rPr>
        <w:t>B.</w:t>
      </w:r>
    </w:p>
    <w:p w:rsidRPr="00BC778A" w:rsidR="00E14321" w:rsidP="00A76F4A" w:rsidRDefault="00E14321" w14:paraId="3D483DF5" w14:textId="77777777">
      <w:pPr>
        <w:spacing w:after="0" w:line="240" w:lineRule="auto"/>
        <w:rPr>
          <w:rFonts w:ascii="Palatino Linotype" w:hAnsi="Palatino Linotype" w:eastAsia="Palatino Linotype" w:cs="Times New Roman"/>
          <w:kern w:val="0"/>
          <w14:ligatures w14:val="none"/>
        </w:rPr>
      </w:pPr>
    </w:p>
    <w:p w:rsidRPr="00BC778A" w:rsidR="00706461" w:rsidP="00E14321" w:rsidRDefault="00A76F4A" w14:paraId="2D03086F" w14:textId="2A4953CF">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Discussion</w:t>
      </w:r>
    </w:p>
    <w:p w:rsidRPr="00BC778A" w:rsidR="00A461BF" w:rsidP="00A461BF" w:rsidRDefault="00E84F1A" w14:paraId="1B54D7E2" w14:textId="589EC9DF">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As outlined above, </w:t>
      </w:r>
      <w:r w:rsidR="005747AB">
        <w:rPr>
          <w:rFonts w:ascii="Palatino Linotype" w:hAnsi="Palatino Linotype" w:eastAsia="Palatino Linotype" w:cs="Times New Roman"/>
          <w:kern w:val="0"/>
          <w14:ligatures w14:val="none"/>
        </w:rPr>
        <w:t>Pacific Gas and Electric (</w:t>
      </w:r>
      <w:r w:rsidRPr="00BC778A">
        <w:rPr>
          <w:rFonts w:ascii="Palatino Linotype" w:hAnsi="Palatino Linotype" w:eastAsia="Palatino Linotype" w:cs="Times New Roman"/>
          <w:kern w:val="0"/>
          <w14:ligatures w14:val="none"/>
        </w:rPr>
        <w:t>PG&amp;E</w:t>
      </w:r>
      <w:r w:rsidR="005747AB">
        <w:rPr>
          <w:rFonts w:ascii="Palatino Linotype" w:hAnsi="Palatino Linotype" w:eastAsia="Palatino Linotype" w:cs="Times New Roman"/>
          <w:kern w:val="0"/>
          <w14:ligatures w14:val="none"/>
        </w:rPr>
        <w:t>)</w:t>
      </w:r>
      <w:r w:rsidRPr="00BC778A">
        <w:rPr>
          <w:rFonts w:ascii="Palatino Linotype" w:hAnsi="Palatino Linotype" w:eastAsia="Palatino Linotype" w:cs="Times New Roman"/>
          <w:kern w:val="0"/>
          <w14:ligatures w14:val="none"/>
        </w:rPr>
        <w:t xml:space="preserve"> </w:t>
      </w:r>
      <w:r w:rsidR="005747AB">
        <w:rPr>
          <w:rFonts w:ascii="Palatino Linotype" w:hAnsi="Palatino Linotype" w:eastAsia="Palatino Linotype" w:cs="Times New Roman"/>
          <w:kern w:val="0"/>
          <w14:ligatures w14:val="none"/>
        </w:rPr>
        <w:t>advice letter (</w:t>
      </w:r>
      <w:r w:rsidRPr="00BC778A" w:rsidR="0042237E">
        <w:rPr>
          <w:rFonts w:ascii="Palatino Linotype" w:hAnsi="Palatino Linotype" w:eastAsia="Palatino Linotype" w:cs="Times New Roman"/>
          <w:kern w:val="0"/>
          <w14:ligatures w14:val="none"/>
        </w:rPr>
        <w:t>AL</w:t>
      </w:r>
      <w:r w:rsidR="005747AB">
        <w:rPr>
          <w:rFonts w:ascii="Palatino Linotype" w:hAnsi="Palatino Linotype" w:eastAsia="Palatino Linotype" w:cs="Times New Roman"/>
          <w:kern w:val="0"/>
          <w14:ligatures w14:val="none"/>
        </w:rPr>
        <w:t>)</w:t>
      </w:r>
      <w:r w:rsidRPr="00BC778A" w:rsidR="0042237E">
        <w:rPr>
          <w:rFonts w:ascii="Palatino Linotype" w:hAnsi="Palatino Linotype" w:eastAsia="Palatino Linotype" w:cs="Times New Roman"/>
          <w:kern w:val="0"/>
          <w14:ligatures w14:val="none"/>
        </w:rPr>
        <w:t xml:space="preserve"> 7606-E</w:t>
      </w:r>
      <w:r w:rsidRPr="00BC778A">
        <w:rPr>
          <w:rFonts w:ascii="Palatino Linotype" w:hAnsi="Palatino Linotype" w:eastAsia="Palatino Linotype" w:cs="Times New Roman"/>
          <w:kern w:val="0"/>
          <w14:ligatures w14:val="none"/>
        </w:rPr>
        <w:t xml:space="preserve"> and </w:t>
      </w:r>
      <w:r w:rsidR="005747AB">
        <w:rPr>
          <w:rFonts w:ascii="Palatino Linotype" w:hAnsi="Palatino Linotype" w:eastAsia="Palatino Linotype" w:cs="Times New Roman"/>
          <w:kern w:val="0"/>
          <w14:ligatures w14:val="none"/>
        </w:rPr>
        <w:t>San Diego Gas &amp; Electric (</w:t>
      </w:r>
      <w:r w:rsidRPr="00BC778A">
        <w:rPr>
          <w:rFonts w:ascii="Palatino Linotype" w:hAnsi="Palatino Linotype" w:eastAsia="Palatino Linotype" w:cs="Times New Roman"/>
          <w:kern w:val="0"/>
          <w14:ligatures w14:val="none"/>
        </w:rPr>
        <w:t>SDG&amp;E</w:t>
      </w:r>
      <w:r w:rsidR="005747AB">
        <w:rPr>
          <w:rFonts w:ascii="Palatino Linotype" w:hAnsi="Palatino Linotype" w:eastAsia="Palatino Linotype" w:cs="Times New Roman"/>
          <w:kern w:val="0"/>
          <w14:ligatures w14:val="none"/>
        </w:rPr>
        <w:t>)</w:t>
      </w:r>
      <w:r w:rsidRPr="00BC778A" w:rsidR="0042237E">
        <w:rPr>
          <w:rFonts w:ascii="Palatino Linotype" w:hAnsi="Palatino Linotype" w:eastAsia="Palatino Linotype" w:cs="Times New Roman"/>
          <w:kern w:val="0"/>
          <w14:ligatures w14:val="none"/>
        </w:rPr>
        <w:t xml:space="preserve"> AL 4664-E</w:t>
      </w:r>
      <w:r w:rsidRPr="00BC778A" w:rsidR="00032DCD">
        <w:rPr>
          <w:rFonts w:ascii="Palatino Linotype" w:hAnsi="Palatino Linotype" w:eastAsia="Palatino Linotype" w:cs="Times New Roman"/>
          <w:kern w:val="0"/>
          <w14:ligatures w14:val="none"/>
        </w:rPr>
        <w:t xml:space="preserve"> </w:t>
      </w:r>
      <w:r w:rsidR="003D6D48">
        <w:rPr>
          <w:rFonts w:ascii="Palatino Linotype" w:hAnsi="Palatino Linotype" w:eastAsia="Palatino Linotype" w:cs="Times New Roman"/>
          <w:kern w:val="0"/>
          <w14:ligatures w14:val="none"/>
        </w:rPr>
        <w:t xml:space="preserve">submittals </w:t>
      </w:r>
      <w:r w:rsidRPr="00BC778A" w:rsidR="00032DCD">
        <w:rPr>
          <w:rFonts w:ascii="Palatino Linotype" w:hAnsi="Palatino Linotype" w:eastAsia="Palatino Linotype" w:cs="Times New Roman"/>
          <w:kern w:val="0"/>
          <w14:ligatures w14:val="none"/>
        </w:rPr>
        <w:t xml:space="preserve">seek </w:t>
      </w:r>
      <w:r w:rsidR="00B547BB">
        <w:rPr>
          <w:rFonts w:ascii="Palatino Linotype" w:hAnsi="Palatino Linotype" w:eastAsia="Palatino Linotype" w:cs="Times New Roman"/>
          <w:kern w:val="0"/>
          <w14:ligatures w14:val="none"/>
        </w:rPr>
        <w:t>to include</w:t>
      </w:r>
      <w:r w:rsidRPr="00BC778A" w:rsidDel="001E3F89" w:rsidR="00032DCD">
        <w:rPr>
          <w:rFonts w:ascii="Palatino Linotype" w:hAnsi="Palatino Linotype" w:eastAsia="Palatino Linotype" w:cs="Times New Roman"/>
          <w:kern w:val="0"/>
          <w14:ligatures w14:val="none"/>
        </w:rPr>
        <w:t xml:space="preserve"> </w:t>
      </w:r>
      <w:r w:rsidRPr="00BC778A" w:rsidR="00032DCD">
        <w:rPr>
          <w:rFonts w:ascii="Palatino Linotype" w:hAnsi="Palatino Linotype" w:eastAsia="Palatino Linotype" w:cs="Times New Roman"/>
          <w:kern w:val="0"/>
          <w14:ligatures w14:val="none"/>
        </w:rPr>
        <w:t>a 20</w:t>
      </w:r>
      <w:r w:rsidRPr="00BC778A" w:rsidR="007659CA">
        <w:rPr>
          <w:rFonts w:ascii="Palatino Linotype" w:hAnsi="Palatino Linotype" w:eastAsia="Palatino Linotype" w:cs="Times New Roman"/>
          <w:kern w:val="0"/>
          <w14:ligatures w14:val="none"/>
        </w:rPr>
        <w:t xml:space="preserve"> </w:t>
      </w:r>
      <w:r w:rsidR="005747AB">
        <w:rPr>
          <w:rFonts w:ascii="Palatino Linotype" w:hAnsi="Palatino Linotype" w:eastAsia="Palatino Linotype" w:cs="Times New Roman"/>
          <w:kern w:val="0"/>
          <w14:ligatures w14:val="none"/>
        </w:rPr>
        <w:t>megawatt (</w:t>
      </w:r>
      <w:r w:rsidRPr="00BC778A" w:rsidR="00032DCD">
        <w:rPr>
          <w:rFonts w:ascii="Palatino Linotype" w:hAnsi="Palatino Linotype" w:eastAsia="Palatino Linotype" w:cs="Times New Roman"/>
          <w:kern w:val="0"/>
          <w14:ligatures w14:val="none"/>
        </w:rPr>
        <w:t>MW</w:t>
      </w:r>
      <w:r w:rsidR="005747AB">
        <w:rPr>
          <w:rFonts w:ascii="Palatino Linotype" w:hAnsi="Palatino Linotype" w:eastAsia="Palatino Linotype" w:cs="Times New Roman"/>
          <w:kern w:val="0"/>
          <w14:ligatures w14:val="none"/>
        </w:rPr>
        <w:t>)</w:t>
      </w:r>
      <w:r w:rsidRPr="00BC778A" w:rsidR="00032DCD">
        <w:rPr>
          <w:rFonts w:ascii="Palatino Linotype" w:hAnsi="Palatino Linotype" w:eastAsia="Palatino Linotype" w:cs="Times New Roman"/>
          <w:kern w:val="0"/>
          <w14:ligatures w14:val="none"/>
        </w:rPr>
        <w:t xml:space="preserve"> cap</w:t>
      </w:r>
      <w:r w:rsidRPr="00BC778A" w:rsidDel="002F5329" w:rsidR="00032DCD">
        <w:rPr>
          <w:rFonts w:ascii="Palatino Linotype" w:hAnsi="Palatino Linotype" w:eastAsia="Palatino Linotype" w:cs="Times New Roman"/>
          <w:kern w:val="0"/>
          <w14:ligatures w14:val="none"/>
        </w:rPr>
        <w:t xml:space="preserve"> </w:t>
      </w:r>
      <w:r w:rsidR="002F5329">
        <w:rPr>
          <w:rFonts w:ascii="Palatino Linotype" w:hAnsi="Palatino Linotype" w:eastAsia="Palatino Linotype" w:cs="Times New Roman"/>
          <w:kern w:val="0"/>
          <w14:ligatures w14:val="none"/>
        </w:rPr>
        <w:t>for</w:t>
      </w:r>
      <w:r w:rsidRPr="00BC778A" w:rsidR="002F5329">
        <w:rPr>
          <w:rFonts w:ascii="Palatino Linotype" w:hAnsi="Palatino Linotype" w:eastAsia="Palatino Linotype" w:cs="Times New Roman"/>
          <w:kern w:val="0"/>
          <w14:ligatures w14:val="none"/>
        </w:rPr>
        <w:t xml:space="preserve"> </w:t>
      </w:r>
      <w:r w:rsidRPr="00BC778A" w:rsidR="00032DCD">
        <w:rPr>
          <w:rFonts w:ascii="Palatino Linotype" w:hAnsi="Palatino Linotype" w:eastAsia="Palatino Linotype" w:cs="Times New Roman"/>
          <w:kern w:val="0"/>
          <w14:ligatures w14:val="none"/>
        </w:rPr>
        <w:t>the proposed Public Utilities Regulatory Policies Act (PURPA) compliant tariffs that were directed out of D.23-11-068.</w:t>
      </w:r>
      <w:r w:rsidRPr="00BC778A" w:rsidR="00A66559">
        <w:rPr>
          <w:rFonts w:ascii="Palatino Linotype" w:hAnsi="Palatino Linotype" w:eastAsia="Palatino Linotype" w:cs="Times New Roman"/>
          <w:kern w:val="0"/>
          <w14:ligatures w14:val="none"/>
        </w:rPr>
        <w:t xml:space="preserve"> </w:t>
      </w:r>
      <w:r w:rsidRPr="00BC778A" w:rsidR="003006C2">
        <w:rPr>
          <w:rFonts w:ascii="Palatino Linotype" w:hAnsi="Palatino Linotype" w:eastAsia="Palatino Linotype" w:cs="Times New Roman"/>
          <w:kern w:val="0"/>
          <w14:ligatures w14:val="none"/>
        </w:rPr>
        <w:t>Both utilities state that D.23-11-068</w:t>
      </w:r>
      <w:r w:rsidRPr="00BC778A" w:rsidR="05F1CBF5">
        <w:rPr>
          <w:rFonts w:ascii="Palatino Linotype" w:hAnsi="Palatino Linotype" w:eastAsia="Palatino Linotype" w:cs="Times New Roman"/>
          <w:kern w:val="0"/>
          <w14:ligatures w14:val="none"/>
        </w:rPr>
        <w:t xml:space="preserve"> </w:t>
      </w:r>
      <w:r w:rsidRPr="00BC778A" w:rsidR="003006C2">
        <w:rPr>
          <w:rFonts w:ascii="Palatino Linotype" w:hAnsi="Palatino Linotype" w:eastAsia="Palatino Linotype" w:cs="Times New Roman"/>
          <w:kern w:val="0"/>
          <w14:ligatures w14:val="none"/>
        </w:rPr>
        <w:t>intended to include a 20 MW capacity limit for the PURPA compliant tariffs</w:t>
      </w:r>
      <w:r w:rsidRPr="00BC778A" w:rsidR="605ED9AF">
        <w:rPr>
          <w:rFonts w:ascii="Palatino Linotype" w:hAnsi="Palatino Linotype" w:eastAsia="Palatino Linotype" w:cs="Times New Roman"/>
          <w:kern w:val="0"/>
          <w14:ligatures w14:val="none"/>
        </w:rPr>
        <w:t xml:space="preserve"> and must do so to comply with PURPA</w:t>
      </w:r>
      <w:r w:rsidRPr="00BC778A" w:rsidR="003006C2">
        <w:rPr>
          <w:rFonts w:ascii="Palatino Linotype" w:hAnsi="Palatino Linotype" w:eastAsia="Palatino Linotype" w:cs="Times New Roman"/>
          <w:kern w:val="0"/>
          <w14:ligatures w14:val="none"/>
        </w:rPr>
        <w:t>.</w:t>
      </w:r>
    </w:p>
    <w:p w:rsidRPr="00BC778A" w:rsidR="00E84F1A" w:rsidP="00A461BF" w:rsidRDefault="00E84F1A" w14:paraId="09E7B54A" w14:textId="77777777">
      <w:pPr>
        <w:spacing w:after="0" w:line="240" w:lineRule="auto"/>
        <w:rPr>
          <w:rFonts w:ascii="Palatino Linotype" w:hAnsi="Palatino Linotype" w:eastAsia="Palatino Linotype" w:cs="Times New Roman"/>
          <w:kern w:val="0"/>
          <w14:ligatures w14:val="none"/>
        </w:rPr>
      </w:pPr>
    </w:p>
    <w:p w:rsidRPr="00BC778A" w:rsidR="00FB56AB" w:rsidP="00151217" w:rsidRDefault="00032DCD" w14:paraId="29BD2294" w14:textId="2D80478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After </w:t>
      </w:r>
      <w:r w:rsidRPr="00BC778A" w:rsidR="00A64B8E">
        <w:rPr>
          <w:rFonts w:ascii="Palatino Linotype" w:hAnsi="Palatino Linotype" w:eastAsia="Palatino Linotype" w:cs="Times New Roman"/>
          <w:kern w:val="0"/>
          <w14:ligatures w14:val="none"/>
        </w:rPr>
        <w:t xml:space="preserve">an </w:t>
      </w:r>
      <w:r w:rsidRPr="00BC778A" w:rsidR="007F0528">
        <w:rPr>
          <w:rFonts w:ascii="Palatino Linotype" w:hAnsi="Palatino Linotype" w:eastAsia="Palatino Linotype" w:cs="Times New Roman"/>
          <w:kern w:val="0"/>
          <w14:ligatures w14:val="none"/>
        </w:rPr>
        <w:t>examination of the issue, we have determined that b</w:t>
      </w:r>
      <w:r w:rsidRPr="00BC778A" w:rsidR="00133791">
        <w:rPr>
          <w:rFonts w:ascii="Palatino Linotype" w:hAnsi="Palatino Linotype" w:eastAsia="Palatino Linotype" w:cs="Times New Roman"/>
          <w:kern w:val="0"/>
          <w14:ligatures w14:val="none"/>
        </w:rPr>
        <w:t xml:space="preserve">oth PG&amp;E and SDG&amp;E </w:t>
      </w:r>
      <w:proofErr w:type="gramStart"/>
      <w:r w:rsidRPr="00BC778A" w:rsidR="00133791">
        <w:rPr>
          <w:rFonts w:ascii="Palatino Linotype" w:hAnsi="Palatino Linotype" w:eastAsia="Palatino Linotype" w:cs="Times New Roman"/>
          <w:kern w:val="0"/>
          <w14:ligatures w14:val="none"/>
        </w:rPr>
        <w:t>err</w:t>
      </w:r>
      <w:proofErr w:type="gramEnd"/>
      <w:r w:rsidRPr="00BC778A" w:rsidR="00133791">
        <w:rPr>
          <w:rFonts w:ascii="Palatino Linotype" w:hAnsi="Palatino Linotype" w:eastAsia="Palatino Linotype" w:cs="Times New Roman"/>
          <w:kern w:val="0"/>
          <w14:ligatures w14:val="none"/>
        </w:rPr>
        <w:t xml:space="preserve"> in their assumption</w:t>
      </w:r>
      <w:r w:rsidRPr="00BC778A" w:rsidR="00A02146">
        <w:rPr>
          <w:rFonts w:ascii="Palatino Linotype" w:hAnsi="Palatino Linotype" w:eastAsia="Palatino Linotype" w:cs="Times New Roman"/>
          <w:kern w:val="0"/>
          <w14:ligatures w14:val="none"/>
        </w:rPr>
        <w:t>s</w:t>
      </w:r>
      <w:r w:rsidRPr="00BC778A" w:rsidR="00133791">
        <w:rPr>
          <w:rFonts w:ascii="Palatino Linotype" w:hAnsi="Palatino Linotype" w:eastAsia="Palatino Linotype" w:cs="Times New Roman"/>
          <w:kern w:val="0"/>
          <w14:ligatures w14:val="none"/>
        </w:rPr>
        <w:t xml:space="preserve"> that D.23-11-068 directed</w:t>
      </w:r>
      <w:r w:rsidRPr="00BC778A" w:rsidR="003006C2">
        <w:rPr>
          <w:rFonts w:ascii="Palatino Linotype" w:hAnsi="Palatino Linotype" w:eastAsia="Palatino Linotype" w:cs="Times New Roman"/>
          <w:kern w:val="0"/>
          <w14:ligatures w14:val="none"/>
        </w:rPr>
        <w:t>, or intended to direct,</w:t>
      </w:r>
      <w:r w:rsidRPr="00BC778A" w:rsidR="00133791">
        <w:rPr>
          <w:rFonts w:ascii="Palatino Linotype" w:hAnsi="Palatino Linotype" w:eastAsia="Palatino Linotype" w:cs="Times New Roman"/>
          <w:kern w:val="0"/>
          <w14:ligatures w14:val="none"/>
        </w:rPr>
        <w:t xml:space="preserve"> a capacity limit for the </w:t>
      </w:r>
      <w:r w:rsidRPr="00BC778A" w:rsidR="005B5540">
        <w:rPr>
          <w:rFonts w:ascii="Palatino Linotype" w:hAnsi="Palatino Linotype" w:eastAsia="Palatino Linotype" w:cs="Times New Roman"/>
          <w:kern w:val="0"/>
          <w14:ligatures w14:val="none"/>
        </w:rPr>
        <w:t xml:space="preserve">PURPA </w:t>
      </w:r>
      <w:r w:rsidRPr="00BC778A" w:rsidR="00133791">
        <w:rPr>
          <w:rFonts w:ascii="Palatino Linotype" w:hAnsi="Palatino Linotype" w:eastAsia="Palatino Linotype" w:cs="Times New Roman"/>
          <w:kern w:val="0"/>
          <w14:ligatures w14:val="none"/>
        </w:rPr>
        <w:t>compliant tariff</w:t>
      </w:r>
      <w:r w:rsidRPr="00BC778A" w:rsidR="007F0528">
        <w:rPr>
          <w:rFonts w:ascii="Palatino Linotype" w:hAnsi="Palatino Linotype" w:eastAsia="Palatino Linotype" w:cs="Times New Roman"/>
          <w:kern w:val="0"/>
          <w14:ligatures w14:val="none"/>
        </w:rPr>
        <w:t>. We also</w:t>
      </w:r>
      <w:r w:rsidRPr="00BC778A" w:rsidDel="00D85446" w:rsidR="00F2357A">
        <w:rPr>
          <w:rFonts w:ascii="Palatino Linotype" w:hAnsi="Palatino Linotype" w:eastAsia="Palatino Linotype" w:cs="Times New Roman"/>
          <w:kern w:val="0"/>
          <w14:ligatures w14:val="none"/>
        </w:rPr>
        <w:t xml:space="preserve"> </w:t>
      </w:r>
      <w:r w:rsidR="00D85446">
        <w:rPr>
          <w:rFonts w:ascii="Palatino Linotype" w:hAnsi="Palatino Linotype" w:eastAsia="Palatino Linotype" w:cs="Times New Roman"/>
          <w:kern w:val="0"/>
          <w14:ligatures w14:val="none"/>
        </w:rPr>
        <w:t>find</w:t>
      </w:r>
      <w:r w:rsidRPr="00BC778A" w:rsidDel="007F0528" w:rsidR="00D85446">
        <w:rPr>
          <w:rFonts w:ascii="Palatino Linotype" w:hAnsi="Palatino Linotype" w:eastAsia="Palatino Linotype" w:cs="Times New Roman"/>
          <w:kern w:val="0"/>
          <w14:ligatures w14:val="none"/>
        </w:rPr>
        <w:t xml:space="preserve"> </w:t>
      </w:r>
      <w:r w:rsidRPr="00BC778A" w:rsidR="00F2357A">
        <w:rPr>
          <w:rFonts w:ascii="Palatino Linotype" w:hAnsi="Palatino Linotype" w:eastAsia="Palatino Linotype" w:cs="Times New Roman"/>
          <w:kern w:val="0"/>
          <w14:ligatures w14:val="none"/>
        </w:rPr>
        <w:t xml:space="preserve">that </w:t>
      </w:r>
      <w:r w:rsidRPr="00BC778A" w:rsidR="00682B37">
        <w:rPr>
          <w:rFonts w:ascii="Palatino Linotype" w:hAnsi="Palatino Linotype" w:eastAsia="Palatino Linotype" w:cs="Times New Roman"/>
          <w:kern w:val="0"/>
          <w14:ligatures w14:val="none"/>
        </w:rPr>
        <w:t>D.23-11-</w:t>
      </w:r>
      <w:r w:rsidRPr="00BC778A" w:rsidR="007F0528">
        <w:rPr>
          <w:rFonts w:ascii="Palatino Linotype" w:hAnsi="Palatino Linotype" w:eastAsia="Palatino Linotype" w:cs="Times New Roman"/>
          <w:kern w:val="0"/>
          <w14:ligatures w14:val="none"/>
        </w:rPr>
        <w:t xml:space="preserve">068 was </w:t>
      </w:r>
      <w:r w:rsidR="00D85446">
        <w:rPr>
          <w:rFonts w:ascii="Palatino Linotype" w:hAnsi="Palatino Linotype" w:eastAsia="Palatino Linotype" w:cs="Times New Roman"/>
          <w:kern w:val="0"/>
          <w14:ligatures w14:val="none"/>
        </w:rPr>
        <w:t xml:space="preserve">not </w:t>
      </w:r>
      <w:r w:rsidRPr="00BC778A" w:rsidR="007F0528">
        <w:rPr>
          <w:rFonts w:ascii="Palatino Linotype" w:hAnsi="Palatino Linotype" w:eastAsia="Palatino Linotype" w:cs="Times New Roman"/>
          <w:kern w:val="0"/>
          <w14:ligatures w14:val="none"/>
        </w:rPr>
        <w:t xml:space="preserve">out of </w:t>
      </w:r>
      <w:r w:rsidRPr="00BC778A" w:rsidR="00F2357A">
        <w:rPr>
          <w:rFonts w:ascii="Palatino Linotype" w:hAnsi="Palatino Linotype" w:eastAsia="Palatino Linotype" w:cs="Times New Roman"/>
          <w:kern w:val="0"/>
          <w14:ligatures w14:val="none"/>
        </w:rPr>
        <w:t>alignment with state and federal laws</w:t>
      </w:r>
      <w:r w:rsidRPr="00BC778A" w:rsidR="00682B37">
        <w:rPr>
          <w:rFonts w:ascii="Palatino Linotype" w:hAnsi="Palatino Linotype" w:eastAsia="Palatino Linotype" w:cs="Times New Roman"/>
          <w:kern w:val="0"/>
          <w14:ligatures w14:val="none"/>
        </w:rPr>
        <w:t xml:space="preserve"> </w:t>
      </w:r>
      <w:r w:rsidRPr="00BC778A" w:rsidR="007F0528">
        <w:rPr>
          <w:rFonts w:ascii="Palatino Linotype" w:hAnsi="Palatino Linotype" w:eastAsia="Palatino Linotype" w:cs="Times New Roman"/>
          <w:kern w:val="0"/>
          <w14:ligatures w14:val="none"/>
        </w:rPr>
        <w:t xml:space="preserve">by </w:t>
      </w:r>
      <w:r w:rsidRPr="00BC778A" w:rsidR="00CD4697">
        <w:rPr>
          <w:rFonts w:ascii="Palatino Linotype" w:hAnsi="Palatino Linotype" w:eastAsia="Palatino Linotype" w:cs="Times New Roman"/>
          <w:kern w:val="0"/>
          <w14:ligatures w14:val="none"/>
        </w:rPr>
        <w:t xml:space="preserve">not implementing </w:t>
      </w:r>
      <w:r w:rsidRPr="00BC778A" w:rsidR="00682B37">
        <w:rPr>
          <w:rFonts w:ascii="Palatino Linotype" w:hAnsi="Palatino Linotype" w:eastAsia="Palatino Linotype" w:cs="Times New Roman"/>
          <w:kern w:val="0"/>
          <w14:ligatures w14:val="none"/>
        </w:rPr>
        <w:t xml:space="preserve">a capacity limit </w:t>
      </w:r>
      <w:r w:rsidRPr="00BC778A" w:rsidDel="00CD4697" w:rsidR="00682B37">
        <w:rPr>
          <w:rFonts w:ascii="Palatino Linotype" w:hAnsi="Palatino Linotype" w:eastAsia="Palatino Linotype" w:cs="Times New Roman"/>
          <w:kern w:val="0"/>
          <w14:ligatures w14:val="none"/>
        </w:rPr>
        <w:t xml:space="preserve">in </w:t>
      </w:r>
      <w:r w:rsidRPr="00BC778A" w:rsidR="00CD4697">
        <w:rPr>
          <w:rFonts w:ascii="Palatino Linotype" w:hAnsi="Palatino Linotype" w:eastAsia="Palatino Linotype" w:cs="Times New Roman"/>
          <w:kern w:val="0"/>
          <w14:ligatures w14:val="none"/>
        </w:rPr>
        <w:t xml:space="preserve">its directed </w:t>
      </w:r>
      <w:r w:rsidRPr="00BC778A" w:rsidR="00682B37">
        <w:rPr>
          <w:rFonts w:ascii="Palatino Linotype" w:hAnsi="Palatino Linotype" w:eastAsia="Palatino Linotype" w:cs="Times New Roman"/>
          <w:kern w:val="0"/>
          <w14:ligatures w14:val="none"/>
        </w:rPr>
        <w:t>PURPA compliant tariff</w:t>
      </w:r>
      <w:r w:rsidRPr="00BC778A" w:rsidR="00133791">
        <w:rPr>
          <w:rFonts w:ascii="Palatino Linotype" w:hAnsi="Palatino Linotype" w:eastAsia="Palatino Linotype" w:cs="Times New Roman"/>
          <w:kern w:val="0"/>
          <w14:ligatures w14:val="none"/>
        </w:rPr>
        <w:t>.</w:t>
      </w:r>
      <w:r w:rsidRPr="00BC778A" w:rsidDel="00485BEE" w:rsidR="00133791">
        <w:rPr>
          <w:rFonts w:ascii="Palatino Linotype" w:hAnsi="Palatino Linotype" w:eastAsia="Palatino Linotype" w:cs="Times New Roman"/>
          <w:kern w:val="0"/>
          <w14:ligatures w14:val="none"/>
        </w:rPr>
        <w:t xml:space="preserve"> </w:t>
      </w:r>
      <w:r w:rsidRPr="00BC778A" w:rsidR="00A461BF">
        <w:rPr>
          <w:rFonts w:ascii="Palatino Linotype" w:hAnsi="Palatino Linotype" w:eastAsia="Palatino Linotype" w:cs="Times New Roman"/>
          <w:kern w:val="0"/>
          <w14:ligatures w14:val="none"/>
        </w:rPr>
        <w:t>D.</w:t>
      </w:r>
      <w:r w:rsidRPr="00BC778A" w:rsidR="0061656E">
        <w:rPr>
          <w:rFonts w:ascii="Palatino Linotype" w:hAnsi="Palatino Linotype" w:eastAsia="Palatino Linotype" w:cs="Times New Roman"/>
          <w:kern w:val="0"/>
          <w14:ligatures w14:val="none"/>
        </w:rPr>
        <w:t xml:space="preserve">23-11-068 directed </w:t>
      </w:r>
      <w:r w:rsidRPr="00BC778A" w:rsidR="001A7B6D">
        <w:rPr>
          <w:rFonts w:ascii="Palatino Linotype" w:hAnsi="Palatino Linotype" w:eastAsia="Palatino Linotype" w:cs="Times New Roman"/>
          <w:kern w:val="0"/>
          <w14:ligatures w14:val="none"/>
        </w:rPr>
        <w:t xml:space="preserve">that </w:t>
      </w:r>
      <w:r w:rsidRPr="00BC778A" w:rsidR="00D20C12">
        <w:rPr>
          <w:rFonts w:ascii="Palatino Linotype" w:hAnsi="Palatino Linotype" w:eastAsia="Palatino Linotype" w:cs="Times New Roman"/>
          <w:kern w:val="0"/>
          <w14:ligatures w14:val="none"/>
        </w:rPr>
        <w:t xml:space="preserve">for those REGFs with a willful wage violation, the </w:t>
      </w:r>
      <w:r w:rsidRPr="00BC778A" w:rsidR="001A7B6D">
        <w:rPr>
          <w:rFonts w:ascii="Palatino Linotype" w:hAnsi="Palatino Linotype" w:eastAsia="Palatino Linotype" w:cs="Times New Roman"/>
          <w:kern w:val="0"/>
          <w14:ligatures w14:val="none"/>
        </w:rPr>
        <w:t>PURPA compliant</w:t>
      </w:r>
      <w:r w:rsidRPr="00BC778A" w:rsidR="0061656E">
        <w:rPr>
          <w:rFonts w:ascii="Palatino Linotype" w:hAnsi="Palatino Linotype" w:eastAsia="Palatino Linotype" w:cs="Times New Roman"/>
          <w:kern w:val="0"/>
          <w14:ligatures w14:val="none"/>
        </w:rPr>
        <w:t xml:space="preserve"> tariff </w:t>
      </w:r>
      <w:r w:rsidRPr="00BC778A" w:rsidR="001537D0">
        <w:rPr>
          <w:rFonts w:ascii="Palatino Linotype" w:hAnsi="Palatino Linotype" w:eastAsia="Palatino Linotype" w:cs="Times New Roman"/>
          <w:kern w:val="0"/>
          <w14:ligatures w14:val="none"/>
        </w:rPr>
        <w:t>must</w:t>
      </w:r>
      <w:r w:rsidRPr="00BC778A" w:rsidR="0061656E">
        <w:rPr>
          <w:rFonts w:ascii="Palatino Linotype" w:hAnsi="Palatino Linotype" w:eastAsia="Palatino Linotype" w:cs="Times New Roman"/>
          <w:kern w:val="0"/>
          <w14:ligatures w14:val="none"/>
        </w:rPr>
        <w:t xml:space="preserve"> </w:t>
      </w:r>
      <w:r w:rsidRPr="00BC778A" w:rsidR="00D20C12">
        <w:rPr>
          <w:rFonts w:ascii="Palatino Linotype" w:hAnsi="Palatino Linotype" w:eastAsia="Palatino Linotype" w:cs="Times New Roman"/>
          <w:kern w:val="0"/>
          <w14:ligatures w14:val="none"/>
        </w:rPr>
        <w:t>enroll that</w:t>
      </w:r>
      <w:r w:rsidRPr="00BC778A" w:rsidR="0061656E">
        <w:rPr>
          <w:rFonts w:ascii="Palatino Linotype" w:hAnsi="Palatino Linotype" w:eastAsia="Palatino Linotype" w:cs="Times New Roman"/>
          <w:kern w:val="0"/>
          <w14:ligatures w14:val="none"/>
        </w:rPr>
        <w:t xml:space="preserve"> NEM or NBT</w:t>
      </w:r>
      <w:r w:rsidRPr="00BC778A" w:rsidR="004676E6">
        <w:rPr>
          <w:rFonts w:ascii="Palatino Linotype" w:hAnsi="Palatino Linotype" w:eastAsia="Palatino Linotype" w:cs="Times New Roman"/>
          <w:kern w:val="0"/>
          <w14:ligatures w14:val="none"/>
        </w:rPr>
        <w:t xml:space="preserve"> eligible customers</w:t>
      </w:r>
      <w:r w:rsidR="0090093B">
        <w:rPr>
          <w:rFonts w:ascii="Palatino Linotype" w:hAnsi="Palatino Linotype" w:eastAsia="Palatino Linotype" w:cs="Times New Roman"/>
          <w:kern w:val="0"/>
          <w14:ligatures w14:val="none"/>
        </w:rPr>
        <w:t>’</w:t>
      </w:r>
      <w:r w:rsidRPr="00BC778A" w:rsidR="004676E6">
        <w:rPr>
          <w:rFonts w:ascii="Palatino Linotype" w:hAnsi="Palatino Linotype" w:eastAsia="Palatino Linotype" w:cs="Times New Roman"/>
          <w:kern w:val="0"/>
          <w14:ligatures w14:val="none"/>
        </w:rPr>
        <w:t xml:space="preserve"> generation </w:t>
      </w:r>
      <w:r w:rsidRPr="00BC778A" w:rsidR="00D20C12">
        <w:rPr>
          <w:rFonts w:ascii="Palatino Linotype" w:hAnsi="Palatino Linotype" w:eastAsia="Palatino Linotype" w:cs="Times New Roman"/>
          <w:kern w:val="0"/>
          <w14:ligatures w14:val="none"/>
        </w:rPr>
        <w:t xml:space="preserve">facility onto the PURPA </w:t>
      </w:r>
      <w:r w:rsidRPr="00BC778A" w:rsidR="004F3984">
        <w:rPr>
          <w:rFonts w:ascii="Palatino Linotype" w:hAnsi="Palatino Linotype" w:eastAsia="Palatino Linotype" w:cs="Times New Roman"/>
          <w:kern w:val="0"/>
          <w14:ligatures w14:val="none"/>
        </w:rPr>
        <w:t xml:space="preserve">compliant </w:t>
      </w:r>
      <w:r w:rsidRPr="00BC778A" w:rsidR="00D20C12">
        <w:rPr>
          <w:rFonts w:ascii="Palatino Linotype" w:hAnsi="Palatino Linotype" w:eastAsia="Palatino Linotype" w:cs="Times New Roman"/>
          <w:kern w:val="0"/>
          <w14:ligatures w14:val="none"/>
        </w:rPr>
        <w:t>tariff without further review or equipment changes.</w:t>
      </w:r>
      <w:r w:rsidRPr="00BC778A" w:rsidR="00D20C12">
        <w:rPr>
          <w:rStyle w:val="FootnoteReference"/>
          <w:rFonts w:ascii="Palatino Linotype" w:hAnsi="Palatino Linotype" w:eastAsia="Palatino Linotype" w:cs="Times New Roman"/>
          <w:kern w:val="0"/>
          <w14:ligatures w14:val="none"/>
        </w:rPr>
        <w:footnoteReference w:id="18"/>
      </w:r>
      <w:r w:rsidRPr="00BC778A" w:rsidR="00D20C12">
        <w:rPr>
          <w:rFonts w:ascii="Palatino Linotype" w:hAnsi="Palatino Linotype" w:eastAsia="Palatino Linotype" w:cs="Times New Roman"/>
          <w:kern w:val="0"/>
          <w14:ligatures w14:val="none"/>
        </w:rPr>
        <w:t xml:space="preserve"> </w:t>
      </w:r>
      <w:r w:rsidRPr="00BC778A" w:rsidR="00FB56AB">
        <w:rPr>
          <w:rFonts w:ascii="Palatino Linotype" w:hAnsi="Palatino Linotype" w:eastAsia="Palatino Linotype" w:cs="Times New Roman"/>
          <w:kern w:val="0"/>
          <w14:ligatures w14:val="none"/>
        </w:rPr>
        <w:t>T</w:t>
      </w:r>
      <w:r w:rsidRPr="00BC778A" w:rsidR="00A02146">
        <w:rPr>
          <w:rFonts w:ascii="Palatino Linotype" w:hAnsi="Palatino Linotype" w:eastAsia="Palatino Linotype" w:cs="Times New Roman"/>
          <w:kern w:val="0"/>
          <w14:ligatures w14:val="none"/>
        </w:rPr>
        <w:t xml:space="preserve">he NEM and NBT tariffs follow PUC 2827.1 to limit generation capacity based on the customer’s onsite load, not the </w:t>
      </w:r>
      <w:r w:rsidRPr="00BC778A" w:rsidR="005B5540">
        <w:rPr>
          <w:rFonts w:ascii="Palatino Linotype" w:hAnsi="Palatino Linotype" w:eastAsia="Palatino Linotype" w:cs="Times New Roman"/>
          <w:kern w:val="0"/>
          <w14:ligatures w14:val="none"/>
        </w:rPr>
        <w:t>generation facility’s</w:t>
      </w:r>
      <w:r w:rsidRPr="00BC778A" w:rsidR="00A02146">
        <w:rPr>
          <w:rFonts w:ascii="Palatino Linotype" w:hAnsi="Palatino Linotype" w:eastAsia="Palatino Linotype" w:cs="Times New Roman"/>
          <w:kern w:val="0"/>
          <w14:ligatures w14:val="none"/>
        </w:rPr>
        <w:t xml:space="preserve"> capacity</w:t>
      </w:r>
      <w:r w:rsidRPr="00BC778A" w:rsidR="00D20C12">
        <w:rPr>
          <w:rFonts w:ascii="Palatino Linotype" w:hAnsi="Palatino Linotype" w:eastAsia="Palatino Linotype" w:cs="Times New Roman"/>
          <w:kern w:val="0"/>
          <w14:ligatures w14:val="none"/>
        </w:rPr>
        <w:t xml:space="preserve">. </w:t>
      </w:r>
      <w:r w:rsidR="00EB0DA5">
        <w:rPr>
          <w:rFonts w:ascii="Palatino Linotype" w:hAnsi="Palatino Linotype" w:eastAsia="Palatino Linotype" w:cs="Times New Roman"/>
          <w:kern w:val="0"/>
          <w14:ligatures w14:val="none"/>
        </w:rPr>
        <w:t>C</w:t>
      </w:r>
      <w:r w:rsidRPr="00BC778A" w:rsidR="00D70F76">
        <w:rPr>
          <w:rFonts w:ascii="Palatino Linotype" w:hAnsi="Palatino Linotype" w:eastAsia="Palatino Linotype" w:cs="Times New Roman"/>
          <w:kern w:val="0"/>
          <w14:ligatures w14:val="none"/>
        </w:rPr>
        <w:t xml:space="preserve">apacity limits </w:t>
      </w:r>
      <w:r w:rsidRPr="00BC778A" w:rsidR="00AC0CA3">
        <w:rPr>
          <w:rFonts w:ascii="Palatino Linotype" w:hAnsi="Palatino Linotype" w:eastAsia="Palatino Linotype" w:cs="Times New Roman"/>
          <w:kern w:val="0"/>
          <w14:ligatures w14:val="none"/>
        </w:rPr>
        <w:t xml:space="preserve">were </w:t>
      </w:r>
      <w:r w:rsidRPr="00BC778A" w:rsidR="003E4BA5">
        <w:rPr>
          <w:rFonts w:ascii="Palatino Linotype" w:hAnsi="Palatino Linotype" w:eastAsia="Palatino Linotype" w:cs="Times New Roman"/>
          <w:kern w:val="0"/>
          <w14:ligatures w14:val="none"/>
        </w:rPr>
        <w:t xml:space="preserve">explicitly </w:t>
      </w:r>
      <w:r w:rsidRPr="00BC778A" w:rsidR="007E2C55">
        <w:rPr>
          <w:rFonts w:ascii="Palatino Linotype" w:hAnsi="Palatino Linotype" w:eastAsia="Palatino Linotype" w:cs="Times New Roman"/>
          <w:kern w:val="0"/>
          <w14:ligatures w14:val="none"/>
        </w:rPr>
        <w:t>lifted</w:t>
      </w:r>
      <w:r w:rsidRPr="00BC778A" w:rsidR="00FB56AB">
        <w:rPr>
          <w:rFonts w:ascii="Palatino Linotype" w:hAnsi="Palatino Linotype" w:eastAsia="Palatino Linotype" w:cs="Times New Roman"/>
          <w:kern w:val="0"/>
          <w14:ligatures w14:val="none"/>
        </w:rPr>
        <w:t xml:space="preserve"> by PUC 2827.1(b)(5)</w:t>
      </w:r>
      <w:r w:rsidR="00A95A9F">
        <w:rPr>
          <w:rFonts w:ascii="Palatino Linotype" w:hAnsi="Palatino Linotype" w:eastAsia="Palatino Linotype" w:cs="Times New Roman"/>
          <w:kern w:val="0"/>
          <w14:ligatures w14:val="none"/>
        </w:rPr>
        <w:t xml:space="preserve">, but PUC 2827.1(b)(5) specifically </w:t>
      </w:r>
      <w:r w:rsidR="00EA0011">
        <w:rPr>
          <w:rFonts w:ascii="Palatino Linotype" w:hAnsi="Palatino Linotype" w:eastAsia="Palatino Linotype" w:cs="Times New Roman"/>
          <w:kern w:val="0"/>
          <w14:ligatures w14:val="none"/>
        </w:rPr>
        <w:t>provides that</w:t>
      </w:r>
      <w:r w:rsidRPr="00A95A9F" w:rsidR="00A95A9F">
        <w:rPr>
          <w:rFonts w:ascii="Palatino Linotype" w:hAnsi="Palatino Linotype" w:eastAsia="Palatino Linotype" w:cs="Times New Roman"/>
          <w:kern w:val="0"/>
          <w14:ligatures w14:val="none"/>
        </w:rPr>
        <w:t xml:space="preserve"> </w:t>
      </w:r>
      <w:r w:rsidRPr="007F169D" w:rsidR="00A95A9F">
        <w:rPr>
          <w:rFonts w:ascii="Palatino Linotype" w:hAnsi="Palatino Linotype" w:eastAsia="Times New Roman" w:cs="Times New Roman"/>
          <w:color w:val="000000"/>
          <w:kern w:val="0"/>
          <w:shd w:val="clear" w:color="auto" w:fill="FFFFFF"/>
          <w14:ligatures w14:val="none"/>
        </w:rPr>
        <w:t>projects with a capacity of more than one megawatt are subject to federal requirements</w:t>
      </w:r>
      <w:r w:rsidRPr="00A95A9F" w:rsidR="00FB56AB">
        <w:rPr>
          <w:rFonts w:ascii="Palatino Linotype" w:hAnsi="Palatino Linotype" w:eastAsia="Palatino Linotype" w:cs="Times New Roman"/>
          <w:kern w:val="0"/>
          <w14:ligatures w14:val="none"/>
        </w:rPr>
        <w:t xml:space="preserve">. </w:t>
      </w:r>
    </w:p>
    <w:p w:rsidRPr="00BC778A" w:rsidR="000E030D" w:rsidP="003E658A" w:rsidRDefault="000E030D" w14:paraId="387EFA70" w14:textId="77777777">
      <w:pPr>
        <w:spacing w:after="0" w:line="240" w:lineRule="auto"/>
        <w:rPr>
          <w:rFonts w:ascii="Palatino Linotype" w:hAnsi="Palatino Linotype" w:eastAsia="Palatino Linotype" w:cs="Times New Roman"/>
          <w:kern w:val="0"/>
          <w14:ligatures w14:val="none"/>
        </w:rPr>
      </w:pPr>
    </w:p>
    <w:p w:rsidR="00E22B3A" w:rsidP="003E658A" w:rsidRDefault="0093734B" w14:paraId="1B829923" w14:textId="08EFBF10">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In response to </w:t>
      </w:r>
      <w:r w:rsidRPr="00BC778A" w:rsidR="001D1175">
        <w:rPr>
          <w:rFonts w:ascii="Palatino Linotype" w:hAnsi="Palatino Linotype" w:eastAsia="Palatino Linotype" w:cs="Times New Roman"/>
          <w:kern w:val="0"/>
          <w14:ligatures w14:val="none"/>
        </w:rPr>
        <w:t>PG&amp;E AL 7606-E and SDG&amp;E AL 4664-E</w:t>
      </w:r>
      <w:r w:rsidRPr="00BC778A">
        <w:rPr>
          <w:rFonts w:ascii="Palatino Linotype" w:hAnsi="Palatino Linotype" w:eastAsia="Palatino Linotype" w:cs="Times New Roman"/>
          <w:kern w:val="0"/>
          <w14:ligatures w14:val="none"/>
        </w:rPr>
        <w:t>,</w:t>
      </w:r>
      <w:r w:rsidRPr="00BC778A" w:rsidR="002C2453">
        <w:rPr>
          <w:rFonts w:ascii="Palatino Linotype" w:hAnsi="Palatino Linotype" w:eastAsia="Palatino Linotype" w:cs="Times New Roman"/>
          <w:kern w:val="0"/>
          <w14:ligatures w14:val="none"/>
        </w:rPr>
        <w:t xml:space="preserve"> however,</w:t>
      </w:r>
      <w:r w:rsidRPr="00BC778A">
        <w:rPr>
          <w:rFonts w:ascii="Palatino Linotype" w:hAnsi="Palatino Linotype" w:eastAsia="Palatino Linotype" w:cs="Times New Roman"/>
          <w:kern w:val="0"/>
          <w14:ligatures w14:val="none"/>
        </w:rPr>
        <w:t xml:space="preserve"> t</w:t>
      </w:r>
      <w:r w:rsidRPr="00BC778A" w:rsidR="005C601F">
        <w:rPr>
          <w:rFonts w:ascii="Palatino Linotype" w:hAnsi="Palatino Linotype" w:eastAsia="Palatino Linotype" w:cs="Times New Roman"/>
          <w:kern w:val="0"/>
          <w14:ligatures w14:val="none"/>
        </w:rPr>
        <w:t>he</w:t>
      </w:r>
      <w:r w:rsidRPr="00BC778A" w:rsidR="00441CB5">
        <w:rPr>
          <w:rFonts w:ascii="Palatino Linotype" w:hAnsi="Palatino Linotype" w:eastAsia="Palatino Linotype" w:cs="Times New Roman"/>
          <w:kern w:val="0"/>
          <w14:ligatures w14:val="none"/>
        </w:rPr>
        <w:t xml:space="preserve"> Commission </w:t>
      </w:r>
      <w:r w:rsidR="005F3F36">
        <w:rPr>
          <w:rFonts w:ascii="Palatino Linotype" w:hAnsi="Palatino Linotype" w:eastAsia="Palatino Linotype" w:cs="Times New Roman"/>
          <w:kern w:val="0"/>
          <w14:ligatures w14:val="none"/>
        </w:rPr>
        <w:t>can</w:t>
      </w:r>
      <w:r w:rsidRPr="00BC778A" w:rsidR="00441CB5">
        <w:rPr>
          <w:rFonts w:ascii="Palatino Linotype" w:hAnsi="Palatino Linotype" w:eastAsia="Palatino Linotype" w:cs="Times New Roman"/>
          <w:kern w:val="0"/>
          <w14:ligatures w14:val="none"/>
        </w:rPr>
        <w:t xml:space="preserve"> </w:t>
      </w:r>
      <w:r w:rsidRPr="00BC778A" w:rsidR="005C601F">
        <w:rPr>
          <w:rFonts w:ascii="Palatino Linotype" w:hAnsi="Palatino Linotype" w:eastAsia="Palatino Linotype" w:cs="Times New Roman"/>
          <w:kern w:val="0"/>
          <w14:ligatures w14:val="none"/>
        </w:rPr>
        <w:t>consider this new matter of a capacity limit for the PURPA compliant</w:t>
      </w:r>
      <w:r w:rsidR="00F51833">
        <w:rPr>
          <w:rFonts w:ascii="Palatino Linotype" w:hAnsi="Palatino Linotype" w:eastAsia="Palatino Linotype" w:cs="Times New Roman"/>
          <w:kern w:val="0"/>
          <w14:ligatures w14:val="none"/>
        </w:rPr>
        <w:t xml:space="preserve"> compensated export</w:t>
      </w:r>
      <w:r w:rsidRPr="00BC778A" w:rsidR="005C601F">
        <w:rPr>
          <w:rFonts w:ascii="Palatino Linotype" w:hAnsi="Palatino Linotype" w:eastAsia="Palatino Linotype" w:cs="Times New Roman"/>
          <w:kern w:val="0"/>
          <w14:ligatures w14:val="none"/>
        </w:rPr>
        <w:t xml:space="preserve"> tariff</w:t>
      </w:r>
      <w:r w:rsidRPr="00BC778A" w:rsidR="0424E2E3">
        <w:rPr>
          <w:rFonts w:ascii="Palatino Linotype" w:hAnsi="Palatino Linotype" w:eastAsia="Palatino Linotype" w:cs="Times New Roman"/>
          <w:kern w:val="0"/>
          <w14:ligatures w14:val="none"/>
        </w:rPr>
        <w:t xml:space="preserve"> to </w:t>
      </w:r>
      <w:r w:rsidRPr="00BC778A" w:rsidR="000B58A2">
        <w:rPr>
          <w:rFonts w:ascii="Palatino Linotype" w:hAnsi="Palatino Linotype" w:eastAsia="Palatino Linotype" w:cs="Times New Roman"/>
          <w:kern w:val="0"/>
          <w14:ligatures w14:val="none"/>
        </w:rPr>
        <w:t>ensure</w:t>
      </w:r>
      <w:r w:rsidRPr="00BC778A" w:rsidR="0424E2E3">
        <w:rPr>
          <w:rFonts w:ascii="Palatino Linotype" w:hAnsi="Palatino Linotype" w:eastAsia="Palatino Linotype" w:cs="Times New Roman"/>
          <w:kern w:val="0"/>
          <w14:ligatures w14:val="none"/>
        </w:rPr>
        <w:t xml:space="preserve"> there are no conflicts between state and federal law</w:t>
      </w:r>
      <w:r w:rsidR="00016029">
        <w:rPr>
          <w:rFonts w:ascii="Palatino Linotype" w:hAnsi="Palatino Linotype" w:eastAsia="Palatino Linotype" w:cs="Times New Roman"/>
          <w:kern w:val="0"/>
          <w14:ligatures w14:val="none"/>
        </w:rPr>
        <w:t xml:space="preserve"> and support customers’ understanding of the PURPA compliant export tariff directed by </w:t>
      </w:r>
      <w:r w:rsidR="00A50CD1">
        <w:rPr>
          <w:rFonts w:ascii="Palatino Linotype" w:hAnsi="Palatino Linotype" w:eastAsia="Palatino Linotype" w:cs="Times New Roman"/>
          <w:kern w:val="0"/>
          <w14:ligatures w14:val="none"/>
        </w:rPr>
        <w:br/>
      </w:r>
      <w:r w:rsidR="00016029">
        <w:rPr>
          <w:rFonts w:ascii="Palatino Linotype" w:hAnsi="Palatino Linotype" w:eastAsia="Palatino Linotype" w:cs="Times New Roman"/>
          <w:kern w:val="0"/>
          <w14:ligatures w14:val="none"/>
        </w:rPr>
        <w:t>D.23-11-068</w:t>
      </w:r>
      <w:r w:rsidRPr="00BC778A" w:rsidR="005C601F">
        <w:rPr>
          <w:rFonts w:ascii="Palatino Linotype" w:hAnsi="Palatino Linotype" w:eastAsia="Palatino Linotype" w:cs="Times New Roman"/>
          <w:kern w:val="0"/>
          <w14:ligatures w14:val="none"/>
        </w:rPr>
        <w:t xml:space="preserve">. </w:t>
      </w:r>
    </w:p>
    <w:p w:rsidRPr="00BC778A" w:rsidR="00F92801" w:rsidP="003E658A" w:rsidRDefault="00F92801" w14:paraId="35692C19" w14:textId="77777777">
      <w:pPr>
        <w:spacing w:after="0" w:line="240" w:lineRule="auto"/>
        <w:rPr>
          <w:rFonts w:ascii="Palatino Linotype" w:hAnsi="Palatino Linotype" w:eastAsia="Palatino Linotype" w:cs="Times New Roman"/>
          <w:kern w:val="0"/>
          <w14:ligatures w14:val="none"/>
        </w:rPr>
      </w:pPr>
    </w:p>
    <w:p w:rsidRPr="00BC778A" w:rsidR="00AC6112" w:rsidP="00EB76E3" w:rsidRDefault="0047306A" w14:paraId="021A721E" w14:textId="42046210">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Prior to accessing the </w:t>
      </w:r>
      <w:r w:rsidRPr="00BC778A" w:rsidR="00A73A02">
        <w:rPr>
          <w:rFonts w:ascii="Palatino Linotype" w:hAnsi="Palatino Linotype" w:eastAsia="Palatino Linotype" w:cs="Times New Roman"/>
          <w:kern w:val="0"/>
          <w14:ligatures w14:val="none"/>
        </w:rPr>
        <w:t xml:space="preserve">NEM or NBT </w:t>
      </w:r>
      <w:r w:rsidRPr="00BC778A">
        <w:rPr>
          <w:rFonts w:ascii="Palatino Linotype" w:hAnsi="Palatino Linotype" w:eastAsia="Palatino Linotype" w:cs="Times New Roman"/>
          <w:kern w:val="0"/>
          <w14:ligatures w14:val="none"/>
        </w:rPr>
        <w:t>tariff</w:t>
      </w:r>
      <w:r w:rsidRPr="00BC778A" w:rsidR="002E1816">
        <w:rPr>
          <w:rFonts w:ascii="Palatino Linotype" w:hAnsi="Palatino Linotype" w:eastAsia="Palatino Linotype" w:cs="Times New Roman"/>
          <w:kern w:val="0"/>
          <w14:ligatures w14:val="none"/>
        </w:rPr>
        <w:t>s</w:t>
      </w:r>
      <w:r w:rsidRPr="00BC778A">
        <w:rPr>
          <w:rFonts w:ascii="Palatino Linotype" w:hAnsi="Palatino Linotype" w:eastAsia="Palatino Linotype" w:cs="Times New Roman"/>
          <w:kern w:val="0"/>
          <w14:ligatures w14:val="none"/>
        </w:rPr>
        <w:t xml:space="preserve">, the utilities </w:t>
      </w:r>
      <w:r w:rsidRPr="00BC778A" w:rsidR="00014AF5">
        <w:rPr>
          <w:rFonts w:ascii="Palatino Linotype" w:hAnsi="Palatino Linotype" w:eastAsia="Palatino Linotype" w:cs="Times New Roman"/>
          <w:kern w:val="0"/>
          <w14:ligatures w14:val="none"/>
        </w:rPr>
        <w:t xml:space="preserve">and customers </w:t>
      </w:r>
      <w:r w:rsidRPr="00BC778A">
        <w:rPr>
          <w:rFonts w:ascii="Palatino Linotype" w:hAnsi="Palatino Linotype" w:eastAsia="Palatino Linotype" w:cs="Times New Roman"/>
          <w:kern w:val="0"/>
          <w14:ligatures w14:val="none"/>
        </w:rPr>
        <w:t xml:space="preserve">follow Rule 21 to assess interconnection requests. </w:t>
      </w:r>
      <w:r w:rsidRPr="00BC778A" w:rsidR="0061656E">
        <w:rPr>
          <w:rFonts w:ascii="Palatino Linotype" w:hAnsi="Palatino Linotype" w:eastAsia="Palatino Linotype" w:cs="Times New Roman"/>
          <w:kern w:val="0"/>
          <w14:ligatures w14:val="none"/>
        </w:rPr>
        <w:t xml:space="preserve">Rule 21 </w:t>
      </w:r>
      <w:r w:rsidRPr="00BC778A" w:rsidR="00515312">
        <w:rPr>
          <w:rFonts w:ascii="Palatino Linotype" w:hAnsi="Palatino Linotype" w:eastAsia="Palatino Linotype" w:cs="Times New Roman"/>
          <w:kern w:val="0"/>
          <w14:ligatures w14:val="none"/>
        </w:rPr>
        <w:t>defines</w:t>
      </w:r>
      <w:r w:rsidRPr="00BC778A" w:rsidR="00450C44">
        <w:rPr>
          <w:rFonts w:ascii="Palatino Linotype" w:hAnsi="Palatino Linotype" w:eastAsia="Palatino Linotype" w:cs="Times New Roman"/>
          <w:kern w:val="0"/>
          <w14:ligatures w14:val="none"/>
        </w:rPr>
        <w:t xml:space="preserve"> small</w:t>
      </w:r>
      <w:r w:rsidRPr="00BC778A" w:rsidR="00E916DF">
        <w:rPr>
          <w:rFonts w:ascii="Palatino Linotype" w:hAnsi="Palatino Linotype" w:eastAsia="Palatino Linotype" w:cs="Times New Roman"/>
          <w:kern w:val="0"/>
          <w14:ligatures w14:val="none"/>
        </w:rPr>
        <w:t xml:space="preserve"> </w:t>
      </w:r>
      <w:r w:rsidRPr="00BC778A" w:rsidR="00BE5810">
        <w:rPr>
          <w:rFonts w:ascii="Palatino Linotype" w:hAnsi="Palatino Linotype" w:eastAsia="Palatino Linotype" w:cs="Times New Roman"/>
          <w:kern w:val="0"/>
          <w14:ligatures w14:val="none"/>
        </w:rPr>
        <w:t>generating</w:t>
      </w:r>
      <w:r w:rsidRPr="00BC778A" w:rsidR="00E916DF">
        <w:rPr>
          <w:rFonts w:ascii="Palatino Linotype" w:hAnsi="Palatino Linotype" w:eastAsia="Palatino Linotype" w:cs="Times New Roman"/>
          <w:kern w:val="0"/>
          <w14:ligatures w14:val="none"/>
        </w:rPr>
        <w:t xml:space="preserve"> facilities</w:t>
      </w:r>
      <w:r w:rsidRPr="00BC778A" w:rsidR="00515312">
        <w:rPr>
          <w:rFonts w:ascii="Palatino Linotype" w:hAnsi="Palatino Linotype" w:eastAsia="Palatino Linotype" w:cs="Times New Roman"/>
          <w:kern w:val="0"/>
          <w14:ligatures w14:val="none"/>
        </w:rPr>
        <w:t xml:space="preserve"> as</w:t>
      </w:r>
      <w:r w:rsidRPr="00BC778A" w:rsidR="00450C44">
        <w:rPr>
          <w:rFonts w:ascii="Palatino Linotype" w:hAnsi="Palatino Linotype" w:eastAsia="Palatino Linotype" w:cs="Times New Roman"/>
          <w:kern w:val="0"/>
          <w14:ligatures w14:val="none"/>
        </w:rPr>
        <w:t xml:space="preserve"> those </w:t>
      </w:r>
      <w:r w:rsidRPr="00BC778A" w:rsidR="002E1816">
        <w:rPr>
          <w:rFonts w:ascii="Palatino Linotype" w:hAnsi="Palatino Linotype" w:eastAsia="Palatino Linotype" w:cs="Times New Roman"/>
          <w:kern w:val="0"/>
          <w14:ligatures w14:val="none"/>
        </w:rPr>
        <w:t>with a capacity of</w:t>
      </w:r>
      <w:r w:rsidRPr="00BC778A" w:rsidR="00450C44">
        <w:rPr>
          <w:rFonts w:ascii="Palatino Linotype" w:hAnsi="Palatino Linotype" w:eastAsia="Palatino Linotype" w:cs="Times New Roman"/>
          <w:kern w:val="0"/>
          <w14:ligatures w14:val="none"/>
        </w:rPr>
        <w:t xml:space="preserve"> 20</w:t>
      </w:r>
      <w:r w:rsidRPr="00BC778A" w:rsidR="00F76167">
        <w:rPr>
          <w:rFonts w:ascii="Palatino Linotype" w:hAnsi="Palatino Linotype" w:eastAsia="Palatino Linotype" w:cs="Times New Roman"/>
          <w:kern w:val="0"/>
          <w14:ligatures w14:val="none"/>
        </w:rPr>
        <w:t xml:space="preserve"> </w:t>
      </w:r>
      <w:r w:rsidRPr="00BC778A" w:rsidR="00450C44">
        <w:rPr>
          <w:rFonts w:ascii="Palatino Linotype" w:hAnsi="Palatino Linotype" w:eastAsia="Palatino Linotype" w:cs="Times New Roman"/>
          <w:kern w:val="0"/>
          <w14:ligatures w14:val="none"/>
        </w:rPr>
        <w:t>MW or less, and large</w:t>
      </w:r>
      <w:r w:rsidRPr="00BC778A" w:rsidR="000D7DB2">
        <w:rPr>
          <w:rFonts w:ascii="Palatino Linotype" w:hAnsi="Palatino Linotype" w:eastAsia="Palatino Linotype" w:cs="Times New Roman"/>
          <w:kern w:val="0"/>
          <w14:ligatures w14:val="none"/>
        </w:rPr>
        <w:t xml:space="preserve"> </w:t>
      </w:r>
      <w:r w:rsidRPr="00BC778A" w:rsidR="00BE5810">
        <w:rPr>
          <w:rFonts w:ascii="Palatino Linotype" w:hAnsi="Palatino Linotype" w:eastAsia="Palatino Linotype" w:cs="Times New Roman"/>
          <w:kern w:val="0"/>
          <w14:ligatures w14:val="none"/>
        </w:rPr>
        <w:t>generating</w:t>
      </w:r>
      <w:r w:rsidRPr="00BC778A" w:rsidR="000D7DB2">
        <w:rPr>
          <w:rFonts w:ascii="Palatino Linotype" w:hAnsi="Palatino Linotype" w:eastAsia="Palatino Linotype" w:cs="Times New Roman"/>
          <w:kern w:val="0"/>
          <w14:ligatures w14:val="none"/>
        </w:rPr>
        <w:t xml:space="preserve"> facilities</w:t>
      </w:r>
      <w:r w:rsidRPr="00BC778A" w:rsidR="00450C44">
        <w:rPr>
          <w:rFonts w:ascii="Palatino Linotype" w:hAnsi="Palatino Linotype" w:eastAsia="Palatino Linotype" w:cs="Times New Roman"/>
          <w:kern w:val="0"/>
          <w14:ligatures w14:val="none"/>
        </w:rPr>
        <w:t xml:space="preserve"> </w:t>
      </w:r>
      <w:r w:rsidRPr="00BC778A" w:rsidR="000E15A8">
        <w:rPr>
          <w:rFonts w:ascii="Palatino Linotype" w:hAnsi="Palatino Linotype" w:eastAsia="Palatino Linotype" w:cs="Times New Roman"/>
          <w:kern w:val="0"/>
          <w14:ligatures w14:val="none"/>
        </w:rPr>
        <w:t xml:space="preserve">as </w:t>
      </w:r>
      <w:r w:rsidRPr="00BC778A" w:rsidR="00450C44">
        <w:rPr>
          <w:rFonts w:ascii="Palatino Linotype" w:hAnsi="Palatino Linotype" w:eastAsia="Palatino Linotype" w:cs="Times New Roman"/>
          <w:kern w:val="0"/>
          <w14:ligatures w14:val="none"/>
        </w:rPr>
        <w:t xml:space="preserve">those </w:t>
      </w:r>
      <w:r w:rsidRPr="00BC778A" w:rsidR="000D7DB2">
        <w:rPr>
          <w:rFonts w:ascii="Palatino Linotype" w:hAnsi="Palatino Linotype" w:eastAsia="Palatino Linotype" w:cs="Times New Roman"/>
          <w:kern w:val="0"/>
          <w14:ligatures w14:val="none"/>
        </w:rPr>
        <w:t>with a capacity</w:t>
      </w:r>
      <w:r w:rsidR="00B547BB">
        <w:rPr>
          <w:rFonts w:ascii="Palatino Linotype" w:hAnsi="Palatino Linotype" w:eastAsia="Palatino Linotype" w:cs="Times New Roman"/>
          <w:kern w:val="0"/>
          <w14:ligatures w14:val="none"/>
        </w:rPr>
        <w:t xml:space="preserve"> </w:t>
      </w:r>
      <w:r w:rsidR="00BC0732">
        <w:rPr>
          <w:rFonts w:ascii="Palatino Linotype" w:hAnsi="Palatino Linotype" w:eastAsia="Palatino Linotype" w:cs="Times New Roman"/>
          <w:kern w:val="0"/>
          <w14:ligatures w14:val="none"/>
        </w:rPr>
        <w:t>of</w:t>
      </w:r>
      <w:r w:rsidRPr="00BC778A" w:rsidR="00450C44">
        <w:rPr>
          <w:rFonts w:ascii="Palatino Linotype" w:hAnsi="Palatino Linotype" w:eastAsia="Palatino Linotype" w:cs="Times New Roman"/>
          <w:kern w:val="0"/>
          <w14:ligatures w14:val="none"/>
        </w:rPr>
        <w:t xml:space="preserve"> </w:t>
      </w:r>
      <w:r w:rsidRPr="00BC778A" w:rsidR="00F7398A">
        <w:rPr>
          <w:rFonts w:ascii="Palatino Linotype" w:hAnsi="Palatino Linotype" w:eastAsia="Palatino Linotype" w:cs="Times New Roman"/>
          <w:kern w:val="0"/>
          <w14:ligatures w14:val="none"/>
        </w:rPr>
        <w:t>more than</w:t>
      </w:r>
      <w:r w:rsidRPr="00BC778A" w:rsidR="00450C44">
        <w:rPr>
          <w:rFonts w:ascii="Palatino Linotype" w:hAnsi="Palatino Linotype" w:eastAsia="Palatino Linotype" w:cs="Times New Roman"/>
          <w:kern w:val="0"/>
          <w14:ligatures w14:val="none"/>
        </w:rPr>
        <w:t xml:space="preserve"> 20</w:t>
      </w:r>
      <w:r w:rsidRPr="00BC778A" w:rsidR="00F76167">
        <w:rPr>
          <w:rFonts w:ascii="Palatino Linotype" w:hAnsi="Palatino Linotype" w:eastAsia="Palatino Linotype" w:cs="Times New Roman"/>
          <w:kern w:val="0"/>
          <w14:ligatures w14:val="none"/>
        </w:rPr>
        <w:t xml:space="preserve"> </w:t>
      </w:r>
      <w:r w:rsidRPr="00BC778A" w:rsidR="00450C44">
        <w:rPr>
          <w:rFonts w:ascii="Palatino Linotype" w:hAnsi="Palatino Linotype" w:eastAsia="Palatino Linotype" w:cs="Times New Roman"/>
          <w:kern w:val="0"/>
          <w14:ligatures w14:val="none"/>
        </w:rPr>
        <w:t>MW</w:t>
      </w:r>
      <w:r w:rsidRPr="00BC778A" w:rsidR="00E916DF">
        <w:rPr>
          <w:rFonts w:ascii="Palatino Linotype" w:hAnsi="Palatino Linotype" w:eastAsia="Palatino Linotype" w:cs="Times New Roman"/>
          <w:kern w:val="0"/>
          <w14:ligatures w14:val="none"/>
        </w:rPr>
        <w:t>.</w:t>
      </w:r>
      <w:r w:rsidRPr="00BC778A" w:rsidR="00CA20E5">
        <w:rPr>
          <w:rFonts w:ascii="Palatino Linotype" w:hAnsi="Palatino Linotype" w:eastAsia="Palatino Linotype" w:cs="Times New Roman"/>
          <w:kern w:val="0"/>
          <w14:ligatures w14:val="none"/>
        </w:rPr>
        <w:t xml:space="preserve"> </w:t>
      </w:r>
      <w:r w:rsidRPr="00BC778A" w:rsidR="00515312">
        <w:rPr>
          <w:rFonts w:ascii="Palatino Linotype" w:hAnsi="Palatino Linotype" w:eastAsia="Palatino Linotype" w:cs="Times New Roman"/>
          <w:kern w:val="0"/>
          <w14:ligatures w14:val="none"/>
        </w:rPr>
        <w:t xml:space="preserve">Rule 21 </w:t>
      </w:r>
      <w:r w:rsidRPr="00BC778A" w:rsidR="000E15A8">
        <w:rPr>
          <w:rFonts w:ascii="Palatino Linotype" w:hAnsi="Palatino Linotype" w:eastAsia="Palatino Linotype" w:cs="Times New Roman"/>
          <w:kern w:val="0"/>
          <w14:ligatures w14:val="none"/>
        </w:rPr>
        <w:t>separate</w:t>
      </w:r>
      <w:r w:rsidRPr="00BC778A" w:rsidR="008F5A50">
        <w:rPr>
          <w:rFonts w:ascii="Palatino Linotype" w:hAnsi="Palatino Linotype" w:eastAsia="Palatino Linotype" w:cs="Times New Roman"/>
          <w:kern w:val="0"/>
          <w14:ligatures w14:val="none"/>
        </w:rPr>
        <w:t>s</w:t>
      </w:r>
      <w:r w:rsidRPr="00BC778A" w:rsidR="000E15A8">
        <w:rPr>
          <w:rFonts w:ascii="Palatino Linotype" w:hAnsi="Palatino Linotype" w:eastAsia="Palatino Linotype" w:cs="Times New Roman"/>
          <w:kern w:val="0"/>
          <w14:ligatures w14:val="none"/>
        </w:rPr>
        <w:t xml:space="preserve"> NEM</w:t>
      </w:r>
      <w:r w:rsidRPr="00BC778A" w:rsidR="007D59CE">
        <w:rPr>
          <w:rFonts w:ascii="Palatino Linotype" w:hAnsi="Palatino Linotype" w:eastAsia="Palatino Linotype" w:cs="Times New Roman"/>
          <w:kern w:val="0"/>
          <w14:ligatures w14:val="none"/>
        </w:rPr>
        <w:t>/NBT</w:t>
      </w:r>
      <w:r w:rsidRPr="00BC778A" w:rsidR="000E15A8">
        <w:rPr>
          <w:rFonts w:ascii="Palatino Linotype" w:hAnsi="Palatino Linotype" w:eastAsia="Palatino Linotype" w:cs="Times New Roman"/>
          <w:kern w:val="0"/>
          <w14:ligatures w14:val="none"/>
        </w:rPr>
        <w:t xml:space="preserve"> facilities that are </w:t>
      </w:r>
      <w:r w:rsidRPr="00BC778A" w:rsidR="00EF447D">
        <w:rPr>
          <w:rFonts w:ascii="Palatino Linotype" w:hAnsi="Palatino Linotype" w:eastAsia="Palatino Linotype" w:cs="Times New Roman"/>
          <w:kern w:val="0"/>
          <w14:ligatures w14:val="none"/>
        </w:rPr>
        <w:t xml:space="preserve">greater than </w:t>
      </w:r>
      <w:r w:rsidRPr="00BC778A" w:rsidR="000E15A8">
        <w:rPr>
          <w:rFonts w:ascii="Palatino Linotype" w:hAnsi="Palatino Linotype" w:eastAsia="Palatino Linotype" w:cs="Times New Roman"/>
          <w:kern w:val="0"/>
          <w14:ligatures w14:val="none"/>
        </w:rPr>
        <w:t>1</w:t>
      </w:r>
      <w:r w:rsidRPr="00BC778A" w:rsidR="00F76167">
        <w:rPr>
          <w:rFonts w:ascii="Palatino Linotype" w:hAnsi="Palatino Linotype" w:eastAsia="Palatino Linotype" w:cs="Times New Roman"/>
          <w:kern w:val="0"/>
          <w14:ligatures w14:val="none"/>
        </w:rPr>
        <w:t xml:space="preserve"> </w:t>
      </w:r>
      <w:r w:rsidRPr="00BC778A" w:rsidR="000E15A8">
        <w:rPr>
          <w:rFonts w:ascii="Palatino Linotype" w:hAnsi="Palatino Linotype" w:eastAsia="Palatino Linotype" w:cs="Times New Roman"/>
          <w:kern w:val="0"/>
          <w14:ligatures w14:val="none"/>
        </w:rPr>
        <w:t>MW</w:t>
      </w:r>
      <w:r w:rsidRPr="00BC778A" w:rsidR="008F5A50">
        <w:rPr>
          <w:rFonts w:ascii="Palatino Linotype" w:hAnsi="Palatino Linotype" w:eastAsia="Palatino Linotype" w:cs="Times New Roman"/>
          <w:kern w:val="0"/>
          <w14:ligatures w14:val="none"/>
        </w:rPr>
        <w:t xml:space="preserve"> with</w:t>
      </w:r>
      <w:r w:rsidRPr="00BC778A" w:rsidR="00EB79E4">
        <w:rPr>
          <w:rFonts w:ascii="Palatino Linotype" w:hAnsi="Palatino Linotype" w:eastAsia="Palatino Linotype" w:cs="Times New Roman"/>
          <w:kern w:val="0"/>
          <w14:ligatures w14:val="none"/>
        </w:rPr>
        <w:t xml:space="preserve"> different interconnection requirements</w:t>
      </w:r>
      <w:r w:rsidRPr="00BC778A" w:rsidR="000E15A8">
        <w:rPr>
          <w:rFonts w:ascii="Palatino Linotype" w:hAnsi="Palatino Linotype" w:eastAsia="Palatino Linotype" w:cs="Times New Roman"/>
          <w:kern w:val="0"/>
          <w14:ligatures w14:val="none"/>
        </w:rPr>
        <w:t xml:space="preserve">. </w:t>
      </w:r>
      <w:r w:rsidRPr="00BC778A" w:rsidR="00CF0873">
        <w:rPr>
          <w:rFonts w:ascii="Palatino Linotype" w:hAnsi="Palatino Linotype" w:eastAsia="Palatino Linotype" w:cs="Times New Roman"/>
          <w:kern w:val="0"/>
          <w14:ligatures w14:val="none"/>
        </w:rPr>
        <w:t xml:space="preserve">D.16-01-044 found that </w:t>
      </w:r>
      <w:r w:rsidRPr="00BC778A" w:rsidR="007D59CE">
        <w:rPr>
          <w:rFonts w:ascii="Palatino Linotype" w:hAnsi="Palatino Linotype" w:eastAsia="Palatino Linotype" w:cs="Times New Roman"/>
          <w:kern w:val="0"/>
          <w14:ligatures w14:val="none"/>
        </w:rPr>
        <w:t xml:space="preserve">Rule 21 was sufficient to ensure that customer-owned generation facilities would not exceed </w:t>
      </w:r>
      <w:r w:rsidR="00A05817">
        <w:rPr>
          <w:rFonts w:ascii="Palatino Linotype" w:hAnsi="Palatino Linotype" w:eastAsia="Palatino Linotype" w:cs="Times New Roman"/>
          <w:kern w:val="0"/>
          <w14:ligatures w14:val="none"/>
        </w:rPr>
        <w:br/>
      </w:r>
      <w:r w:rsidRPr="00BC778A" w:rsidR="007D59CE">
        <w:rPr>
          <w:rFonts w:ascii="Palatino Linotype" w:hAnsi="Palatino Linotype" w:eastAsia="Palatino Linotype" w:cs="Times New Roman"/>
          <w:kern w:val="0"/>
          <w14:ligatures w14:val="none"/>
        </w:rPr>
        <w:t>PUC 2827.1(b)(5)’s requirement to not have a significant impact on the distribution grid</w:t>
      </w:r>
      <w:r w:rsidRPr="00BC778A" w:rsidR="00EB76E3">
        <w:rPr>
          <w:rFonts w:ascii="Palatino Linotype" w:hAnsi="Palatino Linotype" w:eastAsia="Palatino Linotype" w:cs="Times New Roman"/>
          <w:kern w:val="0"/>
          <w14:ligatures w14:val="none"/>
        </w:rPr>
        <w:t>.</w:t>
      </w:r>
    </w:p>
    <w:p w:rsidRPr="00BC778A" w:rsidR="00C23D0A" w:rsidP="00EB76E3" w:rsidRDefault="006E734F" w14:paraId="22E9C689" w14:textId="3D7E88A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Without information to the contrary, </w:t>
      </w:r>
      <w:r w:rsidRPr="00BC778A" w:rsidR="00F92138">
        <w:rPr>
          <w:rFonts w:ascii="Palatino Linotype" w:hAnsi="Palatino Linotype" w:eastAsia="Palatino Linotype" w:cs="Times New Roman"/>
          <w:kern w:val="0"/>
          <w14:ligatures w14:val="none"/>
        </w:rPr>
        <w:t xml:space="preserve">we conclude that </w:t>
      </w:r>
      <w:r w:rsidRPr="00BC778A" w:rsidR="00FC573D">
        <w:rPr>
          <w:rFonts w:ascii="Palatino Linotype" w:hAnsi="Palatino Linotype" w:eastAsia="Palatino Linotype" w:cs="Times New Roman"/>
          <w:kern w:val="0"/>
          <w14:ligatures w14:val="none"/>
        </w:rPr>
        <w:t>Rule 21 continues to work as intended to achieve the direction of PUC 2827.1(b)(5)</w:t>
      </w:r>
      <w:r w:rsidR="0026556E">
        <w:rPr>
          <w:rFonts w:ascii="Palatino Linotype" w:hAnsi="Palatino Linotype" w:eastAsia="Palatino Linotype" w:cs="Times New Roman"/>
          <w:kern w:val="0"/>
          <w14:ligatures w14:val="none"/>
        </w:rPr>
        <w:t xml:space="preserve"> including adherence to federal statute.</w:t>
      </w:r>
    </w:p>
    <w:p w:rsidRPr="00BC778A" w:rsidR="00D53CC1" w:rsidP="00156664" w:rsidRDefault="00D53CC1" w14:paraId="63DD9FBC" w14:textId="77777777">
      <w:pPr>
        <w:spacing w:after="0" w:line="240" w:lineRule="auto"/>
        <w:rPr>
          <w:rFonts w:ascii="Palatino Linotype" w:hAnsi="Palatino Linotype" w:eastAsia="Palatino Linotype" w:cs="Times New Roman"/>
          <w:kern w:val="0"/>
          <w14:ligatures w14:val="none"/>
        </w:rPr>
      </w:pPr>
    </w:p>
    <w:p w:rsidRPr="00BC778A" w:rsidR="00D6722F" w:rsidP="00156664" w:rsidRDefault="006966D2" w14:paraId="2B4B397A" w14:textId="1E37978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Considering</w:t>
      </w:r>
      <w:r w:rsidRPr="00BC778A" w:rsidR="003765CC">
        <w:rPr>
          <w:rFonts w:ascii="Palatino Linotype" w:hAnsi="Palatino Linotype" w:eastAsia="Palatino Linotype" w:cs="Times New Roman"/>
          <w:kern w:val="0"/>
          <w14:ligatures w14:val="none"/>
        </w:rPr>
        <w:t xml:space="preserve"> the utilities’ concern</w:t>
      </w:r>
      <w:r w:rsidRPr="00BC778A" w:rsidR="00186A3A">
        <w:rPr>
          <w:rFonts w:ascii="Palatino Linotype" w:hAnsi="Palatino Linotype" w:eastAsia="Palatino Linotype" w:cs="Times New Roman"/>
          <w:kern w:val="0"/>
          <w14:ligatures w14:val="none"/>
        </w:rPr>
        <w:t>s</w:t>
      </w:r>
      <w:r w:rsidRPr="00BC778A" w:rsidR="00AB5BC9">
        <w:rPr>
          <w:rFonts w:ascii="Palatino Linotype" w:hAnsi="Palatino Linotype" w:eastAsia="Palatino Linotype" w:cs="Times New Roman"/>
          <w:kern w:val="0"/>
          <w14:ligatures w14:val="none"/>
        </w:rPr>
        <w:t xml:space="preserve"> outlined in their ALs</w:t>
      </w:r>
      <w:r w:rsidRPr="00BC778A" w:rsidR="00671FFA">
        <w:rPr>
          <w:rFonts w:ascii="Palatino Linotype" w:hAnsi="Palatino Linotype" w:eastAsia="Palatino Linotype" w:cs="Times New Roman"/>
          <w:kern w:val="0"/>
          <w14:ligatures w14:val="none"/>
        </w:rPr>
        <w:t>,</w:t>
      </w:r>
      <w:r w:rsidRPr="00BC778A" w:rsidR="003765CC">
        <w:rPr>
          <w:rFonts w:ascii="Palatino Linotype" w:hAnsi="Palatino Linotype" w:eastAsia="Palatino Linotype" w:cs="Times New Roman"/>
          <w:kern w:val="0"/>
          <w14:ligatures w14:val="none"/>
        </w:rPr>
        <w:t xml:space="preserve"> and </w:t>
      </w:r>
      <w:r w:rsidRPr="00BC778A" w:rsidR="00186A3A">
        <w:rPr>
          <w:rFonts w:ascii="Palatino Linotype" w:hAnsi="Palatino Linotype" w:eastAsia="Palatino Linotype" w:cs="Times New Roman"/>
          <w:kern w:val="0"/>
          <w14:ligatures w14:val="none"/>
        </w:rPr>
        <w:t xml:space="preserve">a </w:t>
      </w:r>
      <w:r w:rsidRPr="00BC778A" w:rsidR="003765CC">
        <w:rPr>
          <w:rFonts w:ascii="Palatino Linotype" w:hAnsi="Palatino Linotype" w:eastAsia="Palatino Linotype" w:cs="Times New Roman"/>
          <w:kern w:val="0"/>
          <w14:ligatures w14:val="none"/>
        </w:rPr>
        <w:t>preference for caution</w:t>
      </w:r>
      <w:r w:rsidRPr="00BC778A" w:rsidR="00671FFA">
        <w:rPr>
          <w:rFonts w:ascii="Palatino Linotype" w:hAnsi="Palatino Linotype" w:eastAsia="Palatino Linotype" w:cs="Times New Roman"/>
          <w:kern w:val="0"/>
          <w14:ligatures w14:val="none"/>
        </w:rPr>
        <w:t xml:space="preserve">, we </w:t>
      </w:r>
      <w:r w:rsidRPr="0DF1F45F" w:rsidR="006E758F">
        <w:rPr>
          <w:rFonts w:ascii="Palatino Linotype" w:hAnsi="Palatino Linotype" w:eastAsia="Palatino Linotype" w:cs="Times New Roman"/>
        </w:rPr>
        <w:t xml:space="preserve">do </w:t>
      </w:r>
      <w:r w:rsidRPr="00BC778A" w:rsidR="00356F03">
        <w:rPr>
          <w:rFonts w:ascii="Palatino Linotype" w:hAnsi="Palatino Linotype" w:eastAsia="Palatino Linotype" w:cs="Times New Roman"/>
          <w:kern w:val="0"/>
          <w14:ligatures w14:val="none"/>
        </w:rPr>
        <w:t xml:space="preserve">adopt </w:t>
      </w:r>
      <w:r w:rsidRPr="00BC778A" w:rsidR="00255D8D">
        <w:rPr>
          <w:rFonts w:ascii="Palatino Linotype" w:hAnsi="Palatino Linotype" w:eastAsia="Palatino Linotype" w:cs="Times New Roman"/>
        </w:rPr>
        <w:t>the</w:t>
      </w:r>
      <w:r w:rsidRPr="00BC778A" w:rsidR="00356F03">
        <w:rPr>
          <w:rFonts w:ascii="Palatino Linotype" w:hAnsi="Palatino Linotype" w:eastAsia="Palatino Linotype" w:cs="Times New Roman"/>
          <w:kern w:val="0"/>
          <w14:ligatures w14:val="none"/>
        </w:rPr>
        <w:t xml:space="preserve"> require</w:t>
      </w:r>
      <w:r w:rsidRPr="00BC778A" w:rsidR="00255D8D">
        <w:rPr>
          <w:rFonts w:ascii="Palatino Linotype" w:hAnsi="Palatino Linotype" w:eastAsia="Palatino Linotype" w:cs="Times New Roman"/>
        </w:rPr>
        <w:t>ment of</w:t>
      </w:r>
      <w:r w:rsidRPr="00BC778A" w:rsidR="00AB5BC9">
        <w:rPr>
          <w:rFonts w:ascii="Palatino Linotype" w:hAnsi="Palatino Linotype" w:eastAsia="Palatino Linotype" w:cs="Times New Roman"/>
          <w:kern w:val="0"/>
          <w14:ligatures w14:val="none"/>
        </w:rPr>
        <w:t xml:space="preserve"> </w:t>
      </w:r>
      <w:r w:rsidRPr="00BC778A" w:rsidR="21A83608">
        <w:rPr>
          <w:rFonts w:ascii="Palatino Linotype" w:hAnsi="Palatino Linotype" w:eastAsia="Palatino Linotype" w:cs="Times New Roman"/>
          <w:kern w:val="0"/>
          <w14:ligatures w14:val="none"/>
        </w:rPr>
        <w:t>a</w:t>
      </w:r>
      <w:r w:rsidRPr="0DF1F45F" w:rsidR="645F3611">
        <w:rPr>
          <w:rFonts w:ascii="Palatino Linotype" w:hAnsi="Palatino Linotype" w:eastAsia="Palatino Linotype" w:cs="Times New Roman"/>
        </w:rPr>
        <w:t>n additional</w:t>
      </w:r>
      <w:r w:rsidRPr="0DF1F45F" w:rsidR="000A34F4">
        <w:rPr>
          <w:rFonts w:ascii="Palatino Linotype" w:hAnsi="Palatino Linotype" w:eastAsia="Palatino Linotype" w:cs="Times New Roman"/>
        </w:rPr>
        <w:t xml:space="preserve"> term stating there is a</w:t>
      </w:r>
      <w:r w:rsidRPr="00BC778A" w:rsidR="00671FFA">
        <w:rPr>
          <w:rFonts w:ascii="Palatino Linotype" w:hAnsi="Palatino Linotype" w:eastAsia="Palatino Linotype" w:cs="Times New Roman"/>
          <w:kern w:val="0"/>
          <w14:ligatures w14:val="none"/>
        </w:rPr>
        <w:t xml:space="preserve"> 20 MW capacity limit </w:t>
      </w:r>
      <w:r w:rsidRPr="0DF1F45F" w:rsidR="000A34F4">
        <w:rPr>
          <w:rFonts w:ascii="Palatino Linotype" w:hAnsi="Palatino Linotype" w:eastAsia="Palatino Linotype" w:cs="Times New Roman"/>
        </w:rPr>
        <w:t xml:space="preserve">for a REGF </w:t>
      </w:r>
      <w:r w:rsidRPr="00BC778A" w:rsidR="00696619">
        <w:rPr>
          <w:rFonts w:ascii="Palatino Linotype" w:hAnsi="Palatino Linotype" w:eastAsia="Palatino Linotype" w:cs="Times New Roman"/>
          <w:kern w:val="0"/>
          <w14:ligatures w14:val="none"/>
        </w:rPr>
        <w:t xml:space="preserve">in each </w:t>
      </w:r>
      <w:r w:rsidRPr="00BC778A" w:rsidR="2AB88A2B">
        <w:rPr>
          <w:rFonts w:ascii="Palatino Linotype" w:hAnsi="Palatino Linotype" w:eastAsia="Palatino Linotype" w:cs="Times New Roman"/>
          <w:kern w:val="0"/>
          <w14:ligatures w14:val="none"/>
        </w:rPr>
        <w:t xml:space="preserve">large electric </w:t>
      </w:r>
      <w:r w:rsidRPr="00BC778A" w:rsidR="00696619">
        <w:rPr>
          <w:rFonts w:ascii="Palatino Linotype" w:hAnsi="Palatino Linotype" w:eastAsia="Palatino Linotype" w:cs="Times New Roman"/>
          <w:kern w:val="0"/>
          <w14:ligatures w14:val="none"/>
        </w:rPr>
        <w:t>utility’s</w:t>
      </w:r>
      <w:r w:rsidRPr="00BC778A" w:rsidR="00186A3A">
        <w:rPr>
          <w:rFonts w:ascii="Palatino Linotype" w:hAnsi="Palatino Linotype" w:eastAsia="Palatino Linotype" w:cs="Times New Roman"/>
          <w:kern w:val="0"/>
          <w14:ligatures w14:val="none"/>
        </w:rPr>
        <w:t xml:space="preserve"> </w:t>
      </w:r>
      <w:r w:rsidRPr="00BC778A" w:rsidR="00657EB0">
        <w:rPr>
          <w:rFonts w:ascii="Palatino Linotype" w:hAnsi="Palatino Linotype" w:eastAsia="Palatino Linotype" w:cs="Times New Roman"/>
          <w:kern w:val="0"/>
          <w14:ligatures w14:val="none"/>
        </w:rPr>
        <w:t xml:space="preserve">individual </w:t>
      </w:r>
      <w:r w:rsidRPr="00BC778A" w:rsidR="00671FFA">
        <w:rPr>
          <w:rFonts w:ascii="Palatino Linotype" w:hAnsi="Palatino Linotype" w:eastAsia="Palatino Linotype" w:cs="Times New Roman"/>
          <w:kern w:val="0"/>
          <w14:ligatures w14:val="none"/>
        </w:rPr>
        <w:t>PURPA compliant tariff</w:t>
      </w:r>
      <w:r w:rsidRPr="00BC778A" w:rsidR="00657EB0">
        <w:rPr>
          <w:rFonts w:ascii="Palatino Linotype" w:hAnsi="Palatino Linotype" w:eastAsia="Palatino Linotype" w:cs="Times New Roman"/>
          <w:kern w:val="0"/>
          <w14:ligatures w14:val="none"/>
        </w:rPr>
        <w:t>s</w:t>
      </w:r>
      <w:r w:rsidRPr="00BC778A" w:rsidR="00FC5F63">
        <w:rPr>
          <w:rFonts w:ascii="Palatino Linotype" w:hAnsi="Palatino Linotype" w:eastAsia="Palatino Linotype" w:cs="Times New Roman"/>
          <w:kern w:val="0"/>
          <w14:ligatures w14:val="none"/>
        </w:rPr>
        <w:t>.</w:t>
      </w:r>
      <w:r w:rsidRPr="001C671A" w:rsidR="00757C8A">
        <w:rPr>
          <w:rFonts w:ascii="Palatino Linotype" w:hAnsi="Palatino Linotype" w:eastAsia="Palatino Linotype" w:cs="Times New Roman"/>
        </w:rPr>
        <w:t xml:space="preserve"> </w:t>
      </w:r>
      <w:r w:rsidRPr="001C671A" w:rsidR="2112EC17">
        <w:rPr>
          <w:rFonts w:ascii="Palatino Linotype" w:hAnsi="Palatino Linotype" w:eastAsia="Palatino Linotype" w:cs="Times New Roman"/>
        </w:rPr>
        <w:t>Adopting</w:t>
      </w:r>
      <w:r w:rsidRPr="001C671A" w:rsidR="00A005D3">
        <w:rPr>
          <w:rFonts w:ascii="Palatino Linotype" w:hAnsi="Palatino Linotype" w:eastAsia="Palatino Linotype" w:cs="Times New Roman"/>
        </w:rPr>
        <w:t xml:space="preserve"> this term avoids </w:t>
      </w:r>
      <w:r w:rsidRPr="001C671A" w:rsidR="00E457BB">
        <w:rPr>
          <w:rFonts w:ascii="Palatino Linotype" w:hAnsi="Palatino Linotype" w:eastAsia="Palatino Linotype" w:cs="Times New Roman"/>
        </w:rPr>
        <w:t>confusion</w:t>
      </w:r>
      <w:r w:rsidRPr="001C671A" w:rsidR="0038174E">
        <w:rPr>
          <w:rFonts w:ascii="Palatino Linotype" w:hAnsi="Palatino Linotype" w:eastAsia="Palatino Linotype" w:cs="Times New Roman"/>
        </w:rPr>
        <w:t xml:space="preserve"> and limits risk from </w:t>
      </w:r>
      <w:r w:rsidRPr="001C671A" w:rsidR="00BA5091">
        <w:rPr>
          <w:rFonts w:ascii="Palatino Linotype" w:hAnsi="Palatino Linotype" w:eastAsia="Palatino Linotype" w:cs="Times New Roman"/>
        </w:rPr>
        <w:t xml:space="preserve">solely </w:t>
      </w:r>
      <w:r w:rsidRPr="001C671A" w:rsidR="0038174E">
        <w:rPr>
          <w:rFonts w:ascii="Palatino Linotype" w:hAnsi="Palatino Linotype" w:eastAsia="Palatino Linotype" w:cs="Times New Roman"/>
        </w:rPr>
        <w:t>relying on the NEM/NBT interconnection process</w:t>
      </w:r>
      <w:r w:rsidRPr="001C671A" w:rsidR="00EA4778">
        <w:rPr>
          <w:rFonts w:ascii="Palatino Linotype" w:hAnsi="Palatino Linotype" w:eastAsia="Palatino Linotype" w:cs="Times New Roman"/>
        </w:rPr>
        <w:t xml:space="preserve"> for facilities that transition </w:t>
      </w:r>
      <w:r w:rsidRPr="001C671A" w:rsidR="00F5775C">
        <w:rPr>
          <w:rFonts w:ascii="Palatino Linotype" w:hAnsi="Palatino Linotype" w:eastAsia="Palatino Linotype" w:cs="Times New Roman"/>
        </w:rPr>
        <w:t xml:space="preserve">later </w:t>
      </w:r>
      <w:r w:rsidRPr="001C671A" w:rsidR="00EA4778">
        <w:rPr>
          <w:rFonts w:ascii="Palatino Linotype" w:hAnsi="Palatino Linotype" w:eastAsia="Palatino Linotype" w:cs="Times New Roman"/>
        </w:rPr>
        <w:t>from</w:t>
      </w:r>
      <w:r w:rsidRPr="001C671A" w:rsidR="00F5775C">
        <w:rPr>
          <w:rFonts w:ascii="Palatino Linotype" w:hAnsi="Palatino Linotype" w:eastAsia="Palatino Linotype" w:cs="Times New Roman"/>
        </w:rPr>
        <w:t xml:space="preserve"> treatment as a </w:t>
      </w:r>
      <w:r w:rsidRPr="001C671A" w:rsidR="00EA4778">
        <w:rPr>
          <w:rFonts w:ascii="Palatino Linotype" w:hAnsi="Palatino Linotype" w:eastAsia="Palatino Linotype" w:cs="Times New Roman"/>
        </w:rPr>
        <w:t>customer-serving generation to a qualified facility</w:t>
      </w:r>
      <w:r w:rsidRPr="001C671A" w:rsidR="00E457BB">
        <w:rPr>
          <w:rFonts w:ascii="Palatino Linotype" w:hAnsi="Palatino Linotype" w:eastAsia="Palatino Linotype" w:cs="Times New Roman"/>
        </w:rPr>
        <w:t>.</w:t>
      </w:r>
    </w:p>
    <w:p w:rsidRPr="00BC778A" w:rsidR="001B2FD2" w:rsidP="00156664" w:rsidRDefault="001B2FD2" w14:paraId="5D1FEFE8" w14:textId="77777777">
      <w:pPr>
        <w:spacing w:after="0" w:line="240" w:lineRule="auto"/>
        <w:rPr>
          <w:rFonts w:ascii="Palatino Linotype" w:hAnsi="Palatino Linotype" w:eastAsia="Palatino Linotype" w:cs="Times New Roman"/>
          <w:kern w:val="0"/>
          <w14:ligatures w14:val="none"/>
        </w:rPr>
      </w:pPr>
    </w:p>
    <w:p w:rsidRPr="00BC778A" w:rsidR="00156664" w:rsidP="00156664" w:rsidRDefault="00FC5F63" w14:paraId="619506D0" w14:textId="3494D761">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We </w:t>
      </w:r>
      <w:r w:rsidRPr="00BC778A" w:rsidR="00121287">
        <w:rPr>
          <w:rFonts w:ascii="Palatino Linotype" w:hAnsi="Palatino Linotype" w:eastAsia="Palatino Linotype" w:cs="Times New Roman"/>
          <w:kern w:val="0"/>
          <w14:ligatures w14:val="none"/>
        </w:rPr>
        <w:t>also require</w:t>
      </w:r>
      <w:r w:rsidRPr="00BC778A">
        <w:rPr>
          <w:rFonts w:ascii="Palatino Linotype" w:hAnsi="Palatino Linotype" w:eastAsia="Palatino Linotype" w:cs="Times New Roman"/>
          <w:kern w:val="0"/>
          <w14:ligatures w14:val="none"/>
        </w:rPr>
        <w:t xml:space="preserve"> that Southern California Edison</w:t>
      </w:r>
      <w:r w:rsidRPr="00BC778A" w:rsidR="00186A3A">
        <w:rPr>
          <w:rFonts w:ascii="Palatino Linotype" w:hAnsi="Palatino Linotype" w:eastAsia="Palatino Linotype" w:cs="Times New Roman"/>
          <w:kern w:val="0"/>
          <w14:ligatures w14:val="none"/>
        </w:rPr>
        <w:t xml:space="preserve"> (SCE)</w:t>
      </w:r>
      <w:r w:rsidRPr="00BC778A">
        <w:rPr>
          <w:rFonts w:ascii="Palatino Linotype" w:hAnsi="Palatino Linotype" w:eastAsia="Palatino Linotype" w:cs="Times New Roman"/>
          <w:kern w:val="0"/>
          <w14:ligatures w14:val="none"/>
        </w:rPr>
        <w:t xml:space="preserve"> </w:t>
      </w:r>
      <w:r w:rsidRPr="5402AB9A" w:rsidR="00453688">
        <w:rPr>
          <w:rFonts w:ascii="Palatino Linotype" w:hAnsi="Palatino Linotype" w:eastAsia="Palatino Linotype" w:cs="Times New Roman"/>
        </w:rPr>
        <w:t xml:space="preserve">revise its </w:t>
      </w:r>
      <w:r w:rsidRPr="00BC778A">
        <w:rPr>
          <w:rFonts w:ascii="Palatino Linotype" w:hAnsi="Palatino Linotype" w:eastAsia="Palatino Linotype" w:cs="Times New Roman"/>
          <w:kern w:val="0"/>
          <w14:ligatures w14:val="none"/>
        </w:rPr>
        <w:t xml:space="preserve">PURPA compliant </w:t>
      </w:r>
      <w:r w:rsidR="00A62D05">
        <w:rPr>
          <w:rFonts w:ascii="Palatino Linotype" w:hAnsi="Palatino Linotype" w:eastAsia="Palatino Linotype" w:cs="Times New Roman"/>
          <w:kern w:val="0"/>
          <w14:ligatures w14:val="none"/>
        </w:rPr>
        <w:t xml:space="preserve">compensated export </w:t>
      </w:r>
      <w:r w:rsidRPr="00BC778A">
        <w:rPr>
          <w:rFonts w:ascii="Palatino Linotype" w:hAnsi="Palatino Linotype" w:eastAsia="Palatino Linotype" w:cs="Times New Roman"/>
          <w:kern w:val="0"/>
          <w14:ligatures w14:val="none"/>
        </w:rPr>
        <w:t xml:space="preserve">tariff </w:t>
      </w:r>
      <w:r w:rsidRPr="00BC778A" w:rsidR="00186A3A">
        <w:rPr>
          <w:rFonts w:ascii="Palatino Linotype" w:hAnsi="Palatino Linotype" w:eastAsia="Palatino Linotype" w:cs="Times New Roman"/>
          <w:kern w:val="0"/>
          <w14:ligatures w14:val="none"/>
        </w:rPr>
        <w:t>(</w:t>
      </w:r>
      <w:r w:rsidRPr="5402AB9A" w:rsidR="00BC0732">
        <w:rPr>
          <w:rFonts w:ascii="Palatino Linotype" w:hAnsi="Palatino Linotype" w:eastAsia="Palatino Linotype" w:cs="Times New Roman"/>
        </w:rPr>
        <w:t xml:space="preserve">previously approved in </w:t>
      </w:r>
      <w:r w:rsidRPr="00BC778A" w:rsidR="00186A3A">
        <w:rPr>
          <w:rFonts w:ascii="Palatino Linotype" w:hAnsi="Palatino Linotype" w:eastAsia="Palatino Linotype" w:cs="Times New Roman"/>
          <w:kern w:val="0"/>
          <w14:ligatures w14:val="none"/>
        </w:rPr>
        <w:t xml:space="preserve">AL </w:t>
      </w:r>
      <w:r w:rsidRPr="00BC778A" w:rsidR="009B1301">
        <w:rPr>
          <w:rFonts w:ascii="Palatino Linotype" w:hAnsi="Palatino Linotype" w:eastAsia="Palatino Linotype" w:cs="Times New Roman"/>
          <w:kern w:val="0"/>
          <w14:ligatures w14:val="none"/>
        </w:rPr>
        <w:t>5230-E-A</w:t>
      </w:r>
      <w:r w:rsidRPr="00BC778A" w:rsidR="00186A3A">
        <w:rPr>
          <w:rFonts w:ascii="Palatino Linotype" w:hAnsi="Palatino Linotype" w:eastAsia="Palatino Linotype" w:cs="Times New Roman"/>
          <w:kern w:val="0"/>
          <w14:ligatures w14:val="none"/>
        </w:rPr>
        <w:t xml:space="preserve">) </w:t>
      </w:r>
      <w:r w:rsidRPr="5402AB9A" w:rsidR="00453688">
        <w:rPr>
          <w:rFonts w:ascii="Palatino Linotype" w:hAnsi="Palatino Linotype" w:eastAsia="Palatino Linotype" w:cs="Times New Roman"/>
        </w:rPr>
        <w:t xml:space="preserve">via </w:t>
      </w:r>
      <w:r w:rsidRPr="00BC778A" w:rsidR="14F55822">
        <w:rPr>
          <w:rFonts w:ascii="Palatino Linotype" w:hAnsi="Palatino Linotype" w:eastAsia="Palatino Linotype" w:cs="Times New Roman"/>
          <w:kern w:val="0"/>
          <w14:ligatures w14:val="none"/>
        </w:rPr>
        <w:t xml:space="preserve">a Tier 1 AL </w:t>
      </w:r>
      <w:r w:rsidRPr="00BC778A">
        <w:rPr>
          <w:rFonts w:ascii="Palatino Linotype" w:hAnsi="Palatino Linotype" w:eastAsia="Palatino Linotype" w:cs="Times New Roman"/>
          <w:kern w:val="0"/>
          <w14:ligatures w14:val="none"/>
        </w:rPr>
        <w:t>to match this Resolution</w:t>
      </w:r>
      <w:r w:rsidRPr="00BC778A" w:rsidR="006E0CE5">
        <w:rPr>
          <w:rFonts w:ascii="Palatino Linotype" w:hAnsi="Palatino Linotype" w:eastAsia="Palatino Linotype" w:cs="Times New Roman"/>
          <w:kern w:val="0"/>
          <w14:ligatures w14:val="none"/>
        </w:rPr>
        <w:t xml:space="preserve">’s </w:t>
      </w:r>
      <w:r w:rsidRPr="00BC778A" w:rsidR="00BD483D">
        <w:rPr>
          <w:rFonts w:ascii="Palatino Linotype" w:hAnsi="Palatino Linotype" w:eastAsia="Palatino Linotype" w:cs="Times New Roman"/>
          <w:kern w:val="0"/>
          <w14:ligatures w14:val="none"/>
        </w:rPr>
        <w:t>direction</w:t>
      </w:r>
      <w:r w:rsidRPr="00BC778A" w:rsidR="00933D4A">
        <w:rPr>
          <w:rFonts w:ascii="Palatino Linotype" w:hAnsi="Palatino Linotype" w:eastAsia="Palatino Linotype" w:cs="Times New Roman"/>
          <w:kern w:val="0"/>
          <w14:ligatures w14:val="none"/>
        </w:rPr>
        <w:t xml:space="preserve"> to include a 20 MW capacity limit</w:t>
      </w:r>
      <w:r w:rsidRPr="00BC778A" w:rsidR="008329E1">
        <w:rPr>
          <w:rFonts w:ascii="Palatino Linotype" w:hAnsi="Palatino Linotype" w:eastAsia="Palatino Linotype" w:cs="Times New Roman"/>
          <w:kern w:val="0"/>
          <w14:ligatures w14:val="none"/>
        </w:rPr>
        <w:t xml:space="preserve"> for a single generating facility</w:t>
      </w:r>
      <w:r w:rsidRPr="00BC778A" w:rsidDel="00453688" w:rsidR="00933D4A">
        <w:rPr>
          <w:rFonts w:ascii="Palatino Linotype" w:hAnsi="Palatino Linotype" w:eastAsia="Palatino Linotype" w:cs="Times New Roman"/>
          <w:kern w:val="0"/>
          <w14:ligatures w14:val="none"/>
        </w:rPr>
        <w:t xml:space="preserve"> </w:t>
      </w:r>
      <w:r w:rsidRPr="00BC778A" w:rsidR="00186A3A">
        <w:rPr>
          <w:rFonts w:ascii="Palatino Linotype" w:hAnsi="Palatino Linotype" w:eastAsia="Palatino Linotype" w:cs="Times New Roman"/>
          <w:kern w:val="0"/>
          <w14:ligatures w14:val="none"/>
        </w:rPr>
        <w:t xml:space="preserve">to have consistency amongst the </w:t>
      </w:r>
      <w:r w:rsidRPr="00BC778A" w:rsidR="5F96447B">
        <w:rPr>
          <w:rFonts w:ascii="Palatino Linotype" w:hAnsi="Palatino Linotype" w:eastAsia="Palatino Linotype" w:cs="Times New Roman"/>
          <w:kern w:val="0"/>
          <w14:ligatures w14:val="none"/>
        </w:rPr>
        <w:t>PURPA compliant</w:t>
      </w:r>
      <w:r w:rsidRPr="00BC778A" w:rsidR="00186A3A">
        <w:rPr>
          <w:rFonts w:ascii="Palatino Linotype" w:hAnsi="Palatino Linotype" w:eastAsia="Palatino Linotype" w:cs="Times New Roman"/>
          <w:kern w:val="0"/>
          <w14:ligatures w14:val="none"/>
        </w:rPr>
        <w:t xml:space="preserve"> tariffs</w:t>
      </w:r>
      <w:r w:rsidRPr="00BC778A" w:rsidR="00BD483D">
        <w:rPr>
          <w:rFonts w:ascii="Palatino Linotype" w:hAnsi="Palatino Linotype" w:eastAsia="Palatino Linotype" w:cs="Times New Roman"/>
          <w:kern w:val="0"/>
          <w14:ligatures w14:val="none"/>
        </w:rPr>
        <w:t>,</w:t>
      </w:r>
      <w:r w:rsidR="00A62D05">
        <w:rPr>
          <w:rFonts w:ascii="Palatino Linotype" w:hAnsi="Palatino Linotype" w:eastAsia="Palatino Linotype" w:cs="Times New Roman"/>
          <w:kern w:val="0"/>
          <w14:ligatures w14:val="none"/>
        </w:rPr>
        <w:t xml:space="preserve"> to</w:t>
      </w:r>
      <w:r w:rsidRPr="00BC778A" w:rsidR="0044150B">
        <w:rPr>
          <w:rFonts w:ascii="Palatino Linotype" w:hAnsi="Palatino Linotype" w:eastAsia="Palatino Linotype" w:cs="Times New Roman"/>
          <w:kern w:val="0"/>
          <w14:ligatures w14:val="none"/>
        </w:rPr>
        <w:t xml:space="preserve"> avoid customer confusion</w:t>
      </w:r>
      <w:r w:rsidRPr="00BC778A" w:rsidR="00BD483D">
        <w:rPr>
          <w:rFonts w:ascii="Palatino Linotype" w:hAnsi="Palatino Linotype" w:eastAsia="Palatino Linotype" w:cs="Times New Roman"/>
          <w:kern w:val="0"/>
          <w14:ligatures w14:val="none"/>
        </w:rPr>
        <w:t xml:space="preserve">, and </w:t>
      </w:r>
      <w:r w:rsidR="00A62D05">
        <w:rPr>
          <w:rFonts w:ascii="Palatino Linotype" w:hAnsi="Palatino Linotype" w:eastAsia="Palatino Linotype" w:cs="Times New Roman"/>
          <w:kern w:val="0"/>
          <w14:ligatures w14:val="none"/>
        </w:rPr>
        <w:t xml:space="preserve">to </w:t>
      </w:r>
      <w:r w:rsidRPr="00BC778A" w:rsidR="00BD483D">
        <w:rPr>
          <w:rFonts w:ascii="Palatino Linotype" w:hAnsi="Palatino Linotype" w:eastAsia="Palatino Linotype" w:cs="Times New Roman"/>
          <w:kern w:val="0"/>
          <w14:ligatures w14:val="none"/>
        </w:rPr>
        <w:t>provide the same safeguard in all the large investor-owned utility territories</w:t>
      </w:r>
      <w:r w:rsidRPr="00BC778A">
        <w:rPr>
          <w:rFonts w:ascii="Palatino Linotype" w:hAnsi="Palatino Linotype" w:eastAsia="Palatino Linotype" w:cs="Times New Roman"/>
          <w:kern w:val="0"/>
          <w14:ligatures w14:val="none"/>
        </w:rPr>
        <w:t>.</w:t>
      </w:r>
    </w:p>
    <w:p w:rsidRPr="00BC778A" w:rsidR="003F267C" w:rsidP="00156664" w:rsidRDefault="003F267C" w14:paraId="224E73C2" w14:textId="77777777">
      <w:pPr>
        <w:spacing w:after="0" w:line="240" w:lineRule="auto"/>
        <w:rPr>
          <w:rFonts w:ascii="Palatino Linotype" w:hAnsi="Palatino Linotype" w:eastAsia="Palatino Linotype" w:cs="Times New Roman"/>
          <w:kern w:val="0"/>
          <w14:ligatures w14:val="none"/>
        </w:rPr>
      </w:pPr>
    </w:p>
    <w:p w:rsidRPr="00BC778A" w:rsidR="003F267C" w:rsidP="003F267C" w:rsidRDefault="003F267C" w14:paraId="0E5BD7BF" w14:textId="27A9BD6C">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We clarify </w:t>
      </w:r>
      <w:r w:rsidRPr="00BC778A" w:rsidR="00FC5F63">
        <w:rPr>
          <w:rFonts w:ascii="Palatino Linotype" w:hAnsi="Palatino Linotype" w:eastAsia="Palatino Linotype" w:cs="Times New Roman"/>
          <w:kern w:val="0"/>
          <w14:ligatures w14:val="none"/>
        </w:rPr>
        <w:t xml:space="preserve">and affirm </w:t>
      </w:r>
      <w:r w:rsidRPr="00BC778A">
        <w:rPr>
          <w:rFonts w:ascii="Palatino Linotype" w:hAnsi="Palatino Linotype" w:eastAsia="Palatino Linotype" w:cs="Times New Roman"/>
          <w:kern w:val="0"/>
          <w14:ligatures w14:val="none"/>
        </w:rPr>
        <w:t xml:space="preserve">that a capacity maximum </w:t>
      </w:r>
      <w:r w:rsidRPr="00BC778A" w:rsidR="006E0CE5">
        <w:rPr>
          <w:rFonts w:ascii="Palatino Linotype" w:hAnsi="Palatino Linotype" w:eastAsia="Palatino Linotype" w:cs="Times New Roman"/>
          <w:kern w:val="0"/>
          <w14:ligatures w14:val="none"/>
        </w:rPr>
        <w:t>with</w:t>
      </w:r>
      <w:r w:rsidRPr="00BC778A">
        <w:rPr>
          <w:rFonts w:ascii="Palatino Linotype" w:hAnsi="Palatino Linotype" w:eastAsia="Palatino Linotype" w:cs="Times New Roman"/>
          <w:kern w:val="0"/>
          <w14:ligatures w14:val="none"/>
        </w:rPr>
        <w:t xml:space="preserve">in </w:t>
      </w:r>
      <w:r w:rsidRPr="00BC778A" w:rsidR="00894E57">
        <w:rPr>
          <w:rFonts w:ascii="Palatino Linotype" w:hAnsi="Palatino Linotype" w:eastAsia="Palatino Linotype" w:cs="Times New Roman"/>
          <w:kern w:val="0"/>
          <w14:ligatures w14:val="none"/>
        </w:rPr>
        <w:t>the</w:t>
      </w:r>
      <w:r w:rsidRPr="00BC778A">
        <w:rPr>
          <w:rFonts w:ascii="Palatino Linotype" w:hAnsi="Palatino Linotype" w:eastAsia="Palatino Linotype" w:cs="Times New Roman"/>
          <w:kern w:val="0"/>
          <w14:ligatures w14:val="none"/>
        </w:rPr>
        <w:t xml:space="preserve"> PURPA compliant</w:t>
      </w:r>
      <w:r w:rsidRPr="0DF1F45F" w:rsidR="00D65676">
        <w:rPr>
          <w:rFonts w:ascii="Palatino Linotype" w:hAnsi="Palatino Linotype" w:eastAsia="Palatino Linotype" w:cs="Times New Roman"/>
        </w:rPr>
        <w:t xml:space="preserve"> compensated export</w:t>
      </w:r>
      <w:r w:rsidRPr="00BC778A">
        <w:rPr>
          <w:rFonts w:ascii="Palatino Linotype" w:hAnsi="Palatino Linotype" w:eastAsia="Palatino Linotype" w:cs="Times New Roman"/>
          <w:kern w:val="0"/>
          <w14:ligatures w14:val="none"/>
        </w:rPr>
        <w:t xml:space="preserve"> tariff should not be</w:t>
      </w:r>
      <w:r w:rsidRPr="00BC778A" w:rsidDel="009A6B2D">
        <w:rPr>
          <w:rFonts w:ascii="Palatino Linotype" w:hAnsi="Palatino Linotype" w:eastAsia="Palatino Linotype" w:cs="Times New Roman"/>
          <w:kern w:val="0"/>
          <w14:ligatures w14:val="none"/>
        </w:rPr>
        <w:t xml:space="preserve"> </w:t>
      </w:r>
      <w:r w:rsidRPr="00BC778A" w:rsidR="009A6B2D">
        <w:rPr>
          <w:rFonts w:ascii="Palatino Linotype" w:hAnsi="Palatino Linotype" w:eastAsia="Palatino Linotype" w:cs="Times New Roman"/>
          <w:kern w:val="0"/>
          <w14:ligatures w14:val="none"/>
        </w:rPr>
        <w:t>interpreted</w:t>
      </w:r>
      <w:r w:rsidRPr="00BC778A">
        <w:rPr>
          <w:rFonts w:ascii="Palatino Linotype" w:hAnsi="Palatino Linotype" w:eastAsia="Palatino Linotype" w:cs="Times New Roman"/>
          <w:kern w:val="0"/>
          <w14:ligatures w14:val="none"/>
        </w:rPr>
        <w:t xml:space="preserve"> as amending the NEM or NBT tariffs or adding a</w:t>
      </w:r>
      <w:r w:rsidRPr="00BC778A" w:rsidR="004C645E">
        <w:rPr>
          <w:rFonts w:ascii="Palatino Linotype" w:hAnsi="Palatino Linotype" w:eastAsia="Palatino Linotype" w:cs="Times New Roman"/>
          <w:kern w:val="0"/>
          <w14:ligatures w14:val="none"/>
        </w:rPr>
        <w:t>n inverse</w:t>
      </w:r>
      <w:r w:rsidRPr="00BC778A">
        <w:rPr>
          <w:rFonts w:ascii="Palatino Linotype" w:hAnsi="Palatino Linotype" w:eastAsia="Palatino Linotype" w:cs="Times New Roman"/>
          <w:kern w:val="0"/>
          <w14:ligatures w14:val="none"/>
        </w:rPr>
        <w:t xml:space="preserve"> capacity limit in conflict with PUC 2827.1(b)(5)</w:t>
      </w:r>
      <w:r w:rsidR="002425DD">
        <w:rPr>
          <w:rFonts w:ascii="Palatino Linotype" w:hAnsi="Palatino Linotype" w:eastAsia="Palatino Linotype" w:cs="Times New Roman"/>
          <w:kern w:val="0"/>
          <w14:ligatures w14:val="none"/>
        </w:rPr>
        <w:t>.</w:t>
      </w:r>
      <w:r w:rsidR="002425DD">
        <w:rPr>
          <w:rStyle w:val="FootnoteReference"/>
          <w:rFonts w:ascii="Palatino Linotype" w:hAnsi="Palatino Linotype" w:eastAsia="Palatino Linotype" w:cs="Times New Roman"/>
          <w:kern w:val="0"/>
          <w14:ligatures w14:val="none"/>
        </w:rPr>
        <w:footnoteReference w:id="19"/>
      </w:r>
    </w:p>
    <w:p w:rsidRPr="00BC778A" w:rsidR="00A76F4A" w:rsidP="002738EF" w:rsidRDefault="00A76F4A" w14:paraId="3DF8AADD" w14:textId="412270F3">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lastRenderedPageBreak/>
        <w:t>Comments</w:t>
      </w:r>
    </w:p>
    <w:p w:rsidR="001021BF" w:rsidP="00453688" w:rsidRDefault="001021BF" w14:paraId="1557FF41" w14:textId="00DDF1B9">
      <w:pPr>
        <w:keepNext/>
        <w:spacing w:after="0" w:line="240" w:lineRule="auto"/>
        <w:rPr>
          <w:rFonts w:ascii="Palatino Linotype" w:hAnsi="Palatino Linotype" w:eastAsia="Palatino Linotype" w:cs="Times New Roman"/>
          <w:kern w:val="0"/>
          <w14:ligatures w14:val="none"/>
        </w:rPr>
      </w:pPr>
    </w:p>
    <w:p w:rsidR="001021BF" w:rsidP="00453688" w:rsidRDefault="001021BF" w14:paraId="66C668C0" w14:textId="77777777">
      <w:pPr>
        <w:keepNext/>
        <w:spacing w:after="0" w:line="240" w:lineRule="auto"/>
        <w:rPr>
          <w:rFonts w:ascii="Palatino Linotype" w:hAnsi="Palatino Linotype" w:eastAsia="Palatino Linotype" w:cs="Times New Roman"/>
          <w:kern w:val="0"/>
          <w14:ligatures w14:val="none"/>
        </w:rPr>
      </w:pPr>
    </w:p>
    <w:p w:rsidRPr="001021BF" w:rsidR="001021BF" w:rsidP="001021BF" w:rsidRDefault="001021BF" w14:paraId="2CB63F45" w14:textId="77777777">
      <w:pPr>
        <w:keepNext/>
        <w:spacing w:after="0" w:line="240" w:lineRule="auto"/>
        <w:rPr>
          <w:rFonts w:ascii="Palatino Linotype" w:hAnsi="Palatino Linotype" w:eastAsia="Palatino Linotype" w:cs="Times New Roman"/>
          <w:kern w:val="0"/>
          <w14:ligatures w14:val="none"/>
        </w:rPr>
      </w:pPr>
      <w:r w:rsidRPr="001021BF">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Any comments are due within</w:t>
      </w:r>
    </w:p>
    <w:p w:rsidR="001021BF" w:rsidP="001021BF" w:rsidRDefault="001021BF" w14:paraId="66A611CE" w14:textId="77777777">
      <w:pPr>
        <w:keepNext/>
        <w:spacing w:after="0" w:line="240" w:lineRule="auto"/>
        <w:rPr>
          <w:rFonts w:ascii="Palatino Linotype" w:hAnsi="Palatino Linotype" w:eastAsia="Palatino Linotype" w:cs="Times New Roman"/>
          <w:kern w:val="0"/>
          <w14:ligatures w14:val="none"/>
        </w:rPr>
      </w:pPr>
      <w:r w:rsidRPr="001021BF">
        <w:rPr>
          <w:rFonts w:ascii="Palatino Linotype" w:hAnsi="Palatino Linotype" w:eastAsia="Palatino Linotype" w:cs="Times New Roman"/>
          <w:kern w:val="0"/>
          <w14:ligatures w14:val="none"/>
        </w:rPr>
        <w:t xml:space="preserve">20 days </w:t>
      </w:r>
      <w:proofErr w:type="gramStart"/>
      <w:r w:rsidRPr="001021BF">
        <w:rPr>
          <w:rFonts w:ascii="Palatino Linotype" w:hAnsi="Palatino Linotype" w:eastAsia="Palatino Linotype" w:cs="Times New Roman"/>
          <w:kern w:val="0"/>
          <w14:ligatures w14:val="none"/>
        </w:rPr>
        <w:t>of</w:t>
      </w:r>
      <w:proofErr w:type="gramEnd"/>
      <w:r w:rsidRPr="001021BF">
        <w:rPr>
          <w:rFonts w:ascii="Palatino Linotype" w:hAnsi="Palatino Linotype" w:eastAsia="Palatino Linotype" w:cs="Times New Roman"/>
          <w:kern w:val="0"/>
          <w14:ligatures w14:val="none"/>
        </w:rPr>
        <w:t xml:space="preserve">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1021BF" w:rsidR="001021BF" w:rsidP="001021BF" w:rsidRDefault="001021BF" w14:paraId="70D702AA" w14:textId="77777777">
      <w:pPr>
        <w:keepNext/>
        <w:spacing w:after="0" w:line="240" w:lineRule="auto"/>
        <w:rPr>
          <w:rFonts w:ascii="Palatino Linotype" w:hAnsi="Palatino Linotype" w:eastAsia="Palatino Linotype" w:cs="Times New Roman"/>
          <w:kern w:val="0"/>
          <w14:ligatures w14:val="none"/>
        </w:rPr>
      </w:pPr>
    </w:p>
    <w:p w:rsidRPr="001021BF" w:rsidR="001021BF" w:rsidP="001021BF" w:rsidRDefault="001021BF" w14:paraId="0C060094" w14:textId="77777777">
      <w:pPr>
        <w:keepNext/>
        <w:spacing w:after="0" w:line="240" w:lineRule="auto"/>
        <w:rPr>
          <w:rFonts w:ascii="Palatino Linotype" w:hAnsi="Palatino Linotype" w:eastAsia="Palatino Linotype" w:cs="Times New Roman"/>
          <w:kern w:val="0"/>
          <w14:ligatures w14:val="none"/>
        </w:rPr>
      </w:pPr>
      <w:r w:rsidRPr="001021BF">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proofErr w:type="gramStart"/>
      <w:r w:rsidRPr="001021BF">
        <w:rPr>
          <w:rFonts w:ascii="Palatino Linotype" w:hAnsi="Palatino Linotype" w:eastAsia="Palatino Linotype" w:cs="Times New Roman"/>
          <w:kern w:val="0"/>
          <w14:ligatures w14:val="none"/>
        </w:rPr>
        <w:t>comments, and</w:t>
      </w:r>
      <w:proofErr w:type="gramEnd"/>
      <w:r w:rsidRPr="001021BF">
        <w:rPr>
          <w:rFonts w:ascii="Palatino Linotype" w:hAnsi="Palatino Linotype" w:eastAsia="Palatino Linotype" w:cs="Times New Roman"/>
          <w:kern w:val="0"/>
          <w14:ligatures w14:val="none"/>
        </w:rPr>
        <w:t xml:space="preserve"> will be placed on the Commission's agenda no earlier than 30 days from today.</w:t>
      </w:r>
    </w:p>
    <w:p w:rsidRPr="00BC778A" w:rsidR="00A76F4A" w:rsidP="00453688" w:rsidRDefault="00453688" w14:paraId="2ADB9E57" w14:textId="1D627F9D">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r>
    </w:p>
    <w:p w:rsidRPr="00BC778A"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Findings AND CONCLUSIONS</w:t>
      </w:r>
    </w:p>
    <w:p w:rsidRPr="00BC778A" w:rsidR="00A76F4A" w:rsidP="008115F2" w:rsidRDefault="00F67458" w14:paraId="75300465" w14:textId="06B968FA">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Decision </w:t>
      </w:r>
      <w:r w:rsidR="00086886">
        <w:rPr>
          <w:rFonts w:ascii="Palatino Linotype" w:hAnsi="Palatino Linotype" w:eastAsia="Palatino Linotype" w:cs="Times New Roman"/>
          <w:kern w:val="0"/>
          <w14:ligatures w14:val="none"/>
        </w:rPr>
        <w:t>(D.)</w:t>
      </w:r>
      <w:r w:rsidRPr="00BC778A">
        <w:rPr>
          <w:rFonts w:ascii="Palatino Linotype" w:hAnsi="Palatino Linotype" w:eastAsia="Palatino Linotype" w:cs="Times New Roman"/>
          <w:kern w:val="0"/>
          <w14:ligatures w14:val="none"/>
        </w:rPr>
        <w:t xml:space="preserve"> 23-11-068 </w:t>
      </w:r>
      <w:r w:rsidRPr="00BC778A" w:rsidR="00A76F4A">
        <w:rPr>
          <w:rFonts w:ascii="Palatino Linotype" w:hAnsi="Palatino Linotype" w:eastAsia="Palatino Linotype" w:cs="Times New Roman"/>
          <w:kern w:val="0"/>
          <w14:ligatures w14:val="none"/>
        </w:rPr>
        <w:t xml:space="preserve">directed </w:t>
      </w:r>
      <w:r w:rsidRPr="00BC778A">
        <w:rPr>
          <w:rFonts w:ascii="Palatino Linotype" w:hAnsi="Palatino Linotype" w:eastAsia="Palatino Linotype" w:cs="Times New Roman"/>
          <w:kern w:val="0"/>
          <w14:ligatures w14:val="none"/>
        </w:rPr>
        <w:t>Pacific Gas and Electric</w:t>
      </w:r>
      <w:r w:rsidRPr="00BC778A" w:rsidR="00E0167F">
        <w:rPr>
          <w:rFonts w:ascii="Palatino Linotype" w:hAnsi="Palatino Linotype" w:eastAsia="Palatino Linotype" w:cs="Times New Roman"/>
          <w:kern w:val="0"/>
          <w14:ligatures w14:val="none"/>
        </w:rPr>
        <w:t xml:space="preserve"> (PG&amp;E)</w:t>
      </w:r>
      <w:r w:rsidRPr="00BC778A">
        <w:rPr>
          <w:rFonts w:ascii="Palatino Linotype" w:hAnsi="Palatino Linotype" w:eastAsia="Palatino Linotype" w:cs="Times New Roman"/>
          <w:kern w:val="0"/>
          <w14:ligatures w14:val="none"/>
        </w:rPr>
        <w:t>, Southern California Edison</w:t>
      </w:r>
      <w:r w:rsidRPr="00BC778A" w:rsidR="00E0167F">
        <w:rPr>
          <w:rFonts w:ascii="Palatino Linotype" w:hAnsi="Palatino Linotype" w:eastAsia="Palatino Linotype" w:cs="Times New Roman"/>
          <w:kern w:val="0"/>
          <w14:ligatures w14:val="none"/>
        </w:rPr>
        <w:t xml:space="preserve"> (SCE)</w:t>
      </w:r>
      <w:r w:rsidRPr="00BC778A">
        <w:rPr>
          <w:rFonts w:ascii="Palatino Linotype" w:hAnsi="Palatino Linotype" w:eastAsia="Palatino Linotype" w:cs="Times New Roman"/>
          <w:kern w:val="0"/>
          <w14:ligatures w14:val="none"/>
        </w:rPr>
        <w:t xml:space="preserve">, and San Diego Gas &amp; Electric </w:t>
      </w:r>
      <w:r w:rsidRPr="00BC778A" w:rsidR="00E0167F">
        <w:rPr>
          <w:rFonts w:ascii="Palatino Linotype" w:hAnsi="Palatino Linotype" w:eastAsia="Palatino Linotype" w:cs="Times New Roman"/>
          <w:kern w:val="0"/>
          <w14:ligatures w14:val="none"/>
        </w:rPr>
        <w:t>(SDG&amp;E)</w:t>
      </w:r>
      <w:r w:rsidRPr="00BC778A">
        <w:rPr>
          <w:rFonts w:ascii="Palatino Linotype" w:hAnsi="Palatino Linotype" w:eastAsia="Palatino Linotype" w:cs="Times New Roman"/>
          <w:kern w:val="0"/>
          <w14:ligatures w14:val="none"/>
        </w:rPr>
        <w:t xml:space="preserve"> </w:t>
      </w:r>
      <w:r w:rsidRPr="00BC778A" w:rsidR="00A76F4A">
        <w:rPr>
          <w:rFonts w:ascii="Palatino Linotype" w:hAnsi="Palatino Linotype" w:eastAsia="Palatino Linotype" w:cs="Times New Roman"/>
          <w:kern w:val="0"/>
          <w14:ligatures w14:val="none"/>
        </w:rPr>
        <w:t>to file a</w:t>
      </w:r>
      <w:r w:rsidRPr="00BC778A">
        <w:rPr>
          <w:rFonts w:ascii="Palatino Linotype" w:hAnsi="Palatino Linotype" w:eastAsia="Palatino Linotype" w:cs="Times New Roman"/>
          <w:kern w:val="0"/>
          <w14:ligatures w14:val="none"/>
        </w:rPr>
        <w:t xml:space="preserve"> </w:t>
      </w:r>
      <w:r w:rsidR="00D04A62">
        <w:rPr>
          <w:rFonts w:ascii="Palatino Linotype" w:hAnsi="Palatino Linotype" w:eastAsia="Palatino Linotype" w:cs="Times New Roman"/>
          <w:kern w:val="0"/>
          <w14:ligatures w14:val="none"/>
        </w:rPr>
        <w:t>T</w:t>
      </w:r>
      <w:r w:rsidRPr="00BC778A">
        <w:rPr>
          <w:rFonts w:ascii="Palatino Linotype" w:hAnsi="Palatino Linotype" w:eastAsia="Palatino Linotype" w:cs="Times New Roman"/>
          <w:kern w:val="0"/>
          <w14:ligatures w14:val="none"/>
        </w:rPr>
        <w:t>ier 2</w:t>
      </w:r>
      <w:r w:rsidRPr="00BC778A" w:rsidR="00A76F4A">
        <w:rPr>
          <w:rFonts w:ascii="Palatino Linotype" w:hAnsi="Palatino Linotype" w:eastAsia="Palatino Linotype" w:cs="Times New Roman"/>
          <w:kern w:val="0"/>
          <w14:ligatures w14:val="none"/>
        </w:rPr>
        <w:t xml:space="preserve"> Advice Letter to</w:t>
      </w:r>
      <w:r w:rsidRPr="00BC778A">
        <w:rPr>
          <w:rFonts w:ascii="Palatino Linotype" w:hAnsi="Palatino Linotype" w:eastAsia="Palatino Linotype" w:cs="Times New Roman"/>
          <w:kern w:val="0"/>
          <w14:ligatures w14:val="none"/>
        </w:rPr>
        <w:t xml:space="preserve"> establish a new tariff with pricing based on D.20-05-006</w:t>
      </w:r>
      <w:r w:rsidRPr="00BC778A" w:rsidR="000644D1">
        <w:rPr>
          <w:rFonts w:ascii="Palatino Linotype" w:hAnsi="Palatino Linotype" w:eastAsia="Palatino Linotype" w:cs="Times New Roman"/>
          <w:kern w:val="0"/>
          <w14:ligatures w14:val="none"/>
        </w:rPr>
        <w:t xml:space="preserve"> open only to customers whose generation facilities had lost access to their original customer-generation tariffs. </w:t>
      </w:r>
    </w:p>
    <w:p w:rsidRPr="00BC778A" w:rsidR="000644D1" w:rsidP="008115F2" w:rsidRDefault="00086886" w14:paraId="295C04FB" w14:textId="6BCDEC87">
      <w:pPr>
        <w:numPr>
          <w:ilvl w:val="0"/>
          <w:numId w:val="2"/>
        </w:numPr>
        <w:spacing w:after="6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w:t>
      </w:r>
      <w:r w:rsidRPr="00BC778A" w:rsidR="000644D1">
        <w:rPr>
          <w:rFonts w:ascii="Palatino Linotype" w:hAnsi="Palatino Linotype" w:eastAsia="Palatino Linotype" w:cs="Times New Roman"/>
          <w:kern w:val="0"/>
          <w14:ligatures w14:val="none"/>
        </w:rPr>
        <w:t xml:space="preserve">23-11-068 did not discuss </w:t>
      </w:r>
      <w:proofErr w:type="gramStart"/>
      <w:r w:rsidRPr="00BC778A" w:rsidR="000644D1">
        <w:rPr>
          <w:rFonts w:ascii="Palatino Linotype" w:hAnsi="Palatino Linotype" w:eastAsia="Palatino Linotype" w:cs="Times New Roman"/>
          <w:kern w:val="0"/>
          <w14:ligatures w14:val="none"/>
        </w:rPr>
        <w:t>or</w:t>
      </w:r>
      <w:proofErr w:type="gramEnd"/>
      <w:r w:rsidRPr="00BC778A" w:rsidR="000644D1">
        <w:rPr>
          <w:rFonts w:ascii="Palatino Linotype" w:hAnsi="Palatino Linotype" w:eastAsia="Palatino Linotype" w:cs="Times New Roman"/>
          <w:kern w:val="0"/>
          <w14:ligatures w14:val="none"/>
        </w:rPr>
        <w:t xml:space="preserve"> direct </w:t>
      </w:r>
      <w:r w:rsidRPr="00BC778A" w:rsidR="002418DF">
        <w:rPr>
          <w:rFonts w:ascii="Palatino Linotype" w:hAnsi="Palatino Linotype" w:eastAsia="Palatino Linotype" w:cs="Times New Roman"/>
          <w:kern w:val="0"/>
          <w14:ligatures w14:val="none"/>
        </w:rPr>
        <w:t>policies regarding capacity limits for such a tariff.</w:t>
      </w:r>
    </w:p>
    <w:p w:rsidRPr="00BC778A" w:rsidR="00763B77" w:rsidP="008115F2" w:rsidRDefault="00763B77" w14:paraId="61B74CEC" w14:textId="21D12317">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PG&amp;E and SDG&amp;E</w:t>
      </w:r>
      <w:r w:rsidRPr="00BC778A" w:rsidR="00E27A13">
        <w:rPr>
          <w:rFonts w:ascii="Palatino Linotype" w:hAnsi="Palatino Linotype" w:eastAsia="Palatino Linotype" w:cs="Times New Roman"/>
          <w:kern w:val="0"/>
          <w14:ligatures w14:val="none"/>
        </w:rPr>
        <w:t>’s</w:t>
      </w:r>
      <w:r w:rsidRPr="00BC778A">
        <w:rPr>
          <w:rFonts w:ascii="Palatino Linotype" w:hAnsi="Palatino Linotype" w:eastAsia="Palatino Linotype" w:cs="Times New Roman"/>
          <w:kern w:val="0"/>
          <w14:ligatures w14:val="none"/>
        </w:rPr>
        <w:t xml:space="preserve"> </w:t>
      </w:r>
      <w:r w:rsidRPr="00BC778A" w:rsidR="00E27A13">
        <w:rPr>
          <w:rFonts w:ascii="Palatino Linotype" w:hAnsi="Palatino Linotype" w:eastAsia="Palatino Linotype" w:cs="Times New Roman"/>
          <w:kern w:val="0"/>
          <w14:ligatures w14:val="none"/>
        </w:rPr>
        <w:t>advice letter</w:t>
      </w:r>
      <w:r w:rsidR="00332DC7">
        <w:rPr>
          <w:rFonts w:ascii="Palatino Linotype" w:hAnsi="Palatino Linotype" w:eastAsia="Palatino Linotype" w:cs="Times New Roman"/>
          <w:kern w:val="0"/>
          <w14:ligatures w14:val="none"/>
        </w:rPr>
        <w:t xml:space="preserve"> submittals </w:t>
      </w:r>
      <w:r w:rsidRPr="00BC778A" w:rsidR="0FABA13C">
        <w:rPr>
          <w:rFonts w:ascii="Palatino Linotype" w:hAnsi="Palatino Linotype" w:eastAsia="Palatino Linotype" w:cs="Times New Roman"/>
          <w:kern w:val="0"/>
          <w14:ligatures w14:val="none"/>
        </w:rPr>
        <w:t xml:space="preserve">included a request for </w:t>
      </w:r>
      <w:r w:rsidRPr="00BC778A">
        <w:rPr>
          <w:rFonts w:ascii="Palatino Linotype" w:hAnsi="Palatino Linotype" w:eastAsia="Palatino Linotype" w:cs="Times New Roman"/>
          <w:kern w:val="0"/>
          <w14:ligatures w14:val="none"/>
        </w:rPr>
        <w:t xml:space="preserve">a 20 MW capacity limit </w:t>
      </w:r>
      <w:r w:rsidRPr="00BC778A" w:rsidR="5CC8600E">
        <w:rPr>
          <w:rFonts w:ascii="Palatino Linotype" w:hAnsi="Palatino Linotype" w:eastAsia="Palatino Linotype" w:cs="Times New Roman"/>
          <w:kern w:val="0"/>
          <w14:ligatures w14:val="none"/>
        </w:rPr>
        <w:t xml:space="preserve">to be added to the proposed tariffs, and that additional term </w:t>
      </w:r>
      <w:r w:rsidRPr="00BC778A">
        <w:rPr>
          <w:rFonts w:ascii="Palatino Linotype" w:hAnsi="Palatino Linotype" w:eastAsia="Palatino Linotype" w:cs="Times New Roman"/>
          <w:kern w:val="0"/>
          <w14:ligatures w14:val="none"/>
        </w:rPr>
        <w:t>could not be ministerially approved</w:t>
      </w:r>
      <w:r w:rsidRPr="00BC778A" w:rsidR="00E27A13">
        <w:rPr>
          <w:rFonts w:ascii="Palatino Linotype" w:hAnsi="Palatino Linotype" w:eastAsia="Palatino Linotype" w:cs="Times New Roman"/>
          <w:kern w:val="0"/>
          <w14:ligatures w14:val="none"/>
        </w:rPr>
        <w:t>.</w:t>
      </w:r>
    </w:p>
    <w:p w:rsidRPr="00BC778A" w:rsidR="002418DF" w:rsidP="008115F2" w:rsidRDefault="00086886" w14:paraId="67A3E7B9" w14:textId="5C04F668">
      <w:pPr>
        <w:numPr>
          <w:ilvl w:val="0"/>
          <w:numId w:val="2"/>
        </w:numPr>
        <w:spacing w:after="6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Public Utilities Code (</w:t>
      </w:r>
      <w:r w:rsidRPr="00BC778A" w:rsidR="002418DF">
        <w:rPr>
          <w:rFonts w:ascii="Palatino Linotype" w:hAnsi="Palatino Linotype" w:eastAsia="Palatino Linotype" w:cs="Times New Roman"/>
          <w:kern w:val="0"/>
          <w14:ligatures w14:val="none"/>
        </w:rPr>
        <w:t>PUC</w:t>
      </w:r>
      <w:r>
        <w:rPr>
          <w:rFonts w:ascii="Palatino Linotype" w:hAnsi="Palatino Linotype" w:eastAsia="Palatino Linotype" w:cs="Times New Roman"/>
          <w:kern w:val="0"/>
          <w14:ligatures w14:val="none"/>
        </w:rPr>
        <w:t>)</w:t>
      </w:r>
      <w:r w:rsidRPr="00BC778A" w:rsidR="002418DF">
        <w:rPr>
          <w:rFonts w:ascii="Palatino Linotype" w:hAnsi="Palatino Linotype" w:eastAsia="Palatino Linotype" w:cs="Times New Roman"/>
          <w:kern w:val="0"/>
          <w14:ligatures w14:val="none"/>
        </w:rPr>
        <w:t xml:space="preserve"> 2827.1 lifted capacity limits for the net energy metering (NEM) and net billing (NBT) tariffs</w:t>
      </w:r>
      <w:r w:rsidR="00180E3F">
        <w:rPr>
          <w:rFonts w:ascii="Palatino Linotype" w:hAnsi="Palatino Linotype" w:eastAsia="Palatino Linotype" w:cs="Times New Roman"/>
          <w:kern w:val="0"/>
          <w14:ligatures w14:val="none"/>
        </w:rPr>
        <w:t xml:space="preserve">, subject to </w:t>
      </w:r>
      <w:r w:rsidR="00980028">
        <w:rPr>
          <w:rFonts w:ascii="Palatino Linotype" w:hAnsi="Palatino Linotype" w:eastAsia="Palatino Linotype" w:cs="Times New Roman"/>
          <w:kern w:val="0"/>
          <w14:ligatures w14:val="none"/>
        </w:rPr>
        <w:t>Electric Rule 21 reasonable interconnection charges and applicable state and federal requirements</w:t>
      </w:r>
      <w:r w:rsidRPr="00BC778A" w:rsidR="002418DF">
        <w:rPr>
          <w:rFonts w:ascii="Palatino Linotype" w:hAnsi="Palatino Linotype" w:eastAsia="Palatino Linotype" w:cs="Times New Roman"/>
          <w:kern w:val="0"/>
          <w14:ligatures w14:val="none"/>
        </w:rPr>
        <w:t>.</w:t>
      </w:r>
    </w:p>
    <w:p w:rsidRPr="00BC778A" w:rsidR="002418DF" w:rsidP="008115F2" w:rsidRDefault="002418DF" w14:paraId="06F37EA4" w14:textId="11A31037">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Rule 21 </w:t>
      </w:r>
      <w:r w:rsidRPr="00BC778A" w:rsidR="009B41AC">
        <w:rPr>
          <w:rFonts w:ascii="Palatino Linotype" w:hAnsi="Palatino Linotype" w:eastAsia="Palatino Linotype" w:cs="Times New Roman"/>
          <w:kern w:val="0"/>
          <w14:ligatures w14:val="none"/>
        </w:rPr>
        <w:t>includes</w:t>
      </w:r>
      <w:r w:rsidRPr="00BC778A">
        <w:rPr>
          <w:rFonts w:ascii="Palatino Linotype" w:hAnsi="Palatino Linotype" w:eastAsia="Palatino Linotype" w:cs="Times New Roman"/>
          <w:kern w:val="0"/>
          <w14:ligatures w14:val="none"/>
        </w:rPr>
        <w:t xml:space="preserve"> assessment rules to determine whether a renewable energy generation facility has a significant impact </w:t>
      </w:r>
      <w:proofErr w:type="gramStart"/>
      <w:r w:rsidR="000322BD">
        <w:rPr>
          <w:rFonts w:ascii="Palatino Linotype" w:hAnsi="Palatino Linotype" w:eastAsia="Palatino Linotype" w:cs="Times New Roman"/>
          <w:kern w:val="0"/>
          <w14:ligatures w14:val="none"/>
        </w:rPr>
        <w:t>to</w:t>
      </w:r>
      <w:proofErr w:type="gramEnd"/>
      <w:r w:rsidR="000322BD">
        <w:rPr>
          <w:rFonts w:ascii="Palatino Linotype" w:hAnsi="Palatino Linotype" w:eastAsia="Palatino Linotype" w:cs="Times New Roman"/>
          <w:kern w:val="0"/>
          <w14:ligatures w14:val="none"/>
        </w:rPr>
        <w:t xml:space="preserve"> the </w:t>
      </w:r>
      <w:r w:rsidRPr="00BC778A">
        <w:rPr>
          <w:rFonts w:ascii="Palatino Linotype" w:hAnsi="Palatino Linotype" w:eastAsia="Palatino Linotype" w:cs="Times New Roman"/>
          <w:kern w:val="0"/>
          <w14:ligatures w14:val="none"/>
        </w:rPr>
        <w:t xml:space="preserve">grid. </w:t>
      </w:r>
    </w:p>
    <w:p w:rsidRPr="00BC778A" w:rsidR="002418DF" w:rsidP="008115F2" w:rsidRDefault="002418DF" w14:paraId="6BA0C291" w14:textId="093AEEF6">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PUC 2827.1 disallows any renewable energy generation facilities with a significant grid impact from access</w:t>
      </w:r>
      <w:r w:rsidRPr="00BC778A" w:rsidR="009B41AC">
        <w:rPr>
          <w:rFonts w:ascii="Palatino Linotype" w:hAnsi="Palatino Linotype" w:eastAsia="Palatino Linotype" w:cs="Times New Roman"/>
          <w:kern w:val="0"/>
          <w14:ligatures w14:val="none"/>
        </w:rPr>
        <w:t>ing</w:t>
      </w:r>
      <w:r w:rsidRPr="00BC778A">
        <w:rPr>
          <w:rFonts w:ascii="Palatino Linotype" w:hAnsi="Palatino Linotype" w:eastAsia="Palatino Linotype" w:cs="Times New Roman"/>
          <w:kern w:val="0"/>
          <w14:ligatures w14:val="none"/>
        </w:rPr>
        <w:t xml:space="preserve"> NEM/NBT tariffs. </w:t>
      </w:r>
    </w:p>
    <w:p w:rsidRPr="00BC778A" w:rsidR="00A849DB" w:rsidP="008115F2" w:rsidRDefault="00A849DB" w14:paraId="37AD2617" w14:textId="669C2458">
      <w:pPr>
        <w:numPr>
          <w:ilvl w:val="0"/>
          <w:numId w:val="2"/>
        </w:numPr>
        <w:spacing w:after="6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Federal law</w:t>
      </w:r>
      <w:r w:rsidR="007C64B0">
        <w:rPr>
          <w:rFonts w:ascii="Palatino Linotype" w:hAnsi="Palatino Linotype" w:eastAsia="Palatino Linotype" w:cs="Times New Roman"/>
          <w:kern w:val="0"/>
          <w14:ligatures w14:val="none"/>
        </w:rPr>
        <w:t>,</w:t>
      </w:r>
      <w:r w:rsidR="00480A7D">
        <w:rPr>
          <w:rFonts w:ascii="Palatino Linotype" w:hAnsi="Palatino Linotype" w:eastAsia="Palatino Linotype" w:cs="Times New Roman"/>
          <w:kern w:val="0"/>
          <w14:ligatures w14:val="none"/>
        </w:rPr>
        <w:t xml:space="preserve"> the Public Utility Regulatory Policies Act</w:t>
      </w:r>
      <w:r w:rsidR="00EE412C">
        <w:rPr>
          <w:rFonts w:ascii="Palatino Linotype" w:hAnsi="Palatino Linotype" w:eastAsia="Palatino Linotype" w:cs="Times New Roman"/>
          <w:kern w:val="0"/>
          <w14:ligatures w14:val="none"/>
        </w:rPr>
        <w:t xml:space="preserve"> (PURPA)</w:t>
      </w:r>
      <w:r w:rsidR="00480A7D">
        <w:rPr>
          <w:rFonts w:ascii="Palatino Linotype" w:hAnsi="Palatino Linotype" w:eastAsia="Palatino Linotype" w:cs="Times New Roman"/>
          <w:kern w:val="0"/>
          <w14:ligatures w14:val="none"/>
        </w:rPr>
        <w:t xml:space="preserve"> of 1978,</w:t>
      </w:r>
      <w:r>
        <w:rPr>
          <w:rFonts w:ascii="Palatino Linotype" w:hAnsi="Palatino Linotype" w:eastAsia="Palatino Linotype" w:cs="Times New Roman"/>
          <w:kern w:val="0"/>
          <w14:ligatures w14:val="none"/>
        </w:rPr>
        <w:t xml:space="preserve"> </w:t>
      </w:r>
      <w:r w:rsidR="00230520">
        <w:rPr>
          <w:rFonts w:ascii="Palatino Linotype" w:hAnsi="Palatino Linotype" w:eastAsia="Palatino Linotype" w:cs="Times New Roman"/>
          <w:kern w:val="0"/>
          <w14:ligatures w14:val="none"/>
        </w:rPr>
        <w:t xml:space="preserve">provides that a utility in California has a mandatory purchase obligation </w:t>
      </w:r>
      <w:r w:rsidR="007C64B0">
        <w:rPr>
          <w:rFonts w:ascii="Palatino Linotype" w:hAnsi="Palatino Linotype" w:eastAsia="Palatino Linotype" w:cs="Times New Roman"/>
          <w:kern w:val="0"/>
          <w14:ligatures w14:val="none"/>
        </w:rPr>
        <w:t xml:space="preserve">to purchase power from a qualifying facility with a net </w:t>
      </w:r>
      <w:r w:rsidR="00FA7288">
        <w:rPr>
          <w:rFonts w:ascii="Palatino Linotype" w:hAnsi="Palatino Linotype" w:eastAsia="Palatino Linotype" w:cs="Times New Roman"/>
          <w:kern w:val="0"/>
          <w14:ligatures w14:val="none"/>
        </w:rPr>
        <w:t xml:space="preserve">export </w:t>
      </w:r>
      <w:r w:rsidR="007C64B0">
        <w:rPr>
          <w:rFonts w:ascii="Palatino Linotype" w:hAnsi="Palatino Linotype" w:eastAsia="Palatino Linotype" w:cs="Times New Roman"/>
          <w:kern w:val="0"/>
          <w14:ligatures w14:val="none"/>
        </w:rPr>
        <w:t>capacity that does not exceed 20 MW.</w:t>
      </w:r>
    </w:p>
    <w:p w:rsidRPr="00BC778A" w:rsidR="00E14C27" w:rsidP="008115F2" w:rsidRDefault="00E14C27" w14:paraId="289D29D1" w14:textId="2999EFC3">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D.20-05-006 created a standard offer contract for </w:t>
      </w:r>
      <w:proofErr w:type="gramStart"/>
      <w:r w:rsidRPr="00BC778A">
        <w:rPr>
          <w:rFonts w:ascii="Palatino Linotype" w:hAnsi="Palatino Linotype" w:eastAsia="Palatino Linotype" w:cs="Times New Roman"/>
          <w:kern w:val="0"/>
          <w14:ligatures w14:val="none"/>
        </w:rPr>
        <w:t>generation</w:t>
      </w:r>
      <w:proofErr w:type="gramEnd"/>
      <w:r w:rsidRPr="00BC778A">
        <w:rPr>
          <w:rFonts w:ascii="Palatino Linotype" w:hAnsi="Palatino Linotype" w:eastAsia="Palatino Linotype" w:cs="Times New Roman"/>
          <w:kern w:val="0"/>
          <w14:ligatures w14:val="none"/>
        </w:rPr>
        <w:t xml:space="preserve"> facilities that are </w:t>
      </w:r>
      <w:r w:rsidR="00F406F9">
        <w:rPr>
          <w:rFonts w:ascii="Palatino Linotype" w:hAnsi="Palatino Linotype" w:eastAsia="Palatino Linotype" w:cs="Times New Roman"/>
          <w:kern w:val="0"/>
          <w14:ligatures w14:val="none"/>
        </w:rPr>
        <w:br/>
      </w:r>
      <w:r w:rsidRPr="00BC778A">
        <w:rPr>
          <w:rFonts w:ascii="Palatino Linotype" w:hAnsi="Palatino Linotype" w:eastAsia="Palatino Linotype" w:cs="Times New Roman"/>
          <w:kern w:val="0"/>
          <w14:ligatures w14:val="none"/>
        </w:rPr>
        <w:t xml:space="preserve">20 MW or less. </w:t>
      </w:r>
    </w:p>
    <w:p w:rsidRPr="00BC778A" w:rsidR="00E27A13" w:rsidP="008115F2" w:rsidRDefault="00E27A13" w14:paraId="00E75121" w14:textId="17F6BDF5">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Adding a 20 MW limit </w:t>
      </w:r>
      <w:r w:rsidRPr="00BC778A" w:rsidR="7D7C620E">
        <w:rPr>
          <w:rFonts w:ascii="Palatino Linotype" w:hAnsi="Palatino Linotype" w:eastAsia="Palatino Linotype" w:cs="Times New Roman"/>
          <w:kern w:val="0"/>
          <w14:ligatures w14:val="none"/>
        </w:rPr>
        <w:t xml:space="preserve">per renewable energy generation facility </w:t>
      </w:r>
      <w:r w:rsidRPr="00BC778A">
        <w:rPr>
          <w:rFonts w:ascii="Palatino Linotype" w:hAnsi="Palatino Linotype" w:eastAsia="Palatino Linotype" w:cs="Times New Roman"/>
          <w:kern w:val="0"/>
          <w14:ligatures w14:val="none"/>
        </w:rPr>
        <w:t>to the PURPA compliant</w:t>
      </w:r>
      <w:r w:rsidR="00E66DE1">
        <w:rPr>
          <w:rFonts w:ascii="Palatino Linotype" w:hAnsi="Palatino Linotype" w:eastAsia="Palatino Linotype" w:cs="Times New Roman"/>
          <w:kern w:val="0"/>
          <w14:ligatures w14:val="none"/>
        </w:rPr>
        <w:t xml:space="preserve"> compensated export</w:t>
      </w:r>
      <w:r w:rsidRPr="00BC778A">
        <w:rPr>
          <w:rFonts w:ascii="Palatino Linotype" w:hAnsi="Palatino Linotype" w:eastAsia="Palatino Linotype" w:cs="Times New Roman"/>
          <w:kern w:val="0"/>
          <w14:ligatures w14:val="none"/>
        </w:rPr>
        <w:t xml:space="preserve"> tariff</w:t>
      </w:r>
      <w:r w:rsidRPr="00BC778A" w:rsidR="00585A5F">
        <w:rPr>
          <w:rFonts w:ascii="Palatino Linotype" w:hAnsi="Palatino Linotype" w:eastAsia="Palatino Linotype" w:cs="Times New Roman"/>
          <w:kern w:val="0"/>
          <w14:ligatures w14:val="none"/>
        </w:rPr>
        <w:t>, satisfying D.23-11-068 OP 39,</w:t>
      </w:r>
      <w:r w:rsidRPr="00BC778A">
        <w:rPr>
          <w:rFonts w:ascii="Palatino Linotype" w:hAnsi="Palatino Linotype" w:eastAsia="Palatino Linotype" w:cs="Times New Roman"/>
          <w:kern w:val="0"/>
          <w14:ligatures w14:val="none"/>
        </w:rPr>
        <w:t xml:space="preserve"> is reasonable</w:t>
      </w:r>
      <w:r w:rsidRPr="00BC778A" w:rsidR="00E576BF">
        <w:rPr>
          <w:rFonts w:ascii="Palatino Linotype" w:hAnsi="Palatino Linotype" w:eastAsia="Palatino Linotype" w:cs="Times New Roman"/>
          <w:kern w:val="0"/>
          <w14:ligatures w14:val="none"/>
        </w:rPr>
        <w:t xml:space="preserve"> and </w:t>
      </w:r>
      <w:r w:rsidRPr="00BC778A" w:rsidR="00585A5F">
        <w:rPr>
          <w:rFonts w:ascii="Palatino Linotype" w:hAnsi="Palatino Linotype" w:eastAsia="Palatino Linotype" w:cs="Times New Roman"/>
          <w:kern w:val="0"/>
          <w14:ligatures w14:val="none"/>
        </w:rPr>
        <w:t>prudent</w:t>
      </w:r>
      <w:r w:rsidRPr="00BC778A">
        <w:rPr>
          <w:rFonts w:ascii="Palatino Linotype" w:hAnsi="Palatino Linotype" w:eastAsia="Palatino Linotype" w:cs="Times New Roman"/>
          <w:kern w:val="0"/>
          <w14:ligatures w14:val="none"/>
        </w:rPr>
        <w:t xml:space="preserve">. </w:t>
      </w:r>
    </w:p>
    <w:p w:rsidRPr="00BC778A" w:rsidR="00A76F4A" w:rsidP="008115F2" w:rsidRDefault="00E27A13" w14:paraId="4636079E" w14:textId="1C195E78">
      <w:pPr>
        <w:numPr>
          <w:ilvl w:val="0"/>
          <w:numId w:val="2"/>
        </w:num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Extending the </w:t>
      </w:r>
      <w:r w:rsidRPr="00BC778A" w:rsidR="263131E7">
        <w:rPr>
          <w:rFonts w:ascii="Palatino Linotype" w:hAnsi="Palatino Linotype" w:eastAsia="Palatino Linotype" w:cs="Times New Roman"/>
          <w:kern w:val="0"/>
          <w14:ligatures w14:val="none"/>
        </w:rPr>
        <w:t xml:space="preserve">same </w:t>
      </w:r>
      <w:r w:rsidRPr="00BC778A">
        <w:rPr>
          <w:rFonts w:ascii="Palatino Linotype" w:hAnsi="Palatino Linotype" w:eastAsia="Palatino Linotype" w:cs="Times New Roman"/>
          <w:kern w:val="0"/>
          <w14:ligatures w14:val="none"/>
        </w:rPr>
        <w:t>20 MW</w:t>
      </w:r>
      <w:r w:rsidRPr="00BC778A" w:rsidR="7326E4B3">
        <w:rPr>
          <w:rFonts w:ascii="Palatino Linotype" w:hAnsi="Palatino Linotype" w:eastAsia="Palatino Linotype" w:cs="Times New Roman"/>
          <w:kern w:val="0"/>
          <w14:ligatures w14:val="none"/>
        </w:rPr>
        <w:t xml:space="preserve"> capacity</w:t>
      </w:r>
      <w:r w:rsidRPr="00BC778A">
        <w:rPr>
          <w:rFonts w:ascii="Palatino Linotype" w:hAnsi="Palatino Linotype" w:eastAsia="Palatino Linotype" w:cs="Times New Roman"/>
          <w:kern w:val="0"/>
          <w14:ligatures w14:val="none"/>
        </w:rPr>
        <w:t xml:space="preserve"> limit </w:t>
      </w:r>
      <w:r w:rsidRPr="00BC778A" w:rsidR="20D76ACD">
        <w:rPr>
          <w:rFonts w:ascii="Palatino Linotype" w:hAnsi="Palatino Linotype" w:eastAsia="Palatino Linotype" w:cs="Times New Roman"/>
          <w:kern w:val="0"/>
          <w14:ligatures w14:val="none"/>
        </w:rPr>
        <w:t xml:space="preserve">per renewable energy generation facility </w:t>
      </w:r>
      <w:r w:rsidRPr="00BC778A">
        <w:rPr>
          <w:rFonts w:ascii="Palatino Linotype" w:hAnsi="Palatino Linotype" w:eastAsia="Palatino Linotype" w:cs="Times New Roman"/>
          <w:kern w:val="0"/>
          <w14:ligatures w14:val="none"/>
        </w:rPr>
        <w:t>to SCE’s previously approved</w:t>
      </w:r>
      <w:r w:rsidR="00D43275">
        <w:rPr>
          <w:rFonts w:ascii="Palatino Linotype" w:hAnsi="Palatino Linotype" w:eastAsia="Palatino Linotype" w:cs="Times New Roman"/>
          <w:kern w:val="0"/>
          <w14:ligatures w14:val="none"/>
        </w:rPr>
        <w:t xml:space="preserve"> D.23-11-068</w:t>
      </w:r>
      <w:r w:rsidRPr="00BC778A">
        <w:rPr>
          <w:rFonts w:ascii="Palatino Linotype" w:hAnsi="Palatino Linotype" w:eastAsia="Palatino Linotype" w:cs="Times New Roman"/>
          <w:kern w:val="0"/>
          <w14:ligatures w14:val="none"/>
        </w:rPr>
        <w:t xml:space="preserve"> PURPA compliant</w:t>
      </w:r>
      <w:r w:rsidR="00D43275">
        <w:rPr>
          <w:rFonts w:ascii="Palatino Linotype" w:hAnsi="Palatino Linotype" w:eastAsia="Palatino Linotype" w:cs="Times New Roman"/>
          <w:kern w:val="0"/>
          <w14:ligatures w14:val="none"/>
        </w:rPr>
        <w:t xml:space="preserve"> compensated export</w:t>
      </w:r>
      <w:r w:rsidRPr="00BC778A">
        <w:rPr>
          <w:rFonts w:ascii="Palatino Linotype" w:hAnsi="Palatino Linotype" w:eastAsia="Palatino Linotype" w:cs="Times New Roman"/>
          <w:kern w:val="0"/>
          <w14:ligatures w14:val="none"/>
        </w:rPr>
        <w:t xml:space="preserve"> tariff is reasonable</w:t>
      </w:r>
      <w:r w:rsidRPr="00BC778A" w:rsidR="00585A5F">
        <w:rPr>
          <w:rFonts w:ascii="Palatino Linotype" w:hAnsi="Palatino Linotype" w:eastAsia="Palatino Linotype" w:cs="Times New Roman"/>
          <w:kern w:val="0"/>
          <w14:ligatures w14:val="none"/>
        </w:rPr>
        <w:t xml:space="preserve"> and creates consistency across the utility territories</w:t>
      </w:r>
      <w:r w:rsidRPr="00BC778A">
        <w:rPr>
          <w:rFonts w:ascii="Palatino Linotype" w:hAnsi="Palatino Linotype" w:eastAsia="Palatino Linotype" w:cs="Times New Roman"/>
          <w:kern w:val="0"/>
          <w14:ligatures w14:val="none"/>
        </w:rPr>
        <w:t>.</w:t>
      </w:r>
    </w:p>
    <w:p w:rsidRPr="00BC778A"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BC778A" w:rsidR="00A76F4A" w:rsidP="00A76F4A" w:rsidRDefault="00A76F4A" w14:paraId="215FEFCC" w14:textId="4EA02A96">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BC778A">
        <w:rPr>
          <w:rFonts w:ascii="Palatino Linotype" w:hAnsi="Palatino Linotype" w:eastAsia="Palatino Linotype" w:cs="Times New Roman"/>
          <w:b/>
          <w:caps/>
          <w:kern w:val="28"/>
          <w:u w:val="single"/>
          <w14:ligatures w14:val="none"/>
        </w:rPr>
        <w:t>Therefore</w:t>
      </w:r>
      <w:proofErr w:type="gramEnd"/>
      <w:r w:rsidRPr="00BC778A">
        <w:rPr>
          <w:rFonts w:ascii="Palatino Linotype" w:hAnsi="Palatino Linotype" w:eastAsia="Palatino Linotype" w:cs="Times New Roman"/>
          <w:b/>
          <w:caps/>
          <w:kern w:val="28"/>
          <w:u w:val="single"/>
          <w14:ligatures w14:val="none"/>
        </w:rPr>
        <w:t xml:space="preserve"> it is ordered that:</w:t>
      </w:r>
    </w:p>
    <w:p w:rsidRPr="00BC778A" w:rsidR="00E0167F" w:rsidP="008115F2" w:rsidRDefault="00E0167F" w14:paraId="5CF4811E" w14:textId="2655462C">
      <w:pPr>
        <w:numPr>
          <w:ilvl w:val="0"/>
          <w:numId w:val="1"/>
        </w:numPr>
        <w:spacing w:after="60" w:line="240" w:lineRule="auto"/>
        <w:rPr>
          <w:rFonts w:ascii="Palatino Linotype" w:hAnsi="Palatino Linotype" w:eastAsia="Palatino Linotype" w:cs="Times New Roman"/>
          <w:snapToGrid w:val="0"/>
          <w:kern w:val="0"/>
          <w14:ligatures w14:val="none"/>
        </w:rPr>
      </w:pPr>
      <w:r w:rsidRPr="00BC778A">
        <w:rPr>
          <w:rFonts w:ascii="Palatino Linotype" w:hAnsi="Palatino Linotype" w:eastAsia="Palatino Linotype" w:cs="Times New Roman"/>
          <w:snapToGrid w:val="0"/>
          <w:kern w:val="0"/>
          <w14:ligatures w14:val="none"/>
        </w:rPr>
        <w:t xml:space="preserve">The </w:t>
      </w:r>
      <w:r w:rsidR="000D5B1C">
        <w:rPr>
          <w:rFonts w:ascii="Palatino Linotype" w:hAnsi="Palatino Linotype" w:eastAsia="Palatino Linotype" w:cs="Times New Roman"/>
          <w:snapToGrid w:val="0"/>
          <w:kern w:val="0"/>
          <w14:ligatures w14:val="none"/>
        </w:rPr>
        <w:t xml:space="preserve">federal </w:t>
      </w:r>
      <w:r w:rsidRPr="00BC778A" w:rsidR="00757298">
        <w:rPr>
          <w:rFonts w:ascii="Palatino Linotype" w:hAnsi="Palatino Linotype" w:eastAsia="Times New Roman" w:cs="Times New Roman"/>
        </w:rPr>
        <w:t>Public Utilities Regulatory Policies Act</w:t>
      </w:r>
      <w:r w:rsidR="000D5B1C">
        <w:rPr>
          <w:rFonts w:ascii="Palatino Linotype" w:hAnsi="Palatino Linotype" w:eastAsia="Times New Roman" w:cs="Times New Roman"/>
        </w:rPr>
        <w:t xml:space="preserve"> of 1978</w:t>
      </w:r>
      <w:r w:rsidRPr="00BC778A">
        <w:rPr>
          <w:rFonts w:ascii="Palatino Linotype" w:hAnsi="Palatino Linotype" w:eastAsia="Palatino Linotype" w:cs="Times New Roman"/>
          <w:snapToGrid w:val="0"/>
          <w:kern w:val="0"/>
          <w14:ligatures w14:val="none"/>
        </w:rPr>
        <w:t xml:space="preserve"> compliant tariff, required by D.23-11-068 O</w:t>
      </w:r>
      <w:r w:rsidRPr="00BC778A" w:rsidR="00757298">
        <w:rPr>
          <w:rFonts w:ascii="Palatino Linotype" w:hAnsi="Palatino Linotype" w:eastAsia="Palatino Linotype" w:cs="Times New Roman"/>
        </w:rPr>
        <w:t xml:space="preserve">rdering </w:t>
      </w:r>
      <w:r w:rsidRPr="00BC778A">
        <w:rPr>
          <w:rFonts w:ascii="Palatino Linotype" w:hAnsi="Palatino Linotype" w:eastAsia="Palatino Linotype" w:cs="Times New Roman"/>
          <w:snapToGrid w:val="0"/>
          <w:kern w:val="0"/>
          <w14:ligatures w14:val="none"/>
        </w:rPr>
        <w:t>P</w:t>
      </w:r>
      <w:r w:rsidRPr="00BC778A" w:rsidR="00757298">
        <w:rPr>
          <w:rFonts w:ascii="Palatino Linotype" w:hAnsi="Palatino Linotype" w:eastAsia="Palatino Linotype" w:cs="Times New Roman"/>
        </w:rPr>
        <w:t>aragraph</w:t>
      </w:r>
      <w:r w:rsidRPr="00BC778A">
        <w:rPr>
          <w:rFonts w:ascii="Palatino Linotype" w:hAnsi="Palatino Linotype" w:eastAsia="Palatino Linotype" w:cs="Times New Roman"/>
          <w:snapToGrid w:val="0"/>
          <w:kern w:val="0"/>
          <w14:ligatures w14:val="none"/>
        </w:rPr>
        <w:t xml:space="preserve"> 39, shall be limited to generation facilities that are 20 </w:t>
      </w:r>
      <w:r w:rsidRPr="00BC778A" w:rsidR="00757298">
        <w:rPr>
          <w:rFonts w:ascii="Palatino Linotype" w:hAnsi="Palatino Linotype" w:eastAsia="Palatino Linotype" w:cs="Times New Roman"/>
        </w:rPr>
        <w:t xml:space="preserve">megawatts </w:t>
      </w:r>
      <w:r w:rsidRPr="00BC778A">
        <w:rPr>
          <w:rFonts w:ascii="Palatino Linotype" w:hAnsi="Palatino Linotype" w:eastAsia="Palatino Linotype" w:cs="Times New Roman"/>
          <w:snapToGrid w:val="0"/>
          <w:kern w:val="0"/>
          <w14:ligatures w14:val="none"/>
        </w:rPr>
        <w:t xml:space="preserve">or less. </w:t>
      </w:r>
    </w:p>
    <w:p w:rsidRPr="00BC778A" w:rsidR="00E0167F" w:rsidP="008115F2" w:rsidRDefault="00E0167F" w14:paraId="14DE9C23" w14:textId="7E272816">
      <w:pPr>
        <w:numPr>
          <w:ilvl w:val="0"/>
          <w:numId w:val="1"/>
        </w:numPr>
        <w:spacing w:after="60" w:line="240" w:lineRule="auto"/>
        <w:rPr>
          <w:rFonts w:ascii="Palatino Linotype" w:hAnsi="Palatino Linotype" w:eastAsia="Palatino Linotype" w:cs="Times New Roman"/>
          <w:snapToGrid w:val="0"/>
          <w:kern w:val="0"/>
          <w14:ligatures w14:val="none"/>
        </w:rPr>
      </w:pPr>
      <w:r w:rsidRPr="00BC778A">
        <w:rPr>
          <w:rFonts w:ascii="Palatino Linotype" w:hAnsi="Palatino Linotype" w:eastAsia="Palatino Linotype" w:cs="Times New Roman"/>
          <w:snapToGrid w:val="0"/>
          <w:kern w:val="0"/>
          <w14:ligatures w14:val="none"/>
        </w:rPr>
        <w:t>The request of the Pacific Gas and Electric</w:t>
      </w:r>
      <w:r w:rsidRPr="00BC778A" w:rsidR="00757298">
        <w:rPr>
          <w:rFonts w:ascii="Palatino Linotype" w:hAnsi="Palatino Linotype" w:eastAsia="Palatino Linotype" w:cs="Times New Roman"/>
        </w:rPr>
        <w:t xml:space="preserve"> (PG&amp;E)</w:t>
      </w:r>
      <w:r w:rsidRPr="00BC778A">
        <w:rPr>
          <w:rFonts w:ascii="Palatino Linotype" w:hAnsi="Palatino Linotype" w:eastAsia="Palatino Linotype" w:cs="Times New Roman"/>
          <w:snapToGrid w:val="0"/>
          <w:kern w:val="0"/>
          <w14:ligatures w14:val="none"/>
        </w:rPr>
        <w:t xml:space="preserve"> and San Diego Gas &amp; Electric </w:t>
      </w:r>
      <w:r w:rsidRPr="00BC778A" w:rsidR="00757298">
        <w:rPr>
          <w:rFonts w:ascii="Palatino Linotype" w:hAnsi="Palatino Linotype" w:eastAsia="Palatino Linotype" w:cs="Times New Roman"/>
        </w:rPr>
        <w:t xml:space="preserve">(SDG&amp;E) </w:t>
      </w:r>
      <w:r w:rsidRPr="00BC778A">
        <w:rPr>
          <w:rFonts w:ascii="Palatino Linotype" w:hAnsi="Palatino Linotype" w:eastAsia="Palatino Linotype" w:cs="Times New Roman"/>
          <w:snapToGrid w:val="0"/>
          <w:kern w:val="0"/>
          <w14:ligatures w14:val="none"/>
        </w:rPr>
        <w:t>in Advice Letters 7606-E and 4664-E</w:t>
      </w:r>
      <w:r w:rsidRPr="00BC778A">
        <w:rPr>
          <w:rFonts w:ascii="Palatino Linotype" w:hAnsi="Palatino Linotype" w:eastAsia="Palatino Linotype" w:cs="Times New Roman"/>
          <w:kern w:val="0"/>
          <w14:ligatures w14:val="none"/>
        </w:rPr>
        <w:t xml:space="preserve"> </w:t>
      </w:r>
      <w:r w:rsidRPr="00BC778A">
        <w:rPr>
          <w:rFonts w:ascii="Palatino Linotype" w:hAnsi="Palatino Linotype" w:eastAsia="Palatino Linotype" w:cs="Times New Roman"/>
          <w:snapToGrid w:val="0"/>
          <w:kern w:val="0"/>
          <w14:ligatures w14:val="none"/>
        </w:rPr>
        <w:t xml:space="preserve">is approved with modifications </w:t>
      </w:r>
      <w:r w:rsidRPr="00BC778A" w:rsidR="009D253C">
        <w:rPr>
          <w:rFonts w:ascii="Palatino Linotype" w:hAnsi="Palatino Linotype" w:eastAsia="Palatino Linotype" w:cs="Times New Roman"/>
          <w:snapToGrid w:val="0"/>
          <w:kern w:val="0"/>
          <w14:ligatures w14:val="none"/>
        </w:rPr>
        <w:t>adopted</w:t>
      </w:r>
      <w:r w:rsidRPr="00BC778A">
        <w:rPr>
          <w:rFonts w:ascii="Palatino Linotype" w:hAnsi="Palatino Linotype" w:eastAsia="Palatino Linotype" w:cs="Times New Roman"/>
          <w:snapToGrid w:val="0"/>
          <w:kern w:val="0"/>
          <w14:ligatures w14:val="none"/>
        </w:rPr>
        <w:t xml:space="preserve"> in O</w:t>
      </w:r>
      <w:r w:rsidRPr="00BC778A" w:rsidR="00757298">
        <w:rPr>
          <w:rFonts w:ascii="Palatino Linotype" w:hAnsi="Palatino Linotype" w:eastAsia="Palatino Linotype" w:cs="Times New Roman"/>
        </w:rPr>
        <w:t xml:space="preserve">rdering </w:t>
      </w:r>
      <w:r w:rsidRPr="00BC778A">
        <w:rPr>
          <w:rFonts w:ascii="Palatino Linotype" w:hAnsi="Palatino Linotype" w:eastAsia="Palatino Linotype" w:cs="Times New Roman"/>
          <w:snapToGrid w:val="0"/>
          <w:kern w:val="0"/>
          <w14:ligatures w14:val="none"/>
        </w:rPr>
        <w:t>P</w:t>
      </w:r>
      <w:r w:rsidRPr="00BC778A" w:rsidR="00757298">
        <w:rPr>
          <w:rFonts w:ascii="Palatino Linotype" w:hAnsi="Palatino Linotype" w:eastAsia="Palatino Linotype" w:cs="Times New Roman"/>
        </w:rPr>
        <w:t>aragraph</w:t>
      </w:r>
      <w:r w:rsidRPr="00BC778A">
        <w:rPr>
          <w:rFonts w:ascii="Palatino Linotype" w:hAnsi="Palatino Linotype" w:eastAsia="Palatino Linotype" w:cs="Times New Roman"/>
          <w:snapToGrid w:val="0"/>
          <w:kern w:val="0"/>
          <w14:ligatures w14:val="none"/>
        </w:rPr>
        <w:t xml:space="preserve"> 1.</w:t>
      </w:r>
      <w:r w:rsidRPr="00BC778A" w:rsidR="0019780E">
        <w:rPr>
          <w:rFonts w:ascii="Palatino Linotype" w:hAnsi="Palatino Linotype" w:eastAsia="Palatino Linotype" w:cs="Times New Roman"/>
        </w:rPr>
        <w:t xml:space="preserve"> Within 30 days following the effective date of this resolution,</w:t>
      </w:r>
      <w:r w:rsidRPr="00BC778A">
        <w:rPr>
          <w:rFonts w:ascii="Palatino Linotype" w:hAnsi="Palatino Linotype" w:eastAsia="Palatino Linotype" w:cs="Times New Roman"/>
          <w:snapToGrid w:val="0"/>
          <w:kern w:val="0"/>
          <w14:ligatures w14:val="none"/>
        </w:rPr>
        <w:t xml:space="preserve"> PG&amp;E and SDG&amp;E must refile the tariff with the approved modifications</w:t>
      </w:r>
      <w:r w:rsidRPr="00BC778A" w:rsidR="0019780E">
        <w:rPr>
          <w:rFonts w:ascii="Palatino Linotype" w:hAnsi="Palatino Linotype" w:eastAsia="Palatino Linotype" w:cs="Times New Roman"/>
        </w:rPr>
        <w:t xml:space="preserve"> made herein</w:t>
      </w:r>
      <w:r w:rsidRPr="00BC778A">
        <w:rPr>
          <w:rFonts w:ascii="Palatino Linotype" w:hAnsi="Palatino Linotype" w:eastAsia="Palatino Linotype" w:cs="Times New Roman"/>
          <w:snapToGrid w:val="0"/>
          <w:kern w:val="0"/>
          <w14:ligatures w14:val="none"/>
        </w:rPr>
        <w:t xml:space="preserve"> as </w:t>
      </w:r>
      <w:r w:rsidRPr="00BC778A" w:rsidR="009D253C">
        <w:rPr>
          <w:rFonts w:ascii="Palatino Linotype" w:hAnsi="Palatino Linotype" w:eastAsia="Palatino Linotype" w:cs="Times New Roman"/>
          <w:snapToGrid w:val="0"/>
          <w:kern w:val="0"/>
          <w14:ligatures w14:val="none"/>
        </w:rPr>
        <w:t xml:space="preserve">a </w:t>
      </w:r>
      <w:r w:rsidRPr="00BC778A">
        <w:rPr>
          <w:rFonts w:ascii="Palatino Linotype" w:hAnsi="Palatino Linotype" w:eastAsia="Palatino Linotype" w:cs="Times New Roman"/>
          <w:snapToGrid w:val="0"/>
          <w:kern w:val="0"/>
          <w14:ligatures w14:val="none"/>
        </w:rPr>
        <w:t xml:space="preserve">Tier 1 advice letter.  </w:t>
      </w:r>
    </w:p>
    <w:p w:rsidRPr="00BC778A" w:rsidR="00E0167F" w:rsidP="008115F2" w:rsidRDefault="0019780E" w14:paraId="2F067649" w14:textId="7C0ECE39">
      <w:pPr>
        <w:numPr>
          <w:ilvl w:val="0"/>
          <w:numId w:val="1"/>
        </w:numPr>
        <w:spacing w:after="60" w:line="240" w:lineRule="auto"/>
        <w:rPr>
          <w:rFonts w:ascii="Palatino Linotype" w:hAnsi="Palatino Linotype" w:eastAsia="Palatino Linotype" w:cs="Times New Roman"/>
          <w:snapToGrid w:val="0"/>
          <w:kern w:val="0"/>
          <w14:ligatures w14:val="none"/>
        </w:rPr>
      </w:pPr>
      <w:r w:rsidRPr="00BC778A">
        <w:rPr>
          <w:rFonts w:ascii="Palatino Linotype" w:hAnsi="Palatino Linotype" w:eastAsia="Palatino Linotype" w:cs="Times New Roman"/>
        </w:rPr>
        <w:t xml:space="preserve">Within 30 days of the effective date of this Resolution, </w:t>
      </w:r>
      <w:r w:rsidRPr="00BC778A" w:rsidR="00E0167F">
        <w:rPr>
          <w:rFonts w:ascii="Palatino Linotype" w:hAnsi="Palatino Linotype" w:eastAsia="Palatino Linotype" w:cs="Times New Roman"/>
          <w:snapToGrid w:val="0"/>
          <w:kern w:val="0"/>
          <w14:ligatures w14:val="none"/>
        </w:rPr>
        <w:t>Southern California Edison</w:t>
      </w:r>
      <w:r w:rsidRPr="00BC778A">
        <w:rPr>
          <w:rFonts w:ascii="Palatino Linotype" w:hAnsi="Palatino Linotype" w:eastAsia="Palatino Linotype" w:cs="Times New Roman"/>
        </w:rPr>
        <w:t xml:space="preserve"> must</w:t>
      </w:r>
      <w:r w:rsidRPr="00BC778A" w:rsidR="00E0167F">
        <w:rPr>
          <w:rFonts w:ascii="Palatino Linotype" w:hAnsi="Palatino Linotype" w:eastAsia="Palatino Linotype" w:cs="Times New Roman"/>
          <w:snapToGrid w:val="0"/>
          <w:kern w:val="0"/>
          <w14:ligatures w14:val="none"/>
        </w:rPr>
        <w:t xml:space="preserve"> </w:t>
      </w:r>
      <w:r w:rsidR="0006262A">
        <w:rPr>
          <w:rFonts w:ascii="Palatino Linotype" w:hAnsi="Palatino Linotype" w:eastAsia="Palatino Linotype" w:cs="Times New Roman"/>
          <w:snapToGrid w:val="0"/>
          <w:kern w:val="0"/>
          <w14:ligatures w14:val="none"/>
        </w:rPr>
        <w:t>update</w:t>
      </w:r>
      <w:r w:rsidRPr="00BC778A" w:rsidR="00E0167F">
        <w:rPr>
          <w:rFonts w:ascii="Palatino Linotype" w:hAnsi="Palatino Linotype" w:eastAsia="Palatino Linotype" w:cs="Times New Roman"/>
          <w:snapToGrid w:val="0"/>
          <w:kern w:val="0"/>
          <w14:ligatures w14:val="none"/>
        </w:rPr>
        <w:t xml:space="preserve"> its </w:t>
      </w:r>
      <w:r w:rsidRPr="00BC778A">
        <w:rPr>
          <w:rFonts w:ascii="Palatino Linotype" w:hAnsi="Palatino Linotype" w:eastAsia="Times New Roman" w:cs="Times New Roman"/>
        </w:rPr>
        <w:t>Public Utilities Regulatory Policies Act</w:t>
      </w:r>
      <w:r w:rsidRPr="00BC778A" w:rsidR="00E0167F">
        <w:rPr>
          <w:rFonts w:ascii="Palatino Linotype" w:hAnsi="Palatino Linotype" w:eastAsia="Palatino Linotype" w:cs="Times New Roman"/>
          <w:snapToGrid w:val="0"/>
          <w:kern w:val="0"/>
          <w14:ligatures w14:val="none"/>
        </w:rPr>
        <w:t xml:space="preserve"> compliant</w:t>
      </w:r>
      <w:r w:rsidR="00A064B5">
        <w:rPr>
          <w:rFonts w:ascii="Palatino Linotype" w:hAnsi="Palatino Linotype" w:eastAsia="Palatino Linotype" w:cs="Times New Roman"/>
          <w:snapToGrid w:val="0"/>
          <w:kern w:val="0"/>
          <w14:ligatures w14:val="none"/>
        </w:rPr>
        <w:t xml:space="preserve"> </w:t>
      </w:r>
      <w:r w:rsidR="00070F60">
        <w:rPr>
          <w:rFonts w:ascii="Palatino Linotype" w:hAnsi="Palatino Linotype" w:eastAsia="Palatino Linotype" w:cs="Times New Roman"/>
          <w:snapToGrid w:val="0"/>
          <w:kern w:val="0"/>
          <w14:ligatures w14:val="none"/>
        </w:rPr>
        <w:br/>
      </w:r>
      <w:r w:rsidR="00A064B5">
        <w:rPr>
          <w:rFonts w:ascii="Palatino Linotype" w:hAnsi="Palatino Linotype" w:eastAsia="Palatino Linotype" w:cs="Times New Roman"/>
          <w:snapToGrid w:val="0"/>
          <w:kern w:val="0"/>
          <w14:ligatures w14:val="none"/>
        </w:rPr>
        <w:t>D.</w:t>
      </w:r>
      <w:r w:rsidR="00497D57">
        <w:rPr>
          <w:rFonts w:ascii="Palatino Linotype" w:hAnsi="Palatino Linotype" w:eastAsia="Palatino Linotype" w:cs="Times New Roman"/>
          <w:snapToGrid w:val="0"/>
          <w:kern w:val="0"/>
          <w14:ligatures w14:val="none"/>
        </w:rPr>
        <w:t xml:space="preserve">23-11-068 </w:t>
      </w:r>
      <w:r w:rsidR="00A064B5">
        <w:rPr>
          <w:rFonts w:ascii="Palatino Linotype" w:hAnsi="Palatino Linotype" w:eastAsia="Palatino Linotype" w:cs="Times New Roman"/>
          <w:snapToGrid w:val="0"/>
          <w:kern w:val="0"/>
          <w14:ligatures w14:val="none"/>
        </w:rPr>
        <w:t>customer-generation export</w:t>
      </w:r>
      <w:r w:rsidRPr="00BC778A" w:rsidR="00E0167F">
        <w:rPr>
          <w:rFonts w:ascii="Palatino Linotype" w:hAnsi="Palatino Linotype" w:eastAsia="Palatino Linotype" w:cs="Times New Roman"/>
          <w:snapToGrid w:val="0"/>
          <w:kern w:val="0"/>
          <w14:ligatures w14:val="none"/>
        </w:rPr>
        <w:t xml:space="preserve"> tariff including the approved modifications </w:t>
      </w:r>
      <w:r w:rsidRPr="00BC778A">
        <w:rPr>
          <w:rFonts w:ascii="Palatino Linotype" w:hAnsi="Palatino Linotype" w:eastAsia="Palatino Linotype" w:cs="Times New Roman"/>
        </w:rPr>
        <w:t xml:space="preserve">directed </w:t>
      </w:r>
      <w:r w:rsidRPr="00BC778A" w:rsidR="00E0167F">
        <w:rPr>
          <w:rFonts w:ascii="Palatino Linotype" w:hAnsi="Palatino Linotype" w:eastAsia="Palatino Linotype" w:cs="Times New Roman"/>
          <w:snapToGrid w:val="0"/>
          <w:kern w:val="0"/>
          <w14:ligatures w14:val="none"/>
        </w:rPr>
        <w:t xml:space="preserve">in </w:t>
      </w:r>
      <w:r w:rsidRPr="00BC778A">
        <w:rPr>
          <w:rFonts w:ascii="Palatino Linotype" w:hAnsi="Palatino Linotype" w:eastAsia="Palatino Linotype" w:cs="Times New Roman"/>
        </w:rPr>
        <w:t>Ordering Paragraph</w:t>
      </w:r>
      <w:r w:rsidRPr="00BC778A" w:rsidR="00E0167F">
        <w:rPr>
          <w:rFonts w:ascii="Palatino Linotype" w:hAnsi="Palatino Linotype" w:eastAsia="Palatino Linotype" w:cs="Times New Roman"/>
          <w:snapToGrid w:val="0"/>
          <w:kern w:val="0"/>
          <w14:ligatures w14:val="none"/>
        </w:rPr>
        <w:t xml:space="preserve"> 1 as </w:t>
      </w:r>
      <w:r w:rsidRPr="00BC778A" w:rsidR="009D253C">
        <w:rPr>
          <w:rFonts w:ascii="Palatino Linotype" w:hAnsi="Palatino Linotype" w:eastAsia="Palatino Linotype" w:cs="Times New Roman"/>
          <w:snapToGrid w:val="0"/>
          <w:kern w:val="0"/>
          <w14:ligatures w14:val="none"/>
        </w:rPr>
        <w:t xml:space="preserve">a </w:t>
      </w:r>
      <w:r w:rsidRPr="00BC778A" w:rsidR="00E0167F">
        <w:rPr>
          <w:rFonts w:ascii="Palatino Linotype" w:hAnsi="Palatino Linotype" w:eastAsia="Palatino Linotype" w:cs="Times New Roman"/>
          <w:snapToGrid w:val="0"/>
          <w:kern w:val="0"/>
          <w14:ligatures w14:val="none"/>
        </w:rPr>
        <w:t xml:space="preserve">Tier 1 advice letter. </w:t>
      </w:r>
    </w:p>
    <w:p w:rsidRPr="00BC778A"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1E2DF4" w:rsidRDefault="001E2DF4" w14:paraId="185299E0"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Pr="00BC778A" w:rsidR="00A76F4A" w:rsidP="008115F2" w:rsidRDefault="00A76F4A" w14:paraId="6B9B735A" w14:textId="1DFD4527">
      <w:pPr>
        <w:keepNext/>
        <w:tabs>
          <w:tab w:val="left" w:pos="720"/>
          <w:tab w:val="left" w:pos="1296"/>
          <w:tab w:val="left" w:pos="2016"/>
          <w:tab w:val="left" w:pos="2736"/>
          <w:tab w:val="left" w:pos="3456"/>
          <w:tab w:val="left" w:pos="4176"/>
          <w:tab w:val="left" w:pos="5760"/>
        </w:tabs>
        <w:spacing w:before="120" w:after="12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lastRenderedPageBreak/>
        <w:t>This Resolution is effective today.</w:t>
      </w:r>
    </w:p>
    <w:p w:rsidRPr="00BC778A"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BC778A" w:rsidR="00A76F4A" w:rsidP="00A76F4A" w:rsidRDefault="00A76F4A" w14:paraId="203AD159" w14:textId="5D8EE680">
      <w:pPr>
        <w:pStyle w:val="10sp0"/>
        <w:spacing w:after="480"/>
        <w:rPr>
          <w:rFonts w:ascii="Palatino Linotype" w:hAnsi="Palatino Linotype"/>
        </w:rPr>
      </w:pPr>
      <w:r w:rsidRPr="00BC778A">
        <w:rPr>
          <w:rFonts w:ascii="Palatino Linotype" w:hAnsi="Palatino Linotype"/>
        </w:rPr>
        <w:t xml:space="preserve">The foregoing resolution was duly introduced, passed and adopted at a conference of the Public Utilities Commission of the State of California held on </w:t>
      </w:r>
      <w:r w:rsidR="002F3A93">
        <w:rPr>
          <w:rFonts w:ascii="Palatino Linotype" w:hAnsi="Palatino Linotype"/>
        </w:rPr>
        <w:t>January 15, 2026</w:t>
      </w:r>
      <w:r w:rsidR="009F3D7D">
        <w:rPr>
          <w:rFonts w:ascii="Palatino Linotype" w:hAnsi="Palatino Linotype"/>
        </w:rPr>
        <w:t xml:space="preserve">; </w:t>
      </w:r>
      <w:r w:rsidRPr="00BC778A">
        <w:rPr>
          <w:rFonts w:ascii="Palatino Linotype" w:hAnsi="Palatino Linotype"/>
        </w:rPr>
        <w:t>the following Commissioners voting favorably thereon:</w:t>
      </w:r>
    </w:p>
    <w:p w:rsidRPr="00BC778A"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00BC778A">
        <w:rPr>
          <w:rFonts w:ascii="Palatino Linotype" w:hAnsi="Palatino Linotype" w:eastAsia="Palatino Linotype" w:cs="Times New Roman"/>
        </w:rPr>
        <w:t xml:space="preserve">Commissioner Signature blocks to be added </w:t>
      </w:r>
    </w:p>
    <w:p w:rsidRPr="00BC778A"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00BC778A">
        <w:rPr>
          <w:rFonts w:ascii="Palatino Linotype" w:hAnsi="Palatino Linotype" w:eastAsia="Palatino Linotype" w:cs="Times New Roman"/>
        </w:rPr>
        <w:t>upon adoption of the resolution</w:t>
      </w:r>
    </w:p>
    <w:p w:rsidRPr="00BC778A"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BC778A" w:rsidR="008115F2" w:rsidP="00A76F4A" w:rsidRDefault="008115F2" w14:paraId="0F0ACD5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BC778A" w:rsidR="00A76F4A" w:rsidP="00A76F4A" w:rsidRDefault="00A76F4A" w14:paraId="1BFDA168" w14:textId="4793F1BB">
      <w:pPr>
        <w:keepNext/>
        <w:spacing w:after="0" w:line="240" w:lineRule="auto"/>
        <w:rPr>
          <w:rFonts w:ascii="Palatino Linotype" w:hAnsi="Palatino Linotype" w:eastAsia="Palatino Linotype" w:cs="Times New Roman"/>
        </w:rPr>
      </w:pPr>
      <w:proofErr w:type="gramStart"/>
      <w:r w:rsidRPr="00BC778A">
        <w:rPr>
          <w:rFonts w:ascii="Palatino Linotype" w:hAnsi="Palatino Linotype" w:eastAsia="Palatino Linotype" w:cs="Times New Roman"/>
        </w:rPr>
        <w:t xml:space="preserve">Dated </w:t>
      </w:r>
      <w:r w:rsidR="006B7580">
        <w:rPr>
          <w:rFonts w:ascii="Palatino Linotype" w:hAnsi="Palatino Linotype" w:eastAsia="Palatino Linotype" w:cs="Times New Roman"/>
          <w:u w:val="single"/>
        </w:rPr>
        <w:t xml:space="preserve"> </w:t>
      </w:r>
      <w:r w:rsidR="00B643B6">
        <w:rPr>
          <w:rFonts w:ascii="Palatino Linotype" w:hAnsi="Palatino Linotype" w:eastAsia="Palatino Linotype" w:cs="Times New Roman"/>
          <w:u w:val="single"/>
        </w:rPr>
        <w:t>January</w:t>
      </w:r>
      <w:proofErr w:type="gramEnd"/>
      <w:r w:rsidR="00B643B6">
        <w:rPr>
          <w:rFonts w:ascii="Palatino Linotype" w:hAnsi="Palatino Linotype" w:eastAsia="Palatino Linotype" w:cs="Times New Roman"/>
          <w:u w:val="single"/>
        </w:rPr>
        <w:t xml:space="preserve"> 15, </w:t>
      </w:r>
      <w:proofErr w:type="gramStart"/>
      <w:r w:rsidR="00B643B6">
        <w:rPr>
          <w:rFonts w:ascii="Palatino Linotype" w:hAnsi="Palatino Linotype" w:eastAsia="Palatino Linotype" w:cs="Times New Roman"/>
          <w:u w:val="single"/>
        </w:rPr>
        <w:t>2026</w:t>
      </w:r>
      <w:r w:rsidR="006B7580">
        <w:rPr>
          <w:rFonts w:ascii="Palatino Linotype" w:hAnsi="Palatino Linotype" w:eastAsia="Palatino Linotype" w:cs="Times New Roman"/>
          <w:u w:val="single"/>
        </w:rPr>
        <w:t xml:space="preserve"> </w:t>
      </w:r>
      <w:r w:rsidRPr="00BC778A">
        <w:rPr>
          <w:rFonts w:ascii="Palatino Linotype" w:hAnsi="Palatino Linotype" w:eastAsia="Palatino Linotype" w:cs="Times New Roman"/>
        </w:rPr>
        <w:t>,</w:t>
      </w:r>
      <w:proofErr w:type="gramEnd"/>
      <w:r w:rsidRPr="00BC778A">
        <w:rPr>
          <w:rFonts w:ascii="Palatino Linotype" w:hAnsi="Palatino Linotype" w:eastAsia="Palatino Linotype" w:cs="Times New Roman"/>
        </w:rPr>
        <w:t xml:space="preserve"> </w:t>
      </w:r>
      <w:proofErr w:type="gramStart"/>
      <w:r w:rsidRPr="00BC778A">
        <w:rPr>
          <w:rFonts w:ascii="Palatino Linotype" w:hAnsi="Palatino Linotype" w:eastAsia="Palatino Linotype" w:cs="Times New Roman"/>
        </w:rPr>
        <w:t xml:space="preserve">at </w:t>
      </w:r>
      <w:r w:rsidRPr="006B7580" w:rsidR="006B7580">
        <w:rPr>
          <w:rFonts w:ascii="Palatino Linotype" w:hAnsi="Palatino Linotype" w:eastAsia="Palatino Linotype" w:cs="Times New Roman"/>
          <w:u w:val="single"/>
        </w:rPr>
        <w:t xml:space="preserve"> </w:t>
      </w:r>
      <w:r w:rsidRPr="006B7580" w:rsidR="008115F2">
        <w:rPr>
          <w:rFonts w:ascii="Palatino Linotype" w:hAnsi="Palatino Linotype" w:eastAsia="Palatino Linotype" w:cs="Times New Roman"/>
          <w:u w:val="single"/>
        </w:rPr>
        <w:t>San</w:t>
      </w:r>
      <w:proofErr w:type="gramEnd"/>
      <w:r w:rsidRPr="006B7580" w:rsidR="008115F2">
        <w:rPr>
          <w:rFonts w:ascii="Palatino Linotype" w:hAnsi="Palatino Linotype" w:eastAsia="Palatino Linotype" w:cs="Times New Roman"/>
          <w:u w:val="single"/>
        </w:rPr>
        <w:t xml:space="preserve"> Francisco</w:t>
      </w:r>
      <w:r w:rsidRPr="006B7580">
        <w:rPr>
          <w:rFonts w:ascii="Palatino Linotype" w:hAnsi="Palatino Linotype" w:eastAsia="Palatino Linotype" w:cs="Times New Roman"/>
          <w:u w:val="single"/>
        </w:rPr>
        <w:t xml:space="preserve">, </w:t>
      </w:r>
      <w:proofErr w:type="gramStart"/>
      <w:r w:rsidRPr="006B7580">
        <w:rPr>
          <w:rFonts w:ascii="Palatino Linotype" w:hAnsi="Palatino Linotype" w:eastAsia="Palatino Linotype" w:cs="Times New Roman"/>
          <w:u w:val="single"/>
        </w:rPr>
        <w:t>California</w:t>
      </w:r>
      <w:r w:rsidR="006B7580">
        <w:rPr>
          <w:rFonts w:ascii="Palatino Linotype" w:hAnsi="Palatino Linotype" w:eastAsia="Palatino Linotype" w:cs="Times New Roman"/>
          <w:u w:val="single"/>
        </w:rPr>
        <w:t xml:space="preserve"> .</w:t>
      </w:r>
      <w:proofErr w:type="gramEnd"/>
      <w:r w:rsidRPr="00BC778A">
        <w:rPr>
          <w:rFonts w:ascii="Palatino Linotype" w:hAnsi="Palatino Linotype"/>
        </w:rPr>
        <w:tab/>
      </w:r>
    </w:p>
    <w:p w:rsidRPr="00BC778A" w:rsidR="00A76F4A" w:rsidP="00A76F4A" w:rsidRDefault="00A76F4A" w14:paraId="6C25D2B1" w14:textId="77777777">
      <w:pPr>
        <w:keepNext/>
        <w:spacing w:after="0" w:line="240" w:lineRule="auto"/>
        <w:rPr>
          <w:rFonts w:ascii="Palatino Linotype" w:hAnsi="Palatino Linotype" w:eastAsia="Palatino Linotype" w:cs="Times New Roman"/>
        </w:rPr>
      </w:pPr>
    </w:p>
    <w:p w:rsidRPr="00BC778A" w:rsidR="00A76F4A" w:rsidP="00A76F4A" w:rsidRDefault="00A76F4A" w14:paraId="0210CE2F" w14:textId="77777777">
      <w:pPr>
        <w:keepNext/>
        <w:spacing w:after="0" w:line="240" w:lineRule="auto"/>
        <w:rPr>
          <w:rFonts w:ascii="Palatino Linotype" w:hAnsi="Palatino Linotype" w:eastAsia="Palatino Linotype" w:cs="Times New Roman"/>
        </w:rPr>
      </w:pPr>
    </w:p>
    <w:p w:rsidRPr="00BC778A" w:rsidR="00A76F4A" w:rsidP="00A76F4A" w:rsidRDefault="00A76F4A" w14:paraId="59C29A8B" w14:textId="77777777">
      <w:pPr>
        <w:keepNext/>
        <w:spacing w:after="0" w:line="240" w:lineRule="auto"/>
        <w:rPr>
          <w:rFonts w:ascii="Palatino Linotype" w:hAnsi="Palatino Linotype" w:eastAsia="Palatino Linotype" w:cs="Times New Roman"/>
        </w:rPr>
      </w:pPr>
    </w:p>
    <w:p w:rsidRPr="00BC778A" w:rsidR="00A76F4A" w:rsidP="00A76F4A" w:rsidRDefault="00A76F4A" w14:paraId="19AFAC8E" w14:textId="77777777">
      <w:pPr>
        <w:keepNext/>
        <w:spacing w:after="0" w:line="240" w:lineRule="auto"/>
        <w:rPr>
          <w:rFonts w:ascii="Palatino Linotype" w:hAnsi="Palatino Linotype" w:eastAsia="Palatino Linotype" w:cs="Times New Roman"/>
        </w:rPr>
      </w:pPr>
    </w:p>
    <w:p w:rsidRPr="00BC778A" w:rsidR="00A76F4A" w:rsidP="00E851DF" w:rsidRDefault="00A76F4A" w14:paraId="1FD216D4" w14:textId="77777777">
      <w:pPr>
        <w:keepNext/>
        <w:spacing w:after="0" w:line="240" w:lineRule="auto"/>
        <w:rPr>
          <w:rFonts w:ascii="Palatino Linotype" w:hAnsi="Palatino Linotype"/>
        </w:rPr>
      </w:pPr>
    </w:p>
    <w:sectPr w:rsidRPr="00BC778A"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17EB" w14:textId="77777777" w:rsidR="00A86A38" w:rsidRDefault="00A86A38" w:rsidP="00A76F4A">
      <w:pPr>
        <w:spacing w:after="0" w:line="240" w:lineRule="auto"/>
      </w:pPr>
      <w:r>
        <w:separator/>
      </w:r>
    </w:p>
  </w:endnote>
  <w:endnote w:type="continuationSeparator" w:id="0">
    <w:p w14:paraId="7653FF15" w14:textId="77777777" w:rsidR="00A86A38" w:rsidRDefault="00A86A38" w:rsidP="00A76F4A">
      <w:pPr>
        <w:spacing w:after="0" w:line="240" w:lineRule="auto"/>
      </w:pPr>
      <w:r>
        <w:continuationSeparator/>
      </w:r>
    </w:p>
  </w:endnote>
  <w:endnote w:type="continuationNotice" w:id="1">
    <w:p w14:paraId="7E23AEB6" w14:textId="77777777" w:rsidR="00A86A38" w:rsidRDefault="00A86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7BD4C402" w:rsidR="004A7A4C" w:rsidRPr="004A7A4C" w:rsidRDefault="00920D4F" w:rsidP="004A7A4C">
        <w:pPr>
          <w:pStyle w:val="Footer"/>
          <w:rPr>
            <w:rFonts w:ascii="Palatino Linotype" w:hAnsi="Palatino Linotype"/>
          </w:rPr>
        </w:pPr>
        <w:r w:rsidRPr="00920D4F">
          <w:rPr>
            <w:rFonts w:ascii="Tahoma" w:hAnsi="Tahoma" w:cs="Tahoma"/>
            <w:sz w:val="18"/>
          </w:rPr>
          <w:t>588823970</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51DB" w14:textId="77777777" w:rsidR="00A86A38" w:rsidRDefault="00A86A38" w:rsidP="00A76F4A">
      <w:pPr>
        <w:spacing w:after="0" w:line="240" w:lineRule="auto"/>
      </w:pPr>
      <w:r>
        <w:separator/>
      </w:r>
    </w:p>
  </w:footnote>
  <w:footnote w:type="continuationSeparator" w:id="0">
    <w:p w14:paraId="7E5866E6" w14:textId="77777777" w:rsidR="00A86A38" w:rsidRDefault="00A86A38" w:rsidP="00A76F4A">
      <w:pPr>
        <w:spacing w:after="0" w:line="240" w:lineRule="auto"/>
      </w:pPr>
      <w:r>
        <w:continuationSeparator/>
      </w:r>
    </w:p>
  </w:footnote>
  <w:footnote w:type="continuationNotice" w:id="1">
    <w:p w14:paraId="1652860A" w14:textId="77777777" w:rsidR="00A86A38" w:rsidRDefault="00A86A38">
      <w:pPr>
        <w:spacing w:after="0" w:line="240" w:lineRule="auto"/>
      </w:pPr>
    </w:p>
  </w:footnote>
  <w:footnote w:id="2">
    <w:p w14:paraId="011F396F" w14:textId="77777777" w:rsidR="00B836EC" w:rsidRPr="00A05817" w:rsidRDefault="00B836EC"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D.23-11-068 Ordering Paragraph 39</w:t>
      </w:r>
    </w:p>
  </w:footnote>
  <w:footnote w:id="3">
    <w:p w14:paraId="673AC5F5" w14:textId="0F052BA0"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w:t>
      </w:r>
      <w:r w:rsidR="00B836EC" w:rsidRPr="00A05817">
        <w:rPr>
          <w:rFonts w:ascii="Palatino Linotype" w:hAnsi="Palatino Linotype"/>
        </w:rPr>
        <w:t>IBID</w:t>
      </w:r>
    </w:p>
  </w:footnote>
  <w:footnote w:id="4">
    <w:p w14:paraId="54C93B9E" w14:textId="79609659"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w:t>
      </w:r>
      <w:r w:rsidR="00CE316D" w:rsidRPr="00A05817">
        <w:rPr>
          <w:rFonts w:ascii="Palatino Linotype" w:hAnsi="Palatino Linotype"/>
        </w:rPr>
        <w:t>IBID</w:t>
      </w:r>
    </w:p>
  </w:footnote>
  <w:footnote w:id="5">
    <w:p w14:paraId="470100A7"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190</w:t>
      </w:r>
    </w:p>
  </w:footnote>
  <w:footnote w:id="6">
    <w:p w14:paraId="0C82E1DC"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195</w:t>
      </w:r>
    </w:p>
  </w:footnote>
  <w:footnote w:id="7">
    <w:p w14:paraId="141F6A93"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189</w:t>
      </w:r>
    </w:p>
  </w:footnote>
  <w:footnote w:id="8">
    <w:p w14:paraId="14483EFB"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193</w:t>
      </w:r>
    </w:p>
  </w:footnote>
  <w:footnote w:id="9">
    <w:p w14:paraId="32A4D1CA"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187</w:t>
      </w:r>
    </w:p>
  </w:footnote>
  <w:footnote w:id="10">
    <w:p w14:paraId="47A40ABD" w14:textId="2F8909AB" w:rsidR="004670B6" w:rsidRPr="00A05817" w:rsidRDefault="004670B6" w:rsidP="00A52B9C">
      <w:pPr>
        <w:pStyle w:val="FootnoteText"/>
        <w:rPr>
          <w:rFonts w:ascii="Palatino Linotype" w:hAnsi="Palatino Linotype"/>
          <w:i/>
        </w:rPr>
      </w:pPr>
      <w:r w:rsidRPr="00A05817">
        <w:rPr>
          <w:rStyle w:val="FootnoteReference"/>
          <w:rFonts w:ascii="Palatino Linotype" w:hAnsi="Palatino Linotype"/>
        </w:rPr>
        <w:footnoteRef/>
      </w:r>
      <w:r w:rsidRPr="00A05817">
        <w:rPr>
          <w:rFonts w:ascii="Palatino Linotype" w:hAnsi="Palatino Linotype"/>
        </w:rPr>
        <w:t xml:space="preserve"> </w:t>
      </w:r>
      <w:r w:rsidR="006155B7" w:rsidRPr="00A05817">
        <w:rPr>
          <w:rFonts w:ascii="Palatino Linotype" w:hAnsi="Palatino Linotype"/>
        </w:rPr>
        <w:t xml:space="preserve">Decision 16-01-044 states </w:t>
      </w:r>
      <w:r w:rsidR="00A52B9C" w:rsidRPr="00A05817">
        <w:rPr>
          <w:rFonts w:ascii="Palatino Linotype" w:hAnsi="Palatino Linotype"/>
        </w:rPr>
        <w:t>“</w:t>
      </w:r>
      <w:r w:rsidR="00A52B9C" w:rsidRPr="00A05817">
        <w:rPr>
          <w:rFonts w:ascii="Palatino Linotype" w:hAnsi="Palatino Linotype"/>
          <w:i/>
        </w:rPr>
        <w:t>Section 2871.1(b)(5) has no limitation on the size of generation facility that can be eligible for the NEM successor tariff. In view of this open-ended authorization, it is reasonable to allow systems of any size to participate, so long as they meet the statutory requirement of having "no significant impact on the distribution grid." This can be accomplished by requiring that systems over 1 MW pay all interconnection costs under Rule 21, which will both cover the IOUs' costs and ensure that the projects themselves will meet the statutory requirement.</w:t>
      </w:r>
      <w:r w:rsidR="00A52B9C" w:rsidRPr="00A05817">
        <w:rPr>
          <w:rFonts w:ascii="Palatino Linotype" w:hAnsi="Palatino Linotype"/>
        </w:rPr>
        <w:t>” at page 95</w:t>
      </w:r>
    </w:p>
  </w:footnote>
  <w:footnote w:id="11">
    <w:p w14:paraId="0C4FADCD" w14:textId="09991CCF" w:rsidR="0D81AD8E" w:rsidRPr="00A05817" w:rsidRDefault="0D81AD8E" w:rsidP="002E0B76">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D.23-11-068 Section 3.3.5.7 ”NEMFC Tariff: Related Proposals” at page 141 and Findings of Fact Number 93</w:t>
      </w:r>
    </w:p>
  </w:footnote>
  <w:footnote w:id="12">
    <w:p w14:paraId="5D732873" w14:textId="6B8D8E06" w:rsidR="0097132B" w:rsidRPr="00A05817" w:rsidRDefault="0097132B">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w:t>
      </w:r>
      <w:r w:rsidR="002817B9" w:rsidRPr="00A05817">
        <w:rPr>
          <w:rFonts w:ascii="Palatino Linotype" w:hAnsi="Palatino Linotype"/>
        </w:rPr>
        <w:t>Energy Division Letter of Rejection to Pacific Gas and Electric</w:t>
      </w:r>
      <w:r w:rsidR="00006039" w:rsidRPr="00A05817">
        <w:rPr>
          <w:rFonts w:ascii="Palatino Linotype" w:hAnsi="Palatino Linotype"/>
        </w:rPr>
        <w:t xml:space="preserve"> </w:t>
      </w:r>
      <w:r w:rsidR="009727AE" w:rsidRPr="00A05817">
        <w:rPr>
          <w:rFonts w:ascii="Palatino Linotype" w:hAnsi="Palatino Linotype"/>
        </w:rPr>
        <w:t xml:space="preserve">regarding </w:t>
      </w:r>
      <w:r w:rsidR="00006039" w:rsidRPr="00A05817">
        <w:rPr>
          <w:rFonts w:ascii="Palatino Linotype" w:hAnsi="Palatino Linotype"/>
        </w:rPr>
        <w:t>AL 7179-E/E-A</w:t>
      </w:r>
      <w:r w:rsidR="002817B9" w:rsidRPr="00A05817">
        <w:rPr>
          <w:rFonts w:ascii="Palatino Linotype" w:hAnsi="Palatino Linotype"/>
        </w:rPr>
        <w:t xml:space="preserve">, dated </w:t>
      </w:r>
      <w:r w:rsidR="008D4485" w:rsidRPr="00A05817">
        <w:rPr>
          <w:rFonts w:ascii="Palatino Linotype" w:hAnsi="Palatino Linotype"/>
        </w:rPr>
        <w:br/>
      </w:r>
      <w:r w:rsidR="002817B9" w:rsidRPr="00A05817">
        <w:rPr>
          <w:rFonts w:ascii="Palatino Linotype" w:hAnsi="Palatino Linotype"/>
        </w:rPr>
        <w:t>April 24, 2025 and Energy Division Letter of Rejecti</w:t>
      </w:r>
      <w:r w:rsidR="002271A1" w:rsidRPr="00A05817">
        <w:rPr>
          <w:rFonts w:ascii="Palatino Linotype" w:hAnsi="Palatino Linotype"/>
        </w:rPr>
        <w:t xml:space="preserve">on </w:t>
      </w:r>
      <w:r w:rsidR="00006039" w:rsidRPr="00A05817">
        <w:rPr>
          <w:rFonts w:ascii="Palatino Linotype" w:hAnsi="Palatino Linotype"/>
        </w:rPr>
        <w:t xml:space="preserve">to San Diego Gas &amp; Electric </w:t>
      </w:r>
      <w:r w:rsidR="009727AE" w:rsidRPr="00A05817">
        <w:rPr>
          <w:rFonts w:ascii="Palatino Linotype" w:hAnsi="Palatino Linotype"/>
        </w:rPr>
        <w:t xml:space="preserve">regarding </w:t>
      </w:r>
      <w:r w:rsidR="008D4485" w:rsidRPr="00A05817">
        <w:rPr>
          <w:rFonts w:ascii="Palatino Linotype" w:hAnsi="Palatino Linotype"/>
        </w:rPr>
        <w:br/>
      </w:r>
      <w:r w:rsidR="00006039" w:rsidRPr="00A05817">
        <w:rPr>
          <w:rFonts w:ascii="Palatino Linotype" w:hAnsi="Palatino Linotype"/>
        </w:rPr>
        <w:t xml:space="preserve">AL </w:t>
      </w:r>
      <w:r w:rsidR="00FE441E" w:rsidRPr="00A05817">
        <w:rPr>
          <w:rFonts w:ascii="Palatino Linotype" w:hAnsi="Palatino Linotype"/>
        </w:rPr>
        <w:t>4395-E/E-A</w:t>
      </w:r>
      <w:r w:rsidR="00006039" w:rsidRPr="00A05817">
        <w:rPr>
          <w:rFonts w:ascii="Palatino Linotype" w:hAnsi="Palatino Linotype"/>
        </w:rPr>
        <w:t xml:space="preserve">, dated </w:t>
      </w:r>
      <w:r w:rsidR="009727AE" w:rsidRPr="00A05817">
        <w:rPr>
          <w:rFonts w:ascii="Palatino Linotype" w:hAnsi="Palatino Linotype"/>
        </w:rPr>
        <w:t>April 24, 2025</w:t>
      </w:r>
    </w:p>
  </w:footnote>
  <w:footnote w:id="13">
    <w:p w14:paraId="66D1CA54" w14:textId="77411FA1" w:rsidR="23AFD90E" w:rsidRPr="00A05817" w:rsidRDefault="23AFD90E" w:rsidP="003D67AB">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Energy Division </w:t>
      </w:r>
      <w:r w:rsidR="003D67AB" w:rsidRPr="00A05817">
        <w:rPr>
          <w:rFonts w:ascii="Palatino Linotype" w:hAnsi="Palatino Linotype"/>
        </w:rPr>
        <w:t xml:space="preserve">Letter of </w:t>
      </w:r>
      <w:r w:rsidRPr="00A05817">
        <w:rPr>
          <w:rFonts w:ascii="Palatino Linotype" w:hAnsi="Palatino Linotype"/>
        </w:rPr>
        <w:t>Rejection to Pacific Gas and Electric</w:t>
      </w:r>
      <w:r w:rsidR="003D67AB" w:rsidRPr="00A05817">
        <w:rPr>
          <w:rFonts w:ascii="Palatino Linotype" w:hAnsi="Palatino Linotype"/>
        </w:rPr>
        <w:t>,</w:t>
      </w:r>
      <w:r w:rsidRPr="00A05817">
        <w:rPr>
          <w:rFonts w:ascii="Palatino Linotype" w:hAnsi="Palatino Linotype"/>
        </w:rPr>
        <w:t xml:space="preserve"> </w:t>
      </w:r>
      <w:r w:rsidR="003D67AB" w:rsidRPr="00A05817">
        <w:rPr>
          <w:rFonts w:ascii="Palatino Linotype" w:hAnsi="Palatino Linotype"/>
        </w:rPr>
        <w:t>dated</w:t>
      </w:r>
      <w:r w:rsidRPr="00A05817">
        <w:rPr>
          <w:rFonts w:ascii="Palatino Linotype" w:hAnsi="Palatino Linotype"/>
        </w:rPr>
        <w:t xml:space="preserve"> April 24, 2025</w:t>
      </w:r>
      <w:r w:rsidR="003D67AB" w:rsidRPr="00A05817">
        <w:rPr>
          <w:rFonts w:ascii="Palatino Linotype" w:hAnsi="Palatino Linotype"/>
        </w:rPr>
        <w:t>,</w:t>
      </w:r>
      <w:r w:rsidRPr="00A05817">
        <w:rPr>
          <w:rFonts w:ascii="Palatino Linotype" w:hAnsi="Palatino Linotype"/>
        </w:rPr>
        <w:t xml:space="preserve"> stated ” </w:t>
      </w:r>
      <w:r w:rsidRPr="00A05817">
        <w:rPr>
          <w:rFonts w:ascii="Palatino Linotype" w:hAnsi="Palatino Linotype"/>
          <w:i/>
          <w:iCs/>
        </w:rPr>
        <w:t>The AL is rejected without prejudice per General Order (GO) 96-B Section 5.1 ‘Matters Appropriate to Advice Letters’, as it poses a request to amend a Decision Order(s), that could only be considered in a formal proceeding</w:t>
      </w:r>
      <w:r w:rsidRPr="00A05817">
        <w:rPr>
          <w:rFonts w:ascii="Palatino Linotype" w:hAnsi="Palatino Linotype"/>
        </w:rPr>
        <w:t>” and ”</w:t>
      </w:r>
      <w:r w:rsidRPr="00A05817">
        <w:rPr>
          <w:rFonts w:ascii="Palatino Linotype" w:hAnsi="Palatino Linotype"/>
          <w:i/>
          <w:iCs/>
        </w:rPr>
        <w:t>Energy Division must also reject this AL pursuant to GO 96-B Section 7.6, which requires the reviewing industry to reject if there are clear inconsistencies with statute or Commission order.</w:t>
      </w:r>
      <w:r w:rsidRPr="00A05817">
        <w:rPr>
          <w:rFonts w:ascii="Palatino Linotype" w:hAnsi="Palatino Linotype"/>
        </w:rPr>
        <w:t>”</w:t>
      </w:r>
    </w:p>
  </w:footnote>
  <w:footnote w:id="14">
    <w:p w14:paraId="655EB8F6" w14:textId="14FADEC6" w:rsidR="004217D9" w:rsidRPr="00A05817" w:rsidRDefault="004217D9">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Energy Division Letter of Rejection to San Diego Gas &amp; Electric, dated April 24, 2025</w:t>
      </w:r>
      <w:r w:rsidR="003F366C" w:rsidRPr="00A05817">
        <w:rPr>
          <w:rFonts w:ascii="Palatino Linotype" w:hAnsi="Palatino Linotype"/>
        </w:rPr>
        <w:t>,</w:t>
      </w:r>
      <w:r w:rsidRPr="00A05817">
        <w:rPr>
          <w:rFonts w:ascii="Palatino Linotype" w:hAnsi="Palatino Linotype"/>
        </w:rPr>
        <w:t xml:space="preserve"> stated “</w:t>
      </w:r>
      <w:r w:rsidR="0042554A" w:rsidRPr="00A05817">
        <w:rPr>
          <w:rFonts w:ascii="Palatino Linotype" w:hAnsi="Palatino Linotype"/>
          <w:i/>
          <w:iCs/>
        </w:rPr>
        <w:t>In addition to GO 96-B Section 5.1, Energy Division rejects this AL per GO Section 7.6 which requires the reviewing industry to reject if there are clear inconsistencies with statute or Commission orde</w:t>
      </w:r>
      <w:r w:rsidR="0042554A" w:rsidRPr="00A05817">
        <w:rPr>
          <w:rFonts w:ascii="Palatino Linotype" w:hAnsi="Palatino Linotype"/>
        </w:rPr>
        <w:t>r.”</w:t>
      </w:r>
    </w:p>
  </w:footnote>
  <w:footnote w:id="15">
    <w:p w14:paraId="074C0E03" w14:textId="39BBA01A" w:rsidR="0D81AD8E" w:rsidRPr="00A05817" w:rsidRDefault="0D81AD8E" w:rsidP="002E0B76">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General Order 96-B Section 5.3 ”Whenever the reviewing Industry Division determines that the relief requested or the issues raised by an advice letter require an evidentiary hearing, o</w:t>
      </w:r>
      <w:r w:rsidRPr="00A05817">
        <w:rPr>
          <w:rFonts w:ascii="Palatino Linotype" w:hAnsi="Palatino Linotype"/>
          <w:i/>
        </w:rPr>
        <w:t>r otherwise require review in a formal proceeding</w:t>
      </w:r>
      <w:r w:rsidRPr="00A05817">
        <w:rPr>
          <w:rFonts w:ascii="Palatino Linotype" w:hAnsi="Palatino Linotype"/>
        </w:rPr>
        <w:t>, the Industry Division will reject the advice letter without prejudice.”</w:t>
      </w:r>
    </w:p>
  </w:footnote>
  <w:footnote w:id="16">
    <w:p w14:paraId="5A80BEF1" w14:textId="159EDB10" w:rsidR="0D81AD8E" w:rsidRPr="00A05817" w:rsidRDefault="0D81AD8E" w:rsidP="002E0B76">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PG&amp;E AL 7606-E at 4 </w:t>
      </w:r>
    </w:p>
  </w:footnote>
  <w:footnote w:id="17">
    <w:p w14:paraId="126269AC" w14:textId="2916C647" w:rsidR="0D81AD8E" w:rsidRPr="00A05817" w:rsidRDefault="0D81AD8E" w:rsidP="002E0B76">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SDG&amp;E AL 4664-E at 2</w:t>
      </w:r>
    </w:p>
  </w:footnote>
  <w:footnote w:id="18">
    <w:p w14:paraId="64CFB045" w14:textId="77777777" w:rsidR="00D20C12" w:rsidRPr="00A05817" w:rsidRDefault="00D20C12" w:rsidP="00D20C12">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D.23-11-068 at 187</w:t>
      </w:r>
    </w:p>
  </w:footnote>
  <w:footnote w:id="19">
    <w:p w14:paraId="35D4A1F7" w14:textId="6AC570CA" w:rsidR="002425DD" w:rsidRPr="00A05817" w:rsidRDefault="002425DD" w:rsidP="23AFD90E">
      <w:pPr>
        <w:pStyle w:val="FootnoteText"/>
        <w:rPr>
          <w:rFonts w:ascii="Palatino Linotype" w:eastAsia="Palatino Linotype" w:hAnsi="Palatino Linotype" w:cs="Times New Roman"/>
        </w:rPr>
      </w:pPr>
      <w:r w:rsidRPr="00A05817">
        <w:rPr>
          <w:rStyle w:val="FootnoteReference"/>
          <w:rFonts w:ascii="Palatino Linotype" w:hAnsi="Palatino Linotype"/>
        </w:rPr>
        <w:footnoteRef/>
      </w:r>
      <w:r w:rsidR="23AFD90E" w:rsidRPr="00A05817">
        <w:rPr>
          <w:rFonts w:ascii="Palatino Linotype" w:hAnsi="Palatino Linotype"/>
        </w:rPr>
        <w:t xml:space="preserve"> </w:t>
      </w:r>
      <w:r w:rsidR="23AFD90E" w:rsidRPr="00A05817">
        <w:rPr>
          <w:rFonts w:ascii="Palatino Linotype" w:eastAsia="Palatino Linotype" w:hAnsi="Palatino Linotype" w:cs="Times New Roman"/>
          <w:kern w:val="0"/>
          <w14:ligatures w14:val="none"/>
        </w:rPr>
        <w:t xml:space="preserve">PUC 2827.1(b)(5) expressly provides that projects with a capacity greater than 1MW are subject to applicable federal requirements. The NEM/NBT tariffs do not have a capacity limit even though the PURPA compliant tariff this criteria.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3060A6FE"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741467" w:rsidRPr="00741467">
      <w:rPr>
        <w:rFonts w:ascii="Palatino Linotype" w:eastAsia="Palatino Linotype" w:hAnsi="Palatino Linotype" w:cs="Times New Roman"/>
        <w:bCs/>
      </w:rPr>
      <w:t>E-5425</w:t>
    </w:r>
    <w:r w:rsidR="008213BB">
      <w:tab/>
    </w:r>
    <w:r w:rsidRPr="56DF6A51">
      <w:rPr>
        <w:rFonts w:ascii="Palatino Linotype" w:hAnsi="Palatino Linotype"/>
      </w:rPr>
      <w:t>DRAFT</w:t>
    </w:r>
    <w:r w:rsidR="008213BB">
      <w:tab/>
    </w:r>
    <w:r w:rsidR="00B643B6">
      <w:rPr>
        <w:rFonts w:ascii="Palatino Linotype" w:hAnsi="Palatino Linotype"/>
      </w:rPr>
      <w:t>January 15</w:t>
    </w:r>
    <w:r w:rsidR="00A80A6E">
      <w:rPr>
        <w:rFonts w:ascii="Palatino Linotype" w:hAnsi="Palatino Linotype"/>
      </w:rPr>
      <w:t xml:space="preserve">, </w:t>
    </w:r>
    <w:r w:rsidR="00161B2F">
      <w:rPr>
        <w:rFonts w:ascii="Palatino Linotype" w:hAnsi="Palatino Linotype"/>
      </w:rPr>
      <w:t>202</w:t>
    </w:r>
    <w:r w:rsidR="00161B2F">
      <w:rPr>
        <w:rFonts w:ascii="Palatino Linotype" w:hAnsi="Palatino Linotype"/>
      </w:rPr>
      <w:t>6</w:t>
    </w:r>
  </w:p>
  <w:p w14:paraId="52548ECE" w14:textId="39A8BA22" w:rsidR="008213BB" w:rsidRDefault="006C1746" w:rsidP="00CA3D13">
    <w:pPr>
      <w:pStyle w:val="Header"/>
      <w:rPr>
        <w:rFonts w:ascii="Palatino Linotype" w:hAnsi="Palatino Linotype"/>
      </w:rPr>
    </w:pPr>
    <w:r>
      <w:rPr>
        <w:rFonts w:ascii="Palatino Linotype" w:hAnsi="Palatino Linotype"/>
      </w:rPr>
      <w:t xml:space="preserve">PG&amp;E </w:t>
    </w:r>
    <w:r w:rsidR="008213BB">
      <w:rPr>
        <w:rFonts w:ascii="Palatino Linotype" w:hAnsi="Palatino Linotype"/>
      </w:rPr>
      <w:t>AL</w:t>
    </w:r>
    <w:r>
      <w:rPr>
        <w:rFonts w:ascii="Palatino Linotype" w:hAnsi="Palatino Linotype"/>
      </w:rPr>
      <w:t xml:space="preserve"> 7606-E</w:t>
    </w:r>
    <w:r w:rsidR="008E5E0A">
      <w:rPr>
        <w:rFonts w:ascii="Palatino Linotype" w:hAnsi="Palatino Linotype"/>
      </w:rPr>
      <w:t xml:space="preserve"> and SDG&amp;E AL </w:t>
    </w:r>
    <w:r w:rsidR="001522D5">
      <w:rPr>
        <w:rFonts w:ascii="Palatino Linotype" w:hAnsi="Palatino Linotype"/>
      </w:rPr>
      <w:t>4664-E</w:t>
    </w:r>
    <w:r w:rsidR="00565F65">
      <w:rPr>
        <w:rFonts w:ascii="Palatino Linotype" w:hAnsi="Palatino Linotype"/>
      </w:rPr>
      <w:t>/</w:t>
    </w:r>
    <w:r w:rsidR="00263E88">
      <w:rPr>
        <w:rFonts w:ascii="Palatino Linotype" w:hAnsi="Palatino Linotype"/>
      </w:rPr>
      <w:t>SRH</w:t>
    </w:r>
  </w:p>
  <w:p w14:paraId="42FCDD32" w14:textId="77777777" w:rsidR="00A80A6E" w:rsidRPr="002A1AD8" w:rsidRDefault="00A80A6E"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56B4A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F740BA"/>
    <w:multiLevelType w:val="hybridMultilevel"/>
    <w:tmpl w:val="34145D12"/>
    <w:lvl w:ilvl="0" w:tplc="D460E83A">
      <w:start w:val="1"/>
      <w:numFmt w:val="decimal"/>
      <w:lvlText w:val="%1."/>
      <w:lvlJc w:val="left"/>
      <w:pPr>
        <w:ind w:left="720" w:hanging="360"/>
      </w:pPr>
    </w:lvl>
    <w:lvl w:ilvl="1" w:tplc="C0889EEE">
      <w:start w:val="1"/>
      <w:numFmt w:val="lowerLetter"/>
      <w:lvlText w:val="%2."/>
      <w:lvlJc w:val="left"/>
      <w:pPr>
        <w:ind w:left="1440" w:hanging="360"/>
      </w:pPr>
    </w:lvl>
    <w:lvl w:ilvl="2" w:tplc="7778DCF6">
      <w:start w:val="1"/>
      <w:numFmt w:val="lowerRoman"/>
      <w:lvlText w:val="%3."/>
      <w:lvlJc w:val="right"/>
      <w:pPr>
        <w:ind w:left="2160" w:hanging="180"/>
      </w:pPr>
    </w:lvl>
    <w:lvl w:ilvl="3" w:tplc="4AC619A8">
      <w:start w:val="1"/>
      <w:numFmt w:val="decimal"/>
      <w:lvlText w:val="%4."/>
      <w:lvlJc w:val="left"/>
      <w:pPr>
        <w:ind w:left="2880" w:hanging="360"/>
      </w:pPr>
    </w:lvl>
    <w:lvl w:ilvl="4" w:tplc="86EC84B0">
      <w:start w:val="1"/>
      <w:numFmt w:val="lowerLetter"/>
      <w:lvlText w:val="%5."/>
      <w:lvlJc w:val="left"/>
      <w:pPr>
        <w:ind w:left="3600" w:hanging="360"/>
      </w:pPr>
    </w:lvl>
    <w:lvl w:ilvl="5" w:tplc="D0FCD09A">
      <w:start w:val="1"/>
      <w:numFmt w:val="lowerRoman"/>
      <w:lvlText w:val="%6."/>
      <w:lvlJc w:val="right"/>
      <w:pPr>
        <w:ind w:left="4320" w:hanging="180"/>
      </w:pPr>
    </w:lvl>
    <w:lvl w:ilvl="6" w:tplc="3098C790">
      <w:start w:val="1"/>
      <w:numFmt w:val="decimal"/>
      <w:lvlText w:val="%7."/>
      <w:lvlJc w:val="left"/>
      <w:pPr>
        <w:ind w:left="5040" w:hanging="360"/>
      </w:pPr>
    </w:lvl>
    <w:lvl w:ilvl="7" w:tplc="9296E6B6">
      <w:start w:val="1"/>
      <w:numFmt w:val="lowerLetter"/>
      <w:lvlText w:val="%8."/>
      <w:lvlJc w:val="left"/>
      <w:pPr>
        <w:ind w:left="5760" w:hanging="360"/>
      </w:pPr>
    </w:lvl>
    <w:lvl w:ilvl="8" w:tplc="5E7C192C">
      <w:start w:val="1"/>
      <w:numFmt w:val="lowerRoman"/>
      <w:lvlText w:val="%9."/>
      <w:lvlJc w:val="right"/>
      <w:pPr>
        <w:ind w:left="6480" w:hanging="180"/>
      </w:pPr>
    </w:lvl>
  </w:abstractNum>
  <w:abstractNum w:abstractNumId="3" w15:restartNumberingAfterBreak="0">
    <w:nsid w:val="38D386E5"/>
    <w:multiLevelType w:val="hybridMultilevel"/>
    <w:tmpl w:val="F8EC16AE"/>
    <w:lvl w:ilvl="0" w:tplc="52E0F29E">
      <w:start w:val="1"/>
      <w:numFmt w:val="decimal"/>
      <w:lvlText w:val="%1."/>
      <w:lvlJc w:val="left"/>
      <w:pPr>
        <w:ind w:left="720" w:hanging="360"/>
      </w:pPr>
    </w:lvl>
    <w:lvl w:ilvl="1" w:tplc="3D14BA94">
      <w:start w:val="1"/>
      <w:numFmt w:val="lowerLetter"/>
      <w:lvlText w:val="%2."/>
      <w:lvlJc w:val="left"/>
      <w:pPr>
        <w:ind w:left="1440" w:hanging="360"/>
      </w:pPr>
    </w:lvl>
    <w:lvl w:ilvl="2" w:tplc="4C12AB10">
      <w:start w:val="1"/>
      <w:numFmt w:val="lowerRoman"/>
      <w:lvlText w:val="%3."/>
      <w:lvlJc w:val="right"/>
      <w:pPr>
        <w:ind w:left="2160" w:hanging="180"/>
      </w:pPr>
    </w:lvl>
    <w:lvl w:ilvl="3" w:tplc="2D4E9368">
      <w:start w:val="1"/>
      <w:numFmt w:val="decimal"/>
      <w:lvlText w:val="%4."/>
      <w:lvlJc w:val="left"/>
      <w:pPr>
        <w:ind w:left="2880" w:hanging="360"/>
      </w:pPr>
    </w:lvl>
    <w:lvl w:ilvl="4" w:tplc="7234D982">
      <w:start w:val="1"/>
      <w:numFmt w:val="lowerLetter"/>
      <w:lvlText w:val="%5."/>
      <w:lvlJc w:val="left"/>
      <w:pPr>
        <w:ind w:left="3600" w:hanging="360"/>
      </w:pPr>
    </w:lvl>
    <w:lvl w:ilvl="5" w:tplc="11288C98">
      <w:start w:val="1"/>
      <w:numFmt w:val="lowerRoman"/>
      <w:lvlText w:val="%6."/>
      <w:lvlJc w:val="right"/>
      <w:pPr>
        <w:ind w:left="4320" w:hanging="180"/>
      </w:pPr>
    </w:lvl>
    <w:lvl w:ilvl="6" w:tplc="3FC009D8">
      <w:start w:val="1"/>
      <w:numFmt w:val="decimal"/>
      <w:lvlText w:val="%7."/>
      <w:lvlJc w:val="left"/>
      <w:pPr>
        <w:ind w:left="5040" w:hanging="360"/>
      </w:pPr>
    </w:lvl>
    <w:lvl w:ilvl="7" w:tplc="EC726A2A">
      <w:start w:val="1"/>
      <w:numFmt w:val="lowerLetter"/>
      <w:lvlText w:val="%8."/>
      <w:lvlJc w:val="left"/>
      <w:pPr>
        <w:ind w:left="5760" w:hanging="360"/>
      </w:pPr>
    </w:lvl>
    <w:lvl w:ilvl="8" w:tplc="645236C8">
      <w:start w:val="1"/>
      <w:numFmt w:val="lowerRoman"/>
      <w:lvlText w:val="%9."/>
      <w:lvlJc w:val="right"/>
      <w:pPr>
        <w:ind w:left="6480" w:hanging="180"/>
      </w:pPr>
    </w:lvl>
  </w:abstractNum>
  <w:abstractNum w:abstractNumId="4" w15:restartNumberingAfterBreak="0">
    <w:nsid w:val="3F711B3A"/>
    <w:multiLevelType w:val="hybridMultilevel"/>
    <w:tmpl w:val="2A4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43135"/>
    <w:multiLevelType w:val="hybridMultilevel"/>
    <w:tmpl w:val="1230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037EE"/>
    <w:multiLevelType w:val="hybridMultilevel"/>
    <w:tmpl w:val="72C8C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349602691">
    <w:abstractNumId w:val="3"/>
  </w:num>
  <w:num w:numId="2" w16cid:durableId="1683818855">
    <w:abstractNumId w:val="2"/>
  </w:num>
  <w:num w:numId="3" w16cid:durableId="944842790">
    <w:abstractNumId w:val="6"/>
  </w:num>
  <w:num w:numId="4" w16cid:durableId="1991593136">
    <w:abstractNumId w:val="0"/>
  </w:num>
  <w:num w:numId="5" w16cid:durableId="1754620235">
    <w:abstractNumId w:val="1"/>
  </w:num>
  <w:num w:numId="6" w16cid:durableId="969365539">
    <w:abstractNumId w:val="9"/>
  </w:num>
  <w:num w:numId="7" w16cid:durableId="468133998">
    <w:abstractNumId w:val="7"/>
  </w:num>
  <w:num w:numId="8" w16cid:durableId="426273653">
    <w:abstractNumId w:val="10"/>
  </w:num>
  <w:num w:numId="9" w16cid:durableId="2017147689">
    <w:abstractNumId w:val="5"/>
  </w:num>
  <w:num w:numId="10" w16cid:durableId="1793746805">
    <w:abstractNumId w:val="8"/>
  </w:num>
  <w:num w:numId="11" w16cid:durableId="267394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B06"/>
    <w:rsid w:val="00000CAB"/>
    <w:rsid w:val="000012D8"/>
    <w:rsid w:val="000020C3"/>
    <w:rsid w:val="0000318C"/>
    <w:rsid w:val="00003303"/>
    <w:rsid w:val="000059EB"/>
    <w:rsid w:val="00006039"/>
    <w:rsid w:val="00007EAB"/>
    <w:rsid w:val="00007F11"/>
    <w:rsid w:val="00013C12"/>
    <w:rsid w:val="00013EE5"/>
    <w:rsid w:val="0001410C"/>
    <w:rsid w:val="00014715"/>
    <w:rsid w:val="00014AF5"/>
    <w:rsid w:val="00016029"/>
    <w:rsid w:val="00016415"/>
    <w:rsid w:val="000165F9"/>
    <w:rsid w:val="0001672B"/>
    <w:rsid w:val="0001682E"/>
    <w:rsid w:val="0002074E"/>
    <w:rsid w:val="0002076E"/>
    <w:rsid w:val="0002204E"/>
    <w:rsid w:val="00022492"/>
    <w:rsid w:val="0002425C"/>
    <w:rsid w:val="00027476"/>
    <w:rsid w:val="000275E8"/>
    <w:rsid w:val="00030D8A"/>
    <w:rsid w:val="000322BD"/>
    <w:rsid w:val="00032CEE"/>
    <w:rsid w:val="00032DCD"/>
    <w:rsid w:val="0003383D"/>
    <w:rsid w:val="00034090"/>
    <w:rsid w:val="0003671A"/>
    <w:rsid w:val="000474C2"/>
    <w:rsid w:val="00047D97"/>
    <w:rsid w:val="00050812"/>
    <w:rsid w:val="00051AAB"/>
    <w:rsid w:val="0005253A"/>
    <w:rsid w:val="000541B0"/>
    <w:rsid w:val="00054D11"/>
    <w:rsid w:val="00055830"/>
    <w:rsid w:val="000564A9"/>
    <w:rsid w:val="000568E8"/>
    <w:rsid w:val="00057F2D"/>
    <w:rsid w:val="000610DB"/>
    <w:rsid w:val="0006218B"/>
    <w:rsid w:val="0006262A"/>
    <w:rsid w:val="00062F73"/>
    <w:rsid w:val="0006329B"/>
    <w:rsid w:val="000644D1"/>
    <w:rsid w:val="00064F41"/>
    <w:rsid w:val="00065444"/>
    <w:rsid w:val="00067059"/>
    <w:rsid w:val="00070F60"/>
    <w:rsid w:val="00072239"/>
    <w:rsid w:val="000740D5"/>
    <w:rsid w:val="00076412"/>
    <w:rsid w:val="000810D1"/>
    <w:rsid w:val="000835B4"/>
    <w:rsid w:val="00084E18"/>
    <w:rsid w:val="00086886"/>
    <w:rsid w:val="000901DD"/>
    <w:rsid w:val="00090221"/>
    <w:rsid w:val="000907EA"/>
    <w:rsid w:val="00091B44"/>
    <w:rsid w:val="000945FD"/>
    <w:rsid w:val="000946A5"/>
    <w:rsid w:val="00094C63"/>
    <w:rsid w:val="000951C0"/>
    <w:rsid w:val="00096124"/>
    <w:rsid w:val="00097471"/>
    <w:rsid w:val="00097C6F"/>
    <w:rsid w:val="000A17BC"/>
    <w:rsid w:val="000A280A"/>
    <w:rsid w:val="000A321E"/>
    <w:rsid w:val="000A34F4"/>
    <w:rsid w:val="000A4A8B"/>
    <w:rsid w:val="000B2FB0"/>
    <w:rsid w:val="000B3C26"/>
    <w:rsid w:val="000B58A2"/>
    <w:rsid w:val="000B646A"/>
    <w:rsid w:val="000B6FCC"/>
    <w:rsid w:val="000C48C9"/>
    <w:rsid w:val="000C6ABB"/>
    <w:rsid w:val="000C6C3A"/>
    <w:rsid w:val="000D1559"/>
    <w:rsid w:val="000D344A"/>
    <w:rsid w:val="000D41B7"/>
    <w:rsid w:val="000D5AA3"/>
    <w:rsid w:val="000D5B1C"/>
    <w:rsid w:val="000D7094"/>
    <w:rsid w:val="000D724C"/>
    <w:rsid w:val="000D7DB2"/>
    <w:rsid w:val="000E030D"/>
    <w:rsid w:val="000E0B9D"/>
    <w:rsid w:val="000E15A8"/>
    <w:rsid w:val="000E1DAA"/>
    <w:rsid w:val="000E1E60"/>
    <w:rsid w:val="000E787D"/>
    <w:rsid w:val="000E7C9E"/>
    <w:rsid w:val="000F00A9"/>
    <w:rsid w:val="000F1805"/>
    <w:rsid w:val="000F34AF"/>
    <w:rsid w:val="000F6A32"/>
    <w:rsid w:val="000F77F4"/>
    <w:rsid w:val="0010074D"/>
    <w:rsid w:val="00100CD4"/>
    <w:rsid w:val="001021BF"/>
    <w:rsid w:val="00103670"/>
    <w:rsid w:val="001036AD"/>
    <w:rsid w:val="001038BD"/>
    <w:rsid w:val="0010709A"/>
    <w:rsid w:val="00110796"/>
    <w:rsid w:val="0011226D"/>
    <w:rsid w:val="00121287"/>
    <w:rsid w:val="00122339"/>
    <w:rsid w:val="00124B3C"/>
    <w:rsid w:val="00126905"/>
    <w:rsid w:val="00127A4E"/>
    <w:rsid w:val="001317EC"/>
    <w:rsid w:val="00131B09"/>
    <w:rsid w:val="00133791"/>
    <w:rsid w:val="00133D10"/>
    <w:rsid w:val="00133DCE"/>
    <w:rsid w:val="001353D0"/>
    <w:rsid w:val="00135613"/>
    <w:rsid w:val="00135912"/>
    <w:rsid w:val="00135EF4"/>
    <w:rsid w:val="00136F2F"/>
    <w:rsid w:val="001371EB"/>
    <w:rsid w:val="00137BF1"/>
    <w:rsid w:val="0014105D"/>
    <w:rsid w:val="00141398"/>
    <w:rsid w:val="00141629"/>
    <w:rsid w:val="00141BA7"/>
    <w:rsid w:val="00142142"/>
    <w:rsid w:val="0014343D"/>
    <w:rsid w:val="0014362D"/>
    <w:rsid w:val="00144694"/>
    <w:rsid w:val="001450F1"/>
    <w:rsid w:val="00151217"/>
    <w:rsid w:val="0015181F"/>
    <w:rsid w:val="00151B4F"/>
    <w:rsid w:val="001522D5"/>
    <w:rsid w:val="001534E0"/>
    <w:rsid w:val="001537D0"/>
    <w:rsid w:val="00153AE5"/>
    <w:rsid w:val="00156664"/>
    <w:rsid w:val="00156815"/>
    <w:rsid w:val="001602CA"/>
    <w:rsid w:val="00161B2F"/>
    <w:rsid w:val="00161C96"/>
    <w:rsid w:val="00161E91"/>
    <w:rsid w:val="00164FBD"/>
    <w:rsid w:val="00165025"/>
    <w:rsid w:val="00165257"/>
    <w:rsid w:val="00170D62"/>
    <w:rsid w:val="00171662"/>
    <w:rsid w:val="00172945"/>
    <w:rsid w:val="00172BB1"/>
    <w:rsid w:val="001735B8"/>
    <w:rsid w:val="001752BA"/>
    <w:rsid w:val="0017552E"/>
    <w:rsid w:val="00177965"/>
    <w:rsid w:val="00177BA1"/>
    <w:rsid w:val="00180E3F"/>
    <w:rsid w:val="00181AB8"/>
    <w:rsid w:val="0018310D"/>
    <w:rsid w:val="00184DD9"/>
    <w:rsid w:val="00186A3A"/>
    <w:rsid w:val="00190121"/>
    <w:rsid w:val="001905E0"/>
    <w:rsid w:val="00190C1B"/>
    <w:rsid w:val="00191560"/>
    <w:rsid w:val="001927DF"/>
    <w:rsid w:val="001947B1"/>
    <w:rsid w:val="001951A5"/>
    <w:rsid w:val="001951DF"/>
    <w:rsid w:val="001967F4"/>
    <w:rsid w:val="0019697B"/>
    <w:rsid w:val="00197464"/>
    <w:rsid w:val="0019780E"/>
    <w:rsid w:val="001A1108"/>
    <w:rsid w:val="001A1876"/>
    <w:rsid w:val="001A30B3"/>
    <w:rsid w:val="001A7B6D"/>
    <w:rsid w:val="001A7B85"/>
    <w:rsid w:val="001B0E22"/>
    <w:rsid w:val="001B2C1A"/>
    <w:rsid w:val="001B2FD2"/>
    <w:rsid w:val="001B3B90"/>
    <w:rsid w:val="001B5FB0"/>
    <w:rsid w:val="001C13E3"/>
    <w:rsid w:val="001C1611"/>
    <w:rsid w:val="001C3475"/>
    <w:rsid w:val="001C542E"/>
    <w:rsid w:val="001C5D12"/>
    <w:rsid w:val="001C5D50"/>
    <w:rsid w:val="001C671A"/>
    <w:rsid w:val="001D049B"/>
    <w:rsid w:val="001D1175"/>
    <w:rsid w:val="001D2752"/>
    <w:rsid w:val="001D3EE9"/>
    <w:rsid w:val="001D79EC"/>
    <w:rsid w:val="001E242F"/>
    <w:rsid w:val="001E2DF4"/>
    <w:rsid w:val="001E33A9"/>
    <w:rsid w:val="001E3F89"/>
    <w:rsid w:val="001E4433"/>
    <w:rsid w:val="001E4598"/>
    <w:rsid w:val="001E5F1C"/>
    <w:rsid w:val="001F2171"/>
    <w:rsid w:val="001F2B98"/>
    <w:rsid w:val="001F3B57"/>
    <w:rsid w:val="0020030A"/>
    <w:rsid w:val="0020031E"/>
    <w:rsid w:val="00200ED6"/>
    <w:rsid w:val="00204B1B"/>
    <w:rsid w:val="00205E75"/>
    <w:rsid w:val="002075B1"/>
    <w:rsid w:val="00207F77"/>
    <w:rsid w:val="00211206"/>
    <w:rsid w:val="0021158D"/>
    <w:rsid w:val="00211F13"/>
    <w:rsid w:val="002121EC"/>
    <w:rsid w:val="00212F6F"/>
    <w:rsid w:val="00215833"/>
    <w:rsid w:val="00215BD8"/>
    <w:rsid w:val="002177D0"/>
    <w:rsid w:val="002235C9"/>
    <w:rsid w:val="00226D71"/>
    <w:rsid w:val="002271A1"/>
    <w:rsid w:val="00230520"/>
    <w:rsid w:val="00230651"/>
    <w:rsid w:val="00233F0F"/>
    <w:rsid w:val="002345DB"/>
    <w:rsid w:val="00234852"/>
    <w:rsid w:val="002418DF"/>
    <w:rsid w:val="00241966"/>
    <w:rsid w:val="00241B91"/>
    <w:rsid w:val="002425DD"/>
    <w:rsid w:val="002514A5"/>
    <w:rsid w:val="00251E98"/>
    <w:rsid w:val="00252723"/>
    <w:rsid w:val="00252FCC"/>
    <w:rsid w:val="00253185"/>
    <w:rsid w:val="00253B89"/>
    <w:rsid w:val="00253D7C"/>
    <w:rsid w:val="00253DA6"/>
    <w:rsid w:val="00254D65"/>
    <w:rsid w:val="0025538E"/>
    <w:rsid w:val="0025561F"/>
    <w:rsid w:val="00255D8D"/>
    <w:rsid w:val="00261C50"/>
    <w:rsid w:val="00263E88"/>
    <w:rsid w:val="00264227"/>
    <w:rsid w:val="00264925"/>
    <w:rsid w:val="0026556E"/>
    <w:rsid w:val="00266F78"/>
    <w:rsid w:val="00270B3A"/>
    <w:rsid w:val="00271A4E"/>
    <w:rsid w:val="00272729"/>
    <w:rsid w:val="002738EF"/>
    <w:rsid w:val="002817B9"/>
    <w:rsid w:val="002818FA"/>
    <w:rsid w:val="00281A9A"/>
    <w:rsid w:val="0028343E"/>
    <w:rsid w:val="00285963"/>
    <w:rsid w:val="00285A27"/>
    <w:rsid w:val="00285D50"/>
    <w:rsid w:val="00287AAA"/>
    <w:rsid w:val="00287E20"/>
    <w:rsid w:val="00291BF1"/>
    <w:rsid w:val="002949D7"/>
    <w:rsid w:val="002965A3"/>
    <w:rsid w:val="0029737E"/>
    <w:rsid w:val="00297BEA"/>
    <w:rsid w:val="002A0051"/>
    <w:rsid w:val="002A0131"/>
    <w:rsid w:val="002A12FD"/>
    <w:rsid w:val="002A4F33"/>
    <w:rsid w:val="002A6AB4"/>
    <w:rsid w:val="002A7C6D"/>
    <w:rsid w:val="002A7ED8"/>
    <w:rsid w:val="002B08CD"/>
    <w:rsid w:val="002B346D"/>
    <w:rsid w:val="002B38E3"/>
    <w:rsid w:val="002B3B33"/>
    <w:rsid w:val="002B4BFB"/>
    <w:rsid w:val="002B5A78"/>
    <w:rsid w:val="002B681C"/>
    <w:rsid w:val="002B7500"/>
    <w:rsid w:val="002B7AF1"/>
    <w:rsid w:val="002C1A33"/>
    <w:rsid w:val="002C2453"/>
    <w:rsid w:val="002C452F"/>
    <w:rsid w:val="002C529A"/>
    <w:rsid w:val="002C54E3"/>
    <w:rsid w:val="002C7067"/>
    <w:rsid w:val="002C752D"/>
    <w:rsid w:val="002D0257"/>
    <w:rsid w:val="002D06CD"/>
    <w:rsid w:val="002D0819"/>
    <w:rsid w:val="002D2BD7"/>
    <w:rsid w:val="002D38EE"/>
    <w:rsid w:val="002D4919"/>
    <w:rsid w:val="002D52E7"/>
    <w:rsid w:val="002D5E8C"/>
    <w:rsid w:val="002D68C1"/>
    <w:rsid w:val="002D7533"/>
    <w:rsid w:val="002E0AAD"/>
    <w:rsid w:val="002E0B76"/>
    <w:rsid w:val="002E177C"/>
    <w:rsid w:val="002E1816"/>
    <w:rsid w:val="002E1A94"/>
    <w:rsid w:val="002E25F2"/>
    <w:rsid w:val="002E49D8"/>
    <w:rsid w:val="002E5394"/>
    <w:rsid w:val="002E730C"/>
    <w:rsid w:val="002E7432"/>
    <w:rsid w:val="002E7745"/>
    <w:rsid w:val="002F18D0"/>
    <w:rsid w:val="002F1D3E"/>
    <w:rsid w:val="002F3367"/>
    <w:rsid w:val="002F3457"/>
    <w:rsid w:val="002F3A93"/>
    <w:rsid w:val="002F5329"/>
    <w:rsid w:val="002F5367"/>
    <w:rsid w:val="002F79A0"/>
    <w:rsid w:val="0030003C"/>
    <w:rsid w:val="003006C2"/>
    <w:rsid w:val="00300B84"/>
    <w:rsid w:val="0030293D"/>
    <w:rsid w:val="00303153"/>
    <w:rsid w:val="0030474D"/>
    <w:rsid w:val="003110C9"/>
    <w:rsid w:val="00314123"/>
    <w:rsid w:val="00316CFD"/>
    <w:rsid w:val="00320185"/>
    <w:rsid w:val="0032427D"/>
    <w:rsid w:val="003247F1"/>
    <w:rsid w:val="00324D80"/>
    <w:rsid w:val="00324F50"/>
    <w:rsid w:val="003328B1"/>
    <w:rsid w:val="00332DC7"/>
    <w:rsid w:val="00332EC0"/>
    <w:rsid w:val="00334ABF"/>
    <w:rsid w:val="003351B4"/>
    <w:rsid w:val="00337219"/>
    <w:rsid w:val="003373A6"/>
    <w:rsid w:val="00337579"/>
    <w:rsid w:val="003418AF"/>
    <w:rsid w:val="00344D92"/>
    <w:rsid w:val="00350313"/>
    <w:rsid w:val="00351F4F"/>
    <w:rsid w:val="00355C10"/>
    <w:rsid w:val="00356F03"/>
    <w:rsid w:val="00363429"/>
    <w:rsid w:val="0036345F"/>
    <w:rsid w:val="00365A99"/>
    <w:rsid w:val="003711E5"/>
    <w:rsid w:val="00372271"/>
    <w:rsid w:val="00372752"/>
    <w:rsid w:val="00373CC1"/>
    <w:rsid w:val="00373EAC"/>
    <w:rsid w:val="00375A4A"/>
    <w:rsid w:val="00375CBE"/>
    <w:rsid w:val="003765CC"/>
    <w:rsid w:val="003767BA"/>
    <w:rsid w:val="00380B37"/>
    <w:rsid w:val="00380EEF"/>
    <w:rsid w:val="003815D9"/>
    <w:rsid w:val="0038174E"/>
    <w:rsid w:val="0038296D"/>
    <w:rsid w:val="00384E34"/>
    <w:rsid w:val="0038536B"/>
    <w:rsid w:val="0038697F"/>
    <w:rsid w:val="0038792A"/>
    <w:rsid w:val="0039059A"/>
    <w:rsid w:val="00390E79"/>
    <w:rsid w:val="00391863"/>
    <w:rsid w:val="0039389C"/>
    <w:rsid w:val="00393DA3"/>
    <w:rsid w:val="00394787"/>
    <w:rsid w:val="003957EA"/>
    <w:rsid w:val="00396974"/>
    <w:rsid w:val="003976D7"/>
    <w:rsid w:val="003A1479"/>
    <w:rsid w:val="003A617B"/>
    <w:rsid w:val="003A6DB6"/>
    <w:rsid w:val="003B3534"/>
    <w:rsid w:val="003B4CEF"/>
    <w:rsid w:val="003B55AF"/>
    <w:rsid w:val="003B6FC5"/>
    <w:rsid w:val="003C15E3"/>
    <w:rsid w:val="003C1A19"/>
    <w:rsid w:val="003C1C9D"/>
    <w:rsid w:val="003C4E7A"/>
    <w:rsid w:val="003C5054"/>
    <w:rsid w:val="003C797F"/>
    <w:rsid w:val="003C7AD3"/>
    <w:rsid w:val="003D082A"/>
    <w:rsid w:val="003D0EE2"/>
    <w:rsid w:val="003D12EB"/>
    <w:rsid w:val="003D1B5E"/>
    <w:rsid w:val="003D2571"/>
    <w:rsid w:val="003D470B"/>
    <w:rsid w:val="003D5C46"/>
    <w:rsid w:val="003D67AB"/>
    <w:rsid w:val="003D6C3E"/>
    <w:rsid w:val="003D6D48"/>
    <w:rsid w:val="003E036A"/>
    <w:rsid w:val="003E4BA5"/>
    <w:rsid w:val="003E54E1"/>
    <w:rsid w:val="003E658A"/>
    <w:rsid w:val="003E7126"/>
    <w:rsid w:val="003F0B41"/>
    <w:rsid w:val="003F267C"/>
    <w:rsid w:val="003F2B19"/>
    <w:rsid w:val="003F2D47"/>
    <w:rsid w:val="003F366C"/>
    <w:rsid w:val="003F6AB7"/>
    <w:rsid w:val="00402389"/>
    <w:rsid w:val="004025C2"/>
    <w:rsid w:val="0040463E"/>
    <w:rsid w:val="00405B40"/>
    <w:rsid w:val="004121C4"/>
    <w:rsid w:val="00414351"/>
    <w:rsid w:val="00414C5C"/>
    <w:rsid w:val="00416487"/>
    <w:rsid w:val="0041707A"/>
    <w:rsid w:val="00417C30"/>
    <w:rsid w:val="00421562"/>
    <w:rsid w:val="004217D9"/>
    <w:rsid w:val="004217FD"/>
    <w:rsid w:val="0042237E"/>
    <w:rsid w:val="00422C43"/>
    <w:rsid w:val="00423E1D"/>
    <w:rsid w:val="00423FA7"/>
    <w:rsid w:val="0042554A"/>
    <w:rsid w:val="004255F8"/>
    <w:rsid w:val="004268D5"/>
    <w:rsid w:val="00426D1C"/>
    <w:rsid w:val="004305BC"/>
    <w:rsid w:val="00432A73"/>
    <w:rsid w:val="00433BD7"/>
    <w:rsid w:val="0043467E"/>
    <w:rsid w:val="004359F5"/>
    <w:rsid w:val="00435EF6"/>
    <w:rsid w:val="00436234"/>
    <w:rsid w:val="004368DD"/>
    <w:rsid w:val="00436DAD"/>
    <w:rsid w:val="00440DA6"/>
    <w:rsid w:val="0044150B"/>
    <w:rsid w:val="00441CB5"/>
    <w:rsid w:val="00443206"/>
    <w:rsid w:val="0044742D"/>
    <w:rsid w:val="00450719"/>
    <w:rsid w:val="00450C44"/>
    <w:rsid w:val="00451773"/>
    <w:rsid w:val="00452B91"/>
    <w:rsid w:val="00453688"/>
    <w:rsid w:val="00453CAF"/>
    <w:rsid w:val="00454C1F"/>
    <w:rsid w:val="00456D0D"/>
    <w:rsid w:val="00456D3C"/>
    <w:rsid w:val="00457F64"/>
    <w:rsid w:val="0046014A"/>
    <w:rsid w:val="00463B52"/>
    <w:rsid w:val="00463F4E"/>
    <w:rsid w:val="0046423E"/>
    <w:rsid w:val="00464362"/>
    <w:rsid w:val="00464680"/>
    <w:rsid w:val="004646AF"/>
    <w:rsid w:val="0046523C"/>
    <w:rsid w:val="004663E4"/>
    <w:rsid w:val="004670B6"/>
    <w:rsid w:val="004676E6"/>
    <w:rsid w:val="00467AB7"/>
    <w:rsid w:val="004700CE"/>
    <w:rsid w:val="00471B20"/>
    <w:rsid w:val="00471D8A"/>
    <w:rsid w:val="004725A4"/>
    <w:rsid w:val="0047306A"/>
    <w:rsid w:val="00473945"/>
    <w:rsid w:val="00473DE2"/>
    <w:rsid w:val="0047475D"/>
    <w:rsid w:val="004752D0"/>
    <w:rsid w:val="004757A9"/>
    <w:rsid w:val="00475980"/>
    <w:rsid w:val="0047614E"/>
    <w:rsid w:val="0048057C"/>
    <w:rsid w:val="00480A7D"/>
    <w:rsid w:val="00482E90"/>
    <w:rsid w:val="00483645"/>
    <w:rsid w:val="0048506A"/>
    <w:rsid w:val="00485BEE"/>
    <w:rsid w:val="0049095C"/>
    <w:rsid w:val="004922CB"/>
    <w:rsid w:val="00492D76"/>
    <w:rsid w:val="00493378"/>
    <w:rsid w:val="00496C5A"/>
    <w:rsid w:val="00497D57"/>
    <w:rsid w:val="004A131C"/>
    <w:rsid w:val="004A165F"/>
    <w:rsid w:val="004A1B85"/>
    <w:rsid w:val="004A2950"/>
    <w:rsid w:val="004A68CC"/>
    <w:rsid w:val="004A6F79"/>
    <w:rsid w:val="004A7215"/>
    <w:rsid w:val="004A7A4C"/>
    <w:rsid w:val="004A7F24"/>
    <w:rsid w:val="004B0C9F"/>
    <w:rsid w:val="004B3EEA"/>
    <w:rsid w:val="004B4075"/>
    <w:rsid w:val="004B44D5"/>
    <w:rsid w:val="004B4762"/>
    <w:rsid w:val="004B4941"/>
    <w:rsid w:val="004B674D"/>
    <w:rsid w:val="004B731C"/>
    <w:rsid w:val="004C100F"/>
    <w:rsid w:val="004C27D1"/>
    <w:rsid w:val="004C2812"/>
    <w:rsid w:val="004C457D"/>
    <w:rsid w:val="004C5DFE"/>
    <w:rsid w:val="004C5FCE"/>
    <w:rsid w:val="004C645E"/>
    <w:rsid w:val="004C6497"/>
    <w:rsid w:val="004D1418"/>
    <w:rsid w:val="004D1DB3"/>
    <w:rsid w:val="004D213E"/>
    <w:rsid w:val="004D2C2F"/>
    <w:rsid w:val="004D380A"/>
    <w:rsid w:val="004D386E"/>
    <w:rsid w:val="004D3A0D"/>
    <w:rsid w:val="004D5221"/>
    <w:rsid w:val="004D6243"/>
    <w:rsid w:val="004D6D2F"/>
    <w:rsid w:val="004E1607"/>
    <w:rsid w:val="004E3DE4"/>
    <w:rsid w:val="004E4694"/>
    <w:rsid w:val="004E474A"/>
    <w:rsid w:val="004E4BD3"/>
    <w:rsid w:val="004E5A73"/>
    <w:rsid w:val="004F3984"/>
    <w:rsid w:val="004F4FF9"/>
    <w:rsid w:val="004F7A83"/>
    <w:rsid w:val="00500488"/>
    <w:rsid w:val="005008F5"/>
    <w:rsid w:val="005025BB"/>
    <w:rsid w:val="005048FF"/>
    <w:rsid w:val="0050504C"/>
    <w:rsid w:val="00505215"/>
    <w:rsid w:val="00505BC4"/>
    <w:rsid w:val="00505F7E"/>
    <w:rsid w:val="00507C64"/>
    <w:rsid w:val="00507FCE"/>
    <w:rsid w:val="00510F69"/>
    <w:rsid w:val="00512A1A"/>
    <w:rsid w:val="00515312"/>
    <w:rsid w:val="00517160"/>
    <w:rsid w:val="00517C64"/>
    <w:rsid w:val="00520194"/>
    <w:rsid w:val="00520FF0"/>
    <w:rsid w:val="005211DF"/>
    <w:rsid w:val="00521EF6"/>
    <w:rsid w:val="005233F9"/>
    <w:rsid w:val="00524F21"/>
    <w:rsid w:val="0053045E"/>
    <w:rsid w:val="00530D10"/>
    <w:rsid w:val="005318AC"/>
    <w:rsid w:val="00532DFE"/>
    <w:rsid w:val="005331A2"/>
    <w:rsid w:val="00533F68"/>
    <w:rsid w:val="00536D12"/>
    <w:rsid w:val="005376E1"/>
    <w:rsid w:val="005430EC"/>
    <w:rsid w:val="0054517C"/>
    <w:rsid w:val="00545926"/>
    <w:rsid w:val="00546954"/>
    <w:rsid w:val="00547DD1"/>
    <w:rsid w:val="005508F3"/>
    <w:rsid w:val="00551692"/>
    <w:rsid w:val="005518AF"/>
    <w:rsid w:val="00554518"/>
    <w:rsid w:val="00554823"/>
    <w:rsid w:val="00556516"/>
    <w:rsid w:val="00557ABE"/>
    <w:rsid w:val="00562F9F"/>
    <w:rsid w:val="005646EA"/>
    <w:rsid w:val="005648D6"/>
    <w:rsid w:val="005655F9"/>
    <w:rsid w:val="00565F65"/>
    <w:rsid w:val="00566441"/>
    <w:rsid w:val="005665FF"/>
    <w:rsid w:val="00566BA8"/>
    <w:rsid w:val="0056788B"/>
    <w:rsid w:val="00572719"/>
    <w:rsid w:val="00574075"/>
    <w:rsid w:val="005747AB"/>
    <w:rsid w:val="005768AF"/>
    <w:rsid w:val="00576CD4"/>
    <w:rsid w:val="005804E2"/>
    <w:rsid w:val="00580F38"/>
    <w:rsid w:val="00585A5F"/>
    <w:rsid w:val="00585C9A"/>
    <w:rsid w:val="00586003"/>
    <w:rsid w:val="00590221"/>
    <w:rsid w:val="00590B77"/>
    <w:rsid w:val="00590E70"/>
    <w:rsid w:val="005914E9"/>
    <w:rsid w:val="0059181B"/>
    <w:rsid w:val="005945B0"/>
    <w:rsid w:val="00596002"/>
    <w:rsid w:val="00596542"/>
    <w:rsid w:val="0059663D"/>
    <w:rsid w:val="0059705F"/>
    <w:rsid w:val="005A2603"/>
    <w:rsid w:val="005A2945"/>
    <w:rsid w:val="005A35C8"/>
    <w:rsid w:val="005A48B9"/>
    <w:rsid w:val="005A64B1"/>
    <w:rsid w:val="005A7654"/>
    <w:rsid w:val="005A7C55"/>
    <w:rsid w:val="005A7D25"/>
    <w:rsid w:val="005B0696"/>
    <w:rsid w:val="005B1220"/>
    <w:rsid w:val="005B3AE2"/>
    <w:rsid w:val="005B5540"/>
    <w:rsid w:val="005B63AF"/>
    <w:rsid w:val="005C1D43"/>
    <w:rsid w:val="005C601F"/>
    <w:rsid w:val="005C6787"/>
    <w:rsid w:val="005C6F69"/>
    <w:rsid w:val="005D1333"/>
    <w:rsid w:val="005D4C22"/>
    <w:rsid w:val="005D5676"/>
    <w:rsid w:val="005D742B"/>
    <w:rsid w:val="005D7ED6"/>
    <w:rsid w:val="005E1AC9"/>
    <w:rsid w:val="005E2D02"/>
    <w:rsid w:val="005E53C7"/>
    <w:rsid w:val="005E6DCC"/>
    <w:rsid w:val="005F2CFC"/>
    <w:rsid w:val="005F369D"/>
    <w:rsid w:val="005F370F"/>
    <w:rsid w:val="005F3D95"/>
    <w:rsid w:val="005F3F36"/>
    <w:rsid w:val="005F41DD"/>
    <w:rsid w:val="005F46AD"/>
    <w:rsid w:val="005F4C95"/>
    <w:rsid w:val="005F51AE"/>
    <w:rsid w:val="005F5F2E"/>
    <w:rsid w:val="005F6FD3"/>
    <w:rsid w:val="00604459"/>
    <w:rsid w:val="00606670"/>
    <w:rsid w:val="006155B7"/>
    <w:rsid w:val="0061656E"/>
    <w:rsid w:val="00617B59"/>
    <w:rsid w:val="00617C00"/>
    <w:rsid w:val="00617F2F"/>
    <w:rsid w:val="00621AEE"/>
    <w:rsid w:val="0062221B"/>
    <w:rsid w:val="006227B7"/>
    <w:rsid w:val="00623A97"/>
    <w:rsid w:val="00624215"/>
    <w:rsid w:val="00624C66"/>
    <w:rsid w:val="00630B60"/>
    <w:rsid w:val="006313B1"/>
    <w:rsid w:val="00634B14"/>
    <w:rsid w:val="00637683"/>
    <w:rsid w:val="0064197B"/>
    <w:rsid w:val="006455DC"/>
    <w:rsid w:val="0064620E"/>
    <w:rsid w:val="00646DD3"/>
    <w:rsid w:val="00647907"/>
    <w:rsid w:val="00650CD4"/>
    <w:rsid w:val="00652A37"/>
    <w:rsid w:val="00652DDB"/>
    <w:rsid w:val="00653FA8"/>
    <w:rsid w:val="006550CB"/>
    <w:rsid w:val="00657175"/>
    <w:rsid w:val="00657EB0"/>
    <w:rsid w:val="00661828"/>
    <w:rsid w:val="00664EC3"/>
    <w:rsid w:val="00666477"/>
    <w:rsid w:val="006669EA"/>
    <w:rsid w:val="006715E0"/>
    <w:rsid w:val="00671FFA"/>
    <w:rsid w:val="006741E1"/>
    <w:rsid w:val="006752E1"/>
    <w:rsid w:val="00677DFF"/>
    <w:rsid w:val="00681FB0"/>
    <w:rsid w:val="00682AAF"/>
    <w:rsid w:val="00682B37"/>
    <w:rsid w:val="00684C98"/>
    <w:rsid w:val="00685AD5"/>
    <w:rsid w:val="0068649D"/>
    <w:rsid w:val="00693C9A"/>
    <w:rsid w:val="006957C3"/>
    <w:rsid w:val="00696619"/>
    <w:rsid w:val="006966D2"/>
    <w:rsid w:val="00697D86"/>
    <w:rsid w:val="006A0828"/>
    <w:rsid w:val="006A271E"/>
    <w:rsid w:val="006A3699"/>
    <w:rsid w:val="006A40F8"/>
    <w:rsid w:val="006A4C25"/>
    <w:rsid w:val="006A4FC2"/>
    <w:rsid w:val="006A6033"/>
    <w:rsid w:val="006A6585"/>
    <w:rsid w:val="006A6BE3"/>
    <w:rsid w:val="006B05AB"/>
    <w:rsid w:val="006B0E66"/>
    <w:rsid w:val="006B1877"/>
    <w:rsid w:val="006B4ADF"/>
    <w:rsid w:val="006B4F5E"/>
    <w:rsid w:val="006B7580"/>
    <w:rsid w:val="006C0F82"/>
    <w:rsid w:val="006C15FB"/>
    <w:rsid w:val="006C1746"/>
    <w:rsid w:val="006C2C52"/>
    <w:rsid w:val="006C3682"/>
    <w:rsid w:val="006C4562"/>
    <w:rsid w:val="006C4D8F"/>
    <w:rsid w:val="006C5E9D"/>
    <w:rsid w:val="006C6A7E"/>
    <w:rsid w:val="006C6E36"/>
    <w:rsid w:val="006C77CE"/>
    <w:rsid w:val="006C7E06"/>
    <w:rsid w:val="006D0D90"/>
    <w:rsid w:val="006D200E"/>
    <w:rsid w:val="006D49DB"/>
    <w:rsid w:val="006E0AB9"/>
    <w:rsid w:val="006E0CE5"/>
    <w:rsid w:val="006E734F"/>
    <w:rsid w:val="006E758F"/>
    <w:rsid w:val="006E774A"/>
    <w:rsid w:val="006F06AD"/>
    <w:rsid w:val="006F0DA4"/>
    <w:rsid w:val="006F114C"/>
    <w:rsid w:val="006F3272"/>
    <w:rsid w:val="00704332"/>
    <w:rsid w:val="00706461"/>
    <w:rsid w:val="00706F20"/>
    <w:rsid w:val="00706FCD"/>
    <w:rsid w:val="0071044D"/>
    <w:rsid w:val="0071057D"/>
    <w:rsid w:val="00710D2C"/>
    <w:rsid w:val="007115B3"/>
    <w:rsid w:val="00712F57"/>
    <w:rsid w:val="0071342B"/>
    <w:rsid w:val="0071373A"/>
    <w:rsid w:val="00713B64"/>
    <w:rsid w:val="00714640"/>
    <w:rsid w:val="0071708F"/>
    <w:rsid w:val="00717992"/>
    <w:rsid w:val="00721EEB"/>
    <w:rsid w:val="007232C7"/>
    <w:rsid w:val="007238DB"/>
    <w:rsid w:val="007239F7"/>
    <w:rsid w:val="00723D6C"/>
    <w:rsid w:val="00724530"/>
    <w:rsid w:val="00727EB1"/>
    <w:rsid w:val="0073089A"/>
    <w:rsid w:val="007311D2"/>
    <w:rsid w:val="00731C71"/>
    <w:rsid w:val="00732876"/>
    <w:rsid w:val="00732B27"/>
    <w:rsid w:val="0073343F"/>
    <w:rsid w:val="00741467"/>
    <w:rsid w:val="00741740"/>
    <w:rsid w:val="007431BC"/>
    <w:rsid w:val="00744E0E"/>
    <w:rsid w:val="00746310"/>
    <w:rsid w:val="00746925"/>
    <w:rsid w:val="007470B2"/>
    <w:rsid w:val="00747A21"/>
    <w:rsid w:val="00750DAA"/>
    <w:rsid w:val="00750E92"/>
    <w:rsid w:val="00751664"/>
    <w:rsid w:val="007520AE"/>
    <w:rsid w:val="00755269"/>
    <w:rsid w:val="00755E71"/>
    <w:rsid w:val="00757298"/>
    <w:rsid w:val="007579CB"/>
    <w:rsid w:val="00757C8A"/>
    <w:rsid w:val="00762ACE"/>
    <w:rsid w:val="0076311C"/>
    <w:rsid w:val="007635F1"/>
    <w:rsid w:val="00763B77"/>
    <w:rsid w:val="00763F80"/>
    <w:rsid w:val="007645AF"/>
    <w:rsid w:val="007659CA"/>
    <w:rsid w:val="00767127"/>
    <w:rsid w:val="007708B1"/>
    <w:rsid w:val="00773F48"/>
    <w:rsid w:val="00774F07"/>
    <w:rsid w:val="0077537F"/>
    <w:rsid w:val="00776D6F"/>
    <w:rsid w:val="00777B8F"/>
    <w:rsid w:val="007819BF"/>
    <w:rsid w:val="00782C08"/>
    <w:rsid w:val="00785B73"/>
    <w:rsid w:val="00790118"/>
    <w:rsid w:val="00790701"/>
    <w:rsid w:val="0079140B"/>
    <w:rsid w:val="00791F17"/>
    <w:rsid w:val="00794A69"/>
    <w:rsid w:val="00795C23"/>
    <w:rsid w:val="007A279B"/>
    <w:rsid w:val="007A30B1"/>
    <w:rsid w:val="007A4380"/>
    <w:rsid w:val="007A61E6"/>
    <w:rsid w:val="007A6373"/>
    <w:rsid w:val="007A7CB8"/>
    <w:rsid w:val="007B0175"/>
    <w:rsid w:val="007B205F"/>
    <w:rsid w:val="007B27C8"/>
    <w:rsid w:val="007B378E"/>
    <w:rsid w:val="007B4187"/>
    <w:rsid w:val="007B55E9"/>
    <w:rsid w:val="007B7179"/>
    <w:rsid w:val="007B7831"/>
    <w:rsid w:val="007C0DC2"/>
    <w:rsid w:val="007C0F93"/>
    <w:rsid w:val="007C1ACB"/>
    <w:rsid w:val="007C2E73"/>
    <w:rsid w:val="007C4FE5"/>
    <w:rsid w:val="007C64B0"/>
    <w:rsid w:val="007D137D"/>
    <w:rsid w:val="007D219F"/>
    <w:rsid w:val="007D3543"/>
    <w:rsid w:val="007D3705"/>
    <w:rsid w:val="007D59CE"/>
    <w:rsid w:val="007E1A50"/>
    <w:rsid w:val="007E2C55"/>
    <w:rsid w:val="007E3094"/>
    <w:rsid w:val="007E3649"/>
    <w:rsid w:val="007E581D"/>
    <w:rsid w:val="007F0528"/>
    <w:rsid w:val="007F136C"/>
    <w:rsid w:val="007F169D"/>
    <w:rsid w:val="007F264D"/>
    <w:rsid w:val="007F33B9"/>
    <w:rsid w:val="007F4182"/>
    <w:rsid w:val="007F4743"/>
    <w:rsid w:val="007F78F8"/>
    <w:rsid w:val="00802705"/>
    <w:rsid w:val="00803234"/>
    <w:rsid w:val="00804280"/>
    <w:rsid w:val="00805149"/>
    <w:rsid w:val="008056D8"/>
    <w:rsid w:val="00806CBB"/>
    <w:rsid w:val="008115F2"/>
    <w:rsid w:val="00813B0A"/>
    <w:rsid w:val="008169A3"/>
    <w:rsid w:val="00816B62"/>
    <w:rsid w:val="00820646"/>
    <w:rsid w:val="008213BB"/>
    <w:rsid w:val="00821FCB"/>
    <w:rsid w:val="0082440B"/>
    <w:rsid w:val="008252B8"/>
    <w:rsid w:val="008265A1"/>
    <w:rsid w:val="008272E6"/>
    <w:rsid w:val="008274B2"/>
    <w:rsid w:val="008301BC"/>
    <w:rsid w:val="00832386"/>
    <w:rsid w:val="008329E1"/>
    <w:rsid w:val="00832EEA"/>
    <w:rsid w:val="0083317C"/>
    <w:rsid w:val="00834547"/>
    <w:rsid w:val="00834833"/>
    <w:rsid w:val="008359B9"/>
    <w:rsid w:val="00837F03"/>
    <w:rsid w:val="008405FA"/>
    <w:rsid w:val="0084359B"/>
    <w:rsid w:val="00843930"/>
    <w:rsid w:val="00847A5A"/>
    <w:rsid w:val="0085003D"/>
    <w:rsid w:val="00850E64"/>
    <w:rsid w:val="00851E8C"/>
    <w:rsid w:val="00852257"/>
    <w:rsid w:val="00852845"/>
    <w:rsid w:val="00854FE2"/>
    <w:rsid w:val="00856FAD"/>
    <w:rsid w:val="00860363"/>
    <w:rsid w:val="008617AB"/>
    <w:rsid w:val="008644FE"/>
    <w:rsid w:val="00864603"/>
    <w:rsid w:val="0086660A"/>
    <w:rsid w:val="00866D11"/>
    <w:rsid w:val="008707A7"/>
    <w:rsid w:val="00870B90"/>
    <w:rsid w:val="008766F9"/>
    <w:rsid w:val="008779B5"/>
    <w:rsid w:val="00885384"/>
    <w:rsid w:val="008861FE"/>
    <w:rsid w:val="00887352"/>
    <w:rsid w:val="0088735C"/>
    <w:rsid w:val="008874D3"/>
    <w:rsid w:val="00887EDB"/>
    <w:rsid w:val="0089097F"/>
    <w:rsid w:val="00891588"/>
    <w:rsid w:val="00894E57"/>
    <w:rsid w:val="00895609"/>
    <w:rsid w:val="00896D61"/>
    <w:rsid w:val="008A02EA"/>
    <w:rsid w:val="008A11D7"/>
    <w:rsid w:val="008A3198"/>
    <w:rsid w:val="008A4F71"/>
    <w:rsid w:val="008A5A72"/>
    <w:rsid w:val="008A7941"/>
    <w:rsid w:val="008B0866"/>
    <w:rsid w:val="008B0F58"/>
    <w:rsid w:val="008B11FF"/>
    <w:rsid w:val="008B187F"/>
    <w:rsid w:val="008B1DD9"/>
    <w:rsid w:val="008B2752"/>
    <w:rsid w:val="008B40A0"/>
    <w:rsid w:val="008B53E5"/>
    <w:rsid w:val="008C04CA"/>
    <w:rsid w:val="008C123F"/>
    <w:rsid w:val="008C43A4"/>
    <w:rsid w:val="008C6021"/>
    <w:rsid w:val="008D2C7A"/>
    <w:rsid w:val="008D3C0A"/>
    <w:rsid w:val="008D3E9E"/>
    <w:rsid w:val="008D4485"/>
    <w:rsid w:val="008D796B"/>
    <w:rsid w:val="008E1D09"/>
    <w:rsid w:val="008E226A"/>
    <w:rsid w:val="008E325B"/>
    <w:rsid w:val="008E5E0A"/>
    <w:rsid w:val="008E6070"/>
    <w:rsid w:val="008E69B9"/>
    <w:rsid w:val="008F091D"/>
    <w:rsid w:val="008F22F5"/>
    <w:rsid w:val="008F4938"/>
    <w:rsid w:val="008F5A50"/>
    <w:rsid w:val="008F5BCF"/>
    <w:rsid w:val="008F72A6"/>
    <w:rsid w:val="008F73BC"/>
    <w:rsid w:val="008F7F4C"/>
    <w:rsid w:val="00900114"/>
    <w:rsid w:val="0090093B"/>
    <w:rsid w:val="009020F9"/>
    <w:rsid w:val="009035EC"/>
    <w:rsid w:val="00904822"/>
    <w:rsid w:val="00906609"/>
    <w:rsid w:val="00906932"/>
    <w:rsid w:val="00907976"/>
    <w:rsid w:val="00907F60"/>
    <w:rsid w:val="00910833"/>
    <w:rsid w:val="009109F7"/>
    <w:rsid w:val="009110D9"/>
    <w:rsid w:val="00911873"/>
    <w:rsid w:val="00915B49"/>
    <w:rsid w:val="00916247"/>
    <w:rsid w:val="009168F9"/>
    <w:rsid w:val="00920487"/>
    <w:rsid w:val="0092056C"/>
    <w:rsid w:val="00920D4F"/>
    <w:rsid w:val="00920E35"/>
    <w:rsid w:val="00923730"/>
    <w:rsid w:val="00924CDD"/>
    <w:rsid w:val="0092578A"/>
    <w:rsid w:val="00931D29"/>
    <w:rsid w:val="00931D8E"/>
    <w:rsid w:val="0093207B"/>
    <w:rsid w:val="00932E6B"/>
    <w:rsid w:val="0093373F"/>
    <w:rsid w:val="00933D4A"/>
    <w:rsid w:val="0093734B"/>
    <w:rsid w:val="0093757B"/>
    <w:rsid w:val="00940D39"/>
    <w:rsid w:val="009433F5"/>
    <w:rsid w:val="00944864"/>
    <w:rsid w:val="00945B0A"/>
    <w:rsid w:val="009479F5"/>
    <w:rsid w:val="00952F63"/>
    <w:rsid w:val="009559F7"/>
    <w:rsid w:val="00955D00"/>
    <w:rsid w:val="00956162"/>
    <w:rsid w:val="00956BE6"/>
    <w:rsid w:val="009571EE"/>
    <w:rsid w:val="00960F9A"/>
    <w:rsid w:val="00962B78"/>
    <w:rsid w:val="00964608"/>
    <w:rsid w:val="00964FCA"/>
    <w:rsid w:val="00967A7B"/>
    <w:rsid w:val="00970375"/>
    <w:rsid w:val="009704EB"/>
    <w:rsid w:val="00970971"/>
    <w:rsid w:val="0097132B"/>
    <w:rsid w:val="009727AE"/>
    <w:rsid w:val="00973BCF"/>
    <w:rsid w:val="00975607"/>
    <w:rsid w:val="00975981"/>
    <w:rsid w:val="00980028"/>
    <w:rsid w:val="0098204F"/>
    <w:rsid w:val="009848E8"/>
    <w:rsid w:val="00984CC4"/>
    <w:rsid w:val="00985710"/>
    <w:rsid w:val="009902CD"/>
    <w:rsid w:val="009914E3"/>
    <w:rsid w:val="00991F33"/>
    <w:rsid w:val="00992485"/>
    <w:rsid w:val="00997E8C"/>
    <w:rsid w:val="009A0EBC"/>
    <w:rsid w:val="009A2614"/>
    <w:rsid w:val="009A2F4B"/>
    <w:rsid w:val="009A6B2D"/>
    <w:rsid w:val="009A6F20"/>
    <w:rsid w:val="009A7EC4"/>
    <w:rsid w:val="009A7EE4"/>
    <w:rsid w:val="009B0B89"/>
    <w:rsid w:val="009B1301"/>
    <w:rsid w:val="009B21B5"/>
    <w:rsid w:val="009B3494"/>
    <w:rsid w:val="009B41AC"/>
    <w:rsid w:val="009B4770"/>
    <w:rsid w:val="009B5C40"/>
    <w:rsid w:val="009B5C56"/>
    <w:rsid w:val="009C006F"/>
    <w:rsid w:val="009C2106"/>
    <w:rsid w:val="009C389C"/>
    <w:rsid w:val="009C418A"/>
    <w:rsid w:val="009C5E35"/>
    <w:rsid w:val="009C6E65"/>
    <w:rsid w:val="009C6FC0"/>
    <w:rsid w:val="009D1CAA"/>
    <w:rsid w:val="009D253C"/>
    <w:rsid w:val="009D320B"/>
    <w:rsid w:val="009D34A1"/>
    <w:rsid w:val="009D7226"/>
    <w:rsid w:val="009D7E1E"/>
    <w:rsid w:val="009E13A5"/>
    <w:rsid w:val="009E1E98"/>
    <w:rsid w:val="009E2CE7"/>
    <w:rsid w:val="009E60CB"/>
    <w:rsid w:val="009E6884"/>
    <w:rsid w:val="009E6F43"/>
    <w:rsid w:val="009F3D7D"/>
    <w:rsid w:val="009F4559"/>
    <w:rsid w:val="009F4CAD"/>
    <w:rsid w:val="009F5911"/>
    <w:rsid w:val="009F5AB7"/>
    <w:rsid w:val="009F5F2F"/>
    <w:rsid w:val="009F7A30"/>
    <w:rsid w:val="00A005D3"/>
    <w:rsid w:val="00A00FA9"/>
    <w:rsid w:val="00A02057"/>
    <w:rsid w:val="00A02146"/>
    <w:rsid w:val="00A0264A"/>
    <w:rsid w:val="00A02BEE"/>
    <w:rsid w:val="00A03DBF"/>
    <w:rsid w:val="00A05817"/>
    <w:rsid w:val="00A0586D"/>
    <w:rsid w:val="00A064B5"/>
    <w:rsid w:val="00A10472"/>
    <w:rsid w:val="00A12AAC"/>
    <w:rsid w:val="00A13980"/>
    <w:rsid w:val="00A14065"/>
    <w:rsid w:val="00A14C5F"/>
    <w:rsid w:val="00A162F3"/>
    <w:rsid w:val="00A1706F"/>
    <w:rsid w:val="00A20189"/>
    <w:rsid w:val="00A219E5"/>
    <w:rsid w:val="00A24C1F"/>
    <w:rsid w:val="00A25941"/>
    <w:rsid w:val="00A26F2E"/>
    <w:rsid w:val="00A27561"/>
    <w:rsid w:val="00A30641"/>
    <w:rsid w:val="00A32A64"/>
    <w:rsid w:val="00A340E2"/>
    <w:rsid w:val="00A40EB2"/>
    <w:rsid w:val="00A418A2"/>
    <w:rsid w:val="00A429A5"/>
    <w:rsid w:val="00A43A29"/>
    <w:rsid w:val="00A44677"/>
    <w:rsid w:val="00A461BF"/>
    <w:rsid w:val="00A50CD1"/>
    <w:rsid w:val="00A52706"/>
    <w:rsid w:val="00A52B9C"/>
    <w:rsid w:val="00A541B5"/>
    <w:rsid w:val="00A555A8"/>
    <w:rsid w:val="00A56DAB"/>
    <w:rsid w:val="00A574B5"/>
    <w:rsid w:val="00A578D2"/>
    <w:rsid w:val="00A60649"/>
    <w:rsid w:val="00A620C9"/>
    <w:rsid w:val="00A62D05"/>
    <w:rsid w:val="00A63036"/>
    <w:rsid w:val="00A64B8E"/>
    <w:rsid w:val="00A65A17"/>
    <w:rsid w:val="00A66559"/>
    <w:rsid w:val="00A66D78"/>
    <w:rsid w:val="00A701C1"/>
    <w:rsid w:val="00A704D2"/>
    <w:rsid w:val="00A724A0"/>
    <w:rsid w:val="00A734E5"/>
    <w:rsid w:val="00A73A02"/>
    <w:rsid w:val="00A76F4A"/>
    <w:rsid w:val="00A77FFD"/>
    <w:rsid w:val="00A80A6E"/>
    <w:rsid w:val="00A80DB4"/>
    <w:rsid w:val="00A8350B"/>
    <w:rsid w:val="00A849DB"/>
    <w:rsid w:val="00A85C9C"/>
    <w:rsid w:val="00A86A38"/>
    <w:rsid w:val="00A877C4"/>
    <w:rsid w:val="00A902A2"/>
    <w:rsid w:val="00A905C8"/>
    <w:rsid w:val="00A9242B"/>
    <w:rsid w:val="00A927E7"/>
    <w:rsid w:val="00A9462E"/>
    <w:rsid w:val="00A94FBB"/>
    <w:rsid w:val="00A95A9F"/>
    <w:rsid w:val="00A95D06"/>
    <w:rsid w:val="00A96E7F"/>
    <w:rsid w:val="00AB23C0"/>
    <w:rsid w:val="00AB2F99"/>
    <w:rsid w:val="00AB3DD5"/>
    <w:rsid w:val="00AB43A9"/>
    <w:rsid w:val="00AB5BC9"/>
    <w:rsid w:val="00AB6127"/>
    <w:rsid w:val="00AB6332"/>
    <w:rsid w:val="00AC0CA3"/>
    <w:rsid w:val="00AC0FCD"/>
    <w:rsid w:val="00AC123C"/>
    <w:rsid w:val="00AC2241"/>
    <w:rsid w:val="00AC37EC"/>
    <w:rsid w:val="00AC5730"/>
    <w:rsid w:val="00AC6112"/>
    <w:rsid w:val="00AC9E2F"/>
    <w:rsid w:val="00AD005C"/>
    <w:rsid w:val="00AD100A"/>
    <w:rsid w:val="00AD17AD"/>
    <w:rsid w:val="00AD18D5"/>
    <w:rsid w:val="00AD2415"/>
    <w:rsid w:val="00AD47EF"/>
    <w:rsid w:val="00AD50AF"/>
    <w:rsid w:val="00AD6801"/>
    <w:rsid w:val="00AE0104"/>
    <w:rsid w:val="00AE0752"/>
    <w:rsid w:val="00AE3FBE"/>
    <w:rsid w:val="00AE4B17"/>
    <w:rsid w:val="00AF4431"/>
    <w:rsid w:val="00AF6A40"/>
    <w:rsid w:val="00AF740A"/>
    <w:rsid w:val="00AF77FF"/>
    <w:rsid w:val="00B03418"/>
    <w:rsid w:val="00B0399B"/>
    <w:rsid w:val="00B04967"/>
    <w:rsid w:val="00B05150"/>
    <w:rsid w:val="00B05190"/>
    <w:rsid w:val="00B05B83"/>
    <w:rsid w:val="00B05F21"/>
    <w:rsid w:val="00B11A67"/>
    <w:rsid w:val="00B11BEF"/>
    <w:rsid w:val="00B1251A"/>
    <w:rsid w:val="00B129CB"/>
    <w:rsid w:val="00B12F0B"/>
    <w:rsid w:val="00B15C52"/>
    <w:rsid w:val="00B16267"/>
    <w:rsid w:val="00B177AA"/>
    <w:rsid w:val="00B22A38"/>
    <w:rsid w:val="00B22A4F"/>
    <w:rsid w:val="00B23CDB"/>
    <w:rsid w:val="00B258E3"/>
    <w:rsid w:val="00B25CEA"/>
    <w:rsid w:val="00B3000E"/>
    <w:rsid w:val="00B31A34"/>
    <w:rsid w:val="00B3214E"/>
    <w:rsid w:val="00B326F2"/>
    <w:rsid w:val="00B33937"/>
    <w:rsid w:val="00B35FCA"/>
    <w:rsid w:val="00B37CA8"/>
    <w:rsid w:val="00B40012"/>
    <w:rsid w:val="00B444B4"/>
    <w:rsid w:val="00B451F2"/>
    <w:rsid w:val="00B474EF"/>
    <w:rsid w:val="00B50C2B"/>
    <w:rsid w:val="00B51FB6"/>
    <w:rsid w:val="00B5219E"/>
    <w:rsid w:val="00B547BB"/>
    <w:rsid w:val="00B56583"/>
    <w:rsid w:val="00B57555"/>
    <w:rsid w:val="00B60410"/>
    <w:rsid w:val="00B61EAF"/>
    <w:rsid w:val="00B636AC"/>
    <w:rsid w:val="00B6375C"/>
    <w:rsid w:val="00B640C7"/>
    <w:rsid w:val="00B643B6"/>
    <w:rsid w:val="00B64AD5"/>
    <w:rsid w:val="00B67183"/>
    <w:rsid w:val="00B736C2"/>
    <w:rsid w:val="00B74B00"/>
    <w:rsid w:val="00B75B74"/>
    <w:rsid w:val="00B77644"/>
    <w:rsid w:val="00B8144E"/>
    <w:rsid w:val="00B819E4"/>
    <w:rsid w:val="00B836EC"/>
    <w:rsid w:val="00B875A6"/>
    <w:rsid w:val="00B905CC"/>
    <w:rsid w:val="00B921DB"/>
    <w:rsid w:val="00B933BD"/>
    <w:rsid w:val="00B96AAB"/>
    <w:rsid w:val="00BA0AF0"/>
    <w:rsid w:val="00BA0DDD"/>
    <w:rsid w:val="00BA0ED6"/>
    <w:rsid w:val="00BA29E4"/>
    <w:rsid w:val="00BA4259"/>
    <w:rsid w:val="00BA5091"/>
    <w:rsid w:val="00BA6FCE"/>
    <w:rsid w:val="00BA70C0"/>
    <w:rsid w:val="00BB4DF4"/>
    <w:rsid w:val="00BB5DB8"/>
    <w:rsid w:val="00BB64AB"/>
    <w:rsid w:val="00BC0732"/>
    <w:rsid w:val="00BC16C0"/>
    <w:rsid w:val="00BC1DBC"/>
    <w:rsid w:val="00BC27D2"/>
    <w:rsid w:val="00BC4B41"/>
    <w:rsid w:val="00BC4F17"/>
    <w:rsid w:val="00BC578B"/>
    <w:rsid w:val="00BC6ADD"/>
    <w:rsid w:val="00BC72CE"/>
    <w:rsid w:val="00BC778A"/>
    <w:rsid w:val="00BD0200"/>
    <w:rsid w:val="00BD02F8"/>
    <w:rsid w:val="00BD1C54"/>
    <w:rsid w:val="00BD1EBC"/>
    <w:rsid w:val="00BD4293"/>
    <w:rsid w:val="00BD483D"/>
    <w:rsid w:val="00BD4AD8"/>
    <w:rsid w:val="00BD4E9C"/>
    <w:rsid w:val="00BD5275"/>
    <w:rsid w:val="00BD654A"/>
    <w:rsid w:val="00BD702C"/>
    <w:rsid w:val="00BE0D56"/>
    <w:rsid w:val="00BE33FD"/>
    <w:rsid w:val="00BE4CF4"/>
    <w:rsid w:val="00BE4E3B"/>
    <w:rsid w:val="00BE52CC"/>
    <w:rsid w:val="00BE57A2"/>
    <w:rsid w:val="00BE5810"/>
    <w:rsid w:val="00BE5ABD"/>
    <w:rsid w:val="00BE6F77"/>
    <w:rsid w:val="00BF0160"/>
    <w:rsid w:val="00BF086E"/>
    <w:rsid w:val="00BF1746"/>
    <w:rsid w:val="00BF1AF3"/>
    <w:rsid w:val="00BF3C04"/>
    <w:rsid w:val="00BF482F"/>
    <w:rsid w:val="00BF6CEC"/>
    <w:rsid w:val="00BF72FE"/>
    <w:rsid w:val="00C0029A"/>
    <w:rsid w:val="00C00962"/>
    <w:rsid w:val="00C047E7"/>
    <w:rsid w:val="00C073F0"/>
    <w:rsid w:val="00C10159"/>
    <w:rsid w:val="00C10E78"/>
    <w:rsid w:val="00C11098"/>
    <w:rsid w:val="00C115EB"/>
    <w:rsid w:val="00C11AD4"/>
    <w:rsid w:val="00C121FD"/>
    <w:rsid w:val="00C124BB"/>
    <w:rsid w:val="00C14575"/>
    <w:rsid w:val="00C15918"/>
    <w:rsid w:val="00C16303"/>
    <w:rsid w:val="00C167B6"/>
    <w:rsid w:val="00C17F10"/>
    <w:rsid w:val="00C21E60"/>
    <w:rsid w:val="00C221E7"/>
    <w:rsid w:val="00C22A25"/>
    <w:rsid w:val="00C22D67"/>
    <w:rsid w:val="00C23564"/>
    <w:rsid w:val="00C23CC2"/>
    <w:rsid w:val="00C23D0A"/>
    <w:rsid w:val="00C24F8E"/>
    <w:rsid w:val="00C251AC"/>
    <w:rsid w:val="00C2697C"/>
    <w:rsid w:val="00C27777"/>
    <w:rsid w:val="00C30978"/>
    <w:rsid w:val="00C31A6C"/>
    <w:rsid w:val="00C31D02"/>
    <w:rsid w:val="00C35038"/>
    <w:rsid w:val="00C36E43"/>
    <w:rsid w:val="00C4209B"/>
    <w:rsid w:val="00C42DDC"/>
    <w:rsid w:val="00C436DA"/>
    <w:rsid w:val="00C445C0"/>
    <w:rsid w:val="00C44C53"/>
    <w:rsid w:val="00C4766D"/>
    <w:rsid w:val="00C5020D"/>
    <w:rsid w:val="00C50A74"/>
    <w:rsid w:val="00C50ED0"/>
    <w:rsid w:val="00C532A2"/>
    <w:rsid w:val="00C550A0"/>
    <w:rsid w:val="00C579EB"/>
    <w:rsid w:val="00C6059D"/>
    <w:rsid w:val="00C60AF6"/>
    <w:rsid w:val="00C6131A"/>
    <w:rsid w:val="00C616A1"/>
    <w:rsid w:val="00C62586"/>
    <w:rsid w:val="00C639F2"/>
    <w:rsid w:val="00C63AD7"/>
    <w:rsid w:val="00C63DA8"/>
    <w:rsid w:val="00C65ECF"/>
    <w:rsid w:val="00C66F69"/>
    <w:rsid w:val="00C73545"/>
    <w:rsid w:val="00C73789"/>
    <w:rsid w:val="00C74B7A"/>
    <w:rsid w:val="00C75820"/>
    <w:rsid w:val="00C76684"/>
    <w:rsid w:val="00C80444"/>
    <w:rsid w:val="00C82E7B"/>
    <w:rsid w:val="00C867BC"/>
    <w:rsid w:val="00C871CC"/>
    <w:rsid w:val="00C90E96"/>
    <w:rsid w:val="00C90EA5"/>
    <w:rsid w:val="00C91E3E"/>
    <w:rsid w:val="00C968F4"/>
    <w:rsid w:val="00CA0376"/>
    <w:rsid w:val="00CA0479"/>
    <w:rsid w:val="00CA1318"/>
    <w:rsid w:val="00CA20E5"/>
    <w:rsid w:val="00CA2EC8"/>
    <w:rsid w:val="00CA3490"/>
    <w:rsid w:val="00CA35C4"/>
    <w:rsid w:val="00CA3D13"/>
    <w:rsid w:val="00CA594D"/>
    <w:rsid w:val="00CB053D"/>
    <w:rsid w:val="00CB0D59"/>
    <w:rsid w:val="00CB241F"/>
    <w:rsid w:val="00CB3DE9"/>
    <w:rsid w:val="00CB58CF"/>
    <w:rsid w:val="00CB75C2"/>
    <w:rsid w:val="00CC15DB"/>
    <w:rsid w:val="00CC49C0"/>
    <w:rsid w:val="00CC4FC1"/>
    <w:rsid w:val="00CC561C"/>
    <w:rsid w:val="00CD11B8"/>
    <w:rsid w:val="00CD4697"/>
    <w:rsid w:val="00CD51E3"/>
    <w:rsid w:val="00CD57CF"/>
    <w:rsid w:val="00CE153F"/>
    <w:rsid w:val="00CE1FB4"/>
    <w:rsid w:val="00CE316D"/>
    <w:rsid w:val="00CE3D22"/>
    <w:rsid w:val="00CE5760"/>
    <w:rsid w:val="00CE6201"/>
    <w:rsid w:val="00CE6FA1"/>
    <w:rsid w:val="00CF0022"/>
    <w:rsid w:val="00CF0085"/>
    <w:rsid w:val="00CF0873"/>
    <w:rsid w:val="00CF25A1"/>
    <w:rsid w:val="00CF2631"/>
    <w:rsid w:val="00CF40F7"/>
    <w:rsid w:val="00CF44A4"/>
    <w:rsid w:val="00CF62D7"/>
    <w:rsid w:val="00CF635C"/>
    <w:rsid w:val="00D0014C"/>
    <w:rsid w:val="00D005C7"/>
    <w:rsid w:val="00D0143B"/>
    <w:rsid w:val="00D0305B"/>
    <w:rsid w:val="00D034F3"/>
    <w:rsid w:val="00D038C2"/>
    <w:rsid w:val="00D04A62"/>
    <w:rsid w:val="00D053FC"/>
    <w:rsid w:val="00D072A3"/>
    <w:rsid w:val="00D0735C"/>
    <w:rsid w:val="00D07763"/>
    <w:rsid w:val="00D10C68"/>
    <w:rsid w:val="00D116B6"/>
    <w:rsid w:val="00D151B0"/>
    <w:rsid w:val="00D16038"/>
    <w:rsid w:val="00D16B06"/>
    <w:rsid w:val="00D16F12"/>
    <w:rsid w:val="00D17E9F"/>
    <w:rsid w:val="00D20C12"/>
    <w:rsid w:val="00D210B6"/>
    <w:rsid w:val="00D213F2"/>
    <w:rsid w:val="00D23462"/>
    <w:rsid w:val="00D242BE"/>
    <w:rsid w:val="00D25FC9"/>
    <w:rsid w:val="00D2608D"/>
    <w:rsid w:val="00D260E6"/>
    <w:rsid w:val="00D268F5"/>
    <w:rsid w:val="00D27B98"/>
    <w:rsid w:val="00D32686"/>
    <w:rsid w:val="00D34EC9"/>
    <w:rsid w:val="00D36CFE"/>
    <w:rsid w:val="00D4098E"/>
    <w:rsid w:val="00D41994"/>
    <w:rsid w:val="00D43275"/>
    <w:rsid w:val="00D50729"/>
    <w:rsid w:val="00D521BA"/>
    <w:rsid w:val="00D52C8D"/>
    <w:rsid w:val="00D53CC1"/>
    <w:rsid w:val="00D547D0"/>
    <w:rsid w:val="00D54AAE"/>
    <w:rsid w:val="00D55BE7"/>
    <w:rsid w:val="00D60795"/>
    <w:rsid w:val="00D61122"/>
    <w:rsid w:val="00D61F81"/>
    <w:rsid w:val="00D65676"/>
    <w:rsid w:val="00D665CD"/>
    <w:rsid w:val="00D6722F"/>
    <w:rsid w:val="00D70312"/>
    <w:rsid w:val="00D70DE3"/>
    <w:rsid w:val="00D70F76"/>
    <w:rsid w:val="00D7370E"/>
    <w:rsid w:val="00D75C85"/>
    <w:rsid w:val="00D76371"/>
    <w:rsid w:val="00D81F66"/>
    <w:rsid w:val="00D85446"/>
    <w:rsid w:val="00D85646"/>
    <w:rsid w:val="00D85CFC"/>
    <w:rsid w:val="00D86023"/>
    <w:rsid w:val="00D87AA5"/>
    <w:rsid w:val="00D91E60"/>
    <w:rsid w:val="00D93FB4"/>
    <w:rsid w:val="00D94522"/>
    <w:rsid w:val="00D95CFA"/>
    <w:rsid w:val="00D96585"/>
    <w:rsid w:val="00D97D95"/>
    <w:rsid w:val="00DA0F73"/>
    <w:rsid w:val="00DA38D3"/>
    <w:rsid w:val="00DA5C32"/>
    <w:rsid w:val="00DB0B63"/>
    <w:rsid w:val="00DB59A7"/>
    <w:rsid w:val="00DB603B"/>
    <w:rsid w:val="00DB6D0D"/>
    <w:rsid w:val="00DB6E87"/>
    <w:rsid w:val="00DB700E"/>
    <w:rsid w:val="00DB7144"/>
    <w:rsid w:val="00DC10E1"/>
    <w:rsid w:val="00DC3100"/>
    <w:rsid w:val="00DC3735"/>
    <w:rsid w:val="00DC47CE"/>
    <w:rsid w:val="00DC58DD"/>
    <w:rsid w:val="00DC7292"/>
    <w:rsid w:val="00DD069F"/>
    <w:rsid w:val="00DD20F6"/>
    <w:rsid w:val="00DD2BEF"/>
    <w:rsid w:val="00DD4F95"/>
    <w:rsid w:val="00DE002A"/>
    <w:rsid w:val="00DE2303"/>
    <w:rsid w:val="00DE3CA7"/>
    <w:rsid w:val="00DE4456"/>
    <w:rsid w:val="00DE4926"/>
    <w:rsid w:val="00DE566D"/>
    <w:rsid w:val="00DE6D13"/>
    <w:rsid w:val="00DE7EBA"/>
    <w:rsid w:val="00DF5098"/>
    <w:rsid w:val="00DF674F"/>
    <w:rsid w:val="00DF747E"/>
    <w:rsid w:val="00DF7518"/>
    <w:rsid w:val="00E0167F"/>
    <w:rsid w:val="00E01743"/>
    <w:rsid w:val="00E04C0C"/>
    <w:rsid w:val="00E0504D"/>
    <w:rsid w:val="00E06064"/>
    <w:rsid w:val="00E06A06"/>
    <w:rsid w:val="00E07CED"/>
    <w:rsid w:val="00E11B8C"/>
    <w:rsid w:val="00E13A66"/>
    <w:rsid w:val="00E14321"/>
    <w:rsid w:val="00E14C27"/>
    <w:rsid w:val="00E15B4B"/>
    <w:rsid w:val="00E16C88"/>
    <w:rsid w:val="00E22B3A"/>
    <w:rsid w:val="00E23521"/>
    <w:rsid w:val="00E240E9"/>
    <w:rsid w:val="00E2423C"/>
    <w:rsid w:val="00E258CB"/>
    <w:rsid w:val="00E2739A"/>
    <w:rsid w:val="00E27A13"/>
    <w:rsid w:val="00E27FB6"/>
    <w:rsid w:val="00E30101"/>
    <w:rsid w:val="00E30669"/>
    <w:rsid w:val="00E31146"/>
    <w:rsid w:val="00E31662"/>
    <w:rsid w:val="00E31A15"/>
    <w:rsid w:val="00E32C4B"/>
    <w:rsid w:val="00E34FEC"/>
    <w:rsid w:val="00E352E3"/>
    <w:rsid w:val="00E3566E"/>
    <w:rsid w:val="00E359C6"/>
    <w:rsid w:val="00E4007F"/>
    <w:rsid w:val="00E4410E"/>
    <w:rsid w:val="00E44764"/>
    <w:rsid w:val="00E44DE0"/>
    <w:rsid w:val="00E457BB"/>
    <w:rsid w:val="00E47428"/>
    <w:rsid w:val="00E5446C"/>
    <w:rsid w:val="00E565B8"/>
    <w:rsid w:val="00E56B98"/>
    <w:rsid w:val="00E576BF"/>
    <w:rsid w:val="00E635F8"/>
    <w:rsid w:val="00E65408"/>
    <w:rsid w:val="00E65FA9"/>
    <w:rsid w:val="00E66DE1"/>
    <w:rsid w:val="00E70F6B"/>
    <w:rsid w:val="00E71302"/>
    <w:rsid w:val="00E7176D"/>
    <w:rsid w:val="00E71945"/>
    <w:rsid w:val="00E72814"/>
    <w:rsid w:val="00E73D12"/>
    <w:rsid w:val="00E73E71"/>
    <w:rsid w:val="00E741F7"/>
    <w:rsid w:val="00E8026A"/>
    <w:rsid w:val="00E82434"/>
    <w:rsid w:val="00E8282D"/>
    <w:rsid w:val="00E82E33"/>
    <w:rsid w:val="00E8319E"/>
    <w:rsid w:val="00E840CD"/>
    <w:rsid w:val="00E84F1A"/>
    <w:rsid w:val="00E851DF"/>
    <w:rsid w:val="00E916DF"/>
    <w:rsid w:val="00E940F2"/>
    <w:rsid w:val="00E95675"/>
    <w:rsid w:val="00E9609B"/>
    <w:rsid w:val="00E975E7"/>
    <w:rsid w:val="00E97DAF"/>
    <w:rsid w:val="00EA0011"/>
    <w:rsid w:val="00EA1543"/>
    <w:rsid w:val="00EA29EB"/>
    <w:rsid w:val="00EA3068"/>
    <w:rsid w:val="00EA3BE5"/>
    <w:rsid w:val="00EA4778"/>
    <w:rsid w:val="00EA5833"/>
    <w:rsid w:val="00EB080B"/>
    <w:rsid w:val="00EB0DA5"/>
    <w:rsid w:val="00EB1128"/>
    <w:rsid w:val="00EB167B"/>
    <w:rsid w:val="00EB36A8"/>
    <w:rsid w:val="00EB3862"/>
    <w:rsid w:val="00EB479A"/>
    <w:rsid w:val="00EB6460"/>
    <w:rsid w:val="00EB7601"/>
    <w:rsid w:val="00EB76E3"/>
    <w:rsid w:val="00EB79E4"/>
    <w:rsid w:val="00EC0EBE"/>
    <w:rsid w:val="00EC2699"/>
    <w:rsid w:val="00EC3DCF"/>
    <w:rsid w:val="00EC7846"/>
    <w:rsid w:val="00ED22E9"/>
    <w:rsid w:val="00ED4C9B"/>
    <w:rsid w:val="00ED5C94"/>
    <w:rsid w:val="00ED75AC"/>
    <w:rsid w:val="00ED79CD"/>
    <w:rsid w:val="00EE138C"/>
    <w:rsid w:val="00EE412C"/>
    <w:rsid w:val="00EE5290"/>
    <w:rsid w:val="00EE5625"/>
    <w:rsid w:val="00EF09CC"/>
    <w:rsid w:val="00EF447D"/>
    <w:rsid w:val="00EF5597"/>
    <w:rsid w:val="00F01659"/>
    <w:rsid w:val="00F02BE6"/>
    <w:rsid w:val="00F03CB0"/>
    <w:rsid w:val="00F072D0"/>
    <w:rsid w:val="00F12976"/>
    <w:rsid w:val="00F13282"/>
    <w:rsid w:val="00F13ED5"/>
    <w:rsid w:val="00F144BA"/>
    <w:rsid w:val="00F16865"/>
    <w:rsid w:val="00F22C88"/>
    <w:rsid w:val="00F2357A"/>
    <w:rsid w:val="00F276D8"/>
    <w:rsid w:val="00F27F65"/>
    <w:rsid w:val="00F304C5"/>
    <w:rsid w:val="00F304E6"/>
    <w:rsid w:val="00F30646"/>
    <w:rsid w:val="00F30BE4"/>
    <w:rsid w:val="00F33CE8"/>
    <w:rsid w:val="00F34B65"/>
    <w:rsid w:val="00F406F9"/>
    <w:rsid w:val="00F40831"/>
    <w:rsid w:val="00F4160D"/>
    <w:rsid w:val="00F424F2"/>
    <w:rsid w:val="00F45459"/>
    <w:rsid w:val="00F458B4"/>
    <w:rsid w:val="00F46402"/>
    <w:rsid w:val="00F465EE"/>
    <w:rsid w:val="00F4732B"/>
    <w:rsid w:val="00F51833"/>
    <w:rsid w:val="00F526F9"/>
    <w:rsid w:val="00F53AB6"/>
    <w:rsid w:val="00F54AAC"/>
    <w:rsid w:val="00F5775C"/>
    <w:rsid w:val="00F60BB8"/>
    <w:rsid w:val="00F61282"/>
    <w:rsid w:val="00F6276B"/>
    <w:rsid w:val="00F62D41"/>
    <w:rsid w:val="00F6399E"/>
    <w:rsid w:val="00F64F51"/>
    <w:rsid w:val="00F67458"/>
    <w:rsid w:val="00F70D74"/>
    <w:rsid w:val="00F713CD"/>
    <w:rsid w:val="00F7398A"/>
    <w:rsid w:val="00F73FC2"/>
    <w:rsid w:val="00F754A4"/>
    <w:rsid w:val="00F76167"/>
    <w:rsid w:val="00F77298"/>
    <w:rsid w:val="00F77741"/>
    <w:rsid w:val="00F80BB1"/>
    <w:rsid w:val="00F817E6"/>
    <w:rsid w:val="00F83F36"/>
    <w:rsid w:val="00F858E4"/>
    <w:rsid w:val="00F869AA"/>
    <w:rsid w:val="00F91AE0"/>
    <w:rsid w:val="00F91DB8"/>
    <w:rsid w:val="00F92138"/>
    <w:rsid w:val="00F92801"/>
    <w:rsid w:val="00F950DA"/>
    <w:rsid w:val="00F97279"/>
    <w:rsid w:val="00FA0BF4"/>
    <w:rsid w:val="00FA1C20"/>
    <w:rsid w:val="00FA7288"/>
    <w:rsid w:val="00FA74A0"/>
    <w:rsid w:val="00FB22AB"/>
    <w:rsid w:val="00FB4BBA"/>
    <w:rsid w:val="00FB4F39"/>
    <w:rsid w:val="00FB56AB"/>
    <w:rsid w:val="00FB6948"/>
    <w:rsid w:val="00FB7C7C"/>
    <w:rsid w:val="00FC1768"/>
    <w:rsid w:val="00FC225B"/>
    <w:rsid w:val="00FC5383"/>
    <w:rsid w:val="00FC573D"/>
    <w:rsid w:val="00FC5F63"/>
    <w:rsid w:val="00FC7465"/>
    <w:rsid w:val="00FC7C50"/>
    <w:rsid w:val="00FD0FD7"/>
    <w:rsid w:val="00FD25CF"/>
    <w:rsid w:val="00FD279F"/>
    <w:rsid w:val="00FD3D00"/>
    <w:rsid w:val="00FD6865"/>
    <w:rsid w:val="00FD7ED7"/>
    <w:rsid w:val="00FE133F"/>
    <w:rsid w:val="00FE1873"/>
    <w:rsid w:val="00FE2022"/>
    <w:rsid w:val="00FE441E"/>
    <w:rsid w:val="00FE44E8"/>
    <w:rsid w:val="00FE5A72"/>
    <w:rsid w:val="00FE6B48"/>
    <w:rsid w:val="00FF1878"/>
    <w:rsid w:val="00FF2844"/>
    <w:rsid w:val="00FF2CE0"/>
    <w:rsid w:val="00FF48F8"/>
    <w:rsid w:val="00FF5227"/>
    <w:rsid w:val="00FF5730"/>
    <w:rsid w:val="00FF6235"/>
    <w:rsid w:val="00FF6F8A"/>
    <w:rsid w:val="016C90E9"/>
    <w:rsid w:val="0170FE7B"/>
    <w:rsid w:val="017754B9"/>
    <w:rsid w:val="01AF2F2B"/>
    <w:rsid w:val="01D4CD30"/>
    <w:rsid w:val="02297918"/>
    <w:rsid w:val="022A97B6"/>
    <w:rsid w:val="028539A7"/>
    <w:rsid w:val="02DA62CE"/>
    <w:rsid w:val="032FB124"/>
    <w:rsid w:val="034F2E87"/>
    <w:rsid w:val="0424E2E3"/>
    <w:rsid w:val="0452A5DA"/>
    <w:rsid w:val="04E7E9B4"/>
    <w:rsid w:val="04EF3944"/>
    <w:rsid w:val="057B6CD5"/>
    <w:rsid w:val="05970837"/>
    <w:rsid w:val="05F1CBF5"/>
    <w:rsid w:val="069A2C5E"/>
    <w:rsid w:val="071160C2"/>
    <w:rsid w:val="0725914C"/>
    <w:rsid w:val="0757D3B5"/>
    <w:rsid w:val="0818065B"/>
    <w:rsid w:val="08815DD9"/>
    <w:rsid w:val="0892CA73"/>
    <w:rsid w:val="090E455F"/>
    <w:rsid w:val="09216320"/>
    <w:rsid w:val="0A43DBE5"/>
    <w:rsid w:val="0A5951ED"/>
    <w:rsid w:val="0A8796CD"/>
    <w:rsid w:val="0B003622"/>
    <w:rsid w:val="0B077F68"/>
    <w:rsid w:val="0B6FE345"/>
    <w:rsid w:val="0B7F368B"/>
    <w:rsid w:val="0B840E04"/>
    <w:rsid w:val="0BC1DE51"/>
    <w:rsid w:val="0C3F158E"/>
    <w:rsid w:val="0C76AC6D"/>
    <w:rsid w:val="0C7D39DD"/>
    <w:rsid w:val="0D5224A3"/>
    <w:rsid w:val="0D5C6DFE"/>
    <w:rsid w:val="0D6A78B3"/>
    <w:rsid w:val="0D81AD8E"/>
    <w:rsid w:val="0DDD257C"/>
    <w:rsid w:val="0DE16F90"/>
    <w:rsid w:val="0DF1F45F"/>
    <w:rsid w:val="0E174999"/>
    <w:rsid w:val="0E2CCB5A"/>
    <w:rsid w:val="0E66B374"/>
    <w:rsid w:val="0ED45628"/>
    <w:rsid w:val="0F1D235A"/>
    <w:rsid w:val="0FABA13C"/>
    <w:rsid w:val="0FB79468"/>
    <w:rsid w:val="0FFA27A9"/>
    <w:rsid w:val="10987A0D"/>
    <w:rsid w:val="109A3A30"/>
    <w:rsid w:val="11DF17EB"/>
    <w:rsid w:val="11E319B8"/>
    <w:rsid w:val="12080D9B"/>
    <w:rsid w:val="12BC29B7"/>
    <w:rsid w:val="12F02EFD"/>
    <w:rsid w:val="12F70912"/>
    <w:rsid w:val="1322797B"/>
    <w:rsid w:val="134FA8EE"/>
    <w:rsid w:val="13ECD517"/>
    <w:rsid w:val="1403B739"/>
    <w:rsid w:val="14A04D44"/>
    <w:rsid w:val="14F17B26"/>
    <w:rsid w:val="14F55822"/>
    <w:rsid w:val="15F75C0E"/>
    <w:rsid w:val="161C9CF0"/>
    <w:rsid w:val="1621A983"/>
    <w:rsid w:val="167F3B9F"/>
    <w:rsid w:val="16B84144"/>
    <w:rsid w:val="16ECA1F9"/>
    <w:rsid w:val="17CED7CF"/>
    <w:rsid w:val="18011A3C"/>
    <w:rsid w:val="1829FAF4"/>
    <w:rsid w:val="183C79AF"/>
    <w:rsid w:val="18554293"/>
    <w:rsid w:val="1877FC90"/>
    <w:rsid w:val="18CFBEEA"/>
    <w:rsid w:val="1953FEF5"/>
    <w:rsid w:val="1981B414"/>
    <w:rsid w:val="198554BA"/>
    <w:rsid w:val="1ABD1F3C"/>
    <w:rsid w:val="1AF354A9"/>
    <w:rsid w:val="1B812574"/>
    <w:rsid w:val="1C26FF26"/>
    <w:rsid w:val="1C8C8E5C"/>
    <w:rsid w:val="1CC0AAEC"/>
    <w:rsid w:val="1D099DEC"/>
    <w:rsid w:val="1D219523"/>
    <w:rsid w:val="1D9758DA"/>
    <w:rsid w:val="1DADCBDD"/>
    <w:rsid w:val="1DB2AAEE"/>
    <w:rsid w:val="1DBC8CEC"/>
    <w:rsid w:val="1E6D2FEE"/>
    <w:rsid w:val="1E7D93CB"/>
    <w:rsid w:val="1F5023D9"/>
    <w:rsid w:val="1F76F75C"/>
    <w:rsid w:val="1FD5B7DA"/>
    <w:rsid w:val="1FD79204"/>
    <w:rsid w:val="20D76ACD"/>
    <w:rsid w:val="20DAFDC4"/>
    <w:rsid w:val="20F1712C"/>
    <w:rsid w:val="21069BA6"/>
    <w:rsid w:val="2112EC17"/>
    <w:rsid w:val="2161A80F"/>
    <w:rsid w:val="21A83608"/>
    <w:rsid w:val="22460444"/>
    <w:rsid w:val="22AADA62"/>
    <w:rsid w:val="22E71B46"/>
    <w:rsid w:val="22EC9317"/>
    <w:rsid w:val="235FB3D1"/>
    <w:rsid w:val="23AFD90E"/>
    <w:rsid w:val="23FE8CE8"/>
    <w:rsid w:val="24042BD0"/>
    <w:rsid w:val="2420A8E4"/>
    <w:rsid w:val="2445C1FF"/>
    <w:rsid w:val="2467D206"/>
    <w:rsid w:val="248843B4"/>
    <w:rsid w:val="2493028A"/>
    <w:rsid w:val="24A0DA41"/>
    <w:rsid w:val="24FD5E05"/>
    <w:rsid w:val="251370F6"/>
    <w:rsid w:val="252A749B"/>
    <w:rsid w:val="2546A3EF"/>
    <w:rsid w:val="25730901"/>
    <w:rsid w:val="258E83FB"/>
    <w:rsid w:val="25DC3E10"/>
    <w:rsid w:val="263131E7"/>
    <w:rsid w:val="2638103E"/>
    <w:rsid w:val="26391A82"/>
    <w:rsid w:val="26CEBF20"/>
    <w:rsid w:val="26DA8174"/>
    <w:rsid w:val="27122DFA"/>
    <w:rsid w:val="276B1CDB"/>
    <w:rsid w:val="27D85787"/>
    <w:rsid w:val="28081B2A"/>
    <w:rsid w:val="281A26C8"/>
    <w:rsid w:val="281A4847"/>
    <w:rsid w:val="28BBD341"/>
    <w:rsid w:val="2902B793"/>
    <w:rsid w:val="29EC89A5"/>
    <w:rsid w:val="2A242E83"/>
    <w:rsid w:val="2A4DF3E1"/>
    <w:rsid w:val="2AB88A2B"/>
    <w:rsid w:val="2AF3AB79"/>
    <w:rsid w:val="2AFA3D51"/>
    <w:rsid w:val="2C055881"/>
    <w:rsid w:val="2C7214C3"/>
    <w:rsid w:val="2CE060E0"/>
    <w:rsid w:val="2D08488C"/>
    <w:rsid w:val="2D396753"/>
    <w:rsid w:val="2D65E345"/>
    <w:rsid w:val="2D891FC7"/>
    <w:rsid w:val="2DC2EEDE"/>
    <w:rsid w:val="2E2EDC6A"/>
    <w:rsid w:val="2E6CE2A3"/>
    <w:rsid w:val="2EA26D6C"/>
    <w:rsid w:val="2EF38474"/>
    <w:rsid w:val="2F3CA3C6"/>
    <w:rsid w:val="2F91772E"/>
    <w:rsid w:val="2FEEFF36"/>
    <w:rsid w:val="3013688E"/>
    <w:rsid w:val="3014D027"/>
    <w:rsid w:val="307A44B8"/>
    <w:rsid w:val="30A15E9C"/>
    <w:rsid w:val="30D9F624"/>
    <w:rsid w:val="323CF64D"/>
    <w:rsid w:val="326822F3"/>
    <w:rsid w:val="334D700F"/>
    <w:rsid w:val="335398F2"/>
    <w:rsid w:val="3398C174"/>
    <w:rsid w:val="3460CB14"/>
    <w:rsid w:val="3488EC22"/>
    <w:rsid w:val="34AE8C6B"/>
    <w:rsid w:val="34F036B4"/>
    <w:rsid w:val="350901B4"/>
    <w:rsid w:val="359EF784"/>
    <w:rsid w:val="35F5E049"/>
    <w:rsid w:val="373062CC"/>
    <w:rsid w:val="3736C44B"/>
    <w:rsid w:val="37B03609"/>
    <w:rsid w:val="37B4881A"/>
    <w:rsid w:val="3818D330"/>
    <w:rsid w:val="38A3A494"/>
    <w:rsid w:val="3A39D0C9"/>
    <w:rsid w:val="3AA0CF55"/>
    <w:rsid w:val="3AAB4CBE"/>
    <w:rsid w:val="3B226A75"/>
    <w:rsid w:val="3B3F1A1A"/>
    <w:rsid w:val="3B49A899"/>
    <w:rsid w:val="3B828DF7"/>
    <w:rsid w:val="3B931C1E"/>
    <w:rsid w:val="3BAA9809"/>
    <w:rsid w:val="3BB807DE"/>
    <w:rsid w:val="3C5A57C3"/>
    <w:rsid w:val="3CA44130"/>
    <w:rsid w:val="3CAA6619"/>
    <w:rsid w:val="3CAA7B01"/>
    <w:rsid w:val="3DBE9F0C"/>
    <w:rsid w:val="3E0AEEDE"/>
    <w:rsid w:val="3E223475"/>
    <w:rsid w:val="3E736BD1"/>
    <w:rsid w:val="3EB2148E"/>
    <w:rsid w:val="3F00E15C"/>
    <w:rsid w:val="3F174286"/>
    <w:rsid w:val="3F60EC94"/>
    <w:rsid w:val="3FBFB508"/>
    <w:rsid w:val="3FE87FB2"/>
    <w:rsid w:val="3FF03A52"/>
    <w:rsid w:val="3FF51890"/>
    <w:rsid w:val="40B28178"/>
    <w:rsid w:val="40BD77C2"/>
    <w:rsid w:val="40C44374"/>
    <w:rsid w:val="40EB3D62"/>
    <w:rsid w:val="41524A7D"/>
    <w:rsid w:val="41642F85"/>
    <w:rsid w:val="42616217"/>
    <w:rsid w:val="427420DB"/>
    <w:rsid w:val="42C57786"/>
    <w:rsid w:val="435DCE21"/>
    <w:rsid w:val="43694B82"/>
    <w:rsid w:val="436A768D"/>
    <w:rsid w:val="436BFAE4"/>
    <w:rsid w:val="43E5167C"/>
    <w:rsid w:val="43FC0E3C"/>
    <w:rsid w:val="44052183"/>
    <w:rsid w:val="44F3D717"/>
    <w:rsid w:val="45518B8C"/>
    <w:rsid w:val="458AAF41"/>
    <w:rsid w:val="4599C177"/>
    <w:rsid w:val="45A87AA5"/>
    <w:rsid w:val="46958C5C"/>
    <w:rsid w:val="46AC12A6"/>
    <w:rsid w:val="471A127C"/>
    <w:rsid w:val="4740E196"/>
    <w:rsid w:val="475D6CB0"/>
    <w:rsid w:val="479774D2"/>
    <w:rsid w:val="48387606"/>
    <w:rsid w:val="488B3CEB"/>
    <w:rsid w:val="48F1FCFB"/>
    <w:rsid w:val="490B98B0"/>
    <w:rsid w:val="494500F3"/>
    <w:rsid w:val="497B820C"/>
    <w:rsid w:val="49887A22"/>
    <w:rsid w:val="49AE6273"/>
    <w:rsid w:val="49CCBBB3"/>
    <w:rsid w:val="4A2B96DF"/>
    <w:rsid w:val="4A87BE91"/>
    <w:rsid w:val="4ACC862E"/>
    <w:rsid w:val="4B0B7ED0"/>
    <w:rsid w:val="4B1989C4"/>
    <w:rsid w:val="4B728C78"/>
    <w:rsid w:val="4B8DECF6"/>
    <w:rsid w:val="4B8EF7B2"/>
    <w:rsid w:val="4BD3CA1B"/>
    <w:rsid w:val="4BF2A02D"/>
    <w:rsid w:val="4BF6E4F1"/>
    <w:rsid w:val="4C63E403"/>
    <w:rsid w:val="4C84CA8D"/>
    <w:rsid w:val="4CB0E93D"/>
    <w:rsid w:val="4D334238"/>
    <w:rsid w:val="4D6FB3F7"/>
    <w:rsid w:val="4E317AF8"/>
    <w:rsid w:val="4EEFCFD1"/>
    <w:rsid w:val="4F86E76C"/>
    <w:rsid w:val="4FE2B8BA"/>
    <w:rsid w:val="4FFE44D3"/>
    <w:rsid w:val="501366E8"/>
    <w:rsid w:val="509B0BD8"/>
    <w:rsid w:val="51629B16"/>
    <w:rsid w:val="516C3E03"/>
    <w:rsid w:val="51BB0C3A"/>
    <w:rsid w:val="521337DC"/>
    <w:rsid w:val="521739F8"/>
    <w:rsid w:val="524FE6BF"/>
    <w:rsid w:val="52F4EE69"/>
    <w:rsid w:val="532A924F"/>
    <w:rsid w:val="534C32CB"/>
    <w:rsid w:val="535978CF"/>
    <w:rsid w:val="53F7BAE5"/>
    <w:rsid w:val="53F8743F"/>
    <w:rsid w:val="5402AB9A"/>
    <w:rsid w:val="542AC687"/>
    <w:rsid w:val="54593EAF"/>
    <w:rsid w:val="54650B0A"/>
    <w:rsid w:val="54C7AC9F"/>
    <w:rsid w:val="55987885"/>
    <w:rsid w:val="55B88B7E"/>
    <w:rsid w:val="56127D86"/>
    <w:rsid w:val="5669A845"/>
    <w:rsid w:val="5693943B"/>
    <w:rsid w:val="56DF6A51"/>
    <w:rsid w:val="570739B0"/>
    <w:rsid w:val="570C4517"/>
    <w:rsid w:val="5746B583"/>
    <w:rsid w:val="57913973"/>
    <w:rsid w:val="57B3AE30"/>
    <w:rsid w:val="57C8B35C"/>
    <w:rsid w:val="57CF464F"/>
    <w:rsid w:val="57D9D4EB"/>
    <w:rsid w:val="57F167C2"/>
    <w:rsid w:val="586BB31E"/>
    <w:rsid w:val="58C0ED9A"/>
    <w:rsid w:val="58C6676C"/>
    <w:rsid w:val="58D245FE"/>
    <w:rsid w:val="58E36BA1"/>
    <w:rsid w:val="5924A001"/>
    <w:rsid w:val="59553101"/>
    <w:rsid w:val="596A63EC"/>
    <w:rsid w:val="5A235492"/>
    <w:rsid w:val="5A25F309"/>
    <w:rsid w:val="5A42E5CB"/>
    <w:rsid w:val="5A63C8AB"/>
    <w:rsid w:val="5AB22F84"/>
    <w:rsid w:val="5B3663CA"/>
    <w:rsid w:val="5B4F3895"/>
    <w:rsid w:val="5BE3C39A"/>
    <w:rsid w:val="5BE4B8E2"/>
    <w:rsid w:val="5C81B173"/>
    <w:rsid w:val="5CC8600E"/>
    <w:rsid w:val="5D3C76F8"/>
    <w:rsid w:val="5DC60326"/>
    <w:rsid w:val="5E54827A"/>
    <w:rsid w:val="5E866263"/>
    <w:rsid w:val="5E8DDB09"/>
    <w:rsid w:val="5EE041F6"/>
    <w:rsid w:val="5F60F31C"/>
    <w:rsid w:val="5F6B7DD9"/>
    <w:rsid w:val="5F7B6994"/>
    <w:rsid w:val="5F950C22"/>
    <w:rsid w:val="5F96447B"/>
    <w:rsid w:val="5FC1F340"/>
    <w:rsid w:val="5FF7DBDE"/>
    <w:rsid w:val="5FF99324"/>
    <w:rsid w:val="605ED9AF"/>
    <w:rsid w:val="609EA6BE"/>
    <w:rsid w:val="60D6F483"/>
    <w:rsid w:val="60FA3C4E"/>
    <w:rsid w:val="611B5536"/>
    <w:rsid w:val="6144EC23"/>
    <w:rsid w:val="6177CCDA"/>
    <w:rsid w:val="617CE837"/>
    <w:rsid w:val="62E0BAC3"/>
    <w:rsid w:val="630E4B10"/>
    <w:rsid w:val="6351278E"/>
    <w:rsid w:val="63AE3813"/>
    <w:rsid w:val="64283978"/>
    <w:rsid w:val="6438324E"/>
    <w:rsid w:val="645F3611"/>
    <w:rsid w:val="64FBF703"/>
    <w:rsid w:val="6517F3F1"/>
    <w:rsid w:val="6574520F"/>
    <w:rsid w:val="65E787DA"/>
    <w:rsid w:val="66F2DD75"/>
    <w:rsid w:val="678D8FE5"/>
    <w:rsid w:val="67FAB710"/>
    <w:rsid w:val="68B64B22"/>
    <w:rsid w:val="69155D00"/>
    <w:rsid w:val="69684843"/>
    <w:rsid w:val="69AA423A"/>
    <w:rsid w:val="69EF20DF"/>
    <w:rsid w:val="69F7EEE6"/>
    <w:rsid w:val="6A873BC0"/>
    <w:rsid w:val="6B2914AF"/>
    <w:rsid w:val="6B2A3F64"/>
    <w:rsid w:val="6B5F988C"/>
    <w:rsid w:val="6BCC1640"/>
    <w:rsid w:val="6C0ADE60"/>
    <w:rsid w:val="6C4CCFD5"/>
    <w:rsid w:val="6C69EA77"/>
    <w:rsid w:val="6C9C467B"/>
    <w:rsid w:val="6CBBDB42"/>
    <w:rsid w:val="6DC91A05"/>
    <w:rsid w:val="6E098DFA"/>
    <w:rsid w:val="6E2D341A"/>
    <w:rsid w:val="6E377AE2"/>
    <w:rsid w:val="6EA2464C"/>
    <w:rsid w:val="6F506C46"/>
    <w:rsid w:val="6F58DE33"/>
    <w:rsid w:val="7020FB68"/>
    <w:rsid w:val="70260153"/>
    <w:rsid w:val="704E1C68"/>
    <w:rsid w:val="7056F9E0"/>
    <w:rsid w:val="708FAD70"/>
    <w:rsid w:val="70DCE55A"/>
    <w:rsid w:val="70E4F3C0"/>
    <w:rsid w:val="70E573FB"/>
    <w:rsid w:val="70E67159"/>
    <w:rsid w:val="71429580"/>
    <w:rsid w:val="7173F011"/>
    <w:rsid w:val="71A2E40D"/>
    <w:rsid w:val="71B433F2"/>
    <w:rsid w:val="71B9E1A5"/>
    <w:rsid w:val="72F19411"/>
    <w:rsid w:val="7326E4B3"/>
    <w:rsid w:val="7337C674"/>
    <w:rsid w:val="735EB67E"/>
    <w:rsid w:val="7373020A"/>
    <w:rsid w:val="73C91A8A"/>
    <w:rsid w:val="74A1C3F9"/>
    <w:rsid w:val="74F11084"/>
    <w:rsid w:val="75218E99"/>
    <w:rsid w:val="75575083"/>
    <w:rsid w:val="758740CD"/>
    <w:rsid w:val="75C7B80D"/>
    <w:rsid w:val="763B8C1F"/>
    <w:rsid w:val="7662A8FD"/>
    <w:rsid w:val="778E179B"/>
    <w:rsid w:val="79C87983"/>
    <w:rsid w:val="79F60D80"/>
    <w:rsid w:val="7AA2B528"/>
    <w:rsid w:val="7AD50B52"/>
    <w:rsid w:val="7ADEB27E"/>
    <w:rsid w:val="7B01AD7F"/>
    <w:rsid w:val="7B848FBF"/>
    <w:rsid w:val="7BEB6CF4"/>
    <w:rsid w:val="7C1DB7DC"/>
    <w:rsid w:val="7C405EAA"/>
    <w:rsid w:val="7C5A4EBA"/>
    <w:rsid w:val="7C5BAC6E"/>
    <w:rsid w:val="7CA66FEA"/>
    <w:rsid w:val="7CBEEEF4"/>
    <w:rsid w:val="7CE11D1E"/>
    <w:rsid w:val="7D04191B"/>
    <w:rsid w:val="7D103C80"/>
    <w:rsid w:val="7D19547C"/>
    <w:rsid w:val="7D24A41E"/>
    <w:rsid w:val="7D53BB26"/>
    <w:rsid w:val="7D7C620E"/>
    <w:rsid w:val="7E1DCFE7"/>
    <w:rsid w:val="7E435BFF"/>
    <w:rsid w:val="7E7DE533"/>
    <w:rsid w:val="7EEBF6FE"/>
    <w:rsid w:val="7F314839"/>
    <w:rsid w:val="7F478BF7"/>
    <w:rsid w:val="7FA3B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8"/>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2F79A0"/>
    <w:rPr>
      <w:color w:val="96607D" w:themeColor="followedHyperlink"/>
      <w:u w:val="single"/>
    </w:rPr>
  </w:style>
  <w:style w:type="paragraph" w:styleId="FootnoteText">
    <w:name w:val="footnote text"/>
    <w:basedOn w:val="Normal"/>
    <w:link w:val="FootnoteTextChar"/>
    <w:uiPriority w:val="99"/>
    <w:unhideWhenUsed/>
    <w:rsid w:val="00A30641"/>
    <w:pPr>
      <w:spacing w:after="0" w:line="240" w:lineRule="auto"/>
    </w:pPr>
    <w:rPr>
      <w:sz w:val="20"/>
      <w:szCs w:val="20"/>
    </w:rPr>
  </w:style>
  <w:style w:type="character" w:customStyle="1" w:styleId="FootnoteTextChar">
    <w:name w:val="Footnote Text Char"/>
    <w:basedOn w:val="DefaultParagraphFont"/>
    <w:link w:val="FootnoteText"/>
    <w:uiPriority w:val="99"/>
    <w:rsid w:val="00A30641"/>
    <w:rPr>
      <w:sz w:val="20"/>
      <w:szCs w:val="20"/>
    </w:rPr>
  </w:style>
  <w:style w:type="character" w:styleId="FootnoteReference">
    <w:name w:val="footnote reference"/>
    <w:semiHidden/>
    <w:rsid w:val="00A30641"/>
    <w:rPr>
      <w:vertAlign w:val="superscript"/>
    </w:rPr>
  </w:style>
  <w:style w:type="paragraph" w:customStyle="1" w:styleId="Default">
    <w:name w:val="Default"/>
    <w:rsid w:val="008766F9"/>
    <w:pPr>
      <w:autoSpaceDE w:val="0"/>
      <w:autoSpaceDN w:val="0"/>
      <w:adjustRightInd w:val="0"/>
      <w:spacing w:after="0" w:line="240" w:lineRule="auto"/>
    </w:pPr>
    <w:rPr>
      <w:rFonts w:ascii="Book Antiqua" w:hAnsi="Book Antiqua" w:cs="Book Antiqua"/>
      <w:color w:val="000000"/>
      <w:kern w:val="0"/>
    </w:rPr>
  </w:style>
  <w:style w:type="paragraph" w:styleId="Revision">
    <w:name w:val="Revision"/>
    <w:hidden/>
    <w:uiPriority w:val="99"/>
    <w:semiHidden/>
    <w:rsid w:val="00562F9F"/>
    <w:pPr>
      <w:spacing w:after="0" w:line="240" w:lineRule="auto"/>
    </w:pPr>
  </w:style>
  <w:style w:type="character" w:styleId="Mention">
    <w:name w:val="Mention"/>
    <w:basedOn w:val="DefaultParagraphFont"/>
    <w:uiPriority w:val="99"/>
    <w:unhideWhenUsed/>
    <w:rsid w:val="00BE52CC"/>
    <w:rPr>
      <w:color w:val="2B579A"/>
      <w:shd w:val="clear" w:color="auto" w:fill="E1DFDD"/>
    </w:rPr>
  </w:style>
  <w:style w:type="paragraph" w:styleId="EndnoteText">
    <w:name w:val="endnote text"/>
    <w:basedOn w:val="Normal"/>
    <w:uiPriority w:val="99"/>
    <w:semiHidden/>
    <w:unhideWhenUsed/>
    <w:rsid w:val="0D81AD8E"/>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8FEE64D1-D38F-4D17-8D5F-73F496E666D8}">
  <ds:schemaRefs>
    <ds:schemaRef ds:uri="http://schemas.openxmlformats.org/officeDocument/2006/bibliography"/>
  </ds:schemaRefs>
</ds:datastoreItem>
</file>

<file path=customXml/itemProps3.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2585</ap:Words>
  <ap:Characters>14737</ap:Characters>
  <ap:Application>Microsoft Office Word</ap:Application>
  <ap:DocSecurity>0</ap:DocSecurity>
  <ap:Lines>122</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17288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2025-11-26T14:51:18Z</dcterms:created>
  <dcterms:modified xsi:type="dcterms:W3CDTF">2025-11-26T14:51:18Z</dcterms:modified>
</cp:coreProperties>
</file>