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36EB" w:rsidR="005B0E9C" w:rsidP="000D225D" w:rsidRDefault="00DF59AD" w14:paraId="1FEA97B3" w14:textId="5E4E4AB7">
      <w:pPr>
        <w:tabs>
          <w:tab w:val="center" w:pos="4680"/>
          <w:tab w:val="right" w:pos="9360"/>
        </w:tabs>
        <w:rPr>
          <w:b/>
          <w:bCs/>
        </w:rPr>
      </w:pPr>
      <w:r>
        <w:rPr>
          <w:rFonts w:ascii="Book Antiqua" w:hAnsi="Book Antiqua"/>
        </w:rPr>
        <w:t>ALJ</w:t>
      </w:r>
      <w:r w:rsidRPr="00A80752" w:rsidR="00906840">
        <w:rPr>
          <w:rFonts w:ascii="Book Antiqua" w:hAnsi="Book Antiqua"/>
        </w:rPr>
        <w:t>/</w:t>
      </w:r>
      <w:r w:rsidR="00307D46">
        <w:rPr>
          <w:rFonts w:ascii="Book Antiqua" w:hAnsi="Book Antiqua"/>
        </w:rPr>
        <w:t>VUK</w:t>
      </w:r>
      <w:r w:rsidR="008C2E4B">
        <w:rPr>
          <w:rFonts w:ascii="Book Antiqua" w:hAnsi="Book Antiqua"/>
        </w:rPr>
        <w:t>/</w:t>
      </w:r>
      <w:r w:rsidR="009842E0">
        <w:rPr>
          <w:rFonts w:ascii="Book Antiqua" w:hAnsi="Book Antiqua"/>
        </w:rPr>
        <w:t>cg7</w:t>
      </w:r>
      <w:r w:rsidR="000D225D">
        <w:rPr>
          <w:rFonts w:ascii="Book Antiqua" w:hAnsi="Book Antiqua"/>
        </w:rPr>
        <w:tab/>
      </w:r>
      <w:r w:rsidRPr="005B0E9C" w:rsidR="005B0E9C">
        <w:rPr>
          <w:rFonts w:ascii="Arial" w:hAnsi="Arial" w:cs="Arial"/>
          <w:b/>
          <w:bCs/>
        </w:rPr>
        <w:t>PROPOSED DECISION</w:t>
      </w:r>
      <w:r w:rsidR="000D225D">
        <w:rPr>
          <w:rFonts w:ascii="Book Antiqua" w:hAnsi="Book Antiqua"/>
        </w:rPr>
        <w:tab/>
      </w:r>
      <w:r w:rsidRPr="008436EB" w:rsidR="005B0E9C">
        <w:rPr>
          <w:b/>
          <w:bCs/>
        </w:rPr>
        <w:t>Agenda ID #</w:t>
      </w:r>
      <w:r w:rsidR="005D0F26">
        <w:rPr>
          <w:b/>
          <w:bCs/>
        </w:rPr>
        <w:t>23886</w:t>
      </w:r>
    </w:p>
    <w:p w:rsidRPr="008436EB" w:rsidR="005B0E9C" w:rsidP="002C10A0" w:rsidRDefault="005B0E9C" w14:paraId="05CA8207" w14:textId="7EE48D7F">
      <w:pPr>
        <w:tabs>
          <w:tab w:val="right" w:pos="9360"/>
        </w:tabs>
        <w:rPr>
          <w:b/>
          <w:bCs/>
        </w:rPr>
      </w:pPr>
      <w:r w:rsidRPr="008436EB">
        <w:rPr>
          <w:b/>
          <w:bCs/>
        </w:rPr>
        <w:tab/>
      </w:r>
      <w:r>
        <w:rPr>
          <w:b/>
          <w:bCs/>
        </w:rPr>
        <w:t xml:space="preserve"> </w:t>
      </w:r>
      <w:r w:rsidR="00307D46">
        <w:rPr>
          <w:b/>
          <w:bCs/>
        </w:rPr>
        <w:t>Ratesetting</w:t>
      </w:r>
    </w:p>
    <w:p w:rsidRPr="008436EB" w:rsidR="00740137" w:rsidP="005B0E9C" w:rsidRDefault="00740137" w14:paraId="44EAEB68" w14:textId="77777777"/>
    <w:p w:rsidRPr="008436EB" w:rsidR="005B0E9C" w:rsidP="005B0E9C" w:rsidRDefault="005B0E9C" w14:paraId="0355DCB6" w14:textId="77777777">
      <w:pPr>
        <w:suppressAutoHyphens/>
        <w:rPr>
          <w:sz w:val="20"/>
          <w:u w:val="single"/>
        </w:rPr>
      </w:pPr>
      <w:r w:rsidRPr="008436EB">
        <w:t xml:space="preserve">Decision </w:t>
      </w:r>
      <w:r w:rsidRPr="009F5061" w:rsidR="009F5061">
        <w:t>________</w:t>
      </w:r>
    </w:p>
    <w:p w:rsidRPr="00A80752" w:rsidR="00056BEE" w:rsidRDefault="00056BEE" w14:paraId="1000E320" w14:textId="77777777">
      <w:pPr>
        <w:pStyle w:val="Header"/>
        <w:rPr>
          <w:rFonts w:ascii="Book Antiqua" w:hAnsi="Book Antiqua"/>
        </w:rPr>
      </w:pPr>
    </w:p>
    <w:p w:rsidRPr="00A80752" w:rsidR="00056BEE" w:rsidRDefault="00056BEE" w14:paraId="0D15EE29" w14:textId="77777777">
      <w:pPr>
        <w:pStyle w:val="Header"/>
        <w:rPr>
          <w:rFonts w:ascii="Book Antiqua" w:hAnsi="Book Antiqua"/>
        </w:rPr>
      </w:pPr>
    </w:p>
    <w:p w:rsidRPr="00CA180C" w:rsidR="00056BEE" w:rsidRDefault="00056BEE" w14:paraId="1D5E62D4"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490220E1" w14:textId="77777777">
      <w:pPr>
        <w:suppressAutoHyphens/>
        <w:rPr>
          <w:rFonts w:ascii="Book Antiqua" w:hAnsi="Book Antiqua"/>
        </w:rPr>
      </w:pPr>
    </w:p>
    <w:tbl>
      <w:tblPr>
        <w:tblW w:w="0" w:type="auto"/>
        <w:tblLayout w:type="fixed"/>
        <w:tblLook w:val="0000" w:firstRow="0" w:lastRow="0" w:firstColumn="0" w:lastColumn="0" w:noHBand="0" w:noVBand="0"/>
      </w:tblPr>
      <w:tblGrid>
        <w:gridCol w:w="5328"/>
        <w:gridCol w:w="3917"/>
      </w:tblGrid>
      <w:tr w:rsidRPr="00D154F1" w:rsidR="00906840" w:rsidTr="0069602C" w14:paraId="67DA8048" w14:textId="77777777">
        <w:tc>
          <w:tcPr>
            <w:tcW w:w="5328" w:type="dxa"/>
            <w:tcBorders>
              <w:bottom w:val="single" w:color="auto" w:sz="4" w:space="0"/>
              <w:right w:val="single" w:color="auto" w:sz="6" w:space="0"/>
            </w:tcBorders>
          </w:tcPr>
          <w:p w:rsidRPr="00D154F1" w:rsidR="00EE080A" w:rsidP="00AE0E7F" w:rsidRDefault="009842E0" w14:paraId="71B4249D" w14:textId="6E873A71">
            <w:pPr>
              <w:tabs>
                <w:tab w:val="left" w:pos="4575"/>
              </w:tabs>
              <w:rPr>
                <w:rFonts w:ascii="Book Antiqua" w:hAnsi="Book Antiqua"/>
              </w:rPr>
            </w:pPr>
            <w:r w:rsidRPr="009842E0">
              <w:rPr>
                <w:rFonts w:ascii="Book Antiqua" w:hAnsi="Book Antiqua"/>
              </w:rPr>
              <w:t>Application of PACIFIC GAS AND ELECTRIC COMPANY (U39E) for Review of the Disadvantaged Communities – Green Tariff, Community Solar Green Tariff and Green Tariff Shared Renewables Programs.</w:t>
            </w:r>
          </w:p>
          <w:p w:rsidRPr="00D154F1" w:rsidR="00DC64A4" w:rsidP="00AE0E7F" w:rsidRDefault="00DC64A4" w14:paraId="26ED82D0" w14:textId="77777777">
            <w:pPr>
              <w:tabs>
                <w:tab w:val="left" w:pos="4575"/>
              </w:tabs>
              <w:rPr>
                <w:rFonts w:ascii="Book Antiqua" w:hAnsi="Book Antiqua"/>
              </w:rPr>
            </w:pPr>
          </w:p>
        </w:tc>
        <w:tc>
          <w:tcPr>
            <w:tcW w:w="3917" w:type="dxa"/>
            <w:tcBorders>
              <w:left w:val="nil"/>
            </w:tcBorders>
            <w:vAlign w:val="center"/>
          </w:tcPr>
          <w:p w:rsidRPr="00D154F1" w:rsidR="00EE080A" w:rsidP="00347701" w:rsidRDefault="008015C2" w14:paraId="00C02F12" w14:textId="20D6BD0F">
            <w:pPr>
              <w:jc w:val="center"/>
              <w:rPr>
                <w:rFonts w:ascii="Book Antiqua" w:hAnsi="Book Antiqua"/>
              </w:rPr>
            </w:pPr>
            <w:r>
              <w:rPr>
                <w:rFonts w:ascii="Book Antiqua" w:hAnsi="Book Antiqua"/>
              </w:rPr>
              <w:t>Application 22-05-022</w:t>
            </w:r>
          </w:p>
        </w:tc>
      </w:tr>
      <w:tr w:rsidRPr="00D154F1" w:rsidR="008015C2" w:rsidTr="0069602C" w14:paraId="48FFA5BD" w14:textId="77777777">
        <w:tc>
          <w:tcPr>
            <w:tcW w:w="5328" w:type="dxa"/>
            <w:tcBorders>
              <w:top w:val="single" w:color="auto" w:sz="4" w:space="0"/>
              <w:bottom w:val="single" w:color="auto" w:sz="6" w:space="0"/>
              <w:right w:val="single" w:color="auto" w:sz="6" w:space="0"/>
            </w:tcBorders>
          </w:tcPr>
          <w:p w:rsidR="0069602C" w:rsidP="00AE0E7F" w:rsidRDefault="0069602C" w14:paraId="15239BB5" w14:textId="77777777">
            <w:pPr>
              <w:tabs>
                <w:tab w:val="left" w:pos="4575"/>
              </w:tabs>
              <w:rPr>
                <w:rFonts w:ascii="Book Antiqua" w:hAnsi="Book Antiqua"/>
                <w:highlight w:val="yellow"/>
              </w:rPr>
            </w:pPr>
          </w:p>
          <w:p w:rsidRPr="0069602C" w:rsidR="008015C2" w:rsidP="00AE0E7F" w:rsidRDefault="00E9626A" w14:paraId="69BBBDAC" w14:textId="77777777">
            <w:pPr>
              <w:tabs>
                <w:tab w:val="left" w:pos="4575"/>
              </w:tabs>
              <w:rPr>
                <w:rFonts w:ascii="Book Antiqua" w:hAnsi="Book Antiqua"/>
              </w:rPr>
            </w:pPr>
            <w:r w:rsidRPr="0069602C">
              <w:rPr>
                <w:rFonts w:ascii="Book Antiqua" w:hAnsi="Book Antiqua"/>
              </w:rPr>
              <w:t>And Related Matters.</w:t>
            </w:r>
          </w:p>
          <w:p w:rsidRPr="004C21F4" w:rsidR="0069602C" w:rsidP="00AE0E7F" w:rsidRDefault="0069602C" w14:paraId="731FF412" w14:textId="451D6E77">
            <w:pPr>
              <w:tabs>
                <w:tab w:val="left" w:pos="4575"/>
              </w:tabs>
              <w:rPr>
                <w:rFonts w:ascii="Book Antiqua" w:hAnsi="Book Antiqua"/>
                <w:highlight w:val="yellow"/>
              </w:rPr>
            </w:pPr>
          </w:p>
        </w:tc>
        <w:tc>
          <w:tcPr>
            <w:tcW w:w="3917" w:type="dxa"/>
            <w:tcBorders>
              <w:left w:val="nil"/>
            </w:tcBorders>
            <w:vAlign w:val="center"/>
          </w:tcPr>
          <w:p w:rsidR="008015C2" w:rsidP="00347701" w:rsidRDefault="00E9626A" w14:paraId="1825AC15" w14:textId="77777777">
            <w:pPr>
              <w:jc w:val="center"/>
              <w:rPr>
                <w:rFonts w:ascii="Book Antiqua" w:hAnsi="Book Antiqua"/>
              </w:rPr>
            </w:pPr>
            <w:r>
              <w:rPr>
                <w:rFonts w:ascii="Book Antiqua" w:hAnsi="Book Antiqua"/>
              </w:rPr>
              <w:t>Application 22-05-023</w:t>
            </w:r>
          </w:p>
          <w:p w:rsidR="00E9626A" w:rsidP="00347701" w:rsidRDefault="00E9626A" w14:paraId="2BE345F6" w14:textId="4EC3B146">
            <w:pPr>
              <w:jc w:val="center"/>
              <w:rPr>
                <w:rFonts w:ascii="Book Antiqua" w:hAnsi="Book Antiqua"/>
              </w:rPr>
            </w:pPr>
            <w:r>
              <w:rPr>
                <w:rFonts w:ascii="Book Antiqua" w:hAnsi="Book Antiqua"/>
              </w:rPr>
              <w:t>Application 22-05-024</w:t>
            </w:r>
          </w:p>
        </w:tc>
      </w:tr>
    </w:tbl>
    <w:p w:rsidRPr="00A80752" w:rsidR="00056BEE" w:rsidRDefault="00056BEE" w14:paraId="44783395" w14:textId="77777777">
      <w:pPr>
        <w:rPr>
          <w:rFonts w:ascii="Book Antiqua" w:hAnsi="Book Antiqua"/>
        </w:rPr>
      </w:pPr>
    </w:p>
    <w:p w:rsidRPr="00A80752" w:rsidR="00056BEE" w:rsidRDefault="00056BEE" w14:paraId="525FAFDF" w14:textId="77777777">
      <w:pPr>
        <w:rPr>
          <w:rFonts w:ascii="Book Antiqua" w:hAnsi="Book Antiqua"/>
        </w:rPr>
      </w:pPr>
    </w:p>
    <w:p w:rsidRPr="00CA180C" w:rsidR="00122DD7" w:rsidP="009842E0" w:rsidRDefault="003854D9" w14:paraId="3BEAE88F" w14:textId="77777777">
      <w:pPr>
        <w:pStyle w:val="main"/>
        <w:spacing w:after="120"/>
      </w:pPr>
      <w:r>
        <w:t>ORDER EXTENDING STATUTORY DEADLINE</w:t>
      </w:r>
    </w:p>
    <w:p w:rsidRPr="001024AA" w:rsidR="00DC64A4" w:rsidP="009D65AF" w:rsidRDefault="00DC64A4" w14:paraId="1F9036A8" w14:textId="77777777">
      <w:pPr>
        <w:pStyle w:val="main"/>
        <w:spacing w:line="360" w:lineRule="auto"/>
        <w:jc w:val="left"/>
      </w:pPr>
      <w:r w:rsidRPr="00CA180C">
        <w:t>Summary</w:t>
      </w:r>
    </w:p>
    <w:p w:rsidRPr="00A80752" w:rsidR="00DC64A4" w:rsidP="00963C2B" w:rsidRDefault="003854D9" w14:paraId="7A8DA012" w14:textId="45755568">
      <w:pPr>
        <w:pStyle w:val="standard"/>
        <w:rPr>
          <w:rFonts w:ascii="Book Antiqua" w:hAnsi="Book Antiqua"/>
        </w:rPr>
      </w:pPr>
      <w:r>
        <w:rPr>
          <w:rFonts w:ascii="Book Antiqua" w:hAnsi="Book Antiqua"/>
        </w:rPr>
        <w:t>This decision extends the statutory deadline in this proceeding until</w:t>
      </w:r>
      <w:r w:rsidR="00C63E7C">
        <w:rPr>
          <w:rFonts w:ascii="Book Antiqua" w:hAnsi="Book Antiqua"/>
        </w:rPr>
        <w:t xml:space="preserve"> </w:t>
      </w:r>
      <w:r w:rsidR="00AB7767">
        <w:rPr>
          <w:rFonts w:ascii="Book Antiqua" w:hAnsi="Book Antiqua"/>
        </w:rPr>
        <w:t>July 1, 2026</w:t>
      </w:r>
      <w:r w:rsidR="00C63E7C">
        <w:rPr>
          <w:rFonts w:ascii="Book Antiqua" w:hAnsi="Book Antiqua"/>
        </w:rPr>
        <w:t>.</w:t>
      </w:r>
    </w:p>
    <w:p w:rsidR="00963C2B" w:rsidP="009E0AA9" w:rsidRDefault="003854D9" w14:paraId="2642D8F6" w14:textId="77777777">
      <w:pPr>
        <w:pStyle w:val="Heading1"/>
        <w:ind w:left="720" w:hanging="720"/>
      </w:pPr>
      <w:r>
        <w:t>Background</w:t>
      </w:r>
      <w:r w:rsidR="00055C20">
        <w:t xml:space="preserve"> and Justification</w:t>
      </w:r>
    </w:p>
    <w:p w:rsidR="00E513C6" w:rsidP="00663587" w:rsidRDefault="00E513C6" w14:paraId="72C91A94" w14:textId="25184A76">
      <w:pPr>
        <w:pStyle w:val="standard"/>
      </w:pPr>
      <w:r w:rsidRPr="006C7238">
        <w:t>Public Utilities</w:t>
      </w:r>
      <w:r>
        <w:t xml:space="preserve"> Code (</w:t>
      </w:r>
      <w:r w:rsidRPr="006C7238">
        <w:t>Pub.</w:t>
      </w:r>
      <w:r>
        <w:t> </w:t>
      </w:r>
      <w:r w:rsidRPr="006C7238">
        <w:t>Util.</w:t>
      </w:r>
      <w:r>
        <w:t xml:space="preserve"> Code) Section 1701.5(a) provides that ratesetting proceedings shall be resolved within 18 months of the date the scoping memo is issued, unless the </w:t>
      </w:r>
      <w:r w:rsidRPr="006C7238">
        <w:t xml:space="preserve">California Public Utilities Commission </w:t>
      </w:r>
      <w:r>
        <w:t>(</w:t>
      </w:r>
      <w:r w:rsidRPr="006C7238">
        <w:t>Commission</w:t>
      </w:r>
      <w:r>
        <w:t>) makes a written determination that the deadline cannot be met, including findings as to the reason, and issues an order extending the deadline. The current statutory deadline for resolving this proceeding is January 1, 2026.</w:t>
      </w:r>
    </w:p>
    <w:p w:rsidR="00BD68C6" w:rsidP="00C951DD" w:rsidRDefault="00C951DD" w14:paraId="6859E704" w14:textId="01E51A9E">
      <w:pPr>
        <w:pStyle w:val="standard"/>
      </w:pPr>
      <w:r w:rsidRPr="00C951DD">
        <w:t xml:space="preserve">On May 31, 2022, Pacific Gas and Electric Company filed Application (A.) 22-05-002, seeking review of the Disadvantaged Communities Green Tariff (DAC-GT), Community Solar Green Tariff (CSGT), and Green Tariff Shared </w:t>
      </w:r>
      <w:r w:rsidRPr="00C951DD">
        <w:lastRenderedPageBreak/>
        <w:t>Renewables (GTSR) programs.</w:t>
      </w:r>
      <w:r w:rsidR="00BD68C6">
        <w:t xml:space="preserve"> </w:t>
      </w:r>
      <w:r w:rsidRPr="00BD68C6" w:rsidR="00BD68C6">
        <w:t xml:space="preserve">On May 31, 2022, San Diego Gas &amp; Electric Company (SDG&amp;E) </w:t>
      </w:r>
      <w:r w:rsidR="002606AB">
        <w:t xml:space="preserve">also </w:t>
      </w:r>
      <w:r w:rsidRPr="00BD68C6" w:rsidR="00BD68C6">
        <w:t>filed A.22-05-023, seeking review of SDG&amp;E’s Green Access Programs pursuant to Decision (D.) 18-06-027 and D.21-12-036.</w:t>
      </w:r>
      <w:r w:rsidR="002606AB">
        <w:t xml:space="preserve"> Finally, o</w:t>
      </w:r>
      <w:r w:rsidRPr="002606AB" w:rsidR="002606AB">
        <w:t>n May 31, 2022, Southern California Edison Company (SCE) filed A.22-05-024, seeking review of its DAC-GT, CSGT, and GTSR programs.</w:t>
      </w:r>
      <w:r w:rsidR="00742D7C">
        <w:t xml:space="preserve"> On August 10, 2022, the assigned Administrative Law Judge (ALJ) issued a ruling granting the motion to consolidate three proceedings into one proceeding (A.22-05-022 et al.).</w:t>
      </w:r>
    </w:p>
    <w:p w:rsidR="00C951DD" w:rsidP="006E07FA" w:rsidRDefault="00C951DD" w14:paraId="3495F87E" w14:textId="4C92B391">
      <w:pPr>
        <w:pStyle w:val="standard"/>
      </w:pPr>
      <w:r>
        <w:t xml:space="preserve"> </w:t>
      </w:r>
      <w:r w:rsidRPr="00C46BA3" w:rsidR="00022558">
        <w:t>In</w:t>
      </w:r>
      <w:r w:rsidR="00BD68C6">
        <w:t xml:space="preserve"> </w:t>
      </w:r>
      <w:r w:rsidRPr="00C46BA3" w:rsidR="00022558">
        <w:t>D.24-05-065</w:t>
      </w:r>
      <w:r>
        <w:t>, issued June 7, 2024,</w:t>
      </w:r>
      <w:r w:rsidRPr="00C46BA3" w:rsidR="00022558">
        <w:t xml:space="preserve"> the California Public Utilities Commission (Commission) established a new community renewable energy program and adopted modifications to existing Green Access Program tariffs.</w:t>
      </w:r>
      <w:r w:rsidR="006E07FA">
        <w:t xml:space="preserve"> </w:t>
      </w:r>
      <w:r w:rsidRPr="00C46BA3" w:rsidR="00022558">
        <w:t xml:space="preserve">D.24-05-065 anticipated the need for additional record development to implement the new community renewable energy program and the Green Access Program tariffs modification. </w:t>
      </w:r>
    </w:p>
    <w:p w:rsidR="00A405A7" w:rsidP="00A405A7" w:rsidRDefault="00A405A7" w14:paraId="4464D0F3" w14:textId="456DAA05">
      <w:pPr>
        <w:pStyle w:val="standard"/>
      </w:pPr>
      <w:r>
        <w:t xml:space="preserve">On December 19, 2024, D.24-12-026 extended the statutory deadline for A.22-05-022 et al. to January 1, 2026. </w:t>
      </w:r>
    </w:p>
    <w:p w:rsidR="00C951DD" w:rsidP="00663587" w:rsidRDefault="00022558" w14:paraId="15B17384" w14:textId="39CAB0EC">
      <w:pPr>
        <w:pStyle w:val="standard"/>
      </w:pPr>
      <w:r w:rsidRPr="00C46BA3">
        <w:t xml:space="preserve">On </w:t>
      </w:r>
      <w:r w:rsidRPr="00C46BA3" w:rsidR="00D66AD7">
        <w:t>April 1,</w:t>
      </w:r>
      <w:r w:rsidRPr="00C46BA3">
        <w:t xml:space="preserve"> 202</w:t>
      </w:r>
      <w:r w:rsidRPr="00C46BA3" w:rsidR="00D66AD7">
        <w:t>5</w:t>
      </w:r>
      <w:r w:rsidRPr="00C46BA3">
        <w:t xml:space="preserve">, the assigned </w:t>
      </w:r>
      <w:r w:rsidR="00742D7C">
        <w:t>ALJ</w:t>
      </w:r>
      <w:r w:rsidRPr="00C46BA3">
        <w:t xml:space="preserve"> issued a ruling directing responses to questions regarding implementation of D.24-05-065.</w:t>
      </w:r>
    </w:p>
    <w:p w:rsidRPr="004E66D3" w:rsidR="004E66D3" w:rsidP="00663587" w:rsidRDefault="00022558" w14:paraId="6D8A2A1C" w14:textId="468E1411">
      <w:pPr>
        <w:pStyle w:val="standard"/>
      </w:pPr>
      <w:r w:rsidRPr="00C46BA3">
        <w:t xml:space="preserve">Responding parties filed comments on </w:t>
      </w:r>
      <w:r w:rsidRPr="00C46BA3" w:rsidR="00663587">
        <w:t>April 28</w:t>
      </w:r>
      <w:r w:rsidRPr="00C46BA3">
        <w:t>, 202</w:t>
      </w:r>
      <w:r w:rsidRPr="00C46BA3" w:rsidR="00663587">
        <w:t>5</w:t>
      </w:r>
      <w:r w:rsidRPr="00C46BA3">
        <w:t xml:space="preserve"> and reply comments on </w:t>
      </w:r>
      <w:r w:rsidRPr="00C46BA3" w:rsidR="00663587">
        <w:t>May 8</w:t>
      </w:r>
      <w:r w:rsidRPr="00C46BA3">
        <w:t>, 202</w:t>
      </w:r>
      <w:r w:rsidRPr="00C46BA3" w:rsidR="00663587">
        <w:t>5</w:t>
      </w:r>
      <w:r w:rsidRPr="00C46BA3" w:rsidR="00424B54">
        <w:t xml:space="preserve">. The Commission requires time beyond the current statutory deadline </w:t>
      </w:r>
      <w:r w:rsidR="00341E0F">
        <w:t xml:space="preserve">of </w:t>
      </w:r>
      <w:r w:rsidRPr="00C46BA3" w:rsidR="00424B54">
        <w:t>January 1, 2026</w:t>
      </w:r>
      <w:r w:rsidR="00341E0F">
        <w:t xml:space="preserve"> </w:t>
      </w:r>
      <w:r w:rsidRPr="00C46BA3" w:rsidR="00424B54">
        <w:t xml:space="preserve">to consider appropriate implementation of D.24-05-065. An extension of the statutory deadline to </w:t>
      </w:r>
      <w:r w:rsidRPr="00C46BA3" w:rsidR="00AB7767">
        <w:t>July 1, 2026</w:t>
      </w:r>
      <w:r w:rsidRPr="00C46BA3" w:rsidR="00424B54">
        <w:t xml:space="preserve"> is appropriate to allow</w:t>
      </w:r>
      <w:r w:rsidRPr="00424B54" w:rsidR="00424B54">
        <w:t xml:space="preserve"> sufficient time for the Commission to accomplish this goal.</w:t>
      </w:r>
    </w:p>
    <w:p w:rsidRPr="00CA180C" w:rsidR="00DC64A4" w:rsidP="009E0AA9" w:rsidRDefault="003854D9" w14:paraId="687E5EB8" w14:textId="77777777">
      <w:pPr>
        <w:pStyle w:val="Heading1"/>
        <w:ind w:left="720" w:hanging="720"/>
      </w:pPr>
      <w:r>
        <w:t>Waiver of Comment Period</w:t>
      </w:r>
    </w:p>
    <w:p w:rsidRPr="00A80752" w:rsidR="006D6900" w:rsidP="00341E0F" w:rsidRDefault="003854D9" w14:paraId="73310196" w14:textId="356E6906">
      <w:pPr>
        <w:pStyle w:val="standard"/>
        <w:rPr>
          <w:rFonts w:ascii="Book Antiqua" w:hAnsi="Book Antiqua"/>
        </w:rPr>
      </w:pPr>
      <w:r w:rsidRPr="00DD5BB0">
        <w:rPr>
          <w:rFonts w:ascii="Book Antiqua" w:hAnsi="Book Antiqua"/>
        </w:rPr>
        <w:t>Under Rule</w:t>
      </w:r>
      <w:r w:rsidR="00E06CF4">
        <w:rPr>
          <w:rFonts w:ascii="Book Antiqua" w:hAnsi="Book Antiqua"/>
        </w:rPr>
        <w:t> </w:t>
      </w:r>
      <w:r w:rsidRPr="00DD5BB0">
        <w:rPr>
          <w:rFonts w:ascii="Book Antiqua" w:hAnsi="Book Antiqua"/>
        </w:rPr>
        <w:t xml:space="preserve">14.6(c)(4) of the Commission’s Rules of Practice and Procedure, the Commission may waive the otherwise applicable 30-day period for public review and comment on a decision that extends </w:t>
      </w:r>
      <w:r w:rsidR="00A35BD7">
        <w:rPr>
          <w:rFonts w:ascii="Book Antiqua" w:hAnsi="Book Antiqua"/>
        </w:rPr>
        <w:t xml:space="preserve">the deadline for </w:t>
      </w:r>
      <w:r w:rsidR="00A35BD7">
        <w:rPr>
          <w:rFonts w:ascii="Book Antiqua" w:hAnsi="Book Antiqua"/>
        </w:rPr>
        <w:lastRenderedPageBreak/>
        <w:t xml:space="preserve">resolving ratesetting or quasi-legislative proceedings pursuant to </w:t>
      </w:r>
      <w:r w:rsidR="00255A5B">
        <w:rPr>
          <w:rFonts w:ascii="Book Antiqua" w:hAnsi="Book Antiqua"/>
        </w:rPr>
        <w:t>Public Utilities (</w:t>
      </w:r>
      <w:r w:rsidR="00E06CF4">
        <w:t>Pub. Util.</w:t>
      </w:r>
      <w:r w:rsidR="00255A5B">
        <w:t>)</w:t>
      </w:r>
      <w:r w:rsidR="00E06CF4">
        <w:t xml:space="preserve"> Code Section 1701.5</w:t>
      </w:r>
      <w:r w:rsidRPr="00DD5BB0">
        <w:rPr>
          <w:rFonts w:ascii="Book Antiqua" w:hAnsi="Book Antiqua"/>
        </w:rPr>
        <w:t>.  Under the circumstances of this proceeding, it is appropriate to waive the 30-day period for public review and comment.</w:t>
      </w:r>
    </w:p>
    <w:p w:rsidRPr="00CA180C" w:rsidR="006D6900" w:rsidP="009E0AA9" w:rsidRDefault="003854D9" w14:paraId="3A16CAA8" w14:textId="77777777">
      <w:pPr>
        <w:pStyle w:val="Heading1"/>
        <w:ind w:left="720" w:hanging="720"/>
      </w:pPr>
      <w:bookmarkStart w:name="_Hlk34241689" w:id="0"/>
      <w:r>
        <w:t>Assignment of Proceeding</w:t>
      </w:r>
    </w:p>
    <w:p w:rsidRPr="00A80752" w:rsidR="006D6900" w:rsidP="006D6900" w:rsidRDefault="00622FE7" w14:paraId="17696FEB" w14:textId="48482B9B">
      <w:pPr>
        <w:pStyle w:val="standard"/>
        <w:rPr>
          <w:rFonts w:ascii="Book Antiqua" w:hAnsi="Book Antiqua"/>
        </w:rPr>
      </w:pPr>
      <w:r>
        <w:rPr>
          <w:rFonts w:ascii="Book Antiqua" w:hAnsi="Book Antiqua"/>
        </w:rPr>
        <w:t>Alice Reynolds</w:t>
      </w:r>
      <w:r w:rsidR="003854D9">
        <w:rPr>
          <w:rFonts w:ascii="Book Antiqua" w:hAnsi="Book Antiqua"/>
        </w:rPr>
        <w:t xml:space="preserve"> is the assigned Commissioner and </w:t>
      </w:r>
      <w:r>
        <w:rPr>
          <w:rFonts w:ascii="Book Antiqua" w:hAnsi="Book Antiqua"/>
        </w:rPr>
        <w:t>Valerie U. Kao</w:t>
      </w:r>
      <w:r w:rsidR="003854D9">
        <w:rPr>
          <w:rFonts w:ascii="Book Antiqua" w:hAnsi="Book Antiqua"/>
        </w:rPr>
        <w:t xml:space="preserve"> is the assigned Administrative Law Judge and presiding officer in this proceeding</w:t>
      </w:r>
      <w:r w:rsidR="00347701">
        <w:rPr>
          <w:rFonts w:ascii="Book Antiqua" w:hAnsi="Book Antiqua"/>
        </w:rPr>
        <w:t>.</w:t>
      </w:r>
    </w:p>
    <w:bookmarkEnd w:id="0"/>
    <w:p w:rsidRPr="003854D9" w:rsidR="006D6900" w:rsidP="003854D9" w:rsidRDefault="003854D9" w14:paraId="42F73887" w14:textId="77777777">
      <w:pPr>
        <w:pStyle w:val="Heading1"/>
        <w:numPr>
          <w:ilvl w:val="0"/>
          <w:numId w:val="0"/>
        </w:numPr>
        <w:ind w:left="475" w:hanging="475"/>
      </w:pPr>
      <w:r>
        <w:t xml:space="preserve">Findings of Fact </w:t>
      </w:r>
    </w:p>
    <w:p w:rsidR="0070712E" w:rsidP="00BE6381" w:rsidRDefault="00F60A93" w14:paraId="214068B0" w14:textId="3581F448">
      <w:pPr>
        <w:pStyle w:val="num1"/>
        <w:rPr>
          <w:rFonts w:ascii="Book Antiqua" w:hAnsi="Book Antiqua"/>
        </w:rPr>
      </w:pPr>
      <w:r>
        <w:rPr>
          <w:rFonts w:ascii="Book Antiqua" w:hAnsi="Book Antiqua"/>
        </w:rPr>
        <w:t>The current statutory deadline for resolving</w:t>
      </w:r>
      <w:r w:rsidR="00DC1A8E">
        <w:rPr>
          <w:rFonts w:ascii="Book Antiqua" w:hAnsi="Book Antiqua"/>
        </w:rPr>
        <w:t xml:space="preserve"> A.22-05-022 et al. is January 1, 2026</w:t>
      </w:r>
      <w:r w:rsidR="0070712E">
        <w:rPr>
          <w:rFonts w:ascii="Book Antiqua" w:hAnsi="Book Antiqua"/>
        </w:rPr>
        <w:t>.</w:t>
      </w:r>
    </w:p>
    <w:p w:rsidR="0070712E" w:rsidP="00BE6381" w:rsidRDefault="00DC1A8E" w14:paraId="3EFCF304" w14:textId="0CA5CCAA">
      <w:pPr>
        <w:pStyle w:val="num1"/>
        <w:rPr>
          <w:rFonts w:ascii="Book Antiqua" w:hAnsi="Book Antiqua"/>
        </w:rPr>
      </w:pPr>
      <w:r w:rsidRPr="00424B54">
        <w:rPr>
          <w:rFonts w:ascii="Book Antiqua" w:hAnsi="Book Antiqua"/>
        </w:rPr>
        <w:t>A.22-05-022 et al.</w:t>
      </w:r>
      <w:r w:rsidRPr="00424B54" w:rsidR="0070712E">
        <w:rPr>
          <w:rFonts w:ascii="Book Antiqua" w:hAnsi="Book Antiqua"/>
        </w:rPr>
        <w:t xml:space="preserve"> cannot</w:t>
      </w:r>
      <w:r w:rsidR="0070712E">
        <w:rPr>
          <w:rFonts w:ascii="Book Antiqua" w:hAnsi="Book Antiqua"/>
        </w:rPr>
        <w:t xml:space="preserve"> be completed by</w:t>
      </w:r>
      <w:r>
        <w:rPr>
          <w:rFonts w:ascii="Book Antiqua" w:hAnsi="Book Antiqua"/>
        </w:rPr>
        <w:t xml:space="preserve"> January 1, 2026</w:t>
      </w:r>
      <w:r w:rsidR="0070712E">
        <w:rPr>
          <w:rFonts w:ascii="Book Antiqua" w:hAnsi="Book Antiqua"/>
        </w:rPr>
        <w:t>.</w:t>
      </w:r>
    </w:p>
    <w:p w:rsidRPr="003829E4" w:rsidR="0070712E" w:rsidP="003829E4" w:rsidRDefault="0070712E" w14:paraId="0903BA72" w14:textId="79566151">
      <w:pPr>
        <w:pStyle w:val="num1"/>
        <w:rPr>
          <w:rFonts w:ascii="Book Antiqua" w:hAnsi="Book Antiqua"/>
        </w:rPr>
      </w:pPr>
      <w:r>
        <w:rPr>
          <w:rFonts w:ascii="Book Antiqua" w:hAnsi="Book Antiqua"/>
        </w:rPr>
        <w:t xml:space="preserve">An extension of the statutory deadline until </w:t>
      </w:r>
      <w:r w:rsidR="00F27E74">
        <w:rPr>
          <w:rFonts w:ascii="Book Antiqua" w:hAnsi="Book Antiqua"/>
        </w:rPr>
        <w:t>July 1, 2026</w:t>
      </w:r>
      <w:r>
        <w:rPr>
          <w:rFonts w:ascii="Book Antiqua" w:hAnsi="Book Antiqua"/>
        </w:rPr>
        <w:t xml:space="preserve"> is necessary to allow adequate time to complete this </w:t>
      </w:r>
      <w:r w:rsidR="00F60A93">
        <w:rPr>
          <w:rFonts w:ascii="Book Antiqua" w:hAnsi="Book Antiqua"/>
        </w:rPr>
        <w:t>proceeding</w:t>
      </w:r>
      <w:r w:rsidRPr="00A80752" w:rsidR="00BE6381">
        <w:rPr>
          <w:rFonts w:ascii="Book Antiqua" w:hAnsi="Book Antiqua"/>
        </w:rPr>
        <w:t>.</w:t>
      </w:r>
      <w:bookmarkStart w:name="_Hlk10631608" w:id="1"/>
    </w:p>
    <w:p w:rsidR="00904595" w:rsidP="00904595" w:rsidRDefault="00904595" w14:paraId="6F1460A8" w14:textId="77777777">
      <w:pPr>
        <w:keepNext/>
        <w:tabs>
          <w:tab w:val="left" w:pos="6973"/>
        </w:tabs>
        <w:spacing w:before="120" w:line="360" w:lineRule="auto"/>
        <w:rPr>
          <w:rFonts w:ascii="Helvetica" w:hAnsi="Helvetica"/>
          <w:b/>
          <w:kern w:val="28"/>
        </w:rPr>
      </w:pPr>
      <w:r>
        <w:rPr>
          <w:rFonts w:ascii="Helvetica" w:hAnsi="Helvetica"/>
          <w:b/>
          <w:kern w:val="28"/>
        </w:rPr>
        <w:t>Conclusion of Law</w:t>
      </w:r>
    </w:p>
    <w:bookmarkEnd w:id="1"/>
    <w:p w:rsidR="00347701" w:rsidP="00347701" w:rsidRDefault="00347701" w14:paraId="7BCD048A" w14:textId="696B5F72">
      <w:pPr>
        <w:pStyle w:val="CoL"/>
        <w:ind w:firstLine="547"/>
      </w:pPr>
      <w:r w:rsidRPr="00DD5BB0">
        <w:t>Pursuant to the authority granted to the Commission under Pub.</w:t>
      </w:r>
      <w:r>
        <w:t> </w:t>
      </w:r>
      <w:r w:rsidRPr="00DD5BB0">
        <w:t xml:space="preserve">Util. Code </w:t>
      </w:r>
      <w:r>
        <w:t>Section </w:t>
      </w:r>
      <w:r w:rsidRPr="00DD5BB0">
        <w:t>1701.</w:t>
      </w:r>
      <w:r>
        <w:t>5(a)</w:t>
      </w:r>
      <w:r w:rsidRPr="00DD5BB0">
        <w:t xml:space="preserve">, the statutory deadline should be extended to </w:t>
      </w:r>
      <w:r w:rsidR="00F27E74">
        <w:t>July 1, 2026</w:t>
      </w:r>
      <w:r w:rsidRPr="00DD5BB0">
        <w:t>.</w:t>
      </w:r>
    </w:p>
    <w:p w:rsidRPr="00DD5BB0" w:rsidR="00904595" w:rsidP="00904595" w:rsidRDefault="00904595" w14:paraId="0334178D" w14:textId="76F3FB86">
      <w:pPr>
        <w:pStyle w:val="standard"/>
        <w:keepNext/>
        <w:keepLines/>
        <w:spacing w:before="120"/>
        <w:rPr>
          <w:rFonts w:ascii="Book Antiqua" w:hAnsi="Book Antiqua"/>
        </w:rPr>
      </w:pPr>
      <w:r w:rsidRPr="00DD5BB0">
        <w:rPr>
          <w:rFonts w:ascii="Book Antiqua" w:hAnsi="Book Antiqua"/>
          <w:b/>
        </w:rPr>
        <w:t>IT IS ORDERED</w:t>
      </w:r>
      <w:r w:rsidRPr="00DD5BB0">
        <w:rPr>
          <w:rFonts w:ascii="Book Antiqua" w:hAnsi="Book Antiqua"/>
        </w:rPr>
        <w:t xml:space="preserve"> that the statutory deadline for completion of this proceeding is extended until </w:t>
      </w:r>
      <w:r w:rsidR="000706C8">
        <w:rPr>
          <w:rFonts w:ascii="Book Antiqua" w:hAnsi="Book Antiqua"/>
        </w:rPr>
        <w:t>July 1, 2026</w:t>
      </w:r>
      <w:r w:rsidR="000C411F">
        <w:rPr>
          <w:rFonts w:ascii="Book Antiqua" w:hAnsi="Book Antiqua"/>
        </w:rPr>
        <w:t>.</w:t>
      </w:r>
    </w:p>
    <w:p w:rsidRPr="00DD5BB0" w:rsidR="00904595" w:rsidP="00904595" w:rsidRDefault="00904595" w14:paraId="0078219E" w14:textId="77777777">
      <w:pPr>
        <w:pStyle w:val="standard"/>
        <w:keepNext/>
        <w:keepLines/>
        <w:rPr>
          <w:rFonts w:ascii="Book Antiqua" w:hAnsi="Book Antiqua"/>
        </w:rPr>
      </w:pPr>
      <w:r w:rsidRPr="00DD5BB0">
        <w:rPr>
          <w:rFonts w:ascii="Book Antiqua" w:hAnsi="Book Antiqua"/>
        </w:rPr>
        <w:t>This order is effective today.</w:t>
      </w:r>
    </w:p>
    <w:p w:rsidRPr="00DD5BB0" w:rsidR="00904595" w:rsidP="00904595" w:rsidRDefault="00904595" w14:paraId="1BAE5004" w14:textId="0E31F5FD">
      <w:pPr>
        <w:pStyle w:val="standard"/>
        <w:keepNext/>
        <w:keepLines/>
        <w:rPr>
          <w:rFonts w:ascii="Book Antiqua" w:hAnsi="Book Antiqua"/>
          <w:szCs w:val="26"/>
        </w:rPr>
      </w:pPr>
      <w:proofErr w:type="gramStart"/>
      <w:r w:rsidRPr="00DD5BB0">
        <w:rPr>
          <w:rFonts w:ascii="Book Antiqua" w:hAnsi="Book Antiqua"/>
          <w:szCs w:val="26"/>
        </w:rPr>
        <w:t xml:space="preserve">Dated </w:t>
      </w:r>
      <w:r w:rsidR="009842E0">
        <w:rPr>
          <w:rFonts w:ascii="Book Antiqua" w:hAnsi="Book Antiqua"/>
          <w:szCs w:val="26"/>
        </w:rPr>
        <w:t>November</w:t>
      </w:r>
      <w:proofErr w:type="gramEnd"/>
      <w:r w:rsidR="009842E0">
        <w:rPr>
          <w:rFonts w:ascii="Book Antiqua" w:hAnsi="Book Antiqua"/>
          <w:szCs w:val="26"/>
        </w:rPr>
        <w:t xml:space="preserve"> ___, 2025</w:t>
      </w:r>
      <w:r w:rsidRPr="00DD5BB0">
        <w:rPr>
          <w:rFonts w:ascii="Book Antiqua" w:hAnsi="Book Antiqua"/>
          <w:szCs w:val="26"/>
        </w:rPr>
        <w:t xml:space="preserve">, </w:t>
      </w:r>
      <w:proofErr w:type="gramStart"/>
      <w:r w:rsidRPr="00DD5BB0">
        <w:rPr>
          <w:rFonts w:ascii="Book Antiqua" w:hAnsi="Book Antiqua"/>
          <w:szCs w:val="26"/>
        </w:rPr>
        <w:t>at</w:t>
      </w:r>
      <w:proofErr w:type="gramEnd"/>
      <w:r w:rsidR="009842E0">
        <w:rPr>
          <w:rFonts w:ascii="Book Antiqua" w:hAnsi="Book Antiqua"/>
          <w:szCs w:val="26"/>
        </w:rPr>
        <w:t xml:space="preserve"> Sacramento</w:t>
      </w:r>
      <w:r w:rsidRPr="00DD5BB0">
        <w:rPr>
          <w:rFonts w:ascii="Book Antiqua" w:hAnsi="Book Antiqua"/>
          <w:szCs w:val="26"/>
        </w:rPr>
        <w:t>, California.</w:t>
      </w:r>
    </w:p>
    <w:p w:rsidRPr="00DD5BB0" w:rsidR="00904595" w:rsidP="00C47A02" w:rsidRDefault="00904595" w14:paraId="09407AF9" w14:textId="77777777">
      <w:pPr>
        <w:keepNext/>
        <w:keepLines/>
        <w:autoSpaceDE w:val="0"/>
        <w:autoSpaceDN w:val="0"/>
        <w:adjustRightInd w:val="0"/>
        <w:ind w:left="4320"/>
        <w:jc w:val="both"/>
        <w:rPr>
          <w:rFonts w:ascii="Book Antiqua" w:hAnsi="Book Antiqua" w:cs="Palatino"/>
          <w:szCs w:val="26"/>
        </w:rPr>
      </w:pPr>
    </w:p>
    <w:sectPr w:rsidRPr="00DD5BB0" w:rsidR="00904595" w:rsidSect="001F3624">
      <w:headerReference w:type="default" r:id="rId11"/>
      <w:footerReference w:type="default" r:id="rId12"/>
      <w:footerReference w:type="first" r:id="rId13"/>
      <w:pgSz w:w="12240" w:h="15840" w:code="1"/>
      <w:pgMar w:top="172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3C3E" w14:textId="77777777" w:rsidR="001B2A18" w:rsidRDefault="001B2A18">
      <w:r>
        <w:separator/>
      </w:r>
    </w:p>
  </w:endnote>
  <w:endnote w:type="continuationSeparator" w:id="0">
    <w:p w14:paraId="13727D4D" w14:textId="77777777" w:rsidR="001B2A18" w:rsidRDefault="001B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99B" w14:textId="77777777"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9B87" w14:textId="6A13D383" w:rsidR="00787BB6" w:rsidRPr="00A80752" w:rsidRDefault="000500D1">
    <w:pPr>
      <w:pStyle w:val="Footer"/>
      <w:jc w:val="left"/>
      <w:rPr>
        <w:rFonts w:ascii="Arial" w:hAnsi="Arial"/>
        <w:sz w:val="16"/>
      </w:rPr>
    </w:pPr>
    <w:r w:rsidRPr="000500D1">
      <w:rPr>
        <w:rFonts w:ascii="Book Antiqua" w:hAnsi="Book Antiqua"/>
        <w:sz w:val="16"/>
      </w:rPr>
      <w:t>588829365</w:t>
    </w:r>
    <w:r w:rsidR="00787BB6" w:rsidRPr="00A80752">
      <w:rPr>
        <w:rFonts w:ascii="Arial" w:hAnsi="Arial"/>
        <w:sz w:val="16"/>
      </w:rPr>
      <w:tab/>
    </w:r>
    <w:r w:rsidR="00FB4DAD">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1</w:t>
    </w:r>
    <w:r w:rsidR="00A80752" w:rsidRPr="00A80752">
      <w:rPr>
        <w:rFonts w:ascii="Book Antiqua" w:hAnsi="Book Antiqua"/>
        <w:noProof/>
      </w:rPr>
      <w:fldChar w:fldCharType="end"/>
    </w:r>
    <w:r w:rsidR="00A80752" w:rsidRPr="00A80752">
      <w:rPr>
        <w:rFonts w:ascii="Book Antiqua" w:hAnsi="Book Antiqua"/>
      </w:rPr>
      <w:t xml:space="preserve"> </w:t>
    </w:r>
    <w:r w:rsidR="00FB4DAD">
      <w:rPr>
        <w:rFonts w:ascii="Book Antiqua" w:hAnsi="Book Antiqua"/>
      </w:rPr>
      <w:noBreakHyphen/>
    </w:r>
    <w:r w:rsidR="00A80752" w:rsidRPr="00A80752">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EB27" w14:textId="77777777" w:rsidR="001B2A18" w:rsidRDefault="001B2A18">
      <w:r>
        <w:separator/>
      </w:r>
    </w:p>
  </w:footnote>
  <w:footnote w:type="continuationSeparator" w:id="0">
    <w:p w14:paraId="36AAD64F" w14:textId="77777777" w:rsidR="001B2A18" w:rsidRDefault="001B2A18">
      <w:r>
        <w:continuationSeparator/>
      </w:r>
    </w:p>
  </w:footnote>
  <w:footnote w:type="continuationNotice" w:id="1">
    <w:p w14:paraId="540BADC9" w14:textId="77777777" w:rsidR="001B2A18" w:rsidRDefault="001B2A18">
      <w:pPr>
        <w:rPr>
          <w:sz w:val="22"/>
        </w:rPr>
      </w:pPr>
    </w:p>
    <w:p w14:paraId="5F16DE72" w14:textId="77777777" w:rsidR="001B2A18" w:rsidRDefault="001B2A18">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408D" w14:textId="5CC7E9DD" w:rsidR="001024AA" w:rsidRDefault="00DC1A8E" w:rsidP="00E06CF4">
    <w:pPr>
      <w:tabs>
        <w:tab w:val="right" w:pos="9360"/>
      </w:tabs>
      <w:rPr>
        <w:rFonts w:ascii="Book Antiqua" w:hAnsi="Book Antiqua"/>
      </w:rPr>
    </w:pPr>
    <w:r>
      <w:rPr>
        <w:rFonts w:ascii="Book Antiqua" w:hAnsi="Book Antiqua"/>
      </w:rPr>
      <w:t>A.22-05-022 et al.</w:t>
    </w:r>
    <w:r w:rsidR="00E06CF4">
      <w:rPr>
        <w:rFonts w:ascii="Book Antiqua" w:hAnsi="Book Antiqua"/>
      </w:rPr>
      <w:t xml:space="preserve"> </w:t>
    </w:r>
    <w:r>
      <w:rPr>
        <w:rFonts w:ascii="Book Antiqua" w:hAnsi="Book Antiqua"/>
      </w:rPr>
      <w:t>ALJ</w:t>
    </w:r>
    <w:r w:rsidR="00E06CF4">
      <w:rPr>
        <w:rFonts w:ascii="Book Antiqua" w:hAnsi="Book Antiqua"/>
      </w:rPr>
      <w:t>/</w:t>
    </w:r>
    <w:r>
      <w:rPr>
        <w:rFonts w:ascii="Book Antiqua" w:hAnsi="Book Antiqua"/>
      </w:rPr>
      <w:t>VUK</w:t>
    </w:r>
    <w:r w:rsidR="00C951DD">
      <w:rPr>
        <w:rFonts w:ascii="Book Antiqua" w:hAnsi="Book Antiqua"/>
      </w:rPr>
      <w:t>/</w:t>
    </w:r>
    <w:r w:rsidR="009842E0">
      <w:rPr>
        <w:rFonts w:ascii="Book Antiqua" w:hAnsi="Book Antiqua"/>
      </w:rPr>
      <w:t>cg7</w:t>
    </w:r>
    <w:r w:rsidR="00E06CF4">
      <w:rPr>
        <w:rFonts w:ascii="Book Antiqua" w:hAnsi="Book Antiqua"/>
      </w:rPr>
      <w:tab/>
    </w:r>
    <w:r w:rsidR="00E06CF4" w:rsidRPr="009842E0">
      <w:rPr>
        <w:rFonts w:ascii="Book Antiqua" w:hAnsi="Book Antiqua"/>
        <w:b/>
        <w:bCs/>
      </w:rPr>
      <w:t>PROPOSED DECISION</w:t>
    </w:r>
  </w:p>
  <w:p w14:paraId="1D307457" w14:textId="77777777" w:rsidR="00E06CF4" w:rsidRPr="001024AA" w:rsidRDefault="00E06CF4" w:rsidP="001024AA">
    <w:pP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7060642"/>
    <w:multiLevelType w:val="singleLevel"/>
    <w:tmpl w:val="F3AE1DA0"/>
    <w:lvl w:ilvl="0">
      <w:start w:val="1"/>
      <w:numFmt w:val="decimal"/>
      <w:lvlText w:val="%1."/>
      <w:legacy w:legacy="1" w:legacySpace="0" w:legacyIndent="0"/>
      <w:lvlJc w:val="left"/>
    </w:lvl>
  </w:abstractNum>
  <w:abstractNum w:abstractNumId="9" w15:restartNumberingAfterBreak="0">
    <w:nsid w:val="1B1F2A61"/>
    <w:multiLevelType w:val="singleLevel"/>
    <w:tmpl w:val="E46A7320"/>
    <w:lvl w:ilvl="0">
      <w:start w:val="1"/>
      <w:numFmt w:val="decimal"/>
      <w:lvlText w:val="%1."/>
      <w:legacy w:legacy="1" w:legacySpace="144" w:legacyIndent="0"/>
      <w:lvlJc w:val="left"/>
    </w:lvl>
  </w:abstractNum>
  <w:abstractNum w:abstractNumId="10"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0E62B6"/>
    <w:multiLevelType w:val="singleLevel"/>
    <w:tmpl w:val="F3AE1DA0"/>
    <w:lvl w:ilvl="0">
      <w:start w:val="1"/>
      <w:numFmt w:val="decimal"/>
      <w:lvlText w:val="%1."/>
      <w:legacy w:legacy="1" w:legacySpace="0" w:legacyIndent="0"/>
      <w:lvlJc w:val="left"/>
    </w:lvl>
  </w:abstractNum>
  <w:abstractNum w:abstractNumId="15" w15:restartNumberingAfterBreak="0">
    <w:nsid w:val="2A832F16"/>
    <w:multiLevelType w:val="singleLevel"/>
    <w:tmpl w:val="E46A7320"/>
    <w:lvl w:ilvl="0">
      <w:start w:val="1"/>
      <w:numFmt w:val="decimal"/>
      <w:lvlText w:val="%1."/>
      <w:legacy w:legacy="1" w:legacySpace="144" w:legacyIndent="0"/>
      <w:lvlJc w:val="left"/>
    </w:lvl>
  </w:abstractNum>
  <w:abstractNum w:abstractNumId="16" w15:restartNumberingAfterBreak="0">
    <w:nsid w:val="2D6B1AE0"/>
    <w:multiLevelType w:val="singleLevel"/>
    <w:tmpl w:val="F3AE1DA0"/>
    <w:lvl w:ilvl="0">
      <w:start w:val="1"/>
      <w:numFmt w:val="decimal"/>
      <w:lvlText w:val="%1."/>
      <w:legacy w:legacy="1" w:legacySpace="0" w:legacyIndent="0"/>
      <w:lvlJc w:val="left"/>
    </w:lvl>
  </w:abstractNum>
  <w:abstractNum w:abstractNumId="17" w15:restartNumberingAfterBreak="0">
    <w:nsid w:val="30C65E0A"/>
    <w:multiLevelType w:val="singleLevel"/>
    <w:tmpl w:val="E46A7320"/>
    <w:lvl w:ilvl="0">
      <w:start w:val="1"/>
      <w:numFmt w:val="decimal"/>
      <w:lvlText w:val="%1."/>
      <w:legacy w:legacy="1" w:legacySpace="144" w:legacyIndent="0"/>
      <w:lvlJc w:val="left"/>
    </w:lvl>
  </w:abstractNum>
  <w:abstractNum w:abstractNumId="18" w15:restartNumberingAfterBreak="0">
    <w:nsid w:val="31BB081B"/>
    <w:multiLevelType w:val="singleLevel"/>
    <w:tmpl w:val="E46A7320"/>
    <w:lvl w:ilvl="0">
      <w:start w:val="1"/>
      <w:numFmt w:val="decimal"/>
      <w:lvlText w:val="%1."/>
      <w:legacy w:legacy="1" w:legacySpace="144" w:legacyIndent="0"/>
      <w:lvlJc w:val="left"/>
    </w:lvl>
  </w:abstractNum>
  <w:abstractNum w:abstractNumId="19" w15:restartNumberingAfterBreak="0">
    <w:nsid w:val="33F61F84"/>
    <w:multiLevelType w:val="singleLevel"/>
    <w:tmpl w:val="F3AE1DA0"/>
    <w:lvl w:ilvl="0">
      <w:start w:val="1"/>
      <w:numFmt w:val="decimal"/>
      <w:lvlText w:val="%1."/>
      <w:legacy w:legacy="1" w:legacySpace="0" w:legacyIndent="0"/>
      <w:lvlJc w:val="left"/>
    </w:lvl>
  </w:abstractNum>
  <w:abstractNum w:abstractNumId="20"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236"/>
    <w:multiLevelType w:val="singleLevel"/>
    <w:tmpl w:val="F3AE1DA0"/>
    <w:lvl w:ilvl="0">
      <w:start w:val="1"/>
      <w:numFmt w:val="decimal"/>
      <w:lvlText w:val="%1."/>
      <w:legacy w:legacy="1" w:legacySpace="0" w:legacyIndent="0"/>
      <w:lvlJc w:val="left"/>
    </w:lvl>
  </w:abstractNum>
  <w:abstractNum w:abstractNumId="22" w15:restartNumberingAfterBreak="0">
    <w:nsid w:val="3CC22DAD"/>
    <w:multiLevelType w:val="singleLevel"/>
    <w:tmpl w:val="E46A7320"/>
    <w:lvl w:ilvl="0">
      <w:start w:val="1"/>
      <w:numFmt w:val="decimal"/>
      <w:lvlText w:val="%1."/>
      <w:legacy w:legacy="1" w:legacySpace="144" w:legacyIndent="0"/>
      <w:lvlJc w:val="left"/>
    </w:lvl>
  </w:abstractNum>
  <w:abstractNum w:abstractNumId="23"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E7753"/>
    <w:multiLevelType w:val="singleLevel"/>
    <w:tmpl w:val="F3AE1DA0"/>
    <w:lvl w:ilvl="0">
      <w:start w:val="1"/>
      <w:numFmt w:val="decimal"/>
      <w:lvlText w:val="%1."/>
      <w:legacy w:legacy="1" w:legacySpace="0" w:legacyIndent="0"/>
      <w:lvlJc w:val="left"/>
    </w:lvl>
  </w:abstractNum>
  <w:abstractNum w:abstractNumId="25" w15:restartNumberingAfterBreak="0">
    <w:nsid w:val="42BF523E"/>
    <w:multiLevelType w:val="singleLevel"/>
    <w:tmpl w:val="F3AE1DA0"/>
    <w:lvl w:ilvl="0">
      <w:start w:val="1"/>
      <w:numFmt w:val="decimal"/>
      <w:lvlText w:val="%1."/>
      <w:legacy w:legacy="1" w:legacySpace="0" w:legacyIndent="0"/>
      <w:lvlJc w:val="left"/>
    </w:lvl>
  </w:abstractNum>
  <w:abstractNum w:abstractNumId="26" w15:restartNumberingAfterBreak="0">
    <w:nsid w:val="453077A7"/>
    <w:multiLevelType w:val="singleLevel"/>
    <w:tmpl w:val="E46A7320"/>
    <w:lvl w:ilvl="0">
      <w:start w:val="1"/>
      <w:numFmt w:val="decimal"/>
      <w:lvlText w:val="%1."/>
      <w:legacy w:legacy="1" w:legacySpace="144" w:legacyIndent="0"/>
      <w:lvlJc w:val="left"/>
    </w:lvl>
  </w:abstractNum>
  <w:abstractNum w:abstractNumId="27"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8" w15:restartNumberingAfterBreak="0">
    <w:nsid w:val="4C9C4791"/>
    <w:multiLevelType w:val="singleLevel"/>
    <w:tmpl w:val="F3AE1DA0"/>
    <w:lvl w:ilvl="0">
      <w:start w:val="1"/>
      <w:numFmt w:val="decimal"/>
      <w:lvlText w:val="%1."/>
      <w:legacy w:legacy="1" w:legacySpace="0" w:legacyIndent="0"/>
      <w:lvlJc w:val="left"/>
    </w:lvl>
  </w:abstractNum>
  <w:abstractNum w:abstractNumId="29"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0FD3C73"/>
    <w:multiLevelType w:val="singleLevel"/>
    <w:tmpl w:val="E46A7320"/>
    <w:lvl w:ilvl="0">
      <w:start w:val="1"/>
      <w:numFmt w:val="decimal"/>
      <w:lvlText w:val="%1."/>
      <w:legacy w:legacy="1" w:legacySpace="144" w:legacyIndent="0"/>
      <w:lvlJc w:val="left"/>
    </w:lvl>
  </w:abstractNum>
  <w:abstractNum w:abstractNumId="31" w15:restartNumberingAfterBreak="0">
    <w:nsid w:val="55770878"/>
    <w:multiLevelType w:val="singleLevel"/>
    <w:tmpl w:val="F3AE1DA0"/>
    <w:lvl w:ilvl="0">
      <w:start w:val="1"/>
      <w:numFmt w:val="decimal"/>
      <w:lvlText w:val="%1."/>
      <w:legacy w:legacy="1" w:legacySpace="0" w:legacyIndent="0"/>
      <w:lvlJc w:val="left"/>
    </w:lvl>
  </w:abstractNum>
  <w:abstractNum w:abstractNumId="32" w15:restartNumberingAfterBreak="0">
    <w:nsid w:val="584A4699"/>
    <w:multiLevelType w:val="singleLevel"/>
    <w:tmpl w:val="F3AE1DA0"/>
    <w:lvl w:ilvl="0">
      <w:start w:val="1"/>
      <w:numFmt w:val="decimal"/>
      <w:lvlText w:val="%1."/>
      <w:legacy w:legacy="1" w:legacySpace="0" w:legacyIndent="0"/>
      <w:lvlJc w:val="left"/>
    </w:lvl>
  </w:abstractNum>
  <w:abstractNum w:abstractNumId="33"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3D1C82"/>
    <w:multiLevelType w:val="singleLevel"/>
    <w:tmpl w:val="F3AE1DA0"/>
    <w:lvl w:ilvl="0">
      <w:start w:val="1"/>
      <w:numFmt w:val="decimal"/>
      <w:lvlText w:val="%1."/>
      <w:legacy w:legacy="1" w:legacySpace="0" w:legacyIndent="0"/>
      <w:lvlJc w:val="left"/>
    </w:lvl>
  </w:abstractNum>
  <w:abstractNum w:abstractNumId="35" w15:restartNumberingAfterBreak="0">
    <w:nsid w:val="69941F85"/>
    <w:multiLevelType w:val="singleLevel"/>
    <w:tmpl w:val="F3AE1DA0"/>
    <w:lvl w:ilvl="0">
      <w:start w:val="1"/>
      <w:numFmt w:val="decimal"/>
      <w:lvlText w:val="%1."/>
      <w:legacy w:legacy="1" w:legacySpace="0" w:legacyIndent="0"/>
      <w:lvlJc w:val="left"/>
    </w:lvl>
  </w:abstractNum>
  <w:abstractNum w:abstractNumId="36" w15:restartNumberingAfterBreak="0">
    <w:nsid w:val="7D142BE1"/>
    <w:multiLevelType w:val="singleLevel"/>
    <w:tmpl w:val="E46A7320"/>
    <w:lvl w:ilvl="0">
      <w:start w:val="1"/>
      <w:numFmt w:val="decimal"/>
      <w:lvlText w:val="%1."/>
      <w:legacy w:legacy="1" w:legacySpace="144" w:legacyIndent="0"/>
      <w:lvlJc w:val="left"/>
    </w:lvl>
  </w:abstractNum>
  <w:abstractNum w:abstractNumId="37" w15:restartNumberingAfterBreak="0">
    <w:nsid w:val="7D905A9E"/>
    <w:multiLevelType w:val="singleLevel"/>
    <w:tmpl w:val="F3AE1DA0"/>
    <w:lvl w:ilvl="0">
      <w:start w:val="1"/>
      <w:numFmt w:val="decimal"/>
      <w:lvlText w:val="%1."/>
      <w:legacy w:legacy="1" w:legacySpace="0" w:legacyIndent="0"/>
      <w:lvlJc w:val="left"/>
    </w:lvl>
  </w:abstractNum>
  <w:abstractNum w:abstractNumId="38"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4"/>
  </w:num>
  <w:num w:numId="2" w16cid:durableId="1392148201">
    <w:abstractNumId w:val="35"/>
  </w:num>
  <w:num w:numId="3" w16cid:durableId="46997149">
    <w:abstractNumId w:val="21"/>
  </w:num>
  <w:num w:numId="4" w16cid:durableId="2903515">
    <w:abstractNumId w:val="34"/>
  </w:num>
  <w:num w:numId="5" w16cid:durableId="247812381">
    <w:abstractNumId w:val="37"/>
  </w:num>
  <w:num w:numId="6" w16cid:durableId="996151179">
    <w:abstractNumId w:val="8"/>
  </w:num>
  <w:num w:numId="7" w16cid:durableId="1559703303">
    <w:abstractNumId w:val="25"/>
  </w:num>
  <w:num w:numId="8" w16cid:durableId="107313427">
    <w:abstractNumId w:val="31"/>
  </w:num>
  <w:num w:numId="9" w16cid:durableId="1533808885">
    <w:abstractNumId w:val="14"/>
  </w:num>
  <w:num w:numId="10" w16cid:durableId="1431852859">
    <w:abstractNumId w:val="16"/>
  </w:num>
  <w:num w:numId="11" w16cid:durableId="237440467">
    <w:abstractNumId w:val="19"/>
  </w:num>
  <w:num w:numId="12" w16cid:durableId="97067747">
    <w:abstractNumId w:val="28"/>
  </w:num>
  <w:num w:numId="13" w16cid:durableId="95096540">
    <w:abstractNumId w:val="32"/>
  </w:num>
  <w:num w:numId="14" w16cid:durableId="409086644">
    <w:abstractNumId w:val="17"/>
  </w:num>
  <w:num w:numId="15" w16cid:durableId="1263563870">
    <w:abstractNumId w:val="38"/>
  </w:num>
  <w:num w:numId="16" w16cid:durableId="838430016">
    <w:abstractNumId w:val="18"/>
  </w:num>
  <w:num w:numId="17" w16cid:durableId="1649478513">
    <w:abstractNumId w:val="15"/>
  </w:num>
  <w:num w:numId="18" w16cid:durableId="753622597">
    <w:abstractNumId w:val="9"/>
  </w:num>
  <w:num w:numId="19" w16cid:durableId="1869024838">
    <w:abstractNumId w:val="5"/>
  </w:num>
  <w:num w:numId="20" w16cid:durableId="38827619">
    <w:abstractNumId w:val="0"/>
  </w:num>
  <w:num w:numId="21" w16cid:durableId="831994995">
    <w:abstractNumId w:val="26"/>
  </w:num>
  <w:num w:numId="22" w16cid:durableId="1578897656">
    <w:abstractNumId w:val="4"/>
  </w:num>
  <w:num w:numId="23" w16cid:durableId="476921117">
    <w:abstractNumId w:val="2"/>
  </w:num>
  <w:num w:numId="24" w16cid:durableId="1392849270">
    <w:abstractNumId w:val="30"/>
  </w:num>
  <w:num w:numId="25" w16cid:durableId="811751959">
    <w:abstractNumId w:val="22"/>
  </w:num>
  <w:num w:numId="26" w16cid:durableId="1136527014">
    <w:abstractNumId w:val="36"/>
  </w:num>
  <w:num w:numId="27" w16cid:durableId="1667437909">
    <w:abstractNumId w:val="3"/>
  </w:num>
  <w:num w:numId="28" w16cid:durableId="355037492">
    <w:abstractNumId w:val="29"/>
  </w:num>
  <w:num w:numId="29" w16cid:durableId="1814758383">
    <w:abstractNumId w:val="27"/>
  </w:num>
  <w:num w:numId="30" w16cid:durableId="213079820">
    <w:abstractNumId w:val="10"/>
  </w:num>
  <w:num w:numId="31" w16cid:durableId="1150251053">
    <w:abstractNumId w:val="33"/>
  </w:num>
  <w:num w:numId="32" w16cid:durableId="173111079">
    <w:abstractNumId w:val="1"/>
  </w:num>
  <w:num w:numId="33" w16cid:durableId="587234817">
    <w:abstractNumId w:val="13"/>
  </w:num>
  <w:num w:numId="34" w16cid:durableId="423722681">
    <w:abstractNumId w:val="20"/>
  </w:num>
  <w:num w:numId="35" w16cid:durableId="920410041">
    <w:abstractNumId w:val="11"/>
  </w:num>
  <w:num w:numId="36" w16cid:durableId="819004782">
    <w:abstractNumId w:val="23"/>
  </w:num>
  <w:num w:numId="37" w16cid:durableId="1070276542">
    <w:abstractNumId w:val="12"/>
  </w:num>
  <w:num w:numId="38" w16cid:durableId="432240589">
    <w:abstractNumId w:val="6"/>
  </w:num>
  <w:num w:numId="39" w16cid:durableId="1289897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18"/>
    <w:rsid w:val="00001A72"/>
    <w:rsid w:val="00002110"/>
    <w:rsid w:val="00007FFC"/>
    <w:rsid w:val="00010EE2"/>
    <w:rsid w:val="00014252"/>
    <w:rsid w:val="000150AC"/>
    <w:rsid w:val="0002229F"/>
    <w:rsid w:val="00022558"/>
    <w:rsid w:val="00031E1A"/>
    <w:rsid w:val="00041691"/>
    <w:rsid w:val="000416DB"/>
    <w:rsid w:val="000500D1"/>
    <w:rsid w:val="00052B05"/>
    <w:rsid w:val="00055C20"/>
    <w:rsid w:val="00056BEE"/>
    <w:rsid w:val="0006000A"/>
    <w:rsid w:val="00063102"/>
    <w:rsid w:val="000706C8"/>
    <w:rsid w:val="0007659D"/>
    <w:rsid w:val="00077D15"/>
    <w:rsid w:val="00087130"/>
    <w:rsid w:val="000B5AF7"/>
    <w:rsid w:val="000C1314"/>
    <w:rsid w:val="000C411F"/>
    <w:rsid w:val="000C70C1"/>
    <w:rsid w:val="000D225D"/>
    <w:rsid w:val="000D2E05"/>
    <w:rsid w:val="0010141E"/>
    <w:rsid w:val="001024AA"/>
    <w:rsid w:val="00104DF4"/>
    <w:rsid w:val="001179C9"/>
    <w:rsid w:val="00122DD7"/>
    <w:rsid w:val="00135523"/>
    <w:rsid w:val="001422AB"/>
    <w:rsid w:val="00143F10"/>
    <w:rsid w:val="00150A38"/>
    <w:rsid w:val="001646C7"/>
    <w:rsid w:val="00190DC8"/>
    <w:rsid w:val="001B08E7"/>
    <w:rsid w:val="001B2A18"/>
    <w:rsid w:val="001C25AC"/>
    <w:rsid w:val="001C7D8D"/>
    <w:rsid w:val="001D4701"/>
    <w:rsid w:val="001E6267"/>
    <w:rsid w:val="001E652D"/>
    <w:rsid w:val="001F3624"/>
    <w:rsid w:val="001F5AA0"/>
    <w:rsid w:val="002166DB"/>
    <w:rsid w:val="00217B92"/>
    <w:rsid w:val="00221642"/>
    <w:rsid w:val="002335B1"/>
    <w:rsid w:val="00244F55"/>
    <w:rsid w:val="0024545D"/>
    <w:rsid w:val="00250146"/>
    <w:rsid w:val="00255A5B"/>
    <w:rsid w:val="00256CFB"/>
    <w:rsid w:val="002606AB"/>
    <w:rsid w:val="002639C0"/>
    <w:rsid w:val="00263F77"/>
    <w:rsid w:val="00274C87"/>
    <w:rsid w:val="002819F9"/>
    <w:rsid w:val="00287A15"/>
    <w:rsid w:val="002A07F8"/>
    <w:rsid w:val="002A3F44"/>
    <w:rsid w:val="002B4519"/>
    <w:rsid w:val="002B5F48"/>
    <w:rsid w:val="002C082A"/>
    <w:rsid w:val="002C10A0"/>
    <w:rsid w:val="002C40DA"/>
    <w:rsid w:val="002C4389"/>
    <w:rsid w:val="002D28E5"/>
    <w:rsid w:val="002E0628"/>
    <w:rsid w:val="002E1CB5"/>
    <w:rsid w:val="002F3577"/>
    <w:rsid w:val="003019E5"/>
    <w:rsid w:val="0030370C"/>
    <w:rsid w:val="00307D46"/>
    <w:rsid w:val="00315990"/>
    <w:rsid w:val="00316829"/>
    <w:rsid w:val="00322AC0"/>
    <w:rsid w:val="00331D21"/>
    <w:rsid w:val="0033721F"/>
    <w:rsid w:val="00341E0F"/>
    <w:rsid w:val="00342C08"/>
    <w:rsid w:val="00342C29"/>
    <w:rsid w:val="00347701"/>
    <w:rsid w:val="0035641B"/>
    <w:rsid w:val="00363B14"/>
    <w:rsid w:val="003764AE"/>
    <w:rsid w:val="00377FF3"/>
    <w:rsid w:val="003829E4"/>
    <w:rsid w:val="003854D9"/>
    <w:rsid w:val="00390178"/>
    <w:rsid w:val="00394C72"/>
    <w:rsid w:val="00397115"/>
    <w:rsid w:val="003A0943"/>
    <w:rsid w:val="003A7279"/>
    <w:rsid w:val="003C283F"/>
    <w:rsid w:val="003D2CCF"/>
    <w:rsid w:val="003E1131"/>
    <w:rsid w:val="003F0C6C"/>
    <w:rsid w:val="003F2E0C"/>
    <w:rsid w:val="00400D17"/>
    <w:rsid w:val="0040306C"/>
    <w:rsid w:val="00424B54"/>
    <w:rsid w:val="004250C5"/>
    <w:rsid w:val="00431131"/>
    <w:rsid w:val="00447D15"/>
    <w:rsid w:val="00447E59"/>
    <w:rsid w:val="00452F2F"/>
    <w:rsid w:val="00480489"/>
    <w:rsid w:val="00481CA3"/>
    <w:rsid w:val="004956DA"/>
    <w:rsid w:val="0049618B"/>
    <w:rsid w:val="004962A9"/>
    <w:rsid w:val="004A2453"/>
    <w:rsid w:val="004A2DB6"/>
    <w:rsid w:val="004B365B"/>
    <w:rsid w:val="004C21F4"/>
    <w:rsid w:val="004C3160"/>
    <w:rsid w:val="004C6635"/>
    <w:rsid w:val="004D0F62"/>
    <w:rsid w:val="004D65CC"/>
    <w:rsid w:val="004E66D3"/>
    <w:rsid w:val="004F3888"/>
    <w:rsid w:val="004F59F3"/>
    <w:rsid w:val="004F5A4E"/>
    <w:rsid w:val="004F65A3"/>
    <w:rsid w:val="004F6923"/>
    <w:rsid w:val="00513F6C"/>
    <w:rsid w:val="00520365"/>
    <w:rsid w:val="0053690C"/>
    <w:rsid w:val="00545E4A"/>
    <w:rsid w:val="00550304"/>
    <w:rsid w:val="0055265D"/>
    <w:rsid w:val="00555235"/>
    <w:rsid w:val="00561833"/>
    <w:rsid w:val="00563EB7"/>
    <w:rsid w:val="005641C9"/>
    <w:rsid w:val="005714E9"/>
    <w:rsid w:val="0057715A"/>
    <w:rsid w:val="005819CE"/>
    <w:rsid w:val="00595EF8"/>
    <w:rsid w:val="005963C6"/>
    <w:rsid w:val="005A186C"/>
    <w:rsid w:val="005B0E9C"/>
    <w:rsid w:val="005C03B5"/>
    <w:rsid w:val="005C0C47"/>
    <w:rsid w:val="005D0F26"/>
    <w:rsid w:val="005D1B7F"/>
    <w:rsid w:val="005D467A"/>
    <w:rsid w:val="005D7702"/>
    <w:rsid w:val="005E7046"/>
    <w:rsid w:val="005F4CAB"/>
    <w:rsid w:val="006220C2"/>
    <w:rsid w:val="00622FE7"/>
    <w:rsid w:val="00623E31"/>
    <w:rsid w:val="00631946"/>
    <w:rsid w:val="00637EA4"/>
    <w:rsid w:val="006446FA"/>
    <w:rsid w:val="00650854"/>
    <w:rsid w:val="006512D7"/>
    <w:rsid w:val="00651B7B"/>
    <w:rsid w:val="00657FFA"/>
    <w:rsid w:val="00663587"/>
    <w:rsid w:val="00677B14"/>
    <w:rsid w:val="00687CF7"/>
    <w:rsid w:val="0069299F"/>
    <w:rsid w:val="0069602C"/>
    <w:rsid w:val="006A09E1"/>
    <w:rsid w:val="006A192B"/>
    <w:rsid w:val="006A5A8D"/>
    <w:rsid w:val="006C3127"/>
    <w:rsid w:val="006D2558"/>
    <w:rsid w:val="006D461B"/>
    <w:rsid w:val="006D4CC0"/>
    <w:rsid w:val="006D5437"/>
    <w:rsid w:val="006D6138"/>
    <w:rsid w:val="006D6900"/>
    <w:rsid w:val="006E07FA"/>
    <w:rsid w:val="006E0936"/>
    <w:rsid w:val="006E24B9"/>
    <w:rsid w:val="006E2A10"/>
    <w:rsid w:val="006F4AEF"/>
    <w:rsid w:val="006F5EAB"/>
    <w:rsid w:val="0070712E"/>
    <w:rsid w:val="0073259D"/>
    <w:rsid w:val="00732B28"/>
    <w:rsid w:val="00733E99"/>
    <w:rsid w:val="00735F2B"/>
    <w:rsid w:val="0074000F"/>
    <w:rsid w:val="00740137"/>
    <w:rsid w:val="00741B04"/>
    <w:rsid w:val="00742D7C"/>
    <w:rsid w:val="007544B4"/>
    <w:rsid w:val="00760900"/>
    <w:rsid w:val="007638AD"/>
    <w:rsid w:val="00770922"/>
    <w:rsid w:val="0077123B"/>
    <w:rsid w:val="00771C84"/>
    <w:rsid w:val="00787BB6"/>
    <w:rsid w:val="007901BF"/>
    <w:rsid w:val="0079338F"/>
    <w:rsid w:val="007A2D38"/>
    <w:rsid w:val="007B0997"/>
    <w:rsid w:val="007C0F1B"/>
    <w:rsid w:val="007C7969"/>
    <w:rsid w:val="007C7E8B"/>
    <w:rsid w:val="007C7E94"/>
    <w:rsid w:val="007D39A6"/>
    <w:rsid w:val="007E7D9B"/>
    <w:rsid w:val="007F4FD6"/>
    <w:rsid w:val="007F5F30"/>
    <w:rsid w:val="008015C2"/>
    <w:rsid w:val="008043F4"/>
    <w:rsid w:val="00805559"/>
    <w:rsid w:val="008055CF"/>
    <w:rsid w:val="008117EA"/>
    <w:rsid w:val="00825448"/>
    <w:rsid w:val="00826CB5"/>
    <w:rsid w:val="00831BA9"/>
    <w:rsid w:val="00837795"/>
    <w:rsid w:val="00840699"/>
    <w:rsid w:val="0084309C"/>
    <w:rsid w:val="00843FCB"/>
    <w:rsid w:val="00854FC2"/>
    <w:rsid w:val="008632C0"/>
    <w:rsid w:val="00871B57"/>
    <w:rsid w:val="008819CE"/>
    <w:rsid w:val="00882919"/>
    <w:rsid w:val="00884BF8"/>
    <w:rsid w:val="008907B1"/>
    <w:rsid w:val="008B36E0"/>
    <w:rsid w:val="008C2E4B"/>
    <w:rsid w:val="008D7C5C"/>
    <w:rsid w:val="00900F70"/>
    <w:rsid w:val="009035B7"/>
    <w:rsid w:val="00904595"/>
    <w:rsid w:val="009055E1"/>
    <w:rsid w:val="00906840"/>
    <w:rsid w:val="00906B83"/>
    <w:rsid w:val="009212E7"/>
    <w:rsid w:val="00921F55"/>
    <w:rsid w:val="00933190"/>
    <w:rsid w:val="00941B3B"/>
    <w:rsid w:val="00941E75"/>
    <w:rsid w:val="00962D61"/>
    <w:rsid w:val="009632BC"/>
    <w:rsid w:val="00963C2B"/>
    <w:rsid w:val="00970B98"/>
    <w:rsid w:val="00971B02"/>
    <w:rsid w:val="009737AE"/>
    <w:rsid w:val="00980B61"/>
    <w:rsid w:val="009842E0"/>
    <w:rsid w:val="0098748D"/>
    <w:rsid w:val="009B1BD0"/>
    <w:rsid w:val="009B405E"/>
    <w:rsid w:val="009D65AF"/>
    <w:rsid w:val="009D7469"/>
    <w:rsid w:val="009E0AA9"/>
    <w:rsid w:val="009E1CD7"/>
    <w:rsid w:val="009E5A9D"/>
    <w:rsid w:val="009F5061"/>
    <w:rsid w:val="00A13571"/>
    <w:rsid w:val="00A30C4B"/>
    <w:rsid w:val="00A3176E"/>
    <w:rsid w:val="00A35BD7"/>
    <w:rsid w:val="00A405A7"/>
    <w:rsid w:val="00A449CB"/>
    <w:rsid w:val="00A52B2F"/>
    <w:rsid w:val="00A6497E"/>
    <w:rsid w:val="00A72450"/>
    <w:rsid w:val="00A737DC"/>
    <w:rsid w:val="00A7747B"/>
    <w:rsid w:val="00A80752"/>
    <w:rsid w:val="00A80C04"/>
    <w:rsid w:val="00A814DD"/>
    <w:rsid w:val="00A879AB"/>
    <w:rsid w:val="00AA0395"/>
    <w:rsid w:val="00AA47A5"/>
    <w:rsid w:val="00AA5531"/>
    <w:rsid w:val="00AB7767"/>
    <w:rsid w:val="00AE0E7F"/>
    <w:rsid w:val="00AF5477"/>
    <w:rsid w:val="00B0426D"/>
    <w:rsid w:val="00B12DCC"/>
    <w:rsid w:val="00B138B1"/>
    <w:rsid w:val="00B237B9"/>
    <w:rsid w:val="00B3127A"/>
    <w:rsid w:val="00B3638B"/>
    <w:rsid w:val="00B36BA9"/>
    <w:rsid w:val="00B371F2"/>
    <w:rsid w:val="00B42578"/>
    <w:rsid w:val="00B45849"/>
    <w:rsid w:val="00B543F8"/>
    <w:rsid w:val="00B65152"/>
    <w:rsid w:val="00B70C0D"/>
    <w:rsid w:val="00B73C03"/>
    <w:rsid w:val="00B74278"/>
    <w:rsid w:val="00B77E7C"/>
    <w:rsid w:val="00B82EC6"/>
    <w:rsid w:val="00B935B4"/>
    <w:rsid w:val="00B94B56"/>
    <w:rsid w:val="00B95A3E"/>
    <w:rsid w:val="00BA0AB4"/>
    <w:rsid w:val="00BA1129"/>
    <w:rsid w:val="00BC772C"/>
    <w:rsid w:val="00BC7F54"/>
    <w:rsid w:val="00BD089D"/>
    <w:rsid w:val="00BD68C6"/>
    <w:rsid w:val="00BE6381"/>
    <w:rsid w:val="00BE729F"/>
    <w:rsid w:val="00BF6664"/>
    <w:rsid w:val="00C0155F"/>
    <w:rsid w:val="00C01D67"/>
    <w:rsid w:val="00C41458"/>
    <w:rsid w:val="00C451DE"/>
    <w:rsid w:val="00C46BA3"/>
    <w:rsid w:val="00C47A02"/>
    <w:rsid w:val="00C50340"/>
    <w:rsid w:val="00C50BF1"/>
    <w:rsid w:val="00C612A7"/>
    <w:rsid w:val="00C63E7C"/>
    <w:rsid w:val="00C746FF"/>
    <w:rsid w:val="00C8534B"/>
    <w:rsid w:val="00C951DD"/>
    <w:rsid w:val="00C97E35"/>
    <w:rsid w:val="00CA180C"/>
    <w:rsid w:val="00CA5050"/>
    <w:rsid w:val="00CB5413"/>
    <w:rsid w:val="00CC7AEF"/>
    <w:rsid w:val="00CD0F4D"/>
    <w:rsid w:val="00CD1C1D"/>
    <w:rsid w:val="00CD6EE4"/>
    <w:rsid w:val="00CE5467"/>
    <w:rsid w:val="00CE7E35"/>
    <w:rsid w:val="00CF1851"/>
    <w:rsid w:val="00CF7496"/>
    <w:rsid w:val="00D1316E"/>
    <w:rsid w:val="00D154F1"/>
    <w:rsid w:val="00D1608C"/>
    <w:rsid w:val="00D251B3"/>
    <w:rsid w:val="00D2596D"/>
    <w:rsid w:val="00D30676"/>
    <w:rsid w:val="00D328C0"/>
    <w:rsid w:val="00D32957"/>
    <w:rsid w:val="00D47160"/>
    <w:rsid w:val="00D62851"/>
    <w:rsid w:val="00D63CC6"/>
    <w:rsid w:val="00D66AD7"/>
    <w:rsid w:val="00D772F6"/>
    <w:rsid w:val="00D87F29"/>
    <w:rsid w:val="00DA228B"/>
    <w:rsid w:val="00DA4E49"/>
    <w:rsid w:val="00DA5440"/>
    <w:rsid w:val="00DA67C9"/>
    <w:rsid w:val="00DA7F6C"/>
    <w:rsid w:val="00DB0395"/>
    <w:rsid w:val="00DC1A8E"/>
    <w:rsid w:val="00DC5FF9"/>
    <w:rsid w:val="00DC64A4"/>
    <w:rsid w:val="00DD5BB0"/>
    <w:rsid w:val="00DD633C"/>
    <w:rsid w:val="00DF59AD"/>
    <w:rsid w:val="00E02085"/>
    <w:rsid w:val="00E06CF4"/>
    <w:rsid w:val="00E17937"/>
    <w:rsid w:val="00E43B60"/>
    <w:rsid w:val="00E43F53"/>
    <w:rsid w:val="00E513C6"/>
    <w:rsid w:val="00E90E57"/>
    <w:rsid w:val="00E9626A"/>
    <w:rsid w:val="00EC58B9"/>
    <w:rsid w:val="00ED343F"/>
    <w:rsid w:val="00ED6846"/>
    <w:rsid w:val="00EE080A"/>
    <w:rsid w:val="00EE28AA"/>
    <w:rsid w:val="00EE5350"/>
    <w:rsid w:val="00EF3DC1"/>
    <w:rsid w:val="00EF4E65"/>
    <w:rsid w:val="00F07BC5"/>
    <w:rsid w:val="00F12FA7"/>
    <w:rsid w:val="00F27E74"/>
    <w:rsid w:val="00F32D29"/>
    <w:rsid w:val="00F3521D"/>
    <w:rsid w:val="00F3650E"/>
    <w:rsid w:val="00F4367D"/>
    <w:rsid w:val="00F46DCA"/>
    <w:rsid w:val="00F47106"/>
    <w:rsid w:val="00F5294C"/>
    <w:rsid w:val="00F5459B"/>
    <w:rsid w:val="00F60A93"/>
    <w:rsid w:val="00F61F2B"/>
    <w:rsid w:val="00F75B55"/>
    <w:rsid w:val="00F868D2"/>
    <w:rsid w:val="00FA46AE"/>
    <w:rsid w:val="00FB3A05"/>
    <w:rsid w:val="00FB4DAD"/>
    <w:rsid w:val="00FB5D7E"/>
    <w:rsid w:val="00FB6618"/>
    <w:rsid w:val="00FD12E8"/>
    <w:rsid w:val="00FE5368"/>
    <w:rsid w:val="00FE7796"/>
    <w:rsid w:val="00FE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61DAA"/>
  <w15:docId w15:val="{008B3FCC-C9F0-440A-A19B-FB82790CF06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semiHidden/>
    <w:unhideWhenUsed/>
    <w:rsid w:val="00DD633C"/>
    <w:rPr>
      <w:sz w:val="20"/>
    </w:rPr>
  </w:style>
  <w:style w:type="character" w:customStyle="1" w:styleId="CommentTextChar">
    <w:name w:val="Comment Text Char"/>
    <w:basedOn w:val="DefaultParagraphFont"/>
    <w:link w:val="CommentText"/>
    <w:semiHidden/>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numbering" w:customStyle="1" w:styleId="FoFCoLOP">
    <w:name w:val="FoF/CoL/OP"/>
    <w:uiPriority w:val="99"/>
    <w:rsid w:val="00347701"/>
    <w:pPr>
      <w:numPr>
        <w:numId w:val="38"/>
      </w:numPr>
    </w:pPr>
  </w:style>
  <w:style w:type="paragraph" w:customStyle="1" w:styleId="CoL">
    <w:name w:val="CoL"/>
    <w:basedOn w:val="standard"/>
    <w:uiPriority w:val="7"/>
    <w:qFormat/>
    <w:rsid w:val="00347701"/>
    <w:pPr>
      <w:numPr>
        <w:numId w:val="39"/>
      </w:numPr>
    </w:pPr>
    <w:rPr>
      <w:rFonts w:ascii="Book Antiqua" w:eastAsiaTheme="minorHAnsi" w:hAnsi="Book Antiqu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3be8bfc4ef087d983bc8d1d7a3b7521c">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03987be952efe3a40b71d6e37215a760"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2.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3.xml><?xml version="1.0" encoding="utf-8"?>
<ds:datastoreItem xmlns:ds="http://schemas.openxmlformats.org/officeDocument/2006/customXml" ds:itemID="{27E0D760-E69C-4224-8DC8-4C3A79E0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608</ap:Words>
  <ap:Characters>3469</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A2205022 et al. Kao OESD 12-18 Agenda (NON)</vt:lpstr>
    </vt:vector>
  </ap:TitlesOfParts>
  <ap:Company/>
  <ap:LinksUpToDate>false</ap:LinksUpToDate>
  <ap:CharactersWithSpaces>4069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2025-11-26T10:01:27Z</dcterms:created>
  <dcterms:modified xsi:type="dcterms:W3CDTF">2025-11-26T10:01:27Z</dcterms:modified>
</cp:coreProperties>
</file>