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3F5E" w:rsidR="006A3E37" w:rsidRDefault="00CC21DB" w14:paraId="4649F367" w14:textId="2F0F3E3F">
      <w:pPr>
        <w:suppressAutoHyphens/>
        <w:rPr>
          <w:b/>
          <w:bCs/>
          <w:color w:val="000000"/>
        </w:rPr>
      </w:pPr>
      <w:r>
        <w:rPr>
          <w:color w:val="000000"/>
        </w:rPr>
        <w:t xml:space="preserve">ALJ/ADW/kp7 </w:t>
      </w:r>
      <w:r>
        <w:rPr>
          <w:color w:val="000000"/>
        </w:rPr>
        <w:tab/>
      </w:r>
      <w:r>
        <w:rPr>
          <w:color w:val="000000"/>
        </w:rPr>
        <w:tab/>
      </w:r>
      <w:r w:rsidRPr="00CC21DB">
        <w:rPr>
          <w:b/>
          <w:bCs/>
          <w:color w:val="000000"/>
          <w:sz w:val="28"/>
          <w:szCs w:val="28"/>
        </w:rPr>
        <w:t>PROPOSED DECISION</w:t>
      </w:r>
      <w:r>
        <w:rPr>
          <w:b/>
          <w:bCs/>
          <w:color w:val="000000"/>
          <w:sz w:val="28"/>
          <w:szCs w:val="28"/>
        </w:rPr>
        <w:t xml:space="preserve"> </w:t>
      </w:r>
      <w:r w:rsidR="00D55E1E">
        <w:rPr>
          <w:b/>
          <w:bCs/>
          <w:color w:val="000000"/>
          <w:sz w:val="28"/>
          <w:szCs w:val="28"/>
        </w:rPr>
        <w:tab/>
      </w:r>
      <w:r w:rsidR="005B2A82">
        <w:rPr>
          <w:b/>
          <w:bCs/>
          <w:color w:val="000000"/>
          <w:sz w:val="28"/>
          <w:szCs w:val="28"/>
        </w:rPr>
        <w:tab/>
      </w:r>
      <w:r w:rsidR="00D55E1E">
        <w:rPr>
          <w:b/>
          <w:bCs/>
          <w:color w:val="000000"/>
          <w:sz w:val="28"/>
          <w:szCs w:val="28"/>
        </w:rPr>
        <w:t xml:space="preserve">    </w:t>
      </w:r>
      <w:r w:rsidRPr="001D3F5E" w:rsidR="00D55E1E">
        <w:rPr>
          <w:b/>
          <w:bCs/>
          <w:color w:val="000000"/>
        </w:rPr>
        <w:t>Agenda ID#</w:t>
      </w:r>
      <w:r w:rsidRPr="001D3F5E" w:rsidR="00417855">
        <w:rPr>
          <w:b/>
          <w:bCs/>
          <w:color w:val="000000"/>
        </w:rPr>
        <w:t>23890</w:t>
      </w:r>
    </w:p>
    <w:p w:rsidRPr="001D3F5E" w:rsidR="00D55E1E" w:rsidP="00D55E1E" w:rsidRDefault="00D55E1E" w14:paraId="148A5522" w14:textId="0732896C">
      <w:pPr>
        <w:suppressAutoHyphens/>
        <w:jc w:val="right"/>
        <w:rPr>
          <w:b/>
          <w:bCs/>
          <w:color w:val="000000"/>
        </w:rPr>
      </w:pPr>
      <w:r w:rsidRPr="001D3F5E">
        <w:rPr>
          <w:b/>
          <w:bCs/>
          <w:color w:val="000000"/>
        </w:rPr>
        <w:t>Quasi-Legislative</w:t>
      </w:r>
    </w:p>
    <w:p w:rsidR="00D55E1E" w:rsidP="00D55E1E" w:rsidRDefault="00D55E1E" w14:paraId="0A64A7D2" w14:textId="77777777">
      <w:pPr>
        <w:suppressAutoHyphens/>
        <w:rPr>
          <w:color w:val="000000"/>
        </w:rPr>
      </w:pPr>
    </w:p>
    <w:p w:rsidRPr="007F620E" w:rsidR="00A92D0B" w:rsidRDefault="00A92D0B" w14:paraId="5BDA9FD4" w14:textId="63F19765">
      <w:pPr>
        <w:suppressAutoHyphens/>
        <w:rPr>
          <w:color w:val="000000"/>
        </w:rPr>
      </w:pPr>
      <w:r w:rsidRPr="007F620E">
        <w:rPr>
          <w:color w:val="000000"/>
        </w:rPr>
        <w:t xml:space="preserve">Decision </w:t>
      </w:r>
      <w:r w:rsidRPr="007F620E">
        <w:rPr>
          <w:color w:val="000000"/>
          <w:u w:val="single"/>
        </w:rPr>
        <w:tab/>
      </w:r>
      <w:r w:rsidRPr="007F620E">
        <w:rPr>
          <w:color w:val="000000"/>
          <w:u w:val="single"/>
        </w:rPr>
        <w:tab/>
      </w:r>
      <w:r w:rsidRPr="007F620E">
        <w:rPr>
          <w:color w:val="000000"/>
          <w:u w:val="single"/>
        </w:rPr>
        <w:tab/>
      </w:r>
    </w:p>
    <w:p w:rsidRPr="007F620E" w:rsidR="00A92D0B" w:rsidRDefault="00A92D0B" w14:paraId="6D327C87" w14:textId="77777777">
      <w:pPr>
        <w:pStyle w:val="titlebar"/>
        <w:rPr>
          <w:rFonts w:ascii="Times New Roman" w:hAnsi="Times New Roman"/>
          <w:color w:val="000000"/>
          <w:sz w:val="24"/>
          <w:szCs w:val="24"/>
        </w:rPr>
      </w:pPr>
    </w:p>
    <w:p w:rsidRPr="007F620E" w:rsidR="00A92D0B" w:rsidRDefault="00A92D0B" w14:paraId="44E03231" w14:textId="77777777">
      <w:pPr>
        <w:pStyle w:val="titlebar"/>
        <w:rPr>
          <w:rFonts w:ascii="Times New Roman" w:hAnsi="Times New Roman"/>
          <w:color w:val="000000"/>
          <w:sz w:val="24"/>
          <w:szCs w:val="24"/>
        </w:rPr>
      </w:pPr>
    </w:p>
    <w:p w:rsidRPr="0057088A" w:rsidR="00A92D0B" w:rsidRDefault="00A92D0B" w14:paraId="67F2520C" w14:textId="77777777">
      <w:pPr>
        <w:pStyle w:val="titlebar"/>
        <w:rPr>
          <w:rFonts w:ascii="Arial" w:hAnsi="Arial"/>
          <w:color w:val="000000"/>
          <w:sz w:val="24"/>
          <w:szCs w:val="24"/>
        </w:rPr>
      </w:pPr>
      <w:r w:rsidRPr="0057088A">
        <w:rPr>
          <w:rFonts w:ascii="Arial" w:hAnsi="Arial"/>
          <w:color w:val="000000"/>
          <w:sz w:val="24"/>
          <w:szCs w:val="24"/>
        </w:rPr>
        <w:t>BEFORE THE PUBLIC UTILITIES COMMISSION OF THE STATE OF CALIFORNIA</w:t>
      </w:r>
    </w:p>
    <w:p w:rsidRPr="007F620E" w:rsidR="00A92D0B" w:rsidRDefault="00A92D0B" w14:paraId="564284CD" w14:textId="77777777">
      <w:pPr>
        <w:suppressAutoHyphens/>
        <w:rPr>
          <w:color w:val="000000"/>
        </w:rPr>
      </w:pPr>
    </w:p>
    <w:tbl>
      <w:tblPr>
        <w:tblW w:w="9360" w:type="dxa"/>
        <w:tblBorders>
          <w:bottom w:val="single" w:color="auto" w:sz="4" w:space="0"/>
          <w:insideH w:val="single" w:color="auto" w:sz="4" w:space="0"/>
          <w:insideV w:val="single" w:color="auto" w:sz="4" w:space="0"/>
        </w:tblBorders>
        <w:shd w:val="clear" w:color="auto" w:fill="CCFFCC"/>
        <w:tblLayout w:type="fixed"/>
        <w:tblLook w:val="0000" w:firstRow="0" w:lastRow="0" w:firstColumn="0" w:lastColumn="0" w:noHBand="0" w:noVBand="0"/>
      </w:tblPr>
      <w:tblGrid>
        <w:gridCol w:w="4680"/>
        <w:gridCol w:w="4680"/>
      </w:tblGrid>
      <w:tr w:rsidRPr="007F620E" w:rsidR="00A92D0B" w:rsidTr="00417855" w14:paraId="3942D7B4" w14:textId="77777777">
        <w:tc>
          <w:tcPr>
            <w:tcW w:w="4680" w:type="dxa"/>
          </w:tcPr>
          <w:p w:rsidR="00A92D0B" w:rsidRDefault="00AF30E8" w14:paraId="3C5F0D27" w14:textId="77777777">
            <w:pPr>
              <w:rPr>
                <w:color w:val="000000"/>
              </w:rPr>
            </w:pPr>
            <w:r w:rsidRPr="006C714E">
              <w:rPr>
                <w:color w:val="000000"/>
              </w:rPr>
              <w:t>Order Instituting Rulemaking to Consider New Approaches to Disconnections and Reconnections to Improve Energy Access and Contain Costs.</w:t>
            </w:r>
          </w:p>
          <w:p w:rsidRPr="007F620E" w:rsidR="00D55E1E" w:rsidRDefault="00D55E1E" w14:paraId="47850BD9" w14:textId="1350F7FA">
            <w:pPr>
              <w:rPr>
                <w:color w:val="000000"/>
              </w:rPr>
            </w:pPr>
          </w:p>
        </w:tc>
        <w:tc>
          <w:tcPr>
            <w:tcW w:w="4680" w:type="dxa"/>
            <w:tcBorders>
              <w:top w:val="nil"/>
              <w:bottom w:val="nil"/>
            </w:tcBorders>
          </w:tcPr>
          <w:p w:rsidR="00D55E1E" w:rsidP="00564BD1" w:rsidRDefault="00D55E1E" w14:paraId="7D2AA125" w14:textId="77777777">
            <w:pPr>
              <w:tabs>
                <w:tab w:val="left" w:pos="1440"/>
                <w:tab w:val="left" w:pos="3600"/>
              </w:tabs>
              <w:jc w:val="center"/>
              <w:rPr>
                <w:color w:val="000000"/>
              </w:rPr>
            </w:pPr>
          </w:p>
          <w:p w:rsidRPr="006C714E" w:rsidR="00AF30E8" w:rsidP="00564BD1" w:rsidRDefault="00AF30E8" w14:paraId="10E3D92B" w14:textId="258868D6">
            <w:pPr>
              <w:tabs>
                <w:tab w:val="left" w:pos="1440"/>
                <w:tab w:val="left" w:pos="3600"/>
              </w:tabs>
              <w:jc w:val="center"/>
              <w:rPr>
                <w:color w:val="000000"/>
              </w:rPr>
            </w:pPr>
            <w:r w:rsidRPr="006C714E">
              <w:rPr>
                <w:color w:val="000000"/>
              </w:rPr>
              <w:t>Rulemaking 18-07-005</w:t>
            </w:r>
          </w:p>
          <w:p w:rsidRPr="006C714E" w:rsidR="00AF30E8" w:rsidP="00564BD1" w:rsidRDefault="00AF30E8" w14:paraId="100F0D82" w14:textId="0DEB1820">
            <w:pPr>
              <w:tabs>
                <w:tab w:val="left" w:pos="1440"/>
                <w:tab w:val="left" w:pos="3600"/>
              </w:tabs>
              <w:jc w:val="center"/>
              <w:rPr>
                <w:color w:val="000000"/>
              </w:rPr>
            </w:pPr>
            <w:r w:rsidRPr="006C714E">
              <w:rPr>
                <w:color w:val="000000"/>
              </w:rPr>
              <w:t xml:space="preserve">(Filed </w:t>
            </w:r>
            <w:r w:rsidR="00196699">
              <w:rPr>
                <w:color w:val="000000"/>
              </w:rPr>
              <w:t>July 12</w:t>
            </w:r>
            <w:r w:rsidRPr="006C714E">
              <w:rPr>
                <w:color w:val="000000"/>
              </w:rPr>
              <w:t>, 2018)</w:t>
            </w:r>
          </w:p>
          <w:p w:rsidRPr="007F620E" w:rsidR="00A92D0B" w:rsidP="00AF30E8" w:rsidRDefault="00A92D0B" w14:paraId="7EC7277D" w14:textId="3E6A58F7">
            <w:pPr>
              <w:tabs>
                <w:tab w:val="left" w:pos="1440"/>
                <w:tab w:val="left" w:pos="3600"/>
              </w:tabs>
              <w:rPr>
                <w:color w:val="000000"/>
              </w:rPr>
            </w:pPr>
          </w:p>
        </w:tc>
      </w:tr>
    </w:tbl>
    <w:p w:rsidRPr="007F620E" w:rsidR="00FC72B7" w:rsidRDefault="00FC72B7" w14:paraId="5459E071" w14:textId="77777777">
      <w:pPr>
        <w:jc w:val="center"/>
        <w:rPr>
          <w:b/>
          <w:color w:val="000000"/>
        </w:rPr>
      </w:pPr>
    </w:p>
    <w:p w:rsidRPr="006C714E" w:rsidR="00AF30E8" w:rsidP="00AF30E8" w:rsidRDefault="00792772" w14:paraId="4DC35BE4" w14:textId="24BEFA23">
      <w:pPr>
        <w:jc w:val="center"/>
        <w:rPr>
          <w:b/>
        </w:rPr>
      </w:pPr>
      <w:r>
        <w:rPr>
          <w:b/>
        </w:rPr>
        <w:t xml:space="preserve">DECISION GRANTING </w:t>
      </w:r>
      <w:r w:rsidRPr="00792772">
        <w:rPr>
          <w:b/>
        </w:rPr>
        <w:t>COMPENSATION TO THE</w:t>
      </w:r>
      <w:r w:rsidRPr="00792772" w:rsidR="00AF30E8">
        <w:rPr>
          <w:b/>
        </w:rPr>
        <w:t xml:space="preserve"> UTILITY CONSUMERS’ ACTION NETWORK </w:t>
      </w:r>
      <w:r w:rsidRPr="00792772">
        <w:rPr>
          <w:b/>
        </w:rPr>
        <w:t>FOR SUBSTANTIAL CONTRIBUTION TO DECISION</w:t>
      </w:r>
      <w:r w:rsidR="00B93D53">
        <w:rPr>
          <w:b/>
        </w:rPr>
        <w:t>S</w:t>
      </w:r>
      <w:r w:rsidRPr="00792772">
        <w:rPr>
          <w:b/>
        </w:rPr>
        <w:t xml:space="preserve"> (D.) 24-09-005</w:t>
      </w:r>
      <w:r w:rsidR="0098559D">
        <w:rPr>
          <w:b/>
        </w:rPr>
        <w:t>, D.24-11-005, D</w:t>
      </w:r>
      <w:r w:rsidR="00564BD1">
        <w:rPr>
          <w:b/>
        </w:rPr>
        <w:t>.</w:t>
      </w:r>
      <w:r w:rsidR="0098559D">
        <w:rPr>
          <w:b/>
        </w:rPr>
        <w:t>25-04-004, and D.25-06-012</w:t>
      </w:r>
    </w:p>
    <w:p w:rsidRPr="00691528" w:rsidR="00374FD1" w:rsidRDefault="00374FD1" w14:paraId="7DD45571" w14:textId="77777777">
      <w:pPr>
        <w:jc w:val="center"/>
        <w:rPr>
          <w:b/>
          <w:shd w:val="clear" w:color="auto" w:fill="CCFFCC"/>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3955"/>
        <w:gridCol w:w="5405"/>
      </w:tblGrid>
      <w:tr w:rsidRPr="007F620E" w:rsidR="00A92D0B" w:rsidTr="00AB79E5" w14:paraId="0FE98F62" w14:textId="77777777">
        <w:tc>
          <w:tcPr>
            <w:tcW w:w="3955" w:type="dxa"/>
          </w:tcPr>
          <w:p w:rsidRPr="00691528" w:rsidR="00A92D0B" w:rsidP="00C47A2B" w:rsidRDefault="005A63D4" w14:paraId="11570D4A" w14:textId="5FAE702E">
            <w:pPr>
              <w:tabs>
                <w:tab w:val="left" w:pos="1620"/>
                <w:tab w:val="right" w:pos="4500"/>
              </w:tabs>
              <w:rPr>
                <w:color w:val="000000"/>
              </w:rPr>
            </w:pPr>
            <w:r w:rsidRPr="007F620E">
              <w:rPr>
                <w:b/>
                <w:color w:val="000000"/>
              </w:rPr>
              <w:t>Intervenor</w:t>
            </w:r>
            <w:r w:rsidRPr="007F620E" w:rsidR="00F63C29">
              <w:rPr>
                <w:b/>
                <w:color w:val="000000"/>
              </w:rPr>
              <w:t>:</w:t>
            </w:r>
            <w:r w:rsidR="00691528">
              <w:rPr>
                <w:b/>
                <w:color w:val="000000"/>
              </w:rPr>
              <w:t xml:space="preserve"> </w:t>
            </w:r>
            <w:r w:rsidRPr="008758BE" w:rsidR="008758BE">
              <w:rPr>
                <w:bCs/>
                <w:color w:val="000000"/>
              </w:rPr>
              <w:t>The Utility Consumers’ Action Network</w:t>
            </w:r>
          </w:p>
        </w:tc>
        <w:tc>
          <w:tcPr>
            <w:tcW w:w="5405" w:type="dxa"/>
          </w:tcPr>
          <w:p w:rsidRPr="007F620E" w:rsidR="00A92D0B" w:rsidP="00C47A2B" w:rsidRDefault="00A92D0B" w14:paraId="53A584EE" w14:textId="502E4B23">
            <w:pPr>
              <w:tabs>
                <w:tab w:val="left" w:pos="1872"/>
                <w:tab w:val="right" w:pos="3672"/>
              </w:tabs>
              <w:rPr>
                <w:b/>
                <w:color w:val="000000"/>
              </w:rPr>
            </w:pPr>
            <w:r w:rsidRPr="007F620E">
              <w:rPr>
                <w:b/>
                <w:color w:val="000000"/>
              </w:rPr>
              <w:t>For contribution to D</w:t>
            </w:r>
            <w:r w:rsidRPr="007F620E" w:rsidR="00DE3A5D">
              <w:rPr>
                <w:b/>
                <w:color w:val="000000"/>
              </w:rPr>
              <w:t>ecision (D.)</w:t>
            </w:r>
            <w:r w:rsidR="00CF1AA7">
              <w:rPr>
                <w:b/>
                <w:color w:val="000000"/>
              </w:rPr>
              <w:t xml:space="preserve"> </w:t>
            </w:r>
            <w:r w:rsidRPr="00CF1AA7" w:rsidR="00CF1AA7">
              <w:rPr>
                <w:b/>
                <w:color w:val="000000"/>
              </w:rPr>
              <w:t>24-09-005</w:t>
            </w:r>
            <w:r w:rsidR="00D90ECF">
              <w:rPr>
                <w:b/>
                <w:color w:val="000000"/>
              </w:rPr>
              <w:t>, D.</w:t>
            </w:r>
            <w:r w:rsidRPr="0087097B" w:rsidR="0087097B">
              <w:rPr>
                <w:b/>
                <w:color w:val="000000"/>
              </w:rPr>
              <w:t>24-11-005</w:t>
            </w:r>
            <w:r w:rsidR="00D90ECF">
              <w:rPr>
                <w:b/>
                <w:color w:val="000000"/>
              </w:rPr>
              <w:t>,</w:t>
            </w:r>
            <w:r w:rsidR="00F162BC">
              <w:rPr>
                <w:b/>
                <w:color w:val="000000"/>
              </w:rPr>
              <w:t xml:space="preserve"> </w:t>
            </w:r>
            <w:r w:rsidRPr="005106B5" w:rsidR="00BA2E58">
              <w:rPr>
                <w:b/>
                <w:color w:val="000000"/>
              </w:rPr>
              <w:t>D.25-04-004</w:t>
            </w:r>
            <w:r w:rsidR="00BA2E58">
              <w:rPr>
                <w:b/>
                <w:color w:val="000000"/>
              </w:rPr>
              <w:t xml:space="preserve">, </w:t>
            </w:r>
            <w:r w:rsidR="00F162BC">
              <w:rPr>
                <w:b/>
                <w:color w:val="000000"/>
              </w:rPr>
              <w:t>and</w:t>
            </w:r>
            <w:r w:rsidRPr="0087097B" w:rsidR="0087097B">
              <w:rPr>
                <w:b/>
                <w:color w:val="000000"/>
              </w:rPr>
              <w:t xml:space="preserve"> D.25-06-012</w:t>
            </w:r>
          </w:p>
        </w:tc>
      </w:tr>
      <w:tr w:rsidRPr="007F620E" w:rsidR="00A92D0B" w:rsidTr="00AB79E5" w14:paraId="47003B8E" w14:textId="77777777">
        <w:tc>
          <w:tcPr>
            <w:tcW w:w="3955" w:type="dxa"/>
          </w:tcPr>
          <w:p w:rsidRPr="008758BE" w:rsidR="00A92D0B" w:rsidP="00C47A2B" w:rsidRDefault="00A92D0B" w14:paraId="0E2E4BD1" w14:textId="4AA99532">
            <w:pPr>
              <w:tabs>
                <w:tab w:val="left" w:pos="1620"/>
                <w:tab w:val="right" w:pos="4500"/>
              </w:tabs>
              <w:rPr>
                <w:b/>
                <w:color w:val="000000"/>
                <w:u w:val="single"/>
              </w:rPr>
            </w:pPr>
            <w:r w:rsidRPr="008758BE">
              <w:rPr>
                <w:b/>
                <w:color w:val="000000"/>
              </w:rPr>
              <w:t>Claimed:</w:t>
            </w:r>
            <w:r w:rsidRPr="008758BE" w:rsidR="00F63C29">
              <w:rPr>
                <w:b/>
                <w:color w:val="000000"/>
              </w:rPr>
              <w:t xml:space="preserve"> </w:t>
            </w:r>
            <w:r w:rsidRPr="008758BE" w:rsidR="002D21CA">
              <w:rPr>
                <w:b/>
                <w:color w:val="000000"/>
              </w:rPr>
              <w:t xml:space="preserve"> </w:t>
            </w:r>
            <w:r w:rsidRPr="008758BE" w:rsidR="00FC72B7">
              <w:rPr>
                <w:bCs/>
                <w:color w:val="000000"/>
              </w:rPr>
              <w:t>$</w:t>
            </w:r>
            <w:r w:rsidRPr="008758BE" w:rsidR="003E18E8">
              <w:rPr>
                <w:bCs/>
                <w:color w:val="000000"/>
              </w:rPr>
              <w:t>105,059.00</w:t>
            </w:r>
          </w:p>
        </w:tc>
        <w:tc>
          <w:tcPr>
            <w:tcW w:w="5405" w:type="dxa"/>
            <w:tcBorders>
              <w:bottom w:val="single" w:color="auto" w:sz="4" w:space="0"/>
            </w:tcBorders>
          </w:tcPr>
          <w:p w:rsidRPr="008758BE" w:rsidR="00A92D0B" w:rsidP="00C47A2B" w:rsidRDefault="00A92D0B" w14:paraId="211F40A8" w14:textId="660B57A5">
            <w:pPr>
              <w:tabs>
                <w:tab w:val="left" w:pos="1872"/>
                <w:tab w:val="right" w:pos="3672"/>
              </w:tabs>
              <w:rPr>
                <w:b/>
                <w:color w:val="000000"/>
                <w:u w:val="single"/>
              </w:rPr>
            </w:pPr>
            <w:r w:rsidRPr="008758BE">
              <w:rPr>
                <w:b/>
                <w:color w:val="000000"/>
              </w:rPr>
              <w:t>Awarded:</w:t>
            </w:r>
            <w:r w:rsidRPr="008758BE" w:rsidR="00FC72B7">
              <w:rPr>
                <w:b/>
                <w:color w:val="000000"/>
              </w:rPr>
              <w:t xml:space="preserve">  </w:t>
            </w:r>
            <w:r w:rsidRPr="00564BD1" w:rsidR="00FC72B7">
              <w:rPr>
                <w:bCs/>
                <w:color w:val="000000"/>
              </w:rPr>
              <w:t>$</w:t>
            </w:r>
            <w:r w:rsidRPr="005F370E" w:rsidR="005F370E">
              <w:rPr>
                <w:bCs/>
                <w:iCs/>
                <w:color w:val="000000"/>
              </w:rPr>
              <w:t>102,640.25</w:t>
            </w:r>
          </w:p>
        </w:tc>
      </w:tr>
      <w:tr w:rsidRPr="007F620E" w:rsidR="00A92D0B" w:rsidTr="00AB79E5" w14:paraId="5C56877D" w14:textId="77777777">
        <w:tc>
          <w:tcPr>
            <w:tcW w:w="3955" w:type="dxa"/>
          </w:tcPr>
          <w:p w:rsidRPr="00691528" w:rsidR="00A92D0B" w:rsidP="00C47A2B" w:rsidRDefault="00A92D0B" w14:paraId="6EF99E36" w14:textId="76EC2814">
            <w:pPr>
              <w:tabs>
                <w:tab w:val="left" w:pos="3060"/>
                <w:tab w:val="right" w:pos="4500"/>
              </w:tabs>
              <w:rPr>
                <w:color w:val="000000"/>
                <w:u w:val="single"/>
              </w:rPr>
            </w:pPr>
            <w:r w:rsidRPr="007F620E">
              <w:rPr>
                <w:b/>
                <w:color w:val="000000"/>
              </w:rPr>
              <w:t xml:space="preserve">Assigned Commissioner: </w:t>
            </w:r>
            <w:r w:rsidRPr="006C247D" w:rsidR="00AF30E8">
              <w:rPr>
                <w:bCs/>
                <w:color w:val="000000"/>
              </w:rPr>
              <w:t>Darcie L. Houck</w:t>
            </w:r>
          </w:p>
        </w:tc>
        <w:tc>
          <w:tcPr>
            <w:tcW w:w="5405" w:type="dxa"/>
          </w:tcPr>
          <w:p w:rsidRPr="00691528" w:rsidR="00A92D0B" w:rsidP="00C47A2B" w:rsidRDefault="00A92D0B" w14:paraId="79375F78" w14:textId="7F043935">
            <w:pPr>
              <w:tabs>
                <w:tab w:val="left" w:pos="1872"/>
                <w:tab w:val="right" w:pos="3672"/>
              </w:tabs>
              <w:rPr>
                <w:color w:val="000000"/>
                <w:u w:val="single"/>
              </w:rPr>
            </w:pPr>
            <w:r w:rsidRPr="007F620E">
              <w:rPr>
                <w:b/>
                <w:color w:val="000000"/>
              </w:rPr>
              <w:t>Assigned ALJ:</w:t>
            </w:r>
            <w:r w:rsidRPr="007F620E" w:rsidR="00F63C29">
              <w:rPr>
                <w:b/>
                <w:color w:val="000000"/>
              </w:rPr>
              <w:t xml:space="preserve"> </w:t>
            </w:r>
            <w:r w:rsidRPr="006C247D" w:rsidR="00AF30E8">
              <w:rPr>
                <w:bCs/>
                <w:color w:val="000000"/>
              </w:rPr>
              <w:t>Andrew Dugowson</w:t>
            </w:r>
          </w:p>
        </w:tc>
      </w:tr>
    </w:tbl>
    <w:p w:rsidR="00691528" w:rsidP="00055843" w:rsidRDefault="00A92D0B" w14:paraId="3CEED871" w14:textId="62381001">
      <w:pPr>
        <w:keepNext/>
        <w:spacing w:before="480"/>
        <w:jc w:val="center"/>
        <w:rPr>
          <w:b/>
          <w:color w:val="000000"/>
        </w:rPr>
      </w:pPr>
      <w:r w:rsidRPr="007F620E">
        <w:rPr>
          <w:b/>
          <w:color w:val="000000"/>
        </w:rPr>
        <w:t>PART I:</w:t>
      </w:r>
      <w:r w:rsidR="008E182E">
        <w:rPr>
          <w:b/>
          <w:color w:val="000000"/>
        </w:rPr>
        <w:t xml:space="preserve">  </w:t>
      </w:r>
      <w:r w:rsidRPr="007F620E">
        <w:rPr>
          <w:b/>
          <w:color w:val="000000"/>
        </w:rPr>
        <w:t>PROCEDURAL ISSUES</w:t>
      </w:r>
    </w:p>
    <w:p w:rsidRPr="007F620E" w:rsidR="00A92D0B" w:rsidP="00055843" w:rsidRDefault="00A92D0B" w14:paraId="37AA25BD" w14:textId="77777777">
      <w:pPr>
        <w:keepNext/>
        <w:rPr>
          <w:color w:val="000000"/>
        </w:rPr>
      </w:pP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08"/>
        <w:gridCol w:w="6120"/>
      </w:tblGrid>
      <w:tr w:rsidRPr="007F620E" w:rsidR="00A92D0B" w:rsidTr="00AB79E5" w14:paraId="3C5C25ED" w14:textId="77777777">
        <w:tc>
          <w:tcPr>
            <w:tcW w:w="3708" w:type="dxa"/>
          </w:tcPr>
          <w:p w:rsidRPr="007F620E" w:rsidR="00A92D0B" w:rsidP="00915118" w:rsidRDefault="00A92D0B" w14:paraId="1576A0A6" w14:textId="77777777">
            <w:pPr>
              <w:rPr>
                <w:b/>
                <w:color w:val="000000"/>
              </w:rPr>
            </w:pPr>
            <w:r w:rsidRPr="007F620E">
              <w:rPr>
                <w:b/>
                <w:color w:val="000000"/>
              </w:rPr>
              <w:t xml:space="preserve">A.  Brief </w:t>
            </w:r>
            <w:r w:rsidRPr="007F620E" w:rsidR="00A319DE">
              <w:rPr>
                <w:b/>
                <w:color w:val="000000"/>
              </w:rPr>
              <w:t>d</w:t>
            </w:r>
            <w:r w:rsidRPr="007F620E">
              <w:rPr>
                <w:b/>
                <w:color w:val="000000"/>
              </w:rPr>
              <w:t xml:space="preserve">escription of Decision: </w:t>
            </w:r>
          </w:p>
        </w:tc>
        <w:tc>
          <w:tcPr>
            <w:tcW w:w="6120" w:type="dxa"/>
          </w:tcPr>
          <w:p w:rsidRPr="00F42600" w:rsidR="00D86A68" w:rsidP="00F42600" w:rsidRDefault="00D86A68" w14:paraId="6672EAB1" w14:textId="1ED769E1">
            <w:pPr>
              <w:rPr>
                <w:bCs/>
                <w:color w:val="000000"/>
              </w:rPr>
            </w:pPr>
            <w:r w:rsidRPr="00E07D32">
              <w:rPr>
                <w:b/>
                <w:color w:val="000000"/>
              </w:rPr>
              <w:t>D.24-09-005:</w:t>
            </w:r>
            <w:r w:rsidR="00503061">
              <w:rPr>
                <w:bCs/>
                <w:color w:val="000000"/>
              </w:rPr>
              <w:t xml:space="preserve"> directs the </w:t>
            </w:r>
            <w:r w:rsidR="00786291">
              <w:rPr>
                <w:bCs/>
                <w:color w:val="000000"/>
              </w:rPr>
              <w:t>investor-owned utilities (“</w:t>
            </w:r>
            <w:r w:rsidR="00503061">
              <w:rPr>
                <w:bCs/>
                <w:color w:val="000000"/>
              </w:rPr>
              <w:t>IOU</w:t>
            </w:r>
            <w:r w:rsidR="00786291">
              <w:rPr>
                <w:bCs/>
                <w:color w:val="000000"/>
              </w:rPr>
              <w:t>”)</w:t>
            </w:r>
            <w:r w:rsidR="00503061">
              <w:rPr>
                <w:bCs/>
                <w:color w:val="000000"/>
              </w:rPr>
              <w:t xml:space="preserve"> to</w:t>
            </w:r>
            <w:r w:rsidRPr="00F42600">
              <w:rPr>
                <w:bCs/>
                <w:color w:val="000000"/>
              </w:rPr>
              <w:t xml:space="preserve"> </w:t>
            </w:r>
            <w:r w:rsidRPr="00F42600" w:rsidR="00F42600">
              <w:rPr>
                <w:bCs/>
                <w:color w:val="000000"/>
              </w:rPr>
              <w:t xml:space="preserve">allocate </w:t>
            </w:r>
            <w:r w:rsidR="00B1615D">
              <w:rPr>
                <w:bCs/>
                <w:color w:val="000000"/>
              </w:rPr>
              <w:t>customer</w:t>
            </w:r>
            <w:r w:rsidR="00E07D32">
              <w:rPr>
                <w:bCs/>
                <w:color w:val="000000"/>
              </w:rPr>
              <w:t xml:space="preserve"> </w:t>
            </w:r>
            <w:r w:rsidR="00B1615D">
              <w:rPr>
                <w:bCs/>
                <w:color w:val="000000"/>
              </w:rPr>
              <w:t xml:space="preserve">payments </w:t>
            </w:r>
            <w:r w:rsidRPr="00F42600" w:rsidR="00F42600">
              <w:rPr>
                <w:bCs/>
                <w:color w:val="000000"/>
              </w:rPr>
              <w:t xml:space="preserve">between </w:t>
            </w:r>
            <w:r w:rsidR="00B1615D">
              <w:rPr>
                <w:bCs/>
                <w:color w:val="000000"/>
              </w:rPr>
              <w:t>IOUs</w:t>
            </w:r>
            <w:r w:rsidRPr="00F42600" w:rsidR="00F42600">
              <w:rPr>
                <w:bCs/>
                <w:color w:val="000000"/>
              </w:rPr>
              <w:t xml:space="preserve"> and</w:t>
            </w:r>
            <w:r w:rsidR="00B1615D">
              <w:rPr>
                <w:bCs/>
                <w:color w:val="000000"/>
              </w:rPr>
              <w:t xml:space="preserve"> CCAs</w:t>
            </w:r>
            <w:r w:rsidRPr="00F42600" w:rsidR="00F42600">
              <w:rPr>
                <w:bCs/>
                <w:color w:val="000000"/>
              </w:rPr>
              <w:t xml:space="preserve"> based on their</w:t>
            </w:r>
            <w:r w:rsidR="00E07D32">
              <w:rPr>
                <w:bCs/>
                <w:color w:val="000000"/>
              </w:rPr>
              <w:t xml:space="preserve"> </w:t>
            </w:r>
            <w:r w:rsidRPr="00F42600" w:rsidR="00F42600">
              <w:rPr>
                <w:bCs/>
                <w:color w:val="000000"/>
              </w:rPr>
              <w:t>proportionate share</w:t>
            </w:r>
            <w:r w:rsidR="002D7F23">
              <w:rPr>
                <w:bCs/>
                <w:color w:val="000000"/>
              </w:rPr>
              <w:t xml:space="preserve"> of</w:t>
            </w:r>
            <w:r w:rsidR="00E07D32">
              <w:rPr>
                <w:bCs/>
                <w:color w:val="000000"/>
              </w:rPr>
              <w:t xml:space="preserve"> </w:t>
            </w:r>
            <w:r w:rsidRPr="00F42600" w:rsidR="00F42600">
              <w:rPr>
                <w:bCs/>
                <w:color w:val="000000"/>
              </w:rPr>
              <w:t>past-due bills</w:t>
            </w:r>
            <w:r w:rsidR="00C35C1A">
              <w:rPr>
                <w:bCs/>
                <w:color w:val="000000"/>
              </w:rPr>
              <w:t>.</w:t>
            </w:r>
          </w:p>
          <w:p w:rsidR="00093DD6" w:rsidRDefault="00093DD6" w14:paraId="17DCD75A" w14:textId="77777777">
            <w:pPr>
              <w:rPr>
                <w:b/>
                <w:color w:val="000000"/>
              </w:rPr>
            </w:pPr>
          </w:p>
          <w:p w:rsidR="00D86A68" w:rsidRDefault="00D86A68" w14:paraId="21AC227F" w14:textId="450ACF72">
            <w:pPr>
              <w:rPr>
                <w:bCs/>
                <w:color w:val="000000"/>
              </w:rPr>
            </w:pPr>
            <w:r w:rsidRPr="00184333">
              <w:rPr>
                <w:b/>
                <w:color w:val="000000"/>
              </w:rPr>
              <w:t>D.24-11-005</w:t>
            </w:r>
            <w:r w:rsidRPr="00184333" w:rsidR="00E07D32">
              <w:rPr>
                <w:b/>
                <w:color w:val="000000"/>
              </w:rPr>
              <w:t>:</w:t>
            </w:r>
            <w:r w:rsidR="003E4F71">
              <w:rPr>
                <w:bCs/>
                <w:color w:val="000000"/>
              </w:rPr>
              <w:t xml:space="preserve"> directs the IOUs</w:t>
            </w:r>
            <w:r w:rsidR="00E07D32">
              <w:rPr>
                <w:bCs/>
                <w:color w:val="000000"/>
              </w:rPr>
              <w:t xml:space="preserve"> </w:t>
            </w:r>
            <w:r w:rsidRPr="003E4F71" w:rsidR="003E4F71">
              <w:rPr>
                <w:bCs/>
                <w:color w:val="000000"/>
              </w:rPr>
              <w:t>to extend the residential disconnection rate caps</w:t>
            </w:r>
            <w:r w:rsidR="003E4F71">
              <w:rPr>
                <w:bCs/>
                <w:color w:val="000000"/>
              </w:rPr>
              <w:t xml:space="preserve"> </w:t>
            </w:r>
            <w:r w:rsidRPr="003E4F71" w:rsidR="003E4F71">
              <w:rPr>
                <w:bCs/>
                <w:color w:val="000000"/>
              </w:rPr>
              <w:t>established in Decision 20-06-003</w:t>
            </w:r>
            <w:r w:rsidR="00184333">
              <w:rPr>
                <w:bCs/>
                <w:color w:val="000000"/>
              </w:rPr>
              <w:t xml:space="preserve"> </w:t>
            </w:r>
            <w:r w:rsidRPr="003E4F71" w:rsidR="003E4F71">
              <w:rPr>
                <w:bCs/>
                <w:color w:val="000000"/>
              </w:rPr>
              <w:t>until</w:t>
            </w:r>
            <w:r w:rsidR="00184333">
              <w:rPr>
                <w:bCs/>
                <w:color w:val="000000"/>
              </w:rPr>
              <w:t xml:space="preserve"> </w:t>
            </w:r>
            <w:r w:rsidRPr="003E4F71" w:rsidR="003E4F71">
              <w:rPr>
                <w:bCs/>
                <w:color w:val="000000"/>
              </w:rPr>
              <w:t>the date</w:t>
            </w:r>
            <w:r w:rsidR="006D797D">
              <w:rPr>
                <w:bCs/>
                <w:color w:val="000000"/>
              </w:rPr>
              <w:t xml:space="preserve"> of</w:t>
            </w:r>
            <w:r w:rsidRPr="003E4F71" w:rsidR="003E4F71">
              <w:rPr>
                <w:bCs/>
                <w:color w:val="000000"/>
              </w:rPr>
              <w:t xml:space="preserve"> a final decision on this matter</w:t>
            </w:r>
            <w:r w:rsidR="00093DD6">
              <w:rPr>
                <w:bCs/>
                <w:color w:val="000000"/>
              </w:rPr>
              <w:t>.</w:t>
            </w:r>
          </w:p>
          <w:p w:rsidR="00093DD6" w:rsidRDefault="00093DD6" w14:paraId="3EC52EFC" w14:textId="77777777">
            <w:pPr>
              <w:rPr>
                <w:bCs/>
                <w:color w:val="000000"/>
              </w:rPr>
            </w:pPr>
          </w:p>
          <w:p w:rsidRPr="00480692" w:rsidR="005106B5" w:rsidRDefault="005106B5" w14:paraId="5439E330" w14:textId="27B30E45">
            <w:pPr>
              <w:rPr>
                <w:bCs/>
                <w:color w:val="000000"/>
              </w:rPr>
            </w:pPr>
            <w:r w:rsidRPr="005106B5">
              <w:rPr>
                <w:b/>
                <w:color w:val="000000"/>
              </w:rPr>
              <w:t>D.25-04-004</w:t>
            </w:r>
            <w:r>
              <w:rPr>
                <w:b/>
                <w:color w:val="000000"/>
              </w:rPr>
              <w:t>:</w:t>
            </w:r>
            <w:r w:rsidRPr="00480692">
              <w:rPr>
                <w:bCs/>
                <w:color w:val="000000"/>
              </w:rPr>
              <w:t xml:space="preserve"> denies the</w:t>
            </w:r>
            <w:r w:rsidRPr="00480692" w:rsidR="00480692">
              <w:rPr>
                <w:bCs/>
                <w:color w:val="000000"/>
              </w:rPr>
              <w:t xml:space="preserve"> IOUs’</w:t>
            </w:r>
            <w:r w:rsidRPr="00480692">
              <w:rPr>
                <w:bCs/>
                <w:color w:val="000000"/>
              </w:rPr>
              <w:t xml:space="preserve"> petition for modif</w:t>
            </w:r>
            <w:r w:rsidRPr="00480692" w:rsidR="00480692">
              <w:rPr>
                <w:bCs/>
                <w:color w:val="000000"/>
              </w:rPr>
              <w:t>ication (“PFM”)</w:t>
            </w:r>
            <w:r w:rsidR="00253B88">
              <w:rPr>
                <w:bCs/>
                <w:color w:val="000000"/>
              </w:rPr>
              <w:t xml:space="preserve"> </w:t>
            </w:r>
            <w:r w:rsidRPr="00253B88" w:rsidR="00253B88">
              <w:rPr>
                <w:bCs/>
                <w:color w:val="000000"/>
              </w:rPr>
              <w:t>of D.23-08-049</w:t>
            </w:r>
            <w:r w:rsidR="00253B88">
              <w:rPr>
                <w:bCs/>
                <w:color w:val="000000"/>
              </w:rPr>
              <w:t>.</w:t>
            </w:r>
          </w:p>
          <w:p w:rsidR="005106B5" w:rsidRDefault="005106B5" w14:paraId="260BAF77" w14:textId="77777777">
            <w:pPr>
              <w:rPr>
                <w:b/>
                <w:color w:val="000000"/>
              </w:rPr>
            </w:pPr>
          </w:p>
          <w:p w:rsidRPr="00646A5D" w:rsidR="00C02649" w:rsidRDefault="00D86A68" w14:paraId="67B8ECAA" w14:textId="774DD5A8">
            <w:pPr>
              <w:rPr>
                <w:bCs/>
                <w:color w:val="000000"/>
              </w:rPr>
            </w:pPr>
            <w:r w:rsidRPr="00093DD6">
              <w:rPr>
                <w:b/>
                <w:color w:val="000000"/>
              </w:rPr>
              <w:t>D.25-06-012</w:t>
            </w:r>
            <w:r w:rsidRPr="00093DD6" w:rsidR="00E07D32">
              <w:rPr>
                <w:b/>
                <w:color w:val="000000"/>
              </w:rPr>
              <w:t>:</w:t>
            </w:r>
            <w:r w:rsidR="00184333">
              <w:rPr>
                <w:bCs/>
                <w:color w:val="000000"/>
              </w:rPr>
              <w:t xml:space="preserve"> </w:t>
            </w:r>
            <w:r w:rsidR="00135211">
              <w:rPr>
                <w:bCs/>
                <w:color w:val="000000"/>
              </w:rPr>
              <w:t>addresses</w:t>
            </w:r>
            <w:r w:rsidR="007E0F16">
              <w:rPr>
                <w:bCs/>
                <w:color w:val="000000"/>
              </w:rPr>
              <w:t xml:space="preserve"> </w:t>
            </w:r>
            <w:r w:rsidR="00A23CC3">
              <w:rPr>
                <w:bCs/>
                <w:color w:val="000000"/>
              </w:rPr>
              <w:t>procedures associated with</w:t>
            </w:r>
            <w:r w:rsidR="00135211">
              <w:rPr>
                <w:bCs/>
                <w:color w:val="000000"/>
              </w:rPr>
              <w:t xml:space="preserve"> disconnection, reconnection, </w:t>
            </w:r>
            <w:r w:rsidR="007E0F16">
              <w:rPr>
                <w:bCs/>
                <w:color w:val="000000"/>
              </w:rPr>
              <w:t>SB 1142, and extreme heat</w:t>
            </w:r>
            <w:r w:rsidR="00093DD6">
              <w:rPr>
                <w:bCs/>
                <w:color w:val="000000"/>
              </w:rPr>
              <w:t xml:space="preserve"> con</w:t>
            </w:r>
            <w:r w:rsidR="00A23CC3">
              <w:rPr>
                <w:bCs/>
                <w:color w:val="000000"/>
              </w:rPr>
              <w:t>ditions</w:t>
            </w:r>
            <w:r w:rsidR="007E0F16">
              <w:rPr>
                <w:bCs/>
                <w:color w:val="000000"/>
              </w:rPr>
              <w:t>.</w:t>
            </w:r>
          </w:p>
        </w:tc>
      </w:tr>
    </w:tbl>
    <w:p w:rsidRPr="007F620E" w:rsidR="00A92D0B" w:rsidP="00880855" w:rsidRDefault="005A63D4" w14:paraId="2FBF046C" w14:textId="77777777">
      <w:pPr>
        <w:keepNext/>
        <w:numPr>
          <w:ilvl w:val="0"/>
          <w:numId w:val="5"/>
        </w:numPr>
        <w:spacing w:before="240" w:after="240"/>
        <w:rPr>
          <w:b/>
          <w:color w:val="000000"/>
        </w:rPr>
      </w:pPr>
      <w:r w:rsidRPr="007F620E">
        <w:rPr>
          <w:b/>
          <w:color w:val="000000"/>
        </w:rPr>
        <w:lastRenderedPageBreak/>
        <w:t xml:space="preserve">Intervenor </w:t>
      </w:r>
      <w:r w:rsidRPr="007F620E" w:rsidR="00A92D0B">
        <w:rPr>
          <w:b/>
          <w:color w:val="000000"/>
        </w:rPr>
        <w:t xml:space="preserve">must satisfy intervenor compensation </w:t>
      </w:r>
      <w:r w:rsidRPr="007F620E" w:rsidR="00DE3A5D">
        <w:rPr>
          <w:b/>
          <w:color w:val="000000"/>
        </w:rPr>
        <w:t>requirements set forth in Pub. Util.</w:t>
      </w:r>
      <w:r w:rsidRPr="007F620E" w:rsidR="00A92D0B">
        <w:rPr>
          <w:b/>
          <w:color w:val="000000"/>
        </w:rPr>
        <w:t xml:space="preserve"> Code §§ 1801-1812</w:t>
      </w:r>
      <w:r w:rsidR="003B6A1B">
        <w:rPr>
          <w:rStyle w:val="FootnoteReference"/>
          <w:b/>
          <w:color w:val="000000"/>
        </w:rPr>
        <w:footnoteReference w:id="1"/>
      </w:r>
      <w:r w:rsidRPr="007F620E" w:rsidR="00A92D0B">
        <w:rPr>
          <w:b/>
          <w:color w:val="000000"/>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817"/>
        <w:gridCol w:w="2267"/>
        <w:gridCol w:w="2276"/>
      </w:tblGrid>
      <w:tr w:rsidRPr="007F620E" w:rsidR="00A92D0B" w:rsidTr="00F028C8" w14:paraId="640CF70A" w14:textId="77777777">
        <w:trPr>
          <w:tblHeader/>
        </w:trPr>
        <w:tc>
          <w:tcPr>
            <w:tcW w:w="4817" w:type="dxa"/>
            <w:tcBorders>
              <w:bottom w:val="single" w:color="auto" w:sz="4" w:space="0"/>
            </w:tcBorders>
          </w:tcPr>
          <w:p w:rsidRPr="007F620E" w:rsidR="00A92D0B" w:rsidP="00F028C8" w:rsidRDefault="00A92D0B" w14:paraId="409E4D92" w14:textId="77777777">
            <w:pPr>
              <w:tabs>
                <w:tab w:val="left" w:pos="360"/>
              </w:tabs>
              <w:jc w:val="center"/>
              <w:rPr>
                <w:color w:val="000000"/>
              </w:rPr>
            </w:pPr>
          </w:p>
        </w:tc>
        <w:tc>
          <w:tcPr>
            <w:tcW w:w="2267" w:type="dxa"/>
            <w:tcBorders>
              <w:bottom w:val="single" w:color="auto" w:sz="4" w:space="0"/>
            </w:tcBorders>
          </w:tcPr>
          <w:p w:rsidRPr="007F620E" w:rsidR="00A92D0B" w:rsidP="00F028C8" w:rsidRDefault="005A63D4" w14:paraId="1412A3C6" w14:textId="77777777">
            <w:pPr>
              <w:tabs>
                <w:tab w:val="left" w:pos="360"/>
              </w:tabs>
              <w:jc w:val="center"/>
              <w:rPr>
                <w:b/>
                <w:color w:val="000000"/>
              </w:rPr>
            </w:pPr>
            <w:r w:rsidRPr="007F620E">
              <w:rPr>
                <w:b/>
                <w:color w:val="000000"/>
              </w:rPr>
              <w:t>Intervenor</w:t>
            </w:r>
          </w:p>
        </w:tc>
        <w:tc>
          <w:tcPr>
            <w:tcW w:w="2276" w:type="dxa"/>
            <w:tcBorders>
              <w:bottom w:val="single" w:color="auto" w:sz="4" w:space="0"/>
            </w:tcBorders>
          </w:tcPr>
          <w:p w:rsidRPr="007F620E" w:rsidR="00A92D0B" w:rsidP="00F028C8" w:rsidRDefault="00A92D0B" w14:paraId="2A218C38" w14:textId="386C9A6A">
            <w:pPr>
              <w:tabs>
                <w:tab w:val="left" w:pos="360"/>
              </w:tabs>
              <w:jc w:val="center"/>
              <w:rPr>
                <w:b/>
                <w:color w:val="000000"/>
              </w:rPr>
            </w:pPr>
            <w:r w:rsidRPr="007F620E">
              <w:rPr>
                <w:b/>
                <w:color w:val="000000"/>
              </w:rPr>
              <w:t xml:space="preserve">CPUC </w:t>
            </w:r>
            <w:r w:rsidR="0081626F">
              <w:rPr>
                <w:b/>
                <w:color w:val="000000"/>
              </w:rPr>
              <w:t>Verification</w:t>
            </w:r>
          </w:p>
        </w:tc>
      </w:tr>
      <w:tr w:rsidRPr="007F620E" w:rsidR="00A92D0B" w:rsidTr="00F028C8" w14:paraId="7D83D00D"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A92D0B" w:rsidP="00F028C8" w:rsidRDefault="00A92D0B" w14:paraId="606E2B66" w14:textId="77777777">
            <w:pPr>
              <w:keepNext/>
              <w:tabs>
                <w:tab w:val="left" w:pos="360"/>
              </w:tabs>
              <w:jc w:val="center"/>
              <w:rPr>
                <w:b/>
              </w:rPr>
            </w:pPr>
            <w:r w:rsidRPr="007F620E">
              <w:rPr>
                <w:b/>
              </w:rPr>
              <w:t>Timely filing of notice of intent to claim compensation (NOI) (§ 1804(a)):</w:t>
            </w:r>
          </w:p>
        </w:tc>
      </w:tr>
      <w:tr w:rsidRPr="007F620E" w:rsidR="00A92D0B" w:rsidTr="00D33661" w14:paraId="160E284A" w14:textId="77777777">
        <w:tc>
          <w:tcPr>
            <w:tcW w:w="4817" w:type="dxa"/>
            <w:tcBorders>
              <w:top w:val="single" w:color="auto" w:sz="4" w:space="0"/>
            </w:tcBorders>
          </w:tcPr>
          <w:p w:rsidRPr="007F620E" w:rsidR="00A92D0B" w:rsidP="00F028C8" w:rsidRDefault="00A92D0B" w14:paraId="44D1876C" w14:textId="478A95F3">
            <w:pPr>
              <w:keepNext/>
              <w:tabs>
                <w:tab w:val="left" w:pos="360"/>
              </w:tabs>
              <w:ind w:left="360" w:hanging="360"/>
              <w:rPr>
                <w:color w:val="000000"/>
              </w:rPr>
            </w:pPr>
            <w:r w:rsidRPr="007F620E">
              <w:rPr>
                <w:color w:val="000000"/>
              </w:rPr>
              <w:t>1.</w:t>
            </w:r>
            <w:r w:rsidR="001E7EE2">
              <w:rPr>
                <w:color w:val="000000"/>
              </w:rPr>
              <w:tab/>
            </w:r>
            <w:r w:rsidRPr="007F620E">
              <w:rPr>
                <w:color w:val="000000"/>
              </w:rPr>
              <w:t>Date of Prehearing Conference:</w:t>
            </w:r>
          </w:p>
        </w:tc>
        <w:tc>
          <w:tcPr>
            <w:tcW w:w="2267" w:type="dxa"/>
            <w:tcBorders>
              <w:top w:val="single" w:color="auto" w:sz="4" w:space="0"/>
            </w:tcBorders>
          </w:tcPr>
          <w:p w:rsidRPr="007F620E" w:rsidR="00A92D0B" w:rsidP="00F028C8" w:rsidRDefault="00AF30E8" w14:paraId="35450816" w14:textId="513ECB59">
            <w:pPr>
              <w:keepNext/>
              <w:keepLines/>
              <w:tabs>
                <w:tab w:val="left" w:pos="360"/>
              </w:tabs>
              <w:ind w:left="360" w:hanging="360"/>
              <w:rPr>
                <w:color w:val="000000"/>
              </w:rPr>
            </w:pPr>
            <w:r>
              <w:rPr>
                <w:color w:val="000000"/>
              </w:rPr>
              <w:t>8/15/2018</w:t>
            </w:r>
          </w:p>
        </w:tc>
        <w:tc>
          <w:tcPr>
            <w:tcW w:w="2276" w:type="dxa"/>
            <w:tcBorders>
              <w:top w:val="single" w:color="auto" w:sz="4" w:space="0"/>
            </w:tcBorders>
          </w:tcPr>
          <w:p w:rsidRPr="007F620E" w:rsidR="00A92D0B" w:rsidP="006C247D" w:rsidRDefault="006C247D" w14:paraId="34540344" w14:textId="04778AF8">
            <w:pPr>
              <w:keepNext/>
              <w:tabs>
                <w:tab w:val="left" w:pos="360"/>
              </w:tabs>
              <w:jc w:val="center"/>
              <w:rPr>
                <w:color w:val="000000"/>
              </w:rPr>
            </w:pPr>
            <w:r>
              <w:rPr>
                <w:color w:val="000000"/>
              </w:rPr>
              <w:t>Verified</w:t>
            </w:r>
          </w:p>
        </w:tc>
      </w:tr>
      <w:tr w:rsidRPr="007F620E" w:rsidR="00A92D0B" w:rsidTr="00D33661" w14:paraId="24C85564" w14:textId="77777777">
        <w:tc>
          <w:tcPr>
            <w:tcW w:w="4817" w:type="dxa"/>
          </w:tcPr>
          <w:p w:rsidRPr="007F620E" w:rsidR="00A92D0B" w:rsidP="00F028C8" w:rsidRDefault="00A92D0B" w14:paraId="382C5788" w14:textId="49F0E39E">
            <w:pPr>
              <w:tabs>
                <w:tab w:val="left" w:pos="360"/>
              </w:tabs>
              <w:ind w:left="360" w:hanging="360"/>
              <w:rPr>
                <w:color w:val="000000"/>
              </w:rPr>
            </w:pPr>
            <w:r w:rsidRPr="007F620E">
              <w:rPr>
                <w:color w:val="000000"/>
              </w:rPr>
              <w:t>2.</w:t>
            </w:r>
            <w:r w:rsidR="001E7EE2">
              <w:rPr>
                <w:color w:val="000000"/>
              </w:rPr>
              <w:tab/>
            </w:r>
            <w:r w:rsidRPr="007F620E">
              <w:rPr>
                <w:color w:val="000000"/>
              </w:rPr>
              <w:t xml:space="preserve">Other </w:t>
            </w:r>
            <w:r w:rsidRPr="007F620E" w:rsidR="00A319DE">
              <w:rPr>
                <w:color w:val="000000"/>
              </w:rPr>
              <w:t>s</w:t>
            </w:r>
            <w:r w:rsidRPr="007F620E">
              <w:rPr>
                <w:color w:val="000000"/>
              </w:rPr>
              <w:t xml:space="preserve">pecified </w:t>
            </w:r>
            <w:r w:rsidRPr="007F620E" w:rsidR="00A319DE">
              <w:rPr>
                <w:color w:val="000000"/>
              </w:rPr>
              <w:t>d</w:t>
            </w:r>
            <w:r w:rsidRPr="007F620E">
              <w:rPr>
                <w:color w:val="000000"/>
              </w:rPr>
              <w:t>ate for NOI:</w:t>
            </w:r>
          </w:p>
        </w:tc>
        <w:tc>
          <w:tcPr>
            <w:tcW w:w="2267" w:type="dxa"/>
          </w:tcPr>
          <w:p w:rsidRPr="007F620E" w:rsidR="00A92D0B" w:rsidP="00F028C8" w:rsidRDefault="00A92D0B" w14:paraId="1826BC2C" w14:textId="77777777">
            <w:pPr>
              <w:keepNext/>
              <w:keepLines/>
              <w:tabs>
                <w:tab w:val="left" w:pos="360"/>
              </w:tabs>
              <w:ind w:left="360" w:hanging="360"/>
              <w:rPr>
                <w:color w:val="000000"/>
              </w:rPr>
            </w:pPr>
          </w:p>
        </w:tc>
        <w:tc>
          <w:tcPr>
            <w:tcW w:w="2276" w:type="dxa"/>
          </w:tcPr>
          <w:p w:rsidRPr="007F620E" w:rsidR="00A92D0B" w:rsidP="00F028C8" w:rsidRDefault="00A92D0B" w14:paraId="210DAD91" w14:textId="77777777">
            <w:pPr>
              <w:tabs>
                <w:tab w:val="left" w:pos="360"/>
              </w:tabs>
              <w:jc w:val="both"/>
              <w:rPr>
                <w:color w:val="000000"/>
              </w:rPr>
            </w:pPr>
          </w:p>
        </w:tc>
      </w:tr>
      <w:tr w:rsidRPr="007F620E" w:rsidR="00A92D0B" w:rsidTr="00D33661" w14:paraId="4836EEA6" w14:textId="77777777">
        <w:tc>
          <w:tcPr>
            <w:tcW w:w="4817" w:type="dxa"/>
          </w:tcPr>
          <w:p w:rsidRPr="007F620E" w:rsidR="00A92D0B" w:rsidP="00F028C8" w:rsidRDefault="00A92D0B" w14:paraId="34809C45" w14:textId="2501A8A3">
            <w:pPr>
              <w:tabs>
                <w:tab w:val="left" w:pos="360"/>
              </w:tabs>
              <w:ind w:left="360" w:hanging="360"/>
              <w:rPr>
                <w:color w:val="000000"/>
              </w:rPr>
            </w:pPr>
            <w:r w:rsidRPr="007F620E">
              <w:rPr>
                <w:color w:val="000000"/>
              </w:rPr>
              <w:t>3.</w:t>
            </w:r>
            <w:r w:rsidR="001E7EE2">
              <w:rPr>
                <w:color w:val="000000"/>
              </w:rPr>
              <w:tab/>
            </w:r>
            <w:r w:rsidRPr="007F620E">
              <w:rPr>
                <w:color w:val="000000"/>
              </w:rPr>
              <w:t xml:space="preserve">Date NOI </w:t>
            </w:r>
            <w:r w:rsidRPr="007F620E" w:rsidR="00A319DE">
              <w:rPr>
                <w:color w:val="000000"/>
              </w:rPr>
              <w:t>f</w:t>
            </w:r>
            <w:r w:rsidRPr="007F620E">
              <w:rPr>
                <w:color w:val="000000"/>
              </w:rPr>
              <w:t>iled:</w:t>
            </w:r>
          </w:p>
        </w:tc>
        <w:tc>
          <w:tcPr>
            <w:tcW w:w="2267" w:type="dxa"/>
            <w:tcBorders>
              <w:bottom w:val="single" w:color="auto" w:sz="4" w:space="0"/>
            </w:tcBorders>
          </w:tcPr>
          <w:p w:rsidRPr="007F620E" w:rsidR="00A92D0B" w:rsidP="00F028C8" w:rsidRDefault="00AF30E8" w14:paraId="44F7CCB9" w14:textId="5B7F5EAE">
            <w:pPr>
              <w:keepNext/>
              <w:keepLines/>
              <w:tabs>
                <w:tab w:val="left" w:pos="360"/>
              </w:tabs>
              <w:ind w:left="360" w:hanging="360"/>
              <w:rPr>
                <w:color w:val="000000"/>
              </w:rPr>
            </w:pPr>
            <w:r>
              <w:rPr>
                <w:color w:val="000000"/>
              </w:rPr>
              <w:t>9/14/2018</w:t>
            </w:r>
          </w:p>
        </w:tc>
        <w:tc>
          <w:tcPr>
            <w:tcW w:w="2276" w:type="dxa"/>
            <w:tcBorders>
              <w:bottom w:val="single" w:color="auto" w:sz="4" w:space="0"/>
            </w:tcBorders>
          </w:tcPr>
          <w:p w:rsidRPr="007F620E" w:rsidR="00A92D0B" w:rsidP="006C247D" w:rsidRDefault="006C247D" w14:paraId="71759DE3" w14:textId="15872C79">
            <w:pPr>
              <w:tabs>
                <w:tab w:val="left" w:pos="360"/>
              </w:tabs>
              <w:jc w:val="center"/>
              <w:rPr>
                <w:color w:val="000000"/>
              </w:rPr>
            </w:pPr>
            <w:r>
              <w:rPr>
                <w:color w:val="000000"/>
              </w:rPr>
              <w:t>Verified</w:t>
            </w:r>
          </w:p>
        </w:tc>
      </w:tr>
      <w:tr w:rsidRPr="007F620E" w:rsidR="00A92D0B" w:rsidTr="00F028C8" w14:paraId="22BBCDE3" w14:textId="77777777">
        <w:tc>
          <w:tcPr>
            <w:tcW w:w="7084" w:type="dxa"/>
            <w:gridSpan w:val="2"/>
            <w:tcBorders>
              <w:bottom w:val="single" w:color="auto" w:sz="4" w:space="0"/>
            </w:tcBorders>
          </w:tcPr>
          <w:p w:rsidRPr="007F620E" w:rsidR="00A92D0B" w:rsidP="00F028C8" w:rsidRDefault="00A92D0B" w14:paraId="7E6E2068" w14:textId="1D4DD6B8">
            <w:pPr>
              <w:tabs>
                <w:tab w:val="left" w:pos="360"/>
              </w:tabs>
              <w:ind w:left="360" w:hanging="360"/>
              <w:rPr>
                <w:color w:val="000000"/>
              </w:rPr>
            </w:pPr>
            <w:r w:rsidRPr="007F620E">
              <w:rPr>
                <w:color w:val="000000"/>
              </w:rPr>
              <w:t>4.</w:t>
            </w:r>
            <w:r w:rsidR="001E7EE2">
              <w:rPr>
                <w:color w:val="000000"/>
              </w:rPr>
              <w:tab/>
            </w:r>
            <w:r w:rsidRPr="007F620E">
              <w:rPr>
                <w:color w:val="000000"/>
              </w:rPr>
              <w:t>Was the NOI timely filed?</w:t>
            </w:r>
          </w:p>
        </w:tc>
        <w:tc>
          <w:tcPr>
            <w:tcW w:w="2276" w:type="dxa"/>
            <w:tcBorders>
              <w:bottom w:val="single" w:color="auto" w:sz="4" w:space="0"/>
            </w:tcBorders>
          </w:tcPr>
          <w:p w:rsidRPr="007F620E" w:rsidR="00A92D0B" w:rsidP="00564BD1" w:rsidRDefault="006D6CA7" w14:paraId="61DE2845" w14:textId="144FBAD8">
            <w:pPr>
              <w:tabs>
                <w:tab w:val="left" w:pos="360"/>
              </w:tabs>
              <w:jc w:val="center"/>
              <w:rPr>
                <w:color w:val="000000"/>
              </w:rPr>
            </w:pPr>
            <w:r>
              <w:rPr>
                <w:color w:val="000000"/>
              </w:rPr>
              <w:t>Yes</w:t>
            </w:r>
          </w:p>
        </w:tc>
      </w:tr>
      <w:tr w:rsidRPr="007F620E" w:rsidR="00A92D0B" w:rsidTr="00F028C8" w14:paraId="4CD7D46A"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00F028C8" w:rsidP="00F028C8" w:rsidRDefault="00A92D0B" w14:paraId="003AB151" w14:textId="75841E30">
            <w:pPr>
              <w:keepNext/>
              <w:keepLines/>
              <w:tabs>
                <w:tab w:val="left" w:pos="360"/>
              </w:tabs>
              <w:jc w:val="center"/>
              <w:rPr>
                <w:b/>
                <w:color w:val="000000"/>
              </w:rPr>
            </w:pPr>
            <w:r w:rsidRPr="007F620E">
              <w:rPr>
                <w:b/>
                <w:color w:val="000000"/>
              </w:rPr>
              <w:t xml:space="preserve">Showing of </w:t>
            </w:r>
            <w:r w:rsidRPr="007F620E" w:rsidR="00F63C29">
              <w:rPr>
                <w:b/>
                <w:color w:val="000000"/>
              </w:rPr>
              <w:t xml:space="preserve">eligible </w:t>
            </w:r>
            <w:r w:rsidRPr="007F620E">
              <w:rPr>
                <w:b/>
                <w:color w:val="000000"/>
              </w:rPr>
              <w:t xml:space="preserve">customer </w:t>
            </w:r>
            <w:r w:rsidRPr="007F620E" w:rsidR="00F63C29">
              <w:rPr>
                <w:b/>
                <w:color w:val="000000"/>
              </w:rPr>
              <w:t>status (§ 1802(b)</w:t>
            </w:r>
            <w:r w:rsidR="00F028C8">
              <w:rPr>
                <w:b/>
                <w:color w:val="000000"/>
              </w:rPr>
              <w:t>)</w:t>
            </w:r>
          </w:p>
          <w:p w:rsidRPr="007F620E" w:rsidR="00A92D0B" w:rsidP="00F028C8" w:rsidRDefault="00F63C29" w14:paraId="19D649BF" w14:textId="31FAE647">
            <w:pPr>
              <w:keepNext/>
              <w:keepLines/>
              <w:tabs>
                <w:tab w:val="left" w:pos="360"/>
              </w:tabs>
              <w:jc w:val="center"/>
              <w:rPr>
                <w:b/>
                <w:color w:val="000000"/>
              </w:rPr>
            </w:pPr>
            <w:r w:rsidRPr="007F620E">
              <w:rPr>
                <w:b/>
                <w:color w:val="000000"/>
              </w:rPr>
              <w:t xml:space="preserve"> or eligible local government entity </w:t>
            </w:r>
            <w:r w:rsidR="00ED6B6B">
              <w:rPr>
                <w:b/>
                <w:color w:val="000000"/>
              </w:rPr>
              <w:t>status</w:t>
            </w:r>
            <w:r w:rsidR="00F028C8">
              <w:rPr>
                <w:b/>
                <w:color w:val="000000"/>
              </w:rPr>
              <w:t xml:space="preserve"> </w:t>
            </w:r>
            <w:r w:rsidRPr="007F620E">
              <w:rPr>
                <w:b/>
                <w:color w:val="000000"/>
              </w:rPr>
              <w:t>(§§ 1802(d), 1802.4)</w:t>
            </w:r>
            <w:r w:rsidRPr="007F620E" w:rsidR="00A92D0B">
              <w:rPr>
                <w:b/>
                <w:color w:val="000000"/>
              </w:rPr>
              <w:t>:</w:t>
            </w:r>
          </w:p>
        </w:tc>
      </w:tr>
      <w:tr w:rsidRPr="007F620E" w:rsidR="00A92D0B" w:rsidTr="00D33661" w14:paraId="259EC227" w14:textId="77777777">
        <w:tc>
          <w:tcPr>
            <w:tcW w:w="4817" w:type="dxa"/>
            <w:tcBorders>
              <w:top w:val="single" w:color="auto" w:sz="4" w:space="0"/>
            </w:tcBorders>
          </w:tcPr>
          <w:p w:rsidRPr="007F620E" w:rsidR="00A92D0B" w:rsidP="00F028C8" w:rsidRDefault="00A92D0B" w14:paraId="0EFCD0E9" w14:textId="1A5E3FBE">
            <w:pPr>
              <w:keepNext/>
              <w:keepLines/>
              <w:ind w:left="360" w:hanging="360"/>
              <w:rPr>
                <w:color w:val="000000"/>
              </w:rPr>
            </w:pPr>
            <w:r w:rsidRPr="007F620E">
              <w:rPr>
                <w:color w:val="000000"/>
              </w:rPr>
              <w:t>5.</w:t>
            </w:r>
            <w:r w:rsidR="001E7EE2">
              <w:rPr>
                <w:color w:val="000000"/>
              </w:rPr>
              <w:tab/>
            </w:r>
            <w:r w:rsidRPr="007F620E">
              <w:rPr>
                <w:color w:val="000000"/>
              </w:rPr>
              <w:t xml:space="preserve">Based on ALJ ruling issued in proceeding </w:t>
            </w:r>
            <w:r w:rsidRPr="007F620E" w:rsidR="00E3786F">
              <w:rPr>
                <w:color w:val="000000"/>
              </w:rPr>
              <w:t xml:space="preserve">  </w:t>
            </w:r>
            <w:r w:rsidRPr="007F620E">
              <w:rPr>
                <w:color w:val="000000"/>
              </w:rPr>
              <w:t>number:</w:t>
            </w:r>
          </w:p>
        </w:tc>
        <w:tc>
          <w:tcPr>
            <w:tcW w:w="2267" w:type="dxa"/>
            <w:tcBorders>
              <w:top w:val="single" w:color="auto" w:sz="4" w:space="0"/>
            </w:tcBorders>
          </w:tcPr>
          <w:p w:rsidRPr="007F620E" w:rsidR="00A92D0B" w:rsidP="00F028C8" w:rsidRDefault="00AF30E8" w14:paraId="13E72B6D" w14:textId="22F1CACC">
            <w:pPr>
              <w:keepNext/>
              <w:keepLines/>
              <w:tabs>
                <w:tab w:val="left" w:pos="360"/>
              </w:tabs>
              <w:ind w:left="360" w:hanging="360"/>
              <w:rPr>
                <w:color w:val="000000"/>
              </w:rPr>
            </w:pPr>
            <w:r>
              <w:rPr>
                <w:color w:val="000000"/>
              </w:rPr>
              <w:t>R.18-07-006</w:t>
            </w:r>
          </w:p>
        </w:tc>
        <w:tc>
          <w:tcPr>
            <w:tcW w:w="2276" w:type="dxa"/>
            <w:tcBorders>
              <w:top w:val="single" w:color="auto" w:sz="4" w:space="0"/>
            </w:tcBorders>
          </w:tcPr>
          <w:p w:rsidRPr="007F620E" w:rsidR="00A92D0B" w:rsidP="006C247D" w:rsidRDefault="006C247D" w14:paraId="2679B197" w14:textId="7A409F62">
            <w:pPr>
              <w:keepNext/>
              <w:keepLines/>
              <w:tabs>
                <w:tab w:val="left" w:pos="360"/>
              </w:tabs>
              <w:jc w:val="center"/>
              <w:rPr>
                <w:color w:val="000000"/>
              </w:rPr>
            </w:pPr>
            <w:r>
              <w:rPr>
                <w:color w:val="000000"/>
              </w:rPr>
              <w:t>Verified</w:t>
            </w:r>
          </w:p>
        </w:tc>
      </w:tr>
      <w:tr w:rsidRPr="007F620E" w:rsidR="00A92D0B" w:rsidTr="00D33661" w14:paraId="4E0FB3B6" w14:textId="77777777">
        <w:tc>
          <w:tcPr>
            <w:tcW w:w="4817" w:type="dxa"/>
          </w:tcPr>
          <w:p w:rsidRPr="007F620E" w:rsidR="00A92D0B" w:rsidP="00F028C8" w:rsidRDefault="00A92D0B" w14:paraId="568B12E8" w14:textId="6121FC05">
            <w:pPr>
              <w:tabs>
                <w:tab w:val="left" w:pos="360"/>
              </w:tabs>
              <w:ind w:left="360" w:hanging="360"/>
              <w:rPr>
                <w:color w:val="000000"/>
              </w:rPr>
            </w:pPr>
            <w:r w:rsidRPr="007F620E">
              <w:rPr>
                <w:color w:val="000000"/>
              </w:rPr>
              <w:t>6.</w:t>
            </w:r>
            <w:r w:rsidR="001E7EE2">
              <w:rPr>
                <w:color w:val="000000"/>
              </w:rPr>
              <w:tab/>
            </w:r>
            <w:r w:rsidRPr="007F620E">
              <w:rPr>
                <w:color w:val="000000"/>
              </w:rPr>
              <w:t>Date of ALJ ruling:</w:t>
            </w:r>
          </w:p>
        </w:tc>
        <w:tc>
          <w:tcPr>
            <w:tcW w:w="2267" w:type="dxa"/>
          </w:tcPr>
          <w:p w:rsidRPr="007F620E" w:rsidR="00A92D0B" w:rsidP="00F028C8" w:rsidRDefault="00AF30E8" w14:paraId="306125B9" w14:textId="009F6EEA">
            <w:pPr>
              <w:tabs>
                <w:tab w:val="left" w:pos="360"/>
              </w:tabs>
              <w:ind w:left="360" w:hanging="360"/>
              <w:rPr>
                <w:color w:val="000000"/>
              </w:rPr>
            </w:pPr>
            <w:r>
              <w:rPr>
                <w:color w:val="000000"/>
              </w:rPr>
              <w:t>May 19, 2019</w:t>
            </w:r>
          </w:p>
        </w:tc>
        <w:tc>
          <w:tcPr>
            <w:tcW w:w="2276" w:type="dxa"/>
          </w:tcPr>
          <w:p w:rsidRPr="007F620E" w:rsidR="00A92D0B" w:rsidP="006C247D" w:rsidRDefault="006C247D" w14:paraId="19F10313" w14:textId="2F46E79E">
            <w:pPr>
              <w:tabs>
                <w:tab w:val="left" w:pos="360"/>
              </w:tabs>
              <w:jc w:val="center"/>
              <w:rPr>
                <w:color w:val="000000"/>
              </w:rPr>
            </w:pPr>
            <w:r>
              <w:rPr>
                <w:color w:val="000000"/>
              </w:rPr>
              <w:t>May 30, 2019</w:t>
            </w:r>
          </w:p>
        </w:tc>
      </w:tr>
      <w:tr w:rsidRPr="007F620E" w:rsidR="00A92D0B" w:rsidTr="00D33661" w14:paraId="7F6C1E54" w14:textId="77777777">
        <w:tc>
          <w:tcPr>
            <w:tcW w:w="4817" w:type="dxa"/>
          </w:tcPr>
          <w:p w:rsidRPr="007F620E" w:rsidR="00A92D0B" w:rsidP="00F028C8" w:rsidRDefault="00A92D0B" w14:paraId="4B6E35B7" w14:textId="56E59D65">
            <w:pPr>
              <w:tabs>
                <w:tab w:val="left" w:pos="360"/>
              </w:tabs>
              <w:ind w:left="360" w:hanging="360"/>
              <w:rPr>
                <w:color w:val="000000"/>
              </w:rPr>
            </w:pPr>
            <w:r w:rsidRPr="007F620E">
              <w:rPr>
                <w:color w:val="000000"/>
              </w:rPr>
              <w:t>7.</w:t>
            </w:r>
            <w:r w:rsidR="001E7EE2">
              <w:rPr>
                <w:color w:val="000000"/>
              </w:rPr>
              <w:tab/>
            </w:r>
            <w:r w:rsidRPr="007F620E">
              <w:rPr>
                <w:color w:val="000000"/>
              </w:rPr>
              <w:t>Based on another CPUC determination (specify):</w:t>
            </w:r>
          </w:p>
        </w:tc>
        <w:tc>
          <w:tcPr>
            <w:tcW w:w="2267" w:type="dxa"/>
            <w:tcBorders>
              <w:bottom w:val="single" w:color="auto" w:sz="4" w:space="0"/>
            </w:tcBorders>
          </w:tcPr>
          <w:p w:rsidRPr="007F620E" w:rsidR="00A92D0B" w:rsidP="00F028C8" w:rsidRDefault="00A92D0B" w14:paraId="5E0F9D32" w14:textId="77777777">
            <w:pPr>
              <w:tabs>
                <w:tab w:val="left" w:pos="360"/>
              </w:tabs>
              <w:ind w:left="360" w:hanging="360"/>
              <w:rPr>
                <w:color w:val="000000"/>
              </w:rPr>
            </w:pPr>
          </w:p>
        </w:tc>
        <w:tc>
          <w:tcPr>
            <w:tcW w:w="2276" w:type="dxa"/>
            <w:tcBorders>
              <w:bottom w:val="single" w:color="auto" w:sz="4" w:space="0"/>
            </w:tcBorders>
          </w:tcPr>
          <w:p w:rsidRPr="007F620E" w:rsidR="00A92D0B" w:rsidP="00F028C8" w:rsidRDefault="00A92D0B" w14:paraId="180E80B3" w14:textId="77777777">
            <w:pPr>
              <w:tabs>
                <w:tab w:val="left" w:pos="360"/>
              </w:tabs>
              <w:rPr>
                <w:color w:val="000000"/>
              </w:rPr>
            </w:pPr>
          </w:p>
        </w:tc>
      </w:tr>
      <w:tr w:rsidRPr="007F620E" w:rsidR="00A92D0B" w:rsidTr="00F028C8" w14:paraId="397CC4AD" w14:textId="77777777">
        <w:tc>
          <w:tcPr>
            <w:tcW w:w="7084" w:type="dxa"/>
            <w:gridSpan w:val="2"/>
            <w:tcBorders>
              <w:bottom w:val="single" w:color="auto" w:sz="4" w:space="0"/>
            </w:tcBorders>
          </w:tcPr>
          <w:p w:rsidRPr="007F620E" w:rsidR="00A92D0B" w:rsidP="00F028C8" w:rsidRDefault="00A92D0B" w14:paraId="71D46B68" w14:textId="56857D2E">
            <w:pPr>
              <w:tabs>
                <w:tab w:val="left" w:pos="360"/>
              </w:tabs>
              <w:ind w:left="360" w:hanging="360"/>
              <w:rPr>
                <w:color w:val="000000"/>
              </w:rPr>
            </w:pPr>
            <w:r w:rsidRPr="007F620E">
              <w:rPr>
                <w:color w:val="000000"/>
              </w:rPr>
              <w:t>8.</w:t>
            </w:r>
            <w:r w:rsidR="001E7EE2">
              <w:rPr>
                <w:color w:val="000000"/>
              </w:rPr>
              <w:tab/>
            </w:r>
            <w:r w:rsidRPr="007F620E">
              <w:rPr>
                <w:color w:val="000000"/>
              </w:rPr>
              <w:t xml:space="preserve">Has the </w:t>
            </w:r>
            <w:r w:rsidRPr="007F620E" w:rsidR="005A63D4">
              <w:rPr>
                <w:color w:val="000000"/>
              </w:rPr>
              <w:t xml:space="preserve">Intervenor </w:t>
            </w:r>
            <w:r w:rsidRPr="007F620E">
              <w:rPr>
                <w:color w:val="000000"/>
              </w:rPr>
              <w:t xml:space="preserve">demonstrated </w:t>
            </w:r>
            <w:r w:rsidRPr="00ED6B6B">
              <w:t>customer</w:t>
            </w:r>
            <w:r w:rsidRPr="007F620E">
              <w:rPr>
                <w:color w:val="000000"/>
              </w:rPr>
              <w:t xml:space="preserve"> </w:t>
            </w:r>
            <w:r w:rsidR="00ED6B6B">
              <w:rPr>
                <w:color w:val="000000"/>
              </w:rPr>
              <w:t>status or eligible government entity status</w:t>
            </w:r>
            <w:r w:rsidRPr="007F620E">
              <w:rPr>
                <w:color w:val="000000"/>
              </w:rPr>
              <w:t>?</w:t>
            </w:r>
          </w:p>
        </w:tc>
        <w:tc>
          <w:tcPr>
            <w:tcW w:w="2276" w:type="dxa"/>
            <w:tcBorders>
              <w:bottom w:val="single" w:color="auto" w:sz="4" w:space="0"/>
            </w:tcBorders>
          </w:tcPr>
          <w:p w:rsidRPr="007F620E" w:rsidR="00A92D0B" w:rsidP="00564BD1" w:rsidRDefault="006D6CA7" w14:paraId="7D296E63" w14:textId="02E32C4D">
            <w:pPr>
              <w:tabs>
                <w:tab w:val="left" w:pos="360"/>
              </w:tabs>
              <w:jc w:val="center"/>
              <w:rPr>
                <w:color w:val="000000"/>
              </w:rPr>
            </w:pPr>
            <w:r>
              <w:rPr>
                <w:color w:val="000000"/>
              </w:rPr>
              <w:t>Yes</w:t>
            </w:r>
          </w:p>
        </w:tc>
      </w:tr>
      <w:tr w:rsidRPr="007F620E" w:rsidR="00A92D0B" w:rsidTr="00F028C8" w14:paraId="33231C71"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A92D0B" w:rsidP="00F028C8" w:rsidRDefault="00A92D0B" w14:paraId="0291EC4E" w14:textId="77777777">
            <w:pPr>
              <w:keepNext/>
              <w:tabs>
                <w:tab w:val="left" w:pos="360"/>
              </w:tabs>
              <w:jc w:val="center"/>
              <w:rPr>
                <w:color w:val="000000"/>
              </w:rPr>
            </w:pPr>
            <w:r w:rsidRPr="007F620E">
              <w:rPr>
                <w:b/>
                <w:color w:val="000000"/>
              </w:rPr>
              <w:t>Showing of “significant</w:t>
            </w:r>
            <w:r w:rsidRPr="007F620E" w:rsidR="00F63C29">
              <w:rPr>
                <w:b/>
                <w:color w:val="000000"/>
              </w:rPr>
              <w:t xml:space="preserve"> financial hardship” (§1802(</w:t>
            </w:r>
            <w:r w:rsidR="00175865">
              <w:rPr>
                <w:b/>
                <w:color w:val="000000"/>
              </w:rPr>
              <w:t>h</w:t>
            </w:r>
            <w:r w:rsidRPr="007F620E" w:rsidR="00F63C29">
              <w:rPr>
                <w:b/>
                <w:color w:val="000000"/>
              </w:rPr>
              <w:t xml:space="preserve">) or </w:t>
            </w:r>
            <w:r w:rsidRPr="007F620E" w:rsidR="00ED6B6B">
              <w:rPr>
                <w:b/>
                <w:color w:val="000000"/>
              </w:rPr>
              <w:t>§</w:t>
            </w:r>
            <w:r w:rsidRPr="007F620E" w:rsidR="00F63C29">
              <w:rPr>
                <w:b/>
                <w:color w:val="000000"/>
              </w:rPr>
              <w:t>1803.1(b))</w:t>
            </w:r>
            <w:r w:rsidR="00C02649">
              <w:rPr>
                <w:b/>
                <w:color w:val="000000"/>
              </w:rPr>
              <w:t>:</w:t>
            </w:r>
          </w:p>
        </w:tc>
      </w:tr>
      <w:tr w:rsidRPr="007F620E" w:rsidR="00A92D0B" w:rsidTr="00D33661" w14:paraId="77F91856" w14:textId="77777777">
        <w:tc>
          <w:tcPr>
            <w:tcW w:w="4817" w:type="dxa"/>
            <w:tcBorders>
              <w:top w:val="single" w:color="auto" w:sz="4" w:space="0"/>
            </w:tcBorders>
          </w:tcPr>
          <w:p w:rsidRPr="007F620E" w:rsidR="00A92D0B" w:rsidP="00F028C8" w:rsidRDefault="00A92D0B" w14:paraId="6506E60E" w14:textId="7F0FF6A0">
            <w:pPr>
              <w:tabs>
                <w:tab w:val="left" w:pos="315"/>
              </w:tabs>
              <w:ind w:left="360" w:hanging="360"/>
              <w:rPr>
                <w:color w:val="000000"/>
              </w:rPr>
            </w:pPr>
            <w:r w:rsidRPr="007F620E">
              <w:rPr>
                <w:color w:val="000000"/>
              </w:rPr>
              <w:t>9.</w:t>
            </w:r>
            <w:r w:rsidR="001E7EE2">
              <w:rPr>
                <w:color w:val="000000"/>
              </w:rPr>
              <w:tab/>
            </w:r>
            <w:r w:rsidRPr="007F620E">
              <w:rPr>
                <w:color w:val="000000"/>
              </w:rPr>
              <w:t>Based on ALJ ruling issued in proceeding number:</w:t>
            </w:r>
          </w:p>
        </w:tc>
        <w:tc>
          <w:tcPr>
            <w:tcW w:w="2267" w:type="dxa"/>
            <w:tcBorders>
              <w:top w:val="single" w:color="auto" w:sz="4" w:space="0"/>
            </w:tcBorders>
          </w:tcPr>
          <w:p w:rsidRPr="007F620E" w:rsidR="00A92D0B" w:rsidP="00F028C8" w:rsidRDefault="00AF30E8" w14:paraId="54B4911C" w14:textId="0F590259">
            <w:pPr>
              <w:tabs>
                <w:tab w:val="left" w:pos="360"/>
              </w:tabs>
              <w:ind w:left="360" w:hanging="360"/>
              <w:rPr>
                <w:color w:val="000000"/>
              </w:rPr>
            </w:pPr>
            <w:r>
              <w:rPr>
                <w:color w:val="000000"/>
              </w:rPr>
              <w:t>R.18-07-006</w:t>
            </w:r>
            <w:r w:rsidR="00D709CE">
              <w:rPr>
                <w:color w:val="000000"/>
              </w:rPr>
              <w:t xml:space="preserve"> </w:t>
            </w:r>
            <w:r w:rsidR="00D709CE">
              <w:rPr>
                <w:rStyle w:val="FootnoteReference"/>
                <w:color w:val="000000"/>
              </w:rPr>
              <w:footnoteReference w:id="2"/>
            </w:r>
          </w:p>
        </w:tc>
        <w:tc>
          <w:tcPr>
            <w:tcW w:w="2276" w:type="dxa"/>
            <w:tcBorders>
              <w:top w:val="single" w:color="auto" w:sz="4" w:space="0"/>
            </w:tcBorders>
          </w:tcPr>
          <w:p w:rsidRPr="007F620E" w:rsidR="00A92D0B" w:rsidP="006C247D" w:rsidRDefault="006C247D" w14:paraId="2E2FB9D6" w14:textId="4C4CBA76">
            <w:pPr>
              <w:tabs>
                <w:tab w:val="left" w:pos="360"/>
              </w:tabs>
              <w:jc w:val="center"/>
              <w:rPr>
                <w:color w:val="000000"/>
              </w:rPr>
            </w:pPr>
            <w:r>
              <w:rPr>
                <w:color w:val="000000"/>
              </w:rPr>
              <w:t>Verified</w:t>
            </w:r>
          </w:p>
        </w:tc>
      </w:tr>
      <w:tr w:rsidRPr="007F620E" w:rsidR="00A92D0B" w:rsidTr="00D33661" w14:paraId="4AD750C1" w14:textId="77777777">
        <w:tc>
          <w:tcPr>
            <w:tcW w:w="4817" w:type="dxa"/>
          </w:tcPr>
          <w:p w:rsidRPr="007F620E" w:rsidR="00A92D0B" w:rsidP="00F028C8" w:rsidRDefault="00A92D0B" w14:paraId="2A279407" w14:textId="1E831EEE">
            <w:pPr>
              <w:ind w:left="360" w:hanging="360"/>
              <w:rPr>
                <w:color w:val="000000"/>
              </w:rPr>
            </w:pPr>
            <w:r w:rsidRPr="007F620E">
              <w:rPr>
                <w:color w:val="000000"/>
              </w:rPr>
              <w:t>10.</w:t>
            </w:r>
            <w:r w:rsidR="001E7EE2">
              <w:rPr>
                <w:color w:val="000000"/>
              </w:rPr>
              <w:tab/>
            </w:r>
            <w:r w:rsidRPr="007F620E">
              <w:rPr>
                <w:color w:val="000000"/>
              </w:rPr>
              <w:t>Date of ALJ ruling:</w:t>
            </w:r>
          </w:p>
        </w:tc>
        <w:tc>
          <w:tcPr>
            <w:tcW w:w="2267" w:type="dxa"/>
          </w:tcPr>
          <w:p w:rsidRPr="007F620E" w:rsidR="00A92D0B" w:rsidP="00F028C8" w:rsidRDefault="00AF30E8" w14:paraId="4B66A2E4" w14:textId="4275F474">
            <w:pPr>
              <w:tabs>
                <w:tab w:val="left" w:pos="360"/>
              </w:tabs>
              <w:ind w:left="360" w:hanging="360"/>
              <w:rPr>
                <w:color w:val="000000"/>
              </w:rPr>
            </w:pPr>
            <w:r>
              <w:rPr>
                <w:color w:val="000000"/>
              </w:rPr>
              <w:t xml:space="preserve">May </w:t>
            </w:r>
            <w:r w:rsidR="00746E14">
              <w:rPr>
                <w:color w:val="000000"/>
              </w:rPr>
              <w:t>30</w:t>
            </w:r>
            <w:r>
              <w:rPr>
                <w:color w:val="000000"/>
              </w:rPr>
              <w:t>, 2019</w:t>
            </w:r>
          </w:p>
        </w:tc>
        <w:tc>
          <w:tcPr>
            <w:tcW w:w="2276" w:type="dxa"/>
          </w:tcPr>
          <w:p w:rsidRPr="007F620E" w:rsidR="00A92D0B" w:rsidP="006C247D" w:rsidRDefault="002C7AFF" w14:paraId="3B83D035" w14:textId="27D2BF4E">
            <w:pPr>
              <w:tabs>
                <w:tab w:val="left" w:pos="360"/>
              </w:tabs>
              <w:jc w:val="center"/>
              <w:rPr>
                <w:color w:val="000000"/>
              </w:rPr>
            </w:pPr>
            <w:r>
              <w:rPr>
                <w:color w:val="000000"/>
              </w:rPr>
              <w:t>Verified</w:t>
            </w:r>
          </w:p>
        </w:tc>
      </w:tr>
      <w:tr w:rsidRPr="007F620E" w:rsidR="00357F1A" w:rsidTr="00D33661" w14:paraId="7C183C5E" w14:textId="77777777">
        <w:tc>
          <w:tcPr>
            <w:tcW w:w="4817" w:type="dxa"/>
          </w:tcPr>
          <w:p w:rsidRPr="00011FBC" w:rsidR="00357F1A" w:rsidP="00F028C8" w:rsidRDefault="00357F1A" w14:paraId="4141CB3D" w14:textId="2DCA8797">
            <w:pPr>
              <w:ind w:left="360" w:hanging="360"/>
              <w:rPr>
                <w:color w:val="000000"/>
              </w:rPr>
            </w:pPr>
            <w:r w:rsidRPr="00011FBC">
              <w:rPr>
                <w:color w:val="000000"/>
              </w:rPr>
              <w:t>11.</w:t>
            </w:r>
            <w:r w:rsidRPr="00011FBC" w:rsidR="001E7EE2">
              <w:rPr>
                <w:color w:val="000000"/>
              </w:rPr>
              <w:tab/>
            </w:r>
            <w:r w:rsidRPr="00011FBC">
              <w:rPr>
                <w:color w:val="000000"/>
              </w:rPr>
              <w:t>Based on another CPUC determination (specify):</w:t>
            </w:r>
          </w:p>
        </w:tc>
        <w:tc>
          <w:tcPr>
            <w:tcW w:w="2267" w:type="dxa"/>
          </w:tcPr>
          <w:p w:rsidRPr="00011FBC" w:rsidR="00357F1A" w:rsidP="008759B1" w:rsidRDefault="00357F1A" w14:paraId="141EB5CF" w14:textId="57BC50E9">
            <w:pPr>
              <w:tabs>
                <w:tab w:val="left" w:pos="360"/>
              </w:tabs>
              <w:rPr>
                <w:color w:val="000000"/>
              </w:rPr>
            </w:pPr>
          </w:p>
        </w:tc>
        <w:tc>
          <w:tcPr>
            <w:tcW w:w="2276" w:type="dxa"/>
          </w:tcPr>
          <w:p w:rsidRPr="00011FBC" w:rsidR="00357F1A" w:rsidP="00A4197A" w:rsidRDefault="00357F1A" w14:paraId="79318715" w14:textId="77467944">
            <w:pPr>
              <w:tabs>
                <w:tab w:val="left" w:pos="360"/>
              </w:tabs>
              <w:jc w:val="center"/>
              <w:rPr>
                <w:color w:val="000000"/>
              </w:rPr>
            </w:pPr>
          </w:p>
        </w:tc>
      </w:tr>
      <w:tr w:rsidRPr="007F620E" w:rsidR="00A92D0B" w:rsidTr="00F028C8" w14:paraId="4E8D20BF" w14:textId="77777777">
        <w:tc>
          <w:tcPr>
            <w:tcW w:w="7084" w:type="dxa"/>
            <w:gridSpan w:val="2"/>
            <w:tcBorders>
              <w:bottom w:val="single" w:color="auto" w:sz="4" w:space="0"/>
            </w:tcBorders>
          </w:tcPr>
          <w:p w:rsidRPr="00011FBC" w:rsidR="00A92D0B" w:rsidP="00F028C8" w:rsidRDefault="00180E8C" w14:paraId="48D0D936" w14:textId="6A3DF8B8">
            <w:pPr>
              <w:tabs>
                <w:tab w:val="left" w:pos="360"/>
              </w:tabs>
              <w:ind w:left="360" w:hanging="360"/>
              <w:rPr>
                <w:color w:val="000000"/>
              </w:rPr>
            </w:pPr>
            <w:r w:rsidRPr="00011FBC">
              <w:rPr>
                <w:color w:val="000000"/>
              </w:rPr>
              <w:t>12</w:t>
            </w:r>
            <w:r w:rsidRPr="00011FBC" w:rsidR="00A92D0B">
              <w:rPr>
                <w:color w:val="000000"/>
              </w:rPr>
              <w:t>.</w:t>
            </w:r>
            <w:r w:rsidRPr="00011FBC" w:rsidR="001E7EE2">
              <w:rPr>
                <w:color w:val="000000"/>
              </w:rPr>
              <w:tab/>
            </w:r>
            <w:r w:rsidRPr="00011FBC" w:rsidR="00A92D0B">
              <w:rPr>
                <w:color w:val="000000"/>
              </w:rPr>
              <w:t>Has the</w:t>
            </w:r>
            <w:r w:rsidRPr="00011FBC" w:rsidR="00A319DE">
              <w:rPr>
                <w:color w:val="000000"/>
              </w:rPr>
              <w:t xml:space="preserve"> </w:t>
            </w:r>
            <w:r w:rsidRPr="00011FBC" w:rsidR="005A63D4">
              <w:rPr>
                <w:color w:val="000000"/>
              </w:rPr>
              <w:t>Intervenor</w:t>
            </w:r>
            <w:r w:rsidRPr="00011FBC" w:rsidR="00A92D0B">
              <w:rPr>
                <w:color w:val="000000"/>
              </w:rPr>
              <w:t xml:space="preserve"> demonstrated significant financial hardship?</w:t>
            </w:r>
          </w:p>
        </w:tc>
        <w:tc>
          <w:tcPr>
            <w:tcW w:w="2276" w:type="dxa"/>
            <w:tcBorders>
              <w:bottom w:val="single" w:color="auto" w:sz="4" w:space="0"/>
            </w:tcBorders>
          </w:tcPr>
          <w:p w:rsidRPr="00011FBC" w:rsidR="00A92D0B" w:rsidP="00011FBC" w:rsidRDefault="00011FBC" w14:paraId="0F29B839" w14:textId="4EBD6AAE">
            <w:pPr>
              <w:tabs>
                <w:tab w:val="left" w:pos="360"/>
              </w:tabs>
              <w:jc w:val="center"/>
              <w:rPr>
                <w:color w:val="000000"/>
              </w:rPr>
            </w:pPr>
            <w:r>
              <w:rPr>
                <w:color w:val="000000"/>
              </w:rPr>
              <w:t>Yes</w:t>
            </w:r>
          </w:p>
        </w:tc>
      </w:tr>
      <w:tr w:rsidRPr="007F620E" w:rsidR="00A92D0B" w:rsidTr="00F028C8" w14:paraId="60D4FD5C"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A92D0B" w:rsidP="007056FC" w:rsidRDefault="00A92D0B" w14:paraId="172E2884" w14:textId="77777777">
            <w:pPr>
              <w:keepNext/>
              <w:tabs>
                <w:tab w:val="left" w:pos="360"/>
              </w:tabs>
              <w:jc w:val="center"/>
              <w:rPr>
                <w:color w:val="000000"/>
              </w:rPr>
            </w:pPr>
            <w:r w:rsidRPr="007F620E">
              <w:rPr>
                <w:b/>
                <w:color w:val="000000"/>
              </w:rPr>
              <w:t>Timely request for compensation (§ 1804(c)):</w:t>
            </w:r>
          </w:p>
        </w:tc>
      </w:tr>
      <w:tr w:rsidRPr="007F620E" w:rsidR="00A92D0B" w:rsidTr="00D33661" w14:paraId="3E7938B0" w14:textId="77777777">
        <w:tc>
          <w:tcPr>
            <w:tcW w:w="4817" w:type="dxa"/>
            <w:tcBorders>
              <w:top w:val="single" w:color="auto" w:sz="4" w:space="0"/>
            </w:tcBorders>
          </w:tcPr>
          <w:p w:rsidRPr="007F620E" w:rsidR="00A92D0B" w:rsidP="00F028C8" w:rsidRDefault="00A92D0B" w14:paraId="66088F1B" w14:textId="2DB4A731">
            <w:pPr>
              <w:keepNext/>
              <w:tabs>
                <w:tab w:val="left" w:pos="612"/>
              </w:tabs>
              <w:ind w:left="360" w:hanging="360"/>
              <w:rPr>
                <w:color w:val="000000"/>
              </w:rPr>
            </w:pPr>
            <w:r w:rsidRPr="000A54AA">
              <w:rPr>
                <w:color w:val="000000"/>
              </w:rPr>
              <w:t>13.</w:t>
            </w:r>
            <w:r w:rsidRPr="000A54AA" w:rsidR="001E7EE2">
              <w:rPr>
                <w:color w:val="000000"/>
              </w:rPr>
              <w:tab/>
            </w:r>
            <w:r w:rsidRPr="000A54AA">
              <w:rPr>
                <w:color w:val="000000"/>
              </w:rPr>
              <w:t>Identify Final Decision:</w:t>
            </w:r>
          </w:p>
        </w:tc>
        <w:tc>
          <w:tcPr>
            <w:tcW w:w="2267" w:type="dxa"/>
            <w:tcBorders>
              <w:top w:val="single" w:color="auto" w:sz="4" w:space="0"/>
            </w:tcBorders>
          </w:tcPr>
          <w:p w:rsidR="005210FA" w:rsidP="00F028C8" w:rsidRDefault="005210FA" w14:paraId="3B8E9DB6" w14:textId="77777777">
            <w:pPr>
              <w:tabs>
                <w:tab w:val="left" w:pos="360"/>
              </w:tabs>
            </w:pPr>
            <w:r w:rsidRPr="00290F6A">
              <w:t xml:space="preserve">D.24-09-005 </w:t>
            </w:r>
            <w:r>
              <w:t>and</w:t>
            </w:r>
          </w:p>
          <w:p w:rsidR="00D845BC" w:rsidP="00F028C8" w:rsidRDefault="00E04C45" w14:paraId="6F5CDC51" w14:textId="77777777">
            <w:pPr>
              <w:tabs>
                <w:tab w:val="left" w:pos="360"/>
              </w:tabs>
              <w:rPr>
                <w:bCs/>
                <w:color w:val="000000"/>
              </w:rPr>
            </w:pPr>
            <w:r w:rsidRPr="00E04C45">
              <w:rPr>
                <w:bCs/>
                <w:color w:val="000000"/>
              </w:rPr>
              <w:t>D.24-11-005 and</w:t>
            </w:r>
          </w:p>
          <w:p w:rsidRPr="00E04C45" w:rsidR="00A92D0B" w:rsidP="00F028C8" w:rsidRDefault="00D845BC" w14:paraId="7166F318" w14:textId="6C8F15DC">
            <w:pPr>
              <w:tabs>
                <w:tab w:val="left" w:pos="360"/>
              </w:tabs>
              <w:rPr>
                <w:bCs/>
                <w:color w:val="000000"/>
              </w:rPr>
            </w:pPr>
            <w:r w:rsidRPr="00D845BC">
              <w:rPr>
                <w:bCs/>
                <w:color w:val="000000"/>
              </w:rPr>
              <w:t>D.25-04-004</w:t>
            </w:r>
            <w:r>
              <w:rPr>
                <w:bCs/>
                <w:color w:val="000000"/>
              </w:rPr>
              <w:t xml:space="preserve"> and</w:t>
            </w:r>
            <w:r w:rsidRPr="00E04C45" w:rsidR="00E04C45">
              <w:rPr>
                <w:bCs/>
                <w:color w:val="000000"/>
              </w:rPr>
              <w:t xml:space="preserve"> </w:t>
            </w:r>
            <w:r w:rsidRPr="00E04C45" w:rsidR="00AF30E8">
              <w:rPr>
                <w:bCs/>
                <w:color w:val="000000"/>
              </w:rPr>
              <w:t>D.25-</w:t>
            </w:r>
            <w:r w:rsidRPr="00E04C45" w:rsidR="008D7DA2">
              <w:rPr>
                <w:bCs/>
                <w:color w:val="000000"/>
              </w:rPr>
              <w:t>06-012</w:t>
            </w:r>
          </w:p>
        </w:tc>
        <w:tc>
          <w:tcPr>
            <w:tcW w:w="2276" w:type="dxa"/>
            <w:tcBorders>
              <w:top w:val="single" w:color="auto" w:sz="4" w:space="0"/>
            </w:tcBorders>
          </w:tcPr>
          <w:p w:rsidRPr="007F620E" w:rsidR="00A92D0B" w:rsidP="000A54AA" w:rsidRDefault="000A54AA" w14:paraId="1588DC54" w14:textId="2C65DA23">
            <w:pPr>
              <w:tabs>
                <w:tab w:val="left" w:pos="360"/>
              </w:tabs>
              <w:jc w:val="center"/>
              <w:rPr>
                <w:color w:val="000000"/>
              </w:rPr>
            </w:pPr>
            <w:r>
              <w:rPr>
                <w:color w:val="000000"/>
              </w:rPr>
              <w:t>Verified</w:t>
            </w:r>
          </w:p>
        </w:tc>
      </w:tr>
      <w:tr w:rsidRPr="007F620E" w:rsidR="00A92D0B" w:rsidTr="00D33661" w14:paraId="6360DE59" w14:textId="77777777">
        <w:tc>
          <w:tcPr>
            <w:tcW w:w="4817" w:type="dxa"/>
          </w:tcPr>
          <w:p w:rsidRPr="007F620E" w:rsidR="00A92D0B" w:rsidP="00F028C8" w:rsidRDefault="00A92D0B" w14:paraId="4B809E4A" w14:textId="4BEED0BB">
            <w:pPr>
              <w:tabs>
                <w:tab w:val="left" w:pos="612"/>
              </w:tabs>
              <w:ind w:left="360" w:hanging="360"/>
              <w:rPr>
                <w:color w:val="000000"/>
              </w:rPr>
            </w:pPr>
            <w:r w:rsidRPr="007F620E">
              <w:rPr>
                <w:color w:val="000000"/>
              </w:rPr>
              <w:t>14.</w:t>
            </w:r>
            <w:r w:rsidR="001E7EE2">
              <w:rPr>
                <w:color w:val="000000"/>
              </w:rPr>
              <w:tab/>
            </w:r>
            <w:r w:rsidRPr="007F620E">
              <w:rPr>
                <w:color w:val="000000"/>
              </w:rPr>
              <w:t xml:space="preserve">Date of </w:t>
            </w:r>
            <w:r w:rsidRPr="007F620E" w:rsidR="00A319DE">
              <w:rPr>
                <w:color w:val="000000"/>
              </w:rPr>
              <w:t>i</w:t>
            </w:r>
            <w:r w:rsidRPr="007F620E">
              <w:rPr>
                <w:color w:val="000000"/>
              </w:rPr>
              <w:t xml:space="preserve">ssuance of Final Order or Decision:    </w:t>
            </w:r>
          </w:p>
        </w:tc>
        <w:tc>
          <w:tcPr>
            <w:tcW w:w="2267" w:type="dxa"/>
          </w:tcPr>
          <w:p w:rsidRPr="007F620E" w:rsidR="00A92D0B" w:rsidP="00F028C8" w:rsidRDefault="008D7DA2" w14:paraId="20455B5F" w14:textId="5E81598A">
            <w:pPr>
              <w:tabs>
                <w:tab w:val="left" w:pos="360"/>
              </w:tabs>
              <w:rPr>
                <w:color w:val="000000"/>
              </w:rPr>
            </w:pPr>
            <w:r>
              <w:rPr>
                <w:color w:val="000000"/>
              </w:rPr>
              <w:t>June 17, 2025</w:t>
            </w:r>
            <w:r w:rsidR="00E94F3A">
              <w:rPr>
                <w:color w:val="000000"/>
              </w:rPr>
              <w:t xml:space="preserve"> </w:t>
            </w:r>
          </w:p>
        </w:tc>
        <w:tc>
          <w:tcPr>
            <w:tcW w:w="2276" w:type="dxa"/>
          </w:tcPr>
          <w:p w:rsidRPr="007F620E" w:rsidR="00A92D0B" w:rsidP="000A54AA" w:rsidRDefault="000A54AA" w14:paraId="1FCF00DD" w14:textId="283629C4">
            <w:pPr>
              <w:tabs>
                <w:tab w:val="left" w:pos="360"/>
              </w:tabs>
              <w:jc w:val="center"/>
              <w:rPr>
                <w:color w:val="000000"/>
              </w:rPr>
            </w:pPr>
            <w:r>
              <w:rPr>
                <w:color w:val="000000"/>
              </w:rPr>
              <w:t>Verified</w:t>
            </w:r>
          </w:p>
        </w:tc>
      </w:tr>
      <w:tr w:rsidRPr="007F620E" w:rsidR="00A92D0B" w:rsidTr="00D33661" w14:paraId="723259E3" w14:textId="77777777">
        <w:tc>
          <w:tcPr>
            <w:tcW w:w="4817" w:type="dxa"/>
          </w:tcPr>
          <w:p w:rsidRPr="007F620E" w:rsidR="00A92D0B" w:rsidP="00F028C8" w:rsidRDefault="00A92D0B" w14:paraId="163EE1CA" w14:textId="2B64EB9E">
            <w:pPr>
              <w:tabs>
                <w:tab w:val="left" w:pos="612"/>
              </w:tabs>
              <w:ind w:left="360" w:hanging="360"/>
              <w:rPr>
                <w:color w:val="000000"/>
              </w:rPr>
            </w:pPr>
            <w:r w:rsidRPr="007F620E">
              <w:rPr>
                <w:color w:val="000000"/>
              </w:rPr>
              <w:t>15.</w:t>
            </w:r>
            <w:r w:rsidR="001E7EE2">
              <w:rPr>
                <w:color w:val="000000"/>
              </w:rPr>
              <w:tab/>
            </w:r>
            <w:r w:rsidRPr="007F620E">
              <w:rPr>
                <w:color w:val="000000"/>
              </w:rPr>
              <w:t>File date of compensation request:</w:t>
            </w:r>
          </w:p>
        </w:tc>
        <w:tc>
          <w:tcPr>
            <w:tcW w:w="2267" w:type="dxa"/>
          </w:tcPr>
          <w:p w:rsidRPr="007F620E" w:rsidR="00A92D0B" w:rsidP="00F028C8" w:rsidRDefault="008D7DA2" w14:paraId="0568B39D" w14:textId="5A2CE212">
            <w:pPr>
              <w:tabs>
                <w:tab w:val="left" w:pos="360"/>
              </w:tabs>
              <w:rPr>
                <w:color w:val="000000"/>
              </w:rPr>
            </w:pPr>
            <w:r>
              <w:rPr>
                <w:color w:val="000000"/>
              </w:rPr>
              <w:t>August 1</w:t>
            </w:r>
            <w:r w:rsidR="000463C8">
              <w:rPr>
                <w:color w:val="000000"/>
              </w:rPr>
              <w:t>5</w:t>
            </w:r>
            <w:r>
              <w:rPr>
                <w:color w:val="000000"/>
              </w:rPr>
              <w:t>, 2025</w:t>
            </w:r>
          </w:p>
        </w:tc>
        <w:tc>
          <w:tcPr>
            <w:tcW w:w="2276" w:type="dxa"/>
          </w:tcPr>
          <w:p w:rsidRPr="007F620E" w:rsidR="00A92D0B" w:rsidP="00A42F67" w:rsidRDefault="00A42F67" w14:paraId="1CBF4E7A" w14:textId="09B4D225">
            <w:pPr>
              <w:tabs>
                <w:tab w:val="left" w:pos="360"/>
              </w:tabs>
              <w:jc w:val="center"/>
              <w:rPr>
                <w:color w:val="000000"/>
              </w:rPr>
            </w:pPr>
            <w:r>
              <w:rPr>
                <w:color w:val="000000"/>
              </w:rPr>
              <w:t>Verified</w:t>
            </w:r>
          </w:p>
        </w:tc>
      </w:tr>
      <w:tr w:rsidRPr="007F620E" w:rsidR="00A92D0B" w:rsidTr="00F028C8" w14:paraId="406BCA3A" w14:textId="77777777">
        <w:tc>
          <w:tcPr>
            <w:tcW w:w="7084" w:type="dxa"/>
            <w:gridSpan w:val="2"/>
          </w:tcPr>
          <w:p w:rsidRPr="007F620E" w:rsidR="00A92D0B" w:rsidP="00F028C8" w:rsidRDefault="00A92D0B" w14:paraId="10AF42D1" w14:textId="67695104">
            <w:pPr>
              <w:tabs>
                <w:tab w:val="left" w:pos="360"/>
              </w:tabs>
              <w:ind w:left="360" w:hanging="360"/>
              <w:rPr>
                <w:color w:val="000000"/>
              </w:rPr>
            </w:pPr>
            <w:r w:rsidRPr="007F620E">
              <w:rPr>
                <w:color w:val="000000"/>
              </w:rPr>
              <w:t>16</w:t>
            </w:r>
            <w:r w:rsidR="001E7EE2">
              <w:rPr>
                <w:color w:val="000000"/>
              </w:rPr>
              <w:t>.</w:t>
            </w:r>
            <w:r w:rsidR="001E7EE2">
              <w:rPr>
                <w:color w:val="000000"/>
              </w:rPr>
              <w:tab/>
            </w:r>
            <w:r w:rsidRPr="007F620E">
              <w:rPr>
                <w:color w:val="000000"/>
              </w:rPr>
              <w:t>Was the request for compensation timely?</w:t>
            </w:r>
          </w:p>
        </w:tc>
        <w:tc>
          <w:tcPr>
            <w:tcW w:w="2276" w:type="dxa"/>
          </w:tcPr>
          <w:p w:rsidRPr="007F620E" w:rsidR="00A92D0B" w:rsidP="00A42F67" w:rsidRDefault="00A42F67" w14:paraId="2EA30E63" w14:textId="6ADB0016">
            <w:pPr>
              <w:tabs>
                <w:tab w:val="left" w:pos="360"/>
              </w:tabs>
              <w:jc w:val="center"/>
              <w:rPr>
                <w:color w:val="000000"/>
              </w:rPr>
            </w:pPr>
            <w:r>
              <w:rPr>
                <w:color w:val="000000"/>
              </w:rPr>
              <w:t>Yes</w:t>
            </w:r>
          </w:p>
        </w:tc>
      </w:tr>
    </w:tbl>
    <w:p w:rsidRPr="007F620E" w:rsidR="00A92D0B" w:rsidP="00880855" w:rsidRDefault="00A92D0B" w14:paraId="0068592B" w14:textId="26F6957C">
      <w:pPr>
        <w:keepNext/>
        <w:numPr>
          <w:ilvl w:val="0"/>
          <w:numId w:val="5"/>
        </w:numPr>
        <w:spacing w:before="240" w:after="240"/>
        <w:rPr>
          <w:b/>
          <w:color w:val="000000"/>
        </w:rPr>
      </w:pPr>
      <w:r w:rsidRPr="007F620E">
        <w:rPr>
          <w:b/>
          <w:color w:val="000000"/>
        </w:rPr>
        <w:lastRenderedPageBreak/>
        <w:t>Additional Comments on Part I</w:t>
      </w:r>
      <w:r w:rsidR="00C02649">
        <w:rPr>
          <w:b/>
          <w:color w:val="000000"/>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860"/>
        <w:gridCol w:w="3759"/>
        <w:gridCol w:w="4741"/>
      </w:tblGrid>
      <w:tr w:rsidRPr="007F620E" w:rsidR="003C608A" w:rsidTr="007056FC" w14:paraId="046F77BA" w14:textId="77777777">
        <w:trPr>
          <w:tblHeader/>
        </w:trPr>
        <w:tc>
          <w:tcPr>
            <w:tcW w:w="860" w:type="dxa"/>
            <w:tcBorders>
              <w:bottom w:val="single" w:color="auto" w:sz="4" w:space="0"/>
            </w:tcBorders>
            <w:shd w:val="clear" w:color="auto" w:fill="D9D9D9" w:themeFill="background1" w:themeFillShade="D9"/>
          </w:tcPr>
          <w:p w:rsidRPr="007F620E" w:rsidR="003C608A" w:rsidP="007056FC" w:rsidRDefault="003C608A" w14:paraId="0CB867A6" w14:textId="77777777">
            <w:pPr>
              <w:tabs>
                <w:tab w:val="left" w:pos="360"/>
              </w:tabs>
              <w:jc w:val="center"/>
              <w:rPr>
                <w:b/>
                <w:color w:val="000000"/>
              </w:rPr>
            </w:pPr>
            <w:r w:rsidRPr="007F620E">
              <w:rPr>
                <w:b/>
                <w:color w:val="000000"/>
              </w:rPr>
              <w:t>#</w:t>
            </w:r>
          </w:p>
        </w:tc>
        <w:tc>
          <w:tcPr>
            <w:tcW w:w="3759" w:type="dxa"/>
            <w:tcBorders>
              <w:bottom w:val="single" w:color="auto" w:sz="4" w:space="0"/>
            </w:tcBorders>
            <w:shd w:val="clear" w:color="auto" w:fill="D9D9D9" w:themeFill="background1" w:themeFillShade="D9"/>
          </w:tcPr>
          <w:p w:rsidRPr="007F620E" w:rsidR="003C608A" w:rsidP="007056FC" w:rsidRDefault="003C608A" w14:paraId="196D09DF" w14:textId="77777777">
            <w:pPr>
              <w:tabs>
                <w:tab w:val="left" w:pos="360"/>
              </w:tabs>
              <w:jc w:val="center"/>
              <w:rPr>
                <w:b/>
                <w:color w:val="000000"/>
              </w:rPr>
            </w:pPr>
            <w:r w:rsidRPr="007F620E">
              <w:rPr>
                <w:b/>
                <w:color w:val="000000"/>
              </w:rPr>
              <w:t>Intervenor’s Comment(s)</w:t>
            </w:r>
          </w:p>
        </w:tc>
        <w:tc>
          <w:tcPr>
            <w:tcW w:w="4741" w:type="dxa"/>
            <w:shd w:val="clear" w:color="auto" w:fill="D9D9D9" w:themeFill="background1" w:themeFillShade="D9"/>
          </w:tcPr>
          <w:p w:rsidRPr="007F620E" w:rsidR="003C608A" w:rsidP="007056FC" w:rsidRDefault="003C608A" w14:paraId="07207D31" w14:textId="77777777">
            <w:pPr>
              <w:tabs>
                <w:tab w:val="left" w:pos="360"/>
              </w:tabs>
              <w:jc w:val="center"/>
              <w:rPr>
                <w:b/>
                <w:color w:val="000000"/>
              </w:rPr>
            </w:pPr>
            <w:r w:rsidRPr="007F620E">
              <w:rPr>
                <w:b/>
                <w:color w:val="000000"/>
              </w:rPr>
              <w:t>CPUC Discussion</w:t>
            </w:r>
          </w:p>
        </w:tc>
      </w:tr>
      <w:tr w:rsidRPr="007F620E" w:rsidR="003C608A" w:rsidTr="00D33661" w14:paraId="1C6180A4" w14:textId="77777777">
        <w:trPr>
          <w:trHeight w:val="67"/>
        </w:trPr>
        <w:tc>
          <w:tcPr>
            <w:tcW w:w="860" w:type="dxa"/>
          </w:tcPr>
          <w:p w:rsidRPr="007F620E" w:rsidR="003C608A" w:rsidP="007056FC" w:rsidRDefault="003C608A" w14:paraId="4350D384" w14:textId="0DDB5E06">
            <w:pPr>
              <w:tabs>
                <w:tab w:val="left" w:pos="360"/>
              </w:tabs>
              <w:rPr>
                <w:color w:val="000000"/>
              </w:rPr>
            </w:pPr>
          </w:p>
        </w:tc>
        <w:tc>
          <w:tcPr>
            <w:tcW w:w="3759" w:type="dxa"/>
          </w:tcPr>
          <w:p w:rsidRPr="007F620E" w:rsidR="003C608A" w:rsidP="007056FC" w:rsidRDefault="00A23CC3" w14:paraId="0ECF4A98" w14:textId="7F1B9FC9">
            <w:pPr>
              <w:tabs>
                <w:tab w:val="left" w:pos="360"/>
              </w:tabs>
              <w:rPr>
                <w:color w:val="000000"/>
              </w:rPr>
            </w:pPr>
            <w:r>
              <w:rPr>
                <w:color w:val="000000"/>
              </w:rPr>
              <w:t>This is a consolida</w:t>
            </w:r>
            <w:r w:rsidR="00704BC5">
              <w:rPr>
                <w:color w:val="000000"/>
              </w:rPr>
              <w:t>ted</w:t>
            </w:r>
            <w:r>
              <w:rPr>
                <w:color w:val="000000"/>
              </w:rPr>
              <w:t xml:space="preserve"> intervenor compensation </w:t>
            </w:r>
            <w:r w:rsidRPr="000A54AA">
              <w:rPr>
                <w:color w:val="000000"/>
              </w:rPr>
              <w:t>request to cover four separate Commission decisions.  UCAN has been an active party in this rulemaking since its inception</w:t>
            </w:r>
            <w:r>
              <w:rPr>
                <w:color w:val="000000"/>
              </w:rPr>
              <w:t xml:space="preserve"> in 2018.</w:t>
            </w:r>
          </w:p>
        </w:tc>
        <w:tc>
          <w:tcPr>
            <w:tcW w:w="4741" w:type="dxa"/>
          </w:tcPr>
          <w:p w:rsidRPr="007F620E" w:rsidR="003C608A" w:rsidP="000A54AA" w:rsidRDefault="000A54AA" w14:paraId="416D6250" w14:textId="026CC5DE">
            <w:pPr>
              <w:tabs>
                <w:tab w:val="left" w:pos="360"/>
              </w:tabs>
              <w:jc w:val="center"/>
              <w:rPr>
                <w:color w:val="000000"/>
              </w:rPr>
            </w:pPr>
            <w:r>
              <w:rPr>
                <w:color w:val="000000"/>
              </w:rPr>
              <w:t>Noted</w:t>
            </w:r>
          </w:p>
        </w:tc>
      </w:tr>
    </w:tbl>
    <w:p w:rsidRPr="00D33661" w:rsidR="00A92D0B" w:rsidP="00D33661" w:rsidRDefault="00A92D0B" w14:paraId="45219348" w14:textId="3E7E2306">
      <w:pPr>
        <w:widowControl w:val="0"/>
        <w:spacing w:before="480"/>
        <w:jc w:val="center"/>
        <w:rPr>
          <w:b/>
          <w:color w:val="000000"/>
        </w:rPr>
      </w:pPr>
      <w:r w:rsidRPr="007F620E">
        <w:rPr>
          <w:b/>
          <w:color w:val="000000"/>
        </w:rPr>
        <w:t>PART II:</w:t>
      </w:r>
      <w:r w:rsidR="00D1778A">
        <w:rPr>
          <w:b/>
          <w:color w:val="000000"/>
        </w:rPr>
        <w:t xml:space="preserve">  </w:t>
      </w:r>
      <w:r w:rsidRPr="007F620E">
        <w:rPr>
          <w:b/>
          <w:color w:val="000000"/>
        </w:rPr>
        <w:t>SUBSTANTIAL CONTRIBUTION</w:t>
      </w:r>
    </w:p>
    <w:p w:rsidRPr="00C02649" w:rsidR="00A92D0B" w:rsidP="00D1188E" w:rsidRDefault="00D075B1" w14:paraId="337CC332" w14:textId="5B23109D">
      <w:pPr>
        <w:widowControl w:val="0"/>
        <w:numPr>
          <w:ilvl w:val="0"/>
          <w:numId w:val="8"/>
        </w:numPr>
        <w:spacing w:before="240" w:after="240"/>
        <w:rPr>
          <w:b/>
          <w:color w:val="000000"/>
        </w:rPr>
      </w:pPr>
      <w:r w:rsidRPr="007F620E">
        <w:rPr>
          <w:b/>
          <w:color w:val="000000"/>
        </w:rPr>
        <w:t xml:space="preserve">Did the </w:t>
      </w:r>
      <w:r w:rsidRPr="007F620E" w:rsidR="005A63D4">
        <w:rPr>
          <w:b/>
          <w:color w:val="000000"/>
        </w:rPr>
        <w:t>Intervenor</w:t>
      </w:r>
      <w:r w:rsidRPr="007F620E">
        <w:rPr>
          <w:b/>
          <w:color w:val="000000"/>
        </w:rPr>
        <w:t xml:space="preserve"> substantially contribute to the final decision</w:t>
      </w:r>
      <w:r w:rsidRPr="007F620E" w:rsidR="00A92D0B">
        <w:rPr>
          <w:b/>
          <w:color w:val="000000"/>
        </w:rPr>
        <w:t xml:space="preserve"> (</w:t>
      </w:r>
      <w:r w:rsidRPr="007F620E" w:rsidR="00A92D0B">
        <w:rPr>
          <w:b/>
          <w:i/>
          <w:color w:val="000000"/>
        </w:rPr>
        <w:t>see</w:t>
      </w:r>
      <w:r w:rsidRPr="007F620E" w:rsidR="00A92D0B">
        <w:rPr>
          <w:b/>
          <w:color w:val="000000"/>
        </w:rPr>
        <w:t xml:space="preserve"> § 1802(</w:t>
      </w:r>
      <w:r w:rsidR="00ED6B6B">
        <w:rPr>
          <w:b/>
          <w:color w:val="000000"/>
        </w:rPr>
        <w:t>j</w:t>
      </w:r>
      <w:r w:rsidRPr="007F620E" w:rsidR="00A92D0B">
        <w:rPr>
          <w:b/>
          <w:color w:val="000000"/>
        </w:rPr>
        <w:t xml:space="preserve">), </w:t>
      </w:r>
      <w:r w:rsidRPr="007F620E" w:rsidR="001E77CF">
        <w:rPr>
          <w:b/>
          <w:color w:val="000000"/>
        </w:rPr>
        <w:br/>
      </w:r>
      <w:r w:rsidRPr="007F620E" w:rsidR="00A92D0B">
        <w:rPr>
          <w:b/>
          <w:color w:val="000000"/>
        </w:rPr>
        <w:t>§ 1803(a)</w:t>
      </w:r>
      <w:r w:rsidRPr="007F620E" w:rsidR="00F30DA8">
        <w:rPr>
          <w:b/>
          <w:color w:val="000000"/>
        </w:rPr>
        <w:t>,</w:t>
      </w:r>
      <w:r w:rsidRPr="007F620E" w:rsidR="00A92D0B">
        <w:rPr>
          <w:b/>
          <w:color w:val="000000"/>
        </w:rPr>
        <w:t xml:space="preserve"> </w:t>
      </w:r>
      <w:r w:rsidR="00ED6B6B">
        <w:rPr>
          <w:b/>
          <w:color w:val="000000"/>
        </w:rPr>
        <w:t xml:space="preserve">1803.1(a) </w:t>
      </w:r>
      <w:r w:rsidRPr="007F620E" w:rsidR="00F30DA8">
        <w:rPr>
          <w:b/>
          <w:color w:val="000000"/>
        </w:rPr>
        <w:t>and</w:t>
      </w:r>
      <w:r w:rsidRPr="007F620E" w:rsidR="00A92D0B">
        <w:rPr>
          <w:b/>
          <w:color w:val="000000"/>
        </w:rPr>
        <w:t xml:space="preserve"> D.98-04-059)</w:t>
      </w:r>
      <w:r w:rsidR="00C02649">
        <w:rPr>
          <w:b/>
          <w:color w:val="000000"/>
        </w:rPr>
        <w:t>:</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3505"/>
        <w:gridCol w:w="3893"/>
        <w:gridCol w:w="2340"/>
      </w:tblGrid>
      <w:tr w:rsidRPr="007F620E" w:rsidR="004664B1" w:rsidTr="00FF0269" w14:paraId="67755362" w14:textId="77777777">
        <w:tc>
          <w:tcPr>
            <w:tcW w:w="3505" w:type="dxa"/>
            <w:tcBorders>
              <w:bottom w:val="single" w:color="auto" w:sz="4" w:space="0"/>
            </w:tcBorders>
            <w:shd w:val="pct12" w:color="auto" w:fill="auto"/>
            <w:vAlign w:val="bottom"/>
          </w:tcPr>
          <w:p w:rsidRPr="007F620E" w:rsidR="00A92D0B" w:rsidP="00D1188E" w:rsidRDefault="00D075B1" w14:paraId="7CE2E5BB" w14:textId="77777777">
            <w:pPr>
              <w:widowControl w:val="0"/>
              <w:jc w:val="center"/>
              <w:rPr>
                <w:b/>
                <w:color w:val="000000"/>
              </w:rPr>
            </w:pPr>
            <w:r w:rsidRPr="007F620E">
              <w:rPr>
                <w:b/>
                <w:color w:val="000000"/>
              </w:rPr>
              <w:t>Intervenor’s Claimed Contribution(s)</w:t>
            </w:r>
          </w:p>
        </w:tc>
        <w:tc>
          <w:tcPr>
            <w:tcW w:w="3893" w:type="dxa"/>
            <w:tcBorders>
              <w:bottom w:val="single" w:color="auto" w:sz="4" w:space="0"/>
            </w:tcBorders>
            <w:shd w:val="pct12" w:color="auto" w:fill="auto"/>
            <w:vAlign w:val="bottom"/>
          </w:tcPr>
          <w:p w:rsidRPr="007F620E" w:rsidR="00A92D0B" w:rsidP="00D1188E" w:rsidRDefault="00A92D0B" w14:paraId="2794272E" w14:textId="77777777">
            <w:pPr>
              <w:widowControl w:val="0"/>
              <w:jc w:val="center"/>
              <w:rPr>
                <w:b/>
                <w:color w:val="000000"/>
              </w:rPr>
            </w:pPr>
            <w:r w:rsidRPr="007F620E">
              <w:rPr>
                <w:b/>
                <w:color w:val="000000"/>
              </w:rPr>
              <w:t xml:space="preserve">Specific References to </w:t>
            </w:r>
            <w:r w:rsidRPr="007F620E" w:rsidR="00D075B1">
              <w:rPr>
                <w:b/>
                <w:color w:val="000000"/>
              </w:rPr>
              <w:t>Intervenor’s Claimed Contribution(s)</w:t>
            </w:r>
          </w:p>
        </w:tc>
        <w:tc>
          <w:tcPr>
            <w:tcW w:w="2340" w:type="dxa"/>
            <w:shd w:val="pct12" w:color="auto" w:fill="auto"/>
            <w:vAlign w:val="bottom"/>
          </w:tcPr>
          <w:p w:rsidRPr="007F620E" w:rsidR="00A92D0B" w:rsidP="00D1188E" w:rsidRDefault="00D075B1" w14:paraId="79AFC714" w14:textId="77777777">
            <w:pPr>
              <w:widowControl w:val="0"/>
              <w:jc w:val="center"/>
              <w:rPr>
                <w:b/>
                <w:color w:val="000000"/>
              </w:rPr>
            </w:pPr>
            <w:r w:rsidRPr="007F620E">
              <w:rPr>
                <w:b/>
                <w:color w:val="000000"/>
              </w:rPr>
              <w:t>CPUC Discussion</w:t>
            </w:r>
          </w:p>
        </w:tc>
      </w:tr>
      <w:tr w:rsidRPr="007F620E" w:rsidR="004664B1" w:rsidTr="00D33661" w14:paraId="45FEB338" w14:textId="77777777">
        <w:tc>
          <w:tcPr>
            <w:tcW w:w="3505" w:type="dxa"/>
          </w:tcPr>
          <w:p w:rsidRPr="00E242A6" w:rsidR="00300F64" w:rsidP="00300F64" w:rsidRDefault="00646A5D" w14:paraId="78935529" w14:textId="08BB551B">
            <w:pPr>
              <w:rPr>
                <w:rStyle w:val="fontstyle01"/>
                <w:b/>
                <w:bCs/>
              </w:rPr>
            </w:pPr>
            <w:r>
              <w:rPr>
                <w:rStyle w:val="fontstyle01"/>
                <w:b/>
                <w:bCs/>
              </w:rPr>
              <w:t xml:space="preserve">In this section, </w:t>
            </w:r>
            <w:r w:rsidRPr="00E242A6" w:rsidR="00300F64">
              <w:rPr>
                <w:rStyle w:val="fontstyle01"/>
                <w:b/>
                <w:bCs/>
              </w:rPr>
              <w:t xml:space="preserve">UCAN </w:t>
            </w:r>
            <w:r>
              <w:rPr>
                <w:rStyle w:val="fontstyle01"/>
                <w:b/>
                <w:bCs/>
              </w:rPr>
              <w:t>denotes, and r</w:t>
            </w:r>
            <w:r>
              <w:rPr>
                <w:rStyle w:val="fontstyle01"/>
                <w:b/>
              </w:rPr>
              <w:t xml:space="preserve">eferences, the following </w:t>
            </w:r>
            <w:r>
              <w:rPr>
                <w:rStyle w:val="fontstyle01"/>
                <w:b/>
                <w:bCs/>
              </w:rPr>
              <w:t>documents UCAN filed in this proceeding</w:t>
            </w:r>
            <w:r w:rsidRPr="00E242A6" w:rsidR="00300F64">
              <w:rPr>
                <w:rStyle w:val="fontstyle01"/>
                <w:b/>
                <w:bCs/>
              </w:rPr>
              <w:t>:</w:t>
            </w:r>
          </w:p>
          <w:p w:rsidR="00186D94" w:rsidP="00300F64" w:rsidRDefault="00186D94" w14:paraId="6C7ADBAA" w14:textId="77777777">
            <w:pPr>
              <w:rPr>
                <w:rStyle w:val="fontstyle01"/>
              </w:rPr>
            </w:pPr>
          </w:p>
          <w:p w:rsidRPr="00847A38" w:rsidR="007234E3" w:rsidP="00300F64" w:rsidRDefault="00300F64" w14:paraId="3B938062" w14:textId="20FB871B">
            <w:pPr>
              <w:rPr>
                <w:rStyle w:val="fontstyle01"/>
                <w:u w:val="single"/>
              </w:rPr>
            </w:pPr>
            <w:r w:rsidRPr="00847A38">
              <w:rPr>
                <w:rStyle w:val="fontstyle01"/>
                <w:u w:val="single"/>
              </w:rPr>
              <w:t>UCAN</w:t>
            </w:r>
            <w:r w:rsidRPr="00847A38" w:rsidR="00D2470A">
              <w:rPr>
                <w:rStyle w:val="fontstyle01"/>
                <w:u w:val="single"/>
              </w:rPr>
              <w:t xml:space="preserve"> 1:</w:t>
            </w:r>
            <w:r w:rsidRPr="00847A38">
              <w:rPr>
                <w:rStyle w:val="fontstyle01"/>
                <w:u w:val="single"/>
              </w:rPr>
              <w:t xml:space="preserve"> </w:t>
            </w:r>
          </w:p>
          <w:p w:rsidRPr="003A0682" w:rsidR="003A0682" w:rsidP="003A0682" w:rsidRDefault="00A23CC3" w14:paraId="36A22040" w14:textId="6A27A921">
            <w:pPr>
              <w:rPr>
                <w:rStyle w:val="fontstyle01"/>
              </w:rPr>
            </w:pPr>
            <w:r>
              <w:rPr>
                <w:rStyle w:val="fontstyle01"/>
              </w:rPr>
              <w:t>Opening Comments</w:t>
            </w:r>
            <w:r w:rsidRPr="003A0682" w:rsidR="003A0682">
              <w:rPr>
                <w:rStyle w:val="fontstyle01"/>
              </w:rPr>
              <w:t xml:space="preserve"> dated 4/19/2024</w:t>
            </w:r>
          </w:p>
          <w:p w:rsidR="00476863" w:rsidP="003A0682" w:rsidRDefault="00476863" w14:paraId="69395E98" w14:textId="77777777">
            <w:pPr>
              <w:rPr>
                <w:rStyle w:val="fontstyle01"/>
              </w:rPr>
            </w:pPr>
          </w:p>
          <w:p w:rsidRPr="00847A38" w:rsidR="00476863" w:rsidP="00476863" w:rsidRDefault="00476863" w14:paraId="4C554C02" w14:textId="77777777">
            <w:pPr>
              <w:rPr>
                <w:rStyle w:val="fontstyle01"/>
                <w:u w:val="single"/>
              </w:rPr>
            </w:pPr>
            <w:r w:rsidRPr="00847A38">
              <w:rPr>
                <w:rStyle w:val="fontstyle01"/>
                <w:u w:val="single"/>
              </w:rPr>
              <w:t xml:space="preserve">UCAN 2: </w:t>
            </w:r>
          </w:p>
          <w:p w:rsidRPr="003A0682" w:rsidR="003A0682" w:rsidP="003A0682" w:rsidRDefault="003A0682" w14:paraId="04BC1909" w14:textId="36F2540C">
            <w:pPr>
              <w:rPr>
                <w:rStyle w:val="fontstyle01"/>
              </w:rPr>
            </w:pPr>
            <w:r w:rsidRPr="003A0682">
              <w:rPr>
                <w:rStyle w:val="fontstyle01"/>
              </w:rPr>
              <w:t xml:space="preserve">Reply </w:t>
            </w:r>
            <w:r w:rsidR="00A23CC3">
              <w:rPr>
                <w:rStyle w:val="fontstyle01"/>
              </w:rPr>
              <w:t>Comments</w:t>
            </w:r>
            <w:r w:rsidRPr="003A0682">
              <w:rPr>
                <w:rStyle w:val="fontstyle01"/>
              </w:rPr>
              <w:t xml:space="preserve"> dated 5/3/2024</w:t>
            </w:r>
          </w:p>
          <w:p w:rsidR="00476863" w:rsidP="003A0682" w:rsidRDefault="00476863" w14:paraId="5F22F068" w14:textId="77777777">
            <w:pPr>
              <w:rPr>
                <w:rStyle w:val="fontstyle01"/>
              </w:rPr>
            </w:pPr>
          </w:p>
          <w:p w:rsidRPr="00847A38" w:rsidR="00476863" w:rsidP="00476863" w:rsidRDefault="00476863" w14:paraId="0156C72F" w14:textId="65C22808">
            <w:pPr>
              <w:rPr>
                <w:rStyle w:val="fontstyle01"/>
                <w:u w:val="single"/>
              </w:rPr>
            </w:pPr>
            <w:r w:rsidRPr="00847A38">
              <w:rPr>
                <w:rStyle w:val="fontstyle01"/>
                <w:u w:val="single"/>
              </w:rPr>
              <w:t xml:space="preserve">UCAN 3: </w:t>
            </w:r>
          </w:p>
          <w:p w:rsidRPr="003A0682" w:rsidR="003A0682" w:rsidP="003A0682" w:rsidRDefault="00B91C8A" w14:paraId="3F192352" w14:textId="5C94441E">
            <w:pPr>
              <w:rPr>
                <w:rStyle w:val="fontstyle01"/>
              </w:rPr>
            </w:pPr>
            <w:r>
              <w:rPr>
                <w:rStyle w:val="fontstyle01"/>
              </w:rPr>
              <w:t xml:space="preserve">PD </w:t>
            </w:r>
            <w:r w:rsidR="00A23CC3">
              <w:rPr>
                <w:rStyle w:val="fontstyle01"/>
              </w:rPr>
              <w:t>Comments</w:t>
            </w:r>
            <w:r w:rsidR="00E94341">
              <w:rPr>
                <w:rStyle w:val="fontstyle01"/>
              </w:rPr>
              <w:t xml:space="preserve"> </w:t>
            </w:r>
            <w:r w:rsidRPr="003A0682" w:rsidR="003A0682">
              <w:rPr>
                <w:rStyle w:val="fontstyle01"/>
              </w:rPr>
              <w:t>dated 8/28/2024</w:t>
            </w:r>
            <w:r w:rsidR="00282545">
              <w:rPr>
                <w:rStyle w:val="fontstyle01"/>
              </w:rPr>
              <w:t xml:space="preserve"> (PD resulted in </w:t>
            </w:r>
            <w:r w:rsidRPr="00282545" w:rsidR="00282545">
              <w:rPr>
                <w:rStyle w:val="fontstyle01"/>
              </w:rPr>
              <w:t>D.24-09-005</w:t>
            </w:r>
            <w:r w:rsidR="00282545">
              <w:rPr>
                <w:rStyle w:val="fontstyle01"/>
              </w:rPr>
              <w:t>)</w:t>
            </w:r>
          </w:p>
          <w:p w:rsidR="00476863" w:rsidP="003A0682" w:rsidRDefault="00476863" w14:paraId="3E79BB6E" w14:textId="77777777">
            <w:pPr>
              <w:rPr>
                <w:rStyle w:val="fontstyle01"/>
              </w:rPr>
            </w:pPr>
          </w:p>
          <w:p w:rsidRPr="00847A38" w:rsidR="00476863" w:rsidP="00476863" w:rsidRDefault="00476863" w14:paraId="7724B12B" w14:textId="1AA06E14">
            <w:pPr>
              <w:rPr>
                <w:rStyle w:val="fontstyle01"/>
                <w:u w:val="single"/>
              </w:rPr>
            </w:pPr>
            <w:r w:rsidRPr="00847A38">
              <w:rPr>
                <w:rStyle w:val="fontstyle01"/>
                <w:u w:val="single"/>
              </w:rPr>
              <w:t xml:space="preserve">UCAN 4: </w:t>
            </w:r>
          </w:p>
          <w:p w:rsidR="00897932" w:rsidP="003A0682" w:rsidRDefault="003A0682" w14:paraId="7FBF0312" w14:textId="77777777">
            <w:pPr>
              <w:rPr>
                <w:rStyle w:val="fontstyle01"/>
              </w:rPr>
            </w:pPr>
            <w:r w:rsidRPr="003A0682">
              <w:rPr>
                <w:rStyle w:val="fontstyle01"/>
              </w:rPr>
              <w:t xml:space="preserve">PD Reply </w:t>
            </w:r>
            <w:r w:rsidR="00A23CC3">
              <w:rPr>
                <w:rStyle w:val="fontstyle01"/>
              </w:rPr>
              <w:t xml:space="preserve">Comments </w:t>
            </w:r>
            <w:r w:rsidRPr="003A0682">
              <w:rPr>
                <w:rStyle w:val="fontstyle01"/>
              </w:rPr>
              <w:t>dated 9/3/2024</w:t>
            </w:r>
          </w:p>
          <w:p w:rsidR="007234E3" w:rsidP="003A0682" w:rsidRDefault="00B91C8A" w14:paraId="3587D3F3" w14:textId="1D4BCB32">
            <w:pPr>
              <w:rPr>
                <w:rStyle w:val="fontstyle01"/>
              </w:rPr>
            </w:pPr>
            <w:r>
              <w:rPr>
                <w:rStyle w:val="fontstyle01"/>
              </w:rPr>
              <w:t xml:space="preserve">(PD resulted in </w:t>
            </w:r>
            <w:r w:rsidRPr="00282545">
              <w:rPr>
                <w:rStyle w:val="fontstyle01"/>
              </w:rPr>
              <w:t>D.24-09-005</w:t>
            </w:r>
            <w:r>
              <w:rPr>
                <w:rStyle w:val="fontstyle01"/>
              </w:rPr>
              <w:t>)</w:t>
            </w:r>
          </w:p>
          <w:p w:rsidR="009E37BE" w:rsidP="003A0682" w:rsidRDefault="009E37BE" w14:paraId="68F501A9" w14:textId="77777777">
            <w:pPr>
              <w:rPr>
                <w:rStyle w:val="fontstyle01"/>
              </w:rPr>
            </w:pPr>
          </w:p>
          <w:p w:rsidRPr="0026074D" w:rsidR="009E37BE" w:rsidP="003A0682" w:rsidRDefault="00330C35" w14:paraId="2C7D88CE" w14:textId="5FFC8B72">
            <w:pPr>
              <w:rPr>
                <w:rStyle w:val="fontstyle01"/>
                <w:u w:val="single"/>
              </w:rPr>
            </w:pPr>
            <w:r w:rsidRPr="0026074D">
              <w:rPr>
                <w:rStyle w:val="fontstyle01"/>
                <w:u w:val="single"/>
              </w:rPr>
              <w:t>UCAN 5:</w:t>
            </w:r>
          </w:p>
          <w:p w:rsidRPr="0026074D" w:rsidR="00AC2A06" w:rsidP="003A0682" w:rsidRDefault="003B1FAE" w14:paraId="279A66BB" w14:textId="5996FCF6">
            <w:pPr>
              <w:rPr>
                <w:rStyle w:val="fontstyle01"/>
              </w:rPr>
            </w:pPr>
            <w:r w:rsidRPr="0026074D">
              <w:rPr>
                <w:rStyle w:val="fontstyle01"/>
              </w:rPr>
              <w:t>Reply C</w:t>
            </w:r>
            <w:r w:rsidRPr="0026074D" w:rsidR="00897932">
              <w:rPr>
                <w:rStyle w:val="fontstyle01"/>
              </w:rPr>
              <w:t>om</w:t>
            </w:r>
            <w:r w:rsidRPr="0026074D">
              <w:rPr>
                <w:rStyle w:val="fontstyle01"/>
              </w:rPr>
              <w:t>m</w:t>
            </w:r>
            <w:r w:rsidRPr="0026074D" w:rsidR="00897932">
              <w:rPr>
                <w:rStyle w:val="fontstyle01"/>
              </w:rPr>
              <w:t>en</w:t>
            </w:r>
            <w:r w:rsidRPr="0026074D">
              <w:rPr>
                <w:rStyle w:val="fontstyle01"/>
              </w:rPr>
              <w:t>ts</w:t>
            </w:r>
            <w:r w:rsidRPr="0026074D" w:rsidR="00292371">
              <w:rPr>
                <w:rStyle w:val="fontstyle01"/>
              </w:rPr>
              <w:t xml:space="preserve"> regarding ALJ Ruling</w:t>
            </w:r>
            <w:r w:rsidRPr="0026074D">
              <w:rPr>
                <w:rStyle w:val="fontstyle01"/>
              </w:rPr>
              <w:t xml:space="preserve"> dated 10/4/2024</w:t>
            </w:r>
          </w:p>
          <w:p w:rsidRPr="0026074D" w:rsidR="003B1FAE" w:rsidP="003A0682" w:rsidRDefault="003B1FAE" w14:paraId="0979BF3E" w14:textId="77777777">
            <w:pPr>
              <w:rPr>
                <w:rStyle w:val="fontstyle01"/>
                <w:u w:val="single"/>
              </w:rPr>
            </w:pPr>
          </w:p>
          <w:p w:rsidRPr="0026074D" w:rsidR="00AC2A06" w:rsidP="003A0682" w:rsidRDefault="00AC2A06" w14:paraId="36303E6F" w14:textId="00F1F77F">
            <w:pPr>
              <w:rPr>
                <w:rStyle w:val="fontstyle01"/>
                <w:u w:val="single"/>
              </w:rPr>
            </w:pPr>
            <w:r w:rsidRPr="0026074D">
              <w:rPr>
                <w:rStyle w:val="fontstyle01"/>
                <w:u w:val="single"/>
              </w:rPr>
              <w:t xml:space="preserve">UCAN </w:t>
            </w:r>
            <w:r w:rsidRPr="0026074D" w:rsidR="003B1FAE">
              <w:rPr>
                <w:rStyle w:val="fontstyle01"/>
                <w:u w:val="single"/>
              </w:rPr>
              <w:t>6:</w:t>
            </w:r>
          </w:p>
          <w:p w:rsidRPr="0026074D" w:rsidR="00330C35" w:rsidP="00330C35" w:rsidRDefault="00330C35" w14:paraId="2FDA71D0" w14:textId="4D573944">
            <w:pPr>
              <w:rPr>
                <w:rStyle w:val="fontstyle01"/>
              </w:rPr>
            </w:pPr>
            <w:r w:rsidRPr="0026074D">
              <w:rPr>
                <w:rStyle w:val="fontstyle01"/>
              </w:rPr>
              <w:lastRenderedPageBreak/>
              <w:t xml:space="preserve">PD </w:t>
            </w:r>
            <w:r w:rsidRPr="0026074D" w:rsidR="000128BB">
              <w:rPr>
                <w:rStyle w:val="fontstyle01"/>
              </w:rPr>
              <w:t>Comment</w:t>
            </w:r>
            <w:r w:rsidRPr="0026074D" w:rsidR="00B91C8A">
              <w:rPr>
                <w:rStyle w:val="fontstyle01"/>
              </w:rPr>
              <w:t>s</w:t>
            </w:r>
            <w:r w:rsidRPr="0026074D">
              <w:rPr>
                <w:rStyle w:val="fontstyle01"/>
              </w:rPr>
              <w:t xml:space="preserve"> dated </w:t>
            </w:r>
            <w:r w:rsidRPr="0026074D" w:rsidR="00183E79">
              <w:rPr>
                <w:rStyle w:val="fontstyle01"/>
              </w:rPr>
              <w:t>10</w:t>
            </w:r>
            <w:r w:rsidRPr="0026074D">
              <w:rPr>
                <w:rStyle w:val="fontstyle01"/>
              </w:rPr>
              <w:t>/</w:t>
            </w:r>
            <w:r w:rsidRPr="0026074D" w:rsidR="00183E79">
              <w:rPr>
                <w:rStyle w:val="fontstyle01"/>
              </w:rPr>
              <w:t>16</w:t>
            </w:r>
            <w:r w:rsidRPr="0026074D">
              <w:rPr>
                <w:rStyle w:val="fontstyle01"/>
              </w:rPr>
              <w:t>/2024</w:t>
            </w:r>
            <w:r w:rsidRPr="0026074D" w:rsidR="00B91C8A">
              <w:rPr>
                <w:rStyle w:val="fontstyle01"/>
              </w:rPr>
              <w:t xml:space="preserve"> (</w:t>
            </w:r>
            <w:r w:rsidRPr="0026074D" w:rsidR="00660C47">
              <w:rPr>
                <w:rStyle w:val="fontstyle01"/>
              </w:rPr>
              <w:t>PD resulted in D.24-11-005</w:t>
            </w:r>
            <w:r w:rsidRPr="0026074D" w:rsidR="00B91C8A">
              <w:rPr>
                <w:rStyle w:val="fontstyle01"/>
              </w:rPr>
              <w:t>)</w:t>
            </w:r>
          </w:p>
          <w:p w:rsidRPr="0026074D" w:rsidR="00330C35" w:rsidP="003A0682" w:rsidRDefault="00330C35" w14:paraId="6CD4840A" w14:textId="77777777">
            <w:pPr>
              <w:rPr>
                <w:rStyle w:val="fontstyle01"/>
              </w:rPr>
            </w:pPr>
          </w:p>
          <w:p w:rsidRPr="0026074D" w:rsidR="00330C35" w:rsidP="003A0682" w:rsidRDefault="00330C35" w14:paraId="1CD80E60" w14:textId="54C921F5">
            <w:pPr>
              <w:rPr>
                <w:rStyle w:val="fontstyle01"/>
                <w:u w:val="single"/>
              </w:rPr>
            </w:pPr>
            <w:r w:rsidRPr="0026074D">
              <w:rPr>
                <w:rStyle w:val="fontstyle01"/>
                <w:u w:val="single"/>
              </w:rPr>
              <w:t xml:space="preserve">UCAN </w:t>
            </w:r>
            <w:r w:rsidRPr="0026074D" w:rsidR="003B1FAE">
              <w:rPr>
                <w:rStyle w:val="fontstyle01"/>
                <w:u w:val="single"/>
              </w:rPr>
              <w:t>7</w:t>
            </w:r>
            <w:r w:rsidRPr="0026074D">
              <w:rPr>
                <w:rStyle w:val="fontstyle01"/>
                <w:u w:val="single"/>
              </w:rPr>
              <w:t>:</w:t>
            </w:r>
          </w:p>
          <w:p w:rsidRPr="0026074D" w:rsidR="00897932" w:rsidP="00330C35" w:rsidRDefault="00330C35" w14:paraId="336920AF" w14:textId="77777777">
            <w:pPr>
              <w:rPr>
                <w:rStyle w:val="fontstyle01"/>
              </w:rPr>
            </w:pPr>
            <w:r w:rsidRPr="0026074D">
              <w:rPr>
                <w:rStyle w:val="fontstyle01"/>
              </w:rPr>
              <w:t xml:space="preserve">PD Reply </w:t>
            </w:r>
            <w:r w:rsidRPr="0026074D" w:rsidR="000128BB">
              <w:rPr>
                <w:rStyle w:val="fontstyle01"/>
              </w:rPr>
              <w:t>Comments</w:t>
            </w:r>
            <w:r w:rsidRPr="0026074D" w:rsidR="00660C47">
              <w:rPr>
                <w:rStyle w:val="fontstyle01"/>
              </w:rPr>
              <w:t xml:space="preserve"> </w:t>
            </w:r>
            <w:r w:rsidRPr="0026074D">
              <w:rPr>
                <w:rStyle w:val="fontstyle01"/>
              </w:rPr>
              <w:t xml:space="preserve">dated </w:t>
            </w:r>
            <w:r w:rsidRPr="0026074D" w:rsidR="00183E79">
              <w:rPr>
                <w:rStyle w:val="fontstyle01"/>
              </w:rPr>
              <w:t>10</w:t>
            </w:r>
            <w:r w:rsidRPr="0026074D">
              <w:rPr>
                <w:rStyle w:val="fontstyle01"/>
              </w:rPr>
              <w:t>/2</w:t>
            </w:r>
            <w:r w:rsidRPr="0026074D" w:rsidR="00183E79">
              <w:rPr>
                <w:rStyle w:val="fontstyle01"/>
              </w:rPr>
              <w:t>1</w:t>
            </w:r>
            <w:r w:rsidRPr="0026074D">
              <w:rPr>
                <w:rStyle w:val="fontstyle01"/>
              </w:rPr>
              <w:t>/2024</w:t>
            </w:r>
          </w:p>
          <w:p w:rsidRPr="0026074D" w:rsidR="00330C35" w:rsidP="00330C35" w:rsidRDefault="00660C47" w14:paraId="59114372" w14:textId="506E52BE">
            <w:pPr>
              <w:rPr>
                <w:rStyle w:val="fontstyle01"/>
              </w:rPr>
            </w:pPr>
            <w:r w:rsidRPr="0026074D">
              <w:rPr>
                <w:rStyle w:val="fontstyle01"/>
              </w:rPr>
              <w:t>(PD resulted in D.24-11-005)</w:t>
            </w:r>
          </w:p>
          <w:p w:rsidRPr="0026074D" w:rsidR="00997D0B" w:rsidP="00330C35" w:rsidRDefault="00997D0B" w14:paraId="4FA2DE32" w14:textId="77777777">
            <w:pPr>
              <w:rPr>
                <w:rStyle w:val="fontstyle01"/>
              </w:rPr>
            </w:pPr>
          </w:p>
          <w:p w:rsidRPr="0026074D" w:rsidR="00997D0B" w:rsidP="00330C35" w:rsidRDefault="00997D0B" w14:paraId="5F9A4343" w14:textId="6BB4F8D0">
            <w:pPr>
              <w:rPr>
                <w:rStyle w:val="fontstyle01"/>
                <w:u w:val="single"/>
              </w:rPr>
            </w:pPr>
            <w:r w:rsidRPr="0026074D">
              <w:rPr>
                <w:rStyle w:val="fontstyle01"/>
                <w:u w:val="single"/>
              </w:rPr>
              <w:t xml:space="preserve">UCAN 8: </w:t>
            </w:r>
          </w:p>
          <w:p w:rsidRPr="0026074D" w:rsidR="00997D0B" w:rsidP="00330C35" w:rsidRDefault="000128BB" w14:paraId="37A4E321" w14:textId="7DB66939">
            <w:pPr>
              <w:rPr>
                <w:rStyle w:val="fontstyle01"/>
              </w:rPr>
            </w:pPr>
            <w:r w:rsidRPr="0026074D">
              <w:rPr>
                <w:rStyle w:val="fontstyle01"/>
              </w:rPr>
              <w:t>Comment on Workshop</w:t>
            </w:r>
            <w:r w:rsidRPr="0026074D" w:rsidR="00412DFE">
              <w:rPr>
                <w:rStyle w:val="fontstyle01"/>
              </w:rPr>
              <w:t xml:space="preserve"> dated </w:t>
            </w:r>
            <w:r w:rsidRPr="0026074D" w:rsidR="002E190F">
              <w:rPr>
                <w:rStyle w:val="fontstyle01"/>
              </w:rPr>
              <w:t>1/24/2025</w:t>
            </w:r>
          </w:p>
          <w:p w:rsidRPr="0026074D" w:rsidR="002E190F" w:rsidP="00330C35" w:rsidRDefault="002E190F" w14:paraId="0F6799E8" w14:textId="77777777">
            <w:pPr>
              <w:rPr>
                <w:rStyle w:val="fontstyle01"/>
              </w:rPr>
            </w:pPr>
          </w:p>
          <w:p w:rsidRPr="0026074D" w:rsidR="002E190F" w:rsidP="00330C35" w:rsidRDefault="002E190F" w14:paraId="445DE921" w14:textId="03B492A7">
            <w:pPr>
              <w:rPr>
                <w:rStyle w:val="fontstyle01"/>
                <w:u w:val="single"/>
              </w:rPr>
            </w:pPr>
            <w:r w:rsidRPr="0026074D">
              <w:rPr>
                <w:rStyle w:val="fontstyle01"/>
                <w:u w:val="single"/>
              </w:rPr>
              <w:t>UCAN 9:</w:t>
            </w:r>
          </w:p>
          <w:p w:rsidRPr="003C54B2" w:rsidR="002E190F" w:rsidP="00330C35" w:rsidRDefault="000128BB" w14:paraId="5517430A" w14:textId="63EE96E9">
            <w:pPr>
              <w:rPr>
                <w:rStyle w:val="fontstyle01"/>
              </w:rPr>
            </w:pPr>
            <w:r w:rsidRPr="0026074D">
              <w:rPr>
                <w:rStyle w:val="fontstyle01"/>
              </w:rPr>
              <w:t>Comments on the</w:t>
            </w:r>
            <w:r w:rsidRPr="0026074D" w:rsidR="003A47E0">
              <w:rPr>
                <w:rStyle w:val="fontstyle01"/>
              </w:rPr>
              <w:t xml:space="preserve"> </w:t>
            </w:r>
            <w:r w:rsidRPr="0026074D" w:rsidR="00EB521A">
              <w:rPr>
                <w:rStyle w:val="fontstyle01"/>
              </w:rPr>
              <w:t xml:space="preserve">Scope </w:t>
            </w:r>
            <w:r w:rsidRPr="0026074D">
              <w:rPr>
                <w:rStyle w:val="fontstyle01"/>
              </w:rPr>
              <w:t xml:space="preserve">of this phase of the rulemaking, </w:t>
            </w:r>
            <w:r w:rsidRPr="0026074D" w:rsidR="00EB521A">
              <w:rPr>
                <w:rStyle w:val="fontstyle01"/>
              </w:rPr>
              <w:t xml:space="preserve">dated </w:t>
            </w:r>
            <w:r w:rsidRPr="0026074D" w:rsidR="001B5497">
              <w:rPr>
                <w:rStyle w:val="fontstyle01"/>
              </w:rPr>
              <w:t>11</w:t>
            </w:r>
            <w:r w:rsidRPr="0026074D" w:rsidR="00203737">
              <w:rPr>
                <w:rStyle w:val="fontstyle01"/>
              </w:rPr>
              <w:t>/</w:t>
            </w:r>
            <w:r w:rsidRPr="0026074D" w:rsidR="001B5497">
              <w:rPr>
                <w:rStyle w:val="fontstyle01"/>
              </w:rPr>
              <w:t>22</w:t>
            </w:r>
            <w:r w:rsidRPr="0026074D" w:rsidR="00203737">
              <w:rPr>
                <w:rStyle w:val="fontstyle01"/>
              </w:rPr>
              <w:t>/</w:t>
            </w:r>
            <w:r w:rsidRPr="0026074D" w:rsidR="001B5497">
              <w:rPr>
                <w:rStyle w:val="fontstyle01"/>
              </w:rPr>
              <w:t>2024</w:t>
            </w:r>
          </w:p>
          <w:p w:rsidRPr="003C54B2" w:rsidR="00897932" w:rsidP="00330C35" w:rsidRDefault="00897932" w14:paraId="1F9577D2" w14:textId="77777777">
            <w:pPr>
              <w:rPr>
                <w:rStyle w:val="fontstyle01"/>
              </w:rPr>
            </w:pPr>
          </w:p>
          <w:p w:rsidRPr="003C54B2" w:rsidR="002E190F" w:rsidP="00330C35" w:rsidRDefault="002E190F" w14:paraId="37D6D268" w14:textId="0266011A">
            <w:pPr>
              <w:rPr>
                <w:rStyle w:val="fontstyle01"/>
                <w:u w:val="single"/>
              </w:rPr>
            </w:pPr>
            <w:r w:rsidRPr="003C54B2">
              <w:rPr>
                <w:rStyle w:val="fontstyle01"/>
                <w:u w:val="single"/>
              </w:rPr>
              <w:t>UCAN 10:</w:t>
            </w:r>
          </w:p>
          <w:p w:rsidR="001B5497" w:rsidP="00330C35" w:rsidRDefault="001B5497" w14:paraId="2105A814" w14:textId="4C7B8330">
            <w:pPr>
              <w:rPr>
                <w:rStyle w:val="fontstyle01"/>
              </w:rPr>
            </w:pPr>
            <w:r w:rsidRPr="003C54B2">
              <w:rPr>
                <w:rStyle w:val="fontstyle01"/>
              </w:rPr>
              <w:t xml:space="preserve">Reply </w:t>
            </w:r>
            <w:r w:rsidRPr="003C54B2" w:rsidR="000128BB">
              <w:rPr>
                <w:rStyle w:val="fontstyle01"/>
              </w:rPr>
              <w:t xml:space="preserve">Comments on the </w:t>
            </w:r>
            <w:r w:rsidRPr="003C54B2">
              <w:rPr>
                <w:rStyle w:val="fontstyle01"/>
              </w:rPr>
              <w:t xml:space="preserve">Scope </w:t>
            </w:r>
            <w:r w:rsidRPr="003C54B2" w:rsidR="000128BB">
              <w:rPr>
                <w:rStyle w:val="fontstyle01"/>
              </w:rPr>
              <w:t>of this phase</w:t>
            </w:r>
            <w:r w:rsidR="000128BB">
              <w:rPr>
                <w:rStyle w:val="fontstyle01"/>
              </w:rPr>
              <w:t xml:space="preserve"> of the rulemaking, </w:t>
            </w:r>
            <w:r>
              <w:rPr>
                <w:rStyle w:val="fontstyle01"/>
              </w:rPr>
              <w:t>dated 1/31/2025</w:t>
            </w:r>
          </w:p>
          <w:p w:rsidR="002E190F" w:rsidP="00330C35" w:rsidRDefault="002E190F" w14:paraId="4353D6D8" w14:textId="77777777">
            <w:pPr>
              <w:rPr>
                <w:rStyle w:val="fontstyle01"/>
              </w:rPr>
            </w:pPr>
          </w:p>
          <w:p w:rsidRPr="00BA2E58" w:rsidR="002E190F" w:rsidP="00330C35" w:rsidRDefault="002E190F" w14:paraId="3347EE87" w14:textId="7F5A3944">
            <w:pPr>
              <w:rPr>
                <w:rStyle w:val="fontstyle01"/>
                <w:u w:val="single"/>
              </w:rPr>
            </w:pPr>
            <w:r w:rsidRPr="00BA2E58">
              <w:rPr>
                <w:rStyle w:val="fontstyle01"/>
                <w:u w:val="single"/>
              </w:rPr>
              <w:t>UCAN 11:</w:t>
            </w:r>
          </w:p>
          <w:p w:rsidR="002E190F" w:rsidP="00330C35" w:rsidRDefault="003C155E" w14:paraId="1BD016D0" w14:textId="56286C3A">
            <w:pPr>
              <w:rPr>
                <w:rStyle w:val="fontstyle01"/>
              </w:rPr>
            </w:pPr>
            <w:r>
              <w:rPr>
                <w:rStyle w:val="fontstyle01"/>
              </w:rPr>
              <w:t xml:space="preserve">PD Comments on </w:t>
            </w:r>
            <w:r w:rsidR="00441F54">
              <w:rPr>
                <w:rStyle w:val="fontstyle01"/>
              </w:rPr>
              <w:t>P</w:t>
            </w:r>
            <w:r>
              <w:rPr>
                <w:rStyle w:val="fontstyle01"/>
              </w:rPr>
              <w:t xml:space="preserve">etition for Modification </w:t>
            </w:r>
            <w:r w:rsidR="00441F54">
              <w:rPr>
                <w:rStyle w:val="fontstyle01"/>
              </w:rPr>
              <w:t xml:space="preserve">dated </w:t>
            </w:r>
            <w:r w:rsidR="00D93814">
              <w:rPr>
                <w:rStyle w:val="fontstyle01"/>
              </w:rPr>
              <w:t>3/18/2025</w:t>
            </w:r>
            <w:r>
              <w:rPr>
                <w:rStyle w:val="fontstyle01"/>
              </w:rPr>
              <w:t xml:space="preserve"> (</w:t>
            </w:r>
            <w:r w:rsidR="0025441B">
              <w:rPr>
                <w:rStyle w:val="fontstyle01"/>
              </w:rPr>
              <w:t xml:space="preserve">PD resulted in </w:t>
            </w:r>
            <w:r w:rsidRPr="003C155E">
              <w:rPr>
                <w:rStyle w:val="fontstyle01"/>
              </w:rPr>
              <w:t>D.25-04-004</w:t>
            </w:r>
            <w:r>
              <w:rPr>
                <w:rStyle w:val="fontstyle01"/>
              </w:rPr>
              <w:t>)</w:t>
            </w:r>
          </w:p>
          <w:p w:rsidR="002E190F" w:rsidP="00330C35" w:rsidRDefault="002E190F" w14:paraId="6291626F" w14:textId="77777777">
            <w:pPr>
              <w:rPr>
                <w:rStyle w:val="fontstyle01"/>
              </w:rPr>
            </w:pPr>
          </w:p>
          <w:p w:rsidRPr="00BA2E58" w:rsidR="002E190F" w:rsidP="00330C35" w:rsidRDefault="002E190F" w14:paraId="5C0038B2" w14:textId="1907FD69">
            <w:pPr>
              <w:rPr>
                <w:rStyle w:val="fontstyle01"/>
                <w:u w:val="single"/>
              </w:rPr>
            </w:pPr>
            <w:r w:rsidRPr="00BA2E58">
              <w:rPr>
                <w:rStyle w:val="fontstyle01"/>
                <w:u w:val="single"/>
              </w:rPr>
              <w:t>UCAN 12:</w:t>
            </w:r>
          </w:p>
          <w:p w:rsidRPr="003C54B2" w:rsidR="002E190F" w:rsidP="00330C35" w:rsidRDefault="00D93814" w14:paraId="403C78B2" w14:textId="05FC8053">
            <w:pPr>
              <w:rPr>
                <w:rStyle w:val="fontstyle01"/>
              </w:rPr>
            </w:pPr>
            <w:r>
              <w:rPr>
                <w:rStyle w:val="fontstyle01"/>
              </w:rPr>
              <w:t xml:space="preserve">PD Reply </w:t>
            </w:r>
            <w:r w:rsidR="000128BB">
              <w:rPr>
                <w:rStyle w:val="fontstyle01"/>
              </w:rPr>
              <w:t xml:space="preserve">Comments on </w:t>
            </w:r>
            <w:r w:rsidR="00870C26">
              <w:rPr>
                <w:rStyle w:val="fontstyle01"/>
              </w:rPr>
              <w:t>Petition for Modification</w:t>
            </w:r>
            <w:r>
              <w:rPr>
                <w:rStyle w:val="fontstyle01"/>
              </w:rPr>
              <w:t xml:space="preserve"> dated</w:t>
            </w:r>
            <w:r w:rsidR="00AD1180">
              <w:rPr>
                <w:rStyle w:val="fontstyle01"/>
              </w:rPr>
              <w:t xml:space="preserve"> </w:t>
            </w:r>
            <w:r>
              <w:rPr>
                <w:rStyle w:val="fontstyle01"/>
              </w:rPr>
              <w:t>3/24/2025</w:t>
            </w:r>
            <w:r w:rsidR="00B66D02">
              <w:rPr>
                <w:rStyle w:val="fontstyle01"/>
              </w:rPr>
              <w:t xml:space="preserve"> </w:t>
            </w:r>
            <w:r w:rsidR="00870C26">
              <w:rPr>
                <w:rStyle w:val="fontstyle01"/>
              </w:rPr>
              <w:t xml:space="preserve">(PD </w:t>
            </w:r>
            <w:r w:rsidRPr="003C54B2" w:rsidR="00870C26">
              <w:rPr>
                <w:rStyle w:val="fontstyle01"/>
              </w:rPr>
              <w:t>resulted in D.25-04-004)</w:t>
            </w:r>
          </w:p>
          <w:p w:rsidRPr="003C54B2" w:rsidR="002E190F" w:rsidP="00330C35" w:rsidRDefault="002E190F" w14:paraId="730A65AE" w14:textId="77777777">
            <w:pPr>
              <w:rPr>
                <w:rStyle w:val="fontstyle01"/>
              </w:rPr>
            </w:pPr>
          </w:p>
          <w:p w:rsidRPr="003C54B2" w:rsidR="002E190F" w:rsidP="00330C35" w:rsidRDefault="002E190F" w14:paraId="76A21103" w14:textId="6AEF2279">
            <w:pPr>
              <w:rPr>
                <w:rStyle w:val="fontstyle01"/>
                <w:u w:val="single"/>
              </w:rPr>
            </w:pPr>
            <w:r w:rsidRPr="003C54B2">
              <w:rPr>
                <w:rStyle w:val="fontstyle01"/>
                <w:u w:val="single"/>
              </w:rPr>
              <w:t>UCAN 13:</w:t>
            </w:r>
          </w:p>
          <w:p w:rsidRPr="003C54B2" w:rsidR="002E190F" w:rsidP="00330C35" w:rsidRDefault="00AD1180" w14:paraId="6D2F438C" w14:textId="06CAD6D6">
            <w:pPr>
              <w:rPr>
                <w:rStyle w:val="fontstyle01"/>
              </w:rPr>
            </w:pPr>
            <w:r w:rsidRPr="003C54B2">
              <w:rPr>
                <w:rStyle w:val="fontstyle01"/>
              </w:rPr>
              <w:t>PD</w:t>
            </w:r>
            <w:r w:rsidRPr="003C54B2" w:rsidR="00870C26">
              <w:rPr>
                <w:rStyle w:val="fontstyle01"/>
              </w:rPr>
              <w:t xml:space="preserve"> Comments</w:t>
            </w:r>
            <w:r w:rsidRPr="003C54B2" w:rsidR="00AE0DD2">
              <w:rPr>
                <w:rStyle w:val="fontstyle01"/>
              </w:rPr>
              <w:t xml:space="preserve"> </w:t>
            </w:r>
            <w:r w:rsidRPr="003C54B2">
              <w:rPr>
                <w:rStyle w:val="fontstyle01"/>
              </w:rPr>
              <w:t>dated 5/29/2025</w:t>
            </w:r>
            <w:r w:rsidRPr="003C54B2" w:rsidR="00AE0DD2">
              <w:rPr>
                <w:rStyle w:val="fontstyle01"/>
              </w:rPr>
              <w:t xml:space="preserve"> (PD resulted in D.25-06-012)</w:t>
            </w:r>
          </w:p>
          <w:p w:rsidRPr="003C54B2" w:rsidR="002E190F" w:rsidP="00330C35" w:rsidRDefault="002E190F" w14:paraId="1ABAFE54" w14:textId="77777777">
            <w:pPr>
              <w:rPr>
                <w:rStyle w:val="fontstyle01"/>
              </w:rPr>
            </w:pPr>
          </w:p>
          <w:p w:rsidRPr="003C54B2" w:rsidR="00AC71A2" w:rsidP="00330C35" w:rsidRDefault="002E190F" w14:paraId="239DE7EF" w14:textId="429586CA">
            <w:pPr>
              <w:rPr>
                <w:rStyle w:val="fontstyle01"/>
                <w:u w:val="single"/>
              </w:rPr>
            </w:pPr>
            <w:r w:rsidRPr="003C54B2">
              <w:rPr>
                <w:rStyle w:val="fontstyle01"/>
                <w:u w:val="single"/>
              </w:rPr>
              <w:t>UCAN 14:</w:t>
            </w:r>
          </w:p>
          <w:p w:rsidRPr="00897932" w:rsidR="002A2CAB" w:rsidP="00847A38" w:rsidRDefault="00AD1180" w14:paraId="1A24EF43" w14:textId="44226E42">
            <w:pPr>
              <w:rPr>
                <w:rFonts w:ascii="TimesNewRomanPSMT" w:hAnsi="TimesNewRomanPSMT"/>
                <w:color w:val="000000"/>
              </w:rPr>
            </w:pPr>
            <w:r w:rsidRPr="003C54B2">
              <w:rPr>
                <w:rStyle w:val="fontstyle01"/>
              </w:rPr>
              <w:t>PD Reply</w:t>
            </w:r>
            <w:r w:rsidRPr="003C54B2" w:rsidR="000128BB">
              <w:rPr>
                <w:rStyle w:val="fontstyle01"/>
              </w:rPr>
              <w:t xml:space="preserve"> Comments</w:t>
            </w:r>
            <w:r w:rsidR="000128BB">
              <w:rPr>
                <w:rStyle w:val="fontstyle01"/>
              </w:rPr>
              <w:t xml:space="preserve"> </w:t>
            </w:r>
            <w:r>
              <w:rPr>
                <w:rStyle w:val="fontstyle01"/>
              </w:rPr>
              <w:t xml:space="preserve">dated </w:t>
            </w:r>
            <w:r w:rsidR="00203737">
              <w:rPr>
                <w:rStyle w:val="fontstyle01"/>
              </w:rPr>
              <w:t>6/3/2025</w:t>
            </w:r>
            <w:r w:rsidR="00855216">
              <w:rPr>
                <w:rStyle w:val="fontstyle01"/>
              </w:rPr>
              <w:t xml:space="preserve"> (PD resulted in </w:t>
            </w:r>
            <w:r w:rsidRPr="00AE0DD2" w:rsidR="00855216">
              <w:rPr>
                <w:rStyle w:val="fontstyle01"/>
              </w:rPr>
              <w:t>D.25-06-012</w:t>
            </w:r>
            <w:r w:rsidR="00855216">
              <w:rPr>
                <w:rStyle w:val="fontstyle01"/>
              </w:rPr>
              <w:t>)</w:t>
            </w:r>
          </w:p>
        </w:tc>
        <w:tc>
          <w:tcPr>
            <w:tcW w:w="3893" w:type="dxa"/>
          </w:tcPr>
          <w:p w:rsidRPr="007F620E" w:rsidR="002A2CAB" w:rsidP="00D1188E" w:rsidRDefault="002A2CAB" w14:paraId="15FB8D39" w14:textId="77777777">
            <w:pPr>
              <w:widowControl w:val="0"/>
              <w:rPr>
                <w:color w:val="000000"/>
              </w:rPr>
            </w:pPr>
          </w:p>
        </w:tc>
        <w:tc>
          <w:tcPr>
            <w:tcW w:w="2340" w:type="dxa"/>
          </w:tcPr>
          <w:p w:rsidRPr="007F620E" w:rsidR="002A2CAB" w:rsidP="00A81283" w:rsidRDefault="00A81283" w14:paraId="6E6579CE" w14:textId="62BF9EC4">
            <w:pPr>
              <w:widowControl w:val="0"/>
              <w:jc w:val="center"/>
              <w:rPr>
                <w:color w:val="000000"/>
              </w:rPr>
            </w:pPr>
            <w:r w:rsidRPr="0026074D">
              <w:rPr>
                <w:color w:val="000000"/>
              </w:rPr>
              <w:t>Noted</w:t>
            </w:r>
          </w:p>
        </w:tc>
      </w:tr>
      <w:tr w:rsidRPr="007F620E" w:rsidR="004664B1" w:rsidTr="00D33661" w14:paraId="4EB0B133" w14:textId="77777777">
        <w:tc>
          <w:tcPr>
            <w:tcW w:w="3505" w:type="dxa"/>
          </w:tcPr>
          <w:p w:rsidRPr="001E0F45" w:rsidR="00AA5F66" w:rsidP="00AA5F66" w:rsidRDefault="00AA5F66" w14:paraId="616952A2" w14:textId="77777777">
            <w:pPr>
              <w:widowControl w:val="0"/>
              <w:rPr>
                <w:b/>
                <w:bCs/>
                <w:color w:val="000000"/>
              </w:rPr>
            </w:pPr>
            <w:r w:rsidRPr="001E0F45">
              <w:rPr>
                <w:b/>
                <w:bCs/>
                <w:u w:val="single"/>
              </w:rPr>
              <w:t>D.24-09-005</w:t>
            </w:r>
            <w:r w:rsidRPr="001E0F45">
              <w:rPr>
                <w:b/>
                <w:bCs/>
              </w:rPr>
              <w:t xml:space="preserve"> </w:t>
            </w:r>
            <w:r w:rsidRPr="001E0F45">
              <w:rPr>
                <w:b/>
                <w:bCs/>
                <w:color w:val="000000"/>
              </w:rPr>
              <w:t>Issues:</w:t>
            </w:r>
          </w:p>
          <w:p w:rsidR="00AA5F66" w:rsidP="00AA5F66" w:rsidRDefault="00AA5F66" w14:paraId="1FD772D0" w14:textId="4783027B">
            <w:pPr>
              <w:widowControl w:val="0"/>
              <w:rPr>
                <w:color w:val="000000"/>
              </w:rPr>
            </w:pPr>
            <w:r w:rsidRPr="001E0F45">
              <w:rPr>
                <w:b/>
                <w:bCs/>
              </w:rPr>
              <w:t>Proportional Allocation</w:t>
            </w:r>
          </w:p>
          <w:p w:rsidR="002A2CAB" w:rsidP="00AA5F66" w:rsidRDefault="00CA67DB" w14:paraId="380E5DBA" w14:textId="11D7D372">
            <w:pPr>
              <w:widowControl w:val="0"/>
              <w:rPr>
                <w:color w:val="000000"/>
              </w:rPr>
            </w:pPr>
            <w:r>
              <w:rPr>
                <w:color w:val="000000"/>
              </w:rPr>
              <w:t xml:space="preserve">UCAN </w:t>
            </w:r>
            <w:r w:rsidR="006D3EC6">
              <w:rPr>
                <w:color w:val="000000"/>
              </w:rPr>
              <w:t xml:space="preserve">opposed the waterfall methodology and supported </w:t>
            </w:r>
            <w:r w:rsidR="008C4687">
              <w:rPr>
                <w:color w:val="000000"/>
              </w:rPr>
              <w:t xml:space="preserve">the proportional allocation methodology for allocating </w:t>
            </w:r>
            <w:r w:rsidR="008C4687">
              <w:rPr>
                <w:color w:val="000000"/>
              </w:rPr>
              <w:lastRenderedPageBreak/>
              <w:t xml:space="preserve">customers’ payments between the IOUs and the CCAs. </w:t>
            </w:r>
          </w:p>
          <w:p w:rsidR="000E6A09" w:rsidP="00D1188E" w:rsidRDefault="000E6A09" w14:paraId="3A330DDB" w14:textId="77777777">
            <w:pPr>
              <w:widowControl w:val="0"/>
              <w:rPr>
                <w:color w:val="000000"/>
              </w:rPr>
            </w:pPr>
          </w:p>
          <w:p w:rsidR="00646A5D" w:rsidP="002E7EA1" w:rsidRDefault="00ED76E1" w14:paraId="5AECE002" w14:textId="77777777">
            <w:r w:rsidRPr="00897932">
              <w:rPr>
                <w:b/>
                <w:bCs/>
              </w:rPr>
              <w:t>UCAN 1, pp. 8-9</w:t>
            </w:r>
            <w:r>
              <w:t>;</w:t>
            </w:r>
          </w:p>
          <w:p w:rsidR="00897932" w:rsidP="00ED76E1" w:rsidRDefault="002E7EA1" w14:paraId="387DB1C8" w14:textId="77777777">
            <w:r w:rsidRPr="002E7EA1">
              <w:rPr>
                <w:rStyle w:val="fontstyle01"/>
                <w:i/>
                <w:iCs/>
              </w:rPr>
              <w:t>see also</w:t>
            </w:r>
            <w:r w:rsidR="00646A5D">
              <w:rPr>
                <w:b/>
                <w:bCs/>
              </w:rPr>
              <w:t xml:space="preserve"> </w:t>
            </w:r>
            <w:r w:rsidRPr="00897932" w:rsidR="00ED76E1">
              <w:rPr>
                <w:b/>
                <w:bCs/>
              </w:rPr>
              <w:t>UCAN 2, pp. 9-10, 12-13, 15-17</w:t>
            </w:r>
            <w:r w:rsidR="008173B4">
              <w:t>;</w:t>
            </w:r>
          </w:p>
          <w:p w:rsidR="00646A5D" w:rsidP="00ED76E1" w:rsidRDefault="008173B4" w14:paraId="1B43AC2B" w14:textId="4E734DD5">
            <w:r w:rsidRPr="002E7EA1">
              <w:rPr>
                <w:rStyle w:val="fontstyle01"/>
                <w:i/>
                <w:iCs/>
              </w:rPr>
              <w:t>see also</w:t>
            </w:r>
            <w:r w:rsidR="00646A5D">
              <w:rPr>
                <w:b/>
                <w:bCs/>
              </w:rPr>
              <w:t xml:space="preserve"> </w:t>
            </w:r>
            <w:r w:rsidRPr="00897932" w:rsidR="00ED76E1">
              <w:rPr>
                <w:b/>
                <w:bCs/>
              </w:rPr>
              <w:t>UCAN 3, pp. 1-4</w:t>
            </w:r>
            <w:r>
              <w:t>;</w:t>
            </w:r>
          </w:p>
          <w:p w:rsidRPr="00897932" w:rsidR="00ED76E1" w:rsidP="00ED76E1" w:rsidRDefault="008173B4" w14:paraId="2BF12810" w14:textId="76A816B1">
            <w:pPr>
              <w:rPr>
                <w:b/>
                <w:bCs/>
              </w:rPr>
            </w:pPr>
            <w:r w:rsidRPr="002E7EA1">
              <w:rPr>
                <w:rStyle w:val="fontstyle01"/>
                <w:i/>
                <w:iCs/>
              </w:rPr>
              <w:t>see also</w:t>
            </w:r>
            <w:r w:rsidR="00646A5D">
              <w:rPr>
                <w:b/>
                <w:bCs/>
              </w:rPr>
              <w:t xml:space="preserve"> </w:t>
            </w:r>
            <w:r w:rsidRPr="00897932" w:rsidR="00ED76E1">
              <w:rPr>
                <w:b/>
                <w:bCs/>
              </w:rPr>
              <w:t>UCAN 4, pp. 1-5</w:t>
            </w:r>
            <w:r w:rsidR="00646A5D">
              <w:rPr>
                <w:b/>
                <w:bCs/>
              </w:rPr>
              <w:t>.</w:t>
            </w:r>
          </w:p>
          <w:p w:rsidRPr="007F620E" w:rsidR="00ED76E1" w:rsidP="00D1188E" w:rsidRDefault="00ED76E1" w14:paraId="716BF026" w14:textId="6C5DF4CD">
            <w:pPr>
              <w:widowControl w:val="0"/>
              <w:rPr>
                <w:color w:val="000000"/>
              </w:rPr>
            </w:pPr>
          </w:p>
        </w:tc>
        <w:tc>
          <w:tcPr>
            <w:tcW w:w="3893" w:type="dxa"/>
          </w:tcPr>
          <w:p w:rsidRPr="00B540FA" w:rsidR="002D54C2" w:rsidP="002D54C2" w:rsidRDefault="002D54C2" w14:paraId="552F3D3E" w14:textId="6C184093">
            <w:pPr>
              <w:rPr>
                <w:rStyle w:val="fontstyle01"/>
              </w:rPr>
            </w:pPr>
            <w:r>
              <w:rPr>
                <w:rStyle w:val="fontstyle01"/>
              </w:rPr>
              <w:lastRenderedPageBreak/>
              <w:t xml:space="preserve">The </w:t>
            </w:r>
            <w:r w:rsidR="008173B4">
              <w:rPr>
                <w:rStyle w:val="fontstyle01"/>
              </w:rPr>
              <w:t>Commission</w:t>
            </w:r>
            <w:r w:rsidR="002A46E3">
              <w:rPr>
                <w:rStyle w:val="fontstyle01"/>
              </w:rPr>
              <w:t>, in alignment with</w:t>
            </w:r>
            <w:r w:rsidR="003565F2">
              <w:rPr>
                <w:rStyle w:val="fontstyle01"/>
              </w:rPr>
              <w:t xml:space="preserve"> </w:t>
            </w:r>
            <w:r w:rsidR="00CA1084">
              <w:rPr>
                <w:rStyle w:val="fontstyle01"/>
              </w:rPr>
              <w:t>UCAN</w:t>
            </w:r>
            <w:r w:rsidR="002A46E3">
              <w:rPr>
                <w:rStyle w:val="fontstyle01"/>
              </w:rPr>
              <w:t>’s recommendations</w:t>
            </w:r>
            <w:r w:rsidR="008173B4">
              <w:rPr>
                <w:rStyle w:val="fontstyle01"/>
              </w:rPr>
              <w:t>,</w:t>
            </w:r>
            <w:r w:rsidR="002A46E3">
              <w:rPr>
                <w:rStyle w:val="fontstyle01"/>
              </w:rPr>
              <w:t xml:space="preserve"> </w:t>
            </w:r>
            <w:r w:rsidR="00CA1084">
              <w:rPr>
                <w:rStyle w:val="fontstyle01"/>
              </w:rPr>
              <w:t>ordered the IOUs to continue</w:t>
            </w:r>
            <w:r w:rsidR="002A46E3">
              <w:rPr>
                <w:rStyle w:val="fontstyle01"/>
              </w:rPr>
              <w:t xml:space="preserve"> proportional allocation of paym</w:t>
            </w:r>
            <w:r w:rsidRPr="00B540FA" w:rsidR="002A46E3">
              <w:rPr>
                <w:rStyle w:val="fontstyle01"/>
              </w:rPr>
              <w:t>ents.</w:t>
            </w:r>
          </w:p>
          <w:p w:rsidRPr="00897932" w:rsidR="00D74113" w:rsidP="002D54C2" w:rsidRDefault="00D74113" w14:paraId="10228A07" w14:textId="5CD2519A">
            <w:pPr>
              <w:rPr>
                <w:rStyle w:val="fontstyle01"/>
                <w:b/>
                <w:bCs/>
              </w:rPr>
            </w:pPr>
            <w:r w:rsidRPr="00B540FA">
              <w:rPr>
                <w:rStyle w:val="fontstyle01"/>
                <w:b/>
                <w:bCs/>
              </w:rPr>
              <w:t>D.24-09-005</w:t>
            </w:r>
            <w:r w:rsidRPr="00B540FA" w:rsidR="000E6A09">
              <w:rPr>
                <w:rStyle w:val="fontstyle01"/>
                <w:b/>
                <w:bCs/>
              </w:rPr>
              <w:t>, OP #1, p. 17.</w:t>
            </w:r>
            <w:r w:rsidRPr="00897932" w:rsidR="000E6A09">
              <w:rPr>
                <w:rStyle w:val="fontstyle01"/>
                <w:b/>
                <w:bCs/>
              </w:rPr>
              <w:t xml:space="preserve"> </w:t>
            </w:r>
          </w:p>
          <w:p w:rsidR="002A46E3" w:rsidP="002D54C2" w:rsidRDefault="002A46E3" w14:paraId="7456D49C" w14:textId="77777777"/>
          <w:p w:rsidR="002D54C2" w:rsidP="007108C7" w:rsidRDefault="002D54C2" w14:paraId="390F84FE" w14:textId="77777777">
            <w:pPr>
              <w:widowControl w:val="0"/>
              <w:rPr>
                <w:color w:val="000000"/>
              </w:rPr>
            </w:pPr>
          </w:p>
          <w:p w:rsidRPr="007F620E" w:rsidR="008D77DB" w:rsidP="007108C7" w:rsidRDefault="008D77DB" w14:paraId="54E8CE4D" w14:textId="41AB42E5">
            <w:pPr>
              <w:widowControl w:val="0"/>
              <w:rPr>
                <w:color w:val="000000"/>
              </w:rPr>
            </w:pPr>
          </w:p>
        </w:tc>
        <w:tc>
          <w:tcPr>
            <w:tcW w:w="2340" w:type="dxa"/>
          </w:tcPr>
          <w:p w:rsidRPr="007F620E" w:rsidR="008D77DB" w:rsidP="00B540FA" w:rsidRDefault="00B540FA" w14:paraId="023F3A6A" w14:textId="07F0142B">
            <w:pPr>
              <w:widowControl w:val="0"/>
              <w:jc w:val="center"/>
              <w:rPr>
                <w:color w:val="000000"/>
              </w:rPr>
            </w:pPr>
            <w:r>
              <w:rPr>
                <w:color w:val="000000"/>
              </w:rPr>
              <w:lastRenderedPageBreak/>
              <w:t>Verified</w:t>
            </w:r>
          </w:p>
        </w:tc>
      </w:tr>
      <w:tr w:rsidRPr="007F620E" w:rsidR="004664B1" w:rsidTr="00D33661" w14:paraId="60DD6FCF" w14:textId="77777777">
        <w:tc>
          <w:tcPr>
            <w:tcW w:w="3505" w:type="dxa"/>
          </w:tcPr>
          <w:p w:rsidR="008D77DB" w:rsidP="00AF587D" w:rsidRDefault="0015518A" w14:paraId="7D9DAF1B" w14:textId="083D286A">
            <w:pPr>
              <w:widowControl w:val="0"/>
              <w:rPr>
                <w:color w:val="000000"/>
              </w:rPr>
            </w:pPr>
            <w:r>
              <w:rPr>
                <w:color w:val="000000"/>
              </w:rPr>
              <w:t>UCAN noted that CCAs cannot return customers to the IOUs without negative consequences</w:t>
            </w:r>
            <w:r w:rsidR="007675D9">
              <w:rPr>
                <w:color w:val="000000"/>
              </w:rPr>
              <w:t xml:space="preserve"> and </w:t>
            </w:r>
            <w:r w:rsidR="00655AF8">
              <w:rPr>
                <w:color w:val="000000"/>
              </w:rPr>
              <w:t>showed</w:t>
            </w:r>
            <w:r w:rsidR="007675D9">
              <w:rPr>
                <w:color w:val="000000"/>
              </w:rPr>
              <w:t xml:space="preserve"> that SDG&amp;E’s claims to the contrary were inaccurate.</w:t>
            </w:r>
            <w:r w:rsidR="00BA0550">
              <w:rPr>
                <w:color w:val="000000"/>
              </w:rPr>
              <w:t xml:space="preserve"> UCAN recommend</w:t>
            </w:r>
            <w:r w:rsidR="00B77A16">
              <w:rPr>
                <w:color w:val="000000"/>
              </w:rPr>
              <w:t>ed</w:t>
            </w:r>
            <w:r w:rsidR="00F20C69">
              <w:rPr>
                <w:color w:val="000000"/>
              </w:rPr>
              <w:t xml:space="preserve"> the continuation of the proportional allocation method. </w:t>
            </w:r>
          </w:p>
          <w:p w:rsidR="004460AD" w:rsidP="00AF587D" w:rsidRDefault="004460AD" w14:paraId="1355CFDC" w14:textId="77777777">
            <w:pPr>
              <w:widowControl w:val="0"/>
              <w:rPr>
                <w:color w:val="000000"/>
              </w:rPr>
            </w:pPr>
          </w:p>
          <w:p w:rsidRPr="00897932" w:rsidR="004460AD" w:rsidP="00AF587D" w:rsidRDefault="004460AD" w14:paraId="2232F406" w14:textId="297B899A">
            <w:pPr>
              <w:widowControl w:val="0"/>
              <w:rPr>
                <w:b/>
                <w:bCs/>
                <w:color w:val="000000"/>
              </w:rPr>
            </w:pPr>
            <w:r w:rsidRPr="00897932">
              <w:rPr>
                <w:b/>
                <w:bCs/>
              </w:rPr>
              <w:t>UCAN 2, pp. 12-13</w:t>
            </w:r>
            <w:r w:rsidRPr="00897932" w:rsidR="00646A5D">
              <w:rPr>
                <w:b/>
                <w:bCs/>
              </w:rPr>
              <w:t>.</w:t>
            </w:r>
          </w:p>
        </w:tc>
        <w:tc>
          <w:tcPr>
            <w:tcW w:w="3893" w:type="dxa"/>
          </w:tcPr>
          <w:p w:rsidR="00EC725A" w:rsidP="00AF587D" w:rsidRDefault="007675D9" w14:paraId="1C88BC4E" w14:textId="3FEA9DD9">
            <w:pPr>
              <w:widowControl w:val="0"/>
              <w:rPr>
                <w:color w:val="000000"/>
              </w:rPr>
            </w:pPr>
            <w:r>
              <w:rPr>
                <w:color w:val="000000"/>
              </w:rPr>
              <w:t xml:space="preserve">The Commission agreed with </w:t>
            </w:r>
            <w:r w:rsidR="008A577E">
              <w:rPr>
                <w:color w:val="000000"/>
              </w:rPr>
              <w:t>UCAN</w:t>
            </w:r>
            <w:r w:rsidR="00B77A16">
              <w:rPr>
                <w:color w:val="000000"/>
              </w:rPr>
              <w:t>’s position:</w:t>
            </w:r>
            <w:r w:rsidR="00593705">
              <w:rPr>
                <w:color w:val="000000"/>
              </w:rPr>
              <w:t xml:space="preserve"> </w:t>
            </w:r>
          </w:p>
          <w:p w:rsidR="007675D9" w:rsidP="00AF587D" w:rsidRDefault="007675D9" w14:paraId="1291DE60" w14:textId="77777777">
            <w:pPr>
              <w:widowControl w:val="0"/>
              <w:rPr>
                <w:color w:val="000000"/>
              </w:rPr>
            </w:pPr>
          </w:p>
          <w:p w:rsidRPr="00D44E4C" w:rsidR="00D44E4C" w:rsidP="00D44E4C" w:rsidRDefault="00EB7701" w14:paraId="58778EB3" w14:textId="05E4C990">
            <w:pPr>
              <w:widowControl w:val="0"/>
              <w:rPr>
                <w:color w:val="000000"/>
              </w:rPr>
            </w:pPr>
            <w:r>
              <w:rPr>
                <w:color w:val="000000"/>
              </w:rPr>
              <w:t>“</w:t>
            </w:r>
            <w:r w:rsidRPr="00EB7701">
              <w:rPr>
                <w:color w:val="000000"/>
              </w:rPr>
              <w:t>While CCAs can return customers</w:t>
            </w:r>
            <w:r w:rsidRPr="00EB7701">
              <w:rPr>
                <w:color w:val="000000"/>
              </w:rPr>
              <w:br/>
              <w:t>to bundled service at any time, this capability is not a panacea</w:t>
            </w:r>
            <w:r w:rsidR="00EC725A">
              <w:rPr>
                <w:color w:val="000000"/>
              </w:rPr>
              <w:t xml:space="preserve">… </w:t>
            </w:r>
            <w:r w:rsidRPr="00EC725A" w:rsidR="00EC725A">
              <w:rPr>
                <w:color w:val="000000"/>
              </w:rPr>
              <w:t>if the</w:t>
            </w:r>
            <w:r w:rsidRPr="00EC725A" w:rsidR="00EC725A">
              <w:rPr>
                <w:color w:val="000000"/>
              </w:rPr>
              <w:br/>
              <w:t>practice were to be implemented broadly, would result in customers losing</w:t>
            </w:r>
            <w:r w:rsidR="00EC725A">
              <w:rPr>
                <w:color w:val="000000"/>
              </w:rPr>
              <w:t xml:space="preserve"> </w:t>
            </w:r>
            <w:r w:rsidRPr="00EC725A" w:rsidR="00EC725A">
              <w:rPr>
                <w:color w:val="000000"/>
              </w:rPr>
              <w:t>access to CCA service once they are in arrears</w:t>
            </w:r>
            <w:r w:rsidR="00D44E4C">
              <w:rPr>
                <w:color w:val="000000"/>
              </w:rPr>
              <w:t xml:space="preserve">… </w:t>
            </w:r>
            <w:r w:rsidRPr="00D44E4C" w:rsidR="00D44E4C">
              <w:rPr>
                <w:color w:val="000000"/>
              </w:rPr>
              <w:t>The Commission finds that its conclusions from D.21-11-014 still hold and</w:t>
            </w:r>
            <w:r w:rsidR="00D44E4C">
              <w:rPr>
                <w:color w:val="000000"/>
              </w:rPr>
              <w:t xml:space="preserve"> </w:t>
            </w:r>
            <w:r w:rsidRPr="00D44E4C" w:rsidR="00D44E4C">
              <w:rPr>
                <w:color w:val="000000"/>
              </w:rPr>
              <w:t>determine that the waterfall method inappropriately shifts financial risk to the</w:t>
            </w:r>
            <w:r w:rsidR="00D44E4C">
              <w:rPr>
                <w:color w:val="000000"/>
              </w:rPr>
              <w:t xml:space="preserve"> </w:t>
            </w:r>
            <w:r w:rsidRPr="00D44E4C" w:rsidR="00D44E4C">
              <w:rPr>
                <w:color w:val="000000"/>
              </w:rPr>
              <w:t>CCAs, and the proportional allocation method contributes to the financial</w:t>
            </w:r>
          </w:p>
          <w:p w:rsidR="00C97995" w:rsidP="00D44E4C" w:rsidRDefault="00D44E4C" w14:paraId="73F38F2E" w14:textId="4C0CDC51">
            <w:pPr>
              <w:widowControl w:val="0"/>
              <w:rPr>
                <w:color w:val="000000"/>
              </w:rPr>
            </w:pPr>
            <w:r w:rsidRPr="00D44E4C">
              <w:rPr>
                <w:color w:val="000000"/>
              </w:rPr>
              <w:t>stability of the CCAs. Customers as a whole benefit from more financially stable</w:t>
            </w:r>
            <w:r>
              <w:rPr>
                <w:color w:val="000000"/>
              </w:rPr>
              <w:t xml:space="preserve"> </w:t>
            </w:r>
            <w:r w:rsidRPr="00D44E4C">
              <w:rPr>
                <w:color w:val="000000"/>
              </w:rPr>
              <w:t>CCAs.</w:t>
            </w:r>
            <w:r w:rsidR="00EB7701">
              <w:rPr>
                <w:color w:val="000000"/>
              </w:rPr>
              <w:t>”</w:t>
            </w:r>
            <w:r w:rsidR="00C97995">
              <w:rPr>
                <w:color w:val="000000"/>
              </w:rPr>
              <w:t xml:space="preserve"> </w:t>
            </w:r>
          </w:p>
          <w:p w:rsidRPr="00897932" w:rsidR="008D77DB" w:rsidP="00AF587D" w:rsidRDefault="00C97995" w14:paraId="17C83F02" w14:textId="72040C93">
            <w:pPr>
              <w:widowControl w:val="0"/>
              <w:rPr>
                <w:b/>
                <w:bCs/>
                <w:color w:val="000000"/>
              </w:rPr>
            </w:pPr>
            <w:r w:rsidRPr="00821C09">
              <w:rPr>
                <w:rStyle w:val="fontstyle01"/>
                <w:b/>
                <w:bCs/>
              </w:rPr>
              <w:t>D.24-09-005</w:t>
            </w:r>
            <w:r w:rsidRPr="00821C09" w:rsidR="0057252D">
              <w:rPr>
                <w:rStyle w:val="fontstyle01"/>
                <w:b/>
                <w:bCs/>
              </w:rPr>
              <w:t>,</w:t>
            </w:r>
            <w:r w:rsidRPr="00821C09">
              <w:rPr>
                <w:rStyle w:val="fontstyle01"/>
                <w:b/>
                <w:bCs/>
              </w:rPr>
              <w:t xml:space="preserve"> p. 5</w:t>
            </w:r>
            <w:r w:rsidRPr="00821C09" w:rsidR="00646A5D">
              <w:rPr>
                <w:rStyle w:val="fontstyle01"/>
                <w:b/>
                <w:bCs/>
              </w:rPr>
              <w:t>.</w:t>
            </w:r>
          </w:p>
        </w:tc>
        <w:tc>
          <w:tcPr>
            <w:tcW w:w="2340" w:type="dxa"/>
          </w:tcPr>
          <w:p w:rsidRPr="007F620E" w:rsidR="008D77DB" w:rsidP="00821C09" w:rsidRDefault="00821C09" w14:paraId="7825E55F" w14:textId="0A7A3E1E">
            <w:pPr>
              <w:widowControl w:val="0"/>
              <w:jc w:val="center"/>
              <w:rPr>
                <w:color w:val="000000"/>
              </w:rPr>
            </w:pPr>
            <w:r>
              <w:rPr>
                <w:color w:val="000000"/>
              </w:rPr>
              <w:t>Verified</w:t>
            </w:r>
          </w:p>
        </w:tc>
      </w:tr>
      <w:tr w:rsidRPr="007F620E" w:rsidR="004664B1" w:rsidTr="00D33661" w14:paraId="438360A3" w14:textId="77777777">
        <w:tc>
          <w:tcPr>
            <w:tcW w:w="3505" w:type="dxa"/>
          </w:tcPr>
          <w:p w:rsidRPr="00821C09" w:rsidR="008D77DB" w:rsidP="00AF587D" w:rsidRDefault="00726255" w14:paraId="7B901806" w14:textId="035A91D2">
            <w:pPr>
              <w:widowControl w:val="0"/>
              <w:rPr>
                <w:color w:val="000000"/>
              </w:rPr>
            </w:pPr>
            <w:r w:rsidRPr="00821C09">
              <w:rPr>
                <w:color w:val="000000"/>
              </w:rPr>
              <w:t xml:space="preserve">UCAN consistently </w:t>
            </w:r>
            <w:r w:rsidRPr="00821C09" w:rsidR="002810D2">
              <w:rPr>
                <w:color w:val="000000"/>
              </w:rPr>
              <w:t>argue</w:t>
            </w:r>
            <w:r w:rsidRPr="00821C09" w:rsidR="00593F84">
              <w:rPr>
                <w:color w:val="000000"/>
              </w:rPr>
              <w:t>s</w:t>
            </w:r>
            <w:r w:rsidRPr="00821C09" w:rsidR="002810D2">
              <w:rPr>
                <w:color w:val="000000"/>
              </w:rPr>
              <w:t xml:space="preserve"> that the proportional allocation methodology </w:t>
            </w:r>
            <w:r w:rsidRPr="00821C09" w:rsidR="00593F84">
              <w:rPr>
                <w:color w:val="000000"/>
              </w:rPr>
              <w:t>i</w:t>
            </w:r>
            <w:r w:rsidRPr="00821C09" w:rsidR="002810D2">
              <w:rPr>
                <w:color w:val="000000"/>
              </w:rPr>
              <w:t>s superior for numerous reasons</w:t>
            </w:r>
            <w:r w:rsidRPr="00821C09" w:rsidR="00646A5D">
              <w:rPr>
                <w:color w:val="000000"/>
              </w:rPr>
              <w:t>;</w:t>
            </w:r>
            <w:r w:rsidRPr="00821C09" w:rsidR="00646A5D">
              <w:t xml:space="preserve"> f</w:t>
            </w:r>
            <w:r w:rsidRPr="00821C09" w:rsidR="008F6304">
              <w:rPr>
                <w:color w:val="000000"/>
              </w:rPr>
              <w:t>or example,</w:t>
            </w:r>
            <w:r w:rsidRPr="00821C09" w:rsidR="002810D2">
              <w:rPr>
                <w:color w:val="000000"/>
              </w:rPr>
              <w:t xml:space="preserve"> </w:t>
            </w:r>
            <w:r w:rsidRPr="00821C09" w:rsidR="000128BB">
              <w:rPr>
                <w:color w:val="000000"/>
              </w:rPr>
              <w:t xml:space="preserve">proportional allocation is </w:t>
            </w:r>
            <w:r w:rsidRPr="00821C09" w:rsidR="002810D2">
              <w:rPr>
                <w:color w:val="000000"/>
              </w:rPr>
              <w:t>more equitable</w:t>
            </w:r>
            <w:r w:rsidRPr="00821C09" w:rsidR="000128BB">
              <w:rPr>
                <w:color w:val="000000"/>
              </w:rPr>
              <w:t xml:space="preserve"> to both CCAs and their customers</w:t>
            </w:r>
            <w:r w:rsidRPr="00821C09" w:rsidR="002810D2">
              <w:rPr>
                <w:color w:val="000000"/>
              </w:rPr>
              <w:t>.</w:t>
            </w:r>
          </w:p>
          <w:p w:rsidRPr="00821C09" w:rsidR="008C638C" w:rsidP="00AF587D" w:rsidRDefault="008C638C" w14:paraId="4E4DEEE8" w14:textId="77777777">
            <w:pPr>
              <w:widowControl w:val="0"/>
              <w:rPr>
                <w:color w:val="000000"/>
              </w:rPr>
            </w:pPr>
          </w:p>
          <w:p w:rsidRPr="00821C09" w:rsidR="00646A5D" w:rsidP="00AF587D" w:rsidRDefault="00BC090C" w14:paraId="017C5B7A" w14:textId="77777777">
            <w:pPr>
              <w:widowControl w:val="0"/>
            </w:pPr>
            <w:r w:rsidRPr="00821C09">
              <w:rPr>
                <w:b/>
                <w:bCs/>
                <w:color w:val="000000"/>
              </w:rPr>
              <w:t>UCAN 2, p. 10</w:t>
            </w:r>
            <w:r w:rsidRPr="00821C09" w:rsidR="00E357D6">
              <w:t>;</w:t>
            </w:r>
          </w:p>
          <w:p w:rsidRPr="00821C09" w:rsidR="00646A5D" w:rsidP="00613028" w:rsidRDefault="00E357D6" w14:paraId="57A6CA61" w14:textId="35FA51CD">
            <w:pPr>
              <w:widowControl w:val="0"/>
            </w:pPr>
            <w:r w:rsidRPr="00821C09">
              <w:rPr>
                <w:rStyle w:val="fontstyle01"/>
                <w:i/>
                <w:iCs/>
              </w:rPr>
              <w:t>see also</w:t>
            </w:r>
            <w:r w:rsidRPr="00821C09" w:rsidR="00646A5D">
              <w:t xml:space="preserve"> </w:t>
            </w:r>
            <w:r w:rsidRPr="00821C09" w:rsidR="00613028">
              <w:rPr>
                <w:b/>
                <w:bCs/>
                <w:color w:val="000000"/>
              </w:rPr>
              <w:t>UCAN 3, pp. 2-4</w:t>
            </w:r>
            <w:r w:rsidRPr="00821C09">
              <w:t>;</w:t>
            </w:r>
          </w:p>
          <w:p w:rsidRPr="00821C09" w:rsidR="001823E9" w:rsidP="001823E9" w:rsidRDefault="00E357D6" w14:paraId="13FB2202" w14:textId="0C7CF971">
            <w:pPr>
              <w:widowControl w:val="0"/>
              <w:rPr>
                <w:color w:val="000000"/>
              </w:rPr>
            </w:pPr>
            <w:r w:rsidRPr="00821C09">
              <w:rPr>
                <w:rStyle w:val="fontstyle01"/>
                <w:i/>
                <w:iCs/>
              </w:rPr>
              <w:t>see also</w:t>
            </w:r>
            <w:r w:rsidRPr="00821C09" w:rsidR="00646A5D">
              <w:t xml:space="preserve"> </w:t>
            </w:r>
            <w:r w:rsidRPr="00821C09" w:rsidR="00A85B92">
              <w:rPr>
                <w:b/>
                <w:bCs/>
                <w:color w:val="000000"/>
              </w:rPr>
              <w:t>UCAN 4, p. 2</w:t>
            </w:r>
            <w:r w:rsidRPr="00821C09" w:rsidR="00646A5D">
              <w:rPr>
                <w:color w:val="000000"/>
              </w:rPr>
              <w:t>.</w:t>
            </w:r>
          </w:p>
          <w:p w:rsidRPr="00821C09" w:rsidR="002810D2" w:rsidP="00AF587D" w:rsidRDefault="002810D2" w14:paraId="4D2CA717" w14:textId="77777777">
            <w:pPr>
              <w:widowControl w:val="0"/>
              <w:rPr>
                <w:color w:val="000000"/>
              </w:rPr>
            </w:pPr>
          </w:p>
          <w:p w:rsidRPr="00821C09" w:rsidR="002810D2" w:rsidP="00AF587D" w:rsidRDefault="002810D2" w14:paraId="2A17539C" w14:textId="098CED7D">
            <w:pPr>
              <w:widowControl w:val="0"/>
              <w:rPr>
                <w:color w:val="000000"/>
              </w:rPr>
            </w:pPr>
          </w:p>
        </w:tc>
        <w:tc>
          <w:tcPr>
            <w:tcW w:w="3893" w:type="dxa"/>
          </w:tcPr>
          <w:p w:rsidRPr="00821C09" w:rsidR="008D77DB" w:rsidP="00AF587D" w:rsidRDefault="003D1605" w14:paraId="68AD0F7B" w14:textId="4F81EF7D">
            <w:pPr>
              <w:widowControl w:val="0"/>
              <w:rPr>
                <w:color w:val="000000"/>
              </w:rPr>
            </w:pPr>
            <w:r w:rsidRPr="00821C09">
              <w:rPr>
                <w:color w:val="000000"/>
              </w:rPr>
              <w:t>The Commission agree</w:t>
            </w:r>
            <w:r w:rsidRPr="00821C09" w:rsidR="0030295A">
              <w:rPr>
                <w:color w:val="000000"/>
              </w:rPr>
              <w:t>d</w:t>
            </w:r>
            <w:r w:rsidRPr="00821C09">
              <w:rPr>
                <w:color w:val="000000"/>
              </w:rPr>
              <w:t xml:space="preserve"> with UCAN</w:t>
            </w:r>
            <w:r w:rsidRPr="00821C09" w:rsidR="00726255">
              <w:rPr>
                <w:color w:val="000000"/>
              </w:rPr>
              <w:t xml:space="preserve">: </w:t>
            </w:r>
          </w:p>
          <w:p w:rsidRPr="00821C09" w:rsidR="00726255" w:rsidP="00AF587D" w:rsidRDefault="00726255" w14:paraId="1594592B" w14:textId="77777777">
            <w:pPr>
              <w:widowControl w:val="0"/>
              <w:rPr>
                <w:color w:val="000000"/>
              </w:rPr>
            </w:pPr>
          </w:p>
          <w:p w:rsidRPr="00821C09" w:rsidR="000024DD" w:rsidP="00AF587D" w:rsidRDefault="00957E62" w14:paraId="4007CB01" w14:textId="215BBB40">
            <w:pPr>
              <w:widowControl w:val="0"/>
              <w:rPr>
                <w:color w:val="000000"/>
              </w:rPr>
            </w:pPr>
            <w:r w:rsidRPr="00821C09">
              <w:rPr>
                <w:color w:val="000000"/>
              </w:rPr>
              <w:t>“</w:t>
            </w:r>
            <w:r w:rsidRPr="00821C09" w:rsidR="00EE39A3">
              <w:rPr>
                <w:color w:val="000000"/>
              </w:rPr>
              <w:t>UCAN argues that the</w:t>
            </w:r>
            <w:r w:rsidRPr="00821C09">
              <w:rPr>
                <w:color w:val="000000"/>
              </w:rPr>
              <w:t xml:space="preserve"> proportional allocation method should be permanently adopted to ensure equity</w:t>
            </w:r>
            <w:r w:rsidRPr="00821C09">
              <w:rPr>
                <w:color w:val="000000"/>
              </w:rPr>
              <w:br/>
              <w:t>between bundled and unbundled customers”</w:t>
            </w:r>
          </w:p>
          <w:p w:rsidRPr="00821C09" w:rsidR="003D1605" w:rsidP="003D1605" w:rsidRDefault="003D1605" w14:paraId="7265DFFE" w14:textId="71E9B108">
            <w:pPr>
              <w:widowControl w:val="0"/>
              <w:rPr>
                <w:rStyle w:val="fontstyle01"/>
                <w:b/>
                <w:bCs/>
              </w:rPr>
            </w:pPr>
            <w:r w:rsidRPr="00821C09">
              <w:rPr>
                <w:rStyle w:val="fontstyle01"/>
                <w:b/>
                <w:bCs/>
              </w:rPr>
              <w:t>D.24-09-005, p</w:t>
            </w:r>
            <w:r w:rsidRPr="00821C09" w:rsidR="00897932">
              <w:rPr>
                <w:rStyle w:val="fontstyle01"/>
                <w:b/>
                <w:bCs/>
              </w:rPr>
              <w:t>p</w:t>
            </w:r>
            <w:r w:rsidRPr="00821C09">
              <w:rPr>
                <w:rStyle w:val="fontstyle01"/>
                <w:b/>
                <w:bCs/>
              </w:rPr>
              <w:t>. 5-6</w:t>
            </w:r>
            <w:r w:rsidRPr="00821C09" w:rsidR="00646A5D">
              <w:rPr>
                <w:rStyle w:val="fontstyle01"/>
                <w:b/>
                <w:bCs/>
              </w:rPr>
              <w:t>.</w:t>
            </w:r>
          </w:p>
          <w:p w:rsidRPr="00821C09" w:rsidR="00EE39A3" w:rsidP="00AF587D" w:rsidRDefault="00EE39A3" w14:paraId="0C0D26D3" w14:textId="77777777">
            <w:pPr>
              <w:widowControl w:val="0"/>
              <w:rPr>
                <w:color w:val="000000"/>
              </w:rPr>
            </w:pPr>
          </w:p>
          <w:p w:rsidRPr="00821C09" w:rsidR="000024DD" w:rsidP="0057252D" w:rsidRDefault="0057252D" w14:paraId="3EF77DB1" w14:textId="5FB2275E">
            <w:pPr>
              <w:widowControl w:val="0"/>
              <w:rPr>
                <w:color w:val="000000"/>
              </w:rPr>
            </w:pPr>
            <w:r w:rsidRPr="00821C09">
              <w:rPr>
                <w:color w:val="000000"/>
              </w:rPr>
              <w:t>“We agree and find that the proportional allocation method results in more</w:t>
            </w:r>
            <w:r w:rsidRPr="00821C09" w:rsidR="001456B9">
              <w:rPr>
                <w:color w:val="000000"/>
              </w:rPr>
              <w:t xml:space="preserve"> </w:t>
            </w:r>
            <w:r w:rsidRPr="00821C09">
              <w:rPr>
                <w:color w:val="000000"/>
              </w:rPr>
              <w:t>equitable treatment of bundled and unbundled customers. Arguments that the</w:t>
            </w:r>
            <w:r w:rsidRPr="00821C09" w:rsidR="00290E21">
              <w:rPr>
                <w:color w:val="000000"/>
              </w:rPr>
              <w:t xml:space="preserve"> </w:t>
            </w:r>
            <w:r w:rsidRPr="00821C09">
              <w:rPr>
                <w:color w:val="000000"/>
              </w:rPr>
              <w:t>waterfall allocation methodology is more equitable because it prioritizes paying</w:t>
            </w:r>
            <w:r w:rsidRPr="00821C09" w:rsidR="00290E21">
              <w:rPr>
                <w:color w:val="000000"/>
              </w:rPr>
              <w:t xml:space="preserve"> </w:t>
            </w:r>
            <w:r w:rsidRPr="00821C09">
              <w:rPr>
                <w:color w:val="000000"/>
              </w:rPr>
              <w:lastRenderedPageBreak/>
              <w:t xml:space="preserve">down the charges that could lead to disconnection are flawed.” </w:t>
            </w:r>
          </w:p>
          <w:p w:rsidRPr="00821C09" w:rsidR="00157414" w:rsidP="0057252D" w:rsidRDefault="0057252D" w14:paraId="5BEF415E" w14:textId="491A117C">
            <w:pPr>
              <w:widowControl w:val="0"/>
              <w:rPr>
                <w:rFonts w:ascii="TimesNewRomanPSMT" w:hAnsi="TimesNewRomanPSMT"/>
                <w:b/>
                <w:bCs/>
                <w:color w:val="000000"/>
              </w:rPr>
            </w:pPr>
            <w:r w:rsidRPr="00821C09">
              <w:rPr>
                <w:rStyle w:val="fontstyle01"/>
                <w:b/>
                <w:bCs/>
              </w:rPr>
              <w:t>D.24-09-005, p. 6</w:t>
            </w:r>
            <w:r w:rsidRPr="00821C09" w:rsidR="00646A5D">
              <w:rPr>
                <w:rStyle w:val="fontstyle01"/>
                <w:b/>
                <w:bCs/>
              </w:rPr>
              <w:t>.</w:t>
            </w:r>
          </w:p>
        </w:tc>
        <w:tc>
          <w:tcPr>
            <w:tcW w:w="2340" w:type="dxa"/>
          </w:tcPr>
          <w:p w:rsidR="008D77DB" w:rsidP="00821C09" w:rsidRDefault="00821C09" w14:paraId="28161D93" w14:textId="063E229F">
            <w:pPr>
              <w:widowControl w:val="0"/>
              <w:jc w:val="center"/>
              <w:rPr>
                <w:color w:val="000000"/>
              </w:rPr>
            </w:pPr>
            <w:r>
              <w:rPr>
                <w:color w:val="000000"/>
              </w:rPr>
              <w:lastRenderedPageBreak/>
              <w:t>Verified</w:t>
            </w:r>
          </w:p>
          <w:p w:rsidRPr="00821C09" w:rsidR="00821C09" w:rsidP="00821C09" w:rsidRDefault="00821C09" w14:paraId="04AB87BF" w14:textId="0EADCAA9">
            <w:pPr>
              <w:ind w:firstLine="720"/>
            </w:pPr>
          </w:p>
        </w:tc>
      </w:tr>
      <w:tr w:rsidRPr="007F620E" w:rsidR="004664B1" w:rsidTr="00D33661" w14:paraId="70B6FBC6" w14:textId="77777777">
        <w:tc>
          <w:tcPr>
            <w:tcW w:w="3505" w:type="dxa"/>
          </w:tcPr>
          <w:p w:rsidRPr="00821C09" w:rsidR="008D77DB" w:rsidP="00897932" w:rsidRDefault="000D73B7" w14:paraId="0A0FC744" w14:textId="47F78306">
            <w:pPr>
              <w:widowControl w:val="0"/>
              <w:rPr>
                <w:color w:val="000000"/>
              </w:rPr>
            </w:pPr>
            <w:r w:rsidRPr="00821C09">
              <w:rPr>
                <w:color w:val="000000"/>
              </w:rPr>
              <w:t xml:space="preserve">UCAN listed </w:t>
            </w:r>
            <w:r w:rsidRPr="00821C09" w:rsidR="00936524">
              <w:rPr>
                <w:color w:val="000000"/>
              </w:rPr>
              <w:t>several</w:t>
            </w:r>
            <w:r w:rsidRPr="00821C09">
              <w:rPr>
                <w:color w:val="000000"/>
              </w:rPr>
              <w:t xml:space="preserve"> </w:t>
            </w:r>
            <w:r w:rsidRPr="00821C09" w:rsidR="00935CAA">
              <w:rPr>
                <w:color w:val="000000"/>
              </w:rPr>
              <w:t>flaws in</w:t>
            </w:r>
            <w:r w:rsidRPr="00821C09" w:rsidR="0044471C">
              <w:rPr>
                <w:color w:val="000000"/>
              </w:rPr>
              <w:t xml:space="preserve"> other parties’</w:t>
            </w:r>
            <w:r w:rsidRPr="00821C09" w:rsidR="00935CAA">
              <w:rPr>
                <w:color w:val="000000"/>
              </w:rPr>
              <w:t xml:space="preserve"> claim</w:t>
            </w:r>
            <w:r w:rsidRPr="00821C09" w:rsidR="00DB07EE">
              <w:rPr>
                <w:color w:val="000000"/>
              </w:rPr>
              <w:t>s that assert</w:t>
            </w:r>
            <w:r w:rsidRPr="00821C09" w:rsidR="0044471C">
              <w:rPr>
                <w:color w:val="000000"/>
              </w:rPr>
              <w:t>ed</w:t>
            </w:r>
            <w:r w:rsidRPr="00821C09" w:rsidR="00DB07EE">
              <w:rPr>
                <w:color w:val="000000"/>
              </w:rPr>
              <w:t xml:space="preserve"> </w:t>
            </w:r>
            <w:r w:rsidRPr="00821C09" w:rsidR="00936524">
              <w:rPr>
                <w:color w:val="000000"/>
              </w:rPr>
              <w:t>the waterfall methodology leads to fewer disconnections</w:t>
            </w:r>
            <w:r w:rsidRPr="00821C09" w:rsidR="00DD7A55">
              <w:rPr>
                <w:color w:val="000000"/>
              </w:rPr>
              <w:t>. UCAN states that the data presented does not establish causation</w:t>
            </w:r>
            <w:r w:rsidRPr="00821C09" w:rsidR="00F30768">
              <w:rPr>
                <w:color w:val="000000"/>
              </w:rPr>
              <w:t xml:space="preserve"> claimed by other parties</w:t>
            </w:r>
            <w:r w:rsidRPr="00821C09" w:rsidR="00DD7A55">
              <w:rPr>
                <w:color w:val="000000"/>
              </w:rPr>
              <w:t xml:space="preserve">. </w:t>
            </w:r>
          </w:p>
          <w:p w:rsidRPr="00821C09" w:rsidR="00DD7A55" w:rsidP="00AF587D" w:rsidRDefault="00DD7A55" w14:paraId="6022CB82" w14:textId="77777777">
            <w:pPr>
              <w:widowControl w:val="0"/>
              <w:ind w:left="90"/>
              <w:rPr>
                <w:color w:val="000000"/>
              </w:rPr>
            </w:pPr>
          </w:p>
          <w:p w:rsidRPr="00821C09" w:rsidR="00DD7A55" w:rsidP="00897932" w:rsidRDefault="00650881" w14:paraId="221F142D" w14:textId="2936C78C">
            <w:pPr>
              <w:widowControl w:val="0"/>
              <w:rPr>
                <w:b/>
                <w:bCs/>
                <w:color w:val="000000"/>
              </w:rPr>
            </w:pPr>
            <w:r w:rsidRPr="00821C09">
              <w:rPr>
                <w:b/>
                <w:bCs/>
                <w:color w:val="000000"/>
              </w:rPr>
              <w:t>UCAN 2, pp. 15-17</w:t>
            </w:r>
            <w:r w:rsidRPr="00821C09" w:rsidR="00646A5D">
              <w:rPr>
                <w:b/>
                <w:bCs/>
                <w:color w:val="000000"/>
              </w:rPr>
              <w:t>.</w:t>
            </w:r>
          </w:p>
        </w:tc>
        <w:tc>
          <w:tcPr>
            <w:tcW w:w="3893" w:type="dxa"/>
          </w:tcPr>
          <w:p w:rsidRPr="00821C09" w:rsidR="00DD549C" w:rsidP="00C57C26" w:rsidRDefault="00DD549C" w14:paraId="34B63D30" w14:textId="78A93A1E">
            <w:pPr>
              <w:widowControl w:val="0"/>
              <w:rPr>
                <w:color w:val="000000"/>
              </w:rPr>
            </w:pPr>
            <w:r w:rsidRPr="00821C09">
              <w:rPr>
                <w:color w:val="000000"/>
              </w:rPr>
              <w:t>The Commission</w:t>
            </w:r>
            <w:r w:rsidRPr="00821C09" w:rsidR="007C72E4">
              <w:rPr>
                <w:color w:val="000000"/>
              </w:rPr>
              <w:t>’s decision aligns with</w:t>
            </w:r>
            <w:r w:rsidRPr="00821C09" w:rsidR="002739F4">
              <w:rPr>
                <w:color w:val="000000"/>
              </w:rPr>
              <w:t xml:space="preserve"> UCAN</w:t>
            </w:r>
            <w:r w:rsidRPr="00821C09" w:rsidR="002B3390">
              <w:rPr>
                <w:color w:val="000000"/>
              </w:rPr>
              <w:t xml:space="preserve">’s </w:t>
            </w:r>
            <w:r w:rsidRPr="00821C09" w:rsidR="00B0278B">
              <w:rPr>
                <w:color w:val="000000"/>
              </w:rPr>
              <w:t>position</w:t>
            </w:r>
            <w:r w:rsidRPr="00821C09" w:rsidR="00C21AC9">
              <w:rPr>
                <w:color w:val="000000"/>
              </w:rPr>
              <w:t>:</w:t>
            </w:r>
          </w:p>
          <w:p w:rsidRPr="00821C09" w:rsidR="00DD549C" w:rsidP="00C57C26" w:rsidRDefault="00DD549C" w14:paraId="5A4EAE6A" w14:textId="77777777">
            <w:pPr>
              <w:widowControl w:val="0"/>
              <w:rPr>
                <w:color w:val="000000"/>
              </w:rPr>
            </w:pPr>
          </w:p>
          <w:p w:rsidRPr="00821C09" w:rsidR="008D77DB" w:rsidP="00C57C26" w:rsidRDefault="000D7128" w14:paraId="4D3192E7" w14:textId="76790B61">
            <w:pPr>
              <w:widowControl w:val="0"/>
              <w:rPr>
                <w:color w:val="000000"/>
              </w:rPr>
            </w:pPr>
            <w:r w:rsidRPr="00821C09">
              <w:rPr>
                <w:color w:val="000000"/>
              </w:rPr>
              <w:t xml:space="preserve">“The Commission agrees with </w:t>
            </w:r>
            <w:proofErr w:type="spellStart"/>
            <w:r w:rsidRPr="00821C09">
              <w:rPr>
                <w:color w:val="000000"/>
              </w:rPr>
              <w:t>CalCCA</w:t>
            </w:r>
            <w:proofErr w:type="spellEnd"/>
            <w:r w:rsidRPr="00821C09">
              <w:rPr>
                <w:color w:val="000000"/>
              </w:rPr>
              <w:t xml:space="preserve"> that any estimate of the waterfall</w:t>
            </w:r>
            <w:r w:rsidRPr="00821C09" w:rsidR="00F30768">
              <w:rPr>
                <w:color w:val="000000"/>
              </w:rPr>
              <w:t xml:space="preserve"> </w:t>
            </w:r>
            <w:r w:rsidRPr="00821C09">
              <w:rPr>
                <w:color w:val="000000"/>
              </w:rPr>
              <w:t>method’s impact on disconnections would be speculative and that there are no detailed estimates in the record.”</w:t>
            </w:r>
          </w:p>
          <w:p w:rsidRPr="00821C09" w:rsidR="001E1E16" w:rsidP="00897932" w:rsidRDefault="00AE76BB" w14:paraId="1D55B65A" w14:textId="317A1641">
            <w:pPr>
              <w:widowControl w:val="0"/>
              <w:rPr>
                <w:color w:val="000000"/>
              </w:rPr>
            </w:pPr>
            <w:r w:rsidRPr="00821C09">
              <w:rPr>
                <w:rStyle w:val="fontstyle01"/>
                <w:b/>
                <w:bCs/>
              </w:rPr>
              <w:t xml:space="preserve">D.24-09-005, p. </w:t>
            </w:r>
            <w:r w:rsidRPr="00821C09" w:rsidR="001E1E16">
              <w:rPr>
                <w:rStyle w:val="fontstyle01"/>
                <w:b/>
                <w:bCs/>
              </w:rPr>
              <w:t>8</w:t>
            </w:r>
            <w:r w:rsidRPr="00821C09" w:rsidR="00646A5D">
              <w:rPr>
                <w:rStyle w:val="fontstyle01"/>
                <w:b/>
                <w:bCs/>
              </w:rPr>
              <w:t>.</w:t>
            </w:r>
          </w:p>
        </w:tc>
        <w:tc>
          <w:tcPr>
            <w:tcW w:w="2340" w:type="dxa"/>
          </w:tcPr>
          <w:p w:rsidRPr="007F620E" w:rsidR="008D77DB" w:rsidP="00821C09" w:rsidRDefault="00821C09" w14:paraId="7C41506A" w14:textId="1FF0CCEA">
            <w:pPr>
              <w:widowControl w:val="0"/>
              <w:ind w:left="90"/>
              <w:jc w:val="center"/>
              <w:rPr>
                <w:color w:val="000000"/>
              </w:rPr>
            </w:pPr>
            <w:r>
              <w:rPr>
                <w:color w:val="000000"/>
              </w:rPr>
              <w:t>Verified</w:t>
            </w:r>
          </w:p>
        </w:tc>
      </w:tr>
      <w:tr w:rsidRPr="007F620E" w:rsidR="004664B1" w:rsidTr="00D33661" w14:paraId="1363E4D3" w14:textId="77777777">
        <w:tc>
          <w:tcPr>
            <w:tcW w:w="3505" w:type="dxa"/>
          </w:tcPr>
          <w:p w:rsidRPr="000F4FD1" w:rsidR="008D77DB" w:rsidP="008A500D" w:rsidRDefault="00FF2599" w14:paraId="595A6B57" w14:textId="601494B1">
            <w:pPr>
              <w:widowControl w:val="0"/>
              <w:rPr>
                <w:color w:val="000000"/>
              </w:rPr>
            </w:pPr>
            <w:r w:rsidRPr="000F4FD1">
              <w:t>UCAN opposed the zig-zag methodology</w:t>
            </w:r>
            <w:r w:rsidRPr="000F4FD1" w:rsidR="008A500D">
              <w:t xml:space="preserve"> because it is </w:t>
            </w:r>
            <w:r w:rsidRPr="000F4FD1" w:rsidR="00100077">
              <w:t xml:space="preserve">inequitable and inconsistent with the proportional allocation methodology. </w:t>
            </w:r>
          </w:p>
          <w:p w:rsidRPr="000F4FD1" w:rsidR="008A500D" w:rsidP="00AF587D" w:rsidRDefault="008A500D" w14:paraId="751042BE" w14:textId="77777777">
            <w:pPr>
              <w:widowControl w:val="0"/>
              <w:ind w:left="90"/>
              <w:rPr>
                <w:color w:val="000000"/>
              </w:rPr>
            </w:pPr>
          </w:p>
          <w:p w:rsidRPr="000F4FD1" w:rsidR="008A500D" w:rsidP="008A500D" w:rsidRDefault="008A500D" w14:paraId="414FCADB" w14:textId="5F0AC97C">
            <w:pPr>
              <w:rPr>
                <w:b/>
                <w:bCs/>
              </w:rPr>
            </w:pPr>
            <w:r w:rsidRPr="000F4FD1">
              <w:rPr>
                <w:b/>
                <w:bCs/>
              </w:rPr>
              <w:t>UCAN 4, pp. 1-2</w:t>
            </w:r>
            <w:r w:rsidRPr="000F4FD1" w:rsidR="00646A5D">
              <w:rPr>
                <w:b/>
                <w:bCs/>
              </w:rPr>
              <w:t>.</w:t>
            </w:r>
          </w:p>
          <w:p w:rsidRPr="000F4FD1" w:rsidR="009E4EE8" w:rsidP="00897932" w:rsidRDefault="009E4EE8" w14:paraId="36E5D224" w14:textId="15B857C7">
            <w:pPr>
              <w:widowControl w:val="0"/>
              <w:rPr>
                <w:color w:val="000000"/>
              </w:rPr>
            </w:pPr>
          </w:p>
        </w:tc>
        <w:tc>
          <w:tcPr>
            <w:tcW w:w="3893" w:type="dxa"/>
          </w:tcPr>
          <w:p w:rsidRPr="000F4FD1" w:rsidR="008D77DB" w:rsidP="00732533" w:rsidRDefault="00C36091" w14:paraId="2744B2DF" w14:textId="77777777">
            <w:pPr>
              <w:widowControl w:val="0"/>
              <w:rPr>
                <w:color w:val="000000"/>
              </w:rPr>
            </w:pPr>
            <w:r w:rsidRPr="000F4FD1">
              <w:rPr>
                <w:color w:val="000000"/>
              </w:rPr>
              <w:t>The Commission decision agrees with UCAN’s position.</w:t>
            </w:r>
          </w:p>
          <w:p w:rsidRPr="000F4FD1" w:rsidR="00C36091" w:rsidP="00732533" w:rsidRDefault="00C36091" w14:paraId="2EC228AB" w14:textId="77777777">
            <w:pPr>
              <w:widowControl w:val="0"/>
              <w:rPr>
                <w:color w:val="000000"/>
              </w:rPr>
            </w:pPr>
          </w:p>
          <w:p w:rsidRPr="000F4FD1" w:rsidR="00C36091" w:rsidP="00C36091" w:rsidRDefault="00C36091" w14:paraId="0BDC51A2" w14:textId="77777777">
            <w:pPr>
              <w:widowControl w:val="0"/>
              <w:rPr>
                <w:color w:val="000000"/>
              </w:rPr>
            </w:pPr>
            <w:r w:rsidRPr="000F4FD1">
              <w:rPr>
                <w:color w:val="000000"/>
              </w:rPr>
              <w:t>“This decision directs the utilities to adopt the proportional allocation</w:t>
            </w:r>
          </w:p>
          <w:p w:rsidRPr="000F4FD1" w:rsidR="00C36091" w:rsidP="00C36091" w:rsidRDefault="00C36091" w14:paraId="347B9199" w14:textId="041C9444">
            <w:pPr>
              <w:widowControl w:val="0"/>
              <w:rPr>
                <w:color w:val="000000"/>
              </w:rPr>
            </w:pPr>
            <w:r w:rsidRPr="000F4FD1">
              <w:rPr>
                <w:color w:val="000000"/>
              </w:rPr>
              <w:t>methodology as the “zig zag” methodology would result in inequitable</w:t>
            </w:r>
            <w:r w:rsidRPr="000F4FD1" w:rsidR="00C21AC9">
              <w:rPr>
                <w:color w:val="000000"/>
              </w:rPr>
              <w:t xml:space="preserve"> </w:t>
            </w:r>
            <w:r w:rsidRPr="000F4FD1">
              <w:rPr>
                <w:color w:val="000000"/>
              </w:rPr>
              <w:t>treatment between customers of different utilities and is unnecessarily complex</w:t>
            </w:r>
            <w:r w:rsidRPr="000F4FD1" w:rsidR="00340737">
              <w:rPr>
                <w:color w:val="000000"/>
              </w:rPr>
              <w:t xml:space="preserve"> </w:t>
            </w:r>
            <w:r w:rsidRPr="000F4FD1">
              <w:rPr>
                <w:color w:val="000000"/>
              </w:rPr>
              <w:t>to implement</w:t>
            </w:r>
            <w:r w:rsidRPr="000F4FD1" w:rsidR="00340737">
              <w:rPr>
                <w:color w:val="000000"/>
              </w:rPr>
              <w:t xml:space="preserve">.” </w:t>
            </w:r>
          </w:p>
          <w:p w:rsidRPr="000F4FD1" w:rsidR="00340737" w:rsidP="00C36091" w:rsidRDefault="00340737" w14:paraId="29BB889E" w14:textId="33B489EA">
            <w:pPr>
              <w:widowControl w:val="0"/>
              <w:rPr>
                <w:color w:val="000000"/>
              </w:rPr>
            </w:pPr>
            <w:r w:rsidRPr="000F4FD1">
              <w:rPr>
                <w:rStyle w:val="fontstyle01"/>
                <w:b/>
                <w:bCs/>
              </w:rPr>
              <w:t>D.24-09-005, p. 10</w:t>
            </w:r>
            <w:r w:rsidRPr="000F4FD1" w:rsidR="00646A5D">
              <w:rPr>
                <w:b/>
                <w:bCs/>
              </w:rPr>
              <w:t>.</w:t>
            </w:r>
          </w:p>
        </w:tc>
        <w:tc>
          <w:tcPr>
            <w:tcW w:w="2340" w:type="dxa"/>
          </w:tcPr>
          <w:p w:rsidRPr="007F620E" w:rsidR="008D77DB" w:rsidP="000F4FD1" w:rsidRDefault="000F4FD1" w14:paraId="1A74F190" w14:textId="54BFCFC4">
            <w:pPr>
              <w:widowControl w:val="0"/>
              <w:ind w:left="90"/>
              <w:jc w:val="center"/>
              <w:rPr>
                <w:color w:val="000000"/>
              </w:rPr>
            </w:pPr>
            <w:r>
              <w:rPr>
                <w:color w:val="000000"/>
              </w:rPr>
              <w:t>Verified</w:t>
            </w:r>
          </w:p>
        </w:tc>
      </w:tr>
      <w:tr w:rsidRPr="007F620E" w:rsidR="004664B1" w:rsidTr="00D33661" w14:paraId="18293673" w14:textId="77777777">
        <w:tc>
          <w:tcPr>
            <w:tcW w:w="3505" w:type="dxa"/>
          </w:tcPr>
          <w:p w:rsidRPr="000F4FD1" w:rsidR="008D77DB" w:rsidP="00C45D47" w:rsidRDefault="009A79CA" w14:paraId="42A4C9B3" w14:textId="64068C23">
            <w:pPr>
              <w:widowControl w:val="0"/>
              <w:rPr>
                <w:color w:val="000000"/>
              </w:rPr>
            </w:pPr>
            <w:r w:rsidRPr="000F4FD1">
              <w:rPr>
                <w:color w:val="000000"/>
              </w:rPr>
              <w:t>UCAN argued that</w:t>
            </w:r>
            <w:r w:rsidRPr="000F4FD1" w:rsidR="002B3E70">
              <w:rPr>
                <w:color w:val="000000"/>
              </w:rPr>
              <w:t xml:space="preserve"> CCA</w:t>
            </w:r>
            <w:r w:rsidRPr="000F4FD1" w:rsidR="00B54B6E">
              <w:rPr>
                <w:color w:val="000000"/>
              </w:rPr>
              <w:t>s</w:t>
            </w:r>
            <w:r w:rsidRPr="000F4FD1" w:rsidR="002B3E70">
              <w:rPr>
                <w:color w:val="000000"/>
              </w:rPr>
              <w:t xml:space="preserve"> work in the interest of the public because they are owned by the public</w:t>
            </w:r>
            <w:r w:rsidRPr="000F4FD1" w:rsidR="00AC4AE4">
              <w:rPr>
                <w:color w:val="000000"/>
              </w:rPr>
              <w:t xml:space="preserve"> and all funds </w:t>
            </w:r>
            <w:r w:rsidRPr="000F4FD1" w:rsidR="00B34DD0">
              <w:rPr>
                <w:color w:val="000000"/>
              </w:rPr>
              <w:t>collected from customers by CCAs are used to benefit the community instead of extracted as profit.</w:t>
            </w:r>
            <w:r w:rsidRPr="000F4FD1" w:rsidR="00756D12">
              <w:rPr>
                <w:color w:val="000000"/>
              </w:rPr>
              <w:t xml:space="preserve"> </w:t>
            </w:r>
            <w:r w:rsidRPr="000F4FD1" w:rsidR="00845E97">
              <w:rPr>
                <w:color w:val="000000"/>
              </w:rPr>
              <w:t xml:space="preserve">In contrast to the CCAs, </w:t>
            </w:r>
            <w:r w:rsidRPr="000F4FD1" w:rsidR="00756D12">
              <w:rPr>
                <w:color w:val="000000"/>
              </w:rPr>
              <w:t xml:space="preserve">UCAN noted that the IOUs </w:t>
            </w:r>
            <w:r w:rsidRPr="000F4FD1" w:rsidR="00794E54">
              <w:rPr>
                <w:color w:val="000000"/>
              </w:rPr>
              <w:t>collected</w:t>
            </w:r>
            <w:r w:rsidRPr="000F4FD1" w:rsidR="00A0588C">
              <w:rPr>
                <w:color w:val="000000"/>
              </w:rPr>
              <w:t xml:space="preserve"> </w:t>
            </w:r>
            <w:r w:rsidRPr="000F4FD1" w:rsidR="000128BB">
              <w:rPr>
                <w:color w:val="000000"/>
              </w:rPr>
              <w:t xml:space="preserve">$6.4 billion in profits </w:t>
            </w:r>
            <w:r w:rsidRPr="000F4FD1" w:rsidR="00A0588C">
              <w:rPr>
                <w:color w:val="000000"/>
              </w:rPr>
              <w:t>from ratepayers</w:t>
            </w:r>
            <w:r w:rsidRPr="000F4FD1" w:rsidR="00794E54">
              <w:rPr>
                <w:color w:val="000000"/>
              </w:rPr>
              <w:t xml:space="preserve"> </w:t>
            </w:r>
            <w:r w:rsidRPr="000F4FD1" w:rsidR="00F02DCE">
              <w:rPr>
                <w:color w:val="000000"/>
              </w:rPr>
              <w:t>in 2023.</w:t>
            </w:r>
            <w:r w:rsidRPr="000F4FD1" w:rsidR="00B34DD0">
              <w:rPr>
                <w:color w:val="000000"/>
              </w:rPr>
              <w:t xml:space="preserve"> </w:t>
            </w:r>
          </w:p>
          <w:p w:rsidRPr="000F4FD1" w:rsidR="00B34DD0" w:rsidP="00AF587D" w:rsidRDefault="00B34DD0" w14:paraId="4F4DDEAA" w14:textId="77777777">
            <w:pPr>
              <w:widowControl w:val="0"/>
              <w:ind w:left="90"/>
              <w:rPr>
                <w:color w:val="000000"/>
              </w:rPr>
            </w:pPr>
          </w:p>
          <w:p w:rsidRPr="000F4FD1" w:rsidR="00646A5D" w:rsidP="00C15EB6" w:rsidRDefault="00C15EB6" w14:paraId="4004E389" w14:textId="77777777">
            <w:r w:rsidRPr="000F4FD1">
              <w:rPr>
                <w:b/>
                <w:bCs/>
              </w:rPr>
              <w:t xml:space="preserve">UCAN </w:t>
            </w:r>
            <w:r w:rsidRPr="000F4FD1" w:rsidR="00756D12">
              <w:rPr>
                <w:b/>
                <w:bCs/>
              </w:rPr>
              <w:t>2</w:t>
            </w:r>
            <w:r w:rsidRPr="000F4FD1">
              <w:rPr>
                <w:b/>
                <w:bCs/>
              </w:rPr>
              <w:t xml:space="preserve">, p. </w:t>
            </w:r>
            <w:r w:rsidRPr="000F4FD1" w:rsidR="00756D12">
              <w:rPr>
                <w:b/>
                <w:bCs/>
              </w:rPr>
              <w:t>9</w:t>
            </w:r>
            <w:r w:rsidRPr="000F4FD1" w:rsidR="00E357D6">
              <w:t>;</w:t>
            </w:r>
          </w:p>
          <w:p w:rsidRPr="000F4FD1" w:rsidR="00B34DD0" w:rsidP="00897932" w:rsidRDefault="00E357D6" w14:paraId="7A4E3F60" w14:textId="4AA26F93">
            <w:pPr>
              <w:widowControl w:val="0"/>
              <w:rPr>
                <w:color w:val="000000"/>
              </w:rPr>
            </w:pPr>
            <w:r w:rsidRPr="000F4FD1">
              <w:rPr>
                <w:rStyle w:val="fontstyle01"/>
                <w:i/>
                <w:iCs/>
              </w:rPr>
              <w:t>see also</w:t>
            </w:r>
            <w:r w:rsidRPr="000F4FD1" w:rsidR="00646A5D">
              <w:t xml:space="preserve"> </w:t>
            </w:r>
            <w:r w:rsidRPr="000F4FD1" w:rsidR="00C603AC">
              <w:rPr>
                <w:b/>
                <w:bCs/>
              </w:rPr>
              <w:t>UCAN 4, p. 2.</w:t>
            </w:r>
          </w:p>
        </w:tc>
        <w:tc>
          <w:tcPr>
            <w:tcW w:w="3893" w:type="dxa"/>
          </w:tcPr>
          <w:p w:rsidRPr="000F4FD1" w:rsidR="008D77DB" w:rsidP="00EA781D" w:rsidRDefault="00B34DD0" w14:paraId="68288DCF" w14:textId="77777777">
            <w:pPr>
              <w:widowControl w:val="0"/>
              <w:rPr>
                <w:color w:val="000000"/>
              </w:rPr>
            </w:pPr>
            <w:r w:rsidRPr="000F4FD1">
              <w:rPr>
                <w:color w:val="000000"/>
              </w:rPr>
              <w:t>In alignment with UCAN’s position</w:t>
            </w:r>
            <w:r w:rsidRPr="000F4FD1" w:rsidR="00B63667">
              <w:rPr>
                <w:color w:val="000000"/>
              </w:rPr>
              <w:t xml:space="preserve">, the Commission agreed that CCAs </w:t>
            </w:r>
            <w:r w:rsidRPr="000F4FD1" w:rsidR="00C15EB6">
              <w:rPr>
                <w:color w:val="000000"/>
              </w:rPr>
              <w:t>are in the public interest.</w:t>
            </w:r>
          </w:p>
          <w:p w:rsidRPr="000F4FD1" w:rsidR="00C15EB6" w:rsidP="00AF587D" w:rsidRDefault="00C15EB6" w14:paraId="6994B775" w14:textId="77777777">
            <w:pPr>
              <w:widowControl w:val="0"/>
              <w:ind w:left="90"/>
              <w:rPr>
                <w:color w:val="000000"/>
              </w:rPr>
            </w:pPr>
          </w:p>
          <w:p w:rsidRPr="000F4FD1" w:rsidR="00C15EB6" w:rsidP="00EA781D" w:rsidRDefault="00C15EB6" w14:paraId="2CB62D5B" w14:textId="6A66A287">
            <w:pPr>
              <w:widowControl w:val="0"/>
              <w:rPr>
                <w:color w:val="000000"/>
              </w:rPr>
            </w:pPr>
            <w:r w:rsidRPr="000F4FD1">
              <w:rPr>
                <w:color w:val="000000"/>
              </w:rPr>
              <w:t>“The Commission also previously determined that CCAs are in the public interest, in that CCAs allow for a publicly-managed alternative to private utility procurement of resources. Accordingly, the Commission finds that D.21-11-014 remains the standard and that strengthening the financial position of the CCAs benefits all customers.”</w:t>
            </w:r>
          </w:p>
          <w:p w:rsidRPr="000F4FD1" w:rsidR="006F107E" w:rsidP="00646A5D" w:rsidRDefault="006F107E" w14:paraId="26E24614" w14:textId="549F41CD">
            <w:pPr>
              <w:widowControl w:val="0"/>
              <w:ind w:left="90"/>
              <w:rPr>
                <w:color w:val="000000"/>
              </w:rPr>
            </w:pPr>
            <w:r w:rsidRPr="000F4FD1">
              <w:rPr>
                <w:b/>
                <w:bCs/>
                <w:color w:val="000000"/>
              </w:rPr>
              <w:t>D.24-09-005, p. 8</w:t>
            </w:r>
            <w:r w:rsidRPr="000F4FD1" w:rsidR="00646A5D">
              <w:rPr>
                <w:b/>
                <w:bCs/>
                <w:color w:val="000000"/>
              </w:rPr>
              <w:t>.</w:t>
            </w:r>
          </w:p>
        </w:tc>
        <w:tc>
          <w:tcPr>
            <w:tcW w:w="2340" w:type="dxa"/>
          </w:tcPr>
          <w:p w:rsidRPr="007F620E" w:rsidR="008D77DB" w:rsidP="000F4FD1" w:rsidRDefault="000F4FD1" w14:paraId="51A73F03" w14:textId="16562FF4">
            <w:pPr>
              <w:widowControl w:val="0"/>
              <w:ind w:left="90"/>
              <w:jc w:val="center"/>
              <w:rPr>
                <w:color w:val="000000"/>
              </w:rPr>
            </w:pPr>
            <w:r>
              <w:rPr>
                <w:color w:val="000000"/>
              </w:rPr>
              <w:t>Verified</w:t>
            </w:r>
          </w:p>
        </w:tc>
      </w:tr>
      <w:tr w:rsidRPr="007F620E" w:rsidR="004664B1" w:rsidTr="00D33661" w14:paraId="2218EE54" w14:textId="77777777">
        <w:tc>
          <w:tcPr>
            <w:tcW w:w="3505" w:type="dxa"/>
          </w:tcPr>
          <w:p w:rsidR="00E50963" w:rsidP="00AF587D" w:rsidRDefault="00990FD1" w14:paraId="4DDB4654" w14:textId="4487579E">
            <w:pPr>
              <w:widowControl w:val="0"/>
              <w:rPr>
                <w:color w:val="000000"/>
              </w:rPr>
            </w:pPr>
            <w:r>
              <w:rPr>
                <w:color w:val="000000"/>
              </w:rPr>
              <w:t>UCAN requested that the</w:t>
            </w:r>
            <w:r w:rsidR="005516AC">
              <w:rPr>
                <w:color w:val="000000"/>
              </w:rPr>
              <w:t xml:space="preserve"> proportional allocation</w:t>
            </w:r>
            <w:r>
              <w:rPr>
                <w:color w:val="000000"/>
              </w:rPr>
              <w:t xml:space="preserve"> </w:t>
            </w:r>
            <w:r w:rsidR="005516AC">
              <w:rPr>
                <w:color w:val="000000"/>
              </w:rPr>
              <w:t xml:space="preserve">methodology </w:t>
            </w:r>
            <w:r w:rsidR="000D72C3">
              <w:rPr>
                <w:color w:val="000000"/>
              </w:rPr>
              <w:t>be continued indefinitely</w:t>
            </w:r>
            <w:r w:rsidR="005516AC">
              <w:rPr>
                <w:color w:val="000000"/>
              </w:rPr>
              <w:t xml:space="preserve">. </w:t>
            </w:r>
          </w:p>
          <w:p w:rsidR="005516AC" w:rsidP="00AF587D" w:rsidRDefault="005516AC" w14:paraId="77D8BA57" w14:textId="77777777">
            <w:pPr>
              <w:widowControl w:val="0"/>
              <w:rPr>
                <w:color w:val="000000"/>
              </w:rPr>
            </w:pPr>
          </w:p>
          <w:p w:rsidR="00897932" w:rsidP="00AF587D" w:rsidRDefault="003941B3" w14:paraId="482AF9BF" w14:textId="77777777">
            <w:pPr>
              <w:widowControl w:val="0"/>
            </w:pPr>
            <w:r w:rsidRPr="00897932">
              <w:rPr>
                <w:b/>
                <w:bCs/>
                <w:color w:val="000000"/>
              </w:rPr>
              <w:t>UCAN 1, p. 9</w:t>
            </w:r>
            <w:r w:rsidR="00E357D6">
              <w:t>;</w:t>
            </w:r>
          </w:p>
          <w:p w:rsidR="00897932" w:rsidP="00AF587D" w:rsidRDefault="00E357D6" w14:paraId="0CA55E37" w14:textId="787135C3">
            <w:pPr>
              <w:widowControl w:val="0"/>
            </w:pPr>
            <w:r w:rsidRPr="002E7EA1">
              <w:rPr>
                <w:rStyle w:val="fontstyle01"/>
                <w:i/>
                <w:iCs/>
              </w:rPr>
              <w:t>see also</w:t>
            </w:r>
            <w:r w:rsidR="00897932">
              <w:rPr>
                <w:color w:val="000000"/>
              </w:rPr>
              <w:t xml:space="preserve"> </w:t>
            </w:r>
            <w:r w:rsidRPr="00897932" w:rsidR="00896CB1">
              <w:rPr>
                <w:b/>
                <w:bCs/>
                <w:color w:val="000000"/>
              </w:rPr>
              <w:t>UCAN 2, p. 13</w:t>
            </w:r>
            <w:r>
              <w:t>;</w:t>
            </w:r>
          </w:p>
          <w:p w:rsidRPr="007F620E" w:rsidR="006574D7" w:rsidP="00AF587D" w:rsidRDefault="00E357D6" w14:paraId="7D01E9BB" w14:textId="081D94FF">
            <w:pPr>
              <w:widowControl w:val="0"/>
              <w:rPr>
                <w:color w:val="000000"/>
              </w:rPr>
            </w:pPr>
            <w:r w:rsidRPr="002E7EA1">
              <w:rPr>
                <w:rStyle w:val="fontstyle01"/>
                <w:i/>
                <w:iCs/>
              </w:rPr>
              <w:t>see also</w:t>
            </w:r>
            <w:r w:rsidR="00897932">
              <w:t xml:space="preserve"> </w:t>
            </w:r>
            <w:r w:rsidRPr="00897932" w:rsidR="006574D7">
              <w:rPr>
                <w:b/>
                <w:bCs/>
              </w:rPr>
              <w:t>UCAN 3, p</w:t>
            </w:r>
            <w:r w:rsidR="00897932">
              <w:rPr>
                <w:b/>
                <w:bCs/>
              </w:rPr>
              <w:t>p</w:t>
            </w:r>
            <w:r w:rsidRPr="00897932" w:rsidR="006574D7">
              <w:rPr>
                <w:b/>
                <w:bCs/>
              </w:rPr>
              <w:t>.</w:t>
            </w:r>
            <w:r w:rsidRPr="00897932" w:rsidR="000B1BF7">
              <w:rPr>
                <w:b/>
                <w:bCs/>
              </w:rPr>
              <w:t xml:space="preserve"> 2,</w:t>
            </w:r>
            <w:r w:rsidRPr="00897932" w:rsidR="006574D7">
              <w:rPr>
                <w:b/>
                <w:bCs/>
              </w:rPr>
              <w:t xml:space="preserve"> 4</w:t>
            </w:r>
            <w:r w:rsidR="00897932">
              <w:t>.</w:t>
            </w:r>
          </w:p>
        </w:tc>
        <w:tc>
          <w:tcPr>
            <w:tcW w:w="3893" w:type="dxa"/>
          </w:tcPr>
          <w:p w:rsidR="00E50963" w:rsidP="00E50963" w:rsidRDefault="00E50963" w14:paraId="2C031830" w14:textId="66618AF4">
            <w:pPr>
              <w:widowControl w:val="0"/>
              <w:rPr>
                <w:color w:val="000000"/>
              </w:rPr>
            </w:pPr>
            <w:r>
              <w:rPr>
                <w:color w:val="000000"/>
              </w:rPr>
              <w:lastRenderedPageBreak/>
              <w:t xml:space="preserve">The Commission agreed with UCAN’s position on the </w:t>
            </w:r>
            <w:r w:rsidR="00A750A5">
              <w:rPr>
                <w:color w:val="000000"/>
              </w:rPr>
              <w:t>duration for use of the methodology:</w:t>
            </w:r>
          </w:p>
          <w:p w:rsidR="00E50963" w:rsidP="00E50963" w:rsidRDefault="00E50963" w14:paraId="273ECDF6" w14:textId="77777777">
            <w:pPr>
              <w:widowControl w:val="0"/>
              <w:rPr>
                <w:color w:val="000000"/>
              </w:rPr>
            </w:pPr>
          </w:p>
          <w:p w:rsidRPr="00E50963" w:rsidR="00E50963" w:rsidP="00E50963" w:rsidRDefault="00A750A5" w14:paraId="232ACC78" w14:textId="10B0476F">
            <w:pPr>
              <w:widowControl w:val="0"/>
              <w:rPr>
                <w:color w:val="000000"/>
              </w:rPr>
            </w:pPr>
            <w:r>
              <w:rPr>
                <w:color w:val="000000"/>
              </w:rPr>
              <w:lastRenderedPageBreak/>
              <w:t>“</w:t>
            </w:r>
            <w:r w:rsidRPr="00E50963" w:rsidR="00E50963">
              <w:rPr>
                <w:color w:val="000000"/>
              </w:rPr>
              <w:t>The Commission finds the reasoning set out in D.21-11-014 still holds and</w:t>
            </w:r>
          </w:p>
          <w:p w:rsidRPr="00777777" w:rsidR="00E50963" w:rsidP="00E50963" w:rsidRDefault="00E50963" w14:paraId="31F4C66D" w14:textId="289C377A">
            <w:pPr>
              <w:widowControl w:val="0"/>
              <w:rPr>
                <w:color w:val="000000"/>
              </w:rPr>
            </w:pPr>
            <w:r w:rsidRPr="00E50963">
              <w:rPr>
                <w:color w:val="000000"/>
              </w:rPr>
              <w:t>therefore requires the electric IOUs to continue to use the proportional allocation</w:t>
            </w:r>
            <w:r w:rsidR="00A750A5">
              <w:rPr>
                <w:color w:val="000000"/>
              </w:rPr>
              <w:t xml:space="preserve"> </w:t>
            </w:r>
            <w:r w:rsidRPr="00E50963">
              <w:rPr>
                <w:color w:val="000000"/>
              </w:rPr>
              <w:t xml:space="preserve">method unless and until the </w:t>
            </w:r>
            <w:r w:rsidRPr="00777777">
              <w:rPr>
                <w:color w:val="000000"/>
              </w:rPr>
              <w:t>Commission determines otherwise.</w:t>
            </w:r>
            <w:r w:rsidRPr="00777777" w:rsidR="00A750A5">
              <w:rPr>
                <w:color w:val="000000"/>
              </w:rPr>
              <w:t>”</w:t>
            </w:r>
          </w:p>
          <w:p w:rsidRPr="007F620E" w:rsidR="00FF7D05" w:rsidP="00E50963" w:rsidRDefault="008C3A95" w14:paraId="4D70A6DD" w14:textId="60669951">
            <w:pPr>
              <w:widowControl w:val="0"/>
              <w:rPr>
                <w:color w:val="000000"/>
              </w:rPr>
            </w:pPr>
            <w:r w:rsidRPr="00777777">
              <w:rPr>
                <w:b/>
                <w:bCs/>
                <w:color w:val="000000"/>
              </w:rPr>
              <w:t>D.24-09-005, p. 12</w:t>
            </w:r>
            <w:r w:rsidRPr="00777777" w:rsidR="00897932">
              <w:rPr>
                <w:b/>
                <w:bCs/>
                <w:color w:val="000000"/>
              </w:rPr>
              <w:t>.</w:t>
            </w:r>
          </w:p>
        </w:tc>
        <w:tc>
          <w:tcPr>
            <w:tcW w:w="2340" w:type="dxa"/>
          </w:tcPr>
          <w:p w:rsidRPr="007F620E" w:rsidR="00E50963" w:rsidP="00777777" w:rsidRDefault="00777777" w14:paraId="75BE56E8" w14:textId="51D8F865">
            <w:pPr>
              <w:widowControl w:val="0"/>
              <w:jc w:val="center"/>
              <w:rPr>
                <w:color w:val="000000"/>
              </w:rPr>
            </w:pPr>
            <w:r>
              <w:rPr>
                <w:color w:val="000000"/>
              </w:rPr>
              <w:lastRenderedPageBreak/>
              <w:t>Verified</w:t>
            </w:r>
          </w:p>
        </w:tc>
      </w:tr>
      <w:tr w:rsidRPr="007F620E" w:rsidR="004664B1" w:rsidTr="00D33661" w14:paraId="7350A892" w14:textId="77777777">
        <w:tc>
          <w:tcPr>
            <w:tcW w:w="3505" w:type="dxa"/>
          </w:tcPr>
          <w:p w:rsidRPr="00D1188E" w:rsidR="00AA5F66" w:rsidP="00AA5F66" w:rsidRDefault="00AA5F66" w14:paraId="7F0A86E1" w14:textId="77777777">
            <w:pPr>
              <w:widowControl w:val="0"/>
              <w:rPr>
                <w:b/>
                <w:bCs/>
                <w:color w:val="000000"/>
              </w:rPr>
            </w:pPr>
            <w:r w:rsidRPr="00897932">
              <w:rPr>
                <w:b/>
                <w:bCs/>
                <w:u w:val="single"/>
              </w:rPr>
              <w:t>D.24-11-005</w:t>
            </w:r>
            <w:r w:rsidRPr="00D1188E">
              <w:rPr>
                <w:b/>
                <w:bCs/>
              </w:rPr>
              <w:t xml:space="preserve"> </w:t>
            </w:r>
            <w:r w:rsidRPr="00D1188E">
              <w:rPr>
                <w:b/>
                <w:bCs/>
                <w:color w:val="000000"/>
              </w:rPr>
              <w:t xml:space="preserve">Issues: </w:t>
            </w:r>
          </w:p>
          <w:p w:rsidR="00961785" w:rsidP="00AA5F66" w:rsidRDefault="00AA5F66" w14:paraId="69D950CC" w14:textId="65A4C167">
            <w:pPr>
              <w:widowControl w:val="0"/>
              <w:rPr>
                <w:color w:val="000000"/>
              </w:rPr>
            </w:pPr>
            <w:r w:rsidRPr="00D1188E">
              <w:rPr>
                <w:b/>
                <w:bCs/>
              </w:rPr>
              <w:t>Discon</w:t>
            </w:r>
            <w:r>
              <w:rPr>
                <w:b/>
                <w:bCs/>
              </w:rPr>
              <w:t>nection</w:t>
            </w:r>
            <w:r w:rsidRPr="00D1188E">
              <w:rPr>
                <w:b/>
                <w:bCs/>
              </w:rPr>
              <w:t xml:space="preserve"> Cap Extension</w:t>
            </w:r>
            <w:r>
              <w:rPr>
                <w:color w:val="000000"/>
              </w:rPr>
              <w:t xml:space="preserve"> </w:t>
            </w:r>
            <w:r w:rsidR="008F2353">
              <w:rPr>
                <w:color w:val="000000"/>
              </w:rPr>
              <w:t xml:space="preserve">UCAN </w:t>
            </w:r>
            <w:r w:rsidR="00F02DCE">
              <w:rPr>
                <w:color w:val="000000"/>
              </w:rPr>
              <w:t xml:space="preserve">urged the </w:t>
            </w:r>
            <w:r w:rsidR="00643D05">
              <w:rPr>
                <w:color w:val="000000"/>
              </w:rPr>
              <w:t>Commission</w:t>
            </w:r>
            <w:r w:rsidR="004C3F96">
              <w:rPr>
                <w:color w:val="000000"/>
              </w:rPr>
              <w:t xml:space="preserve"> to </w:t>
            </w:r>
            <w:r w:rsidR="00ED60F0">
              <w:rPr>
                <w:color w:val="000000"/>
              </w:rPr>
              <w:t>keep</w:t>
            </w:r>
            <w:r w:rsidR="00711641">
              <w:rPr>
                <w:color w:val="000000"/>
              </w:rPr>
              <w:t xml:space="preserve"> the </w:t>
            </w:r>
            <w:r w:rsidR="00643D05">
              <w:rPr>
                <w:color w:val="000000"/>
              </w:rPr>
              <w:t xml:space="preserve">disconnection </w:t>
            </w:r>
            <w:r w:rsidR="00711641">
              <w:rPr>
                <w:color w:val="000000"/>
              </w:rPr>
              <w:t>cap</w:t>
            </w:r>
            <w:r w:rsidR="00964ED8">
              <w:rPr>
                <w:color w:val="000000"/>
              </w:rPr>
              <w:t xml:space="preserve"> percentages</w:t>
            </w:r>
            <w:r w:rsidR="004C3F96">
              <w:rPr>
                <w:color w:val="000000"/>
              </w:rPr>
              <w:t xml:space="preserve"> </w:t>
            </w:r>
            <w:r w:rsidR="003B65B0">
              <w:rPr>
                <w:color w:val="000000"/>
              </w:rPr>
              <w:t>or even lower</w:t>
            </w:r>
            <w:r w:rsidR="00501CA0">
              <w:rPr>
                <w:color w:val="000000"/>
              </w:rPr>
              <w:t xml:space="preserve"> the</w:t>
            </w:r>
            <w:r w:rsidR="003B65B0">
              <w:rPr>
                <w:color w:val="000000"/>
              </w:rPr>
              <w:t xml:space="preserve"> </w:t>
            </w:r>
            <w:r w:rsidR="004C3F96">
              <w:rPr>
                <w:color w:val="000000"/>
              </w:rPr>
              <w:t>disconnection cap</w:t>
            </w:r>
            <w:r w:rsidR="00372CA3">
              <w:rPr>
                <w:color w:val="000000"/>
              </w:rPr>
              <w:t xml:space="preserve"> percentage</w:t>
            </w:r>
            <w:r w:rsidR="00964ED8">
              <w:rPr>
                <w:color w:val="000000"/>
              </w:rPr>
              <w:t>s</w:t>
            </w:r>
            <w:r w:rsidR="006F046A">
              <w:rPr>
                <w:color w:val="000000"/>
              </w:rPr>
              <w:t>. UCAN’s</w:t>
            </w:r>
            <w:r w:rsidR="00501CA0">
              <w:rPr>
                <w:color w:val="000000"/>
              </w:rPr>
              <w:t xml:space="preserve"> </w:t>
            </w:r>
            <w:r w:rsidR="006F046A">
              <w:rPr>
                <w:color w:val="000000"/>
              </w:rPr>
              <w:t>recommendations were</w:t>
            </w:r>
            <w:r w:rsidR="00224F6B">
              <w:rPr>
                <w:color w:val="000000"/>
              </w:rPr>
              <w:t xml:space="preserve"> based on</w:t>
            </w:r>
            <w:r w:rsidR="006F046A">
              <w:rPr>
                <w:color w:val="000000"/>
              </w:rPr>
              <w:t xml:space="preserve"> its</w:t>
            </w:r>
            <w:r w:rsidR="00224F6B">
              <w:rPr>
                <w:color w:val="000000"/>
              </w:rPr>
              <w:t xml:space="preserve"> </w:t>
            </w:r>
            <w:r w:rsidR="00F91F7A">
              <w:rPr>
                <w:color w:val="000000"/>
              </w:rPr>
              <w:t xml:space="preserve">detailed </w:t>
            </w:r>
            <w:r w:rsidR="00224F6B">
              <w:rPr>
                <w:color w:val="000000"/>
              </w:rPr>
              <w:t xml:space="preserve">data analyses </w:t>
            </w:r>
            <w:r w:rsidR="00884DC4">
              <w:rPr>
                <w:color w:val="000000"/>
              </w:rPr>
              <w:t xml:space="preserve">completed exclusively by UCAN </w:t>
            </w:r>
            <w:r w:rsidR="00552BB8">
              <w:rPr>
                <w:color w:val="000000"/>
              </w:rPr>
              <w:t>(</w:t>
            </w:r>
            <w:r w:rsidR="00884DC4">
              <w:rPr>
                <w:color w:val="000000"/>
              </w:rPr>
              <w:t xml:space="preserve">for data analyses </w:t>
            </w:r>
            <w:r w:rsidR="00552BB8">
              <w:rPr>
                <w:color w:val="000000"/>
              </w:rPr>
              <w:t xml:space="preserve">see figures </w:t>
            </w:r>
            <w:r w:rsidR="00F95051">
              <w:rPr>
                <w:color w:val="000000"/>
              </w:rPr>
              <w:t>and tables in each of the first four filings listed below</w:t>
            </w:r>
            <w:r w:rsidR="00552BB8">
              <w:rPr>
                <w:color w:val="000000"/>
              </w:rPr>
              <w:t>)</w:t>
            </w:r>
            <w:r w:rsidR="00884DC4">
              <w:rPr>
                <w:color w:val="000000"/>
              </w:rPr>
              <w:t>.</w:t>
            </w:r>
            <w:r w:rsidR="00552BB8">
              <w:rPr>
                <w:color w:val="000000"/>
              </w:rPr>
              <w:t xml:space="preserve"> </w:t>
            </w:r>
          </w:p>
          <w:p w:rsidR="000231D0" w:rsidP="00AF587D" w:rsidRDefault="000231D0" w14:paraId="23EE4665" w14:textId="77777777">
            <w:pPr>
              <w:widowControl w:val="0"/>
              <w:rPr>
                <w:color w:val="000000"/>
              </w:rPr>
            </w:pPr>
          </w:p>
          <w:p w:rsidR="00897932" w:rsidP="008B1D7E" w:rsidRDefault="008B1D7E" w14:paraId="75D30456" w14:textId="77777777">
            <w:pPr>
              <w:widowControl w:val="0"/>
            </w:pPr>
            <w:r w:rsidRPr="00897932">
              <w:rPr>
                <w:b/>
                <w:bCs/>
                <w:color w:val="000000"/>
              </w:rPr>
              <w:t>UCAN 1, pp. 1-</w:t>
            </w:r>
            <w:r w:rsidRPr="00897932" w:rsidR="00B03624">
              <w:rPr>
                <w:b/>
                <w:bCs/>
                <w:color w:val="000000"/>
              </w:rPr>
              <w:t>8</w:t>
            </w:r>
            <w:r w:rsidR="00E357D6">
              <w:t>;</w:t>
            </w:r>
          </w:p>
          <w:p w:rsidR="00897932" w:rsidP="008B1D7E" w:rsidRDefault="00E357D6" w14:paraId="7A24115B" w14:textId="4374DBC0">
            <w:pPr>
              <w:widowControl w:val="0"/>
            </w:pPr>
            <w:r w:rsidRPr="002E7EA1">
              <w:rPr>
                <w:rStyle w:val="fontstyle01"/>
                <w:i/>
                <w:iCs/>
              </w:rPr>
              <w:t>see also</w:t>
            </w:r>
            <w:r w:rsidR="00897932">
              <w:t xml:space="preserve"> </w:t>
            </w:r>
            <w:r w:rsidRPr="00897932" w:rsidR="00B03624">
              <w:rPr>
                <w:b/>
                <w:bCs/>
                <w:color w:val="000000"/>
              </w:rPr>
              <w:t xml:space="preserve">UCAN 2, pp. </w:t>
            </w:r>
            <w:r w:rsidRPr="00897932" w:rsidR="00A06748">
              <w:rPr>
                <w:b/>
                <w:bCs/>
                <w:color w:val="000000"/>
              </w:rPr>
              <w:t>1-17</w:t>
            </w:r>
            <w:r>
              <w:t>;</w:t>
            </w:r>
          </w:p>
          <w:p w:rsidR="00897932" w:rsidP="008B1D7E" w:rsidRDefault="00E357D6" w14:paraId="67BCF4C8" w14:textId="45FB032B">
            <w:pPr>
              <w:widowControl w:val="0"/>
            </w:pPr>
            <w:r w:rsidRPr="002E7EA1">
              <w:rPr>
                <w:rStyle w:val="fontstyle01"/>
                <w:i/>
                <w:iCs/>
              </w:rPr>
              <w:t>see also</w:t>
            </w:r>
            <w:r w:rsidR="00897932">
              <w:t xml:space="preserve"> </w:t>
            </w:r>
            <w:r w:rsidRPr="00897932" w:rsidR="004601F3">
              <w:rPr>
                <w:b/>
                <w:bCs/>
                <w:color w:val="000000"/>
              </w:rPr>
              <w:t xml:space="preserve">UCAN 5, pp. </w:t>
            </w:r>
            <w:r w:rsidRPr="00897932" w:rsidR="00EB4D00">
              <w:rPr>
                <w:b/>
                <w:bCs/>
                <w:color w:val="000000"/>
              </w:rPr>
              <w:t>1-12</w:t>
            </w:r>
            <w:r>
              <w:t>;</w:t>
            </w:r>
          </w:p>
          <w:p w:rsidR="00897932" w:rsidP="008B1D7E" w:rsidRDefault="00E357D6" w14:paraId="105037E9" w14:textId="4F3B92C7">
            <w:pPr>
              <w:widowControl w:val="0"/>
            </w:pPr>
            <w:r w:rsidRPr="002E7EA1">
              <w:rPr>
                <w:rStyle w:val="fontstyle01"/>
                <w:i/>
                <w:iCs/>
              </w:rPr>
              <w:t>see also</w:t>
            </w:r>
            <w:r w:rsidR="00897932">
              <w:t xml:space="preserve"> </w:t>
            </w:r>
            <w:r w:rsidR="00897932">
              <w:rPr>
                <w:color w:val="000000"/>
              </w:rPr>
              <w:t xml:space="preserve"> </w:t>
            </w:r>
            <w:r w:rsidRPr="00897932" w:rsidR="004601F3">
              <w:rPr>
                <w:b/>
                <w:bCs/>
                <w:color w:val="000000"/>
              </w:rPr>
              <w:t xml:space="preserve">UCAN 6, pp. </w:t>
            </w:r>
            <w:r w:rsidRPr="00897932" w:rsidR="00EB2072">
              <w:rPr>
                <w:b/>
                <w:bCs/>
                <w:color w:val="000000"/>
              </w:rPr>
              <w:t>1-10</w:t>
            </w:r>
            <w:r>
              <w:t>;</w:t>
            </w:r>
          </w:p>
          <w:p w:rsidR="00240ADF" w:rsidP="008B1D7E" w:rsidRDefault="00E357D6" w14:paraId="7B4C9510" w14:textId="3B7ACAF6">
            <w:pPr>
              <w:widowControl w:val="0"/>
              <w:rPr>
                <w:color w:val="000000"/>
              </w:rPr>
            </w:pPr>
            <w:r w:rsidRPr="002E7EA1">
              <w:rPr>
                <w:rStyle w:val="fontstyle01"/>
                <w:i/>
                <w:iCs/>
              </w:rPr>
              <w:t>see also</w:t>
            </w:r>
            <w:r>
              <w:t xml:space="preserve"> </w:t>
            </w:r>
            <w:r w:rsidRPr="00897932" w:rsidR="00240ADF">
              <w:rPr>
                <w:b/>
                <w:bCs/>
              </w:rPr>
              <w:t>UCAN 7, pp.</w:t>
            </w:r>
            <w:r w:rsidRPr="00897932" w:rsidR="00460472">
              <w:rPr>
                <w:b/>
                <w:bCs/>
              </w:rPr>
              <w:t xml:space="preserve"> </w:t>
            </w:r>
            <w:r w:rsidRPr="00897932" w:rsidR="006143C3">
              <w:rPr>
                <w:b/>
                <w:bCs/>
              </w:rPr>
              <w:t>1-2, 5</w:t>
            </w:r>
            <w:r w:rsidR="006143C3">
              <w:t>.</w:t>
            </w:r>
          </w:p>
          <w:p w:rsidRPr="007F620E" w:rsidR="000231D0" w:rsidP="00AF587D" w:rsidRDefault="000231D0" w14:paraId="60FBBC8B" w14:textId="7B9BE19E">
            <w:pPr>
              <w:widowControl w:val="0"/>
              <w:rPr>
                <w:color w:val="000000"/>
              </w:rPr>
            </w:pPr>
          </w:p>
        </w:tc>
        <w:tc>
          <w:tcPr>
            <w:tcW w:w="3893" w:type="dxa"/>
          </w:tcPr>
          <w:p w:rsidR="00851EC7" w:rsidP="00851EC7" w:rsidRDefault="00851EC7" w14:paraId="1D37DDBB" w14:textId="105E9B6C">
            <w:pPr>
              <w:widowControl w:val="0"/>
              <w:rPr>
                <w:color w:val="000000"/>
              </w:rPr>
            </w:pPr>
            <w:r>
              <w:rPr>
                <w:color w:val="000000"/>
              </w:rPr>
              <w:t>The Commission agreed with UCAN’s position</w:t>
            </w:r>
            <w:r w:rsidR="00F02DCE">
              <w:rPr>
                <w:color w:val="000000"/>
              </w:rPr>
              <w:t xml:space="preserve"> on several issues</w:t>
            </w:r>
            <w:r w:rsidR="00381FF3">
              <w:rPr>
                <w:color w:val="000000"/>
              </w:rPr>
              <w:t xml:space="preserve"> and </w:t>
            </w:r>
            <w:r w:rsidR="00F02DCE">
              <w:rPr>
                <w:color w:val="000000"/>
              </w:rPr>
              <w:t xml:space="preserve">agreed with UCAN </w:t>
            </w:r>
            <w:r w:rsidR="00DE0EAD">
              <w:rPr>
                <w:color w:val="000000"/>
              </w:rPr>
              <w:t>that</w:t>
            </w:r>
            <w:r w:rsidR="00381FF3">
              <w:rPr>
                <w:color w:val="000000"/>
              </w:rPr>
              <w:t xml:space="preserve"> insufficient information </w:t>
            </w:r>
            <w:r w:rsidR="00F02DCE">
              <w:rPr>
                <w:color w:val="000000"/>
              </w:rPr>
              <w:t xml:space="preserve">is available in the record </w:t>
            </w:r>
            <w:r w:rsidR="00381FF3">
              <w:rPr>
                <w:color w:val="000000"/>
              </w:rPr>
              <w:t>to</w:t>
            </w:r>
            <w:r w:rsidR="00920089">
              <w:rPr>
                <w:color w:val="000000"/>
              </w:rPr>
              <w:t xml:space="preserve"> change or</w:t>
            </w:r>
            <w:r w:rsidR="005C7D13">
              <w:rPr>
                <w:color w:val="000000"/>
              </w:rPr>
              <w:t xml:space="preserve"> remove</w:t>
            </w:r>
            <w:r w:rsidR="00381FF3">
              <w:rPr>
                <w:color w:val="000000"/>
              </w:rPr>
              <w:t xml:space="preserve"> the </w:t>
            </w:r>
            <w:r w:rsidR="005C7D13">
              <w:rPr>
                <w:color w:val="000000"/>
              </w:rPr>
              <w:t xml:space="preserve">disconnection </w:t>
            </w:r>
            <w:r w:rsidR="00381FF3">
              <w:rPr>
                <w:color w:val="000000"/>
              </w:rPr>
              <w:t>caps</w:t>
            </w:r>
            <w:r>
              <w:rPr>
                <w:color w:val="000000"/>
              </w:rPr>
              <w:t>:</w:t>
            </w:r>
          </w:p>
          <w:p w:rsidR="00851EC7" w:rsidP="00AF587D" w:rsidRDefault="00851EC7" w14:paraId="0BA6E8A6" w14:textId="77777777">
            <w:pPr>
              <w:widowControl w:val="0"/>
              <w:rPr>
                <w:color w:val="000000"/>
              </w:rPr>
            </w:pPr>
          </w:p>
          <w:p w:rsidRPr="004C0192" w:rsidR="009514BB" w:rsidP="00D3269D" w:rsidRDefault="009514BB" w14:paraId="685E3D63" w14:textId="13B5961F">
            <w:pPr>
              <w:widowControl w:val="0"/>
              <w:rPr>
                <w:color w:val="000000"/>
              </w:rPr>
            </w:pPr>
            <w:r>
              <w:rPr>
                <w:color w:val="000000"/>
              </w:rPr>
              <w:t>“</w:t>
            </w:r>
            <w:r w:rsidRPr="00D3269D" w:rsidR="00D3269D">
              <w:rPr>
                <w:color w:val="000000"/>
              </w:rPr>
              <w:t>Party</w:t>
            </w:r>
            <w:r w:rsidR="00D3269D">
              <w:rPr>
                <w:color w:val="000000"/>
              </w:rPr>
              <w:t xml:space="preserve"> </w:t>
            </w:r>
            <w:r w:rsidRPr="00D3269D" w:rsidR="00D3269D">
              <w:rPr>
                <w:color w:val="000000"/>
              </w:rPr>
              <w:t>comments highlighted important, interrelated considerations that are often in</w:t>
            </w:r>
            <w:r w:rsidR="00D3269D">
              <w:rPr>
                <w:color w:val="000000"/>
              </w:rPr>
              <w:t xml:space="preserve"> </w:t>
            </w:r>
            <w:r w:rsidRPr="004C0192" w:rsidR="00D3269D">
              <w:rPr>
                <w:color w:val="000000"/>
              </w:rPr>
              <w:t xml:space="preserve">tension with each other…. </w:t>
            </w:r>
            <w:r w:rsidRPr="004C0192">
              <w:rPr>
                <w:color w:val="000000"/>
              </w:rPr>
              <w:t>The Commission agrees that</w:t>
            </w:r>
          </w:p>
          <w:p w:rsidRPr="004C0192" w:rsidR="009514BB" w:rsidP="009514BB" w:rsidRDefault="009514BB" w14:paraId="69495812" w14:textId="77777777">
            <w:pPr>
              <w:widowControl w:val="0"/>
              <w:rPr>
                <w:color w:val="000000"/>
              </w:rPr>
            </w:pPr>
            <w:r w:rsidRPr="004C0192">
              <w:rPr>
                <w:color w:val="000000"/>
              </w:rPr>
              <w:t>these factors should be considered and that more information is needed.”</w:t>
            </w:r>
          </w:p>
          <w:p w:rsidRPr="004C0192" w:rsidR="009514BB" w:rsidP="009514BB" w:rsidRDefault="00851EC7" w14:paraId="5B45E747" w14:textId="3563D292">
            <w:pPr>
              <w:widowControl w:val="0"/>
              <w:rPr>
                <w:b/>
                <w:bCs/>
                <w:color w:val="000000"/>
              </w:rPr>
            </w:pPr>
            <w:r w:rsidRPr="004C0192">
              <w:rPr>
                <w:b/>
                <w:bCs/>
                <w:color w:val="000000"/>
              </w:rPr>
              <w:t>D.24-11-005</w:t>
            </w:r>
            <w:r w:rsidRPr="004C0192" w:rsidR="00D3269D">
              <w:rPr>
                <w:b/>
                <w:bCs/>
                <w:color w:val="000000"/>
              </w:rPr>
              <w:t>, p</w:t>
            </w:r>
            <w:r w:rsidRPr="004C0192" w:rsidR="00C45D47">
              <w:rPr>
                <w:b/>
                <w:bCs/>
                <w:color w:val="000000"/>
              </w:rPr>
              <w:t>p</w:t>
            </w:r>
            <w:r w:rsidRPr="004C0192" w:rsidR="00D3269D">
              <w:rPr>
                <w:b/>
                <w:bCs/>
                <w:color w:val="000000"/>
              </w:rPr>
              <w:t>. 4-5</w:t>
            </w:r>
            <w:r w:rsidRPr="004C0192" w:rsidR="00897932">
              <w:rPr>
                <w:b/>
                <w:bCs/>
                <w:color w:val="000000"/>
              </w:rPr>
              <w:t>.</w:t>
            </w:r>
          </w:p>
          <w:p w:rsidRPr="004C0192" w:rsidR="00851EC7" w:rsidP="009514BB" w:rsidRDefault="00851EC7" w14:paraId="581F6FF6" w14:textId="77777777">
            <w:pPr>
              <w:widowControl w:val="0"/>
              <w:rPr>
                <w:color w:val="000000"/>
              </w:rPr>
            </w:pPr>
          </w:p>
          <w:p w:rsidRPr="00117CEA" w:rsidR="00117CEA" w:rsidP="00117CEA" w:rsidRDefault="00117CEA" w14:paraId="0311BC57" w14:textId="70C96194">
            <w:pPr>
              <w:widowControl w:val="0"/>
              <w:rPr>
                <w:color w:val="000000"/>
              </w:rPr>
            </w:pPr>
            <w:r w:rsidRPr="004C0192">
              <w:rPr>
                <w:color w:val="000000"/>
              </w:rPr>
              <w:t>“Until a final decision</w:t>
            </w:r>
            <w:r w:rsidRPr="00117CEA">
              <w:rPr>
                <w:color w:val="000000"/>
              </w:rPr>
              <w:t xml:space="preserve"> that considers</w:t>
            </w:r>
          </w:p>
          <w:p w:rsidRPr="004C0192" w:rsidR="00117CEA" w:rsidP="00117CEA" w:rsidRDefault="00117CEA" w14:paraId="14CEDA62" w14:textId="6F49A7F9">
            <w:pPr>
              <w:widowControl w:val="0"/>
              <w:rPr>
                <w:color w:val="000000"/>
              </w:rPr>
            </w:pPr>
            <w:r w:rsidRPr="00117CEA">
              <w:rPr>
                <w:color w:val="000000"/>
              </w:rPr>
              <w:t>this additional information is issued, the Large Utilities shall each maintain the</w:t>
            </w:r>
            <w:r>
              <w:rPr>
                <w:color w:val="000000"/>
              </w:rPr>
              <w:t xml:space="preserve"> </w:t>
            </w:r>
            <w:r w:rsidRPr="00117CEA">
              <w:rPr>
                <w:color w:val="000000"/>
              </w:rPr>
              <w:t>disconnection rate caps</w:t>
            </w:r>
            <w:r>
              <w:rPr>
                <w:color w:val="000000"/>
              </w:rPr>
              <w:t xml:space="preserve"> </w:t>
            </w:r>
            <w:r w:rsidRPr="00117CEA">
              <w:rPr>
                <w:color w:val="000000"/>
              </w:rPr>
              <w:t>established in Decision 20-06-003 and in place at the time</w:t>
            </w:r>
            <w:r>
              <w:rPr>
                <w:color w:val="000000"/>
              </w:rPr>
              <w:t xml:space="preserve"> </w:t>
            </w:r>
            <w:r w:rsidRPr="00117CEA">
              <w:rPr>
                <w:color w:val="000000"/>
              </w:rPr>
              <w:t xml:space="preserve">of this decision. A </w:t>
            </w:r>
            <w:r w:rsidRPr="004C0192">
              <w:rPr>
                <w:color w:val="000000"/>
              </w:rPr>
              <w:t>final decision on this matter will be issued by July 1, 2025.”</w:t>
            </w:r>
          </w:p>
          <w:p w:rsidRPr="004C0192" w:rsidR="00117CEA" w:rsidP="00117CEA" w:rsidRDefault="00117CEA" w14:paraId="36F63E9D" w14:textId="6B37D9B0">
            <w:pPr>
              <w:widowControl w:val="0"/>
              <w:rPr>
                <w:b/>
                <w:bCs/>
                <w:color w:val="000000"/>
              </w:rPr>
            </w:pPr>
            <w:r w:rsidRPr="004C0192">
              <w:rPr>
                <w:b/>
                <w:bCs/>
                <w:color w:val="000000"/>
              </w:rPr>
              <w:t>D.24-11-005, p. 5</w:t>
            </w:r>
            <w:r w:rsidRPr="004C0192" w:rsidR="00897932">
              <w:rPr>
                <w:b/>
                <w:bCs/>
                <w:color w:val="000000"/>
              </w:rPr>
              <w:t>.</w:t>
            </w:r>
          </w:p>
          <w:p w:rsidRPr="004C0192" w:rsidR="00A511E8" w:rsidP="00117CEA" w:rsidRDefault="00A511E8" w14:paraId="744B169E" w14:textId="77777777">
            <w:pPr>
              <w:widowControl w:val="0"/>
              <w:rPr>
                <w:color w:val="000000"/>
              </w:rPr>
            </w:pPr>
          </w:p>
          <w:p w:rsidRPr="004C0192" w:rsidR="00A511E8" w:rsidP="00A511E8" w:rsidRDefault="00A511E8" w14:paraId="29D9CD9F" w14:textId="77777777">
            <w:pPr>
              <w:widowControl w:val="0"/>
              <w:rPr>
                <w:color w:val="000000"/>
              </w:rPr>
            </w:pPr>
            <w:r w:rsidRPr="004C0192">
              <w:rPr>
                <w:color w:val="000000"/>
              </w:rPr>
              <w:t>“The Commission may develop an additional record in the future on the</w:t>
            </w:r>
          </w:p>
          <w:p w:rsidRPr="004C0192" w:rsidR="00A511E8" w:rsidP="00A511E8" w:rsidRDefault="00A511E8" w14:paraId="10B60BF0" w14:textId="4105C3C0">
            <w:pPr>
              <w:widowControl w:val="0"/>
              <w:rPr>
                <w:color w:val="000000"/>
              </w:rPr>
            </w:pPr>
            <w:r w:rsidRPr="004C0192">
              <w:rPr>
                <w:color w:val="000000"/>
              </w:rPr>
              <w:t>commenters' recommendations but does not change the decision on those issues.”</w:t>
            </w:r>
          </w:p>
          <w:p w:rsidRPr="007F620E" w:rsidR="00117CEA" w:rsidP="00117CEA" w:rsidRDefault="00A511E8" w14:paraId="347D1DDA" w14:textId="70C92411">
            <w:pPr>
              <w:widowControl w:val="0"/>
              <w:rPr>
                <w:color w:val="000000"/>
              </w:rPr>
            </w:pPr>
            <w:r w:rsidRPr="004C0192">
              <w:rPr>
                <w:b/>
                <w:bCs/>
                <w:color w:val="000000"/>
              </w:rPr>
              <w:t>D.24-11-005, p. 6</w:t>
            </w:r>
            <w:r w:rsidRPr="004C0192" w:rsidR="00897932">
              <w:rPr>
                <w:b/>
                <w:bCs/>
                <w:color w:val="000000"/>
              </w:rPr>
              <w:t>.</w:t>
            </w:r>
          </w:p>
        </w:tc>
        <w:tc>
          <w:tcPr>
            <w:tcW w:w="2340" w:type="dxa"/>
          </w:tcPr>
          <w:p w:rsidRPr="007F620E" w:rsidR="00961785" w:rsidP="004C0192" w:rsidRDefault="004C0192" w14:paraId="3EEF099D" w14:textId="1CA61CCA">
            <w:pPr>
              <w:widowControl w:val="0"/>
              <w:jc w:val="center"/>
              <w:rPr>
                <w:color w:val="000000"/>
              </w:rPr>
            </w:pPr>
            <w:r>
              <w:rPr>
                <w:color w:val="000000"/>
              </w:rPr>
              <w:t>Verified</w:t>
            </w:r>
          </w:p>
        </w:tc>
      </w:tr>
      <w:tr w:rsidRPr="007F620E" w:rsidR="004664B1" w:rsidTr="00D33661" w14:paraId="76382A3C" w14:textId="77777777">
        <w:trPr>
          <w:cantSplit/>
        </w:trPr>
        <w:tc>
          <w:tcPr>
            <w:tcW w:w="3505" w:type="dxa"/>
          </w:tcPr>
          <w:p w:rsidRPr="00711641" w:rsidR="00AA5F66" w:rsidP="00AA5F66" w:rsidRDefault="00AA5F66" w14:paraId="17EEB6C2" w14:textId="77777777">
            <w:pPr>
              <w:keepNext/>
              <w:widowControl w:val="0"/>
              <w:rPr>
                <w:b/>
                <w:bCs/>
                <w:color w:val="000000"/>
              </w:rPr>
            </w:pPr>
            <w:r w:rsidRPr="00897932">
              <w:rPr>
                <w:b/>
                <w:bCs/>
                <w:color w:val="000000"/>
                <w:u w:val="single"/>
              </w:rPr>
              <w:lastRenderedPageBreak/>
              <w:t>D.25-04-004</w:t>
            </w:r>
            <w:r w:rsidRPr="00711641">
              <w:rPr>
                <w:b/>
                <w:bCs/>
                <w:color w:val="000000"/>
              </w:rPr>
              <w:t xml:space="preserve"> Issues:</w:t>
            </w:r>
          </w:p>
          <w:p w:rsidR="00AA5F66" w:rsidP="00AA5F66" w:rsidRDefault="00AA5F66" w14:paraId="2D22695F" w14:textId="77777777">
            <w:pPr>
              <w:keepNext/>
              <w:widowControl w:val="0"/>
              <w:rPr>
                <w:color w:val="000000"/>
              </w:rPr>
            </w:pPr>
            <w:r w:rsidRPr="00711641">
              <w:rPr>
                <w:b/>
                <w:bCs/>
                <w:color w:val="000000"/>
              </w:rPr>
              <w:t>Den</w:t>
            </w:r>
            <w:r>
              <w:rPr>
                <w:b/>
                <w:bCs/>
                <w:color w:val="000000"/>
              </w:rPr>
              <w:t>ial of</w:t>
            </w:r>
            <w:r w:rsidRPr="00711641">
              <w:rPr>
                <w:b/>
                <w:bCs/>
                <w:color w:val="000000"/>
              </w:rPr>
              <w:t xml:space="preserve"> Utilities’ PFM</w:t>
            </w:r>
            <w:r w:rsidRPr="007F27AC">
              <w:rPr>
                <w:color w:val="000000"/>
              </w:rPr>
              <w:t xml:space="preserve"> </w:t>
            </w:r>
          </w:p>
          <w:p w:rsidRPr="007F27AC" w:rsidR="00961785" w:rsidP="00AA5F66" w:rsidRDefault="004B03C9" w14:paraId="4DE929FE" w14:textId="5E3B89CD">
            <w:pPr>
              <w:keepNext/>
              <w:widowControl w:val="0"/>
              <w:rPr>
                <w:color w:val="000000"/>
              </w:rPr>
            </w:pPr>
            <w:r w:rsidRPr="007F27AC">
              <w:rPr>
                <w:color w:val="000000"/>
              </w:rPr>
              <w:t>UCAN supported the proposed decision</w:t>
            </w:r>
            <w:r w:rsidRPr="007F27AC" w:rsidR="00E077FE">
              <w:rPr>
                <w:color w:val="000000"/>
              </w:rPr>
              <w:t>’</w:t>
            </w:r>
            <w:r w:rsidRPr="007F27AC">
              <w:rPr>
                <w:color w:val="000000"/>
              </w:rPr>
              <w:t>s order</w:t>
            </w:r>
            <w:r w:rsidRPr="007F27AC" w:rsidR="000B322C">
              <w:rPr>
                <w:color w:val="000000"/>
              </w:rPr>
              <w:t xml:space="preserve"> which</w:t>
            </w:r>
            <w:r w:rsidRPr="007F27AC" w:rsidR="009218B6">
              <w:rPr>
                <w:color w:val="000000"/>
              </w:rPr>
              <w:t xml:space="preserve"> denied the utilities’ </w:t>
            </w:r>
            <w:r w:rsidRPr="007F27AC" w:rsidR="005D316A">
              <w:rPr>
                <w:color w:val="000000"/>
              </w:rPr>
              <w:t>petition for modification (“PFM”)</w:t>
            </w:r>
            <w:r w:rsidRPr="007F27AC" w:rsidR="000B322C">
              <w:rPr>
                <w:color w:val="000000"/>
              </w:rPr>
              <w:t xml:space="preserve"> and recommended that the PFM be adopted without changes</w:t>
            </w:r>
            <w:r w:rsidRPr="007F27AC" w:rsidR="009218B6">
              <w:rPr>
                <w:color w:val="000000"/>
              </w:rPr>
              <w:t xml:space="preserve">. </w:t>
            </w:r>
            <w:r w:rsidRPr="007F27AC" w:rsidR="009427D2">
              <w:rPr>
                <w:color w:val="000000"/>
              </w:rPr>
              <w:t>In support of its legal interpretation, UCAN cited Commission decisions,</w:t>
            </w:r>
            <w:r w:rsidRPr="007F27AC" w:rsidR="006413FC">
              <w:rPr>
                <w:color w:val="000000"/>
              </w:rPr>
              <w:t xml:space="preserve"> rules, standard practices</w:t>
            </w:r>
            <w:r w:rsidRPr="007F27AC" w:rsidR="004E1723">
              <w:rPr>
                <w:color w:val="000000"/>
              </w:rPr>
              <w:t>,</w:t>
            </w:r>
            <w:r w:rsidRPr="007F27AC" w:rsidR="006413FC">
              <w:rPr>
                <w:color w:val="000000"/>
              </w:rPr>
              <w:t xml:space="preserve"> and case law. </w:t>
            </w:r>
          </w:p>
          <w:p w:rsidRPr="007F27AC" w:rsidR="009A7CF6" w:rsidP="00332303" w:rsidRDefault="009A7CF6" w14:paraId="73DE6378" w14:textId="77777777">
            <w:pPr>
              <w:keepNext/>
              <w:widowControl w:val="0"/>
              <w:rPr>
                <w:color w:val="000000"/>
              </w:rPr>
            </w:pPr>
          </w:p>
          <w:p w:rsidRPr="007F27AC" w:rsidR="00897932" w:rsidP="00332303" w:rsidRDefault="009A7CF6" w14:paraId="413FB9E3" w14:textId="77777777">
            <w:pPr>
              <w:keepNext/>
              <w:widowControl w:val="0"/>
            </w:pPr>
            <w:r w:rsidRPr="007F27AC">
              <w:rPr>
                <w:b/>
                <w:bCs/>
                <w:color w:val="000000"/>
              </w:rPr>
              <w:t xml:space="preserve">UCAN 11: </w:t>
            </w:r>
            <w:r w:rsidRPr="007F27AC" w:rsidR="006413FC">
              <w:rPr>
                <w:b/>
                <w:bCs/>
                <w:color w:val="000000"/>
              </w:rPr>
              <w:t>pp. 1-4</w:t>
            </w:r>
            <w:r w:rsidRPr="007F27AC" w:rsidR="00E357D6">
              <w:t>;</w:t>
            </w:r>
          </w:p>
          <w:p w:rsidRPr="007F27AC" w:rsidR="006455D0" w:rsidP="00332303" w:rsidRDefault="00E357D6" w14:paraId="1A56784F" w14:textId="46B76EFB">
            <w:pPr>
              <w:keepNext/>
              <w:widowControl w:val="0"/>
              <w:rPr>
                <w:color w:val="000000"/>
              </w:rPr>
            </w:pPr>
            <w:r w:rsidRPr="007F27AC">
              <w:rPr>
                <w:rStyle w:val="fontstyle01"/>
                <w:i/>
                <w:iCs/>
              </w:rPr>
              <w:t>see also</w:t>
            </w:r>
            <w:r w:rsidRPr="007F27AC" w:rsidR="00897932">
              <w:t xml:space="preserve"> </w:t>
            </w:r>
            <w:r w:rsidRPr="007F27AC" w:rsidR="009A7CF6">
              <w:rPr>
                <w:b/>
                <w:bCs/>
                <w:color w:val="000000"/>
              </w:rPr>
              <w:t xml:space="preserve">UCAN 12: </w:t>
            </w:r>
            <w:r w:rsidRPr="007F27AC" w:rsidR="006413FC">
              <w:rPr>
                <w:b/>
                <w:bCs/>
                <w:color w:val="000000"/>
              </w:rPr>
              <w:t xml:space="preserve">pp. </w:t>
            </w:r>
            <w:r w:rsidRPr="007F27AC" w:rsidR="006B723B">
              <w:rPr>
                <w:b/>
                <w:bCs/>
                <w:color w:val="000000"/>
              </w:rPr>
              <w:t>2-3</w:t>
            </w:r>
            <w:r w:rsidRPr="007F27AC" w:rsidR="006B723B">
              <w:rPr>
                <w:color w:val="000000"/>
              </w:rPr>
              <w:t xml:space="preserve">. </w:t>
            </w:r>
          </w:p>
        </w:tc>
        <w:tc>
          <w:tcPr>
            <w:tcW w:w="3893" w:type="dxa"/>
          </w:tcPr>
          <w:p w:rsidRPr="007F27AC" w:rsidR="00C04708" w:rsidP="00332303" w:rsidRDefault="00A40E1D" w14:paraId="1986CDC4" w14:textId="09D1F861">
            <w:pPr>
              <w:keepNext/>
              <w:widowControl w:val="0"/>
              <w:rPr>
                <w:color w:val="000000"/>
              </w:rPr>
            </w:pPr>
            <w:r w:rsidRPr="007F27AC">
              <w:rPr>
                <w:color w:val="000000"/>
              </w:rPr>
              <w:t>In alignment with UCAN’s legal analysis, t</w:t>
            </w:r>
            <w:r w:rsidRPr="007F27AC" w:rsidR="006B723B">
              <w:rPr>
                <w:color w:val="000000"/>
              </w:rPr>
              <w:t>he Commission a</w:t>
            </w:r>
            <w:r w:rsidRPr="007F27AC">
              <w:rPr>
                <w:color w:val="000000"/>
              </w:rPr>
              <w:t xml:space="preserve">dopted the </w:t>
            </w:r>
            <w:r w:rsidRPr="007F27AC" w:rsidR="00465F7E">
              <w:rPr>
                <w:color w:val="000000"/>
              </w:rPr>
              <w:t xml:space="preserve">PD without </w:t>
            </w:r>
            <w:r w:rsidRPr="007F27AC" w:rsidR="005D316A">
              <w:rPr>
                <w:color w:val="000000"/>
              </w:rPr>
              <w:t>substantive</w:t>
            </w:r>
            <w:r w:rsidRPr="007F27AC" w:rsidR="00465F7E">
              <w:rPr>
                <w:color w:val="000000"/>
              </w:rPr>
              <w:t xml:space="preserve"> changes. </w:t>
            </w:r>
            <w:r w:rsidRPr="007F27AC" w:rsidR="000112E9">
              <w:rPr>
                <w:color w:val="000000"/>
              </w:rPr>
              <w:t>D.25-04-004 denies the IOUs’</w:t>
            </w:r>
            <w:r w:rsidRPr="007F27AC" w:rsidR="005D316A">
              <w:rPr>
                <w:color w:val="000000"/>
              </w:rPr>
              <w:t xml:space="preserve"> </w:t>
            </w:r>
            <w:r w:rsidRPr="007F27AC" w:rsidR="00C04708">
              <w:rPr>
                <w:color w:val="000000"/>
              </w:rPr>
              <w:t>PFM.</w:t>
            </w:r>
          </w:p>
          <w:p w:rsidRPr="007F27AC" w:rsidR="00BB523B" w:rsidP="00332303" w:rsidRDefault="00BB523B" w14:paraId="4BD57C1E" w14:textId="77777777">
            <w:pPr>
              <w:keepNext/>
              <w:widowControl w:val="0"/>
              <w:ind w:left="90"/>
              <w:rPr>
                <w:color w:val="000000"/>
              </w:rPr>
            </w:pPr>
          </w:p>
          <w:p w:rsidRPr="007F27AC" w:rsidR="00BB523B" w:rsidP="00332303" w:rsidRDefault="00A40E1D" w14:paraId="2D350968" w14:textId="6CD2666E">
            <w:pPr>
              <w:keepNext/>
              <w:widowControl w:val="0"/>
              <w:rPr>
                <w:color w:val="000000"/>
              </w:rPr>
            </w:pPr>
            <w:r w:rsidRPr="007F27AC">
              <w:rPr>
                <w:color w:val="000000"/>
              </w:rPr>
              <w:t>“</w:t>
            </w:r>
            <w:r w:rsidRPr="007F27AC" w:rsidR="00BB523B">
              <w:rPr>
                <w:color w:val="000000"/>
              </w:rPr>
              <w:t xml:space="preserve">The </w:t>
            </w:r>
            <w:r w:rsidRPr="007F27AC">
              <w:rPr>
                <w:color w:val="000000"/>
              </w:rPr>
              <w:t xml:space="preserve">[PD] </w:t>
            </w:r>
            <w:r w:rsidRPr="007F27AC" w:rsidR="00BB523B">
              <w:rPr>
                <w:color w:val="000000"/>
              </w:rPr>
              <w:t>comments argue over the circumstances in which it is appropriate for the Commission to consider a Petition for Modification, and do not result in substantive changes to this Proposed Decision.</w:t>
            </w:r>
            <w:r w:rsidRPr="007F27AC" w:rsidR="00590089">
              <w:rPr>
                <w:color w:val="000000"/>
              </w:rPr>
              <w:t>”</w:t>
            </w:r>
          </w:p>
          <w:p w:rsidRPr="007F27AC" w:rsidR="00961785" w:rsidP="00332303" w:rsidRDefault="00590089" w14:paraId="02523FA0" w14:textId="5191F059">
            <w:pPr>
              <w:keepNext/>
              <w:widowControl w:val="0"/>
              <w:rPr>
                <w:b/>
                <w:bCs/>
                <w:color w:val="000000"/>
              </w:rPr>
            </w:pPr>
            <w:r w:rsidRPr="007F27AC">
              <w:rPr>
                <w:b/>
                <w:bCs/>
                <w:color w:val="000000"/>
              </w:rPr>
              <w:t xml:space="preserve">D.25-04-004, p. 4. </w:t>
            </w:r>
          </w:p>
        </w:tc>
        <w:tc>
          <w:tcPr>
            <w:tcW w:w="2340" w:type="dxa"/>
          </w:tcPr>
          <w:p w:rsidRPr="007F620E" w:rsidR="00961785" w:rsidP="007F27AC" w:rsidRDefault="007F27AC" w14:paraId="285F9732" w14:textId="5B26FA38">
            <w:pPr>
              <w:keepNext/>
              <w:widowControl w:val="0"/>
              <w:ind w:left="90"/>
              <w:jc w:val="center"/>
              <w:rPr>
                <w:color w:val="000000"/>
              </w:rPr>
            </w:pPr>
            <w:r>
              <w:rPr>
                <w:color w:val="000000"/>
              </w:rPr>
              <w:t>Verified</w:t>
            </w:r>
          </w:p>
        </w:tc>
      </w:tr>
      <w:tr w:rsidRPr="007F620E" w:rsidR="004664B1" w:rsidTr="00D33661" w14:paraId="315986F6" w14:textId="77777777">
        <w:tc>
          <w:tcPr>
            <w:tcW w:w="3505" w:type="dxa"/>
          </w:tcPr>
          <w:p w:rsidR="006455D0" w:rsidP="006455D0" w:rsidRDefault="006455D0" w14:paraId="1D0CAE3A" w14:textId="0AF03D97">
            <w:pPr>
              <w:widowControl w:val="0"/>
              <w:rPr>
                <w:color w:val="000000"/>
              </w:rPr>
            </w:pPr>
            <w:r>
              <w:rPr>
                <w:color w:val="000000"/>
              </w:rPr>
              <w:t>UCAN opposed the PFM</w:t>
            </w:r>
            <w:r w:rsidR="00860BA2">
              <w:rPr>
                <w:color w:val="000000"/>
              </w:rPr>
              <w:t xml:space="preserve"> in both comments and reply comments:</w:t>
            </w:r>
          </w:p>
          <w:p w:rsidR="00860BA2" w:rsidP="006455D0" w:rsidRDefault="00860BA2" w14:paraId="2C5D940F" w14:textId="77777777">
            <w:pPr>
              <w:widowControl w:val="0"/>
              <w:rPr>
                <w:color w:val="000000"/>
              </w:rPr>
            </w:pPr>
          </w:p>
          <w:p w:rsidRPr="006455D0" w:rsidR="006455D0" w:rsidP="006455D0" w:rsidRDefault="006455D0" w14:paraId="0B5064B4" w14:textId="5B45BA65">
            <w:pPr>
              <w:widowControl w:val="0"/>
              <w:rPr>
                <w:color w:val="000000"/>
              </w:rPr>
            </w:pPr>
            <w:r>
              <w:rPr>
                <w:color w:val="000000"/>
              </w:rPr>
              <w:t>“</w:t>
            </w:r>
            <w:r w:rsidRPr="006455D0">
              <w:rPr>
                <w:color w:val="000000"/>
              </w:rPr>
              <w:t>The proposed decision of Commissioner Houck correctly denied the petition for</w:t>
            </w:r>
            <w:r>
              <w:rPr>
                <w:color w:val="000000"/>
              </w:rPr>
              <w:t xml:space="preserve"> </w:t>
            </w:r>
            <w:r w:rsidRPr="006455D0">
              <w:rPr>
                <w:color w:val="000000"/>
              </w:rPr>
              <w:t>modification submitted by the four large energy IOUs. Granting the petition for modification</w:t>
            </w:r>
          </w:p>
          <w:p w:rsidR="006455D0" w:rsidP="006455D0" w:rsidRDefault="006455D0" w14:paraId="2633F601" w14:textId="77777777">
            <w:pPr>
              <w:widowControl w:val="0"/>
              <w:rPr>
                <w:color w:val="000000"/>
              </w:rPr>
            </w:pPr>
            <w:r w:rsidRPr="006455D0">
              <w:rPr>
                <w:color w:val="000000"/>
              </w:rPr>
              <w:t>would violate the principle of res judicata.</w:t>
            </w:r>
            <w:r>
              <w:rPr>
                <w:color w:val="000000"/>
              </w:rPr>
              <w:t>”</w:t>
            </w:r>
          </w:p>
          <w:p w:rsidR="00C45D47" w:rsidP="006455D0" w:rsidRDefault="00C45D47" w14:paraId="52DF30F3" w14:textId="77777777">
            <w:pPr>
              <w:widowControl w:val="0"/>
              <w:rPr>
                <w:color w:val="000000"/>
              </w:rPr>
            </w:pPr>
          </w:p>
          <w:p w:rsidRPr="00897932" w:rsidR="006455D0" w:rsidP="006455D0" w:rsidRDefault="006455D0" w14:paraId="32714913" w14:textId="0834E4BA">
            <w:pPr>
              <w:widowControl w:val="0"/>
              <w:rPr>
                <w:b/>
                <w:bCs/>
                <w:color w:val="000000"/>
              </w:rPr>
            </w:pPr>
            <w:r w:rsidRPr="00897932">
              <w:rPr>
                <w:b/>
                <w:bCs/>
                <w:color w:val="000000"/>
              </w:rPr>
              <w:t>UCAN 11: p. 4.</w:t>
            </w:r>
          </w:p>
          <w:p w:rsidR="00961785" w:rsidP="00AF587D" w:rsidRDefault="00961785" w14:paraId="05888BBD" w14:textId="77777777">
            <w:pPr>
              <w:widowControl w:val="0"/>
              <w:ind w:left="90"/>
              <w:rPr>
                <w:color w:val="000000"/>
              </w:rPr>
            </w:pPr>
          </w:p>
          <w:p w:rsidRPr="00F44168" w:rsidR="00F44168" w:rsidP="00F44168" w:rsidRDefault="00860BA2" w14:paraId="15175698" w14:textId="4DEC83CE">
            <w:pPr>
              <w:widowControl w:val="0"/>
              <w:rPr>
                <w:color w:val="000000"/>
              </w:rPr>
            </w:pPr>
            <w:r>
              <w:rPr>
                <w:color w:val="000000"/>
              </w:rPr>
              <w:t>“</w:t>
            </w:r>
            <w:r w:rsidR="00332303">
              <w:rPr>
                <w:color w:val="000000"/>
              </w:rPr>
              <w:t>[T]</w:t>
            </w:r>
            <w:r w:rsidRPr="00F44168" w:rsidR="00F44168">
              <w:rPr>
                <w:color w:val="000000"/>
              </w:rPr>
              <w:t>he outcome of the PD should remain unmodified, i.e., the joint</w:t>
            </w:r>
          </w:p>
          <w:p w:rsidR="00860BA2" w:rsidP="00F44168" w:rsidRDefault="00F44168" w14:paraId="6C94772B" w14:textId="24D475DB">
            <w:pPr>
              <w:widowControl w:val="0"/>
              <w:rPr>
                <w:color w:val="000000"/>
              </w:rPr>
            </w:pPr>
            <w:r w:rsidRPr="00F44168">
              <w:rPr>
                <w:color w:val="000000"/>
              </w:rPr>
              <w:t>utilities’ petition for modification of D.23-08-049 should be denied. The expenses associated</w:t>
            </w:r>
            <w:r w:rsidR="00332303">
              <w:rPr>
                <w:color w:val="000000"/>
              </w:rPr>
              <w:t xml:space="preserve"> </w:t>
            </w:r>
            <w:r w:rsidRPr="00F44168">
              <w:rPr>
                <w:color w:val="000000"/>
              </w:rPr>
              <w:t>with establishing a two-year</w:t>
            </w:r>
            <w:r w:rsidR="00332303">
              <w:rPr>
                <w:color w:val="000000"/>
              </w:rPr>
              <w:t xml:space="preserve"> </w:t>
            </w:r>
            <w:r w:rsidRPr="00F44168">
              <w:rPr>
                <w:color w:val="000000"/>
              </w:rPr>
              <w:t>repayment mechanism for residential customer arrearages are not</w:t>
            </w:r>
            <w:r w:rsidR="00332303">
              <w:rPr>
                <w:color w:val="000000"/>
              </w:rPr>
              <w:t xml:space="preserve"> </w:t>
            </w:r>
            <w:r w:rsidRPr="00F44168">
              <w:rPr>
                <w:color w:val="000000"/>
              </w:rPr>
              <w:t>the type of “new or changed facts” that require the establishment of another set of memorandum</w:t>
            </w:r>
            <w:r w:rsidR="00332303">
              <w:rPr>
                <w:color w:val="000000"/>
              </w:rPr>
              <w:t xml:space="preserve"> </w:t>
            </w:r>
            <w:r w:rsidRPr="00F44168">
              <w:rPr>
                <w:color w:val="000000"/>
              </w:rPr>
              <w:t>accounts for the joint utilities.</w:t>
            </w:r>
            <w:r>
              <w:rPr>
                <w:color w:val="000000"/>
              </w:rPr>
              <w:t>”</w:t>
            </w:r>
          </w:p>
          <w:p w:rsidR="00C45D47" w:rsidP="00F44168" w:rsidRDefault="00C45D47" w14:paraId="0A530180" w14:textId="77777777">
            <w:pPr>
              <w:widowControl w:val="0"/>
              <w:rPr>
                <w:color w:val="000000"/>
              </w:rPr>
            </w:pPr>
          </w:p>
          <w:p w:rsidRPr="007F620E" w:rsidR="00D25A8F" w:rsidP="00332303" w:rsidRDefault="00F44168" w14:paraId="63D0A6FE" w14:textId="139EA5E2">
            <w:pPr>
              <w:widowControl w:val="0"/>
              <w:rPr>
                <w:color w:val="000000"/>
              </w:rPr>
            </w:pPr>
            <w:r w:rsidRPr="00897932">
              <w:rPr>
                <w:b/>
                <w:bCs/>
                <w:color w:val="000000"/>
              </w:rPr>
              <w:t>UCAN 12: p. 3.</w:t>
            </w:r>
          </w:p>
        </w:tc>
        <w:tc>
          <w:tcPr>
            <w:tcW w:w="3893" w:type="dxa"/>
          </w:tcPr>
          <w:p w:rsidR="006455D0" w:rsidP="006455D0" w:rsidRDefault="006455D0" w14:paraId="22E207D1" w14:textId="2F3EE734">
            <w:pPr>
              <w:widowControl w:val="0"/>
              <w:rPr>
                <w:color w:val="000000"/>
              </w:rPr>
            </w:pPr>
            <w:r>
              <w:rPr>
                <w:color w:val="000000"/>
              </w:rPr>
              <w:t>In alignment with UCAN’s recommendation</w:t>
            </w:r>
            <w:r w:rsidR="00D86B03">
              <w:rPr>
                <w:color w:val="000000"/>
              </w:rPr>
              <w:t>,</w:t>
            </w:r>
            <w:r>
              <w:rPr>
                <w:color w:val="000000"/>
              </w:rPr>
              <w:t xml:space="preserve"> the Commission denied the PFM. </w:t>
            </w:r>
          </w:p>
          <w:p w:rsidR="006455D0" w:rsidP="006455D0" w:rsidRDefault="006455D0" w14:paraId="4FEE4A7B" w14:textId="77777777">
            <w:pPr>
              <w:widowControl w:val="0"/>
              <w:rPr>
                <w:color w:val="000000"/>
              </w:rPr>
            </w:pPr>
          </w:p>
          <w:p w:rsidRPr="007F27AC" w:rsidR="006455D0" w:rsidP="006455D0" w:rsidRDefault="006455D0" w14:paraId="2B8C461F" w14:textId="05DA4DA9">
            <w:pPr>
              <w:widowControl w:val="0"/>
              <w:rPr>
                <w:color w:val="000000"/>
              </w:rPr>
            </w:pPr>
            <w:r w:rsidRPr="007F27AC">
              <w:rPr>
                <w:color w:val="000000"/>
              </w:rPr>
              <w:t>“1. The petition for modification… is denied.”</w:t>
            </w:r>
          </w:p>
          <w:p w:rsidRPr="00897932" w:rsidR="006455D0" w:rsidP="006455D0" w:rsidRDefault="006455D0" w14:paraId="3F6ACF5B" w14:textId="77777777">
            <w:pPr>
              <w:widowControl w:val="0"/>
              <w:rPr>
                <w:b/>
                <w:bCs/>
                <w:color w:val="000000"/>
              </w:rPr>
            </w:pPr>
            <w:r w:rsidRPr="007F27AC">
              <w:rPr>
                <w:b/>
                <w:bCs/>
                <w:color w:val="000000"/>
              </w:rPr>
              <w:t>D.25-04-004, OP #1, p. 5.</w:t>
            </w:r>
            <w:r w:rsidRPr="00897932">
              <w:rPr>
                <w:b/>
                <w:bCs/>
                <w:color w:val="000000"/>
              </w:rPr>
              <w:t xml:space="preserve"> </w:t>
            </w:r>
          </w:p>
          <w:p w:rsidRPr="007F620E" w:rsidR="00961785" w:rsidP="00AF587D" w:rsidRDefault="00961785" w14:paraId="56A33C02" w14:textId="77777777">
            <w:pPr>
              <w:widowControl w:val="0"/>
              <w:ind w:left="90"/>
              <w:rPr>
                <w:color w:val="000000"/>
              </w:rPr>
            </w:pPr>
          </w:p>
        </w:tc>
        <w:tc>
          <w:tcPr>
            <w:tcW w:w="2340" w:type="dxa"/>
          </w:tcPr>
          <w:p w:rsidRPr="007F620E" w:rsidR="00961785" w:rsidP="007F27AC" w:rsidRDefault="007F27AC" w14:paraId="4F41FB7B" w14:textId="77A04FB7">
            <w:pPr>
              <w:widowControl w:val="0"/>
              <w:ind w:left="90"/>
              <w:jc w:val="center"/>
              <w:rPr>
                <w:color w:val="000000"/>
              </w:rPr>
            </w:pPr>
            <w:r>
              <w:rPr>
                <w:color w:val="000000"/>
              </w:rPr>
              <w:t>Verified</w:t>
            </w:r>
          </w:p>
        </w:tc>
      </w:tr>
      <w:tr w:rsidRPr="007F620E" w:rsidR="004664B1" w:rsidTr="00D33661" w14:paraId="59F16259" w14:textId="77777777">
        <w:tc>
          <w:tcPr>
            <w:tcW w:w="3505" w:type="dxa"/>
          </w:tcPr>
          <w:p w:rsidRPr="00A81283" w:rsidR="000D0BF5" w:rsidP="000D0BF5" w:rsidRDefault="000D0BF5" w14:paraId="78707FDB" w14:textId="77777777">
            <w:pPr>
              <w:widowControl w:val="0"/>
              <w:rPr>
                <w:b/>
                <w:bCs/>
                <w:color w:val="000000"/>
              </w:rPr>
            </w:pPr>
            <w:r w:rsidRPr="00A81283">
              <w:rPr>
                <w:b/>
                <w:bCs/>
                <w:u w:val="single"/>
              </w:rPr>
              <w:t>D.25-06-012</w:t>
            </w:r>
            <w:r w:rsidRPr="00A81283">
              <w:rPr>
                <w:b/>
                <w:bCs/>
              </w:rPr>
              <w:t xml:space="preserve"> </w:t>
            </w:r>
            <w:r w:rsidRPr="00A81283">
              <w:rPr>
                <w:b/>
                <w:bCs/>
                <w:color w:val="000000"/>
              </w:rPr>
              <w:t xml:space="preserve">Issues: </w:t>
            </w:r>
          </w:p>
          <w:p w:rsidR="000D0BF5" w:rsidP="000D0BF5" w:rsidRDefault="000D0BF5" w14:paraId="6656A610" w14:textId="0EE5EA0D">
            <w:pPr>
              <w:widowControl w:val="0"/>
              <w:rPr>
                <w:color w:val="000000"/>
              </w:rPr>
            </w:pPr>
            <w:r w:rsidRPr="00A81283">
              <w:rPr>
                <w:b/>
                <w:bCs/>
                <w:color w:val="000000"/>
              </w:rPr>
              <w:t xml:space="preserve">SB 1142 requirements and </w:t>
            </w:r>
            <w:r w:rsidRPr="00A81283">
              <w:rPr>
                <w:b/>
                <w:bCs/>
                <w:color w:val="000000"/>
              </w:rPr>
              <w:lastRenderedPageBreak/>
              <w:t>Extreme Heat</w:t>
            </w:r>
          </w:p>
          <w:p w:rsidRPr="00A81283" w:rsidR="00961785" w:rsidP="009451D1" w:rsidRDefault="003C2875" w14:paraId="2F72138C" w14:textId="0797D1C2">
            <w:pPr>
              <w:widowControl w:val="0"/>
            </w:pPr>
            <w:r w:rsidRPr="00A81283">
              <w:rPr>
                <w:color w:val="000000"/>
              </w:rPr>
              <w:t xml:space="preserve">UCAN provided the Commission with </w:t>
            </w:r>
            <w:r w:rsidRPr="00A81283" w:rsidR="00A32834">
              <w:rPr>
                <w:color w:val="000000"/>
              </w:rPr>
              <w:t xml:space="preserve">numerous data points, data analyses, </w:t>
            </w:r>
            <w:r w:rsidRPr="00A81283" w:rsidR="00C661D5">
              <w:rPr>
                <w:color w:val="000000"/>
              </w:rPr>
              <w:t>and/or</w:t>
            </w:r>
            <w:r w:rsidRPr="00A81283" w:rsidR="00A32834">
              <w:rPr>
                <w:color w:val="000000"/>
              </w:rPr>
              <w:t xml:space="preserve"> policy analyses on disconnections, </w:t>
            </w:r>
            <w:r w:rsidRPr="00A81283" w:rsidR="00C62186">
              <w:rPr>
                <w:color w:val="000000"/>
              </w:rPr>
              <w:t xml:space="preserve">reconnections, </w:t>
            </w:r>
            <w:r w:rsidRPr="00A81283" w:rsidR="00A32834">
              <w:rPr>
                <w:color w:val="000000"/>
              </w:rPr>
              <w:t>affordability, customer outreach</w:t>
            </w:r>
            <w:r w:rsidRPr="00A81283" w:rsidR="00C62186">
              <w:rPr>
                <w:color w:val="000000"/>
              </w:rPr>
              <w:t>,</w:t>
            </w:r>
            <w:r w:rsidRPr="00A81283" w:rsidR="003B4171">
              <w:rPr>
                <w:color w:val="000000"/>
              </w:rPr>
              <w:t xml:space="preserve"> heat protections, and</w:t>
            </w:r>
            <w:r w:rsidRPr="00A81283" w:rsidR="00C62186">
              <w:rPr>
                <w:color w:val="000000"/>
              </w:rPr>
              <w:t xml:space="preserve"> safety</w:t>
            </w:r>
            <w:r w:rsidRPr="00A81283" w:rsidR="003B4171">
              <w:rPr>
                <w:color w:val="000000"/>
              </w:rPr>
              <w:t>. These data substantially contributed to the finding</w:t>
            </w:r>
            <w:r w:rsidRPr="00A81283" w:rsidR="000A0135">
              <w:rPr>
                <w:color w:val="000000"/>
              </w:rPr>
              <w:t>s</w:t>
            </w:r>
            <w:r w:rsidRPr="00A81283" w:rsidR="003B4171">
              <w:rPr>
                <w:color w:val="000000"/>
              </w:rPr>
              <w:t>, conclusions</w:t>
            </w:r>
            <w:r w:rsidRPr="00A81283" w:rsidR="000A0135">
              <w:rPr>
                <w:color w:val="000000"/>
              </w:rPr>
              <w:t>,</w:t>
            </w:r>
            <w:r w:rsidRPr="00A81283" w:rsidR="003B4171">
              <w:rPr>
                <w:color w:val="000000"/>
              </w:rPr>
              <w:t xml:space="preserve"> and orders in </w:t>
            </w:r>
            <w:r w:rsidRPr="00A81283" w:rsidR="003B4171">
              <w:t>D.25-06-012.</w:t>
            </w:r>
          </w:p>
          <w:p w:rsidRPr="00A81283" w:rsidR="00C45D47" w:rsidP="009451D1" w:rsidRDefault="00C45D47" w14:paraId="7ADAFA71" w14:textId="77777777">
            <w:pPr>
              <w:widowControl w:val="0"/>
              <w:rPr>
                <w:color w:val="000000"/>
              </w:rPr>
            </w:pPr>
          </w:p>
          <w:p w:rsidRPr="00A81283" w:rsidR="00897932" w:rsidP="000E32B8" w:rsidRDefault="000E32B8" w14:paraId="32C4EF3B" w14:textId="77777777">
            <w:r w:rsidRPr="00A81283">
              <w:rPr>
                <w:rStyle w:val="fontstyle01"/>
                <w:b/>
                <w:bCs/>
              </w:rPr>
              <w:t xml:space="preserve">UCAN 8, pp. </w:t>
            </w:r>
            <w:r w:rsidRPr="00A81283" w:rsidR="00E6599C">
              <w:rPr>
                <w:rStyle w:val="fontstyle01"/>
                <w:b/>
                <w:bCs/>
              </w:rPr>
              <w:t>1-15</w:t>
            </w:r>
            <w:r w:rsidRPr="00A81283" w:rsidR="00E6599C">
              <w:rPr>
                <w:rStyle w:val="fontstyle01"/>
              </w:rPr>
              <w:t xml:space="preserve">, and </w:t>
            </w:r>
            <w:r w:rsidRPr="00A81283" w:rsidR="00527E81">
              <w:rPr>
                <w:rStyle w:val="fontstyle01"/>
              </w:rPr>
              <w:t>Attachment A, pp. 1-12</w:t>
            </w:r>
            <w:r w:rsidRPr="00A81283" w:rsidR="00E357D6">
              <w:t>;</w:t>
            </w:r>
          </w:p>
          <w:p w:rsidRPr="00A81283" w:rsidR="00897932" w:rsidP="000E32B8" w:rsidRDefault="00E357D6" w14:paraId="228100E3" w14:textId="08AA95B8">
            <w:r w:rsidRPr="00A81283">
              <w:rPr>
                <w:rStyle w:val="fontstyle01"/>
                <w:i/>
                <w:iCs/>
              </w:rPr>
              <w:t>see also</w:t>
            </w:r>
            <w:r w:rsidRPr="00A81283" w:rsidR="00527E81">
              <w:rPr>
                <w:rStyle w:val="fontstyle01"/>
              </w:rPr>
              <w:t xml:space="preserve"> </w:t>
            </w:r>
            <w:r w:rsidRPr="00A81283" w:rsidR="00897932">
              <w:rPr>
                <w:rStyle w:val="fontstyle01"/>
              </w:rPr>
              <w:t xml:space="preserve"> </w:t>
            </w:r>
            <w:r w:rsidRPr="00A81283" w:rsidR="000E32B8">
              <w:rPr>
                <w:rStyle w:val="fontstyle01"/>
                <w:b/>
                <w:bCs/>
              </w:rPr>
              <w:t>UCAN 9</w:t>
            </w:r>
            <w:r w:rsidRPr="00A81283" w:rsidR="00E00136">
              <w:rPr>
                <w:rStyle w:val="fontstyle01"/>
                <w:b/>
                <w:bCs/>
              </w:rPr>
              <w:t>,</w:t>
            </w:r>
            <w:r w:rsidRPr="00A81283" w:rsidR="000E32B8">
              <w:rPr>
                <w:rStyle w:val="fontstyle01"/>
                <w:b/>
                <w:bCs/>
              </w:rPr>
              <w:t xml:space="preserve"> pp. </w:t>
            </w:r>
            <w:r w:rsidRPr="00A81283" w:rsidR="00C9262F">
              <w:rPr>
                <w:rStyle w:val="fontstyle01"/>
                <w:b/>
                <w:bCs/>
              </w:rPr>
              <w:t>1-22</w:t>
            </w:r>
            <w:r w:rsidRPr="00A81283">
              <w:t>;</w:t>
            </w:r>
          </w:p>
          <w:p w:rsidRPr="00A81283" w:rsidR="00897932" w:rsidP="000E32B8" w:rsidRDefault="00E357D6" w14:paraId="7ECF251B" w14:textId="5CAC9F59">
            <w:r w:rsidRPr="00A81283">
              <w:rPr>
                <w:rStyle w:val="fontstyle01"/>
                <w:i/>
                <w:iCs/>
              </w:rPr>
              <w:t>see also</w:t>
            </w:r>
            <w:r w:rsidRPr="00A81283" w:rsidR="00897932">
              <w:rPr>
                <w:rStyle w:val="fontstyle01"/>
              </w:rPr>
              <w:t xml:space="preserve"> </w:t>
            </w:r>
            <w:r w:rsidRPr="00A81283" w:rsidR="000E32B8">
              <w:rPr>
                <w:rStyle w:val="fontstyle01"/>
                <w:b/>
                <w:bCs/>
              </w:rPr>
              <w:t>UCAN 10</w:t>
            </w:r>
            <w:r w:rsidRPr="00A81283" w:rsidR="00E00136">
              <w:rPr>
                <w:rStyle w:val="fontstyle01"/>
                <w:b/>
                <w:bCs/>
              </w:rPr>
              <w:t>, pp.</w:t>
            </w:r>
            <w:r w:rsidRPr="00A81283" w:rsidR="00C9262F">
              <w:rPr>
                <w:rStyle w:val="fontstyle01"/>
                <w:b/>
                <w:bCs/>
              </w:rPr>
              <w:t xml:space="preserve"> </w:t>
            </w:r>
            <w:r w:rsidRPr="00A81283" w:rsidR="004D4F4A">
              <w:rPr>
                <w:rStyle w:val="fontstyle01"/>
                <w:b/>
                <w:bCs/>
              </w:rPr>
              <w:t>1-9</w:t>
            </w:r>
            <w:r w:rsidRPr="00A81283">
              <w:t>;</w:t>
            </w:r>
          </w:p>
          <w:p w:rsidRPr="00A81283" w:rsidR="00897932" w:rsidP="000E32B8" w:rsidRDefault="00E357D6" w14:paraId="6146A2E4" w14:textId="2D188B5B">
            <w:r w:rsidRPr="00A81283">
              <w:rPr>
                <w:rStyle w:val="fontstyle01"/>
                <w:i/>
                <w:iCs/>
              </w:rPr>
              <w:t>see also</w:t>
            </w:r>
            <w:r w:rsidRPr="00A81283" w:rsidR="00897932">
              <w:rPr>
                <w:rStyle w:val="fontstyle01"/>
              </w:rPr>
              <w:t xml:space="preserve"> </w:t>
            </w:r>
            <w:r w:rsidRPr="00A81283" w:rsidR="000E32B8">
              <w:rPr>
                <w:rStyle w:val="fontstyle01"/>
                <w:b/>
                <w:bCs/>
              </w:rPr>
              <w:t>UCAN 13</w:t>
            </w:r>
            <w:r w:rsidRPr="00A81283" w:rsidR="00E00136">
              <w:rPr>
                <w:rStyle w:val="fontstyle01"/>
                <w:b/>
                <w:bCs/>
              </w:rPr>
              <w:t xml:space="preserve">, pp. </w:t>
            </w:r>
            <w:r w:rsidRPr="00A81283" w:rsidR="004D4F4A">
              <w:rPr>
                <w:rStyle w:val="fontstyle01"/>
                <w:b/>
                <w:bCs/>
              </w:rPr>
              <w:t>1-5</w:t>
            </w:r>
            <w:r w:rsidRPr="00A81283">
              <w:t>;</w:t>
            </w:r>
          </w:p>
          <w:p w:rsidRPr="00A81283" w:rsidR="001549B9" w:rsidP="00897932" w:rsidRDefault="00E357D6" w14:paraId="4653DAC9" w14:textId="33CB9A71">
            <w:pPr>
              <w:rPr>
                <w:rFonts w:ascii="TimesNewRomanPSMT" w:hAnsi="TimesNewRomanPSMT"/>
                <w:color w:val="000000"/>
              </w:rPr>
            </w:pPr>
            <w:r w:rsidRPr="00A81283">
              <w:rPr>
                <w:rStyle w:val="fontstyle01"/>
                <w:i/>
                <w:iCs/>
              </w:rPr>
              <w:t>see also</w:t>
            </w:r>
            <w:r w:rsidRPr="00A81283" w:rsidR="00C45D47">
              <w:rPr>
                <w:rStyle w:val="fontstyle01"/>
                <w:i/>
                <w:iCs/>
              </w:rPr>
              <w:t xml:space="preserve"> </w:t>
            </w:r>
            <w:r w:rsidRPr="00A81283" w:rsidR="000E32B8">
              <w:rPr>
                <w:rStyle w:val="fontstyle01"/>
                <w:b/>
                <w:bCs/>
              </w:rPr>
              <w:t>UCAN 14</w:t>
            </w:r>
            <w:r w:rsidRPr="00A81283" w:rsidR="00E00136">
              <w:rPr>
                <w:rStyle w:val="fontstyle01"/>
                <w:b/>
                <w:bCs/>
              </w:rPr>
              <w:t xml:space="preserve">, pp. </w:t>
            </w:r>
            <w:r w:rsidRPr="00A81283" w:rsidR="007618F5">
              <w:rPr>
                <w:rStyle w:val="fontstyle01"/>
                <w:b/>
                <w:bCs/>
              </w:rPr>
              <w:t>1-5.</w:t>
            </w:r>
          </w:p>
        </w:tc>
        <w:tc>
          <w:tcPr>
            <w:tcW w:w="3893" w:type="dxa"/>
          </w:tcPr>
          <w:p w:rsidR="00961785" w:rsidP="00986075" w:rsidRDefault="00986075" w14:paraId="4D0DCFCC" w14:textId="4895C1EC">
            <w:pPr>
              <w:widowControl w:val="0"/>
              <w:rPr>
                <w:color w:val="000000"/>
              </w:rPr>
            </w:pPr>
            <w:r>
              <w:rPr>
                <w:color w:val="000000"/>
              </w:rPr>
              <w:lastRenderedPageBreak/>
              <w:t xml:space="preserve">The Commission cited UCAN’s contributions in numerous places in </w:t>
            </w:r>
            <w:r>
              <w:rPr>
                <w:color w:val="000000"/>
              </w:rPr>
              <w:lastRenderedPageBreak/>
              <w:t>the PD. Additionally the Commission agreed with UCAN’s recommendations in the majority of cases (</w:t>
            </w:r>
            <w:r w:rsidRPr="00897932">
              <w:rPr>
                <w:i/>
                <w:iCs/>
                <w:color w:val="000000"/>
              </w:rPr>
              <w:t>see below for specific</w:t>
            </w:r>
            <w:r w:rsidRPr="00897932" w:rsidR="006A503A">
              <w:rPr>
                <w:i/>
                <w:iCs/>
                <w:color w:val="000000"/>
              </w:rPr>
              <w:t xml:space="preserve"> citations</w:t>
            </w:r>
            <w:r w:rsidRPr="00897932" w:rsidR="00EC65A6">
              <w:rPr>
                <w:i/>
                <w:iCs/>
                <w:color w:val="000000"/>
              </w:rPr>
              <w:t xml:space="preserve"> to</w:t>
            </w:r>
            <w:r w:rsidRPr="00897932">
              <w:rPr>
                <w:i/>
                <w:iCs/>
                <w:color w:val="000000"/>
              </w:rPr>
              <w:t xml:space="preserve"> instances of agreement</w:t>
            </w:r>
            <w:r>
              <w:rPr>
                <w:color w:val="000000"/>
              </w:rPr>
              <w:t xml:space="preserve">). </w:t>
            </w:r>
          </w:p>
          <w:p w:rsidRPr="007F620E" w:rsidR="00986075" w:rsidP="00986075" w:rsidRDefault="00986075" w14:paraId="19FD3428" w14:textId="3B30AE38">
            <w:pPr>
              <w:widowControl w:val="0"/>
              <w:rPr>
                <w:color w:val="000000"/>
              </w:rPr>
            </w:pPr>
          </w:p>
        </w:tc>
        <w:tc>
          <w:tcPr>
            <w:tcW w:w="2340" w:type="dxa"/>
          </w:tcPr>
          <w:p w:rsidRPr="007F620E" w:rsidR="00961785" w:rsidP="00A81283" w:rsidRDefault="00A81283" w14:paraId="21C69290" w14:textId="77A417C3">
            <w:pPr>
              <w:widowControl w:val="0"/>
              <w:ind w:left="90"/>
              <w:jc w:val="center"/>
              <w:rPr>
                <w:color w:val="000000"/>
              </w:rPr>
            </w:pPr>
            <w:r>
              <w:rPr>
                <w:color w:val="000000"/>
              </w:rPr>
              <w:lastRenderedPageBreak/>
              <w:t>Verified</w:t>
            </w:r>
          </w:p>
        </w:tc>
      </w:tr>
      <w:tr w:rsidRPr="007F620E" w:rsidR="004664B1" w:rsidTr="00D33661" w14:paraId="6D5A4728" w14:textId="77777777">
        <w:tc>
          <w:tcPr>
            <w:tcW w:w="3505" w:type="dxa"/>
          </w:tcPr>
          <w:p w:rsidR="00DC4F4D" w:rsidP="00AF587D" w:rsidRDefault="009014DB" w14:paraId="4D0E9F22" w14:textId="4299DBCF">
            <w:pPr>
              <w:widowControl w:val="0"/>
              <w:rPr>
                <w:color w:val="000000"/>
              </w:rPr>
            </w:pPr>
            <w:r>
              <w:rPr>
                <w:color w:val="000000"/>
              </w:rPr>
              <w:t>UCAN recommended continu</w:t>
            </w:r>
            <w:r w:rsidR="001549B9">
              <w:rPr>
                <w:color w:val="000000"/>
              </w:rPr>
              <w:t>ation of the</w:t>
            </w:r>
            <w:r w:rsidR="00DC4F4D">
              <w:rPr>
                <w:color w:val="000000"/>
              </w:rPr>
              <w:t xml:space="preserve"> </w:t>
            </w:r>
            <w:r w:rsidR="00DC4F4D">
              <w:t>non-heat related</w:t>
            </w:r>
            <w:r w:rsidR="001549B9">
              <w:rPr>
                <w:color w:val="000000"/>
              </w:rPr>
              <w:t xml:space="preserve"> disconnection protocols</w:t>
            </w:r>
            <w:r w:rsidR="00B42327">
              <w:rPr>
                <w:color w:val="000000"/>
              </w:rPr>
              <w:t xml:space="preserve"> and </w:t>
            </w:r>
            <w:r w:rsidR="00DC4F4D">
              <w:rPr>
                <w:color w:val="000000"/>
              </w:rPr>
              <w:t>requirements and</w:t>
            </w:r>
            <w:r w:rsidR="00854F7A">
              <w:rPr>
                <w:color w:val="000000"/>
              </w:rPr>
              <w:t xml:space="preserve"> supplied the proceeding’s record with numerous data points on links between disconnections and </w:t>
            </w:r>
            <w:r w:rsidR="00DC4F4D">
              <w:rPr>
                <w:color w:val="000000"/>
              </w:rPr>
              <w:t xml:space="preserve">energy affordability </w:t>
            </w:r>
            <w:r w:rsidR="00DC4F4D">
              <w:t>that support</w:t>
            </w:r>
            <w:r w:rsidR="00D65EE8">
              <w:t>ed</w:t>
            </w:r>
            <w:r w:rsidR="00DC4F4D">
              <w:t xml:space="preserve"> UCAN’s recommendation</w:t>
            </w:r>
            <w:r w:rsidR="00DC4F4D">
              <w:rPr>
                <w:color w:val="000000"/>
              </w:rPr>
              <w:t xml:space="preserve">. </w:t>
            </w:r>
          </w:p>
          <w:p w:rsidR="00B42327" w:rsidP="00AF587D" w:rsidRDefault="00B42327" w14:paraId="50BFDEEB" w14:textId="77777777">
            <w:pPr>
              <w:widowControl w:val="0"/>
              <w:rPr>
                <w:color w:val="000000"/>
              </w:rPr>
            </w:pPr>
          </w:p>
          <w:p w:rsidR="00C45D47" w:rsidP="005A6071" w:rsidRDefault="00DC4F4D" w14:paraId="0355E04D" w14:textId="77777777">
            <w:r w:rsidRPr="00C45D47">
              <w:rPr>
                <w:rStyle w:val="fontstyle01"/>
                <w:b/>
                <w:bCs/>
              </w:rPr>
              <w:t xml:space="preserve">UCAN </w:t>
            </w:r>
            <w:r w:rsidRPr="00C45D47" w:rsidR="001D1CBA">
              <w:rPr>
                <w:rStyle w:val="fontstyle01"/>
                <w:b/>
                <w:bCs/>
              </w:rPr>
              <w:t>8</w:t>
            </w:r>
            <w:r w:rsidRPr="00C45D47">
              <w:rPr>
                <w:rStyle w:val="fontstyle01"/>
                <w:b/>
                <w:bCs/>
              </w:rPr>
              <w:t>, pp. 1-8</w:t>
            </w:r>
            <w:r w:rsidRPr="00C45D47" w:rsidR="005A6071">
              <w:rPr>
                <w:rStyle w:val="fontstyle01"/>
                <w:b/>
                <w:bCs/>
              </w:rPr>
              <w:t>, 11-13</w:t>
            </w:r>
            <w:r w:rsidR="00E357D6">
              <w:t>;</w:t>
            </w:r>
          </w:p>
          <w:p w:rsidR="00C45D47" w:rsidP="005A6071" w:rsidRDefault="00E357D6" w14:paraId="7DF7EEB6" w14:textId="77777777">
            <w:r w:rsidRPr="002E7EA1">
              <w:rPr>
                <w:rStyle w:val="fontstyle01"/>
                <w:i/>
                <w:iCs/>
              </w:rPr>
              <w:t>see also</w:t>
            </w:r>
            <w:r w:rsidR="00C45D47">
              <w:rPr>
                <w:rStyle w:val="fontstyle01"/>
                <w:i/>
                <w:iCs/>
              </w:rPr>
              <w:t xml:space="preserve"> </w:t>
            </w:r>
            <w:r w:rsidRPr="00C45D47" w:rsidR="005A6071">
              <w:rPr>
                <w:rStyle w:val="fontstyle01"/>
                <w:b/>
                <w:bCs/>
              </w:rPr>
              <w:t xml:space="preserve">UCAN </w:t>
            </w:r>
            <w:r w:rsidRPr="00C45D47" w:rsidR="001D1CBA">
              <w:rPr>
                <w:rStyle w:val="fontstyle01"/>
                <w:b/>
                <w:bCs/>
              </w:rPr>
              <w:t>8</w:t>
            </w:r>
            <w:r w:rsidRPr="00C45D47" w:rsidR="005A6071">
              <w:rPr>
                <w:rStyle w:val="fontstyle01"/>
                <w:b/>
                <w:bCs/>
              </w:rPr>
              <w:t>, pp. 1-</w:t>
            </w:r>
            <w:r w:rsidRPr="00C45D47" w:rsidR="00B258D3">
              <w:rPr>
                <w:rStyle w:val="fontstyle01"/>
                <w:b/>
                <w:bCs/>
              </w:rPr>
              <w:t>12</w:t>
            </w:r>
            <w:r>
              <w:t>;</w:t>
            </w:r>
          </w:p>
          <w:p w:rsidRPr="00C45D47" w:rsidR="001549B9" w:rsidP="00C45D47" w:rsidRDefault="00E357D6" w14:paraId="5477920E" w14:textId="7883FBD7">
            <w:pPr>
              <w:rPr>
                <w:rFonts w:ascii="TimesNewRomanPSMT" w:hAnsi="TimesNewRomanPSMT"/>
                <w:color w:val="000000"/>
              </w:rPr>
            </w:pPr>
            <w:r w:rsidRPr="002E7EA1">
              <w:rPr>
                <w:rStyle w:val="fontstyle01"/>
                <w:i/>
                <w:iCs/>
              </w:rPr>
              <w:t>see also</w:t>
            </w:r>
            <w:r w:rsidR="00C45D47">
              <w:rPr>
                <w:rStyle w:val="fontstyle01"/>
                <w:i/>
                <w:iCs/>
              </w:rPr>
              <w:t xml:space="preserve"> </w:t>
            </w:r>
            <w:r w:rsidRPr="00C45D47" w:rsidR="001D1CBA">
              <w:rPr>
                <w:b/>
                <w:bCs/>
                <w:color w:val="000000"/>
              </w:rPr>
              <w:t>U</w:t>
            </w:r>
            <w:r w:rsidRPr="00C45D47" w:rsidR="001D1CBA">
              <w:rPr>
                <w:b/>
                <w:bCs/>
              </w:rPr>
              <w:t>CAN 9, pp. 1-3</w:t>
            </w:r>
            <w:r w:rsidRPr="00C45D47">
              <w:rPr>
                <w:b/>
                <w:bCs/>
              </w:rPr>
              <w:t>.</w:t>
            </w:r>
          </w:p>
          <w:p w:rsidRPr="007F620E" w:rsidR="001549B9" w:rsidP="00AF587D" w:rsidRDefault="001549B9" w14:paraId="1C56C77A" w14:textId="503618B2">
            <w:pPr>
              <w:widowControl w:val="0"/>
              <w:rPr>
                <w:color w:val="000000"/>
              </w:rPr>
            </w:pPr>
          </w:p>
        </w:tc>
        <w:tc>
          <w:tcPr>
            <w:tcW w:w="3893" w:type="dxa"/>
          </w:tcPr>
          <w:p w:rsidRPr="005F0EF8" w:rsidR="00961785" w:rsidP="00AF587D" w:rsidRDefault="001A0FAD" w14:paraId="6DF70E7D" w14:textId="116C281F">
            <w:pPr>
              <w:widowControl w:val="0"/>
              <w:rPr>
                <w:color w:val="000000"/>
              </w:rPr>
            </w:pPr>
            <w:r w:rsidRPr="005F0EF8">
              <w:rPr>
                <w:color w:val="000000"/>
              </w:rPr>
              <w:t>The Commission agreed with UCAN:</w:t>
            </w:r>
          </w:p>
          <w:p w:rsidRPr="005F0EF8" w:rsidR="001A0FAD" w:rsidP="00AF587D" w:rsidRDefault="001A0FAD" w14:paraId="7D21683B" w14:textId="77777777">
            <w:pPr>
              <w:widowControl w:val="0"/>
              <w:rPr>
                <w:color w:val="000000"/>
              </w:rPr>
            </w:pPr>
          </w:p>
          <w:p w:rsidRPr="005F0EF8" w:rsidR="001A0FAD" w:rsidP="00AF587D" w:rsidRDefault="001A0FAD" w14:paraId="5892533B" w14:textId="2CD7E77C">
            <w:pPr>
              <w:widowControl w:val="0"/>
              <w:rPr>
                <w:color w:val="000000"/>
              </w:rPr>
            </w:pPr>
            <w:r w:rsidRPr="005F0EF8">
              <w:rPr>
                <w:color w:val="000000"/>
              </w:rPr>
              <w:t>“UCAN argued in favor of maintaining the status quo, where the</w:t>
            </w:r>
          </w:p>
          <w:p w:rsidRPr="005F0EF8" w:rsidR="006B3AA4" w:rsidP="00AF587D" w:rsidRDefault="006B3AA4" w14:paraId="08EBAD49" w14:textId="48FF0F27">
            <w:pPr>
              <w:widowControl w:val="0"/>
              <w:rPr>
                <w:color w:val="000000"/>
              </w:rPr>
            </w:pPr>
            <w:r w:rsidRPr="005F0EF8">
              <w:rPr>
                <w:color w:val="000000"/>
              </w:rPr>
              <w:t>utilities are allowed to disconnect customers when existing statute and regulation permit them to do so.”</w:t>
            </w:r>
          </w:p>
          <w:p w:rsidRPr="005F0EF8" w:rsidR="006B3AA4" w:rsidP="00AF587D" w:rsidRDefault="006B3AA4" w14:paraId="27A349BA" w14:textId="6C394D16">
            <w:pPr>
              <w:widowControl w:val="0"/>
              <w:rPr>
                <w:b/>
                <w:bCs/>
              </w:rPr>
            </w:pPr>
            <w:r w:rsidRPr="005F0EF8">
              <w:rPr>
                <w:b/>
                <w:bCs/>
              </w:rPr>
              <w:t>D.25-06-012, p</w:t>
            </w:r>
            <w:r w:rsidRPr="005F0EF8" w:rsidR="009014DB">
              <w:rPr>
                <w:b/>
                <w:bCs/>
              </w:rPr>
              <w:t>p</w:t>
            </w:r>
            <w:r w:rsidRPr="005F0EF8">
              <w:rPr>
                <w:b/>
                <w:bCs/>
              </w:rPr>
              <w:t xml:space="preserve">. </w:t>
            </w:r>
            <w:r w:rsidRPr="005F0EF8" w:rsidR="009014DB">
              <w:rPr>
                <w:b/>
                <w:bCs/>
              </w:rPr>
              <w:t>7-8.</w:t>
            </w:r>
          </w:p>
          <w:p w:rsidRPr="005F0EF8" w:rsidR="009014DB" w:rsidP="00AF587D" w:rsidRDefault="009014DB" w14:paraId="51560637" w14:textId="77777777">
            <w:pPr>
              <w:widowControl w:val="0"/>
              <w:rPr>
                <w:color w:val="000000"/>
              </w:rPr>
            </w:pPr>
          </w:p>
          <w:p w:rsidRPr="005F0EF8" w:rsidR="009014DB" w:rsidP="009014DB" w:rsidRDefault="009014DB" w14:paraId="539602CF" w14:textId="0B9AB1BD">
            <w:pPr>
              <w:widowControl w:val="0"/>
              <w:rPr>
                <w:color w:val="000000"/>
              </w:rPr>
            </w:pPr>
            <w:r w:rsidRPr="005F0EF8">
              <w:rPr>
                <w:color w:val="000000"/>
              </w:rPr>
              <w:t>“This decision does not change the existing conditions under which the Large IOUs may disconnect customers. SB 1142 does not require the Commission to provide additional disconnection protections to customers that are reconnected</w:t>
            </w:r>
          </w:p>
          <w:p w:rsidRPr="005F0EF8" w:rsidR="001A0FAD" w:rsidP="009014DB" w:rsidRDefault="009014DB" w14:paraId="45CA91F6" w14:textId="65C0608C">
            <w:pPr>
              <w:widowControl w:val="0"/>
              <w:rPr>
                <w:color w:val="000000"/>
              </w:rPr>
            </w:pPr>
            <w:r w:rsidRPr="005F0EF8">
              <w:rPr>
                <w:color w:val="000000"/>
              </w:rPr>
              <w:t>pursuant to the statute, and no party proposed such measures. This determination applies both to the Large IOUs and SMJUs.”</w:t>
            </w:r>
          </w:p>
          <w:p w:rsidRPr="005F0EF8" w:rsidR="009014DB" w:rsidP="009014DB" w:rsidRDefault="009014DB" w14:paraId="482F5050" w14:textId="7A61570C">
            <w:pPr>
              <w:widowControl w:val="0"/>
              <w:rPr>
                <w:b/>
                <w:bCs/>
              </w:rPr>
            </w:pPr>
            <w:r w:rsidRPr="005F0EF8">
              <w:rPr>
                <w:b/>
                <w:bCs/>
              </w:rPr>
              <w:t>D.25-06-012, p. 8.</w:t>
            </w:r>
          </w:p>
        </w:tc>
        <w:tc>
          <w:tcPr>
            <w:tcW w:w="2340" w:type="dxa"/>
          </w:tcPr>
          <w:p w:rsidRPr="007F620E" w:rsidR="00961785" w:rsidP="00AC619A" w:rsidRDefault="00AC619A" w14:paraId="5A28E15B" w14:textId="0CD14DF9">
            <w:pPr>
              <w:widowControl w:val="0"/>
              <w:jc w:val="center"/>
              <w:rPr>
                <w:color w:val="000000"/>
              </w:rPr>
            </w:pPr>
            <w:r>
              <w:rPr>
                <w:color w:val="000000"/>
              </w:rPr>
              <w:t>Verified</w:t>
            </w:r>
          </w:p>
        </w:tc>
      </w:tr>
      <w:tr w:rsidRPr="007F620E" w:rsidR="004664B1" w:rsidTr="00D33661" w14:paraId="7D5F2E1F" w14:textId="77777777">
        <w:tc>
          <w:tcPr>
            <w:tcW w:w="3505" w:type="dxa"/>
          </w:tcPr>
          <w:p w:rsidR="00961785" w:rsidP="00AF587D" w:rsidRDefault="00B63DF0" w14:paraId="2FE62FF4" w14:textId="77777777">
            <w:pPr>
              <w:widowControl w:val="0"/>
            </w:pPr>
            <w:r>
              <w:rPr>
                <w:color w:val="000000"/>
              </w:rPr>
              <w:t>U</w:t>
            </w:r>
            <w:r>
              <w:t xml:space="preserve">CAN opposed </w:t>
            </w:r>
            <w:r w:rsidR="000543BA">
              <w:t xml:space="preserve">unlimited reconnections upon the request of the customer. </w:t>
            </w:r>
          </w:p>
          <w:p w:rsidR="005A40C4" w:rsidP="00AF587D" w:rsidRDefault="005A40C4" w14:paraId="6C17CD90" w14:textId="77777777">
            <w:pPr>
              <w:widowControl w:val="0"/>
            </w:pPr>
          </w:p>
          <w:p w:rsidR="005A40C4" w:rsidP="00AF587D" w:rsidRDefault="00EF69BF" w14:paraId="7D736499" w14:textId="6EF1D4FF">
            <w:pPr>
              <w:widowControl w:val="0"/>
              <w:rPr>
                <w:color w:val="000000"/>
              </w:rPr>
            </w:pPr>
            <w:r>
              <w:rPr>
                <w:color w:val="000000"/>
              </w:rPr>
              <w:t>“</w:t>
            </w:r>
            <w:r w:rsidRPr="00EF69BF">
              <w:rPr>
                <w:color w:val="000000"/>
              </w:rPr>
              <w:t xml:space="preserve">The statute was not meant to create a loophole to enable </w:t>
            </w:r>
            <w:r w:rsidRPr="00EF69BF">
              <w:rPr>
                <w:color w:val="000000"/>
              </w:rPr>
              <w:lastRenderedPageBreak/>
              <w:t>customers to avoid paying for</w:t>
            </w:r>
            <w:r w:rsidRPr="00EF69BF">
              <w:rPr>
                <w:color w:val="000000"/>
              </w:rPr>
              <w:br/>
              <w:t>utility service by repetitively requesting a payment plan option. Thus, UCAN interprets the</w:t>
            </w:r>
            <w:r w:rsidRPr="00EF69BF">
              <w:rPr>
                <w:color w:val="000000"/>
              </w:rPr>
              <w:br/>
              <w:t>statute to require a single payment plan reconnection per customer account.</w:t>
            </w:r>
            <w:r>
              <w:rPr>
                <w:color w:val="000000"/>
              </w:rPr>
              <w:t>”</w:t>
            </w:r>
          </w:p>
          <w:p w:rsidR="00C45D47" w:rsidP="00AF587D" w:rsidRDefault="00C45D47" w14:paraId="73E6D2A1" w14:textId="77777777">
            <w:pPr>
              <w:widowControl w:val="0"/>
              <w:rPr>
                <w:color w:val="000000"/>
              </w:rPr>
            </w:pPr>
          </w:p>
          <w:p w:rsidRPr="00C45D47" w:rsidR="00EF69BF" w:rsidP="00AF587D" w:rsidRDefault="00EF69BF" w14:paraId="377C9E6F" w14:textId="792B52C9">
            <w:pPr>
              <w:widowControl w:val="0"/>
              <w:rPr>
                <w:b/>
                <w:bCs/>
                <w:color w:val="000000"/>
              </w:rPr>
            </w:pPr>
            <w:r w:rsidRPr="00C45D47">
              <w:rPr>
                <w:b/>
                <w:bCs/>
                <w:color w:val="000000"/>
              </w:rPr>
              <w:t>UCAN 9, p. 3</w:t>
            </w:r>
            <w:r w:rsidRPr="00C45D47" w:rsidR="00C45D47">
              <w:rPr>
                <w:b/>
                <w:bCs/>
                <w:color w:val="000000"/>
              </w:rPr>
              <w:t>.</w:t>
            </w:r>
          </w:p>
          <w:p w:rsidR="00EF69BF" w:rsidP="00AF587D" w:rsidRDefault="00EF69BF" w14:paraId="48E5D479" w14:textId="77777777">
            <w:pPr>
              <w:widowControl w:val="0"/>
              <w:rPr>
                <w:color w:val="000000"/>
              </w:rPr>
            </w:pPr>
          </w:p>
          <w:p w:rsidRPr="007F620E" w:rsidR="00EF69BF" w:rsidP="00AF587D" w:rsidRDefault="00EF69BF" w14:paraId="6B8AD050" w14:textId="1DD046F5">
            <w:pPr>
              <w:widowControl w:val="0"/>
              <w:rPr>
                <w:color w:val="000000"/>
              </w:rPr>
            </w:pPr>
          </w:p>
        </w:tc>
        <w:tc>
          <w:tcPr>
            <w:tcW w:w="3893" w:type="dxa"/>
          </w:tcPr>
          <w:p w:rsidRPr="005F0EF8" w:rsidR="00553F88" w:rsidP="00BC12BD" w:rsidRDefault="00553F88" w14:paraId="352F1BD4" w14:textId="081871B9">
            <w:pPr>
              <w:widowControl w:val="0"/>
              <w:rPr>
                <w:color w:val="000000"/>
              </w:rPr>
            </w:pPr>
            <w:r w:rsidRPr="005F0EF8">
              <w:rPr>
                <w:color w:val="000000"/>
              </w:rPr>
              <w:lastRenderedPageBreak/>
              <w:t>The Commission noted UCAN’s contribution and agreed with UCAN</w:t>
            </w:r>
            <w:r w:rsidRPr="005F0EF8" w:rsidR="005A40C4">
              <w:rPr>
                <w:color w:val="000000"/>
              </w:rPr>
              <w:t>:</w:t>
            </w:r>
          </w:p>
          <w:p w:rsidRPr="005F0EF8" w:rsidR="00553F88" w:rsidP="00BC12BD" w:rsidRDefault="00553F88" w14:paraId="47AB3D44" w14:textId="77777777">
            <w:pPr>
              <w:widowControl w:val="0"/>
              <w:rPr>
                <w:color w:val="000000"/>
              </w:rPr>
            </w:pPr>
          </w:p>
          <w:p w:rsidRPr="005F0EF8" w:rsidR="00961785" w:rsidP="00BC12BD" w:rsidRDefault="00BC12BD" w14:paraId="33A96816" w14:textId="6B4B6D41">
            <w:pPr>
              <w:widowControl w:val="0"/>
              <w:rPr>
                <w:color w:val="000000"/>
              </w:rPr>
            </w:pPr>
            <w:r w:rsidRPr="005F0EF8">
              <w:rPr>
                <w:color w:val="000000"/>
              </w:rPr>
              <w:t xml:space="preserve">“While UCAN agrees that SB 1142 was not designed to create an “infinite loop” of reconnections, they </w:t>
            </w:r>
            <w:r w:rsidRPr="005F0EF8">
              <w:rPr>
                <w:color w:val="000000"/>
              </w:rPr>
              <w:lastRenderedPageBreak/>
              <w:t>express concern that allowing utilities to require large upfront repayments is infeasible for some customers and jeopardizes their health.”</w:t>
            </w:r>
          </w:p>
          <w:p w:rsidRPr="005F0EF8" w:rsidR="00BC12BD" w:rsidP="00BC12BD" w:rsidRDefault="00BC12BD" w14:paraId="0C05BC13" w14:textId="207C3CF7">
            <w:pPr>
              <w:widowControl w:val="0"/>
              <w:rPr>
                <w:b/>
                <w:bCs/>
              </w:rPr>
            </w:pPr>
            <w:r w:rsidRPr="005F0EF8">
              <w:rPr>
                <w:b/>
                <w:bCs/>
              </w:rPr>
              <w:t>D.25-06-012, p. 10.</w:t>
            </w:r>
          </w:p>
          <w:p w:rsidRPr="005F0EF8" w:rsidR="00BC12BD" w:rsidP="00BC12BD" w:rsidRDefault="00BC12BD" w14:paraId="76B9D37C" w14:textId="77777777">
            <w:pPr>
              <w:widowControl w:val="0"/>
            </w:pPr>
          </w:p>
          <w:p w:rsidRPr="005F0EF8" w:rsidR="005A40C4" w:rsidP="005A40C4" w:rsidRDefault="005A40C4" w14:paraId="3B25F02D" w14:textId="738E5B54">
            <w:pPr>
              <w:widowControl w:val="0"/>
            </w:pPr>
            <w:r w:rsidRPr="005F0EF8">
              <w:t>“If the Commission were to require utilities to allow customers to reconnect an infinite number of times</w:t>
            </w:r>
          </w:p>
          <w:p w:rsidRPr="005F0EF8" w:rsidR="005A40C4" w:rsidP="005A40C4" w:rsidRDefault="005A40C4" w14:paraId="5F8554DE" w14:textId="2BE1036A">
            <w:pPr>
              <w:widowControl w:val="0"/>
            </w:pPr>
            <w:r w:rsidRPr="005F0EF8">
              <w:t>without requiring a down payment (or some other demonstration of ability and intent to pay), disconnections would no longer serve any purpose.”</w:t>
            </w:r>
          </w:p>
          <w:p w:rsidRPr="005F0EF8" w:rsidR="00BC12BD" w:rsidP="00BC12BD" w:rsidRDefault="005A40C4" w14:paraId="4766754A" w14:textId="697AA9A0">
            <w:pPr>
              <w:widowControl w:val="0"/>
              <w:rPr>
                <w:b/>
                <w:bCs/>
              </w:rPr>
            </w:pPr>
            <w:r w:rsidRPr="005F0EF8">
              <w:rPr>
                <w:b/>
                <w:bCs/>
              </w:rPr>
              <w:t>D.25-06-012, p. 11.</w:t>
            </w:r>
          </w:p>
        </w:tc>
        <w:tc>
          <w:tcPr>
            <w:tcW w:w="2340" w:type="dxa"/>
          </w:tcPr>
          <w:p w:rsidRPr="007F620E" w:rsidR="00961785" w:rsidP="00AC619A" w:rsidRDefault="00AC619A" w14:paraId="40AE64D6" w14:textId="33B80563">
            <w:pPr>
              <w:widowControl w:val="0"/>
              <w:jc w:val="center"/>
              <w:rPr>
                <w:color w:val="000000"/>
              </w:rPr>
            </w:pPr>
            <w:r>
              <w:rPr>
                <w:color w:val="000000"/>
              </w:rPr>
              <w:lastRenderedPageBreak/>
              <w:t>Verified</w:t>
            </w:r>
          </w:p>
        </w:tc>
      </w:tr>
      <w:tr w:rsidRPr="007F620E" w:rsidR="004664B1" w:rsidTr="00D33661" w14:paraId="68AE8F41" w14:textId="77777777">
        <w:tc>
          <w:tcPr>
            <w:tcW w:w="3505" w:type="dxa"/>
          </w:tcPr>
          <w:p w:rsidR="00961785" w:rsidP="00EB5F4C" w:rsidRDefault="001170E8" w14:paraId="4D31D145" w14:textId="0E13E33B">
            <w:pPr>
              <w:widowControl w:val="0"/>
              <w:rPr>
                <w:color w:val="000000"/>
              </w:rPr>
            </w:pPr>
            <w:r w:rsidRPr="00736E79">
              <w:rPr>
                <w:color w:val="000000"/>
              </w:rPr>
              <w:t xml:space="preserve">UCAN </w:t>
            </w:r>
            <w:r w:rsidRPr="00736E79" w:rsidR="00EB5F4C">
              <w:rPr>
                <w:color w:val="000000"/>
              </w:rPr>
              <w:t>highlighted the unique circumstances of tribal communities and requested that the Commission take this into account in its decision.</w:t>
            </w:r>
          </w:p>
          <w:p w:rsidR="00C45D47" w:rsidP="00EB5F4C" w:rsidRDefault="00C45D47" w14:paraId="3F2E883F" w14:textId="77777777">
            <w:pPr>
              <w:widowControl w:val="0"/>
              <w:rPr>
                <w:color w:val="000000"/>
              </w:rPr>
            </w:pPr>
          </w:p>
          <w:p w:rsidRPr="00C45D47" w:rsidR="00B037B9" w:rsidP="00B037B9" w:rsidRDefault="00B037B9" w14:paraId="2DB37E95" w14:textId="772DAB61">
            <w:pPr>
              <w:widowControl w:val="0"/>
              <w:rPr>
                <w:b/>
                <w:bCs/>
                <w:color w:val="000000"/>
              </w:rPr>
            </w:pPr>
            <w:r w:rsidRPr="00C45D47">
              <w:rPr>
                <w:b/>
                <w:bCs/>
                <w:color w:val="000000"/>
              </w:rPr>
              <w:t>UCAN 8, pp. 7-8</w:t>
            </w:r>
            <w:r w:rsidRPr="00C45D47" w:rsidR="00C45D47">
              <w:rPr>
                <w:b/>
                <w:bCs/>
                <w:color w:val="000000"/>
              </w:rPr>
              <w:t>.</w:t>
            </w:r>
          </w:p>
          <w:p w:rsidR="00EB5F4C" w:rsidP="00EB5F4C" w:rsidRDefault="00EB5F4C" w14:paraId="391CFCD0" w14:textId="77777777">
            <w:pPr>
              <w:widowControl w:val="0"/>
              <w:rPr>
                <w:color w:val="000000"/>
              </w:rPr>
            </w:pPr>
          </w:p>
          <w:p w:rsidRPr="007F620E" w:rsidR="00EB5F4C" w:rsidP="00EB5F4C" w:rsidRDefault="00EB5F4C" w14:paraId="477946EF" w14:textId="158DDD56">
            <w:pPr>
              <w:widowControl w:val="0"/>
              <w:rPr>
                <w:color w:val="000000"/>
              </w:rPr>
            </w:pPr>
          </w:p>
        </w:tc>
        <w:tc>
          <w:tcPr>
            <w:tcW w:w="3893" w:type="dxa"/>
          </w:tcPr>
          <w:p w:rsidR="00F75753" w:rsidP="00F75753" w:rsidRDefault="00F75753" w14:paraId="218EA3B0" w14:textId="721E094C">
            <w:pPr>
              <w:widowControl w:val="0"/>
              <w:rPr>
                <w:color w:val="000000"/>
              </w:rPr>
            </w:pPr>
            <w:r w:rsidRPr="00F75753">
              <w:rPr>
                <w:color w:val="000000"/>
              </w:rPr>
              <w:t>The Commission noted UCAN’s contribution and agreed with UCAN:</w:t>
            </w:r>
          </w:p>
          <w:p w:rsidR="00F75753" w:rsidP="00F75753" w:rsidRDefault="00F75753" w14:paraId="0F3EC1F3" w14:textId="77777777">
            <w:pPr>
              <w:widowControl w:val="0"/>
              <w:rPr>
                <w:color w:val="000000"/>
              </w:rPr>
            </w:pPr>
          </w:p>
          <w:p w:rsidR="00961785" w:rsidP="00F75753" w:rsidRDefault="000270D6" w14:paraId="5FEA9995" w14:textId="734ACA9C">
            <w:pPr>
              <w:widowControl w:val="0"/>
              <w:rPr>
                <w:color w:val="000000"/>
              </w:rPr>
            </w:pPr>
            <w:r>
              <w:rPr>
                <w:color w:val="000000"/>
              </w:rPr>
              <w:t>“</w:t>
            </w:r>
            <w:r w:rsidRPr="000270D6">
              <w:rPr>
                <w:color w:val="000000"/>
              </w:rPr>
              <w:t xml:space="preserve">In its opening workshop comments, UCAN states that </w:t>
            </w:r>
            <w:r w:rsidR="00643112">
              <w:rPr>
                <w:color w:val="000000"/>
              </w:rPr>
              <w:t>‘</w:t>
            </w:r>
            <w:r w:rsidRPr="000270D6">
              <w:rPr>
                <w:color w:val="000000"/>
              </w:rPr>
              <w:t>[s]</w:t>
            </w:r>
            <w:proofErr w:type="spellStart"/>
            <w:r w:rsidRPr="000270D6">
              <w:rPr>
                <w:color w:val="000000"/>
              </w:rPr>
              <w:t>ervice</w:t>
            </w:r>
            <w:proofErr w:type="spellEnd"/>
            <w:r w:rsidR="00F75753">
              <w:rPr>
                <w:color w:val="000000"/>
              </w:rPr>
              <w:t xml:space="preserve"> </w:t>
            </w:r>
            <w:r w:rsidRPr="000270D6">
              <w:rPr>
                <w:color w:val="000000"/>
              </w:rPr>
              <w:t>disconnections are more common in predominantly minority communities</w:t>
            </w:r>
            <w:r w:rsidR="00643112">
              <w:rPr>
                <w:color w:val="000000"/>
              </w:rPr>
              <w:t>’</w:t>
            </w:r>
            <w:r w:rsidRPr="000270D6">
              <w:rPr>
                <w:color w:val="000000"/>
              </w:rPr>
              <w:t xml:space="preserve"> and</w:t>
            </w:r>
            <w:r w:rsidR="00F75753">
              <w:rPr>
                <w:color w:val="000000"/>
              </w:rPr>
              <w:t xml:space="preserve"> </w:t>
            </w:r>
            <w:r w:rsidRPr="000270D6">
              <w:rPr>
                <w:color w:val="000000"/>
              </w:rPr>
              <w:t>asks the Commission to take this into consideration. UCAN further states that</w:t>
            </w:r>
            <w:r w:rsidR="00F75753">
              <w:rPr>
                <w:color w:val="000000"/>
              </w:rPr>
              <w:t xml:space="preserve"> </w:t>
            </w:r>
            <w:r w:rsidR="003B1A2F">
              <w:rPr>
                <w:color w:val="000000"/>
              </w:rPr>
              <w:t>‘</w:t>
            </w:r>
            <w:r w:rsidRPr="000270D6">
              <w:rPr>
                <w:color w:val="000000"/>
              </w:rPr>
              <w:t>[m]any tribal members live in very rural environments that rely on wells for water</w:t>
            </w:r>
            <w:r w:rsidR="00F75753">
              <w:rPr>
                <w:color w:val="000000"/>
              </w:rPr>
              <w:t xml:space="preserve"> </w:t>
            </w:r>
            <w:r w:rsidRPr="000270D6">
              <w:rPr>
                <w:color w:val="000000"/>
              </w:rPr>
              <w:t>service. When electric utility service is terminated these individuals not only no</w:t>
            </w:r>
            <w:r w:rsidR="00F75753">
              <w:rPr>
                <w:color w:val="000000"/>
              </w:rPr>
              <w:t xml:space="preserve"> </w:t>
            </w:r>
            <w:r w:rsidRPr="000270D6">
              <w:rPr>
                <w:color w:val="000000"/>
              </w:rPr>
              <w:t>longer have power for their refrigerators and other home appliances, but they also</w:t>
            </w:r>
            <w:r>
              <w:rPr>
                <w:color w:val="000000"/>
              </w:rPr>
              <w:t xml:space="preserve"> </w:t>
            </w:r>
            <w:r w:rsidRPr="000270D6">
              <w:rPr>
                <w:color w:val="000000"/>
              </w:rPr>
              <w:t>lose access to water.</w:t>
            </w:r>
            <w:r w:rsidR="00643112">
              <w:rPr>
                <w:color w:val="000000"/>
              </w:rPr>
              <w:t>’</w:t>
            </w:r>
            <w:r w:rsidRPr="000270D6">
              <w:rPr>
                <w:color w:val="000000"/>
              </w:rPr>
              <w:t xml:space="preserve"> We agree with UCAN</w:t>
            </w:r>
            <w:r w:rsidR="00F75753">
              <w:rPr>
                <w:color w:val="000000"/>
              </w:rPr>
              <w:t>…”</w:t>
            </w:r>
            <w:r w:rsidR="00E8705D">
              <w:rPr>
                <w:color w:val="000000"/>
              </w:rPr>
              <w:t xml:space="preserve"> [citations omitted]</w:t>
            </w:r>
          </w:p>
          <w:p w:rsidRPr="00C45D47" w:rsidR="00F75753" w:rsidP="00F75753" w:rsidRDefault="00F75753" w14:paraId="12A3196A" w14:textId="2E14A7EB">
            <w:pPr>
              <w:widowControl w:val="0"/>
              <w:rPr>
                <w:b/>
                <w:bCs/>
                <w:color w:val="000000"/>
              </w:rPr>
            </w:pPr>
            <w:r w:rsidRPr="005F0EF8">
              <w:rPr>
                <w:b/>
                <w:bCs/>
              </w:rPr>
              <w:t>D.25-06-012, p. 12.</w:t>
            </w:r>
          </w:p>
        </w:tc>
        <w:tc>
          <w:tcPr>
            <w:tcW w:w="2340" w:type="dxa"/>
          </w:tcPr>
          <w:p w:rsidRPr="007F620E" w:rsidR="00961785" w:rsidP="00AC619A" w:rsidRDefault="00AC619A" w14:paraId="1612C224" w14:textId="7AE13AE9">
            <w:pPr>
              <w:widowControl w:val="0"/>
              <w:ind w:left="90"/>
              <w:jc w:val="center"/>
              <w:rPr>
                <w:color w:val="000000"/>
              </w:rPr>
            </w:pPr>
            <w:r>
              <w:rPr>
                <w:color w:val="000000"/>
              </w:rPr>
              <w:t>Verified</w:t>
            </w:r>
          </w:p>
        </w:tc>
      </w:tr>
      <w:tr w:rsidRPr="007F620E" w:rsidR="004664B1" w:rsidTr="00D33661" w14:paraId="18EC1265" w14:textId="77777777">
        <w:tc>
          <w:tcPr>
            <w:tcW w:w="3505" w:type="dxa"/>
          </w:tcPr>
          <w:p w:rsidRPr="009952B4" w:rsidR="00961785" w:rsidP="006C74A3" w:rsidRDefault="00F276B0" w14:paraId="35E3AE02" w14:textId="788A744D">
            <w:pPr>
              <w:widowControl w:val="0"/>
              <w:rPr>
                <w:color w:val="000000"/>
              </w:rPr>
            </w:pPr>
            <w:r w:rsidRPr="009952B4">
              <w:rPr>
                <w:color w:val="000000"/>
              </w:rPr>
              <w:t>UCAN</w:t>
            </w:r>
            <w:r w:rsidRPr="009952B4" w:rsidR="007E6E98">
              <w:rPr>
                <w:color w:val="000000"/>
              </w:rPr>
              <w:t xml:space="preserve"> noted the need for </w:t>
            </w:r>
            <w:r w:rsidRPr="009952B4">
              <w:rPr>
                <w:color w:val="000000"/>
              </w:rPr>
              <w:t>reconnection exemption</w:t>
            </w:r>
            <w:r w:rsidRPr="009952B4" w:rsidR="007E6E98">
              <w:rPr>
                <w:color w:val="000000"/>
              </w:rPr>
              <w:t xml:space="preserve">s and highlighted the difficulty in </w:t>
            </w:r>
            <w:r w:rsidRPr="009952B4" w:rsidR="00FA74B0">
              <w:rPr>
                <w:color w:val="000000"/>
              </w:rPr>
              <w:t>listing all reasonable instances in which reconnections would be impossible or unsafe. For these</w:t>
            </w:r>
            <w:r w:rsidRPr="009952B4" w:rsidR="003D4272">
              <w:rPr>
                <w:color w:val="000000"/>
              </w:rPr>
              <w:t xml:space="preserve"> reasons, UCAN recommends that IOUs be enabled dis</w:t>
            </w:r>
            <w:r w:rsidRPr="009952B4" w:rsidR="008F1B25">
              <w:rPr>
                <w:color w:val="000000"/>
              </w:rPr>
              <w:t>cretion in determining</w:t>
            </w:r>
            <w:r w:rsidRPr="009952B4" w:rsidR="00CE6F48">
              <w:rPr>
                <w:color w:val="000000"/>
              </w:rPr>
              <w:t xml:space="preserve"> when an </w:t>
            </w:r>
            <w:r w:rsidRPr="009952B4" w:rsidR="008F1B25">
              <w:rPr>
                <w:color w:val="000000"/>
              </w:rPr>
              <w:t>unsafe condition</w:t>
            </w:r>
            <w:r w:rsidRPr="009952B4" w:rsidR="00CE6F48">
              <w:rPr>
                <w:color w:val="000000"/>
              </w:rPr>
              <w:t xml:space="preserve"> exists</w:t>
            </w:r>
            <w:r w:rsidRPr="009952B4" w:rsidR="008F1B25">
              <w:rPr>
                <w:color w:val="000000"/>
              </w:rPr>
              <w:t xml:space="preserve">. </w:t>
            </w:r>
            <w:r w:rsidRPr="009952B4" w:rsidR="00AB73E6">
              <w:rPr>
                <w:color w:val="000000"/>
              </w:rPr>
              <w:t>Partial excerpt:</w:t>
            </w:r>
          </w:p>
          <w:p w:rsidRPr="009952B4" w:rsidR="008F1B25" w:rsidP="006C74A3" w:rsidRDefault="008F1B25" w14:paraId="31D5971D" w14:textId="77777777">
            <w:pPr>
              <w:widowControl w:val="0"/>
              <w:rPr>
                <w:color w:val="000000"/>
              </w:rPr>
            </w:pPr>
          </w:p>
          <w:p w:rsidRPr="009952B4" w:rsidR="00AB73E6" w:rsidP="00AB73E6" w:rsidRDefault="00AB73E6" w14:paraId="28BA5D50" w14:textId="24BD10CF">
            <w:pPr>
              <w:widowControl w:val="0"/>
              <w:rPr>
                <w:color w:val="000000"/>
              </w:rPr>
            </w:pPr>
            <w:r w:rsidRPr="009952B4">
              <w:rPr>
                <w:color w:val="000000"/>
              </w:rPr>
              <w:t xml:space="preserve">“if there are unsafe conditions at </w:t>
            </w:r>
            <w:r w:rsidRPr="009952B4">
              <w:rPr>
                <w:color w:val="000000"/>
              </w:rPr>
              <w:lastRenderedPageBreak/>
              <w:t>the home where a reconnection is to be made, (e.g., an uncontrolled dog) that condition would be</w:t>
            </w:r>
          </w:p>
          <w:p w:rsidRPr="009952B4" w:rsidR="00AB73E6" w:rsidP="00AB73E6" w:rsidRDefault="00AB73E6" w14:paraId="0073E058" w14:textId="14BA5C01">
            <w:pPr>
              <w:widowControl w:val="0"/>
              <w:rPr>
                <w:color w:val="000000"/>
              </w:rPr>
            </w:pPr>
            <w:r w:rsidRPr="009952B4">
              <w:rPr>
                <w:color w:val="000000"/>
              </w:rPr>
              <w:t>documented, and the</w:t>
            </w:r>
            <w:r w:rsidRPr="009952B4" w:rsidR="001E7B95">
              <w:rPr>
                <w:color w:val="000000"/>
              </w:rPr>
              <w:t xml:space="preserve"> </w:t>
            </w:r>
            <w:r w:rsidRPr="009952B4">
              <w:rPr>
                <w:color w:val="000000"/>
              </w:rPr>
              <w:t xml:space="preserve">reconnection would be made as soon as the safety issue is resolved such that utility workers are not endangered. The Commission should allow the utilities to determine when </w:t>
            </w:r>
            <w:r w:rsidRPr="009952B4" w:rsidR="00142C0D">
              <w:rPr>
                <w:color w:val="000000"/>
              </w:rPr>
              <w:t>‘</w:t>
            </w:r>
            <w:r w:rsidRPr="009952B4">
              <w:rPr>
                <w:color w:val="000000"/>
              </w:rPr>
              <w:t xml:space="preserve">situations </w:t>
            </w:r>
            <w:proofErr w:type="spellStart"/>
            <w:r w:rsidRPr="009952B4">
              <w:rPr>
                <w:color w:val="000000"/>
              </w:rPr>
              <w:t>relat</w:t>
            </w:r>
            <w:proofErr w:type="spellEnd"/>
            <w:r w:rsidRPr="009952B4">
              <w:rPr>
                <w:color w:val="000000"/>
              </w:rPr>
              <w:t>[ed] to safety or extreme weather</w:t>
            </w:r>
            <w:r w:rsidRPr="009952B4" w:rsidR="00142C0D">
              <w:rPr>
                <w:color w:val="000000"/>
              </w:rPr>
              <w:t>’</w:t>
            </w:r>
            <w:r w:rsidRPr="009952B4">
              <w:rPr>
                <w:color w:val="000000"/>
              </w:rPr>
              <w:t xml:space="preserve"> cause a delay in reconnection of utility service. There is no way for the Commission or parties to anticipate all possible scenarios that a utility worker will encounter when interacting with customers.”</w:t>
            </w:r>
          </w:p>
          <w:p w:rsidRPr="009952B4" w:rsidR="00C45D47" w:rsidP="00AB73E6" w:rsidRDefault="00C45D47" w14:paraId="6A399C63" w14:textId="77777777">
            <w:pPr>
              <w:widowControl w:val="0"/>
              <w:rPr>
                <w:color w:val="000000"/>
              </w:rPr>
            </w:pPr>
          </w:p>
          <w:p w:rsidRPr="009952B4" w:rsidR="001E7B95" w:rsidP="00AB73E6" w:rsidRDefault="001E7B95" w14:paraId="0BBAA8F4" w14:textId="652C4D5B">
            <w:pPr>
              <w:widowControl w:val="0"/>
              <w:rPr>
                <w:b/>
                <w:bCs/>
                <w:color w:val="000000"/>
              </w:rPr>
            </w:pPr>
            <w:r w:rsidRPr="009952B4">
              <w:rPr>
                <w:b/>
                <w:bCs/>
                <w:color w:val="000000"/>
              </w:rPr>
              <w:t xml:space="preserve">UCAN 5, p. 5. </w:t>
            </w:r>
          </w:p>
        </w:tc>
        <w:tc>
          <w:tcPr>
            <w:tcW w:w="3893" w:type="dxa"/>
          </w:tcPr>
          <w:p w:rsidRPr="009952B4" w:rsidR="005A482B" w:rsidP="005A482B" w:rsidRDefault="005A482B" w14:paraId="6F9350FE" w14:textId="037216DF">
            <w:pPr>
              <w:widowControl w:val="0"/>
              <w:rPr>
                <w:color w:val="000000"/>
              </w:rPr>
            </w:pPr>
            <w:r w:rsidRPr="009952B4">
              <w:rPr>
                <w:color w:val="000000"/>
              </w:rPr>
              <w:lastRenderedPageBreak/>
              <w:t xml:space="preserve">In alignment with UCAN’s recommendations the Commission allowed IOUs’ </w:t>
            </w:r>
            <w:r w:rsidRPr="009952B4" w:rsidR="00BE6184">
              <w:rPr>
                <w:color w:val="000000"/>
              </w:rPr>
              <w:t>discretion</w:t>
            </w:r>
            <w:r w:rsidRPr="009952B4">
              <w:rPr>
                <w:color w:val="000000"/>
              </w:rPr>
              <w:t xml:space="preserve"> in determining when site conditions are unsafe </w:t>
            </w:r>
            <w:r w:rsidRPr="009952B4" w:rsidR="00A86C8C">
              <w:rPr>
                <w:color w:val="000000"/>
              </w:rPr>
              <w:t xml:space="preserve">to complete reconnection including “unforeseeable </w:t>
            </w:r>
            <w:r w:rsidRPr="009952B4" w:rsidR="00BE6184">
              <w:rPr>
                <w:color w:val="000000"/>
              </w:rPr>
              <w:t>circumstances</w:t>
            </w:r>
            <w:r w:rsidRPr="009952B4">
              <w:rPr>
                <w:color w:val="000000"/>
              </w:rPr>
              <w:t>:</w:t>
            </w:r>
          </w:p>
          <w:p w:rsidRPr="009952B4" w:rsidR="00A86C8C" w:rsidP="005A482B" w:rsidRDefault="00A86C8C" w14:paraId="1A3A1CB5" w14:textId="77777777">
            <w:pPr>
              <w:widowControl w:val="0"/>
              <w:rPr>
                <w:color w:val="000000"/>
              </w:rPr>
            </w:pPr>
          </w:p>
          <w:p w:rsidRPr="009952B4" w:rsidR="000B3A63" w:rsidP="000B3A63" w:rsidRDefault="00A86C8C" w14:paraId="772BE11D" w14:textId="76BC3CF2">
            <w:pPr>
              <w:widowControl w:val="0"/>
              <w:rPr>
                <w:color w:val="000000"/>
              </w:rPr>
            </w:pPr>
            <w:r w:rsidRPr="009952B4">
              <w:rPr>
                <w:color w:val="000000"/>
              </w:rPr>
              <w:t>“</w:t>
            </w:r>
            <w:r w:rsidRPr="009952B4" w:rsidR="000B3A63">
              <w:rPr>
                <w:color w:val="000000"/>
              </w:rPr>
              <w:t xml:space="preserve">This decision authorizes utilities to exceed the timeline requirements in cases where: (1) reconnection would risk the safety of utility employees or </w:t>
            </w:r>
            <w:r w:rsidRPr="009952B4" w:rsidR="000B3A63">
              <w:rPr>
                <w:color w:val="000000"/>
              </w:rPr>
              <w:lastRenderedPageBreak/>
              <w:t>the public, (2) weather conditions cause reconnection to be impossible because the site is inaccessible or unsafe, (3) individuals or animals at the site prohibit utility employees from accessing the site and access is essential to reconnection, but once</w:t>
            </w:r>
          </w:p>
          <w:p w:rsidRPr="009952B4" w:rsidR="000B3A63" w:rsidP="000B3A63" w:rsidRDefault="000B3A63" w14:paraId="56B560D3" w14:textId="6B24948C">
            <w:pPr>
              <w:widowControl w:val="0"/>
              <w:rPr>
                <w:color w:val="000000"/>
              </w:rPr>
            </w:pPr>
            <w:r w:rsidRPr="009952B4">
              <w:rPr>
                <w:color w:val="000000"/>
              </w:rPr>
              <w:t>access is allowed reconnection shall occur immediately, or (4) unforeseeable circumstances that make reconnection impossible because the site is inaccessible or</w:t>
            </w:r>
          </w:p>
          <w:p w:rsidRPr="009952B4" w:rsidR="00A86C8C" w:rsidP="000B3A63" w:rsidRDefault="000B3A63" w14:paraId="452E0077" w14:textId="588AF229">
            <w:pPr>
              <w:widowControl w:val="0"/>
              <w:rPr>
                <w:color w:val="000000"/>
              </w:rPr>
            </w:pPr>
            <w:r w:rsidRPr="009952B4">
              <w:rPr>
                <w:color w:val="000000"/>
              </w:rPr>
              <w:t>unsafe.”</w:t>
            </w:r>
          </w:p>
          <w:p w:rsidRPr="009952B4" w:rsidR="000B3A63" w:rsidP="000B3A63" w:rsidRDefault="000B3A63" w14:paraId="4A6ABC79" w14:textId="7435E550">
            <w:pPr>
              <w:widowControl w:val="0"/>
              <w:rPr>
                <w:b/>
                <w:bCs/>
                <w:color w:val="000000"/>
              </w:rPr>
            </w:pPr>
            <w:r w:rsidRPr="009952B4">
              <w:rPr>
                <w:b/>
                <w:bCs/>
              </w:rPr>
              <w:t>D.25-06-012, p. 17.</w:t>
            </w:r>
          </w:p>
          <w:p w:rsidRPr="009952B4" w:rsidR="000B3A63" w:rsidP="000B3A63" w:rsidRDefault="000B3A63" w14:paraId="6D766415" w14:textId="77777777">
            <w:pPr>
              <w:widowControl w:val="0"/>
              <w:rPr>
                <w:color w:val="000000"/>
              </w:rPr>
            </w:pPr>
          </w:p>
          <w:p w:rsidRPr="009952B4" w:rsidR="00961785" w:rsidP="0097307F" w:rsidRDefault="0097307F" w14:paraId="2AF7E04F" w14:textId="77777777">
            <w:pPr>
              <w:widowControl w:val="0"/>
              <w:rPr>
                <w:color w:val="000000"/>
              </w:rPr>
            </w:pPr>
            <w:r w:rsidRPr="009952B4">
              <w:rPr>
                <w:color w:val="000000"/>
              </w:rPr>
              <w:t>As recommended by UCAN, the Commission required immediate reconnection:</w:t>
            </w:r>
          </w:p>
          <w:p w:rsidRPr="009952B4" w:rsidR="0097307F" w:rsidP="0097307F" w:rsidRDefault="0097307F" w14:paraId="764D1CF0" w14:textId="77777777">
            <w:pPr>
              <w:widowControl w:val="0"/>
              <w:rPr>
                <w:color w:val="000000"/>
              </w:rPr>
            </w:pPr>
          </w:p>
          <w:p w:rsidRPr="009952B4" w:rsidR="0097307F" w:rsidP="000A2117" w:rsidRDefault="0097307F" w14:paraId="12957023" w14:textId="77777777">
            <w:pPr>
              <w:widowControl w:val="0"/>
              <w:rPr>
                <w:color w:val="000000"/>
              </w:rPr>
            </w:pPr>
            <w:r w:rsidRPr="009952B4">
              <w:rPr>
                <w:color w:val="000000"/>
              </w:rPr>
              <w:t>“Once the conditions justifying the exemption</w:t>
            </w:r>
            <w:r w:rsidRPr="009952B4" w:rsidR="000A2117">
              <w:rPr>
                <w:color w:val="000000"/>
              </w:rPr>
              <w:t xml:space="preserve"> </w:t>
            </w:r>
            <w:r w:rsidRPr="009952B4">
              <w:rPr>
                <w:color w:val="000000"/>
              </w:rPr>
              <w:t>have been resolved, the utilities shall reconnect the customer within 24 hours or</w:t>
            </w:r>
            <w:r w:rsidRPr="009952B4" w:rsidR="000A2117">
              <w:rPr>
                <w:color w:val="000000"/>
              </w:rPr>
              <w:t xml:space="preserve"> </w:t>
            </w:r>
            <w:r w:rsidRPr="009952B4">
              <w:rPr>
                <w:color w:val="000000"/>
              </w:rPr>
              <w:t>one business day if there is an intervening weekend or holiday.</w:t>
            </w:r>
            <w:r w:rsidRPr="009952B4" w:rsidR="000A2117">
              <w:rPr>
                <w:color w:val="000000"/>
              </w:rPr>
              <w:t>”</w:t>
            </w:r>
          </w:p>
          <w:p w:rsidRPr="009952B4" w:rsidR="000A2117" w:rsidP="000A2117" w:rsidRDefault="000A2117" w14:paraId="12F0412E" w14:textId="3F31665E">
            <w:pPr>
              <w:widowControl w:val="0"/>
              <w:rPr>
                <w:b/>
                <w:bCs/>
                <w:color w:val="000000"/>
              </w:rPr>
            </w:pPr>
            <w:r w:rsidRPr="009952B4">
              <w:rPr>
                <w:b/>
                <w:bCs/>
                <w:color w:val="000000"/>
              </w:rPr>
              <w:t>D.25-06-012, p. 17.</w:t>
            </w:r>
          </w:p>
        </w:tc>
        <w:tc>
          <w:tcPr>
            <w:tcW w:w="2340" w:type="dxa"/>
          </w:tcPr>
          <w:p w:rsidRPr="004664B1" w:rsidR="006B2B2B" w:rsidP="004927AD" w:rsidRDefault="004927AD" w14:paraId="26013F74" w14:textId="53063865">
            <w:pPr>
              <w:widowControl w:val="0"/>
              <w:ind w:left="90"/>
              <w:rPr>
                <w:color w:val="000000"/>
              </w:rPr>
            </w:pPr>
            <w:r>
              <w:rPr>
                <w:color w:val="000000"/>
              </w:rPr>
              <w:lastRenderedPageBreak/>
              <w:t xml:space="preserve">Verified, however, we note the correct document is </w:t>
            </w:r>
            <w:r w:rsidRPr="004664B1" w:rsidR="005244BD">
              <w:rPr>
                <w:color w:val="000000"/>
              </w:rPr>
              <w:t>‘</w:t>
            </w:r>
            <w:r w:rsidRPr="004664B1" w:rsidR="009952B4">
              <w:rPr>
                <w:color w:val="000000"/>
              </w:rPr>
              <w:t xml:space="preserve">The Utility Consumers’ Action Network </w:t>
            </w:r>
            <w:r w:rsidRPr="004664B1" w:rsidR="006B2B2B">
              <w:rPr>
                <w:color w:val="000000"/>
              </w:rPr>
              <w:t>An</w:t>
            </w:r>
            <w:r w:rsidRPr="004664B1" w:rsidR="005244BD">
              <w:rPr>
                <w:color w:val="000000"/>
              </w:rPr>
              <w:t>s</w:t>
            </w:r>
            <w:r w:rsidRPr="004664B1" w:rsidR="006B2B2B">
              <w:rPr>
                <w:color w:val="000000"/>
              </w:rPr>
              <w:t>wers to the Questions Posed in the Assigned Commissioner’s Amended Phase 2 Scoping Memo and Ruling</w:t>
            </w:r>
            <w:r w:rsidRPr="004664B1" w:rsidR="002411BB">
              <w:rPr>
                <w:color w:val="000000"/>
              </w:rPr>
              <w:t xml:space="preserve">,’ </w:t>
            </w:r>
            <w:r w:rsidR="00C32F12">
              <w:rPr>
                <w:color w:val="000000"/>
              </w:rPr>
              <w:t>f</w:t>
            </w:r>
            <w:r w:rsidRPr="004664B1" w:rsidR="002411BB">
              <w:rPr>
                <w:color w:val="000000"/>
              </w:rPr>
              <w:t xml:space="preserve">iled </w:t>
            </w:r>
            <w:r w:rsidRPr="004664B1" w:rsidR="002411BB">
              <w:rPr>
                <w:color w:val="000000"/>
              </w:rPr>
              <w:lastRenderedPageBreak/>
              <w:t>11/22/24</w:t>
            </w:r>
            <w:r w:rsidR="00C32F12">
              <w:rPr>
                <w:color w:val="000000"/>
              </w:rPr>
              <w:t>, p</w:t>
            </w:r>
            <w:r w:rsidR="00813464">
              <w:rPr>
                <w:color w:val="000000"/>
              </w:rPr>
              <w:t xml:space="preserve">age </w:t>
            </w:r>
            <w:r w:rsidR="00C32F12">
              <w:rPr>
                <w:color w:val="000000"/>
              </w:rPr>
              <w:t>5 (UCAN 9)</w:t>
            </w:r>
            <w:r w:rsidR="0082777B">
              <w:rPr>
                <w:color w:val="000000"/>
              </w:rPr>
              <w:t>.</w:t>
            </w:r>
          </w:p>
        </w:tc>
      </w:tr>
      <w:tr w:rsidRPr="007F620E" w:rsidR="004664B1" w:rsidTr="00D33661" w14:paraId="04E340A1" w14:textId="77777777">
        <w:tc>
          <w:tcPr>
            <w:tcW w:w="3505" w:type="dxa"/>
          </w:tcPr>
          <w:p w:rsidRPr="003C54B2" w:rsidR="00961785" w:rsidP="00825B3B" w:rsidRDefault="00410AB2" w14:paraId="2E1175D5" w14:textId="65310D45">
            <w:pPr>
              <w:widowControl w:val="0"/>
              <w:rPr>
                <w:color w:val="000000"/>
              </w:rPr>
            </w:pPr>
            <w:r w:rsidRPr="003C54B2">
              <w:rPr>
                <w:color w:val="000000"/>
              </w:rPr>
              <w:lastRenderedPageBreak/>
              <w:t>UCAN notes that the CPUC Consumer Affairs Branch does</w:t>
            </w:r>
            <w:r w:rsidRPr="003C54B2" w:rsidR="00032346">
              <w:rPr>
                <w:color w:val="000000"/>
              </w:rPr>
              <w:t xml:space="preserve"> not</w:t>
            </w:r>
            <w:r w:rsidRPr="003C54B2">
              <w:rPr>
                <w:color w:val="000000"/>
              </w:rPr>
              <w:t xml:space="preserve"> have the authority and is not </w:t>
            </w:r>
            <w:r w:rsidRPr="003C54B2" w:rsidR="00C95367">
              <w:rPr>
                <w:color w:val="000000"/>
              </w:rPr>
              <w:t>equipped to monitor the IOUs’ compliance with reconnection requirements</w:t>
            </w:r>
            <w:r w:rsidRPr="003C54B2" w:rsidR="0061349E">
              <w:rPr>
                <w:color w:val="000000"/>
              </w:rPr>
              <w:t xml:space="preserve"> and that the Commission should </w:t>
            </w:r>
            <w:r w:rsidRPr="003C54B2" w:rsidR="00FC451B">
              <w:rPr>
                <w:color w:val="000000"/>
              </w:rPr>
              <w:t>assign</w:t>
            </w:r>
            <w:r w:rsidRPr="003C54B2" w:rsidR="0061349E">
              <w:rPr>
                <w:color w:val="000000"/>
              </w:rPr>
              <w:t xml:space="preserve"> the monitoring and enforcement to</w:t>
            </w:r>
            <w:r w:rsidRPr="003C54B2" w:rsidR="009A1D18">
              <w:rPr>
                <w:color w:val="000000"/>
              </w:rPr>
              <w:t xml:space="preserve"> a division that can complete the monitoring and enforcement</w:t>
            </w:r>
            <w:r w:rsidRPr="003C54B2" w:rsidR="00BC593F">
              <w:rPr>
                <w:color w:val="000000"/>
              </w:rPr>
              <w:t xml:space="preserve"> required in the decision</w:t>
            </w:r>
            <w:r w:rsidRPr="003C54B2" w:rsidR="00C95367">
              <w:rPr>
                <w:color w:val="000000"/>
              </w:rPr>
              <w:t>.</w:t>
            </w:r>
          </w:p>
          <w:p w:rsidRPr="003C54B2" w:rsidR="00C45D47" w:rsidP="00825B3B" w:rsidRDefault="00C45D47" w14:paraId="45AF2337" w14:textId="77777777">
            <w:pPr>
              <w:widowControl w:val="0"/>
              <w:rPr>
                <w:color w:val="000000"/>
              </w:rPr>
            </w:pPr>
          </w:p>
          <w:p w:rsidRPr="003C54B2" w:rsidR="00C45D47" w:rsidP="00C95367" w:rsidRDefault="00C95367" w14:paraId="16B03538" w14:textId="77777777">
            <w:pPr>
              <w:widowControl w:val="0"/>
            </w:pPr>
            <w:r w:rsidRPr="003C54B2">
              <w:rPr>
                <w:b/>
                <w:bCs/>
                <w:color w:val="000000"/>
              </w:rPr>
              <w:t>UCAN 10, pp. 4-5</w:t>
            </w:r>
            <w:r w:rsidRPr="003C54B2" w:rsidR="00E357D6">
              <w:t>;</w:t>
            </w:r>
          </w:p>
          <w:p w:rsidRPr="003C54B2" w:rsidR="00B508CF" w:rsidP="00C95367" w:rsidRDefault="00E357D6" w14:paraId="338A6A95" w14:textId="079A4C5E">
            <w:pPr>
              <w:widowControl w:val="0"/>
              <w:rPr>
                <w:color w:val="000000"/>
              </w:rPr>
            </w:pPr>
            <w:r w:rsidRPr="003C54B2">
              <w:rPr>
                <w:rStyle w:val="fontstyle01"/>
                <w:i/>
                <w:iCs/>
              </w:rPr>
              <w:t>see also</w:t>
            </w:r>
            <w:r w:rsidRPr="003C54B2" w:rsidR="00C45D47">
              <w:rPr>
                <w:rStyle w:val="fontstyle01"/>
                <w:i/>
                <w:iCs/>
              </w:rPr>
              <w:t xml:space="preserve"> </w:t>
            </w:r>
            <w:r w:rsidRPr="003C54B2" w:rsidR="00B508CF">
              <w:rPr>
                <w:b/>
                <w:bCs/>
                <w:color w:val="000000"/>
              </w:rPr>
              <w:t xml:space="preserve">UCAN </w:t>
            </w:r>
            <w:r w:rsidRPr="003C54B2" w:rsidR="0061349E">
              <w:rPr>
                <w:b/>
                <w:bCs/>
                <w:color w:val="000000"/>
              </w:rPr>
              <w:t>13, pp. 3-4.</w:t>
            </w:r>
          </w:p>
        </w:tc>
        <w:tc>
          <w:tcPr>
            <w:tcW w:w="3893" w:type="dxa"/>
          </w:tcPr>
          <w:p w:rsidRPr="003C54B2" w:rsidR="009B2C9F" w:rsidP="000A4085" w:rsidRDefault="000A4085" w14:paraId="29BE7034" w14:textId="5B369BCB">
            <w:pPr>
              <w:widowControl w:val="0"/>
              <w:rPr>
                <w:color w:val="000000"/>
              </w:rPr>
            </w:pPr>
            <w:r w:rsidRPr="003C54B2">
              <w:rPr>
                <w:color w:val="000000"/>
              </w:rPr>
              <w:t xml:space="preserve">In response to UCAN’s </w:t>
            </w:r>
            <w:r w:rsidRPr="003C54B2" w:rsidR="008621B9">
              <w:rPr>
                <w:color w:val="000000"/>
              </w:rPr>
              <w:t xml:space="preserve">comments, the PD was updated to revise which CPUC division would </w:t>
            </w:r>
            <w:r w:rsidRPr="003C54B2" w:rsidR="005971C1">
              <w:rPr>
                <w:color w:val="000000"/>
              </w:rPr>
              <w:t>monitor underperformance of reconnections. The PD referenced</w:t>
            </w:r>
            <w:r w:rsidRPr="003C54B2" w:rsidR="00CF5527">
              <w:rPr>
                <w:color w:val="000000"/>
              </w:rPr>
              <w:t xml:space="preserve"> the CPUC</w:t>
            </w:r>
            <w:r w:rsidRPr="003C54B2" w:rsidR="005971C1">
              <w:rPr>
                <w:color w:val="000000"/>
              </w:rPr>
              <w:t xml:space="preserve"> </w:t>
            </w:r>
            <w:r w:rsidRPr="003C54B2" w:rsidR="00CF5527">
              <w:rPr>
                <w:color w:val="000000"/>
              </w:rPr>
              <w:t>Consumer Affairs Branch or “CAB</w:t>
            </w:r>
            <w:r w:rsidRPr="003C54B2" w:rsidR="005971C1">
              <w:rPr>
                <w:color w:val="000000"/>
              </w:rPr>
              <w:t>.</w:t>
            </w:r>
            <w:r w:rsidRPr="003C54B2" w:rsidR="00CF5527">
              <w:rPr>
                <w:color w:val="000000"/>
              </w:rPr>
              <w:t>”</w:t>
            </w:r>
            <w:r w:rsidRPr="003C54B2" w:rsidR="009B2C9F">
              <w:rPr>
                <w:color w:val="000000"/>
              </w:rPr>
              <w:t xml:space="preserve"> The</w:t>
            </w:r>
            <w:r w:rsidRPr="003C54B2" w:rsidR="00F76802">
              <w:rPr>
                <w:color w:val="000000"/>
              </w:rPr>
              <w:t xml:space="preserve"> final decision </w:t>
            </w:r>
            <w:r w:rsidRPr="003C54B2" w:rsidR="00825B3B">
              <w:rPr>
                <w:color w:val="000000"/>
              </w:rPr>
              <w:t>referenced the Consumer Protection and Enforcement Division</w:t>
            </w:r>
            <w:r w:rsidRPr="003C54B2" w:rsidR="009B2C9F">
              <w:rPr>
                <w:color w:val="000000"/>
              </w:rPr>
              <w:t>:</w:t>
            </w:r>
          </w:p>
          <w:p w:rsidRPr="003C54B2" w:rsidR="009B2C9F" w:rsidP="000A4085" w:rsidRDefault="009B2C9F" w14:paraId="6DD52288" w14:textId="77777777">
            <w:pPr>
              <w:widowControl w:val="0"/>
              <w:rPr>
                <w:color w:val="000000"/>
              </w:rPr>
            </w:pPr>
          </w:p>
          <w:p w:rsidRPr="003C54B2" w:rsidR="00961785" w:rsidP="00DE4303" w:rsidRDefault="00DE4303" w14:paraId="5275FAA2" w14:textId="77777777">
            <w:pPr>
              <w:widowControl w:val="0"/>
              <w:rPr>
                <w:color w:val="000000"/>
              </w:rPr>
            </w:pPr>
            <w:r w:rsidRPr="003C54B2">
              <w:rPr>
                <w:color w:val="000000"/>
              </w:rPr>
              <w:t>“</w:t>
            </w:r>
            <w:r w:rsidRPr="003C54B2" w:rsidR="009B2C9F">
              <w:rPr>
                <w:color w:val="000000"/>
              </w:rPr>
              <w:t>If poor performance or under performance</w:t>
            </w:r>
            <w:r w:rsidRPr="003C54B2">
              <w:rPr>
                <w:color w:val="000000"/>
              </w:rPr>
              <w:t xml:space="preserve"> </w:t>
            </w:r>
            <w:r w:rsidRPr="003C54B2" w:rsidR="009B2C9F">
              <w:rPr>
                <w:color w:val="000000"/>
              </w:rPr>
              <w:t>continues, Energy Division staff may refer to the matter to</w:t>
            </w:r>
            <w:r w:rsidRPr="003C54B2">
              <w:rPr>
                <w:color w:val="000000"/>
              </w:rPr>
              <w:t xml:space="preserve"> </w:t>
            </w:r>
            <w:r w:rsidRPr="003C54B2" w:rsidR="009B2C9F">
              <w:rPr>
                <w:color w:val="000000"/>
              </w:rPr>
              <w:t>the Commission’s</w:t>
            </w:r>
            <w:r w:rsidRPr="003C54B2">
              <w:rPr>
                <w:color w:val="000000"/>
              </w:rPr>
              <w:t xml:space="preserve"> </w:t>
            </w:r>
            <w:r w:rsidRPr="003C54B2" w:rsidR="009B2C9F">
              <w:rPr>
                <w:color w:val="000000"/>
              </w:rPr>
              <w:t>Consumer Protection and Enforcement Division for investigation.</w:t>
            </w:r>
            <w:r w:rsidRPr="003C54B2">
              <w:rPr>
                <w:color w:val="000000"/>
              </w:rPr>
              <w:t>”</w:t>
            </w:r>
            <w:r w:rsidRPr="003C54B2" w:rsidR="009B2C9F">
              <w:rPr>
                <w:color w:val="000000"/>
              </w:rPr>
              <w:t xml:space="preserve"> </w:t>
            </w:r>
          </w:p>
          <w:p w:rsidRPr="003C54B2" w:rsidR="00F76802" w:rsidP="00DE4303" w:rsidRDefault="00F76802" w14:paraId="6027B151" w14:textId="45706780">
            <w:pPr>
              <w:widowControl w:val="0"/>
              <w:rPr>
                <w:b/>
                <w:bCs/>
                <w:color w:val="000000"/>
              </w:rPr>
            </w:pPr>
            <w:r w:rsidRPr="003C54B2">
              <w:rPr>
                <w:b/>
                <w:bCs/>
                <w:color w:val="000000"/>
              </w:rPr>
              <w:t>D.25-06-012, p. 17.</w:t>
            </w:r>
          </w:p>
        </w:tc>
        <w:tc>
          <w:tcPr>
            <w:tcW w:w="2340" w:type="dxa"/>
          </w:tcPr>
          <w:p w:rsidRPr="00A3707B" w:rsidR="00961785" w:rsidP="003C54B2" w:rsidRDefault="00736E79" w14:paraId="6DCA4C6F" w14:textId="3F01792C">
            <w:pPr>
              <w:widowControl w:val="0"/>
              <w:ind w:left="90"/>
              <w:jc w:val="center"/>
              <w:rPr>
                <w:color w:val="000000"/>
              </w:rPr>
            </w:pPr>
            <w:r w:rsidRPr="00A3707B">
              <w:rPr>
                <w:color w:val="000000"/>
              </w:rPr>
              <w:t>Verified</w:t>
            </w:r>
          </w:p>
        </w:tc>
      </w:tr>
      <w:tr w:rsidRPr="007F620E" w:rsidR="004664B1" w:rsidTr="00D33661" w14:paraId="05468A74" w14:textId="77777777">
        <w:tc>
          <w:tcPr>
            <w:tcW w:w="3505" w:type="dxa"/>
          </w:tcPr>
          <w:p w:rsidR="00961785" w:rsidP="00AF587D" w:rsidRDefault="00D53368" w14:paraId="7CC0700D" w14:textId="043F6512">
            <w:pPr>
              <w:widowControl w:val="0"/>
              <w:rPr>
                <w:color w:val="000000"/>
              </w:rPr>
            </w:pPr>
            <w:r w:rsidRPr="005F0EF8">
              <w:rPr>
                <w:color w:val="000000"/>
              </w:rPr>
              <w:t xml:space="preserve">UCAN requested that the Commission require additional </w:t>
            </w:r>
            <w:r w:rsidRPr="005F0EF8">
              <w:rPr>
                <w:color w:val="000000"/>
              </w:rPr>
              <w:lastRenderedPageBreak/>
              <w:t xml:space="preserve">reporting by the IOUs on their </w:t>
            </w:r>
            <w:r w:rsidRPr="005F0EF8" w:rsidR="00E34347">
              <w:rPr>
                <w:color w:val="000000"/>
              </w:rPr>
              <w:t>reconnection</w:t>
            </w:r>
            <w:r w:rsidR="00E34347">
              <w:rPr>
                <w:color w:val="000000"/>
              </w:rPr>
              <w:t xml:space="preserve"> performance.</w:t>
            </w:r>
          </w:p>
          <w:p w:rsidR="00C45D47" w:rsidP="00AF587D" w:rsidRDefault="00C45D47" w14:paraId="3551FAF3" w14:textId="77777777">
            <w:pPr>
              <w:widowControl w:val="0"/>
              <w:rPr>
                <w:color w:val="000000"/>
              </w:rPr>
            </w:pPr>
          </w:p>
          <w:p w:rsidRPr="00C45D47" w:rsidR="00E34347" w:rsidP="00AF587D" w:rsidRDefault="00B36AF3" w14:paraId="1D330F2C" w14:textId="0427428F">
            <w:pPr>
              <w:widowControl w:val="0"/>
              <w:rPr>
                <w:b/>
                <w:bCs/>
                <w:color w:val="000000"/>
              </w:rPr>
            </w:pPr>
            <w:r w:rsidRPr="00C45D47">
              <w:rPr>
                <w:b/>
                <w:bCs/>
                <w:color w:val="000000"/>
              </w:rPr>
              <w:t>UCAN 9: pp. 5-6</w:t>
            </w:r>
            <w:r w:rsidRPr="00C45D47" w:rsidR="00C45D47">
              <w:rPr>
                <w:b/>
                <w:bCs/>
                <w:color w:val="000000"/>
              </w:rPr>
              <w:t>.</w:t>
            </w:r>
          </w:p>
        </w:tc>
        <w:tc>
          <w:tcPr>
            <w:tcW w:w="3893" w:type="dxa"/>
          </w:tcPr>
          <w:p w:rsidR="00E34347" w:rsidP="00AF587D" w:rsidRDefault="00E34347" w14:paraId="42916061" w14:textId="30DF5E09">
            <w:pPr>
              <w:widowControl w:val="0"/>
              <w:rPr>
                <w:color w:val="000000"/>
              </w:rPr>
            </w:pPr>
            <w:r>
              <w:rPr>
                <w:color w:val="000000"/>
              </w:rPr>
              <w:lastRenderedPageBreak/>
              <w:t>In alignment with UCAN’s request</w:t>
            </w:r>
            <w:r w:rsidR="004E128A">
              <w:rPr>
                <w:color w:val="000000"/>
              </w:rPr>
              <w:t xml:space="preserve"> the</w:t>
            </w:r>
            <w:r>
              <w:rPr>
                <w:color w:val="000000"/>
              </w:rPr>
              <w:t xml:space="preserve"> Commission required additional </w:t>
            </w:r>
            <w:r>
              <w:rPr>
                <w:color w:val="000000"/>
              </w:rPr>
              <w:lastRenderedPageBreak/>
              <w:t>reporting</w:t>
            </w:r>
            <w:r w:rsidR="00641D5E">
              <w:rPr>
                <w:color w:val="000000"/>
              </w:rPr>
              <w:t>.</w:t>
            </w:r>
          </w:p>
          <w:p w:rsidRPr="00C45D47" w:rsidR="00CF0B92" w:rsidP="00CF0B92" w:rsidRDefault="00CF0B92" w14:paraId="7DB25F32" w14:textId="469A38BA">
            <w:pPr>
              <w:widowControl w:val="0"/>
              <w:rPr>
                <w:b/>
                <w:bCs/>
                <w:color w:val="000000"/>
              </w:rPr>
            </w:pPr>
            <w:r w:rsidRPr="005F0EF8">
              <w:rPr>
                <w:b/>
                <w:bCs/>
                <w:color w:val="000000"/>
              </w:rPr>
              <w:t>D.25-06-012, p. 20-21.</w:t>
            </w:r>
          </w:p>
          <w:p w:rsidRPr="007F620E" w:rsidR="00E34347" w:rsidP="00AF587D" w:rsidRDefault="00E34347" w14:paraId="4AD9C4AE" w14:textId="71E3E50B">
            <w:pPr>
              <w:widowControl w:val="0"/>
              <w:rPr>
                <w:color w:val="000000"/>
              </w:rPr>
            </w:pPr>
          </w:p>
        </w:tc>
        <w:tc>
          <w:tcPr>
            <w:tcW w:w="2340" w:type="dxa"/>
          </w:tcPr>
          <w:p w:rsidRPr="007F620E" w:rsidR="00961785" w:rsidP="009F2EEF" w:rsidRDefault="009F2EEF" w14:paraId="1F5B1BCF" w14:textId="6A74C820">
            <w:pPr>
              <w:widowControl w:val="0"/>
              <w:jc w:val="center"/>
              <w:rPr>
                <w:color w:val="000000"/>
              </w:rPr>
            </w:pPr>
            <w:r>
              <w:rPr>
                <w:color w:val="000000"/>
              </w:rPr>
              <w:lastRenderedPageBreak/>
              <w:t>Verified</w:t>
            </w:r>
          </w:p>
        </w:tc>
      </w:tr>
      <w:tr w:rsidRPr="007F620E" w:rsidR="004664B1" w:rsidTr="00D33661" w14:paraId="48E48E55" w14:textId="77777777">
        <w:tc>
          <w:tcPr>
            <w:tcW w:w="3505" w:type="dxa"/>
          </w:tcPr>
          <w:p w:rsidR="00995014" w:rsidP="00AF587D" w:rsidRDefault="00B33BE7" w14:paraId="04D81A21" w14:textId="71311FC5">
            <w:pPr>
              <w:widowControl w:val="0"/>
              <w:rPr>
                <w:color w:val="000000"/>
              </w:rPr>
            </w:pPr>
            <w:r>
              <w:rPr>
                <w:color w:val="000000"/>
              </w:rPr>
              <w:t xml:space="preserve">In response to IOUs’ </w:t>
            </w:r>
            <w:r w:rsidRPr="00A3707B">
              <w:rPr>
                <w:color w:val="000000"/>
              </w:rPr>
              <w:t xml:space="preserve">claims that the complaint process </w:t>
            </w:r>
            <w:r w:rsidRPr="00A3707B" w:rsidR="00CC1CC2">
              <w:rPr>
                <w:color w:val="000000"/>
              </w:rPr>
              <w:t>should be used to track compliance,</w:t>
            </w:r>
            <w:r w:rsidRPr="00A3707B" w:rsidR="00C130D9">
              <w:rPr>
                <w:color w:val="000000"/>
              </w:rPr>
              <w:t xml:space="preserve"> </w:t>
            </w:r>
            <w:r w:rsidRPr="00A3707B" w:rsidR="00526074">
              <w:rPr>
                <w:color w:val="000000"/>
              </w:rPr>
              <w:t>UCAN</w:t>
            </w:r>
            <w:r w:rsidRPr="00A3707B" w:rsidR="00E67FD6">
              <w:rPr>
                <w:color w:val="000000"/>
              </w:rPr>
              <w:t xml:space="preserve"> noted that most customers</w:t>
            </w:r>
            <w:r w:rsidR="00E67FD6">
              <w:rPr>
                <w:color w:val="000000"/>
              </w:rPr>
              <w:t xml:space="preserve"> are unlikely to even be aware </w:t>
            </w:r>
            <w:r w:rsidR="00C737B2">
              <w:rPr>
                <w:color w:val="000000"/>
              </w:rPr>
              <w:t>that</w:t>
            </w:r>
            <w:r w:rsidR="00E67FD6">
              <w:rPr>
                <w:color w:val="000000"/>
              </w:rPr>
              <w:t xml:space="preserve"> complaint process </w:t>
            </w:r>
            <w:r w:rsidR="00C737B2">
              <w:rPr>
                <w:color w:val="000000"/>
              </w:rPr>
              <w:t>exists or how it works.</w:t>
            </w:r>
          </w:p>
          <w:p w:rsidR="00C45D47" w:rsidP="00AF587D" w:rsidRDefault="00C45D47" w14:paraId="09E98C1E" w14:textId="77777777">
            <w:pPr>
              <w:widowControl w:val="0"/>
              <w:rPr>
                <w:color w:val="000000"/>
              </w:rPr>
            </w:pPr>
          </w:p>
          <w:p w:rsidRPr="00C45D47" w:rsidR="00995014" w:rsidP="00AF587D" w:rsidRDefault="00DD1CF3" w14:paraId="7E3A24BB" w14:textId="28055917">
            <w:pPr>
              <w:widowControl w:val="0"/>
              <w:rPr>
                <w:b/>
                <w:bCs/>
                <w:color w:val="000000"/>
              </w:rPr>
            </w:pPr>
            <w:r w:rsidRPr="00C45D47">
              <w:rPr>
                <w:b/>
                <w:bCs/>
                <w:color w:val="000000"/>
              </w:rPr>
              <w:t>UCAN 10, pp. 4-5</w:t>
            </w:r>
            <w:r w:rsidRPr="00C45D47" w:rsidR="00C45D47">
              <w:rPr>
                <w:b/>
                <w:bCs/>
                <w:color w:val="000000"/>
              </w:rPr>
              <w:t>.</w:t>
            </w:r>
          </w:p>
        </w:tc>
        <w:tc>
          <w:tcPr>
            <w:tcW w:w="3893" w:type="dxa"/>
          </w:tcPr>
          <w:p w:rsidRPr="00BF7097" w:rsidR="00641D5E" w:rsidP="00AF587D" w:rsidRDefault="00641D5E" w14:paraId="48C9B9F6" w14:textId="70378D7C">
            <w:pPr>
              <w:widowControl w:val="0"/>
              <w:rPr>
                <w:color w:val="000000"/>
              </w:rPr>
            </w:pPr>
            <w:r>
              <w:rPr>
                <w:color w:val="000000"/>
              </w:rPr>
              <w:t xml:space="preserve">The decision addresses UCAN’s comments by requiring the IOUs to inform </w:t>
            </w:r>
            <w:r w:rsidRPr="00BF7097">
              <w:rPr>
                <w:color w:val="000000"/>
              </w:rPr>
              <w:t xml:space="preserve">customers of the complaint process and how to file a complaint. </w:t>
            </w:r>
          </w:p>
          <w:p w:rsidRPr="00C45D47" w:rsidR="00641D5E" w:rsidP="00AF587D" w:rsidRDefault="00641D5E" w14:paraId="17A01AAA" w14:textId="1E3BCEDA">
            <w:pPr>
              <w:widowControl w:val="0"/>
              <w:rPr>
                <w:b/>
                <w:bCs/>
                <w:color w:val="000000"/>
              </w:rPr>
            </w:pPr>
            <w:r w:rsidRPr="00BF7097">
              <w:rPr>
                <w:b/>
                <w:bCs/>
                <w:color w:val="000000"/>
              </w:rPr>
              <w:t>D.25-06-012, p. 21-22.</w:t>
            </w:r>
          </w:p>
        </w:tc>
        <w:tc>
          <w:tcPr>
            <w:tcW w:w="2340" w:type="dxa"/>
          </w:tcPr>
          <w:p w:rsidR="00961785" w:rsidP="00A3707B" w:rsidRDefault="00A3707B" w14:paraId="6292DED1" w14:textId="22356659">
            <w:pPr>
              <w:widowControl w:val="0"/>
              <w:jc w:val="center"/>
              <w:rPr>
                <w:color w:val="000000"/>
              </w:rPr>
            </w:pPr>
            <w:r>
              <w:rPr>
                <w:color w:val="000000"/>
              </w:rPr>
              <w:t>Verified</w:t>
            </w:r>
          </w:p>
          <w:p w:rsidRPr="007F620E" w:rsidR="00A3707B" w:rsidP="00AF587D" w:rsidRDefault="00A3707B" w14:paraId="742BA1A1" w14:textId="724E6BCB">
            <w:pPr>
              <w:widowControl w:val="0"/>
              <w:rPr>
                <w:color w:val="000000"/>
              </w:rPr>
            </w:pPr>
          </w:p>
        </w:tc>
      </w:tr>
      <w:tr w:rsidRPr="007F620E" w:rsidR="004664B1" w:rsidTr="00D33661" w14:paraId="7CD783F6" w14:textId="77777777">
        <w:tc>
          <w:tcPr>
            <w:tcW w:w="3505" w:type="dxa"/>
          </w:tcPr>
          <w:p w:rsidRPr="005333E8" w:rsidR="00961785" w:rsidP="00AF587D" w:rsidRDefault="005C6B76" w14:paraId="14AB613F" w14:textId="0623111F">
            <w:pPr>
              <w:widowControl w:val="0"/>
              <w:rPr>
                <w:color w:val="000000"/>
              </w:rPr>
            </w:pPr>
            <w:r w:rsidRPr="005333E8">
              <w:rPr>
                <w:color w:val="000000"/>
              </w:rPr>
              <w:t>Regarding customers’ ability to pay their utility bills, UCAN notes that there is no clear method</w:t>
            </w:r>
            <w:r w:rsidRPr="005333E8" w:rsidR="00E258E4">
              <w:rPr>
                <w:color w:val="000000"/>
              </w:rPr>
              <w:t xml:space="preserve"> </w:t>
            </w:r>
            <w:r w:rsidRPr="005333E8" w:rsidR="000252EA">
              <w:rPr>
                <w:color w:val="000000"/>
              </w:rPr>
              <w:t>to evaluate “ability to pay”</w:t>
            </w:r>
            <w:r w:rsidRPr="005333E8">
              <w:rPr>
                <w:color w:val="000000"/>
              </w:rPr>
              <w:t xml:space="preserve"> (</w:t>
            </w:r>
            <w:r w:rsidRPr="005333E8" w:rsidR="00E3100B">
              <w:rPr>
                <w:b/>
                <w:bCs/>
                <w:color w:val="000000"/>
              </w:rPr>
              <w:t xml:space="preserve">UCAN </w:t>
            </w:r>
            <w:r w:rsidRPr="005333E8" w:rsidR="00D35FC3">
              <w:rPr>
                <w:b/>
                <w:bCs/>
                <w:color w:val="000000"/>
              </w:rPr>
              <w:t>9, pp. 6-13</w:t>
            </w:r>
            <w:r w:rsidRPr="005333E8">
              <w:rPr>
                <w:color w:val="000000"/>
              </w:rPr>
              <w:t>),</w:t>
            </w:r>
            <w:r w:rsidRPr="005333E8" w:rsidR="004C5345">
              <w:rPr>
                <w:color w:val="000000"/>
              </w:rPr>
              <w:t xml:space="preserve"> that </w:t>
            </w:r>
            <w:r w:rsidRPr="005333E8" w:rsidR="00E56974">
              <w:rPr>
                <w:color w:val="000000"/>
              </w:rPr>
              <w:t>review of individual customers’ finances would be “intrusive” (</w:t>
            </w:r>
            <w:r w:rsidRPr="005333E8" w:rsidR="00E56974">
              <w:rPr>
                <w:b/>
                <w:bCs/>
                <w:color w:val="000000"/>
              </w:rPr>
              <w:t xml:space="preserve">UCAN 9, p. </w:t>
            </w:r>
            <w:r w:rsidRPr="005333E8" w:rsidR="00DE6AE0">
              <w:rPr>
                <w:b/>
                <w:bCs/>
                <w:color w:val="000000"/>
              </w:rPr>
              <w:t>9</w:t>
            </w:r>
            <w:r w:rsidRPr="005333E8" w:rsidR="00E56974">
              <w:rPr>
                <w:color w:val="000000"/>
              </w:rPr>
              <w:t>),</w:t>
            </w:r>
            <w:r w:rsidRPr="005333E8">
              <w:rPr>
                <w:color w:val="000000"/>
              </w:rPr>
              <w:t xml:space="preserve"> that </w:t>
            </w:r>
            <w:r w:rsidRPr="005333E8" w:rsidR="000C4949">
              <w:rPr>
                <w:color w:val="000000"/>
              </w:rPr>
              <w:t>R.22-07-005 is considering similar issues (</w:t>
            </w:r>
            <w:r w:rsidRPr="005333E8" w:rsidR="00661088">
              <w:rPr>
                <w:b/>
                <w:bCs/>
                <w:color w:val="000000"/>
              </w:rPr>
              <w:t>UCAN 13, p. 2</w:t>
            </w:r>
            <w:r w:rsidRPr="005333E8" w:rsidR="000C4949">
              <w:rPr>
                <w:color w:val="000000"/>
              </w:rPr>
              <w:t>), that CARE and FERA are related to ability to pay</w:t>
            </w:r>
            <w:r w:rsidRPr="005333E8" w:rsidR="002D1F6A">
              <w:rPr>
                <w:color w:val="000000"/>
              </w:rPr>
              <w:t xml:space="preserve"> but not wholly adequate</w:t>
            </w:r>
            <w:r w:rsidRPr="005333E8" w:rsidR="00566B43">
              <w:rPr>
                <w:color w:val="000000"/>
              </w:rPr>
              <w:t xml:space="preserve"> (</w:t>
            </w:r>
            <w:r w:rsidRPr="005333E8" w:rsidR="000E4A68">
              <w:rPr>
                <w:b/>
                <w:bCs/>
                <w:color w:val="000000"/>
              </w:rPr>
              <w:t>UCAN 9, footnotes 15</w:t>
            </w:r>
            <w:r w:rsidRPr="005333E8" w:rsidR="00A54AAF">
              <w:rPr>
                <w:b/>
                <w:bCs/>
                <w:color w:val="000000"/>
              </w:rPr>
              <w:t>-17, 22, 23, 27</w:t>
            </w:r>
            <w:r w:rsidRPr="005333E8" w:rsidR="002D1F6A">
              <w:rPr>
                <w:b/>
                <w:bCs/>
                <w:color w:val="000000"/>
              </w:rPr>
              <w:t>; UCAN 10, p. 6</w:t>
            </w:r>
            <w:r w:rsidRPr="005333E8" w:rsidR="00566B43">
              <w:rPr>
                <w:color w:val="000000"/>
              </w:rPr>
              <w:t xml:space="preserve">). </w:t>
            </w:r>
          </w:p>
          <w:p w:rsidRPr="005333E8" w:rsidR="00566B43" w:rsidP="00AF587D" w:rsidRDefault="00566B43" w14:paraId="03351BA3" w14:textId="7E95EC30">
            <w:pPr>
              <w:widowControl w:val="0"/>
              <w:rPr>
                <w:color w:val="000000"/>
              </w:rPr>
            </w:pPr>
          </w:p>
        </w:tc>
        <w:tc>
          <w:tcPr>
            <w:tcW w:w="3893" w:type="dxa"/>
          </w:tcPr>
          <w:p w:rsidRPr="005333E8" w:rsidR="0031677B" w:rsidP="00AF587D" w:rsidRDefault="008E1AAF" w14:paraId="759E1F67" w14:textId="10993A31">
            <w:pPr>
              <w:widowControl w:val="0"/>
              <w:rPr>
                <w:color w:val="000000"/>
              </w:rPr>
            </w:pPr>
            <w:r w:rsidRPr="005333E8">
              <w:rPr>
                <w:color w:val="000000"/>
              </w:rPr>
              <w:t>I</w:t>
            </w:r>
            <w:r w:rsidRPr="005333E8" w:rsidR="00EC1F27">
              <w:rPr>
                <w:color w:val="000000"/>
              </w:rPr>
              <w:t xml:space="preserve">n alignment with the data and recommendations made by UCAN, the decision delays </w:t>
            </w:r>
            <w:r w:rsidRPr="005333E8" w:rsidR="009C5A2D">
              <w:rPr>
                <w:color w:val="000000"/>
              </w:rPr>
              <w:t>adopting a specific evaluation process</w:t>
            </w:r>
            <w:r w:rsidRPr="005333E8" w:rsidR="00533A4E">
              <w:rPr>
                <w:color w:val="000000"/>
              </w:rPr>
              <w:t xml:space="preserve"> and provides latitude to the IOUs in their evaluations</w:t>
            </w:r>
            <w:r w:rsidRPr="005333E8" w:rsidR="0046551A">
              <w:rPr>
                <w:color w:val="000000"/>
              </w:rPr>
              <w:t xml:space="preserve"> on ability to pay until more information is available based </w:t>
            </w:r>
            <w:r w:rsidRPr="005333E8" w:rsidR="00B21C87">
              <w:rPr>
                <w:color w:val="000000"/>
              </w:rPr>
              <w:t xml:space="preserve">future research to be completed in </w:t>
            </w:r>
            <w:r w:rsidRPr="005333E8" w:rsidR="0046551A">
              <w:rPr>
                <w:b/>
                <w:bCs/>
                <w:color w:val="000000"/>
              </w:rPr>
              <w:t>R.22-</w:t>
            </w:r>
            <w:r w:rsidRPr="005333E8" w:rsidR="0031677B">
              <w:rPr>
                <w:b/>
                <w:bCs/>
                <w:color w:val="000000"/>
              </w:rPr>
              <w:t>07-005</w:t>
            </w:r>
            <w:r w:rsidRPr="005333E8" w:rsidR="0046551A">
              <w:rPr>
                <w:b/>
                <w:bCs/>
                <w:color w:val="000000"/>
              </w:rPr>
              <w:t>.</w:t>
            </w:r>
          </w:p>
          <w:p w:rsidRPr="005333E8" w:rsidR="0031677B" w:rsidP="00AF587D" w:rsidRDefault="0031677B" w14:paraId="61530E3B" w14:textId="77777777">
            <w:pPr>
              <w:widowControl w:val="0"/>
              <w:rPr>
                <w:color w:val="000000"/>
              </w:rPr>
            </w:pPr>
          </w:p>
          <w:p w:rsidRPr="005333E8" w:rsidR="0031677B" w:rsidP="0031677B" w:rsidRDefault="0031677B" w14:paraId="6D67FC03" w14:textId="77777777">
            <w:pPr>
              <w:widowControl w:val="0"/>
              <w:rPr>
                <w:color w:val="000000"/>
              </w:rPr>
            </w:pPr>
            <w:r w:rsidRPr="005333E8">
              <w:rPr>
                <w:color w:val="000000"/>
              </w:rPr>
              <w:t>“Accordingly, the preliminary steps to develop a more comprehensive</w:t>
            </w:r>
          </w:p>
          <w:p w:rsidRPr="005333E8" w:rsidR="0031677B" w:rsidP="0031677B" w:rsidRDefault="0031677B" w14:paraId="1ABE3473" w14:textId="0260E344">
            <w:pPr>
              <w:widowControl w:val="0"/>
              <w:rPr>
                <w:color w:val="000000"/>
              </w:rPr>
            </w:pPr>
            <w:r w:rsidRPr="005333E8">
              <w:rPr>
                <w:color w:val="000000"/>
              </w:rPr>
              <w:t>analysis of a customer’s ability to pay are already taking place. As the Commission</w:t>
            </w:r>
            <w:r w:rsidRPr="005333E8" w:rsidR="00380E2A">
              <w:rPr>
                <w:color w:val="000000"/>
              </w:rPr>
              <w:t xml:space="preserve"> </w:t>
            </w:r>
            <w:r w:rsidRPr="005333E8">
              <w:rPr>
                <w:color w:val="000000"/>
              </w:rPr>
              <w:t>gathers more</w:t>
            </w:r>
            <w:r w:rsidRPr="005333E8" w:rsidR="00380E2A">
              <w:rPr>
                <w:color w:val="000000"/>
              </w:rPr>
              <w:t xml:space="preserve"> </w:t>
            </w:r>
            <w:r w:rsidRPr="005333E8">
              <w:rPr>
                <w:color w:val="000000"/>
              </w:rPr>
              <w:t>information, it may update these definitions when and how it deems</w:t>
            </w:r>
          </w:p>
          <w:p w:rsidRPr="005333E8" w:rsidR="00380E2A" w:rsidP="00380E2A" w:rsidRDefault="0031677B" w14:paraId="29710BBC" w14:textId="77CBD6BD">
            <w:pPr>
              <w:widowControl w:val="0"/>
              <w:rPr>
                <w:color w:val="000000"/>
              </w:rPr>
            </w:pPr>
            <w:r w:rsidRPr="005333E8">
              <w:rPr>
                <w:color w:val="000000"/>
              </w:rPr>
              <w:t>prudent.</w:t>
            </w:r>
            <w:r w:rsidRPr="005333E8" w:rsidR="007A7478">
              <w:rPr>
                <w:color w:val="000000"/>
              </w:rPr>
              <w:t xml:space="preserve"> In</w:t>
            </w:r>
            <w:r w:rsidRPr="005333E8" w:rsidR="00380E2A">
              <w:rPr>
                <w:color w:val="000000"/>
              </w:rPr>
              <w:t xml:space="preserve"> the interim, the Commission exercises its discretion to direct the Large IOUs and SMJUs to use eligibility for the CARE and FERA programs as a proxy for</w:t>
            </w:r>
          </w:p>
          <w:p w:rsidRPr="005333E8" w:rsidR="00380E2A" w:rsidP="00380E2A" w:rsidRDefault="00380E2A" w14:paraId="0541DBFA" w14:textId="77777777">
            <w:pPr>
              <w:widowControl w:val="0"/>
              <w:rPr>
                <w:color w:val="000000"/>
              </w:rPr>
            </w:pPr>
            <w:r w:rsidRPr="005333E8">
              <w:rPr>
                <w:color w:val="000000"/>
              </w:rPr>
              <w:t>customers’ ability to pay. The Commission may revisit this definition if and when it adopts additional requirements in R.22-07-005.”</w:t>
            </w:r>
          </w:p>
          <w:p w:rsidRPr="005333E8" w:rsidR="00961785" w:rsidP="00380E2A" w:rsidRDefault="00380E2A" w14:paraId="2771FE01" w14:textId="75C793B1">
            <w:pPr>
              <w:widowControl w:val="0"/>
              <w:rPr>
                <w:b/>
                <w:bCs/>
                <w:color w:val="000000"/>
              </w:rPr>
            </w:pPr>
            <w:r w:rsidRPr="005333E8">
              <w:rPr>
                <w:b/>
                <w:bCs/>
                <w:color w:val="000000"/>
              </w:rPr>
              <w:t>D.25-06-012, p. 2</w:t>
            </w:r>
            <w:r w:rsidRPr="005333E8" w:rsidR="005B3C35">
              <w:rPr>
                <w:b/>
                <w:bCs/>
                <w:color w:val="000000"/>
              </w:rPr>
              <w:t>5</w:t>
            </w:r>
            <w:r w:rsidRPr="005333E8">
              <w:rPr>
                <w:b/>
                <w:bCs/>
                <w:color w:val="000000"/>
              </w:rPr>
              <w:t>-2</w:t>
            </w:r>
            <w:r w:rsidRPr="005333E8" w:rsidR="005B3C35">
              <w:rPr>
                <w:b/>
                <w:bCs/>
                <w:color w:val="000000"/>
              </w:rPr>
              <w:t>6</w:t>
            </w:r>
            <w:r w:rsidRPr="005333E8">
              <w:rPr>
                <w:b/>
                <w:bCs/>
                <w:color w:val="000000"/>
              </w:rPr>
              <w:t>.</w:t>
            </w:r>
          </w:p>
        </w:tc>
        <w:tc>
          <w:tcPr>
            <w:tcW w:w="2340" w:type="dxa"/>
          </w:tcPr>
          <w:p w:rsidR="00961785" w:rsidP="002D7BE6" w:rsidRDefault="002D7BE6" w14:paraId="4D7B2F00" w14:textId="77777777">
            <w:pPr>
              <w:widowControl w:val="0"/>
              <w:jc w:val="center"/>
              <w:rPr>
                <w:color w:val="000000"/>
              </w:rPr>
            </w:pPr>
            <w:r>
              <w:rPr>
                <w:color w:val="000000"/>
              </w:rPr>
              <w:t>Verified</w:t>
            </w:r>
          </w:p>
          <w:p w:rsidRPr="007F620E" w:rsidR="002F7EEF" w:rsidP="002D7BE6" w:rsidRDefault="002F7EEF" w14:paraId="5B2A3246" w14:textId="37F4BD07">
            <w:pPr>
              <w:widowControl w:val="0"/>
              <w:jc w:val="center"/>
              <w:rPr>
                <w:color w:val="000000"/>
              </w:rPr>
            </w:pPr>
          </w:p>
        </w:tc>
      </w:tr>
      <w:tr w:rsidRPr="007F620E" w:rsidR="004664B1" w:rsidTr="00D33661" w14:paraId="4F9597F7" w14:textId="77777777">
        <w:tc>
          <w:tcPr>
            <w:tcW w:w="3505" w:type="dxa"/>
          </w:tcPr>
          <w:p w:rsidR="00961785" w:rsidP="00FE0183" w:rsidRDefault="00FE0183" w14:paraId="555FFDCD" w14:textId="777B3DF6">
            <w:pPr>
              <w:widowControl w:val="0"/>
              <w:rPr>
                <w:color w:val="000000"/>
              </w:rPr>
            </w:pPr>
            <w:r>
              <w:rPr>
                <w:color w:val="000000"/>
              </w:rPr>
              <w:t>UCAN recommend</w:t>
            </w:r>
            <w:r w:rsidR="003C1288">
              <w:rPr>
                <w:color w:val="000000"/>
              </w:rPr>
              <w:t>ed</w:t>
            </w:r>
            <w:r>
              <w:rPr>
                <w:color w:val="000000"/>
              </w:rPr>
              <w:t xml:space="preserve"> against evalu</w:t>
            </w:r>
            <w:r w:rsidR="00F02DCE">
              <w:rPr>
                <w:color w:val="000000"/>
              </w:rPr>
              <w:t>ating</w:t>
            </w:r>
            <w:r>
              <w:rPr>
                <w:color w:val="000000"/>
              </w:rPr>
              <w:t xml:space="preserve"> payment </w:t>
            </w:r>
            <w:r w:rsidR="002A5FC9">
              <w:rPr>
                <w:color w:val="000000"/>
              </w:rPr>
              <w:t xml:space="preserve">and assistance </w:t>
            </w:r>
            <w:r>
              <w:rPr>
                <w:color w:val="000000"/>
              </w:rPr>
              <w:t>programs until more information is available.</w:t>
            </w:r>
          </w:p>
          <w:p w:rsidR="00C45D47" w:rsidP="00FE0183" w:rsidRDefault="00C45D47" w14:paraId="2DE32E84" w14:textId="77777777">
            <w:pPr>
              <w:widowControl w:val="0"/>
              <w:rPr>
                <w:color w:val="000000"/>
              </w:rPr>
            </w:pPr>
          </w:p>
          <w:p w:rsidRPr="00C45D47" w:rsidR="002A5FC9" w:rsidP="00FE0183" w:rsidRDefault="00AD6EE7" w14:paraId="72EE8114" w14:textId="390B93C7">
            <w:pPr>
              <w:widowControl w:val="0"/>
              <w:rPr>
                <w:b/>
                <w:bCs/>
                <w:color w:val="000000"/>
              </w:rPr>
            </w:pPr>
            <w:r w:rsidRPr="00C45D47">
              <w:rPr>
                <w:b/>
                <w:bCs/>
                <w:color w:val="000000"/>
              </w:rPr>
              <w:t xml:space="preserve">UCAN 10, p. 7. </w:t>
            </w:r>
          </w:p>
        </w:tc>
        <w:tc>
          <w:tcPr>
            <w:tcW w:w="3893" w:type="dxa"/>
          </w:tcPr>
          <w:p w:rsidRPr="00BE7252" w:rsidR="00961785" w:rsidP="00DF4D53" w:rsidRDefault="00422897" w14:paraId="01588EA2" w14:textId="77777777">
            <w:pPr>
              <w:widowControl w:val="0"/>
              <w:rPr>
                <w:color w:val="000000"/>
              </w:rPr>
            </w:pPr>
            <w:r>
              <w:rPr>
                <w:color w:val="000000"/>
              </w:rPr>
              <w:lastRenderedPageBreak/>
              <w:t xml:space="preserve">In alignment with UCAN’s </w:t>
            </w:r>
            <w:r w:rsidRPr="00BE7252">
              <w:rPr>
                <w:color w:val="000000"/>
              </w:rPr>
              <w:t>recommendation, t</w:t>
            </w:r>
            <w:r w:rsidRPr="00BE7252" w:rsidR="002A5FC9">
              <w:rPr>
                <w:color w:val="000000"/>
              </w:rPr>
              <w:t xml:space="preserve">he Commission </w:t>
            </w:r>
            <w:r w:rsidRPr="00BE7252" w:rsidR="00E4232C">
              <w:rPr>
                <w:color w:val="000000"/>
              </w:rPr>
              <w:t>“</w:t>
            </w:r>
            <w:r w:rsidRPr="00BE7252">
              <w:rPr>
                <w:color w:val="000000"/>
              </w:rPr>
              <w:t>does not order additional studies at this time, but</w:t>
            </w:r>
            <w:r w:rsidRPr="00BE7252" w:rsidR="00DF4D53">
              <w:rPr>
                <w:color w:val="000000"/>
              </w:rPr>
              <w:t xml:space="preserve"> </w:t>
            </w:r>
            <w:r w:rsidRPr="00BE7252">
              <w:rPr>
                <w:color w:val="000000"/>
              </w:rPr>
              <w:t xml:space="preserve">Commission staff will </w:t>
            </w:r>
            <w:r w:rsidRPr="00BE7252">
              <w:rPr>
                <w:color w:val="000000"/>
              </w:rPr>
              <w:lastRenderedPageBreak/>
              <w:t xml:space="preserve">review [multiple </w:t>
            </w:r>
            <w:r w:rsidRPr="00BE7252" w:rsidR="00DF4D53">
              <w:rPr>
                <w:color w:val="000000"/>
              </w:rPr>
              <w:t>studies underway</w:t>
            </w:r>
            <w:r w:rsidRPr="00BE7252">
              <w:rPr>
                <w:color w:val="000000"/>
              </w:rPr>
              <w:t>] and, if warranted, may recommend ways to improve the individual</w:t>
            </w:r>
            <w:r w:rsidRPr="00BE7252" w:rsidR="00DF4D53">
              <w:rPr>
                <w:color w:val="000000"/>
              </w:rPr>
              <w:t xml:space="preserve"> </w:t>
            </w:r>
            <w:r w:rsidRPr="00BE7252">
              <w:rPr>
                <w:color w:val="000000"/>
              </w:rPr>
              <w:t>and collective effectiveness of the payment programs.</w:t>
            </w:r>
            <w:r w:rsidRPr="00BE7252" w:rsidR="00DF4D53">
              <w:rPr>
                <w:color w:val="000000"/>
              </w:rPr>
              <w:t>”</w:t>
            </w:r>
          </w:p>
          <w:p w:rsidRPr="00C45D47" w:rsidR="00DF4D53" w:rsidP="00DF4D53" w:rsidRDefault="00DF4D53" w14:paraId="42DAE143" w14:textId="7F7C3BD7">
            <w:pPr>
              <w:widowControl w:val="0"/>
              <w:rPr>
                <w:b/>
                <w:bCs/>
                <w:color w:val="000000"/>
              </w:rPr>
            </w:pPr>
            <w:r w:rsidRPr="00BE7252">
              <w:rPr>
                <w:b/>
                <w:bCs/>
                <w:color w:val="000000"/>
              </w:rPr>
              <w:t>D.25-06-012, p. 30-31.</w:t>
            </w:r>
          </w:p>
        </w:tc>
        <w:tc>
          <w:tcPr>
            <w:tcW w:w="2340" w:type="dxa"/>
          </w:tcPr>
          <w:p w:rsidRPr="007F620E" w:rsidR="00961785" w:rsidP="00BE7252" w:rsidRDefault="00BE7252" w14:paraId="6200B110" w14:textId="0F7A2979">
            <w:pPr>
              <w:widowControl w:val="0"/>
              <w:tabs>
                <w:tab w:val="center" w:pos="1107"/>
              </w:tabs>
              <w:jc w:val="center"/>
              <w:rPr>
                <w:color w:val="000000"/>
              </w:rPr>
            </w:pPr>
            <w:r w:rsidRPr="00BE7252">
              <w:lastRenderedPageBreak/>
              <w:t>Verified</w:t>
            </w:r>
          </w:p>
        </w:tc>
      </w:tr>
      <w:tr w:rsidRPr="007F620E" w:rsidR="004664B1" w:rsidTr="00D33661" w14:paraId="3E425CD5" w14:textId="77777777">
        <w:tc>
          <w:tcPr>
            <w:tcW w:w="3505" w:type="dxa"/>
          </w:tcPr>
          <w:p w:rsidR="00F349AE" w:rsidP="00EA094C" w:rsidRDefault="00EA094C" w14:paraId="185105B1" w14:textId="0A548ECF">
            <w:pPr>
              <w:widowControl w:val="0"/>
              <w:rPr>
                <w:color w:val="000000"/>
              </w:rPr>
            </w:pPr>
            <w:r>
              <w:rPr>
                <w:color w:val="000000"/>
              </w:rPr>
              <w:t>Regarding heat risks and TURN’s proposal</w:t>
            </w:r>
            <w:r w:rsidR="00497603">
              <w:rPr>
                <w:color w:val="000000"/>
              </w:rPr>
              <w:t>,</w:t>
            </w:r>
            <w:r>
              <w:rPr>
                <w:color w:val="000000"/>
              </w:rPr>
              <w:t xml:space="preserve"> UCAN</w:t>
            </w:r>
            <w:r w:rsidR="005D1A16">
              <w:rPr>
                <w:color w:val="000000"/>
              </w:rPr>
              <w:t xml:space="preserve"> supported the </w:t>
            </w:r>
            <w:r w:rsidR="00497603">
              <w:rPr>
                <w:color w:val="000000"/>
              </w:rPr>
              <w:t xml:space="preserve">proposal and </w:t>
            </w:r>
            <w:r w:rsidR="00CE6D95">
              <w:rPr>
                <w:color w:val="000000"/>
              </w:rPr>
              <w:t>its intent</w:t>
            </w:r>
            <w:r w:rsidR="00F02DCE">
              <w:rPr>
                <w:color w:val="000000"/>
              </w:rPr>
              <w:t>:</w:t>
            </w:r>
            <w:r w:rsidR="005D1A16">
              <w:rPr>
                <w:color w:val="000000"/>
              </w:rPr>
              <w:t xml:space="preserve"> to protect</w:t>
            </w:r>
            <w:r w:rsidR="002B235A">
              <w:rPr>
                <w:color w:val="000000"/>
              </w:rPr>
              <w:t xml:space="preserve"> Californians from</w:t>
            </w:r>
            <w:r w:rsidR="00457877">
              <w:rPr>
                <w:color w:val="000000"/>
              </w:rPr>
              <w:t xml:space="preserve"> risk of death or other negative heat-related outcomes</w:t>
            </w:r>
            <w:r w:rsidR="00497603">
              <w:rPr>
                <w:color w:val="000000"/>
              </w:rPr>
              <w:t>. UCAN</w:t>
            </w:r>
            <w:r w:rsidR="00457877">
              <w:rPr>
                <w:color w:val="000000"/>
              </w:rPr>
              <w:t xml:space="preserve"> highlighted the importance of making the</w:t>
            </w:r>
            <w:r w:rsidR="003E21BA">
              <w:rPr>
                <w:color w:val="000000"/>
              </w:rPr>
              <w:t xml:space="preserve"> new disconnection rules related to </w:t>
            </w:r>
            <w:r w:rsidR="001D42EC">
              <w:rPr>
                <w:color w:val="000000"/>
              </w:rPr>
              <w:t xml:space="preserve">extreme </w:t>
            </w:r>
            <w:r w:rsidR="003E21BA">
              <w:rPr>
                <w:color w:val="000000"/>
              </w:rPr>
              <w:t>heat easy to implement</w:t>
            </w:r>
            <w:r w:rsidR="001D42EC">
              <w:rPr>
                <w:color w:val="000000"/>
              </w:rPr>
              <w:t xml:space="preserve">. UCAN </w:t>
            </w:r>
            <w:r w:rsidR="00497603">
              <w:rPr>
                <w:color w:val="000000"/>
              </w:rPr>
              <w:t xml:space="preserve">offered an </w:t>
            </w:r>
            <w:r w:rsidR="00F349AE">
              <w:rPr>
                <w:color w:val="000000"/>
              </w:rPr>
              <w:t>alternate proposal that would lower the temperature protection threshold to 95 degrees F.</w:t>
            </w:r>
          </w:p>
          <w:p w:rsidR="00C45D47" w:rsidP="00EA094C" w:rsidRDefault="00C45D47" w14:paraId="71392409" w14:textId="77777777">
            <w:pPr>
              <w:widowControl w:val="0"/>
              <w:rPr>
                <w:color w:val="000000"/>
              </w:rPr>
            </w:pPr>
          </w:p>
          <w:p w:rsidRPr="00C45D47" w:rsidR="00F349AE" w:rsidP="00EA094C" w:rsidRDefault="002D13AB" w14:paraId="63E904BD" w14:textId="1E70944B">
            <w:pPr>
              <w:widowControl w:val="0"/>
              <w:rPr>
                <w:b/>
                <w:bCs/>
                <w:color w:val="000000"/>
              </w:rPr>
            </w:pPr>
            <w:r w:rsidRPr="00C45D47">
              <w:rPr>
                <w:b/>
                <w:bCs/>
                <w:color w:val="000000"/>
              </w:rPr>
              <w:t>UCAN 8, pp. 9-11.</w:t>
            </w:r>
          </w:p>
          <w:p w:rsidR="00617F26" w:rsidP="00EA094C" w:rsidRDefault="00617F26" w14:paraId="0D27B693" w14:textId="77777777">
            <w:pPr>
              <w:widowControl w:val="0"/>
              <w:rPr>
                <w:color w:val="000000"/>
              </w:rPr>
            </w:pPr>
          </w:p>
          <w:p w:rsidR="00617F26" w:rsidP="00EA094C" w:rsidRDefault="00617F26" w14:paraId="0F1C1418" w14:textId="7DB39A0C">
            <w:pPr>
              <w:widowControl w:val="0"/>
              <w:rPr>
                <w:color w:val="000000"/>
              </w:rPr>
            </w:pPr>
            <w:r>
              <w:rPr>
                <w:color w:val="000000"/>
              </w:rPr>
              <w:t>UCAN also asked</w:t>
            </w:r>
            <w:r w:rsidR="00AE4300">
              <w:rPr>
                <w:color w:val="000000"/>
              </w:rPr>
              <w:t xml:space="preserve"> the Commission to establish a program even if it does not use TURN’s proposal</w:t>
            </w:r>
            <w:r w:rsidR="002D4398">
              <w:rPr>
                <w:color w:val="000000"/>
              </w:rPr>
              <w:t>:</w:t>
            </w:r>
          </w:p>
          <w:p w:rsidR="00462642" w:rsidP="00EA094C" w:rsidRDefault="00462642" w14:paraId="0F420B16" w14:textId="77777777">
            <w:pPr>
              <w:widowControl w:val="0"/>
              <w:rPr>
                <w:color w:val="000000"/>
              </w:rPr>
            </w:pPr>
          </w:p>
          <w:p w:rsidRPr="002D4398" w:rsidR="002D4398" w:rsidP="002D4398" w:rsidRDefault="002D4398" w14:paraId="35EB12D7" w14:textId="77777777">
            <w:pPr>
              <w:widowControl w:val="0"/>
              <w:rPr>
                <w:color w:val="000000"/>
              </w:rPr>
            </w:pPr>
            <w:r>
              <w:rPr>
                <w:color w:val="000000"/>
              </w:rPr>
              <w:t>“</w:t>
            </w:r>
            <w:r w:rsidRPr="002D4398">
              <w:rPr>
                <w:color w:val="000000"/>
              </w:rPr>
              <w:t>It is incumbent on the Commission to devise all</w:t>
            </w:r>
          </w:p>
          <w:p w:rsidRPr="002D4398" w:rsidR="002D4398" w:rsidP="002D4398" w:rsidRDefault="002D4398" w14:paraId="163EA22B" w14:textId="77777777">
            <w:pPr>
              <w:widowControl w:val="0"/>
              <w:rPr>
                <w:color w:val="000000"/>
              </w:rPr>
            </w:pPr>
            <w:r w:rsidRPr="002D4398">
              <w:rPr>
                <w:color w:val="000000"/>
              </w:rPr>
              <w:t>possible programs to protect vulnerable customers from death and illness from extreme heat,</w:t>
            </w:r>
          </w:p>
          <w:p w:rsidR="00AE4300" w:rsidP="002D4398" w:rsidRDefault="002D4398" w14:paraId="4E927109" w14:textId="2A3F88EA">
            <w:pPr>
              <w:widowControl w:val="0"/>
              <w:rPr>
                <w:color w:val="000000"/>
              </w:rPr>
            </w:pPr>
            <w:r w:rsidRPr="002D4398">
              <w:rPr>
                <w:color w:val="000000"/>
              </w:rPr>
              <w:t>particularly vulnerable segments of the population such as the elderly and infirm.</w:t>
            </w:r>
            <w:r>
              <w:rPr>
                <w:color w:val="000000"/>
              </w:rPr>
              <w:t>”</w:t>
            </w:r>
          </w:p>
          <w:p w:rsidR="00C45D47" w:rsidP="002D4398" w:rsidRDefault="00C45D47" w14:paraId="014A54BA" w14:textId="77777777">
            <w:pPr>
              <w:widowControl w:val="0"/>
              <w:rPr>
                <w:color w:val="000000"/>
              </w:rPr>
            </w:pPr>
          </w:p>
          <w:p w:rsidRPr="00C45D47" w:rsidR="003E21BA" w:rsidP="00EA094C" w:rsidRDefault="002D4398" w14:paraId="38F3C0D0" w14:textId="0D03E44A">
            <w:pPr>
              <w:widowControl w:val="0"/>
              <w:rPr>
                <w:b/>
                <w:bCs/>
                <w:color w:val="000000"/>
              </w:rPr>
            </w:pPr>
            <w:r w:rsidRPr="00C45D47">
              <w:rPr>
                <w:b/>
                <w:bCs/>
                <w:color w:val="000000"/>
              </w:rPr>
              <w:t>UCAN 13, p. 4.</w:t>
            </w:r>
          </w:p>
        </w:tc>
        <w:tc>
          <w:tcPr>
            <w:tcW w:w="3893" w:type="dxa"/>
          </w:tcPr>
          <w:p w:rsidR="00961785" w:rsidP="00C45D47" w:rsidRDefault="00780151" w14:paraId="3F9AF4AA" w14:textId="6BC74DBC">
            <w:pPr>
              <w:widowControl w:val="0"/>
              <w:rPr>
                <w:color w:val="000000"/>
              </w:rPr>
            </w:pPr>
            <w:r>
              <w:rPr>
                <w:color w:val="000000"/>
              </w:rPr>
              <w:t>In alignment with UCAN’s recommendations</w:t>
            </w:r>
            <w:r w:rsidR="00C12652">
              <w:rPr>
                <w:color w:val="000000"/>
              </w:rPr>
              <w:t xml:space="preserve"> and requests</w:t>
            </w:r>
            <w:r>
              <w:rPr>
                <w:color w:val="000000"/>
              </w:rPr>
              <w:t>, the Commission:</w:t>
            </w:r>
          </w:p>
          <w:p w:rsidR="00780151" w:rsidP="00AF587D" w:rsidRDefault="00780151" w14:paraId="0AFBBC96" w14:textId="77777777">
            <w:pPr>
              <w:widowControl w:val="0"/>
              <w:ind w:left="90"/>
              <w:rPr>
                <w:color w:val="000000"/>
              </w:rPr>
            </w:pPr>
          </w:p>
          <w:p w:rsidRPr="00A81283" w:rsidR="00780151" w:rsidP="00C45D47" w:rsidRDefault="00780151" w14:paraId="3463843A" w14:textId="56D8F7C1">
            <w:pPr>
              <w:widowControl w:val="0"/>
              <w:rPr>
                <w:color w:val="000000"/>
              </w:rPr>
            </w:pPr>
            <w:r>
              <w:rPr>
                <w:color w:val="000000"/>
              </w:rPr>
              <w:t>“</w:t>
            </w:r>
            <w:r w:rsidR="00C12652">
              <w:rPr>
                <w:color w:val="000000"/>
              </w:rPr>
              <w:t>…</w:t>
            </w:r>
            <w:r w:rsidRPr="00792372" w:rsidR="00792372">
              <w:rPr>
                <w:color w:val="000000"/>
              </w:rPr>
              <w:t xml:space="preserve">directs </w:t>
            </w:r>
            <w:r w:rsidR="00F90603">
              <w:rPr>
                <w:color w:val="000000"/>
              </w:rPr>
              <w:t>[parties ]</w:t>
            </w:r>
            <w:r w:rsidRPr="00792372" w:rsidR="00792372">
              <w:rPr>
                <w:color w:val="000000"/>
              </w:rPr>
              <w:t>to lower the temperature or other relevant thresholds that</w:t>
            </w:r>
            <w:r w:rsidR="00F90603">
              <w:rPr>
                <w:color w:val="000000"/>
              </w:rPr>
              <w:t xml:space="preserve"> </w:t>
            </w:r>
            <w:r w:rsidRPr="00792372" w:rsidR="00792372">
              <w:rPr>
                <w:color w:val="000000"/>
              </w:rPr>
              <w:t>trigger disconnections suspensions in light of the relative heat risks</w:t>
            </w:r>
            <w:r w:rsidR="00792372">
              <w:rPr>
                <w:color w:val="000000"/>
              </w:rPr>
              <w:t>…</w:t>
            </w:r>
            <w:r w:rsidRPr="00792372" w:rsidR="00792372">
              <w:rPr>
                <w:rFonts w:ascii="Cambria" w:hAnsi="Cambria"/>
                <w:color w:val="000000"/>
                <w:sz w:val="26"/>
                <w:szCs w:val="26"/>
              </w:rPr>
              <w:t xml:space="preserve"> </w:t>
            </w:r>
            <w:r w:rsidRPr="00792372" w:rsidR="00792372">
              <w:rPr>
                <w:color w:val="000000"/>
              </w:rPr>
              <w:t>The Commission will seek proposals</w:t>
            </w:r>
            <w:r w:rsidR="006A33B6">
              <w:rPr>
                <w:color w:val="000000"/>
              </w:rPr>
              <w:t xml:space="preserve"> </w:t>
            </w:r>
            <w:r w:rsidRPr="00792372" w:rsidR="00792372">
              <w:rPr>
                <w:color w:val="000000"/>
              </w:rPr>
              <w:t>that have a targeted focus on</w:t>
            </w:r>
            <w:r w:rsidR="00F90603">
              <w:rPr>
                <w:color w:val="000000"/>
              </w:rPr>
              <w:t xml:space="preserve"> </w:t>
            </w:r>
            <w:r w:rsidRPr="00792372" w:rsidR="00792372">
              <w:rPr>
                <w:color w:val="000000"/>
              </w:rPr>
              <w:t>reducing customers’ relative heat exposure, that rely</w:t>
            </w:r>
            <w:r w:rsidR="00F90603">
              <w:rPr>
                <w:color w:val="000000"/>
              </w:rPr>
              <w:t xml:space="preserve"> </w:t>
            </w:r>
            <w:r w:rsidRPr="00792372" w:rsidR="00792372">
              <w:rPr>
                <w:color w:val="000000"/>
              </w:rPr>
              <w:t xml:space="preserve">on data and tools that </w:t>
            </w:r>
            <w:r w:rsidRPr="00A81283" w:rsidR="00792372">
              <w:rPr>
                <w:color w:val="000000"/>
              </w:rPr>
              <w:t>are proven and consistently available, and minimize cost and</w:t>
            </w:r>
            <w:r w:rsidRPr="00A81283" w:rsidR="006A33B6">
              <w:rPr>
                <w:color w:val="000000"/>
              </w:rPr>
              <w:t xml:space="preserve"> </w:t>
            </w:r>
            <w:r w:rsidRPr="00A81283" w:rsidR="00792372">
              <w:rPr>
                <w:color w:val="000000"/>
              </w:rPr>
              <w:t>burden of implementation.”</w:t>
            </w:r>
          </w:p>
          <w:p w:rsidRPr="00C45D47" w:rsidR="00F90603" w:rsidP="00F90603" w:rsidRDefault="00F90603" w14:paraId="33FE164E" w14:textId="1444870F">
            <w:pPr>
              <w:widowControl w:val="0"/>
              <w:rPr>
                <w:b/>
                <w:bCs/>
                <w:color w:val="000000"/>
              </w:rPr>
            </w:pPr>
            <w:r w:rsidRPr="00A81283">
              <w:rPr>
                <w:b/>
                <w:bCs/>
                <w:color w:val="000000"/>
              </w:rPr>
              <w:t>D.25-06-012, p. 35.</w:t>
            </w:r>
          </w:p>
          <w:p w:rsidRPr="007F620E" w:rsidR="00F90603" w:rsidP="00AF587D" w:rsidRDefault="00F90603" w14:paraId="7A38BC7B" w14:textId="6705631C">
            <w:pPr>
              <w:widowControl w:val="0"/>
              <w:ind w:left="90"/>
              <w:rPr>
                <w:color w:val="000000"/>
              </w:rPr>
            </w:pPr>
          </w:p>
        </w:tc>
        <w:tc>
          <w:tcPr>
            <w:tcW w:w="2340" w:type="dxa"/>
          </w:tcPr>
          <w:p w:rsidRPr="007F620E" w:rsidR="00961785" w:rsidP="00A81283" w:rsidRDefault="00A81283" w14:paraId="6DA3C17A" w14:textId="46DC0881">
            <w:pPr>
              <w:widowControl w:val="0"/>
              <w:ind w:left="90"/>
              <w:jc w:val="center"/>
              <w:rPr>
                <w:color w:val="000000"/>
              </w:rPr>
            </w:pPr>
            <w:r>
              <w:rPr>
                <w:color w:val="000000"/>
              </w:rPr>
              <w:t>Verified</w:t>
            </w:r>
          </w:p>
        </w:tc>
      </w:tr>
      <w:tr w:rsidRPr="007F620E" w:rsidR="004664B1" w:rsidTr="00D33661" w14:paraId="318CD47F" w14:textId="77777777">
        <w:tc>
          <w:tcPr>
            <w:tcW w:w="3505" w:type="dxa"/>
          </w:tcPr>
          <w:p w:rsidRPr="00A81283" w:rsidR="00961785" w:rsidP="005769E9" w:rsidRDefault="004D2CD4" w14:paraId="01C9D51F" w14:textId="58AA2F62">
            <w:pPr>
              <w:widowControl w:val="0"/>
              <w:rPr>
                <w:color w:val="000000"/>
              </w:rPr>
            </w:pPr>
            <w:r w:rsidRPr="00A81283">
              <w:rPr>
                <w:color w:val="000000"/>
              </w:rPr>
              <w:t xml:space="preserve">UCAN </w:t>
            </w:r>
            <w:r w:rsidRPr="00A81283" w:rsidR="007D559C">
              <w:rPr>
                <w:color w:val="000000"/>
              </w:rPr>
              <w:t>noted the</w:t>
            </w:r>
            <w:r w:rsidRPr="00A81283" w:rsidR="00613BB9">
              <w:rPr>
                <w:color w:val="000000"/>
              </w:rPr>
              <w:t xml:space="preserve"> needs of tribal communities can be unique and requested </w:t>
            </w:r>
            <w:r w:rsidRPr="00A81283" w:rsidR="00E46459">
              <w:rPr>
                <w:color w:val="000000"/>
              </w:rPr>
              <w:t>outreach and services that respond to those unique needs.</w:t>
            </w:r>
          </w:p>
          <w:p w:rsidRPr="00A81283" w:rsidR="00C45D47" w:rsidP="005769E9" w:rsidRDefault="00C45D47" w14:paraId="2C020958" w14:textId="77777777">
            <w:pPr>
              <w:widowControl w:val="0"/>
              <w:rPr>
                <w:color w:val="000000"/>
              </w:rPr>
            </w:pPr>
          </w:p>
          <w:p w:rsidRPr="00A81283" w:rsidR="00E46459" w:rsidP="005769E9" w:rsidRDefault="00E46459" w14:paraId="5E33A7CF" w14:textId="6BC20BEB">
            <w:pPr>
              <w:widowControl w:val="0"/>
              <w:rPr>
                <w:b/>
                <w:bCs/>
                <w:color w:val="000000"/>
              </w:rPr>
            </w:pPr>
            <w:r w:rsidRPr="00A81283">
              <w:rPr>
                <w:b/>
                <w:bCs/>
                <w:color w:val="000000"/>
              </w:rPr>
              <w:t>UCAN 8, pp. 7-8.</w:t>
            </w:r>
          </w:p>
          <w:p w:rsidRPr="00A81283" w:rsidR="004D2CD4" w:rsidP="005769E9" w:rsidRDefault="004D2CD4" w14:paraId="73D75CF2" w14:textId="77777777">
            <w:pPr>
              <w:widowControl w:val="0"/>
              <w:rPr>
                <w:color w:val="000000"/>
              </w:rPr>
            </w:pPr>
          </w:p>
          <w:p w:rsidRPr="00A81283" w:rsidR="004D2CD4" w:rsidP="005769E9" w:rsidRDefault="004D2CD4" w14:paraId="12F0266E" w14:textId="017E73AC">
            <w:pPr>
              <w:widowControl w:val="0"/>
              <w:rPr>
                <w:color w:val="000000"/>
              </w:rPr>
            </w:pPr>
          </w:p>
        </w:tc>
        <w:tc>
          <w:tcPr>
            <w:tcW w:w="3893" w:type="dxa"/>
          </w:tcPr>
          <w:p w:rsidRPr="00A81283" w:rsidR="00961785" w:rsidP="004D2CD4" w:rsidRDefault="004D2CD4" w14:paraId="6A6625C9" w14:textId="77777777">
            <w:pPr>
              <w:widowControl w:val="0"/>
              <w:rPr>
                <w:color w:val="000000"/>
              </w:rPr>
            </w:pPr>
            <w:r w:rsidRPr="00A81283">
              <w:rPr>
                <w:color w:val="000000"/>
              </w:rPr>
              <w:lastRenderedPageBreak/>
              <w:t>The Commission agreed with UCAN:</w:t>
            </w:r>
          </w:p>
          <w:p w:rsidRPr="00A81283" w:rsidR="004D2CD4" w:rsidP="004D2CD4" w:rsidRDefault="004D2CD4" w14:paraId="6E6AB18D" w14:textId="77777777">
            <w:pPr>
              <w:widowControl w:val="0"/>
              <w:rPr>
                <w:color w:val="000000"/>
              </w:rPr>
            </w:pPr>
          </w:p>
          <w:p w:rsidRPr="00A81283" w:rsidR="0099275A" w:rsidP="004D2CD4" w:rsidRDefault="004D2CD4" w14:paraId="21FF15A4" w14:textId="652D40A5">
            <w:pPr>
              <w:widowControl w:val="0"/>
              <w:rPr>
                <w:color w:val="000000"/>
              </w:rPr>
            </w:pPr>
            <w:r w:rsidRPr="00A81283">
              <w:rPr>
                <w:color w:val="000000"/>
              </w:rPr>
              <w:t>“</w:t>
            </w:r>
            <w:r w:rsidRPr="00A81283" w:rsidR="00336178">
              <w:rPr>
                <w:color w:val="000000"/>
              </w:rPr>
              <w:t>UCAN recommends that the Large IOUs designate a tribal liaison for their</w:t>
            </w:r>
            <w:r w:rsidRPr="00A81283" w:rsidR="0099275A">
              <w:rPr>
                <w:color w:val="000000"/>
              </w:rPr>
              <w:t xml:space="preserve"> </w:t>
            </w:r>
            <w:r w:rsidRPr="00A81283" w:rsidR="00336178">
              <w:rPr>
                <w:color w:val="000000"/>
              </w:rPr>
              <w:t>tribal customers that would help the utilities with tribal outreach and provide</w:t>
            </w:r>
            <w:r w:rsidRPr="00A81283" w:rsidR="0099275A">
              <w:rPr>
                <w:color w:val="000000"/>
              </w:rPr>
              <w:t xml:space="preserve"> </w:t>
            </w:r>
            <w:r w:rsidRPr="00A81283" w:rsidR="00336178">
              <w:rPr>
                <w:color w:val="000000"/>
              </w:rPr>
              <w:t>training to utility</w:t>
            </w:r>
            <w:r w:rsidRPr="00A81283" w:rsidR="0099275A">
              <w:rPr>
                <w:color w:val="000000"/>
              </w:rPr>
              <w:t xml:space="preserve"> </w:t>
            </w:r>
            <w:r w:rsidRPr="00A81283" w:rsidR="00336178">
              <w:rPr>
                <w:color w:val="000000"/>
              </w:rPr>
              <w:t xml:space="preserve">representatives on Native American </w:t>
            </w:r>
            <w:r w:rsidRPr="00A81283" w:rsidR="00336178">
              <w:rPr>
                <w:color w:val="000000"/>
              </w:rPr>
              <w:lastRenderedPageBreak/>
              <w:t>culture and tribal outreach</w:t>
            </w:r>
            <w:r w:rsidRPr="00A81283" w:rsidR="0099275A">
              <w:rPr>
                <w:color w:val="000000"/>
              </w:rPr>
              <w:t>… The Commission has recognized the importance of engaging directly with</w:t>
            </w:r>
            <w:r w:rsidRPr="00A81283" w:rsidR="0099275A">
              <w:rPr>
                <w:color w:val="000000"/>
              </w:rPr>
              <w:br/>
              <w:t>tribal communities. Should a tribe request it, the Large IOUs must provide the tribe with a dedicated point of contact for matters concerning bill payments, arrearages,</w:t>
            </w:r>
            <w:r w:rsidRPr="00A81283" w:rsidR="0099275A">
              <w:rPr>
                <w:color w:val="000000"/>
              </w:rPr>
              <w:br/>
              <w:t>and/or disconnection/reconnection of energy services.”</w:t>
            </w:r>
            <w:r w:rsidRPr="00A81283" w:rsidR="0099275A">
              <w:rPr>
                <w:color w:val="000000"/>
              </w:rPr>
              <w:br/>
            </w:r>
            <w:r w:rsidRPr="00A81283" w:rsidR="00E13816">
              <w:rPr>
                <w:b/>
                <w:bCs/>
                <w:color w:val="000000"/>
              </w:rPr>
              <w:t>D.25-06-012, p. 36-37.</w:t>
            </w:r>
          </w:p>
        </w:tc>
        <w:tc>
          <w:tcPr>
            <w:tcW w:w="2340" w:type="dxa"/>
          </w:tcPr>
          <w:p w:rsidRPr="007F620E" w:rsidR="00961785" w:rsidP="00A81283" w:rsidRDefault="00A81283" w14:paraId="51EDF996" w14:textId="7BF6DEEB">
            <w:pPr>
              <w:widowControl w:val="0"/>
              <w:ind w:left="90"/>
              <w:jc w:val="center"/>
              <w:rPr>
                <w:color w:val="000000"/>
              </w:rPr>
            </w:pPr>
            <w:r>
              <w:rPr>
                <w:color w:val="000000"/>
              </w:rPr>
              <w:lastRenderedPageBreak/>
              <w:t>Verified</w:t>
            </w:r>
          </w:p>
        </w:tc>
      </w:tr>
    </w:tbl>
    <w:p w:rsidRPr="007F620E" w:rsidR="00A92D0B" w:rsidP="001A7282" w:rsidRDefault="00A92D0B" w14:paraId="0D4BCD3A" w14:textId="77777777">
      <w:pPr>
        <w:widowControl w:val="0"/>
        <w:numPr>
          <w:ilvl w:val="0"/>
          <w:numId w:val="8"/>
        </w:numPr>
        <w:spacing w:before="240" w:after="240"/>
        <w:rPr>
          <w:b/>
          <w:color w:val="000000"/>
        </w:rPr>
      </w:pPr>
      <w:r w:rsidRPr="007F620E">
        <w:rPr>
          <w:b/>
          <w:color w:val="000000"/>
        </w:rPr>
        <w:t xml:space="preserve">Duplication of Effort (§ 1801.3(f) </w:t>
      </w:r>
      <w:r w:rsidRPr="007F620E" w:rsidR="00F30DA8">
        <w:rPr>
          <w:b/>
          <w:color w:val="000000"/>
        </w:rPr>
        <w:t xml:space="preserve">and § </w:t>
      </w:r>
      <w:r w:rsidR="0022302F">
        <w:rPr>
          <w:b/>
          <w:color w:val="000000"/>
        </w:rPr>
        <w:t>1802.5)</w:t>
      </w:r>
      <w:r w:rsidR="00C02649">
        <w:rPr>
          <w:b/>
          <w:color w:val="000000"/>
        </w:rPr>
        <w:t>:</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6048"/>
        <w:gridCol w:w="1710"/>
        <w:gridCol w:w="1980"/>
      </w:tblGrid>
      <w:tr w:rsidRPr="007F620E" w:rsidR="00A92D0B" w:rsidTr="00F40941" w14:paraId="76F3266C" w14:textId="77777777">
        <w:tc>
          <w:tcPr>
            <w:tcW w:w="6048" w:type="dxa"/>
            <w:shd w:val="clear" w:color="auto" w:fill="D9D9D9" w:themeFill="background1" w:themeFillShade="D9"/>
          </w:tcPr>
          <w:p w:rsidRPr="007F620E" w:rsidR="00A92D0B" w:rsidP="001A7282" w:rsidRDefault="00A92D0B" w14:paraId="300CEDBC" w14:textId="77777777">
            <w:pPr>
              <w:widowControl w:val="0"/>
              <w:rPr>
                <w:color w:val="000000"/>
              </w:rPr>
            </w:pPr>
          </w:p>
        </w:tc>
        <w:tc>
          <w:tcPr>
            <w:tcW w:w="1710" w:type="dxa"/>
            <w:tcBorders>
              <w:bottom w:val="single" w:color="auto" w:sz="4" w:space="0"/>
            </w:tcBorders>
            <w:shd w:val="clear" w:color="auto" w:fill="D9D9D9" w:themeFill="background1" w:themeFillShade="D9"/>
          </w:tcPr>
          <w:p w:rsidRPr="007F620E" w:rsidR="00A92D0B" w:rsidP="001A7282" w:rsidRDefault="005A63D4" w14:paraId="7B091096" w14:textId="77777777">
            <w:pPr>
              <w:widowControl w:val="0"/>
              <w:jc w:val="center"/>
              <w:rPr>
                <w:b/>
                <w:color w:val="000000"/>
              </w:rPr>
            </w:pPr>
            <w:r w:rsidRPr="007F620E">
              <w:rPr>
                <w:b/>
                <w:color w:val="000000"/>
              </w:rPr>
              <w:t>Interveno</w:t>
            </w:r>
            <w:r w:rsidRPr="007F620E" w:rsidR="00204E3A">
              <w:rPr>
                <w:b/>
                <w:color w:val="000000"/>
              </w:rPr>
              <w:t>r</w:t>
            </w:r>
            <w:r w:rsidRPr="007F620E">
              <w:rPr>
                <w:b/>
                <w:color w:val="000000"/>
              </w:rPr>
              <w:t xml:space="preserve">’s </w:t>
            </w:r>
            <w:r w:rsidRPr="007F620E" w:rsidR="00D075B1">
              <w:rPr>
                <w:b/>
                <w:color w:val="000000"/>
              </w:rPr>
              <w:t>Assertion</w:t>
            </w:r>
          </w:p>
        </w:tc>
        <w:tc>
          <w:tcPr>
            <w:tcW w:w="1980" w:type="dxa"/>
            <w:shd w:val="clear" w:color="auto" w:fill="D9D9D9" w:themeFill="background1" w:themeFillShade="D9"/>
          </w:tcPr>
          <w:p w:rsidRPr="007F620E" w:rsidR="00A92D0B" w:rsidP="001A7282" w:rsidRDefault="00A92D0B" w14:paraId="25CE5081" w14:textId="77777777">
            <w:pPr>
              <w:widowControl w:val="0"/>
              <w:jc w:val="center"/>
              <w:rPr>
                <w:b/>
                <w:color w:val="000000"/>
              </w:rPr>
            </w:pPr>
            <w:r w:rsidRPr="007F620E">
              <w:rPr>
                <w:b/>
                <w:color w:val="000000"/>
              </w:rPr>
              <w:t xml:space="preserve">CPUC </w:t>
            </w:r>
            <w:r w:rsidRPr="007F620E" w:rsidR="00D075B1">
              <w:rPr>
                <w:b/>
                <w:color w:val="000000"/>
              </w:rPr>
              <w:t>Discussion</w:t>
            </w:r>
          </w:p>
        </w:tc>
      </w:tr>
      <w:tr w:rsidRPr="007F620E" w:rsidR="00A92D0B" w:rsidTr="00D33661" w14:paraId="24A12BE1" w14:textId="77777777">
        <w:tc>
          <w:tcPr>
            <w:tcW w:w="6048" w:type="dxa"/>
          </w:tcPr>
          <w:p w:rsidRPr="007F620E" w:rsidR="00A92D0B" w:rsidP="001A7282" w:rsidRDefault="00A92D0B" w14:paraId="6915FAF6" w14:textId="6B412E06">
            <w:pPr>
              <w:widowControl w:val="0"/>
              <w:ind w:left="360" w:hanging="360"/>
              <w:rPr>
                <w:b/>
                <w:color w:val="000000"/>
              </w:rPr>
            </w:pPr>
            <w:r w:rsidRPr="007F620E">
              <w:rPr>
                <w:b/>
                <w:color w:val="000000"/>
              </w:rPr>
              <w:t>a.</w:t>
            </w:r>
            <w:r w:rsidRPr="007F620E">
              <w:rPr>
                <w:b/>
                <w:color w:val="000000"/>
              </w:rPr>
              <w:tab/>
            </w:r>
            <w:r w:rsidRPr="007F620E">
              <w:rPr>
                <w:b/>
              </w:rPr>
              <w:t xml:space="preserve">Was </w:t>
            </w:r>
            <w:r w:rsidRPr="009E48E4">
              <w:rPr>
                <w:b/>
              </w:rPr>
              <w:t xml:space="preserve">the </w:t>
            </w:r>
            <w:r w:rsidRPr="009E48E4" w:rsidR="009E48E4">
              <w:rPr>
                <w:b/>
                <w:color w:val="000000"/>
                <w:sz w:val="22"/>
                <w:szCs w:val="22"/>
              </w:rPr>
              <w:t>Public Advocate</w:t>
            </w:r>
            <w:r w:rsidR="00621A7C">
              <w:rPr>
                <w:b/>
                <w:color w:val="000000"/>
                <w:sz w:val="22"/>
                <w:szCs w:val="22"/>
              </w:rPr>
              <w:t>’</w:t>
            </w:r>
            <w:r w:rsidRPr="009E48E4" w:rsidR="009E48E4">
              <w:rPr>
                <w:b/>
                <w:color w:val="000000"/>
                <w:sz w:val="22"/>
                <w:szCs w:val="22"/>
              </w:rPr>
              <w:t>s Office of the Public Utilities Commission</w:t>
            </w:r>
            <w:r w:rsidRPr="009E48E4" w:rsidR="009E48E4">
              <w:rPr>
                <w:b/>
              </w:rPr>
              <w:t xml:space="preserve"> </w:t>
            </w:r>
            <w:r w:rsidRPr="00B55D78">
              <w:rPr>
                <w:b/>
                <w:color w:val="000000"/>
                <w:sz w:val="22"/>
                <w:szCs w:val="22"/>
              </w:rPr>
              <w:t>(</w:t>
            </w:r>
            <w:r w:rsidRPr="00B55D78" w:rsidR="00B55D78">
              <w:rPr>
                <w:b/>
                <w:color w:val="000000"/>
                <w:sz w:val="22"/>
                <w:szCs w:val="22"/>
              </w:rPr>
              <w:t>Cal Advocates</w:t>
            </w:r>
            <w:r w:rsidRPr="007F620E">
              <w:rPr>
                <w:b/>
              </w:rPr>
              <w:t>) a party to the proceeding</w:t>
            </w:r>
            <w:r w:rsidRPr="007F620E">
              <w:rPr>
                <w:b/>
                <w:color w:val="000000"/>
              </w:rPr>
              <w:t>?</w:t>
            </w:r>
          </w:p>
        </w:tc>
        <w:tc>
          <w:tcPr>
            <w:tcW w:w="1710" w:type="dxa"/>
          </w:tcPr>
          <w:p w:rsidR="00A92D0B" w:rsidP="001A7282" w:rsidRDefault="004701A6" w14:paraId="67646589" w14:textId="12427A05">
            <w:pPr>
              <w:widowControl w:val="0"/>
              <w:rPr>
                <w:color w:val="000000"/>
              </w:rPr>
            </w:pPr>
            <w:r>
              <w:rPr>
                <w:color w:val="000000"/>
              </w:rPr>
              <w:t>Yes</w:t>
            </w:r>
          </w:p>
          <w:p w:rsidRPr="00E25078" w:rsidR="004701A6" w:rsidP="001A7282" w:rsidRDefault="004701A6" w14:paraId="0B49A7C8" w14:textId="2BC63F52">
            <w:pPr>
              <w:widowControl w:val="0"/>
              <w:rPr>
                <w:color w:val="000000"/>
              </w:rPr>
            </w:pPr>
          </w:p>
        </w:tc>
        <w:tc>
          <w:tcPr>
            <w:tcW w:w="1980" w:type="dxa"/>
          </w:tcPr>
          <w:p w:rsidRPr="00E25078" w:rsidR="00A92D0B" w:rsidP="00077048" w:rsidRDefault="00B03242" w14:paraId="23B6532A" w14:textId="5DAFFC50">
            <w:pPr>
              <w:widowControl w:val="0"/>
              <w:jc w:val="center"/>
              <w:rPr>
                <w:color w:val="000000"/>
              </w:rPr>
            </w:pPr>
            <w:r>
              <w:rPr>
                <w:color w:val="000000"/>
              </w:rPr>
              <w:t>Verified</w:t>
            </w:r>
          </w:p>
        </w:tc>
      </w:tr>
      <w:tr w:rsidRPr="007F620E" w:rsidR="00A92D0B" w:rsidTr="00D33661" w14:paraId="3317BD71" w14:textId="77777777">
        <w:tc>
          <w:tcPr>
            <w:tcW w:w="6048" w:type="dxa"/>
          </w:tcPr>
          <w:p w:rsidRPr="007F620E" w:rsidR="00A92D0B" w:rsidP="001A7282" w:rsidRDefault="00A92D0B" w14:paraId="561D245D" w14:textId="77777777">
            <w:pPr>
              <w:widowControl w:val="0"/>
              <w:tabs>
                <w:tab w:val="left" w:pos="360"/>
              </w:tabs>
              <w:ind w:left="360" w:hanging="360"/>
              <w:rPr>
                <w:b/>
                <w:color w:val="000000"/>
              </w:rPr>
            </w:pPr>
            <w:r w:rsidRPr="007F620E">
              <w:rPr>
                <w:b/>
                <w:color w:val="000000"/>
              </w:rPr>
              <w:t>b.</w:t>
            </w:r>
            <w:r w:rsidRPr="007F620E">
              <w:rPr>
                <w:b/>
                <w:color w:val="000000"/>
              </w:rPr>
              <w:tab/>
              <w:t xml:space="preserve">Were there other parties to the proceeding with positions similar to yours? </w:t>
            </w:r>
          </w:p>
        </w:tc>
        <w:tc>
          <w:tcPr>
            <w:tcW w:w="1710" w:type="dxa"/>
          </w:tcPr>
          <w:p w:rsidRPr="00E25078" w:rsidR="00A92D0B" w:rsidP="001A7282" w:rsidRDefault="001A7282" w14:paraId="3708E485" w14:textId="268739EB">
            <w:pPr>
              <w:widowControl w:val="0"/>
              <w:rPr>
                <w:color w:val="000000"/>
              </w:rPr>
            </w:pPr>
            <w:r>
              <w:rPr>
                <w:color w:val="000000"/>
              </w:rPr>
              <w:t>Yes</w:t>
            </w:r>
          </w:p>
        </w:tc>
        <w:tc>
          <w:tcPr>
            <w:tcW w:w="1980" w:type="dxa"/>
          </w:tcPr>
          <w:p w:rsidRPr="00E25078" w:rsidR="00A92D0B" w:rsidP="00077048" w:rsidRDefault="00B03242" w14:paraId="6B3388E6" w14:textId="6B4D6E10">
            <w:pPr>
              <w:widowControl w:val="0"/>
              <w:jc w:val="center"/>
              <w:rPr>
                <w:color w:val="000000"/>
              </w:rPr>
            </w:pPr>
            <w:r>
              <w:rPr>
                <w:color w:val="000000"/>
              </w:rPr>
              <w:t>Verified</w:t>
            </w:r>
          </w:p>
        </w:tc>
      </w:tr>
      <w:tr w:rsidRPr="007F620E" w:rsidR="00A92D0B" w:rsidTr="00D33661" w14:paraId="0A51B7D4" w14:textId="77777777">
        <w:tc>
          <w:tcPr>
            <w:tcW w:w="7758" w:type="dxa"/>
            <w:gridSpan w:val="2"/>
          </w:tcPr>
          <w:p w:rsidRPr="00E25078" w:rsidR="00A92D0B" w:rsidP="001A7282" w:rsidRDefault="00A92D0B" w14:paraId="30CB6275" w14:textId="77CFACD1">
            <w:pPr>
              <w:widowControl w:val="0"/>
              <w:ind w:left="360" w:hanging="360"/>
              <w:rPr>
                <w:color w:val="000000"/>
              </w:rPr>
            </w:pPr>
            <w:r w:rsidRPr="00E25078">
              <w:rPr>
                <w:b/>
                <w:color w:val="000000"/>
              </w:rPr>
              <w:t>c.</w:t>
            </w:r>
            <w:r w:rsidRPr="00E25078">
              <w:rPr>
                <w:b/>
                <w:color w:val="000000"/>
              </w:rPr>
              <w:tab/>
              <w:t>If so, provide name of other parties:</w:t>
            </w:r>
            <w:r w:rsidRPr="00E25078" w:rsidR="00E25078">
              <w:rPr>
                <w:color w:val="000000"/>
              </w:rPr>
              <w:t xml:space="preserve"> </w:t>
            </w:r>
          </w:p>
          <w:p w:rsidR="000165E8" w:rsidP="000165E8" w:rsidRDefault="00C240AE" w14:paraId="0F84EACB" w14:textId="7C895B28">
            <w:r>
              <w:rPr>
                <w:rStyle w:val="fontstyle01"/>
              </w:rPr>
              <w:t xml:space="preserve">TURN, </w:t>
            </w:r>
            <w:proofErr w:type="spellStart"/>
            <w:r w:rsidR="000165E8">
              <w:rPr>
                <w:rStyle w:val="fontstyle01"/>
              </w:rPr>
              <w:t>CforAT</w:t>
            </w:r>
            <w:proofErr w:type="spellEnd"/>
            <w:r w:rsidR="000165E8">
              <w:rPr>
                <w:rStyle w:val="fontstyle01"/>
              </w:rPr>
              <w:t>/NCLC, Greenlining Institute</w:t>
            </w:r>
          </w:p>
          <w:p w:rsidRPr="00E25078" w:rsidR="001A7282" w:rsidP="00886566" w:rsidRDefault="001A7282" w14:paraId="0919176B" w14:textId="5D4CF2A8">
            <w:pPr>
              <w:widowControl w:val="0"/>
              <w:rPr>
                <w:color w:val="000000"/>
              </w:rPr>
            </w:pPr>
          </w:p>
        </w:tc>
        <w:tc>
          <w:tcPr>
            <w:tcW w:w="1980" w:type="dxa"/>
          </w:tcPr>
          <w:p w:rsidRPr="00E25078" w:rsidR="00A92D0B" w:rsidP="001B58AC" w:rsidRDefault="00C53C80" w14:paraId="22A40B49" w14:textId="1E2F1C63">
            <w:pPr>
              <w:widowControl w:val="0"/>
              <w:jc w:val="center"/>
              <w:rPr>
                <w:color w:val="000000"/>
              </w:rPr>
            </w:pPr>
            <w:r>
              <w:rPr>
                <w:color w:val="000000"/>
              </w:rPr>
              <w:t>Noted</w:t>
            </w:r>
          </w:p>
        </w:tc>
      </w:tr>
      <w:tr w:rsidRPr="007F620E" w:rsidR="00A92D0B" w:rsidTr="00D33661" w14:paraId="744830F5" w14:textId="77777777">
        <w:tc>
          <w:tcPr>
            <w:tcW w:w="7758" w:type="dxa"/>
            <w:gridSpan w:val="2"/>
          </w:tcPr>
          <w:p w:rsidRPr="00E25078" w:rsidR="00A92D0B" w:rsidP="001A7282" w:rsidRDefault="00A92D0B" w14:paraId="7C05FE5A" w14:textId="7521972E">
            <w:pPr>
              <w:widowControl w:val="0"/>
              <w:tabs>
                <w:tab w:val="left" w:pos="360"/>
              </w:tabs>
              <w:ind w:left="360" w:hanging="360"/>
              <w:rPr>
                <w:color w:val="000000"/>
              </w:rPr>
            </w:pPr>
            <w:r w:rsidRPr="00E25078">
              <w:rPr>
                <w:b/>
                <w:color w:val="000000"/>
              </w:rPr>
              <w:t>d.</w:t>
            </w:r>
            <w:r w:rsidRPr="00E25078">
              <w:rPr>
                <w:b/>
                <w:color w:val="000000"/>
              </w:rPr>
              <w:tab/>
            </w:r>
            <w:r w:rsidRPr="00E25078" w:rsidR="00D075B1">
              <w:rPr>
                <w:b/>
                <w:color w:val="000000"/>
              </w:rPr>
              <w:t xml:space="preserve">Intervenor’s </w:t>
            </w:r>
            <w:r w:rsidRPr="00E25078" w:rsidR="00A319DE">
              <w:rPr>
                <w:b/>
                <w:color w:val="000000"/>
              </w:rPr>
              <w:t>c</w:t>
            </w:r>
            <w:r w:rsidRPr="00E25078" w:rsidR="00D075B1">
              <w:rPr>
                <w:b/>
                <w:color w:val="000000"/>
              </w:rPr>
              <w:t xml:space="preserve">laim of </w:t>
            </w:r>
            <w:r w:rsidRPr="00E25078" w:rsidR="00A319DE">
              <w:rPr>
                <w:b/>
                <w:color w:val="000000"/>
              </w:rPr>
              <w:t>n</w:t>
            </w:r>
            <w:r w:rsidRPr="00E25078" w:rsidR="00D075B1">
              <w:rPr>
                <w:b/>
                <w:color w:val="000000"/>
              </w:rPr>
              <w:t>on-</w:t>
            </w:r>
            <w:r w:rsidRPr="00E25078" w:rsidR="00A319DE">
              <w:rPr>
                <w:b/>
                <w:color w:val="000000"/>
              </w:rPr>
              <w:t>d</w:t>
            </w:r>
            <w:r w:rsidRPr="00E25078" w:rsidR="00D075B1">
              <w:rPr>
                <w:b/>
                <w:color w:val="000000"/>
              </w:rPr>
              <w:t>uplication:</w:t>
            </w:r>
            <w:r w:rsidRPr="00E25078" w:rsidR="00E25078">
              <w:rPr>
                <w:color w:val="000000"/>
              </w:rPr>
              <w:t xml:space="preserve"> </w:t>
            </w:r>
          </w:p>
          <w:p w:rsidRPr="001B58AC" w:rsidR="00AF1800" w:rsidP="001A7282" w:rsidRDefault="00A56CD7" w14:paraId="3819A4F3" w14:textId="135FDF0E">
            <w:pPr>
              <w:widowControl w:val="0"/>
              <w:tabs>
                <w:tab w:val="left" w:pos="360"/>
              </w:tabs>
              <w:rPr>
                <w:color w:val="000000"/>
              </w:rPr>
            </w:pPr>
            <w:r>
              <w:rPr>
                <w:color w:val="000000"/>
              </w:rPr>
              <w:t>UCAN is the only consumer advocate in th</w:t>
            </w:r>
            <w:r w:rsidR="00C51E90">
              <w:rPr>
                <w:color w:val="000000"/>
              </w:rPr>
              <w:t>is</w:t>
            </w:r>
            <w:r>
              <w:rPr>
                <w:color w:val="000000"/>
              </w:rPr>
              <w:t xml:space="preserve"> proceeding located in Southern California</w:t>
            </w:r>
            <w:r w:rsidR="00A66531">
              <w:rPr>
                <w:color w:val="000000"/>
              </w:rPr>
              <w:t xml:space="preserve"> </w:t>
            </w:r>
            <w:r>
              <w:rPr>
                <w:color w:val="000000"/>
              </w:rPr>
              <w:t xml:space="preserve">and </w:t>
            </w:r>
            <w:r w:rsidR="009C45CE">
              <w:rPr>
                <w:color w:val="000000"/>
              </w:rPr>
              <w:t xml:space="preserve">the only intervenor </w:t>
            </w:r>
            <w:r w:rsidR="00843CD8">
              <w:rPr>
                <w:color w:val="000000"/>
              </w:rPr>
              <w:t xml:space="preserve">focusing </w:t>
            </w:r>
            <w:r w:rsidR="00C51E90">
              <w:rPr>
                <w:color w:val="000000"/>
              </w:rPr>
              <w:t xml:space="preserve">primarily </w:t>
            </w:r>
            <w:r w:rsidR="00843CD8">
              <w:rPr>
                <w:color w:val="000000"/>
              </w:rPr>
              <w:t xml:space="preserve">on the </w:t>
            </w:r>
            <w:r w:rsidR="00B6486A">
              <w:rPr>
                <w:color w:val="000000"/>
              </w:rPr>
              <w:t xml:space="preserve">issues and concerns </w:t>
            </w:r>
            <w:r w:rsidR="00843CD8">
              <w:rPr>
                <w:color w:val="000000"/>
              </w:rPr>
              <w:t>of</w:t>
            </w:r>
            <w:r>
              <w:rPr>
                <w:color w:val="000000"/>
              </w:rPr>
              <w:t xml:space="preserve"> S</w:t>
            </w:r>
            <w:r w:rsidR="00F02DCE">
              <w:rPr>
                <w:color w:val="000000"/>
              </w:rPr>
              <w:t>an Diego</w:t>
            </w:r>
            <w:r w:rsidR="00B6486A">
              <w:rPr>
                <w:color w:val="000000"/>
              </w:rPr>
              <w:t>-</w:t>
            </w:r>
            <w:r w:rsidR="00F02DCE">
              <w:rPr>
                <w:color w:val="000000"/>
              </w:rPr>
              <w:t>area ratepayers</w:t>
            </w:r>
            <w:r w:rsidR="00072285">
              <w:rPr>
                <w:color w:val="000000"/>
              </w:rPr>
              <w:t xml:space="preserve"> (</w:t>
            </w:r>
            <w:r w:rsidR="00E5775B">
              <w:rPr>
                <w:color w:val="000000"/>
              </w:rPr>
              <w:t>the other intervenors are located in the Bay Area</w:t>
            </w:r>
            <w:r w:rsidR="00072285">
              <w:rPr>
                <w:color w:val="000000"/>
              </w:rPr>
              <w:t>)</w:t>
            </w:r>
            <w:r>
              <w:rPr>
                <w:color w:val="000000"/>
              </w:rPr>
              <w:t>.</w:t>
            </w:r>
            <w:r w:rsidR="00843CD8">
              <w:rPr>
                <w:color w:val="000000"/>
              </w:rPr>
              <w:t xml:space="preserve"> In this proceeding </w:t>
            </w:r>
            <w:r w:rsidRPr="001B58AC" w:rsidR="009971E4">
              <w:rPr>
                <w:color w:val="000000"/>
              </w:rPr>
              <w:t xml:space="preserve">UCAN </w:t>
            </w:r>
            <w:r w:rsidRPr="001B58AC" w:rsidR="001924CC">
              <w:rPr>
                <w:color w:val="000000"/>
              </w:rPr>
              <w:t xml:space="preserve">has </w:t>
            </w:r>
            <w:r w:rsidRPr="001B58AC" w:rsidR="009971E4">
              <w:rPr>
                <w:color w:val="000000"/>
              </w:rPr>
              <w:t>made several unique contribution</w:t>
            </w:r>
            <w:r w:rsidRPr="001B58AC" w:rsidR="00F85683">
              <w:rPr>
                <w:color w:val="000000"/>
              </w:rPr>
              <w:t>s</w:t>
            </w:r>
            <w:r w:rsidRPr="001B58AC" w:rsidR="000E740B">
              <w:rPr>
                <w:color w:val="000000"/>
              </w:rPr>
              <w:t xml:space="preserve"> and provided unique data</w:t>
            </w:r>
            <w:r w:rsidRPr="001B58AC" w:rsidR="00E5775B">
              <w:rPr>
                <w:color w:val="000000"/>
              </w:rPr>
              <w:t xml:space="preserve"> as described below.</w:t>
            </w:r>
          </w:p>
          <w:p w:rsidRPr="001B58AC" w:rsidR="009971E4" w:rsidP="001A7282" w:rsidRDefault="009971E4" w14:paraId="311FD5CB" w14:textId="77777777">
            <w:pPr>
              <w:widowControl w:val="0"/>
              <w:tabs>
                <w:tab w:val="left" w:pos="360"/>
              </w:tabs>
              <w:rPr>
                <w:color w:val="000000"/>
              </w:rPr>
            </w:pPr>
          </w:p>
          <w:p w:rsidRPr="001B58AC" w:rsidR="00C83494" w:rsidP="00C83494" w:rsidRDefault="00C83494" w14:paraId="416B9DBE" w14:textId="77777777">
            <w:pPr>
              <w:widowControl w:val="0"/>
              <w:tabs>
                <w:tab w:val="left" w:pos="360"/>
              </w:tabs>
              <w:rPr>
                <w:color w:val="000000"/>
              </w:rPr>
            </w:pPr>
            <w:r w:rsidRPr="001B58AC">
              <w:rPr>
                <w:b/>
                <w:bCs/>
                <w:color w:val="000000"/>
              </w:rPr>
              <w:t>D.24-09-005:</w:t>
            </w:r>
            <w:r w:rsidRPr="001B58AC">
              <w:rPr>
                <w:color w:val="000000"/>
              </w:rPr>
              <w:t xml:space="preserve"> (proportional allocation of payments)</w:t>
            </w:r>
          </w:p>
          <w:p w:rsidRPr="001B58AC" w:rsidR="00C83494" w:rsidP="00C83494" w:rsidRDefault="00C83494" w14:paraId="588F6467" w14:textId="77777777">
            <w:pPr>
              <w:widowControl w:val="0"/>
              <w:tabs>
                <w:tab w:val="left" w:pos="360"/>
              </w:tabs>
              <w:rPr>
                <w:color w:val="000000"/>
              </w:rPr>
            </w:pPr>
            <w:r w:rsidRPr="001B58AC">
              <w:rPr>
                <w:color w:val="000000"/>
              </w:rPr>
              <w:t>In the decision’s discussion of parties’ positions, (D.24-09-005, p. 3), UCAN was the only consumer advocate listed as supporting the continuation of the proportional allocation method. The decision agreed with UCAN’s position that proportional allocation benefits ratepayers, provides fair allocation of payments, and should be maintained unless changed by the Commission.</w:t>
            </w:r>
          </w:p>
          <w:p w:rsidRPr="001B58AC" w:rsidR="00C83494" w:rsidP="00C83494" w:rsidRDefault="00C83494" w14:paraId="100BB038" w14:textId="77777777">
            <w:pPr>
              <w:widowControl w:val="0"/>
              <w:tabs>
                <w:tab w:val="left" w:pos="360"/>
              </w:tabs>
              <w:rPr>
                <w:color w:val="000000"/>
              </w:rPr>
            </w:pPr>
          </w:p>
          <w:p w:rsidRPr="001B58AC" w:rsidR="00C83494" w:rsidP="00C83494" w:rsidRDefault="00C83494" w14:paraId="2B73FDEE" w14:textId="77777777">
            <w:pPr>
              <w:widowControl w:val="0"/>
              <w:tabs>
                <w:tab w:val="left" w:pos="360"/>
              </w:tabs>
            </w:pPr>
            <w:r w:rsidRPr="001B58AC">
              <w:rPr>
                <w:b/>
                <w:bCs/>
              </w:rPr>
              <w:t xml:space="preserve">D.24-11-005: </w:t>
            </w:r>
            <w:r w:rsidRPr="001B58AC">
              <w:t>(rate cap extension)</w:t>
            </w:r>
          </w:p>
          <w:p w:rsidRPr="001B58AC" w:rsidR="00C83494" w:rsidP="00C83494" w:rsidRDefault="00C83494" w14:paraId="1BE16609" w14:textId="2187E37F">
            <w:pPr>
              <w:widowControl w:val="0"/>
              <w:tabs>
                <w:tab w:val="left" w:pos="360"/>
              </w:tabs>
            </w:pPr>
            <w:r w:rsidRPr="001B58AC">
              <w:t xml:space="preserve">UCAN provided the Commission with several tables and figures that provided the Commission with unique data on which to base its decision including: UCAN 1 (two tables), UCAN 2 (two figures), UCAN 5 (four figures), UCAN 6 (one table, one figure). These data showed, among other things, that the IOUs’ made erroneous claims that the disconnections caps were limiting their </w:t>
            </w:r>
            <w:r w:rsidRPr="001B58AC">
              <w:lastRenderedPageBreak/>
              <w:t>disconnections and demonstrated that the Commission needs more information on the effect of the caps before making changes</w:t>
            </w:r>
            <w:r w:rsidRPr="001B58AC" w:rsidR="001626DB">
              <w:t xml:space="preserve"> to the caps</w:t>
            </w:r>
            <w:r w:rsidRPr="001B58AC" w:rsidR="000C159F">
              <w:t>.</w:t>
            </w:r>
            <w:r w:rsidRPr="001B58AC">
              <w:t xml:space="preserve">  </w:t>
            </w:r>
          </w:p>
          <w:p w:rsidRPr="001B58AC" w:rsidR="00C83494" w:rsidP="00C83494" w:rsidRDefault="00C83494" w14:paraId="7193F4D2" w14:textId="77777777">
            <w:pPr>
              <w:widowControl w:val="0"/>
              <w:tabs>
                <w:tab w:val="left" w:pos="360"/>
              </w:tabs>
              <w:rPr>
                <w:b/>
                <w:bCs/>
              </w:rPr>
            </w:pPr>
          </w:p>
          <w:p w:rsidRPr="001B58AC" w:rsidR="00C83494" w:rsidP="00C83494" w:rsidRDefault="00C83494" w14:paraId="31142131" w14:textId="01DF60DF">
            <w:pPr>
              <w:widowControl w:val="0"/>
              <w:tabs>
                <w:tab w:val="left" w:pos="360"/>
              </w:tabs>
            </w:pPr>
            <w:r w:rsidRPr="001B58AC">
              <w:rPr>
                <w:b/>
                <w:bCs/>
              </w:rPr>
              <w:t>D.25-04-004:</w:t>
            </w:r>
            <w:r w:rsidRPr="001B58AC">
              <w:t xml:space="preserve"> (denying PFM)</w:t>
            </w:r>
          </w:p>
          <w:p w:rsidRPr="001B58AC" w:rsidR="00C83494" w:rsidP="00C83494" w:rsidRDefault="00C83494" w14:paraId="6C4A17EF" w14:textId="77777777">
            <w:pPr>
              <w:widowControl w:val="0"/>
              <w:tabs>
                <w:tab w:val="left" w:pos="360"/>
              </w:tabs>
            </w:pPr>
            <w:r w:rsidRPr="001B58AC">
              <w:t xml:space="preserve">UCAN highlighted for the commission several legal principles that demonstrated that the Commission should deny the PFM. </w:t>
            </w:r>
          </w:p>
          <w:p w:rsidRPr="001B58AC" w:rsidR="00C83494" w:rsidP="00C83494" w:rsidRDefault="00C83494" w14:paraId="04B16121" w14:textId="77777777">
            <w:pPr>
              <w:widowControl w:val="0"/>
              <w:tabs>
                <w:tab w:val="left" w:pos="360"/>
              </w:tabs>
              <w:rPr>
                <w:b/>
                <w:bCs/>
              </w:rPr>
            </w:pPr>
          </w:p>
          <w:p w:rsidRPr="001B58AC" w:rsidR="00C83494" w:rsidP="00C83494" w:rsidRDefault="00C83494" w14:paraId="7185226F" w14:textId="542403C4">
            <w:pPr>
              <w:widowControl w:val="0"/>
              <w:tabs>
                <w:tab w:val="left" w:pos="360"/>
              </w:tabs>
            </w:pPr>
            <w:r w:rsidRPr="001B58AC">
              <w:rPr>
                <w:b/>
                <w:bCs/>
              </w:rPr>
              <w:t>D.25-06-012:</w:t>
            </w:r>
            <w:r w:rsidRPr="001B58AC">
              <w:t xml:space="preserve"> (SB 1142 and extreme heat)</w:t>
            </w:r>
          </w:p>
          <w:p w:rsidRPr="00BF2349" w:rsidR="00C83494" w:rsidP="00C83494" w:rsidRDefault="00C83494" w14:paraId="1B86EAD9" w14:textId="39B78791">
            <w:pPr>
              <w:widowControl w:val="0"/>
              <w:tabs>
                <w:tab w:val="left" w:pos="360"/>
              </w:tabs>
            </w:pPr>
            <w:r w:rsidRPr="001B58AC">
              <w:t>UCAN took unique positions regarding disconnections, reconnections, and extreme heat. UCAN highlighted the need for IOUs’ discretion in determining when reconnections could be safely completed, however</w:t>
            </w:r>
            <w:r w:rsidRPr="001B58AC" w:rsidR="001626DB">
              <w:t>, UCAN</w:t>
            </w:r>
            <w:r w:rsidRPr="001B58AC">
              <w:t xml:space="preserve"> noted that the proper CPUC division must</w:t>
            </w:r>
            <w:r w:rsidRPr="00BF2349">
              <w:t xml:space="preserve"> oversee these IOU decisions to ensure compliance with timely reconnection requirements. UCAN further highlighted a unique middle ground between TURN’s extreme heat proposal and the IOUs’ recommendation that the proposal be discarded. UCAN noted that there is likely an easy and cost-effective path to protecting customers from extreme heat and made a unique, straightforward proposal that could accomplish many of the objectives of TURN’s proposal. </w:t>
            </w:r>
          </w:p>
          <w:p w:rsidR="003B748E" w:rsidP="00C83494" w:rsidRDefault="003B748E" w14:paraId="584FB2CE" w14:textId="77777777">
            <w:pPr>
              <w:widowControl w:val="0"/>
              <w:tabs>
                <w:tab w:val="left" w:pos="360"/>
              </w:tabs>
              <w:rPr>
                <w:color w:val="000000"/>
              </w:rPr>
            </w:pPr>
          </w:p>
          <w:p w:rsidRPr="00B6486A" w:rsidR="00A92D0B" w:rsidP="00B6486A" w:rsidRDefault="00C83494" w14:paraId="3228BB07" w14:textId="5FFCD76D">
            <w:pPr>
              <w:widowControl w:val="0"/>
              <w:tabs>
                <w:tab w:val="left" w:pos="360"/>
              </w:tabs>
            </w:pPr>
            <w:r w:rsidRPr="00BF2349">
              <w:rPr>
                <w:color w:val="000000"/>
              </w:rPr>
              <w:t xml:space="preserve">UCAN coordinates with other intervenors whenever possible. This coordination enables UCAN and other parties to minimize duplicative work and analyses. </w:t>
            </w:r>
            <w:r w:rsidRPr="00BF2349">
              <w:rPr>
                <w:rStyle w:val="fontstyle01"/>
                <w:rFonts w:ascii="Times New Roman" w:hAnsi="Times New Roman"/>
              </w:rPr>
              <w:t>The Commission should find that UCAN’s participation was efficiently coordinated with the participation of other intervenors to avoid undue duplication and to ensure that, to the extent duplication occurred, it served to supplement, complement, or contribute to the showing of the other intervenor. And consistent with such a finding, the Commission should determine that UCAN’s work is compensable consistent with the conditions set forth in Section 1802.5.</w:t>
            </w:r>
          </w:p>
        </w:tc>
        <w:tc>
          <w:tcPr>
            <w:tcW w:w="1980" w:type="dxa"/>
          </w:tcPr>
          <w:p w:rsidRPr="00E25078" w:rsidR="00A92D0B" w:rsidP="001B58AC" w:rsidRDefault="001B58AC" w14:paraId="5F9BBA55" w14:textId="6D2B2533">
            <w:pPr>
              <w:widowControl w:val="0"/>
              <w:tabs>
                <w:tab w:val="left" w:pos="360"/>
              </w:tabs>
              <w:ind w:left="360" w:hanging="360"/>
              <w:jc w:val="center"/>
              <w:rPr>
                <w:color w:val="000000"/>
              </w:rPr>
            </w:pPr>
            <w:r>
              <w:rPr>
                <w:color w:val="000000"/>
              </w:rPr>
              <w:lastRenderedPageBreak/>
              <w:t>Noted</w:t>
            </w:r>
          </w:p>
        </w:tc>
      </w:tr>
    </w:tbl>
    <w:p w:rsidRPr="00720770" w:rsidR="00A92D0B" w:rsidP="00720770" w:rsidRDefault="00A92D0B" w14:paraId="48FE39F8" w14:textId="5C54EA0E">
      <w:pPr>
        <w:widowControl w:val="0"/>
        <w:tabs>
          <w:tab w:val="left" w:pos="1260"/>
        </w:tabs>
        <w:spacing w:before="480"/>
        <w:ind w:left="1267" w:hanging="1267"/>
        <w:jc w:val="center"/>
        <w:rPr>
          <w:b/>
          <w:color w:val="000000"/>
        </w:rPr>
      </w:pPr>
      <w:r w:rsidRPr="007F620E">
        <w:rPr>
          <w:b/>
          <w:color w:val="000000"/>
        </w:rPr>
        <w:t>PART III:</w:t>
      </w:r>
      <w:r w:rsidR="00D1778A">
        <w:rPr>
          <w:b/>
          <w:color w:val="000000"/>
        </w:rPr>
        <w:t xml:space="preserve">  </w:t>
      </w:r>
      <w:r w:rsidRPr="007F620E">
        <w:rPr>
          <w:b/>
          <w:color w:val="000000"/>
        </w:rPr>
        <w:t>REASONABLENESS OF REQUESTED COMPENSATION</w:t>
      </w:r>
    </w:p>
    <w:p w:rsidRPr="007F620E" w:rsidR="00A92D0B" w:rsidP="005B5B44" w:rsidRDefault="00A92D0B" w14:paraId="6F74DAE2" w14:textId="77777777">
      <w:pPr>
        <w:keepNext/>
        <w:numPr>
          <w:ilvl w:val="0"/>
          <w:numId w:val="9"/>
        </w:numPr>
        <w:spacing w:before="240" w:after="240"/>
        <w:rPr>
          <w:b/>
          <w:color w:val="000000"/>
        </w:rPr>
      </w:pPr>
      <w:r w:rsidRPr="007F620E">
        <w:rPr>
          <w:b/>
          <w:color w:val="000000"/>
        </w:rPr>
        <w:t xml:space="preserve">General Claim of Reasonableness </w:t>
      </w:r>
      <w:r w:rsidRPr="007F620E" w:rsidR="00F30DA8">
        <w:rPr>
          <w:b/>
          <w:color w:val="000000"/>
        </w:rPr>
        <w:t xml:space="preserve">(§ </w:t>
      </w:r>
      <w:r w:rsidRPr="007F620E">
        <w:rPr>
          <w:b/>
          <w:color w:val="000000"/>
        </w:rPr>
        <w:t xml:space="preserve">1801 </w:t>
      </w:r>
      <w:r w:rsidRPr="007F620E" w:rsidR="00F30DA8">
        <w:rPr>
          <w:b/>
          <w:color w:val="000000"/>
        </w:rPr>
        <w:t>and §</w:t>
      </w:r>
      <w:r w:rsidR="0022302F">
        <w:rPr>
          <w:b/>
          <w:color w:val="000000"/>
        </w:rPr>
        <w:t xml:space="preserve"> 1806)</w:t>
      </w:r>
      <w:r w:rsidR="00C02649">
        <w:rPr>
          <w:b/>
          <w:color w:val="000000"/>
        </w:rPr>
        <w:t>:</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7488"/>
        <w:gridCol w:w="2250"/>
      </w:tblGrid>
      <w:tr w:rsidRPr="007F620E" w:rsidR="00FE3BAE" w:rsidTr="00EC6387" w14:paraId="4078AC87" w14:textId="77777777">
        <w:trPr>
          <w:tblHeader/>
        </w:trPr>
        <w:tc>
          <w:tcPr>
            <w:tcW w:w="7488" w:type="dxa"/>
            <w:tcBorders>
              <w:bottom w:val="single" w:color="auto" w:sz="4" w:space="0"/>
            </w:tcBorders>
            <w:shd w:val="clear" w:color="auto" w:fill="D9D9D9" w:themeFill="background1" w:themeFillShade="D9"/>
          </w:tcPr>
          <w:p w:rsidRPr="007F620E" w:rsidR="00FE3BAE" w:rsidP="00EC6387" w:rsidRDefault="00FE3BAE" w14:paraId="70FDF5DA" w14:textId="77777777">
            <w:pPr>
              <w:rPr>
                <w:b/>
                <w:color w:val="000000"/>
              </w:rPr>
            </w:pPr>
          </w:p>
        </w:tc>
        <w:tc>
          <w:tcPr>
            <w:tcW w:w="2250" w:type="dxa"/>
            <w:shd w:val="clear" w:color="auto" w:fill="D9D9D9" w:themeFill="background1" w:themeFillShade="D9"/>
          </w:tcPr>
          <w:p w:rsidRPr="00FE3BAE" w:rsidR="00FE3BAE" w:rsidP="00EC6387" w:rsidRDefault="00FE3BAE" w14:paraId="59CD9FCF" w14:textId="77777777">
            <w:pPr>
              <w:rPr>
                <w:color w:val="000000"/>
              </w:rPr>
            </w:pPr>
            <w:r w:rsidRPr="007F620E">
              <w:rPr>
                <w:b/>
                <w:color w:val="000000"/>
              </w:rPr>
              <w:t>CPUC Discussion</w:t>
            </w:r>
          </w:p>
        </w:tc>
      </w:tr>
      <w:tr w:rsidRPr="007F620E" w:rsidR="00FE3BAE" w:rsidTr="00720770" w14:paraId="5708510E" w14:textId="77777777">
        <w:tc>
          <w:tcPr>
            <w:tcW w:w="7488" w:type="dxa"/>
            <w:tcBorders>
              <w:bottom w:val="single" w:color="auto" w:sz="4" w:space="0"/>
            </w:tcBorders>
          </w:tcPr>
          <w:p w:rsidRPr="00720770" w:rsidR="00FE3BAE" w:rsidP="00EC6387" w:rsidRDefault="00FE3BAE" w14:paraId="707F9932" w14:textId="24B1B5E0">
            <w:pPr>
              <w:rPr>
                <w:color w:val="000000"/>
              </w:rPr>
            </w:pPr>
            <w:r w:rsidRPr="007F620E">
              <w:rPr>
                <w:b/>
                <w:color w:val="000000"/>
              </w:rPr>
              <w:t xml:space="preserve">a. </w:t>
            </w:r>
            <w:r w:rsidRPr="00720770">
              <w:rPr>
                <w:b/>
                <w:color w:val="000000"/>
              </w:rPr>
              <w:t>Intervenor’s claim of cost reasonableness:</w:t>
            </w:r>
            <w:r w:rsidRPr="00720770" w:rsidR="00E25078">
              <w:rPr>
                <w:color w:val="000000"/>
              </w:rPr>
              <w:t xml:space="preserve"> </w:t>
            </w:r>
          </w:p>
          <w:p w:rsidRPr="003D4455" w:rsidR="00FE3BAE" w:rsidP="00D9546B" w:rsidRDefault="003B748E" w14:paraId="2B1A1242" w14:textId="4E52B562">
            <w:pPr>
              <w:rPr>
                <w:color w:val="000000"/>
              </w:rPr>
            </w:pPr>
            <w:r w:rsidRPr="00720770">
              <w:rPr>
                <w:color w:val="000000"/>
              </w:rPr>
              <w:t>UCAN used a single attorney and a single expert in its work on these decisions</w:t>
            </w:r>
            <w:r w:rsidRPr="00720770" w:rsidR="00355D52">
              <w:rPr>
                <w:color w:val="000000"/>
              </w:rPr>
              <w:t xml:space="preserve"> and divided work legal and technical</w:t>
            </w:r>
            <w:r w:rsidR="00355D52">
              <w:rPr>
                <w:color w:val="000000"/>
              </w:rPr>
              <w:t xml:space="preserve"> analyses </w:t>
            </w:r>
            <w:r w:rsidR="00BD65F2">
              <w:rPr>
                <w:color w:val="000000"/>
              </w:rPr>
              <w:t xml:space="preserve">and </w:t>
            </w:r>
            <w:r w:rsidR="00355D52">
              <w:rPr>
                <w:color w:val="000000"/>
              </w:rPr>
              <w:t>avoid</w:t>
            </w:r>
            <w:r w:rsidR="00BD65F2">
              <w:rPr>
                <w:color w:val="000000"/>
              </w:rPr>
              <w:t>ed</w:t>
            </w:r>
            <w:r w:rsidR="00355D52">
              <w:rPr>
                <w:color w:val="000000"/>
              </w:rPr>
              <w:t xml:space="preserve"> duplication of tasks.</w:t>
            </w:r>
            <w:r w:rsidR="00BD65F2">
              <w:rPr>
                <w:color w:val="000000"/>
              </w:rPr>
              <w:t xml:space="preserve"> The attorney and expert both have significant expertise</w:t>
            </w:r>
            <w:r w:rsidR="004C68AB">
              <w:rPr>
                <w:color w:val="000000"/>
              </w:rPr>
              <w:t xml:space="preserve"> </w:t>
            </w:r>
            <w:r w:rsidR="002A7E75">
              <w:rPr>
                <w:color w:val="000000"/>
              </w:rPr>
              <w:t>in</w:t>
            </w:r>
            <w:r w:rsidR="004C68AB">
              <w:rPr>
                <w:color w:val="000000"/>
              </w:rPr>
              <w:t xml:space="preserve"> energy and rate issues as well</w:t>
            </w:r>
            <w:r w:rsidR="004764DA">
              <w:rPr>
                <w:color w:val="000000"/>
              </w:rPr>
              <w:t xml:space="preserve"> as expertise in the Commission’s administrative processes. In th</w:t>
            </w:r>
            <w:r w:rsidR="00481910">
              <w:rPr>
                <w:color w:val="000000"/>
              </w:rPr>
              <w:t>is</w:t>
            </w:r>
            <w:r w:rsidR="004764DA">
              <w:rPr>
                <w:color w:val="000000"/>
              </w:rPr>
              <w:t xml:space="preserve"> way UCAN was able efficiently</w:t>
            </w:r>
            <w:r w:rsidR="00E52A1F">
              <w:rPr>
                <w:color w:val="000000"/>
              </w:rPr>
              <w:t xml:space="preserve"> address the issues within the proceeding.</w:t>
            </w:r>
            <w:r w:rsidR="001D0B54">
              <w:rPr>
                <w:color w:val="000000"/>
              </w:rPr>
              <w:t xml:space="preserve"> </w:t>
            </w:r>
          </w:p>
        </w:tc>
        <w:tc>
          <w:tcPr>
            <w:tcW w:w="2250" w:type="dxa"/>
          </w:tcPr>
          <w:p w:rsidRPr="00FE3BAE" w:rsidR="00FE3BAE" w:rsidP="001B58AC" w:rsidRDefault="001B58AC" w14:paraId="223B4665" w14:textId="005F7C35">
            <w:pPr>
              <w:jc w:val="center"/>
              <w:rPr>
                <w:color w:val="000000"/>
              </w:rPr>
            </w:pPr>
            <w:r>
              <w:rPr>
                <w:color w:val="000000"/>
              </w:rPr>
              <w:t>Noted</w:t>
            </w:r>
          </w:p>
        </w:tc>
      </w:tr>
      <w:tr w:rsidRPr="007F620E" w:rsidR="00FE3BAE" w:rsidTr="00720770" w14:paraId="5548029C" w14:textId="77777777">
        <w:tc>
          <w:tcPr>
            <w:tcW w:w="7488" w:type="dxa"/>
          </w:tcPr>
          <w:p w:rsidRPr="00E25078" w:rsidR="00FE3BAE" w:rsidP="00EC6387" w:rsidRDefault="00FE3BAE" w14:paraId="751A610C" w14:textId="509B1715">
            <w:pPr>
              <w:rPr>
                <w:color w:val="000000"/>
              </w:rPr>
            </w:pPr>
            <w:r w:rsidRPr="007F620E">
              <w:rPr>
                <w:b/>
                <w:color w:val="000000"/>
              </w:rPr>
              <w:t>b. Reasonableness of hours claimed:</w:t>
            </w:r>
            <w:r w:rsidRPr="00E25078" w:rsidR="00E25078">
              <w:rPr>
                <w:color w:val="000000"/>
              </w:rPr>
              <w:t xml:space="preserve"> </w:t>
            </w:r>
          </w:p>
          <w:p w:rsidR="00616B0E" w:rsidP="00EC6387" w:rsidRDefault="00103E9E" w14:paraId="7D684CB9" w14:textId="725C5D6F">
            <w:pPr>
              <w:rPr>
                <w:color w:val="000000"/>
              </w:rPr>
            </w:pPr>
            <w:r>
              <w:rPr>
                <w:color w:val="000000"/>
              </w:rPr>
              <w:t xml:space="preserve">UCAN’s consultants spent the minimum number of hours </w:t>
            </w:r>
            <w:r w:rsidR="00721853">
              <w:rPr>
                <w:color w:val="000000"/>
              </w:rPr>
              <w:t xml:space="preserve">needed to address the issues in the proceeding. Further, UCAN focused on the issues </w:t>
            </w:r>
            <w:r w:rsidR="00721853">
              <w:rPr>
                <w:color w:val="000000"/>
              </w:rPr>
              <w:lastRenderedPageBreak/>
              <w:t xml:space="preserve">and analyses </w:t>
            </w:r>
            <w:r w:rsidR="005979A0">
              <w:rPr>
                <w:color w:val="000000"/>
              </w:rPr>
              <w:t xml:space="preserve">on which UCAN has the greatest expertise, thereby </w:t>
            </w:r>
            <w:r w:rsidR="00C06348">
              <w:rPr>
                <w:color w:val="000000"/>
              </w:rPr>
              <w:t>ensuring reasonable time spent.</w:t>
            </w:r>
            <w:r w:rsidR="00FA5863">
              <w:rPr>
                <w:color w:val="000000"/>
              </w:rPr>
              <w:t xml:space="preserve"> UCAN’s recommendations saved ratepayers</w:t>
            </w:r>
            <w:r w:rsidR="00F61AEA">
              <w:rPr>
                <w:color w:val="000000"/>
              </w:rPr>
              <w:t xml:space="preserve"> m</w:t>
            </w:r>
            <w:r w:rsidR="00FA5863">
              <w:rPr>
                <w:color w:val="000000"/>
              </w:rPr>
              <w:t>illions of dollars</w:t>
            </w:r>
            <w:r w:rsidR="00F61AEA">
              <w:rPr>
                <w:color w:val="000000"/>
              </w:rPr>
              <w:t xml:space="preserve"> (and potentially billions of dollars)</w:t>
            </w:r>
            <w:r w:rsidR="00FA5863">
              <w:rPr>
                <w:color w:val="000000"/>
              </w:rPr>
              <w:t xml:space="preserve"> by recommending: </w:t>
            </w:r>
          </w:p>
          <w:p w:rsidR="00177368" w:rsidP="00177368" w:rsidRDefault="00CD5CBC" w14:paraId="3943A8DC" w14:textId="2696E28D">
            <w:pPr>
              <w:pStyle w:val="ListParagraph"/>
              <w:numPr>
                <w:ilvl w:val="0"/>
                <w:numId w:val="11"/>
              </w:numPr>
              <w:rPr>
                <w:rFonts w:ascii="Times New Roman" w:hAnsi="Times New Roman"/>
                <w:color w:val="000000"/>
                <w:sz w:val="24"/>
                <w:szCs w:val="24"/>
              </w:rPr>
            </w:pPr>
            <w:r>
              <w:rPr>
                <w:rFonts w:ascii="Times New Roman" w:hAnsi="Times New Roman"/>
                <w:color w:val="000000"/>
                <w:sz w:val="24"/>
                <w:szCs w:val="24"/>
                <w:u w:val="single"/>
              </w:rPr>
              <w:t>P</w:t>
            </w:r>
            <w:r w:rsidRPr="00CD5CBC" w:rsidR="00FA5863">
              <w:rPr>
                <w:rFonts w:ascii="Times New Roman" w:hAnsi="Times New Roman"/>
                <w:color w:val="000000"/>
                <w:sz w:val="24"/>
                <w:szCs w:val="24"/>
                <w:u w:val="single"/>
              </w:rPr>
              <w:t xml:space="preserve">roportional </w:t>
            </w:r>
            <w:r w:rsidRPr="00CD5CBC" w:rsidR="00616B0E">
              <w:rPr>
                <w:rFonts w:ascii="Times New Roman" w:hAnsi="Times New Roman"/>
                <w:color w:val="000000"/>
                <w:sz w:val="24"/>
                <w:szCs w:val="24"/>
                <w:u w:val="single"/>
              </w:rPr>
              <w:t>allocation of payments</w:t>
            </w:r>
            <w:r w:rsidR="00980E11">
              <w:rPr>
                <w:rFonts w:ascii="Times New Roman" w:hAnsi="Times New Roman"/>
                <w:color w:val="000000"/>
                <w:sz w:val="24"/>
                <w:szCs w:val="24"/>
              </w:rPr>
              <w:t>: this payment allocation</w:t>
            </w:r>
            <w:r w:rsidRPr="00980E11" w:rsidR="00616B0E">
              <w:rPr>
                <w:rFonts w:ascii="Times New Roman" w:hAnsi="Times New Roman"/>
                <w:color w:val="000000"/>
                <w:sz w:val="24"/>
                <w:szCs w:val="24"/>
              </w:rPr>
              <w:t xml:space="preserve"> ensures </w:t>
            </w:r>
            <w:r w:rsidR="00AC6FB6">
              <w:rPr>
                <w:rFonts w:ascii="Times New Roman" w:hAnsi="Times New Roman"/>
                <w:color w:val="000000"/>
                <w:sz w:val="24"/>
                <w:szCs w:val="24"/>
              </w:rPr>
              <w:t xml:space="preserve">that </w:t>
            </w:r>
            <w:r w:rsidRPr="00980E11" w:rsidR="00616B0E">
              <w:rPr>
                <w:rFonts w:ascii="Times New Roman" w:hAnsi="Times New Roman"/>
                <w:color w:val="000000"/>
                <w:sz w:val="24"/>
                <w:szCs w:val="24"/>
              </w:rPr>
              <w:t>the CCAs are treated fairl</w:t>
            </w:r>
            <w:r w:rsidR="00177368">
              <w:rPr>
                <w:rFonts w:ascii="Times New Roman" w:hAnsi="Times New Roman"/>
                <w:color w:val="000000"/>
                <w:sz w:val="24"/>
                <w:szCs w:val="24"/>
              </w:rPr>
              <w:t xml:space="preserve">y. Further, because CCAs are publicly owned, the fair treatment that supports the </w:t>
            </w:r>
            <w:r w:rsidR="001626DB">
              <w:rPr>
                <w:rFonts w:ascii="Times New Roman" w:hAnsi="Times New Roman"/>
                <w:color w:val="000000"/>
                <w:sz w:val="24"/>
                <w:szCs w:val="24"/>
              </w:rPr>
              <w:t>CCAs’</w:t>
            </w:r>
            <w:r w:rsidR="002C5D04">
              <w:rPr>
                <w:rFonts w:ascii="Times New Roman" w:hAnsi="Times New Roman"/>
                <w:color w:val="000000"/>
                <w:sz w:val="24"/>
                <w:szCs w:val="24"/>
              </w:rPr>
              <w:t xml:space="preserve"> </w:t>
            </w:r>
            <w:r w:rsidR="00177368">
              <w:rPr>
                <w:rFonts w:ascii="Times New Roman" w:hAnsi="Times New Roman"/>
                <w:color w:val="000000"/>
                <w:sz w:val="24"/>
                <w:szCs w:val="24"/>
              </w:rPr>
              <w:t>financial position</w:t>
            </w:r>
            <w:r w:rsidR="002C5D04">
              <w:rPr>
                <w:rFonts w:ascii="Times New Roman" w:hAnsi="Times New Roman"/>
                <w:color w:val="000000"/>
                <w:sz w:val="24"/>
                <w:szCs w:val="24"/>
              </w:rPr>
              <w:t>s</w:t>
            </w:r>
            <w:r w:rsidR="00177368">
              <w:rPr>
                <w:rFonts w:ascii="Times New Roman" w:hAnsi="Times New Roman"/>
                <w:color w:val="000000"/>
                <w:sz w:val="24"/>
                <w:szCs w:val="24"/>
              </w:rPr>
              <w:t xml:space="preserve"> reduces the possibility of CCAs </w:t>
            </w:r>
            <w:r w:rsidR="00AE7283">
              <w:rPr>
                <w:rFonts w:ascii="Times New Roman" w:hAnsi="Times New Roman"/>
                <w:color w:val="000000"/>
                <w:sz w:val="24"/>
                <w:szCs w:val="24"/>
              </w:rPr>
              <w:t>declaring</w:t>
            </w:r>
            <w:r w:rsidR="00705ABB">
              <w:rPr>
                <w:rFonts w:ascii="Times New Roman" w:hAnsi="Times New Roman"/>
                <w:color w:val="000000"/>
                <w:sz w:val="24"/>
                <w:szCs w:val="24"/>
              </w:rPr>
              <w:t xml:space="preserve"> bankruptcy which would result in millions of dollars of costs to California communities and potentially billions in lost assets. </w:t>
            </w:r>
          </w:p>
          <w:p w:rsidR="00705ABB" w:rsidP="00177368" w:rsidRDefault="00CD5CBC" w14:paraId="6F046317" w14:textId="4B3466A2">
            <w:pPr>
              <w:pStyle w:val="ListParagraph"/>
              <w:numPr>
                <w:ilvl w:val="0"/>
                <w:numId w:val="11"/>
              </w:numPr>
              <w:rPr>
                <w:rFonts w:ascii="Times New Roman" w:hAnsi="Times New Roman"/>
                <w:color w:val="000000"/>
                <w:sz w:val="24"/>
                <w:szCs w:val="24"/>
              </w:rPr>
            </w:pPr>
            <w:r w:rsidRPr="00CD5CBC">
              <w:rPr>
                <w:rFonts w:ascii="Times New Roman" w:hAnsi="Times New Roman"/>
                <w:color w:val="000000"/>
                <w:sz w:val="24"/>
                <w:szCs w:val="24"/>
                <w:u w:val="single"/>
              </w:rPr>
              <w:t>D</w:t>
            </w:r>
            <w:r w:rsidRPr="00CD5CBC" w:rsidR="00726EBB">
              <w:rPr>
                <w:rFonts w:ascii="Times New Roman" w:hAnsi="Times New Roman"/>
                <w:color w:val="000000"/>
                <w:sz w:val="24"/>
                <w:szCs w:val="24"/>
                <w:u w:val="single"/>
              </w:rPr>
              <w:t>isconnection</w:t>
            </w:r>
            <w:r w:rsidRPr="00CD5CBC" w:rsidR="00316026">
              <w:rPr>
                <w:rFonts w:ascii="Times New Roman" w:hAnsi="Times New Roman"/>
                <w:color w:val="000000"/>
                <w:sz w:val="24"/>
                <w:szCs w:val="24"/>
                <w:u w:val="single"/>
              </w:rPr>
              <w:t xml:space="preserve"> cap extension:</w:t>
            </w:r>
            <w:r w:rsidR="00316026">
              <w:rPr>
                <w:rFonts w:ascii="Times New Roman" w:hAnsi="Times New Roman"/>
                <w:color w:val="000000"/>
                <w:sz w:val="24"/>
                <w:szCs w:val="24"/>
              </w:rPr>
              <w:t xml:space="preserve"> this ensures that the IOUs disconnect customers </w:t>
            </w:r>
            <w:r w:rsidR="001626DB">
              <w:rPr>
                <w:rFonts w:ascii="Times New Roman" w:hAnsi="Times New Roman"/>
                <w:color w:val="000000"/>
                <w:sz w:val="24"/>
                <w:szCs w:val="24"/>
              </w:rPr>
              <w:t>up to</w:t>
            </w:r>
            <w:r w:rsidR="00316026">
              <w:rPr>
                <w:rFonts w:ascii="Times New Roman" w:hAnsi="Times New Roman"/>
                <w:color w:val="000000"/>
                <w:sz w:val="24"/>
                <w:szCs w:val="24"/>
              </w:rPr>
              <w:t xml:space="preserve"> the d</w:t>
            </w:r>
            <w:r w:rsidR="00726EBB">
              <w:rPr>
                <w:rFonts w:ascii="Times New Roman" w:hAnsi="Times New Roman"/>
                <w:color w:val="000000"/>
                <w:sz w:val="24"/>
                <w:szCs w:val="24"/>
              </w:rPr>
              <w:t xml:space="preserve">isconnection cap, which the IOUs were not previously doing. </w:t>
            </w:r>
            <w:r w:rsidR="006671E7">
              <w:rPr>
                <w:rFonts w:ascii="Times New Roman" w:hAnsi="Times New Roman"/>
                <w:color w:val="000000"/>
                <w:sz w:val="24"/>
                <w:szCs w:val="24"/>
              </w:rPr>
              <w:t>In this proceeding, UCAN also highlighted the need for reasonable rates to increase the likelihood of ratepayer</w:t>
            </w:r>
            <w:r w:rsidR="002D5FF1">
              <w:rPr>
                <w:rFonts w:ascii="Times New Roman" w:hAnsi="Times New Roman"/>
                <w:color w:val="000000"/>
                <w:sz w:val="24"/>
                <w:szCs w:val="24"/>
              </w:rPr>
              <w:t>s paying their utility bills. By supplying the Commission with data on the</w:t>
            </w:r>
            <w:r w:rsidR="007178DA">
              <w:rPr>
                <w:rFonts w:ascii="Times New Roman" w:hAnsi="Times New Roman"/>
                <w:color w:val="000000"/>
                <w:sz w:val="24"/>
                <w:szCs w:val="24"/>
              </w:rPr>
              <w:t xml:space="preserve"> profits earned by the IOUs ($6.4 billion/year) it </w:t>
            </w:r>
            <w:r w:rsidR="00C4536F">
              <w:rPr>
                <w:rFonts w:ascii="Times New Roman" w:hAnsi="Times New Roman"/>
                <w:color w:val="000000"/>
                <w:sz w:val="24"/>
                <w:szCs w:val="24"/>
              </w:rPr>
              <w:t>ensures that the Commission will take a hard look at future rate increases proposed by the IOUs</w:t>
            </w:r>
            <w:r w:rsidR="00831B25">
              <w:rPr>
                <w:rFonts w:ascii="Times New Roman" w:hAnsi="Times New Roman"/>
                <w:color w:val="000000"/>
                <w:sz w:val="24"/>
                <w:szCs w:val="24"/>
              </w:rPr>
              <w:t>, potentially saving ratepayers billions of dollars.</w:t>
            </w:r>
          </w:p>
          <w:p w:rsidR="00831B25" w:rsidP="00177368" w:rsidRDefault="00205C53" w14:paraId="6CADC1F1" w14:textId="4A10F4EF">
            <w:pPr>
              <w:pStyle w:val="ListParagraph"/>
              <w:numPr>
                <w:ilvl w:val="0"/>
                <w:numId w:val="11"/>
              </w:numPr>
              <w:rPr>
                <w:rFonts w:ascii="Times New Roman" w:hAnsi="Times New Roman"/>
                <w:color w:val="000000"/>
                <w:sz w:val="24"/>
                <w:szCs w:val="24"/>
              </w:rPr>
            </w:pPr>
            <w:r w:rsidRPr="00CD5CBC">
              <w:rPr>
                <w:rFonts w:ascii="Times New Roman" w:hAnsi="Times New Roman"/>
                <w:color w:val="000000"/>
                <w:sz w:val="24"/>
                <w:szCs w:val="24"/>
                <w:u w:val="single"/>
              </w:rPr>
              <w:t>Denial of the IOUs’ PFM:</w:t>
            </w:r>
            <w:r>
              <w:rPr>
                <w:rFonts w:ascii="Times New Roman" w:hAnsi="Times New Roman"/>
                <w:color w:val="000000"/>
                <w:sz w:val="24"/>
                <w:szCs w:val="24"/>
              </w:rPr>
              <w:t xml:space="preserve"> in alignment with</w:t>
            </w:r>
            <w:r w:rsidR="00C30738">
              <w:rPr>
                <w:rFonts w:ascii="Times New Roman" w:hAnsi="Times New Roman"/>
                <w:color w:val="000000"/>
                <w:sz w:val="24"/>
                <w:szCs w:val="24"/>
              </w:rPr>
              <w:t xml:space="preserve"> UCAN’s recommendation, the Commission denied the IOUs’ PFM to record additional costs. The decision save</w:t>
            </w:r>
            <w:r w:rsidR="001626DB">
              <w:rPr>
                <w:rFonts w:ascii="Times New Roman" w:hAnsi="Times New Roman"/>
                <w:color w:val="000000"/>
                <w:sz w:val="24"/>
                <w:szCs w:val="24"/>
              </w:rPr>
              <w:t>s</w:t>
            </w:r>
            <w:r w:rsidR="00C30738">
              <w:rPr>
                <w:rFonts w:ascii="Times New Roman" w:hAnsi="Times New Roman"/>
                <w:color w:val="000000"/>
                <w:sz w:val="24"/>
                <w:szCs w:val="24"/>
              </w:rPr>
              <w:t xml:space="preserve"> ratepayers</w:t>
            </w:r>
            <w:r w:rsidR="001626DB">
              <w:rPr>
                <w:rFonts w:ascii="Times New Roman" w:hAnsi="Times New Roman"/>
                <w:color w:val="000000"/>
                <w:sz w:val="24"/>
                <w:szCs w:val="24"/>
              </w:rPr>
              <w:t>’</w:t>
            </w:r>
            <w:r w:rsidR="00C30738">
              <w:rPr>
                <w:rFonts w:ascii="Times New Roman" w:hAnsi="Times New Roman"/>
                <w:color w:val="000000"/>
                <w:sz w:val="24"/>
                <w:szCs w:val="24"/>
              </w:rPr>
              <w:t xml:space="preserve"> money, possibly millions of </w:t>
            </w:r>
            <w:r w:rsidR="00296BF9">
              <w:rPr>
                <w:rFonts w:ascii="Times New Roman" w:hAnsi="Times New Roman"/>
                <w:color w:val="000000"/>
                <w:sz w:val="24"/>
                <w:szCs w:val="24"/>
              </w:rPr>
              <w:t>dollars,</w:t>
            </w:r>
            <w:r w:rsidR="00C30738">
              <w:rPr>
                <w:rFonts w:ascii="Times New Roman" w:hAnsi="Times New Roman"/>
                <w:color w:val="000000"/>
                <w:sz w:val="24"/>
                <w:szCs w:val="24"/>
              </w:rPr>
              <w:t xml:space="preserve"> b</w:t>
            </w:r>
            <w:r w:rsidR="00296BF9">
              <w:rPr>
                <w:rFonts w:ascii="Times New Roman" w:hAnsi="Times New Roman"/>
                <w:color w:val="000000"/>
                <w:sz w:val="24"/>
                <w:szCs w:val="24"/>
              </w:rPr>
              <w:t>y</w:t>
            </w:r>
            <w:r w:rsidR="00C30738">
              <w:rPr>
                <w:rFonts w:ascii="Times New Roman" w:hAnsi="Times New Roman"/>
                <w:color w:val="000000"/>
                <w:sz w:val="24"/>
                <w:szCs w:val="24"/>
              </w:rPr>
              <w:t xml:space="preserve"> rejecting the IOUs’ ability to </w:t>
            </w:r>
            <w:r w:rsidR="001626DB">
              <w:rPr>
                <w:rFonts w:ascii="Times New Roman" w:hAnsi="Times New Roman"/>
                <w:color w:val="000000"/>
                <w:sz w:val="24"/>
                <w:szCs w:val="24"/>
              </w:rPr>
              <w:t>establish a separate memorandum account to perform a routine task.</w:t>
            </w:r>
          </w:p>
          <w:p w:rsidRPr="00B6486A" w:rsidR="00691528" w:rsidP="00EC6387" w:rsidRDefault="0004028C" w14:paraId="694F0B63" w14:textId="1F033D12">
            <w:pPr>
              <w:pStyle w:val="ListParagraph"/>
              <w:numPr>
                <w:ilvl w:val="0"/>
                <w:numId w:val="11"/>
              </w:numPr>
              <w:rPr>
                <w:rFonts w:ascii="Times New Roman" w:hAnsi="Times New Roman"/>
                <w:color w:val="000000"/>
                <w:sz w:val="24"/>
                <w:szCs w:val="24"/>
              </w:rPr>
            </w:pPr>
            <w:r w:rsidRPr="00CD5CBC">
              <w:rPr>
                <w:rFonts w:ascii="Times New Roman" w:hAnsi="Times New Roman"/>
                <w:color w:val="000000"/>
                <w:sz w:val="24"/>
                <w:szCs w:val="24"/>
                <w:u w:val="single"/>
              </w:rPr>
              <w:t>Cost effective implementation of SB 1142 and new extreme heat protections.</w:t>
            </w:r>
            <w:r>
              <w:rPr>
                <w:rFonts w:ascii="Times New Roman" w:hAnsi="Times New Roman"/>
                <w:color w:val="000000"/>
                <w:sz w:val="24"/>
                <w:szCs w:val="24"/>
              </w:rPr>
              <w:t xml:space="preserve"> In alignment with UCAN’s recommendations, the Commission </w:t>
            </w:r>
            <w:r w:rsidR="00E52697">
              <w:rPr>
                <w:rFonts w:ascii="Times New Roman" w:hAnsi="Times New Roman"/>
                <w:color w:val="000000"/>
                <w:sz w:val="24"/>
                <w:szCs w:val="24"/>
              </w:rPr>
              <w:t xml:space="preserve">implemented SB 1142 in a cost-effective manner. Additionally, UCAN proposed evaluation of cost-effective updates to TURN’s extreme heat proposal. UCAN will continue to recommend this </w:t>
            </w:r>
            <w:r w:rsidR="00CE5EB1">
              <w:rPr>
                <w:rFonts w:ascii="Times New Roman" w:hAnsi="Times New Roman"/>
                <w:color w:val="000000"/>
                <w:sz w:val="24"/>
                <w:szCs w:val="24"/>
              </w:rPr>
              <w:t xml:space="preserve">during parties’ discussions on the best way to implement heat protections. Further, effective heat protections </w:t>
            </w:r>
            <w:r w:rsidR="000817E3">
              <w:rPr>
                <w:rFonts w:ascii="Times New Roman" w:hAnsi="Times New Roman"/>
                <w:color w:val="000000"/>
                <w:sz w:val="24"/>
                <w:szCs w:val="24"/>
              </w:rPr>
              <w:t xml:space="preserve">potentially </w:t>
            </w:r>
            <w:r w:rsidR="00CD5CBC">
              <w:rPr>
                <w:rFonts w:ascii="Times New Roman" w:hAnsi="Times New Roman"/>
                <w:color w:val="000000"/>
                <w:sz w:val="24"/>
                <w:szCs w:val="24"/>
              </w:rPr>
              <w:t>save</w:t>
            </w:r>
            <w:r w:rsidR="00196A55">
              <w:rPr>
                <w:rFonts w:ascii="Times New Roman" w:hAnsi="Times New Roman"/>
                <w:color w:val="000000"/>
                <w:sz w:val="24"/>
                <w:szCs w:val="24"/>
              </w:rPr>
              <w:t xml:space="preserve"> the state</w:t>
            </w:r>
            <w:r w:rsidR="00CE5EB1">
              <w:rPr>
                <w:rFonts w:ascii="Times New Roman" w:hAnsi="Times New Roman"/>
                <w:color w:val="000000"/>
                <w:sz w:val="24"/>
                <w:szCs w:val="24"/>
              </w:rPr>
              <w:t xml:space="preserve"> </w:t>
            </w:r>
            <w:r w:rsidR="00120F8B">
              <w:rPr>
                <w:rFonts w:ascii="Times New Roman" w:hAnsi="Times New Roman"/>
                <w:color w:val="000000"/>
                <w:sz w:val="24"/>
                <w:szCs w:val="24"/>
              </w:rPr>
              <w:t xml:space="preserve">hundreds of millions by protecting </w:t>
            </w:r>
            <w:r w:rsidR="00196A55">
              <w:rPr>
                <w:rFonts w:ascii="Times New Roman" w:hAnsi="Times New Roman"/>
                <w:color w:val="000000"/>
                <w:sz w:val="24"/>
                <w:szCs w:val="24"/>
              </w:rPr>
              <w:t>Californians</w:t>
            </w:r>
            <w:r w:rsidR="000416DE">
              <w:rPr>
                <w:rFonts w:ascii="Times New Roman" w:hAnsi="Times New Roman"/>
                <w:color w:val="000000"/>
                <w:sz w:val="24"/>
                <w:szCs w:val="24"/>
              </w:rPr>
              <w:t xml:space="preserve">, </w:t>
            </w:r>
            <w:r w:rsidR="00196A55">
              <w:rPr>
                <w:rFonts w:ascii="Times New Roman" w:hAnsi="Times New Roman"/>
                <w:color w:val="000000"/>
                <w:sz w:val="24"/>
                <w:szCs w:val="24"/>
              </w:rPr>
              <w:t xml:space="preserve">reducing health care costs, </w:t>
            </w:r>
            <w:r w:rsidR="000416DE">
              <w:rPr>
                <w:rFonts w:ascii="Times New Roman" w:hAnsi="Times New Roman"/>
                <w:color w:val="000000"/>
                <w:sz w:val="24"/>
                <w:szCs w:val="24"/>
              </w:rPr>
              <w:t xml:space="preserve">and </w:t>
            </w:r>
            <w:r w:rsidR="000817E3">
              <w:rPr>
                <w:rFonts w:ascii="Times New Roman" w:hAnsi="Times New Roman"/>
                <w:color w:val="000000"/>
                <w:sz w:val="24"/>
                <w:szCs w:val="24"/>
              </w:rPr>
              <w:t xml:space="preserve">supporting </w:t>
            </w:r>
            <w:r w:rsidR="00CD5CBC">
              <w:rPr>
                <w:rFonts w:ascii="Times New Roman" w:hAnsi="Times New Roman"/>
                <w:color w:val="000000"/>
                <w:sz w:val="24"/>
                <w:szCs w:val="24"/>
              </w:rPr>
              <w:t xml:space="preserve">a vibrant </w:t>
            </w:r>
            <w:r w:rsidR="000817E3">
              <w:rPr>
                <w:rFonts w:ascii="Times New Roman" w:hAnsi="Times New Roman"/>
                <w:color w:val="000000"/>
                <w:sz w:val="24"/>
                <w:szCs w:val="24"/>
              </w:rPr>
              <w:t>econo</w:t>
            </w:r>
            <w:r w:rsidR="00CD5CBC">
              <w:rPr>
                <w:rFonts w:ascii="Times New Roman" w:hAnsi="Times New Roman"/>
                <w:color w:val="000000"/>
                <w:sz w:val="24"/>
                <w:szCs w:val="24"/>
              </w:rPr>
              <w:t>my</w:t>
            </w:r>
            <w:r w:rsidR="000817E3">
              <w:rPr>
                <w:rFonts w:ascii="Times New Roman" w:hAnsi="Times New Roman"/>
                <w:color w:val="000000"/>
                <w:sz w:val="24"/>
                <w:szCs w:val="24"/>
              </w:rPr>
              <w:t>.</w:t>
            </w:r>
          </w:p>
        </w:tc>
        <w:tc>
          <w:tcPr>
            <w:tcW w:w="2250" w:type="dxa"/>
          </w:tcPr>
          <w:p w:rsidRPr="007F620E" w:rsidR="00FE3BAE" w:rsidP="001B58AC" w:rsidRDefault="001B58AC" w14:paraId="1874D625" w14:textId="052DB1B0">
            <w:pPr>
              <w:jc w:val="center"/>
              <w:rPr>
                <w:color w:val="000000"/>
              </w:rPr>
            </w:pPr>
            <w:r>
              <w:rPr>
                <w:color w:val="000000"/>
              </w:rPr>
              <w:lastRenderedPageBreak/>
              <w:t>Noted</w:t>
            </w:r>
          </w:p>
        </w:tc>
      </w:tr>
      <w:tr w:rsidRPr="007F620E" w:rsidR="00FE3BAE" w:rsidTr="00720770" w14:paraId="3FD38B74" w14:textId="77777777">
        <w:tc>
          <w:tcPr>
            <w:tcW w:w="7488" w:type="dxa"/>
          </w:tcPr>
          <w:p w:rsidR="00FE3BAE" w:rsidP="00EC6387" w:rsidRDefault="00FE3BAE" w14:paraId="78501013" w14:textId="5FAAAC4B">
            <w:pPr>
              <w:rPr>
                <w:color w:val="000000"/>
              </w:rPr>
            </w:pPr>
            <w:r w:rsidRPr="007F620E">
              <w:rPr>
                <w:b/>
                <w:color w:val="000000"/>
              </w:rPr>
              <w:t>c. Allocation of hours by issue:</w:t>
            </w:r>
            <w:r w:rsidRPr="00E25078" w:rsidR="00E25078">
              <w:rPr>
                <w:color w:val="000000"/>
              </w:rPr>
              <w:t xml:space="preserve"> </w:t>
            </w:r>
          </w:p>
          <w:tbl>
            <w:tblPr>
              <w:tblStyle w:val="TableGrid"/>
              <w:tblW w:w="0" w:type="auto"/>
              <w:tblLook w:val="04A0" w:firstRow="1" w:lastRow="0" w:firstColumn="1" w:lastColumn="0" w:noHBand="0" w:noVBand="1"/>
            </w:tblPr>
            <w:tblGrid>
              <w:gridCol w:w="4560"/>
              <w:gridCol w:w="990"/>
              <w:gridCol w:w="1712"/>
            </w:tblGrid>
            <w:tr w:rsidR="00FF0269" w:rsidTr="001A3DF5" w14:paraId="17464D15" w14:textId="77777777">
              <w:tc>
                <w:tcPr>
                  <w:tcW w:w="4560" w:type="dxa"/>
                </w:tcPr>
                <w:p w:rsidR="00FF0269" w:rsidP="00FF0269" w:rsidRDefault="00FF0269" w14:paraId="71F551A4" w14:textId="77777777">
                  <w:pPr>
                    <w:rPr>
                      <w:color w:val="000000"/>
                    </w:rPr>
                  </w:pPr>
                  <w:r w:rsidRPr="004C3103">
                    <w:rPr>
                      <w:color w:val="000000"/>
                    </w:rPr>
                    <w:t>Issue 1</w:t>
                  </w:r>
                  <w:r w:rsidRPr="004C3103">
                    <w:rPr>
                      <w:color w:val="000000"/>
                    </w:rPr>
                    <w:tab/>
                    <w:t>Proportional Allocation of Payments</w:t>
                  </w:r>
                </w:p>
              </w:tc>
              <w:tc>
                <w:tcPr>
                  <w:tcW w:w="990" w:type="dxa"/>
                </w:tcPr>
                <w:p w:rsidR="00FF0269" w:rsidP="00FF0269" w:rsidRDefault="00FF0269" w14:paraId="6B49FD1B" w14:textId="77777777">
                  <w:pPr>
                    <w:rPr>
                      <w:color w:val="000000"/>
                    </w:rPr>
                  </w:pPr>
                  <w:r w:rsidRPr="004C3103">
                    <w:rPr>
                      <w:color w:val="000000"/>
                    </w:rPr>
                    <w:t>34.30</w:t>
                  </w:r>
                  <w:r w:rsidRPr="004C3103">
                    <w:rPr>
                      <w:color w:val="000000"/>
                    </w:rPr>
                    <w:tab/>
                  </w:r>
                </w:p>
              </w:tc>
              <w:tc>
                <w:tcPr>
                  <w:tcW w:w="1712" w:type="dxa"/>
                </w:tcPr>
                <w:p w:rsidR="00FF0269" w:rsidP="00FF0269" w:rsidRDefault="00FF0269" w14:paraId="107FF0D1" w14:textId="77777777">
                  <w:pPr>
                    <w:rPr>
                      <w:color w:val="000000"/>
                    </w:rPr>
                  </w:pPr>
                  <w:r w:rsidRPr="004C3103">
                    <w:rPr>
                      <w:color w:val="000000"/>
                    </w:rPr>
                    <w:t>18%</w:t>
                  </w:r>
                </w:p>
              </w:tc>
            </w:tr>
            <w:tr w:rsidR="00FF0269" w:rsidTr="001A3DF5" w14:paraId="170F1157" w14:textId="77777777">
              <w:tc>
                <w:tcPr>
                  <w:tcW w:w="4560" w:type="dxa"/>
                </w:tcPr>
                <w:p w:rsidR="00FF0269" w:rsidP="00FF0269" w:rsidRDefault="00FF0269" w14:paraId="7F07D938" w14:textId="77777777">
                  <w:pPr>
                    <w:rPr>
                      <w:color w:val="000000"/>
                    </w:rPr>
                  </w:pPr>
                  <w:r w:rsidRPr="004C3103">
                    <w:rPr>
                      <w:color w:val="000000"/>
                    </w:rPr>
                    <w:t>Issue 2</w:t>
                  </w:r>
                  <w:r w:rsidRPr="004C3103">
                    <w:rPr>
                      <w:color w:val="000000"/>
                    </w:rPr>
                    <w:tab/>
                    <w:t>Rate Cap Extensions</w:t>
                  </w:r>
                  <w:r w:rsidRPr="004C3103">
                    <w:rPr>
                      <w:color w:val="000000"/>
                    </w:rPr>
                    <w:tab/>
                  </w:r>
                </w:p>
              </w:tc>
              <w:tc>
                <w:tcPr>
                  <w:tcW w:w="990" w:type="dxa"/>
                </w:tcPr>
                <w:p w:rsidR="00FF0269" w:rsidP="00FF0269" w:rsidRDefault="00FF0269" w14:paraId="6B253B31" w14:textId="77777777">
                  <w:pPr>
                    <w:rPr>
                      <w:color w:val="000000"/>
                    </w:rPr>
                  </w:pPr>
                  <w:r>
                    <w:rPr>
                      <w:color w:val="000000"/>
                    </w:rPr>
                    <w:t>57.90</w:t>
                  </w:r>
                </w:p>
              </w:tc>
              <w:tc>
                <w:tcPr>
                  <w:tcW w:w="1712" w:type="dxa"/>
                </w:tcPr>
                <w:p w:rsidR="00FF0269" w:rsidP="00FF0269" w:rsidRDefault="00FF0269" w14:paraId="0E5CBEC4" w14:textId="77777777">
                  <w:pPr>
                    <w:rPr>
                      <w:color w:val="000000"/>
                    </w:rPr>
                  </w:pPr>
                  <w:r>
                    <w:rPr>
                      <w:color w:val="000000"/>
                    </w:rPr>
                    <w:t>30%</w:t>
                  </w:r>
                </w:p>
              </w:tc>
            </w:tr>
            <w:tr w:rsidR="00FF0269" w:rsidTr="001A3DF5" w14:paraId="39C30497" w14:textId="77777777">
              <w:tc>
                <w:tcPr>
                  <w:tcW w:w="4560" w:type="dxa"/>
                </w:tcPr>
                <w:p w:rsidR="00FF0269" w:rsidP="00FF0269" w:rsidRDefault="00FF0269" w14:paraId="3818E98F" w14:textId="77777777">
                  <w:pPr>
                    <w:rPr>
                      <w:color w:val="000000"/>
                    </w:rPr>
                  </w:pPr>
                  <w:r w:rsidRPr="004C3103">
                    <w:rPr>
                      <w:color w:val="000000"/>
                    </w:rPr>
                    <w:t>Issue 3</w:t>
                  </w:r>
                  <w:r w:rsidRPr="004C3103">
                    <w:rPr>
                      <w:color w:val="000000"/>
                    </w:rPr>
                    <w:tab/>
                    <w:t>Evaluation of PFM</w:t>
                  </w:r>
                </w:p>
              </w:tc>
              <w:tc>
                <w:tcPr>
                  <w:tcW w:w="990" w:type="dxa"/>
                </w:tcPr>
                <w:p w:rsidR="00FF0269" w:rsidP="00FF0269" w:rsidRDefault="00FF0269" w14:paraId="2EC4DA35" w14:textId="77777777">
                  <w:pPr>
                    <w:rPr>
                      <w:color w:val="000000"/>
                    </w:rPr>
                  </w:pPr>
                  <w:r>
                    <w:rPr>
                      <w:color w:val="000000"/>
                    </w:rPr>
                    <w:t>10</w:t>
                  </w:r>
                </w:p>
              </w:tc>
              <w:tc>
                <w:tcPr>
                  <w:tcW w:w="1712" w:type="dxa"/>
                </w:tcPr>
                <w:p w:rsidR="00FF0269" w:rsidP="00FF0269" w:rsidRDefault="00FF0269" w14:paraId="50F3F320" w14:textId="77777777">
                  <w:pPr>
                    <w:rPr>
                      <w:color w:val="000000"/>
                    </w:rPr>
                  </w:pPr>
                  <w:r>
                    <w:rPr>
                      <w:color w:val="000000"/>
                    </w:rPr>
                    <w:t>5%</w:t>
                  </w:r>
                </w:p>
              </w:tc>
            </w:tr>
            <w:tr w:rsidR="00FF0269" w:rsidTr="001A3DF5" w14:paraId="7E4A21AA" w14:textId="77777777">
              <w:tc>
                <w:tcPr>
                  <w:tcW w:w="4560" w:type="dxa"/>
                </w:tcPr>
                <w:p w:rsidR="00FF0269" w:rsidP="00FF0269" w:rsidRDefault="00FF0269" w14:paraId="0993F943" w14:textId="77777777">
                  <w:pPr>
                    <w:rPr>
                      <w:color w:val="000000"/>
                    </w:rPr>
                  </w:pPr>
                  <w:r w:rsidRPr="004C3103">
                    <w:rPr>
                      <w:color w:val="000000"/>
                    </w:rPr>
                    <w:t>Issue 4</w:t>
                  </w:r>
                  <w:r w:rsidRPr="004C3103">
                    <w:rPr>
                      <w:color w:val="000000"/>
                    </w:rPr>
                    <w:tab/>
                    <w:t>Reconnections</w:t>
                  </w:r>
                </w:p>
              </w:tc>
              <w:tc>
                <w:tcPr>
                  <w:tcW w:w="990" w:type="dxa"/>
                </w:tcPr>
                <w:p w:rsidR="00FF0269" w:rsidP="00FF0269" w:rsidRDefault="00FF0269" w14:paraId="0CCE421B" w14:textId="77777777">
                  <w:pPr>
                    <w:rPr>
                      <w:color w:val="000000"/>
                    </w:rPr>
                  </w:pPr>
                  <w:r>
                    <w:rPr>
                      <w:color w:val="000000"/>
                    </w:rPr>
                    <w:t>56.10</w:t>
                  </w:r>
                </w:p>
              </w:tc>
              <w:tc>
                <w:tcPr>
                  <w:tcW w:w="1712" w:type="dxa"/>
                </w:tcPr>
                <w:p w:rsidR="00FF0269" w:rsidP="00FF0269" w:rsidRDefault="00FF0269" w14:paraId="5FCAB337" w14:textId="77777777">
                  <w:pPr>
                    <w:rPr>
                      <w:color w:val="000000"/>
                    </w:rPr>
                  </w:pPr>
                  <w:r>
                    <w:rPr>
                      <w:color w:val="000000"/>
                    </w:rPr>
                    <w:t>29%</w:t>
                  </w:r>
                </w:p>
              </w:tc>
            </w:tr>
            <w:tr w:rsidR="00FF0269" w:rsidTr="001A3DF5" w14:paraId="7C60CE08" w14:textId="77777777">
              <w:tc>
                <w:tcPr>
                  <w:tcW w:w="4560" w:type="dxa"/>
                </w:tcPr>
                <w:p w:rsidR="00FF0269" w:rsidP="00FF0269" w:rsidRDefault="00FF0269" w14:paraId="7CFA6B0B" w14:textId="77777777">
                  <w:pPr>
                    <w:rPr>
                      <w:color w:val="000000"/>
                    </w:rPr>
                  </w:pPr>
                  <w:r w:rsidRPr="004C3103">
                    <w:rPr>
                      <w:color w:val="000000"/>
                    </w:rPr>
                    <w:t>Issue 5</w:t>
                  </w:r>
                  <w:r w:rsidRPr="004C3103">
                    <w:rPr>
                      <w:color w:val="000000"/>
                    </w:rPr>
                    <w:tab/>
                    <w:t>Extreme Heat Protections</w:t>
                  </w:r>
                </w:p>
              </w:tc>
              <w:tc>
                <w:tcPr>
                  <w:tcW w:w="990" w:type="dxa"/>
                </w:tcPr>
                <w:p w:rsidR="00FF0269" w:rsidP="00FF0269" w:rsidRDefault="00FF0269" w14:paraId="2DE9819A" w14:textId="77777777">
                  <w:pPr>
                    <w:rPr>
                      <w:color w:val="000000"/>
                    </w:rPr>
                  </w:pPr>
                  <w:r>
                    <w:rPr>
                      <w:color w:val="000000"/>
                    </w:rPr>
                    <w:t>31.40</w:t>
                  </w:r>
                </w:p>
              </w:tc>
              <w:tc>
                <w:tcPr>
                  <w:tcW w:w="1712" w:type="dxa"/>
                </w:tcPr>
                <w:p w:rsidR="00FF0269" w:rsidP="00FF0269" w:rsidRDefault="00FF0269" w14:paraId="721DCD7B" w14:textId="77777777">
                  <w:pPr>
                    <w:rPr>
                      <w:color w:val="000000"/>
                    </w:rPr>
                  </w:pPr>
                  <w:r>
                    <w:rPr>
                      <w:color w:val="000000"/>
                    </w:rPr>
                    <w:t>16%</w:t>
                  </w:r>
                </w:p>
              </w:tc>
            </w:tr>
            <w:tr w:rsidR="00FF0269" w:rsidTr="001A3DF5" w14:paraId="64BAC003" w14:textId="77777777">
              <w:tc>
                <w:tcPr>
                  <w:tcW w:w="4560" w:type="dxa"/>
                </w:tcPr>
                <w:p w:rsidR="00FF0269" w:rsidP="00FF0269" w:rsidRDefault="00FF0269" w14:paraId="28CD0DE8" w14:textId="77777777">
                  <w:pPr>
                    <w:rPr>
                      <w:color w:val="000000"/>
                    </w:rPr>
                  </w:pPr>
                  <w:r w:rsidRPr="004C3103">
                    <w:rPr>
                      <w:color w:val="000000"/>
                    </w:rPr>
                    <w:t>Issue 6</w:t>
                  </w:r>
                  <w:r w:rsidRPr="004C3103">
                    <w:rPr>
                      <w:color w:val="000000"/>
                    </w:rPr>
                    <w:tab/>
                    <w:t>General Participation</w:t>
                  </w:r>
                </w:p>
              </w:tc>
              <w:tc>
                <w:tcPr>
                  <w:tcW w:w="990" w:type="dxa"/>
                </w:tcPr>
                <w:p w:rsidR="00FF0269" w:rsidP="00FF0269" w:rsidRDefault="00FF0269" w14:paraId="5D9B40A4" w14:textId="77777777">
                  <w:pPr>
                    <w:rPr>
                      <w:color w:val="000000"/>
                    </w:rPr>
                  </w:pPr>
                  <w:r>
                    <w:rPr>
                      <w:color w:val="000000"/>
                    </w:rPr>
                    <w:t>3.30</w:t>
                  </w:r>
                </w:p>
              </w:tc>
              <w:tc>
                <w:tcPr>
                  <w:tcW w:w="1712" w:type="dxa"/>
                </w:tcPr>
                <w:p w:rsidR="00FF0269" w:rsidP="00FF0269" w:rsidRDefault="00FF0269" w14:paraId="280BB8BC" w14:textId="77777777">
                  <w:pPr>
                    <w:rPr>
                      <w:color w:val="000000"/>
                    </w:rPr>
                  </w:pPr>
                  <w:r>
                    <w:rPr>
                      <w:color w:val="000000"/>
                    </w:rPr>
                    <w:t>2%</w:t>
                  </w:r>
                </w:p>
              </w:tc>
            </w:tr>
            <w:tr w:rsidR="00FF0269" w:rsidTr="001A3DF5" w14:paraId="41946BCF" w14:textId="77777777">
              <w:tc>
                <w:tcPr>
                  <w:tcW w:w="4560" w:type="dxa"/>
                </w:tcPr>
                <w:p w:rsidRPr="004C3103" w:rsidR="00FF0269" w:rsidP="00FF0269" w:rsidRDefault="00FF0269" w14:paraId="6B652A60" w14:textId="77777777">
                  <w:pPr>
                    <w:rPr>
                      <w:color w:val="000000"/>
                    </w:rPr>
                  </w:pPr>
                  <w:r>
                    <w:rPr>
                      <w:color w:val="000000"/>
                    </w:rPr>
                    <w:t>Total</w:t>
                  </w:r>
                </w:p>
              </w:tc>
              <w:tc>
                <w:tcPr>
                  <w:tcW w:w="990" w:type="dxa"/>
                </w:tcPr>
                <w:p w:rsidR="00FF0269" w:rsidP="00FF0269" w:rsidRDefault="00FF0269" w14:paraId="2317854F" w14:textId="77777777">
                  <w:pPr>
                    <w:rPr>
                      <w:color w:val="000000"/>
                    </w:rPr>
                  </w:pPr>
                  <w:r>
                    <w:rPr>
                      <w:color w:val="000000"/>
                    </w:rPr>
                    <w:t>193</w:t>
                  </w:r>
                </w:p>
              </w:tc>
              <w:tc>
                <w:tcPr>
                  <w:tcW w:w="1712" w:type="dxa"/>
                </w:tcPr>
                <w:p w:rsidR="00FF0269" w:rsidP="00FF0269" w:rsidRDefault="00FF0269" w14:paraId="5861F8D8" w14:textId="77777777">
                  <w:pPr>
                    <w:rPr>
                      <w:color w:val="000000"/>
                    </w:rPr>
                  </w:pPr>
                  <w:r>
                    <w:rPr>
                      <w:color w:val="000000"/>
                    </w:rPr>
                    <w:t>100%</w:t>
                  </w:r>
                </w:p>
              </w:tc>
            </w:tr>
          </w:tbl>
          <w:p w:rsidRPr="003D4455" w:rsidR="00691528" w:rsidP="00EC6387" w:rsidRDefault="00691528" w14:paraId="3285939A" w14:textId="77777777">
            <w:pPr>
              <w:rPr>
                <w:color w:val="000000"/>
              </w:rPr>
            </w:pPr>
          </w:p>
        </w:tc>
        <w:tc>
          <w:tcPr>
            <w:tcW w:w="2250" w:type="dxa"/>
          </w:tcPr>
          <w:p w:rsidRPr="007F620E" w:rsidR="00FE3BAE" w:rsidP="001B58AC" w:rsidRDefault="001B58AC" w14:paraId="497C4799" w14:textId="6CDB259F">
            <w:pPr>
              <w:jc w:val="center"/>
              <w:rPr>
                <w:color w:val="000000"/>
              </w:rPr>
            </w:pPr>
            <w:r>
              <w:rPr>
                <w:color w:val="000000"/>
              </w:rPr>
              <w:t>Noted</w:t>
            </w:r>
          </w:p>
        </w:tc>
      </w:tr>
    </w:tbl>
    <w:p w:rsidRPr="007F620E" w:rsidR="00A92D0B" w:rsidP="005B5B44" w:rsidRDefault="00A92D0B" w14:paraId="710BC7D6" w14:textId="77777777">
      <w:pPr>
        <w:keepNext/>
        <w:numPr>
          <w:ilvl w:val="0"/>
          <w:numId w:val="9"/>
        </w:numPr>
        <w:spacing w:before="240" w:after="240"/>
        <w:rPr>
          <w:b/>
          <w:color w:val="000000"/>
        </w:rPr>
      </w:pPr>
      <w:r w:rsidRPr="007F620E">
        <w:rPr>
          <w:b/>
          <w:color w:val="000000"/>
        </w:rPr>
        <w:lastRenderedPageBreak/>
        <w:t>Specific Claim</w:t>
      </w:r>
      <w:r w:rsidR="00C02649">
        <w:rPr>
          <w:b/>
          <w:color w:val="000000"/>
        </w:rPr>
        <w:t>:</w:t>
      </w:r>
      <w:r w:rsidRPr="007F620E" w:rsidR="00D075B1">
        <w:rPr>
          <w:b/>
          <w:color w:val="000000"/>
        </w:rPr>
        <w:t>*</w:t>
      </w:r>
    </w:p>
    <w:tbl>
      <w:tblPr>
        <w:tblW w:w="11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15"/>
        <w:gridCol w:w="810"/>
        <w:gridCol w:w="267"/>
        <w:gridCol w:w="543"/>
        <w:gridCol w:w="889"/>
        <w:gridCol w:w="477"/>
        <w:gridCol w:w="1244"/>
        <w:gridCol w:w="1047"/>
        <w:gridCol w:w="286"/>
        <w:gridCol w:w="955"/>
        <w:gridCol w:w="1146"/>
        <w:gridCol w:w="1881"/>
      </w:tblGrid>
      <w:tr w:rsidRPr="007F620E" w:rsidR="00A92D0B" w:rsidTr="00564BD1" w14:paraId="780664A2" w14:textId="77777777">
        <w:trPr>
          <w:jc w:val="center"/>
        </w:trPr>
        <w:tc>
          <w:tcPr>
            <w:tcW w:w="7178" w:type="dxa"/>
            <w:gridSpan w:val="9"/>
            <w:tcBorders>
              <w:bottom w:val="single" w:color="auto" w:sz="4" w:space="0"/>
              <w:right w:val="single" w:color="auto" w:sz="24" w:space="0"/>
            </w:tcBorders>
          </w:tcPr>
          <w:p w:rsidRPr="007F620E" w:rsidR="00A92D0B" w:rsidP="00DE3A5D" w:rsidRDefault="00A92D0B" w14:paraId="6BFE54DA" w14:textId="77777777">
            <w:pPr>
              <w:keepNext/>
              <w:keepLines/>
              <w:spacing w:before="60" w:after="60"/>
              <w:jc w:val="center"/>
              <w:rPr>
                <w:b/>
                <w:smallCaps/>
                <w:color w:val="000000"/>
              </w:rPr>
            </w:pPr>
            <w:r w:rsidRPr="007F620E">
              <w:rPr>
                <w:b/>
                <w:smallCaps/>
                <w:color w:val="000000"/>
              </w:rPr>
              <w:t>Claimed</w:t>
            </w:r>
          </w:p>
        </w:tc>
        <w:tc>
          <w:tcPr>
            <w:tcW w:w="3982" w:type="dxa"/>
            <w:gridSpan w:val="3"/>
            <w:tcBorders>
              <w:left w:val="single" w:color="auto" w:sz="24" w:space="0"/>
              <w:bottom w:val="single" w:color="auto" w:sz="4" w:space="0"/>
            </w:tcBorders>
          </w:tcPr>
          <w:p w:rsidRPr="007F620E" w:rsidR="00A92D0B" w:rsidP="00DE3A5D" w:rsidRDefault="00A92D0B" w14:paraId="170A0FA1" w14:textId="77777777">
            <w:pPr>
              <w:keepNext/>
              <w:keepLines/>
              <w:spacing w:before="60" w:after="60"/>
              <w:jc w:val="center"/>
              <w:rPr>
                <w:b/>
                <w:smallCaps/>
                <w:color w:val="000000"/>
              </w:rPr>
            </w:pPr>
            <w:r w:rsidRPr="007F620E">
              <w:rPr>
                <w:b/>
                <w:smallCaps/>
                <w:color w:val="000000"/>
              </w:rPr>
              <w:t>CPUC Award</w:t>
            </w:r>
          </w:p>
        </w:tc>
      </w:tr>
      <w:tr w:rsidRPr="007F620E" w:rsidR="00A92D0B" w:rsidTr="00564BD1" w14:paraId="0F5B6CAA"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E6E6E6"/>
          </w:tcPr>
          <w:p w:rsidRPr="007F620E" w:rsidR="00A92D0B" w:rsidP="00DE3A5D" w:rsidRDefault="00A92D0B" w14:paraId="284F9031" w14:textId="77777777">
            <w:pPr>
              <w:keepNext/>
              <w:keepLines/>
              <w:spacing w:before="60" w:after="60"/>
              <w:jc w:val="center"/>
              <w:rPr>
                <w:b/>
              </w:rPr>
            </w:pPr>
            <w:r w:rsidRPr="007F620E">
              <w:rPr>
                <w:b/>
              </w:rPr>
              <w:t>ATTORNEY, EXPERT, AND ADVOCATE FEES</w:t>
            </w:r>
          </w:p>
        </w:tc>
      </w:tr>
      <w:tr w:rsidRPr="00260518" w:rsidR="00A92D0B" w:rsidTr="00564BD1" w14:paraId="5A70C962" w14:textId="77777777">
        <w:trPr>
          <w:jc w:val="center"/>
        </w:trPr>
        <w:tc>
          <w:tcPr>
            <w:tcW w:w="1615" w:type="dxa"/>
            <w:tcBorders>
              <w:top w:val="single" w:color="auto" w:sz="4" w:space="0"/>
              <w:bottom w:val="single" w:color="auto" w:sz="4" w:space="0"/>
            </w:tcBorders>
            <w:vAlign w:val="bottom"/>
          </w:tcPr>
          <w:p w:rsidRPr="00260518" w:rsidR="00A92D0B" w:rsidP="003B6A1B" w:rsidRDefault="00A92D0B" w14:paraId="41646676" w14:textId="77777777">
            <w:pPr>
              <w:keepNext/>
              <w:keepLines/>
              <w:spacing w:before="60" w:after="60"/>
              <w:jc w:val="center"/>
              <w:rPr>
                <w:b/>
                <w:color w:val="000000"/>
                <w:sz w:val="22"/>
                <w:szCs w:val="22"/>
              </w:rPr>
            </w:pPr>
            <w:r w:rsidRPr="00260518">
              <w:rPr>
                <w:b/>
                <w:color w:val="000000"/>
                <w:sz w:val="22"/>
                <w:szCs w:val="22"/>
              </w:rPr>
              <w:t>Item</w:t>
            </w:r>
          </w:p>
        </w:tc>
        <w:tc>
          <w:tcPr>
            <w:tcW w:w="810" w:type="dxa"/>
            <w:tcBorders>
              <w:top w:val="single" w:color="auto" w:sz="4" w:space="0"/>
              <w:bottom w:val="single" w:color="auto" w:sz="4" w:space="0"/>
            </w:tcBorders>
            <w:vAlign w:val="bottom"/>
          </w:tcPr>
          <w:p w:rsidRPr="00260518" w:rsidR="00A92D0B" w:rsidP="003B6A1B" w:rsidRDefault="00A92D0B" w14:paraId="43BB9941" w14:textId="77777777">
            <w:pPr>
              <w:keepNext/>
              <w:keepLines/>
              <w:spacing w:before="60" w:after="60"/>
              <w:jc w:val="center"/>
              <w:rPr>
                <w:b/>
                <w:color w:val="000000"/>
                <w:sz w:val="22"/>
                <w:szCs w:val="22"/>
              </w:rPr>
            </w:pPr>
            <w:r w:rsidRPr="00260518">
              <w:rPr>
                <w:b/>
                <w:color w:val="000000"/>
                <w:sz w:val="22"/>
                <w:szCs w:val="22"/>
              </w:rPr>
              <w:t>Year</w:t>
            </w:r>
          </w:p>
        </w:tc>
        <w:tc>
          <w:tcPr>
            <w:tcW w:w="810" w:type="dxa"/>
            <w:gridSpan w:val="2"/>
            <w:tcBorders>
              <w:top w:val="single" w:color="auto" w:sz="4" w:space="0"/>
              <w:bottom w:val="single" w:color="auto" w:sz="4" w:space="0"/>
            </w:tcBorders>
            <w:vAlign w:val="bottom"/>
          </w:tcPr>
          <w:p w:rsidRPr="00260518" w:rsidR="00A92D0B" w:rsidP="003B6A1B" w:rsidRDefault="00A92D0B" w14:paraId="0EF32B08" w14:textId="77777777">
            <w:pPr>
              <w:keepNext/>
              <w:keepLines/>
              <w:spacing w:before="60" w:after="60"/>
              <w:jc w:val="center"/>
              <w:rPr>
                <w:b/>
                <w:color w:val="000000"/>
                <w:sz w:val="22"/>
                <w:szCs w:val="22"/>
              </w:rPr>
            </w:pPr>
            <w:r w:rsidRPr="00260518">
              <w:rPr>
                <w:b/>
                <w:color w:val="000000"/>
                <w:sz w:val="22"/>
                <w:szCs w:val="22"/>
              </w:rPr>
              <w:t>Hours</w:t>
            </w:r>
          </w:p>
        </w:tc>
        <w:tc>
          <w:tcPr>
            <w:tcW w:w="889" w:type="dxa"/>
            <w:tcBorders>
              <w:top w:val="single" w:color="auto" w:sz="4" w:space="0"/>
              <w:bottom w:val="single" w:color="auto" w:sz="4" w:space="0"/>
            </w:tcBorders>
            <w:vAlign w:val="bottom"/>
          </w:tcPr>
          <w:p w:rsidRPr="00260518" w:rsidR="00A92D0B" w:rsidP="003B6A1B" w:rsidRDefault="00A92D0B" w14:paraId="21C69246" w14:textId="77777777">
            <w:pPr>
              <w:keepNext/>
              <w:keepLines/>
              <w:spacing w:before="60" w:after="60"/>
              <w:jc w:val="center"/>
              <w:rPr>
                <w:b/>
                <w:color w:val="000000"/>
                <w:sz w:val="22"/>
                <w:szCs w:val="22"/>
              </w:rPr>
            </w:pPr>
            <w:r w:rsidRPr="00260518">
              <w:rPr>
                <w:b/>
                <w:color w:val="000000"/>
                <w:sz w:val="22"/>
                <w:szCs w:val="22"/>
              </w:rPr>
              <w:t>Rate</w:t>
            </w:r>
            <w:r w:rsidRPr="00260518" w:rsidR="00E3786F">
              <w:rPr>
                <w:b/>
                <w:color w:val="000000"/>
                <w:sz w:val="22"/>
                <w:szCs w:val="22"/>
              </w:rPr>
              <w:t xml:space="preserve"> $</w:t>
            </w:r>
          </w:p>
        </w:tc>
        <w:tc>
          <w:tcPr>
            <w:tcW w:w="1721" w:type="dxa"/>
            <w:gridSpan w:val="2"/>
            <w:tcBorders>
              <w:top w:val="single" w:color="auto" w:sz="4" w:space="0"/>
              <w:bottom w:val="single" w:color="auto" w:sz="4" w:space="0"/>
              <w:right w:val="single" w:color="auto" w:sz="4" w:space="0"/>
            </w:tcBorders>
            <w:vAlign w:val="bottom"/>
          </w:tcPr>
          <w:p w:rsidRPr="00260518" w:rsidR="00A92D0B" w:rsidP="003B6A1B" w:rsidRDefault="00A92D0B" w14:paraId="59E63C07" w14:textId="77777777">
            <w:pPr>
              <w:keepNext/>
              <w:keepLines/>
              <w:spacing w:before="60" w:after="60"/>
              <w:jc w:val="center"/>
              <w:rPr>
                <w:b/>
                <w:color w:val="000000"/>
                <w:sz w:val="22"/>
                <w:szCs w:val="22"/>
              </w:rPr>
            </w:pPr>
            <w:r w:rsidRPr="00260518">
              <w:rPr>
                <w:b/>
                <w:color w:val="000000"/>
                <w:sz w:val="22"/>
                <w:szCs w:val="22"/>
              </w:rPr>
              <w:t>Basis for Rate*</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260518" w:rsidR="00A92D0B" w:rsidP="003B6A1B" w:rsidRDefault="00A92D0B" w14:paraId="7099C603" w14:textId="77777777">
            <w:pPr>
              <w:keepNext/>
              <w:keepLines/>
              <w:spacing w:before="60" w:after="60"/>
              <w:jc w:val="center"/>
              <w:rPr>
                <w:b/>
                <w:color w:val="000000"/>
                <w:sz w:val="22"/>
                <w:szCs w:val="22"/>
              </w:rPr>
            </w:pPr>
            <w:r w:rsidRPr="00260518">
              <w:rPr>
                <w:b/>
                <w:color w:val="000000"/>
                <w:sz w:val="22"/>
                <w:szCs w:val="22"/>
              </w:rPr>
              <w:t>Total $</w:t>
            </w:r>
          </w:p>
        </w:tc>
        <w:tc>
          <w:tcPr>
            <w:tcW w:w="955" w:type="dxa"/>
            <w:tcBorders>
              <w:top w:val="single" w:color="auto" w:sz="4" w:space="0"/>
              <w:left w:val="single" w:color="auto" w:sz="4" w:space="0"/>
            </w:tcBorders>
            <w:vAlign w:val="bottom"/>
          </w:tcPr>
          <w:p w:rsidRPr="00260518" w:rsidR="00A92D0B" w:rsidP="003B6A1B" w:rsidRDefault="00A92D0B" w14:paraId="564E4964" w14:textId="77777777">
            <w:pPr>
              <w:keepNext/>
              <w:keepLines/>
              <w:spacing w:before="60" w:after="60"/>
              <w:jc w:val="center"/>
              <w:rPr>
                <w:b/>
                <w:color w:val="000000"/>
                <w:sz w:val="22"/>
                <w:szCs w:val="22"/>
              </w:rPr>
            </w:pPr>
            <w:r w:rsidRPr="00260518">
              <w:rPr>
                <w:b/>
                <w:color w:val="000000"/>
                <w:sz w:val="22"/>
                <w:szCs w:val="22"/>
              </w:rPr>
              <w:t>Hours</w:t>
            </w:r>
          </w:p>
        </w:tc>
        <w:tc>
          <w:tcPr>
            <w:tcW w:w="1146" w:type="dxa"/>
            <w:tcBorders>
              <w:top w:val="single" w:color="auto" w:sz="4" w:space="0"/>
            </w:tcBorders>
            <w:vAlign w:val="bottom"/>
          </w:tcPr>
          <w:p w:rsidRPr="00260518" w:rsidR="00A92D0B" w:rsidP="003B6A1B" w:rsidRDefault="00A92D0B" w14:paraId="1462552D" w14:textId="77777777">
            <w:pPr>
              <w:keepNext/>
              <w:keepLines/>
              <w:spacing w:before="60" w:after="60"/>
              <w:jc w:val="center"/>
              <w:rPr>
                <w:b/>
                <w:color w:val="000000"/>
                <w:sz w:val="22"/>
                <w:szCs w:val="22"/>
              </w:rPr>
            </w:pPr>
            <w:r w:rsidRPr="00260518">
              <w:rPr>
                <w:b/>
                <w:color w:val="000000"/>
                <w:sz w:val="22"/>
                <w:szCs w:val="22"/>
              </w:rPr>
              <w:t>Rate</w:t>
            </w:r>
            <w:r w:rsidRPr="00260518" w:rsidR="00E3786F">
              <w:rPr>
                <w:b/>
                <w:color w:val="000000"/>
                <w:sz w:val="22"/>
                <w:szCs w:val="22"/>
              </w:rPr>
              <w:t xml:space="preserve"> $</w:t>
            </w:r>
          </w:p>
        </w:tc>
        <w:tc>
          <w:tcPr>
            <w:tcW w:w="1881" w:type="dxa"/>
            <w:tcBorders>
              <w:top w:val="single" w:color="auto" w:sz="4" w:space="0"/>
            </w:tcBorders>
            <w:vAlign w:val="bottom"/>
          </w:tcPr>
          <w:p w:rsidRPr="00260518" w:rsidR="00A92D0B" w:rsidP="003B6A1B" w:rsidRDefault="00A92D0B" w14:paraId="1B6A5CA4" w14:textId="77777777">
            <w:pPr>
              <w:keepNext/>
              <w:keepLines/>
              <w:spacing w:before="60" w:after="60"/>
              <w:jc w:val="center"/>
              <w:rPr>
                <w:b/>
                <w:color w:val="000000"/>
                <w:sz w:val="22"/>
                <w:szCs w:val="22"/>
              </w:rPr>
            </w:pPr>
            <w:r w:rsidRPr="00260518">
              <w:rPr>
                <w:b/>
                <w:color w:val="000000"/>
                <w:sz w:val="22"/>
                <w:szCs w:val="22"/>
              </w:rPr>
              <w:t>Total $</w:t>
            </w:r>
          </w:p>
        </w:tc>
      </w:tr>
      <w:tr w:rsidRPr="007F620E" w:rsidR="00FF0269" w:rsidTr="00564BD1" w14:paraId="62E8A168" w14:textId="77777777">
        <w:trPr>
          <w:jc w:val="center"/>
        </w:trPr>
        <w:tc>
          <w:tcPr>
            <w:tcW w:w="1615" w:type="dxa"/>
            <w:vAlign w:val="center"/>
          </w:tcPr>
          <w:p w:rsidRPr="007F620E" w:rsidR="00FF0269" w:rsidP="00FF0269" w:rsidRDefault="00FF0269" w14:paraId="33EA8B38" w14:textId="68CC4876">
            <w:pPr>
              <w:spacing w:before="60" w:after="60"/>
              <w:jc w:val="center"/>
              <w:rPr>
                <w:color w:val="000000"/>
              </w:rPr>
            </w:pPr>
            <w:r>
              <w:rPr>
                <w:color w:val="000000"/>
              </w:rPr>
              <w:t>Jason Zeller</w:t>
            </w:r>
          </w:p>
        </w:tc>
        <w:tc>
          <w:tcPr>
            <w:tcW w:w="810" w:type="dxa"/>
            <w:vAlign w:val="center"/>
          </w:tcPr>
          <w:p w:rsidRPr="007F620E" w:rsidR="00FF0269" w:rsidP="00FF0269" w:rsidRDefault="00FF0269" w14:paraId="47EBBC49" w14:textId="3C1DC98B">
            <w:pPr>
              <w:spacing w:before="60" w:after="60"/>
              <w:jc w:val="center"/>
              <w:rPr>
                <w:color w:val="000000"/>
              </w:rPr>
            </w:pPr>
            <w:r>
              <w:rPr>
                <w:color w:val="000000"/>
              </w:rPr>
              <w:t>2024</w:t>
            </w:r>
          </w:p>
        </w:tc>
        <w:tc>
          <w:tcPr>
            <w:tcW w:w="810" w:type="dxa"/>
            <w:gridSpan w:val="2"/>
            <w:vAlign w:val="center"/>
          </w:tcPr>
          <w:p w:rsidRPr="007F620E" w:rsidR="00FF0269" w:rsidP="00FF0269" w:rsidRDefault="00FF0269" w14:paraId="39A3074C" w14:textId="5DC9A5FF">
            <w:pPr>
              <w:spacing w:before="60" w:after="60"/>
              <w:jc w:val="center"/>
              <w:rPr>
                <w:color w:val="000000"/>
              </w:rPr>
            </w:pPr>
            <w:r>
              <w:rPr>
                <w:color w:val="000000"/>
              </w:rPr>
              <w:t>43</w:t>
            </w:r>
          </w:p>
        </w:tc>
        <w:tc>
          <w:tcPr>
            <w:tcW w:w="889" w:type="dxa"/>
            <w:vAlign w:val="center"/>
          </w:tcPr>
          <w:p w:rsidRPr="007F620E" w:rsidR="00FF0269" w:rsidP="00FF0269" w:rsidRDefault="00FF0269" w14:paraId="3E5BD317" w14:textId="7889CDD1">
            <w:pPr>
              <w:spacing w:before="60" w:after="60"/>
              <w:jc w:val="center"/>
              <w:rPr>
                <w:color w:val="000000"/>
              </w:rPr>
            </w:pPr>
            <w:r>
              <w:rPr>
                <w:color w:val="000000"/>
              </w:rPr>
              <w:t>$770</w:t>
            </w:r>
          </w:p>
        </w:tc>
        <w:tc>
          <w:tcPr>
            <w:tcW w:w="1721" w:type="dxa"/>
            <w:gridSpan w:val="2"/>
            <w:tcBorders>
              <w:right w:val="single" w:color="auto" w:sz="4" w:space="0"/>
            </w:tcBorders>
            <w:vAlign w:val="center"/>
          </w:tcPr>
          <w:p w:rsidRPr="000A34A3" w:rsidR="00FF0269" w:rsidP="00FF0269" w:rsidRDefault="00FF0269" w14:paraId="63BDE315" w14:textId="23C0B930">
            <w:pPr>
              <w:jc w:val="center"/>
            </w:pPr>
            <w:r>
              <w:rPr>
                <w:rStyle w:val="fontstyle01"/>
              </w:rPr>
              <w:t>D.24-10-023</w:t>
            </w:r>
          </w:p>
        </w:tc>
        <w:tc>
          <w:tcPr>
            <w:tcW w:w="1333" w:type="dxa"/>
            <w:gridSpan w:val="2"/>
            <w:tcBorders>
              <w:top w:val="single" w:color="auto" w:sz="4" w:space="0"/>
              <w:left w:val="single" w:color="auto" w:sz="4" w:space="0"/>
              <w:bottom w:val="single" w:color="auto" w:sz="4" w:space="0"/>
              <w:right w:val="single" w:color="auto" w:sz="24" w:space="0"/>
            </w:tcBorders>
            <w:vAlign w:val="center"/>
          </w:tcPr>
          <w:p w:rsidRPr="00FF0269" w:rsidR="00FF0269" w:rsidP="00FF0269" w:rsidRDefault="00FF0269" w14:paraId="06BD92A5" w14:textId="727CCD64">
            <w:pPr>
              <w:spacing w:before="60" w:after="60"/>
              <w:jc w:val="center"/>
              <w:rPr>
                <w:color w:val="000000"/>
              </w:rPr>
            </w:pPr>
            <w:r w:rsidRPr="00FF0269">
              <w:t>$33,110.00</w:t>
            </w:r>
          </w:p>
        </w:tc>
        <w:tc>
          <w:tcPr>
            <w:tcW w:w="955" w:type="dxa"/>
            <w:tcBorders>
              <w:left w:val="single" w:color="auto" w:sz="4" w:space="0"/>
            </w:tcBorders>
          </w:tcPr>
          <w:p w:rsidR="00FF0269" w:rsidP="00FF0269" w:rsidRDefault="00F544AB" w14:paraId="1C27AA05" w14:textId="77777777">
            <w:pPr>
              <w:spacing w:before="60" w:after="60"/>
              <w:jc w:val="center"/>
              <w:rPr>
                <w:color w:val="000000"/>
              </w:rPr>
            </w:pPr>
            <w:r w:rsidRPr="00871553">
              <w:rPr>
                <w:color w:val="000000"/>
              </w:rPr>
              <w:t>4</w:t>
            </w:r>
            <w:r w:rsidRPr="00871553" w:rsidR="002E7B77">
              <w:rPr>
                <w:color w:val="000000"/>
              </w:rPr>
              <w:t>1</w:t>
            </w:r>
            <w:r w:rsidRPr="00871553" w:rsidR="003B5FD8">
              <w:rPr>
                <w:color w:val="000000"/>
              </w:rPr>
              <w:t>.00</w:t>
            </w:r>
          </w:p>
          <w:p w:rsidRPr="007F620E" w:rsidR="00F24B63" w:rsidP="00871553" w:rsidRDefault="00F24B63" w14:paraId="31AF7AA4" w14:textId="0AEAFDE7">
            <w:pPr>
              <w:spacing w:before="60" w:after="60"/>
              <w:jc w:val="right"/>
              <w:rPr>
                <w:color w:val="000000"/>
              </w:rPr>
            </w:pPr>
            <w:r>
              <w:rPr>
                <w:color w:val="000000"/>
              </w:rPr>
              <w:t>[3]</w:t>
            </w:r>
          </w:p>
        </w:tc>
        <w:tc>
          <w:tcPr>
            <w:tcW w:w="1146" w:type="dxa"/>
          </w:tcPr>
          <w:p w:rsidR="00FF0269" w:rsidP="00FF0269" w:rsidRDefault="00B03242" w14:paraId="6B598946" w14:textId="77777777">
            <w:pPr>
              <w:spacing w:before="60" w:after="60"/>
              <w:jc w:val="right"/>
              <w:rPr>
                <w:color w:val="000000"/>
              </w:rPr>
            </w:pPr>
            <w:r>
              <w:rPr>
                <w:color w:val="000000"/>
              </w:rPr>
              <w:t>$770.00</w:t>
            </w:r>
          </w:p>
          <w:p w:rsidRPr="007F620E" w:rsidR="002E7B77" w:rsidP="00FF0269" w:rsidRDefault="002E7B77" w14:paraId="3400AFFC" w14:textId="586D3F51">
            <w:pPr>
              <w:spacing w:before="60" w:after="60"/>
              <w:jc w:val="right"/>
              <w:rPr>
                <w:color w:val="000000"/>
              </w:rPr>
            </w:pPr>
            <w:r>
              <w:rPr>
                <w:color w:val="000000"/>
              </w:rPr>
              <w:t>[</w:t>
            </w:r>
            <w:r w:rsidR="0099130D">
              <w:rPr>
                <w:color w:val="000000"/>
              </w:rPr>
              <w:t>1</w:t>
            </w:r>
            <w:r>
              <w:rPr>
                <w:color w:val="000000"/>
              </w:rPr>
              <w:t>]</w:t>
            </w:r>
          </w:p>
        </w:tc>
        <w:tc>
          <w:tcPr>
            <w:tcW w:w="1881" w:type="dxa"/>
          </w:tcPr>
          <w:p w:rsidRPr="007F620E" w:rsidR="00FF0269" w:rsidP="00FF0269" w:rsidRDefault="00F34AC7" w14:paraId="196C1830" w14:textId="5040C017">
            <w:pPr>
              <w:spacing w:before="60" w:after="60"/>
              <w:jc w:val="right"/>
              <w:rPr>
                <w:color w:val="000000"/>
              </w:rPr>
            </w:pPr>
            <w:r>
              <w:rPr>
                <w:color w:val="000000"/>
              </w:rPr>
              <w:t>$31,570.00</w:t>
            </w:r>
          </w:p>
        </w:tc>
      </w:tr>
      <w:tr w:rsidRPr="007F620E" w:rsidR="00FF0269" w:rsidTr="00564BD1" w14:paraId="5BF6A154" w14:textId="77777777">
        <w:trPr>
          <w:jc w:val="center"/>
        </w:trPr>
        <w:tc>
          <w:tcPr>
            <w:tcW w:w="1615" w:type="dxa"/>
            <w:vAlign w:val="center"/>
          </w:tcPr>
          <w:p w:rsidRPr="007F620E" w:rsidR="00FF0269" w:rsidP="00FF0269" w:rsidRDefault="00FF0269" w14:paraId="118506EC" w14:textId="32B71822">
            <w:pPr>
              <w:spacing w:before="60" w:after="60"/>
              <w:jc w:val="center"/>
              <w:rPr>
                <w:color w:val="000000"/>
              </w:rPr>
            </w:pPr>
            <w:r>
              <w:rPr>
                <w:color w:val="000000"/>
              </w:rPr>
              <w:t>Jason Zeller</w:t>
            </w:r>
          </w:p>
        </w:tc>
        <w:tc>
          <w:tcPr>
            <w:tcW w:w="810" w:type="dxa"/>
            <w:vAlign w:val="center"/>
          </w:tcPr>
          <w:p w:rsidRPr="007F620E" w:rsidR="00FF0269" w:rsidP="00FF0269" w:rsidRDefault="00FF0269" w14:paraId="3767540B" w14:textId="30CD38DC">
            <w:pPr>
              <w:spacing w:before="60" w:after="60"/>
              <w:jc w:val="center"/>
              <w:rPr>
                <w:color w:val="000000"/>
              </w:rPr>
            </w:pPr>
            <w:r>
              <w:rPr>
                <w:color w:val="000000"/>
              </w:rPr>
              <w:t>2025</w:t>
            </w:r>
          </w:p>
        </w:tc>
        <w:tc>
          <w:tcPr>
            <w:tcW w:w="810" w:type="dxa"/>
            <w:gridSpan w:val="2"/>
            <w:vAlign w:val="center"/>
          </w:tcPr>
          <w:p w:rsidRPr="007F620E" w:rsidR="00FF0269" w:rsidP="00FF0269" w:rsidRDefault="00FF0269" w14:paraId="120FE857" w14:textId="4C0B2830">
            <w:pPr>
              <w:spacing w:before="60" w:after="60"/>
              <w:jc w:val="center"/>
              <w:rPr>
                <w:color w:val="000000"/>
              </w:rPr>
            </w:pPr>
            <w:r>
              <w:rPr>
                <w:color w:val="000000"/>
              </w:rPr>
              <w:t>35.5</w:t>
            </w:r>
          </w:p>
        </w:tc>
        <w:tc>
          <w:tcPr>
            <w:tcW w:w="889" w:type="dxa"/>
            <w:vAlign w:val="center"/>
          </w:tcPr>
          <w:p w:rsidRPr="007F620E" w:rsidR="00FF0269" w:rsidP="00FF0269" w:rsidRDefault="00FF0269" w14:paraId="075109E1" w14:textId="41F86EDE">
            <w:pPr>
              <w:spacing w:before="60" w:after="60"/>
              <w:jc w:val="center"/>
              <w:rPr>
                <w:color w:val="000000"/>
              </w:rPr>
            </w:pPr>
            <w:r>
              <w:rPr>
                <w:color w:val="000000"/>
              </w:rPr>
              <w:t>$795</w:t>
            </w:r>
          </w:p>
        </w:tc>
        <w:tc>
          <w:tcPr>
            <w:tcW w:w="1721" w:type="dxa"/>
            <w:gridSpan w:val="2"/>
            <w:tcBorders>
              <w:right w:val="single" w:color="auto" w:sz="4" w:space="0"/>
            </w:tcBorders>
            <w:vAlign w:val="center"/>
          </w:tcPr>
          <w:p w:rsidRPr="007F620E" w:rsidR="00FF0269" w:rsidP="00FF0269" w:rsidRDefault="00FF0269" w14:paraId="4AF4C006" w14:textId="2A4A8293">
            <w:pPr>
              <w:spacing w:before="60" w:after="60"/>
              <w:jc w:val="center"/>
              <w:rPr>
                <w:color w:val="000000"/>
              </w:rPr>
            </w:pPr>
            <w:r>
              <w:rPr>
                <w:color w:val="000000"/>
              </w:rPr>
              <w:t>See Comment #1</w:t>
            </w:r>
          </w:p>
        </w:tc>
        <w:tc>
          <w:tcPr>
            <w:tcW w:w="1333" w:type="dxa"/>
            <w:gridSpan w:val="2"/>
            <w:tcBorders>
              <w:top w:val="single" w:color="auto" w:sz="4" w:space="0"/>
              <w:left w:val="single" w:color="auto" w:sz="4" w:space="0"/>
              <w:bottom w:val="single" w:color="auto" w:sz="4" w:space="0"/>
              <w:right w:val="single" w:color="auto" w:sz="24" w:space="0"/>
            </w:tcBorders>
            <w:vAlign w:val="center"/>
          </w:tcPr>
          <w:p w:rsidRPr="00FF0269" w:rsidR="00FF0269" w:rsidP="00FF0269" w:rsidRDefault="00FF0269" w14:paraId="2A77845E" w14:textId="38E06B57">
            <w:pPr>
              <w:spacing w:before="60" w:after="60"/>
              <w:jc w:val="center"/>
              <w:rPr>
                <w:color w:val="000000"/>
              </w:rPr>
            </w:pPr>
            <w:r w:rsidRPr="00FF0269">
              <w:t>$28,222.50</w:t>
            </w:r>
          </w:p>
        </w:tc>
        <w:tc>
          <w:tcPr>
            <w:tcW w:w="955" w:type="dxa"/>
            <w:tcBorders>
              <w:left w:val="single" w:color="auto" w:sz="4" w:space="0"/>
            </w:tcBorders>
          </w:tcPr>
          <w:p w:rsidRPr="007F620E" w:rsidR="00FF0269" w:rsidP="00FF0269" w:rsidRDefault="00F544AB" w14:paraId="461DC9FD" w14:textId="66A88E98">
            <w:pPr>
              <w:spacing w:before="60" w:after="60"/>
              <w:jc w:val="center"/>
              <w:rPr>
                <w:color w:val="000000"/>
              </w:rPr>
            </w:pPr>
            <w:r>
              <w:rPr>
                <w:color w:val="000000"/>
              </w:rPr>
              <w:t>35.5</w:t>
            </w:r>
            <w:r w:rsidR="003B5FD8">
              <w:rPr>
                <w:color w:val="000000"/>
              </w:rPr>
              <w:t>0</w:t>
            </w:r>
          </w:p>
        </w:tc>
        <w:tc>
          <w:tcPr>
            <w:tcW w:w="1146" w:type="dxa"/>
          </w:tcPr>
          <w:p w:rsidR="00FF0269" w:rsidP="00FF0269" w:rsidRDefault="00EF734F" w14:paraId="3D63A576" w14:textId="77777777">
            <w:pPr>
              <w:spacing w:before="60" w:after="60"/>
              <w:jc w:val="right"/>
              <w:rPr>
                <w:color w:val="000000"/>
              </w:rPr>
            </w:pPr>
            <w:r>
              <w:rPr>
                <w:color w:val="000000"/>
              </w:rPr>
              <w:t>$795.00</w:t>
            </w:r>
          </w:p>
          <w:p w:rsidRPr="007F620E" w:rsidR="00EC635D" w:rsidP="00FF0269" w:rsidRDefault="00EC635D" w14:paraId="7FDABF74" w14:textId="4E88D595">
            <w:pPr>
              <w:spacing w:before="60" w:after="60"/>
              <w:jc w:val="right"/>
              <w:rPr>
                <w:color w:val="000000"/>
              </w:rPr>
            </w:pPr>
            <w:r>
              <w:rPr>
                <w:color w:val="000000"/>
              </w:rPr>
              <w:t>[</w:t>
            </w:r>
            <w:r w:rsidR="0099130D">
              <w:rPr>
                <w:color w:val="000000"/>
              </w:rPr>
              <w:t>1]</w:t>
            </w:r>
          </w:p>
        </w:tc>
        <w:tc>
          <w:tcPr>
            <w:tcW w:w="1881" w:type="dxa"/>
          </w:tcPr>
          <w:p w:rsidRPr="007F620E" w:rsidR="00FF0269" w:rsidP="00FF0269" w:rsidRDefault="00F34AC7" w14:paraId="05EFCF76" w14:textId="6D7AD646">
            <w:pPr>
              <w:spacing w:before="60" w:after="60"/>
              <w:jc w:val="right"/>
              <w:rPr>
                <w:color w:val="000000"/>
              </w:rPr>
            </w:pPr>
            <w:r>
              <w:rPr>
                <w:color w:val="000000"/>
              </w:rPr>
              <w:t>$28,222.50</w:t>
            </w:r>
          </w:p>
        </w:tc>
      </w:tr>
      <w:tr w:rsidRPr="007F620E" w:rsidR="00FF0269" w:rsidTr="00564BD1" w14:paraId="38E0B4EA" w14:textId="77777777">
        <w:trPr>
          <w:jc w:val="center"/>
        </w:trPr>
        <w:tc>
          <w:tcPr>
            <w:tcW w:w="1615" w:type="dxa"/>
            <w:vAlign w:val="center"/>
          </w:tcPr>
          <w:p w:rsidRPr="007F620E" w:rsidR="00FF0269" w:rsidP="00FF0269" w:rsidRDefault="00FF0269" w14:paraId="1F980DF3" w14:textId="40F13294">
            <w:pPr>
              <w:spacing w:before="60" w:after="60"/>
              <w:jc w:val="center"/>
              <w:rPr>
                <w:color w:val="000000"/>
              </w:rPr>
            </w:pPr>
            <w:r>
              <w:rPr>
                <w:color w:val="000000"/>
              </w:rPr>
              <w:t>Tyson Siegele (Expert)</w:t>
            </w:r>
          </w:p>
        </w:tc>
        <w:tc>
          <w:tcPr>
            <w:tcW w:w="810" w:type="dxa"/>
            <w:vAlign w:val="center"/>
          </w:tcPr>
          <w:p w:rsidRPr="007F620E" w:rsidR="00FF0269" w:rsidP="00FF0269" w:rsidRDefault="00FF0269" w14:paraId="275BF57A" w14:textId="34239E47">
            <w:pPr>
              <w:spacing w:before="60" w:after="60"/>
              <w:jc w:val="center"/>
              <w:rPr>
                <w:color w:val="000000"/>
              </w:rPr>
            </w:pPr>
            <w:r>
              <w:rPr>
                <w:color w:val="000000"/>
              </w:rPr>
              <w:t>2024</w:t>
            </w:r>
          </w:p>
        </w:tc>
        <w:tc>
          <w:tcPr>
            <w:tcW w:w="810" w:type="dxa"/>
            <w:gridSpan w:val="2"/>
            <w:vAlign w:val="center"/>
          </w:tcPr>
          <w:p w:rsidRPr="007F620E" w:rsidR="00FF0269" w:rsidP="00FF0269" w:rsidRDefault="00FF0269" w14:paraId="0DE506C4" w14:textId="557BD026">
            <w:pPr>
              <w:spacing w:before="60" w:after="60"/>
              <w:jc w:val="center"/>
              <w:rPr>
                <w:color w:val="000000"/>
              </w:rPr>
            </w:pPr>
            <w:r>
              <w:rPr>
                <w:color w:val="000000"/>
              </w:rPr>
              <w:t>86.2</w:t>
            </w:r>
          </w:p>
        </w:tc>
        <w:tc>
          <w:tcPr>
            <w:tcW w:w="889" w:type="dxa"/>
            <w:vAlign w:val="center"/>
          </w:tcPr>
          <w:p w:rsidRPr="007F620E" w:rsidR="00FF0269" w:rsidP="00FF0269" w:rsidRDefault="00FF0269" w14:paraId="26413E95" w14:textId="186E9FBA">
            <w:pPr>
              <w:spacing w:before="60" w:after="60"/>
              <w:jc w:val="center"/>
              <w:rPr>
                <w:color w:val="000000"/>
              </w:rPr>
            </w:pPr>
            <w:r>
              <w:rPr>
                <w:color w:val="000000"/>
              </w:rPr>
              <w:t>$345</w:t>
            </w:r>
          </w:p>
        </w:tc>
        <w:tc>
          <w:tcPr>
            <w:tcW w:w="1721" w:type="dxa"/>
            <w:gridSpan w:val="2"/>
            <w:tcBorders>
              <w:right w:val="single" w:color="auto" w:sz="4" w:space="0"/>
            </w:tcBorders>
            <w:vAlign w:val="center"/>
          </w:tcPr>
          <w:p w:rsidRPr="007F620E" w:rsidR="00FF0269" w:rsidP="00FF0269" w:rsidRDefault="00FF0269" w14:paraId="300AA881" w14:textId="6E978CEF">
            <w:pPr>
              <w:spacing w:before="60" w:after="60"/>
              <w:jc w:val="center"/>
              <w:rPr>
                <w:color w:val="000000"/>
              </w:rPr>
            </w:pPr>
            <w:r w:rsidRPr="003D585D">
              <w:rPr>
                <w:color w:val="000000"/>
              </w:rPr>
              <w:t>D.25-03-028</w:t>
            </w:r>
          </w:p>
        </w:tc>
        <w:tc>
          <w:tcPr>
            <w:tcW w:w="1333" w:type="dxa"/>
            <w:gridSpan w:val="2"/>
            <w:tcBorders>
              <w:top w:val="single" w:color="auto" w:sz="4" w:space="0"/>
              <w:left w:val="single" w:color="auto" w:sz="4" w:space="0"/>
              <w:bottom w:val="single" w:color="auto" w:sz="4" w:space="0"/>
              <w:right w:val="single" w:color="auto" w:sz="24" w:space="0"/>
            </w:tcBorders>
            <w:vAlign w:val="center"/>
          </w:tcPr>
          <w:p w:rsidRPr="00FF0269" w:rsidR="00FF0269" w:rsidP="00FF0269" w:rsidRDefault="00FF0269" w14:paraId="23EF368E" w14:textId="1482C5BF">
            <w:pPr>
              <w:spacing w:before="60" w:after="60"/>
              <w:jc w:val="center"/>
              <w:rPr>
                <w:color w:val="000000"/>
              </w:rPr>
            </w:pPr>
            <w:r w:rsidRPr="00FF0269">
              <w:t>$29,739.00</w:t>
            </w:r>
          </w:p>
        </w:tc>
        <w:tc>
          <w:tcPr>
            <w:tcW w:w="955" w:type="dxa"/>
            <w:tcBorders>
              <w:left w:val="single" w:color="auto" w:sz="4" w:space="0"/>
            </w:tcBorders>
          </w:tcPr>
          <w:p w:rsidR="00FF0269" w:rsidP="00FF0269" w:rsidRDefault="00F544AB" w14:paraId="32BE32F1" w14:textId="77777777">
            <w:pPr>
              <w:spacing w:before="60" w:after="60"/>
              <w:jc w:val="center"/>
              <w:rPr>
                <w:color w:val="000000"/>
              </w:rPr>
            </w:pPr>
            <w:r w:rsidRPr="00871553">
              <w:rPr>
                <w:color w:val="000000"/>
              </w:rPr>
              <w:t>8</w:t>
            </w:r>
            <w:r w:rsidRPr="00871553" w:rsidR="002E7B77">
              <w:rPr>
                <w:color w:val="000000"/>
              </w:rPr>
              <w:t>4</w:t>
            </w:r>
            <w:r w:rsidRPr="00871553">
              <w:rPr>
                <w:color w:val="000000"/>
              </w:rPr>
              <w:t>.2</w:t>
            </w:r>
            <w:r w:rsidRPr="00871553" w:rsidR="003B5FD8">
              <w:rPr>
                <w:color w:val="000000"/>
              </w:rPr>
              <w:t>0</w:t>
            </w:r>
          </w:p>
          <w:p w:rsidRPr="007F620E" w:rsidR="00F24B63" w:rsidP="00871553" w:rsidRDefault="00F24B63" w14:paraId="2B0CA953" w14:textId="31C65637">
            <w:pPr>
              <w:spacing w:before="60" w:after="60"/>
              <w:jc w:val="right"/>
              <w:rPr>
                <w:color w:val="000000"/>
              </w:rPr>
            </w:pPr>
            <w:r>
              <w:rPr>
                <w:color w:val="000000"/>
              </w:rPr>
              <w:t>[3]</w:t>
            </w:r>
          </w:p>
        </w:tc>
        <w:tc>
          <w:tcPr>
            <w:tcW w:w="1146" w:type="dxa"/>
          </w:tcPr>
          <w:p w:rsidR="00FF0269" w:rsidP="00FF0269" w:rsidRDefault="00EF734F" w14:paraId="1309C60C" w14:textId="2F9A7DD9">
            <w:pPr>
              <w:spacing w:before="60" w:after="60"/>
              <w:jc w:val="right"/>
              <w:rPr>
                <w:color w:val="000000"/>
              </w:rPr>
            </w:pPr>
            <w:r>
              <w:rPr>
                <w:color w:val="000000"/>
              </w:rPr>
              <w:t>$345.00</w:t>
            </w:r>
            <w:r w:rsidR="00324505">
              <w:rPr>
                <w:color w:val="000000"/>
              </w:rPr>
              <w:t xml:space="preserve"> [2]</w:t>
            </w:r>
          </w:p>
          <w:p w:rsidRPr="007F620E" w:rsidR="002E7B77" w:rsidP="00FF0269" w:rsidRDefault="002E7B77" w14:paraId="1FC8906C" w14:textId="7B6074E8">
            <w:pPr>
              <w:spacing w:before="60" w:after="60"/>
              <w:jc w:val="right"/>
              <w:rPr>
                <w:color w:val="000000"/>
              </w:rPr>
            </w:pPr>
          </w:p>
        </w:tc>
        <w:tc>
          <w:tcPr>
            <w:tcW w:w="1881" w:type="dxa"/>
          </w:tcPr>
          <w:p w:rsidRPr="007F620E" w:rsidR="00FF0269" w:rsidP="00FF0269" w:rsidRDefault="00F34AC7" w14:paraId="6C594CB5" w14:textId="6A16308A">
            <w:pPr>
              <w:spacing w:before="60" w:after="60"/>
              <w:jc w:val="right"/>
              <w:rPr>
                <w:color w:val="000000"/>
              </w:rPr>
            </w:pPr>
            <w:r>
              <w:rPr>
                <w:color w:val="000000"/>
              </w:rPr>
              <w:t>$29,049.00</w:t>
            </w:r>
          </w:p>
        </w:tc>
      </w:tr>
      <w:tr w:rsidRPr="007F620E" w:rsidR="00FF0269" w:rsidTr="00564BD1" w14:paraId="78FC5ECE" w14:textId="77777777">
        <w:trPr>
          <w:jc w:val="center"/>
        </w:trPr>
        <w:tc>
          <w:tcPr>
            <w:tcW w:w="1615" w:type="dxa"/>
            <w:vAlign w:val="center"/>
          </w:tcPr>
          <w:p w:rsidRPr="007F620E" w:rsidR="00FF0269" w:rsidP="00FF0269" w:rsidRDefault="00FF0269" w14:paraId="1F8943E9" w14:textId="04C2150C">
            <w:pPr>
              <w:spacing w:before="60" w:after="60"/>
              <w:jc w:val="center"/>
              <w:rPr>
                <w:color w:val="000000"/>
              </w:rPr>
            </w:pPr>
            <w:r>
              <w:rPr>
                <w:color w:val="000000"/>
              </w:rPr>
              <w:t>Tyson Siegele (Expert)</w:t>
            </w:r>
          </w:p>
        </w:tc>
        <w:tc>
          <w:tcPr>
            <w:tcW w:w="810" w:type="dxa"/>
            <w:vAlign w:val="center"/>
          </w:tcPr>
          <w:p w:rsidRPr="007F620E" w:rsidR="00FF0269" w:rsidP="00FF0269" w:rsidRDefault="00FF0269" w14:paraId="6FFEFF62" w14:textId="6B83557F">
            <w:pPr>
              <w:spacing w:before="60" w:after="60"/>
              <w:jc w:val="center"/>
              <w:rPr>
                <w:color w:val="000000"/>
              </w:rPr>
            </w:pPr>
            <w:r>
              <w:rPr>
                <w:color w:val="000000"/>
              </w:rPr>
              <w:t>2025</w:t>
            </w:r>
          </w:p>
        </w:tc>
        <w:tc>
          <w:tcPr>
            <w:tcW w:w="810" w:type="dxa"/>
            <w:gridSpan w:val="2"/>
            <w:vAlign w:val="center"/>
          </w:tcPr>
          <w:p w:rsidRPr="00FC1313" w:rsidR="00FF0269" w:rsidP="00FF0269" w:rsidRDefault="00FF0269" w14:paraId="24984638" w14:textId="2873C90C">
            <w:pPr>
              <w:spacing w:before="60" w:after="60"/>
              <w:jc w:val="center"/>
              <w:rPr>
                <w:color w:val="000000"/>
              </w:rPr>
            </w:pPr>
            <w:r w:rsidRPr="00FC1313">
              <w:rPr>
                <w:color w:val="000000"/>
              </w:rPr>
              <w:t>28.3</w:t>
            </w:r>
          </w:p>
        </w:tc>
        <w:tc>
          <w:tcPr>
            <w:tcW w:w="889" w:type="dxa"/>
            <w:vAlign w:val="center"/>
          </w:tcPr>
          <w:p w:rsidRPr="00FC1313" w:rsidR="00FF0269" w:rsidP="00FF0269" w:rsidRDefault="00FF0269" w14:paraId="00CA9050" w14:textId="00FA5E4A">
            <w:pPr>
              <w:spacing w:before="60" w:after="60"/>
              <w:jc w:val="center"/>
              <w:rPr>
                <w:color w:val="000000"/>
              </w:rPr>
            </w:pPr>
            <w:r w:rsidRPr="004664B1">
              <w:rPr>
                <w:color w:val="000000"/>
              </w:rPr>
              <w:t>$360</w:t>
            </w:r>
          </w:p>
        </w:tc>
        <w:tc>
          <w:tcPr>
            <w:tcW w:w="1721" w:type="dxa"/>
            <w:gridSpan w:val="2"/>
            <w:tcBorders>
              <w:right w:val="single" w:color="auto" w:sz="4" w:space="0"/>
            </w:tcBorders>
            <w:vAlign w:val="center"/>
          </w:tcPr>
          <w:p w:rsidR="00FF0269" w:rsidP="00FF0269" w:rsidRDefault="00FF0269" w14:paraId="20245741" w14:textId="3B359592">
            <w:pPr>
              <w:spacing w:before="60" w:after="60"/>
              <w:jc w:val="center"/>
              <w:rPr>
                <w:color w:val="000000"/>
              </w:rPr>
            </w:pPr>
            <w:r w:rsidRPr="00C22C42">
              <w:rPr>
                <w:color w:val="000000"/>
              </w:rPr>
              <w:t>D</w:t>
            </w:r>
            <w:r>
              <w:rPr>
                <w:color w:val="000000"/>
              </w:rPr>
              <w:t>.</w:t>
            </w:r>
            <w:r w:rsidRPr="00C22C42">
              <w:rPr>
                <w:color w:val="000000"/>
              </w:rPr>
              <w:t>25</w:t>
            </w:r>
            <w:r>
              <w:rPr>
                <w:color w:val="000000"/>
              </w:rPr>
              <w:t>-</w:t>
            </w:r>
            <w:r w:rsidRPr="00C22C42">
              <w:rPr>
                <w:color w:val="000000"/>
              </w:rPr>
              <w:t>03</w:t>
            </w:r>
            <w:r>
              <w:rPr>
                <w:color w:val="000000"/>
              </w:rPr>
              <w:t>-</w:t>
            </w:r>
            <w:r w:rsidRPr="00C22C42">
              <w:rPr>
                <w:color w:val="000000"/>
              </w:rPr>
              <w:t>028</w:t>
            </w:r>
            <w:r>
              <w:rPr>
                <w:color w:val="000000"/>
              </w:rPr>
              <w:t xml:space="preserve"> rate w CPUC escalation</w:t>
            </w:r>
          </w:p>
          <w:p w:rsidRPr="003E5413" w:rsidR="00FF0269" w:rsidP="00FF0269" w:rsidRDefault="00FF0269" w14:paraId="760F08DA" w14:textId="22AF921D">
            <w:pPr>
              <w:jc w:val="center"/>
            </w:pPr>
            <w:r w:rsidRPr="0024147D">
              <w:rPr>
                <w:color w:val="000000"/>
              </w:rPr>
              <w:t>(see c</w:t>
            </w:r>
            <w:r w:rsidR="00B61F3A">
              <w:rPr>
                <w:color w:val="000000"/>
              </w:rPr>
              <w:t>omment</w:t>
            </w:r>
            <w:r w:rsidRPr="0024147D">
              <w:rPr>
                <w:color w:val="000000"/>
              </w:rPr>
              <w:t xml:space="preserve"> #</w:t>
            </w:r>
            <w:r w:rsidR="008C474A">
              <w:rPr>
                <w:color w:val="000000"/>
              </w:rPr>
              <w:t>2</w:t>
            </w:r>
            <w:r w:rsidRPr="0024147D">
              <w:rPr>
                <w:color w:val="000000"/>
              </w:rPr>
              <w:t>)</w:t>
            </w:r>
          </w:p>
        </w:tc>
        <w:tc>
          <w:tcPr>
            <w:tcW w:w="1333" w:type="dxa"/>
            <w:gridSpan w:val="2"/>
            <w:tcBorders>
              <w:top w:val="single" w:color="auto" w:sz="4" w:space="0"/>
              <w:left w:val="single" w:color="auto" w:sz="4" w:space="0"/>
              <w:bottom w:val="single" w:color="auto" w:sz="4" w:space="0"/>
              <w:right w:val="single" w:color="auto" w:sz="24" w:space="0"/>
            </w:tcBorders>
            <w:vAlign w:val="center"/>
          </w:tcPr>
          <w:p w:rsidRPr="00FF0269" w:rsidR="00FF0269" w:rsidP="00FF0269" w:rsidRDefault="00FF0269" w14:paraId="39D39174" w14:textId="77E8DB64">
            <w:pPr>
              <w:spacing w:before="60" w:after="60"/>
              <w:jc w:val="center"/>
              <w:rPr>
                <w:color w:val="000000"/>
              </w:rPr>
            </w:pPr>
            <w:r w:rsidRPr="00FF0269">
              <w:t>$10,188.00</w:t>
            </w:r>
          </w:p>
        </w:tc>
        <w:tc>
          <w:tcPr>
            <w:tcW w:w="955" w:type="dxa"/>
            <w:tcBorders>
              <w:left w:val="single" w:color="auto" w:sz="4" w:space="0"/>
            </w:tcBorders>
          </w:tcPr>
          <w:p w:rsidRPr="007F620E" w:rsidR="00FF0269" w:rsidP="00FF0269" w:rsidRDefault="00F544AB" w14:paraId="047FD0B5" w14:textId="3E4AA9AA">
            <w:pPr>
              <w:spacing w:before="60" w:after="60"/>
              <w:jc w:val="center"/>
              <w:rPr>
                <w:color w:val="000000"/>
              </w:rPr>
            </w:pPr>
            <w:r>
              <w:rPr>
                <w:color w:val="000000"/>
              </w:rPr>
              <w:t>28.3</w:t>
            </w:r>
            <w:r w:rsidR="003B5FD8">
              <w:rPr>
                <w:color w:val="000000"/>
              </w:rPr>
              <w:t>0</w:t>
            </w:r>
          </w:p>
        </w:tc>
        <w:tc>
          <w:tcPr>
            <w:tcW w:w="1146" w:type="dxa"/>
          </w:tcPr>
          <w:p w:rsidR="00EF734F" w:rsidP="002E7B77" w:rsidRDefault="004664B1" w14:paraId="6B25F977" w14:textId="326FF586">
            <w:pPr>
              <w:spacing w:before="60" w:after="60"/>
              <w:jc w:val="right"/>
              <w:rPr>
                <w:color w:val="000000"/>
              </w:rPr>
            </w:pPr>
            <w:r w:rsidRPr="004664B1">
              <w:rPr>
                <w:color w:val="000000"/>
              </w:rPr>
              <w:t>$3</w:t>
            </w:r>
            <w:r w:rsidR="00871553">
              <w:rPr>
                <w:color w:val="000000"/>
              </w:rPr>
              <w:t>55</w:t>
            </w:r>
            <w:r w:rsidRPr="004664B1">
              <w:rPr>
                <w:color w:val="000000"/>
              </w:rPr>
              <w:t>.00</w:t>
            </w:r>
          </w:p>
          <w:p w:rsidRPr="007F620E" w:rsidR="00BA16F9" w:rsidP="002E7B77" w:rsidRDefault="00BA16F9" w14:paraId="367660C2" w14:textId="7AA3A0CE">
            <w:pPr>
              <w:spacing w:before="60" w:after="60"/>
              <w:jc w:val="right"/>
              <w:rPr>
                <w:color w:val="000000"/>
              </w:rPr>
            </w:pPr>
            <w:r>
              <w:rPr>
                <w:color w:val="000000"/>
              </w:rPr>
              <w:t>[2]</w:t>
            </w:r>
          </w:p>
        </w:tc>
        <w:tc>
          <w:tcPr>
            <w:tcW w:w="1881" w:type="dxa"/>
          </w:tcPr>
          <w:p w:rsidRPr="007F620E" w:rsidR="00FF0269" w:rsidP="00FF0269" w:rsidRDefault="00F34AC7" w14:paraId="766AC45F" w14:textId="4A8D4743">
            <w:pPr>
              <w:spacing w:before="60" w:after="60"/>
              <w:jc w:val="right"/>
              <w:rPr>
                <w:color w:val="000000"/>
              </w:rPr>
            </w:pPr>
            <w:r>
              <w:rPr>
                <w:color w:val="000000"/>
              </w:rPr>
              <w:t>$10,</w:t>
            </w:r>
            <w:r w:rsidR="00871553">
              <w:rPr>
                <w:color w:val="000000"/>
              </w:rPr>
              <w:t>046.50</w:t>
            </w:r>
          </w:p>
        </w:tc>
      </w:tr>
      <w:tr w:rsidRPr="007F620E" w:rsidR="00E3786F" w:rsidTr="00564BD1" w14:paraId="1B237C11" w14:textId="77777777">
        <w:trPr>
          <w:jc w:val="center"/>
        </w:trPr>
        <w:tc>
          <w:tcPr>
            <w:tcW w:w="7178" w:type="dxa"/>
            <w:gridSpan w:val="9"/>
            <w:tcBorders>
              <w:bottom w:val="single" w:color="auto" w:sz="4" w:space="0"/>
              <w:right w:val="single" w:color="auto" w:sz="24" w:space="0"/>
            </w:tcBorders>
            <w:vAlign w:val="bottom"/>
          </w:tcPr>
          <w:p w:rsidRPr="00374FD1" w:rsidR="00E3786F" w:rsidP="00691528" w:rsidRDefault="00E3786F" w14:paraId="2ECB6744" w14:textId="3928D849">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sidR="00FF0269">
              <w:rPr>
                <w:b/>
                <w:i/>
                <w:color w:val="000000"/>
              </w:rPr>
              <w:t>101,259.50</w:t>
            </w:r>
          </w:p>
        </w:tc>
        <w:tc>
          <w:tcPr>
            <w:tcW w:w="3982" w:type="dxa"/>
            <w:gridSpan w:val="3"/>
            <w:tcBorders>
              <w:left w:val="single" w:color="auto" w:sz="24" w:space="0"/>
              <w:bottom w:val="single" w:color="auto" w:sz="4" w:space="0"/>
            </w:tcBorders>
            <w:vAlign w:val="bottom"/>
          </w:tcPr>
          <w:p w:rsidRPr="00564BD1" w:rsidR="00E3786F" w:rsidP="003B6A1B" w:rsidRDefault="00E3786F" w14:paraId="4C4556E5" w14:textId="06C31423">
            <w:pPr>
              <w:tabs>
                <w:tab w:val="left" w:pos="957"/>
              </w:tabs>
              <w:spacing w:before="60" w:after="60"/>
              <w:ind w:right="162"/>
              <w:jc w:val="right"/>
              <w:rPr>
                <w:i/>
                <w:color w:val="000000"/>
              </w:rPr>
            </w:pPr>
            <w:r w:rsidRPr="001A6D66">
              <w:rPr>
                <w:b/>
                <w:i/>
                <w:color w:val="000000"/>
              </w:rPr>
              <w:t xml:space="preserve">Subtotal: </w:t>
            </w:r>
            <w:r w:rsidRPr="00564BD1">
              <w:rPr>
                <w:b/>
                <w:i/>
                <w:color w:val="000000"/>
              </w:rPr>
              <w:t>$</w:t>
            </w:r>
            <w:r w:rsidR="00871553">
              <w:rPr>
                <w:b/>
                <w:i/>
                <w:color w:val="000000"/>
              </w:rPr>
              <w:t>98,888.00</w:t>
            </w:r>
          </w:p>
        </w:tc>
      </w:tr>
      <w:tr w:rsidRPr="007F620E" w:rsidR="00A92D0B" w:rsidTr="00564BD1" w14:paraId="4F8FAF05"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E6E6E6"/>
          </w:tcPr>
          <w:p w:rsidRPr="007F620E" w:rsidR="00A92D0B" w:rsidP="004A6FD4" w:rsidRDefault="00A92D0B" w14:paraId="41FE304C" w14:textId="77777777">
            <w:pPr>
              <w:keepNext/>
              <w:spacing w:before="60" w:after="60"/>
              <w:jc w:val="center"/>
              <w:rPr>
                <w:color w:val="000000"/>
              </w:rPr>
            </w:pPr>
            <w:r w:rsidRPr="007F620E">
              <w:rPr>
                <w:b/>
                <w:color w:val="000000"/>
              </w:rPr>
              <w:t xml:space="preserve">INTERVENOR COMPENSATION CLAIM PREPARATION </w:t>
            </w:r>
            <w:r w:rsidRPr="007F620E">
              <w:rPr>
                <w:b/>
                <w:smallCaps/>
                <w:color w:val="000000"/>
              </w:rPr>
              <w:t xml:space="preserve"> **</w:t>
            </w:r>
          </w:p>
        </w:tc>
      </w:tr>
      <w:tr w:rsidRPr="00260518" w:rsidR="00A92D0B" w:rsidTr="00564BD1" w14:paraId="48B3E535" w14:textId="77777777">
        <w:trPr>
          <w:jc w:val="center"/>
        </w:trPr>
        <w:tc>
          <w:tcPr>
            <w:tcW w:w="1615" w:type="dxa"/>
            <w:tcBorders>
              <w:top w:val="single" w:color="auto" w:sz="4" w:space="0"/>
              <w:bottom w:val="single" w:color="auto" w:sz="4" w:space="0"/>
            </w:tcBorders>
            <w:vAlign w:val="bottom"/>
          </w:tcPr>
          <w:p w:rsidRPr="00260518" w:rsidR="00A92D0B" w:rsidP="004A6FD4" w:rsidRDefault="00A92D0B" w14:paraId="563A43BB" w14:textId="77777777">
            <w:pPr>
              <w:keepNext/>
              <w:spacing w:before="60" w:after="60"/>
              <w:jc w:val="center"/>
              <w:rPr>
                <w:b/>
                <w:color w:val="000000"/>
                <w:sz w:val="22"/>
                <w:szCs w:val="22"/>
              </w:rPr>
            </w:pPr>
            <w:r w:rsidRPr="00260518">
              <w:rPr>
                <w:b/>
                <w:color w:val="000000"/>
                <w:sz w:val="22"/>
                <w:szCs w:val="22"/>
              </w:rPr>
              <w:t>Item</w:t>
            </w:r>
          </w:p>
        </w:tc>
        <w:tc>
          <w:tcPr>
            <w:tcW w:w="810" w:type="dxa"/>
            <w:tcBorders>
              <w:top w:val="single" w:color="auto" w:sz="4" w:space="0"/>
              <w:bottom w:val="single" w:color="auto" w:sz="4" w:space="0"/>
            </w:tcBorders>
            <w:vAlign w:val="bottom"/>
          </w:tcPr>
          <w:p w:rsidRPr="00260518" w:rsidR="00A92D0B" w:rsidP="004A6FD4" w:rsidRDefault="00A92D0B" w14:paraId="144552E0" w14:textId="77777777">
            <w:pPr>
              <w:keepNext/>
              <w:spacing w:before="60" w:after="60"/>
              <w:jc w:val="center"/>
              <w:rPr>
                <w:b/>
                <w:color w:val="000000"/>
                <w:sz w:val="22"/>
                <w:szCs w:val="22"/>
              </w:rPr>
            </w:pPr>
            <w:r w:rsidRPr="00260518">
              <w:rPr>
                <w:b/>
                <w:color w:val="000000"/>
                <w:sz w:val="22"/>
                <w:szCs w:val="22"/>
              </w:rPr>
              <w:t>Year</w:t>
            </w:r>
          </w:p>
        </w:tc>
        <w:tc>
          <w:tcPr>
            <w:tcW w:w="810" w:type="dxa"/>
            <w:gridSpan w:val="2"/>
            <w:tcBorders>
              <w:top w:val="single" w:color="auto" w:sz="4" w:space="0"/>
              <w:bottom w:val="single" w:color="auto" w:sz="4" w:space="0"/>
            </w:tcBorders>
            <w:vAlign w:val="bottom"/>
          </w:tcPr>
          <w:p w:rsidRPr="00260518" w:rsidR="00A92D0B" w:rsidP="004A6FD4" w:rsidRDefault="00A92D0B" w14:paraId="42890B1B" w14:textId="77777777">
            <w:pPr>
              <w:keepNext/>
              <w:spacing w:before="60" w:after="60"/>
              <w:jc w:val="center"/>
              <w:rPr>
                <w:b/>
                <w:color w:val="000000"/>
                <w:sz w:val="22"/>
                <w:szCs w:val="22"/>
              </w:rPr>
            </w:pPr>
            <w:r w:rsidRPr="00260518">
              <w:rPr>
                <w:b/>
                <w:color w:val="000000"/>
                <w:sz w:val="22"/>
                <w:szCs w:val="22"/>
              </w:rPr>
              <w:t>Hours</w:t>
            </w:r>
          </w:p>
        </w:tc>
        <w:tc>
          <w:tcPr>
            <w:tcW w:w="889" w:type="dxa"/>
            <w:tcBorders>
              <w:top w:val="single" w:color="auto" w:sz="4" w:space="0"/>
              <w:bottom w:val="single" w:color="auto" w:sz="4" w:space="0"/>
            </w:tcBorders>
            <w:vAlign w:val="bottom"/>
          </w:tcPr>
          <w:p w:rsidRPr="00260518" w:rsidR="00A92D0B" w:rsidP="004A6FD4" w:rsidRDefault="00A92D0B" w14:paraId="1E7BD956" w14:textId="243077B9">
            <w:pPr>
              <w:keepNext/>
              <w:spacing w:before="60" w:after="60"/>
              <w:jc w:val="center"/>
              <w:rPr>
                <w:b/>
                <w:color w:val="000000"/>
                <w:sz w:val="22"/>
                <w:szCs w:val="22"/>
              </w:rPr>
            </w:pPr>
            <w:r w:rsidRPr="00260518">
              <w:rPr>
                <w:b/>
                <w:color w:val="000000"/>
                <w:sz w:val="22"/>
                <w:szCs w:val="22"/>
              </w:rPr>
              <w:t>Rate</w:t>
            </w:r>
            <w:r w:rsidRPr="00260518" w:rsidR="00380703">
              <w:rPr>
                <w:b/>
                <w:color w:val="000000"/>
                <w:sz w:val="22"/>
                <w:szCs w:val="22"/>
              </w:rPr>
              <w:t xml:space="preserve"> $</w:t>
            </w:r>
          </w:p>
        </w:tc>
        <w:tc>
          <w:tcPr>
            <w:tcW w:w="1721" w:type="dxa"/>
            <w:gridSpan w:val="2"/>
            <w:tcBorders>
              <w:top w:val="single" w:color="auto" w:sz="4" w:space="0"/>
              <w:bottom w:val="single" w:color="auto" w:sz="4" w:space="0"/>
              <w:right w:val="single" w:color="auto" w:sz="4" w:space="0"/>
            </w:tcBorders>
            <w:vAlign w:val="bottom"/>
          </w:tcPr>
          <w:p w:rsidRPr="00260518" w:rsidR="00A92D0B" w:rsidP="004A6FD4" w:rsidRDefault="00A92D0B" w14:paraId="104D7982" w14:textId="77777777">
            <w:pPr>
              <w:keepNext/>
              <w:spacing w:before="60" w:after="60"/>
              <w:jc w:val="center"/>
              <w:rPr>
                <w:b/>
                <w:color w:val="000000"/>
                <w:sz w:val="22"/>
                <w:szCs w:val="22"/>
              </w:rPr>
            </w:pPr>
            <w:r w:rsidRPr="00260518">
              <w:rPr>
                <w:b/>
                <w:color w:val="000000"/>
                <w:sz w:val="22"/>
                <w:szCs w:val="22"/>
              </w:rPr>
              <w:t>Basis for Rate*</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260518" w:rsidR="00A92D0B" w:rsidP="004A6FD4" w:rsidRDefault="00A92D0B" w14:paraId="073B2BB9" w14:textId="77777777">
            <w:pPr>
              <w:keepNext/>
              <w:spacing w:before="60" w:after="60"/>
              <w:jc w:val="center"/>
              <w:rPr>
                <w:b/>
                <w:color w:val="000000"/>
                <w:sz w:val="22"/>
                <w:szCs w:val="22"/>
              </w:rPr>
            </w:pPr>
            <w:r w:rsidRPr="00260518">
              <w:rPr>
                <w:b/>
                <w:color w:val="000000"/>
                <w:sz w:val="22"/>
                <w:szCs w:val="22"/>
              </w:rPr>
              <w:t>Total $</w:t>
            </w:r>
          </w:p>
        </w:tc>
        <w:tc>
          <w:tcPr>
            <w:tcW w:w="955" w:type="dxa"/>
            <w:tcBorders>
              <w:top w:val="single" w:color="auto" w:sz="4" w:space="0"/>
              <w:left w:val="single" w:color="auto" w:sz="4" w:space="0"/>
            </w:tcBorders>
            <w:vAlign w:val="bottom"/>
          </w:tcPr>
          <w:p w:rsidRPr="00260518" w:rsidR="00A92D0B" w:rsidP="004A6FD4" w:rsidRDefault="00A92D0B" w14:paraId="0409143B" w14:textId="77777777">
            <w:pPr>
              <w:keepNext/>
              <w:spacing w:before="60" w:after="60"/>
              <w:jc w:val="center"/>
              <w:rPr>
                <w:b/>
                <w:color w:val="000000"/>
                <w:sz w:val="22"/>
                <w:szCs w:val="22"/>
              </w:rPr>
            </w:pPr>
            <w:r w:rsidRPr="00260518">
              <w:rPr>
                <w:b/>
                <w:color w:val="000000"/>
                <w:sz w:val="22"/>
                <w:szCs w:val="22"/>
              </w:rPr>
              <w:t>Hours</w:t>
            </w:r>
          </w:p>
        </w:tc>
        <w:tc>
          <w:tcPr>
            <w:tcW w:w="1146" w:type="dxa"/>
            <w:tcBorders>
              <w:top w:val="single" w:color="auto" w:sz="4" w:space="0"/>
            </w:tcBorders>
            <w:vAlign w:val="bottom"/>
          </w:tcPr>
          <w:p w:rsidRPr="00260518" w:rsidR="00A92D0B" w:rsidP="004A6FD4" w:rsidRDefault="00A92D0B" w14:paraId="6B59BB80" w14:textId="2C791D8E">
            <w:pPr>
              <w:keepNext/>
              <w:spacing w:before="60" w:after="60"/>
              <w:jc w:val="center"/>
              <w:rPr>
                <w:b/>
                <w:color w:val="000000"/>
                <w:sz w:val="22"/>
                <w:szCs w:val="22"/>
              </w:rPr>
            </w:pPr>
            <w:r w:rsidRPr="00260518">
              <w:rPr>
                <w:b/>
                <w:color w:val="000000"/>
                <w:sz w:val="22"/>
                <w:szCs w:val="22"/>
              </w:rPr>
              <w:t xml:space="preserve">Rate </w:t>
            </w:r>
            <w:r w:rsidR="00B17005">
              <w:rPr>
                <w:b/>
                <w:color w:val="000000"/>
                <w:sz w:val="22"/>
                <w:szCs w:val="22"/>
              </w:rPr>
              <w:t>$</w:t>
            </w:r>
          </w:p>
        </w:tc>
        <w:tc>
          <w:tcPr>
            <w:tcW w:w="1881" w:type="dxa"/>
            <w:tcBorders>
              <w:top w:val="single" w:color="auto" w:sz="4" w:space="0"/>
            </w:tcBorders>
            <w:vAlign w:val="bottom"/>
          </w:tcPr>
          <w:p w:rsidRPr="00260518" w:rsidR="00A92D0B" w:rsidP="004A6FD4" w:rsidRDefault="00A92D0B" w14:paraId="6C7B13CF" w14:textId="77777777">
            <w:pPr>
              <w:keepNext/>
              <w:spacing w:before="60" w:after="60"/>
              <w:jc w:val="center"/>
              <w:rPr>
                <w:b/>
                <w:color w:val="000000"/>
                <w:sz w:val="22"/>
                <w:szCs w:val="22"/>
              </w:rPr>
            </w:pPr>
            <w:r w:rsidRPr="00260518">
              <w:rPr>
                <w:b/>
                <w:color w:val="000000"/>
                <w:sz w:val="22"/>
                <w:szCs w:val="22"/>
              </w:rPr>
              <w:t>Total $</w:t>
            </w:r>
          </w:p>
        </w:tc>
      </w:tr>
      <w:tr w:rsidRPr="007F620E" w:rsidR="00F22831" w:rsidTr="00564BD1" w14:paraId="538E8C8A" w14:textId="77777777">
        <w:trPr>
          <w:jc w:val="center"/>
        </w:trPr>
        <w:tc>
          <w:tcPr>
            <w:tcW w:w="1615" w:type="dxa"/>
          </w:tcPr>
          <w:p w:rsidR="00F22831" w:rsidP="003B6A1B" w:rsidRDefault="00F22831" w14:paraId="61BCEE92" w14:textId="08225D18">
            <w:pPr>
              <w:spacing w:before="60" w:after="60"/>
              <w:rPr>
                <w:color w:val="000000"/>
              </w:rPr>
            </w:pPr>
            <w:r>
              <w:rPr>
                <w:color w:val="000000"/>
              </w:rPr>
              <w:t>Jason Zeller</w:t>
            </w:r>
          </w:p>
        </w:tc>
        <w:tc>
          <w:tcPr>
            <w:tcW w:w="810" w:type="dxa"/>
          </w:tcPr>
          <w:p w:rsidRPr="007F620E" w:rsidR="00F22831" w:rsidP="00AF61A9" w:rsidRDefault="00742949" w14:paraId="28193753" w14:textId="24EBC42B">
            <w:pPr>
              <w:spacing w:before="60" w:after="60"/>
              <w:jc w:val="center"/>
              <w:rPr>
                <w:color w:val="000000"/>
              </w:rPr>
            </w:pPr>
            <w:r>
              <w:rPr>
                <w:color w:val="000000"/>
              </w:rPr>
              <w:t>2025</w:t>
            </w:r>
          </w:p>
        </w:tc>
        <w:tc>
          <w:tcPr>
            <w:tcW w:w="810" w:type="dxa"/>
            <w:gridSpan w:val="2"/>
          </w:tcPr>
          <w:p w:rsidR="00F22831" w:rsidP="00AF61A9" w:rsidRDefault="00F22831" w14:paraId="6A6C2E49" w14:textId="1BA3A2A9">
            <w:pPr>
              <w:spacing w:before="60" w:after="60"/>
              <w:jc w:val="center"/>
              <w:rPr>
                <w:color w:val="000000"/>
              </w:rPr>
            </w:pPr>
            <w:r>
              <w:rPr>
                <w:color w:val="000000"/>
              </w:rPr>
              <w:t>1</w:t>
            </w:r>
            <w:r w:rsidR="00742949">
              <w:rPr>
                <w:color w:val="000000"/>
              </w:rPr>
              <w:t>.0</w:t>
            </w:r>
          </w:p>
        </w:tc>
        <w:tc>
          <w:tcPr>
            <w:tcW w:w="889" w:type="dxa"/>
          </w:tcPr>
          <w:p w:rsidR="00F22831" w:rsidP="003B6A1B" w:rsidRDefault="00FF0269" w14:paraId="53389D21" w14:textId="4485339C">
            <w:pPr>
              <w:spacing w:before="60" w:after="60"/>
              <w:rPr>
                <w:color w:val="000000"/>
              </w:rPr>
            </w:pPr>
            <w:r>
              <w:rPr>
                <w:color w:val="000000"/>
              </w:rPr>
              <w:t>$</w:t>
            </w:r>
            <w:r w:rsidR="003E18E8">
              <w:rPr>
                <w:color w:val="000000"/>
              </w:rPr>
              <w:t>397.5</w:t>
            </w:r>
          </w:p>
        </w:tc>
        <w:tc>
          <w:tcPr>
            <w:tcW w:w="1721" w:type="dxa"/>
            <w:gridSpan w:val="2"/>
            <w:tcBorders>
              <w:right w:val="single" w:color="auto" w:sz="4" w:space="0"/>
            </w:tcBorders>
          </w:tcPr>
          <w:p w:rsidR="00F22831" w:rsidP="003B6A1B" w:rsidRDefault="00B15E98" w14:paraId="3DF0E96F" w14:textId="0B8711B1">
            <w:pPr>
              <w:spacing w:before="60" w:after="60"/>
              <w:rPr>
                <w:color w:val="000000"/>
              </w:rPr>
            </w:pPr>
            <w:r>
              <w:rPr>
                <w:color w:val="000000"/>
              </w:rPr>
              <w:t>½ of 2025 rate</w:t>
            </w:r>
          </w:p>
        </w:tc>
        <w:tc>
          <w:tcPr>
            <w:tcW w:w="1333" w:type="dxa"/>
            <w:gridSpan w:val="2"/>
            <w:tcBorders>
              <w:top w:val="single" w:color="auto" w:sz="4" w:space="0"/>
              <w:left w:val="single" w:color="auto" w:sz="4" w:space="0"/>
              <w:bottom w:val="single" w:color="auto" w:sz="4" w:space="0"/>
              <w:right w:val="single" w:color="auto" w:sz="24" w:space="0"/>
            </w:tcBorders>
          </w:tcPr>
          <w:p w:rsidRPr="007F620E" w:rsidR="00F22831" w:rsidP="00AE6488" w:rsidRDefault="00FF0269" w14:paraId="5E38171F" w14:textId="0EEB53ED">
            <w:pPr>
              <w:spacing w:before="60" w:after="60"/>
              <w:jc w:val="right"/>
              <w:rPr>
                <w:color w:val="000000"/>
              </w:rPr>
            </w:pPr>
            <w:r>
              <w:rPr>
                <w:color w:val="000000"/>
              </w:rPr>
              <w:t>$3</w:t>
            </w:r>
            <w:r w:rsidR="003E18E8">
              <w:rPr>
                <w:color w:val="000000"/>
              </w:rPr>
              <w:t>97.50</w:t>
            </w:r>
          </w:p>
        </w:tc>
        <w:tc>
          <w:tcPr>
            <w:tcW w:w="955" w:type="dxa"/>
            <w:tcBorders>
              <w:left w:val="single" w:color="auto" w:sz="4" w:space="0"/>
              <w:right w:val="single" w:color="auto" w:sz="4" w:space="0"/>
            </w:tcBorders>
          </w:tcPr>
          <w:p w:rsidRPr="007F620E" w:rsidR="00F22831" w:rsidP="003B5FD8" w:rsidRDefault="003B5FD8" w14:paraId="28DBEB43" w14:textId="1FDC1EDE">
            <w:pPr>
              <w:spacing w:before="60" w:after="60"/>
              <w:jc w:val="right"/>
              <w:rPr>
                <w:color w:val="000000"/>
              </w:rPr>
            </w:pPr>
            <w:r>
              <w:rPr>
                <w:color w:val="000000"/>
              </w:rPr>
              <w:t>1.0</w:t>
            </w:r>
          </w:p>
        </w:tc>
        <w:tc>
          <w:tcPr>
            <w:tcW w:w="1146" w:type="dxa"/>
            <w:tcBorders>
              <w:left w:val="single" w:color="auto" w:sz="4" w:space="0"/>
            </w:tcBorders>
          </w:tcPr>
          <w:p w:rsidRPr="007F620E" w:rsidR="001D15E1" w:rsidP="001D15E1" w:rsidRDefault="00EF734F" w14:paraId="17DD2B81" w14:textId="1FD58264">
            <w:pPr>
              <w:spacing w:before="60" w:after="60"/>
              <w:jc w:val="right"/>
              <w:rPr>
                <w:color w:val="000000"/>
              </w:rPr>
            </w:pPr>
            <w:r>
              <w:rPr>
                <w:color w:val="000000"/>
              </w:rPr>
              <w:t>$397.50</w:t>
            </w:r>
          </w:p>
        </w:tc>
        <w:tc>
          <w:tcPr>
            <w:tcW w:w="1881" w:type="dxa"/>
          </w:tcPr>
          <w:p w:rsidRPr="007F620E" w:rsidR="00F22831" w:rsidP="00B17005" w:rsidRDefault="00F34AC7" w14:paraId="1ADAB641" w14:textId="45BB5434">
            <w:pPr>
              <w:spacing w:before="60" w:after="60"/>
              <w:jc w:val="right"/>
              <w:rPr>
                <w:color w:val="000000"/>
              </w:rPr>
            </w:pPr>
            <w:r>
              <w:rPr>
                <w:color w:val="000000"/>
              </w:rPr>
              <w:t>$397.50</w:t>
            </w:r>
          </w:p>
        </w:tc>
      </w:tr>
      <w:tr w:rsidRPr="007F620E" w:rsidR="00A92D0B" w:rsidTr="00564BD1" w14:paraId="25086E67" w14:textId="77777777">
        <w:trPr>
          <w:jc w:val="center"/>
        </w:trPr>
        <w:tc>
          <w:tcPr>
            <w:tcW w:w="1615" w:type="dxa"/>
          </w:tcPr>
          <w:p w:rsidRPr="007F620E" w:rsidR="00A92D0B" w:rsidP="003B6A1B" w:rsidRDefault="00370110" w14:paraId="386D0995" w14:textId="0DDE9CD8">
            <w:pPr>
              <w:spacing w:before="60" w:after="60"/>
              <w:rPr>
                <w:color w:val="000000"/>
              </w:rPr>
            </w:pPr>
            <w:r>
              <w:rPr>
                <w:color w:val="000000"/>
              </w:rPr>
              <w:t>Tyson Siegele</w:t>
            </w:r>
          </w:p>
        </w:tc>
        <w:tc>
          <w:tcPr>
            <w:tcW w:w="810" w:type="dxa"/>
          </w:tcPr>
          <w:p w:rsidRPr="007F620E" w:rsidR="00A92D0B" w:rsidP="00AF61A9" w:rsidRDefault="00742949" w14:paraId="4A155F1D" w14:textId="1453633A">
            <w:pPr>
              <w:spacing w:before="60" w:after="60"/>
              <w:jc w:val="center"/>
              <w:rPr>
                <w:color w:val="000000"/>
              </w:rPr>
            </w:pPr>
            <w:r>
              <w:rPr>
                <w:color w:val="000000"/>
              </w:rPr>
              <w:t>2025</w:t>
            </w:r>
          </w:p>
        </w:tc>
        <w:tc>
          <w:tcPr>
            <w:tcW w:w="810" w:type="dxa"/>
            <w:gridSpan w:val="2"/>
          </w:tcPr>
          <w:p w:rsidRPr="004531AE" w:rsidR="00A92D0B" w:rsidP="00AF61A9" w:rsidRDefault="00742949" w14:paraId="30EEA80A" w14:textId="54288039">
            <w:pPr>
              <w:spacing w:before="60" w:after="60"/>
              <w:jc w:val="center"/>
              <w:rPr>
                <w:color w:val="000000"/>
              </w:rPr>
            </w:pPr>
            <w:r w:rsidRPr="004531AE">
              <w:rPr>
                <w:color w:val="000000"/>
              </w:rPr>
              <w:t>18.9</w:t>
            </w:r>
          </w:p>
        </w:tc>
        <w:tc>
          <w:tcPr>
            <w:tcW w:w="889" w:type="dxa"/>
          </w:tcPr>
          <w:p w:rsidRPr="004531AE" w:rsidR="00A92D0B" w:rsidP="003B6A1B" w:rsidRDefault="00FF0269" w14:paraId="4EB14C91" w14:textId="19BB4708">
            <w:pPr>
              <w:spacing w:before="60" w:after="60"/>
              <w:rPr>
                <w:color w:val="000000"/>
              </w:rPr>
            </w:pPr>
            <w:r w:rsidRPr="004531AE">
              <w:rPr>
                <w:color w:val="000000"/>
              </w:rPr>
              <w:t>$</w:t>
            </w:r>
            <w:r w:rsidRPr="004531AE" w:rsidR="00A01272">
              <w:rPr>
                <w:color w:val="000000"/>
              </w:rPr>
              <w:t>180</w:t>
            </w:r>
          </w:p>
        </w:tc>
        <w:tc>
          <w:tcPr>
            <w:tcW w:w="1721" w:type="dxa"/>
            <w:gridSpan w:val="2"/>
            <w:tcBorders>
              <w:right w:val="single" w:color="auto" w:sz="4" w:space="0"/>
            </w:tcBorders>
          </w:tcPr>
          <w:p w:rsidRPr="007F620E" w:rsidR="00A92D0B" w:rsidP="003B6A1B" w:rsidRDefault="00772FDA" w14:paraId="02D334B7" w14:textId="21F9C4D4">
            <w:pPr>
              <w:spacing w:before="60" w:after="60"/>
              <w:rPr>
                <w:color w:val="000000"/>
              </w:rPr>
            </w:pPr>
            <w:r>
              <w:rPr>
                <w:color w:val="000000"/>
              </w:rPr>
              <w:t>½ of 2025 rate</w:t>
            </w:r>
          </w:p>
        </w:tc>
        <w:tc>
          <w:tcPr>
            <w:tcW w:w="1333" w:type="dxa"/>
            <w:gridSpan w:val="2"/>
            <w:tcBorders>
              <w:top w:val="single" w:color="auto" w:sz="4" w:space="0"/>
              <w:left w:val="single" w:color="auto" w:sz="4" w:space="0"/>
              <w:bottom w:val="single" w:color="auto" w:sz="4" w:space="0"/>
              <w:right w:val="single" w:color="auto" w:sz="24" w:space="0"/>
            </w:tcBorders>
          </w:tcPr>
          <w:p w:rsidRPr="007F620E" w:rsidR="00A92D0B" w:rsidP="00AE6488" w:rsidRDefault="00FF0269" w14:paraId="7B9A0261" w14:textId="6F54932F">
            <w:pPr>
              <w:spacing w:before="60" w:after="60"/>
              <w:jc w:val="right"/>
              <w:rPr>
                <w:color w:val="000000"/>
              </w:rPr>
            </w:pPr>
            <w:r>
              <w:rPr>
                <w:color w:val="000000"/>
              </w:rPr>
              <w:t>$</w:t>
            </w:r>
            <w:r w:rsidR="00FD5325">
              <w:rPr>
                <w:color w:val="000000"/>
              </w:rPr>
              <w:t>3,402</w:t>
            </w:r>
          </w:p>
        </w:tc>
        <w:tc>
          <w:tcPr>
            <w:tcW w:w="955" w:type="dxa"/>
            <w:tcBorders>
              <w:left w:val="single" w:color="auto" w:sz="4" w:space="0"/>
              <w:right w:val="single" w:color="auto" w:sz="4" w:space="0"/>
            </w:tcBorders>
          </w:tcPr>
          <w:p w:rsidRPr="007F620E" w:rsidR="00A92D0B" w:rsidP="003B5FD8" w:rsidRDefault="003B5FD8" w14:paraId="5E5A4264" w14:textId="4CA81132">
            <w:pPr>
              <w:spacing w:before="60" w:after="60"/>
              <w:jc w:val="right"/>
              <w:rPr>
                <w:color w:val="000000"/>
              </w:rPr>
            </w:pPr>
            <w:r>
              <w:rPr>
                <w:color w:val="000000"/>
              </w:rPr>
              <w:t>18.90</w:t>
            </w:r>
          </w:p>
        </w:tc>
        <w:tc>
          <w:tcPr>
            <w:tcW w:w="1146" w:type="dxa"/>
            <w:tcBorders>
              <w:left w:val="single" w:color="auto" w:sz="4" w:space="0"/>
            </w:tcBorders>
          </w:tcPr>
          <w:p w:rsidR="00766E8B" w:rsidP="002E7B77" w:rsidRDefault="004531AE" w14:paraId="1AB3BCF2" w14:textId="77777777">
            <w:pPr>
              <w:spacing w:before="60" w:after="60"/>
              <w:jc w:val="right"/>
              <w:rPr>
                <w:color w:val="000000"/>
              </w:rPr>
            </w:pPr>
            <w:r w:rsidRPr="00E90865">
              <w:rPr>
                <w:color w:val="000000"/>
              </w:rPr>
              <w:t>$1</w:t>
            </w:r>
            <w:r w:rsidR="00871553">
              <w:rPr>
                <w:color w:val="000000"/>
              </w:rPr>
              <w:t>77.5</w:t>
            </w:r>
            <w:r w:rsidRPr="00E90865">
              <w:rPr>
                <w:color w:val="000000"/>
              </w:rPr>
              <w:t>0</w:t>
            </w:r>
          </w:p>
          <w:p w:rsidRPr="00E90865" w:rsidR="00EF734F" w:rsidP="002E7B77" w:rsidRDefault="00766E8B" w14:paraId="47B1F089" w14:textId="08C5F137">
            <w:pPr>
              <w:spacing w:before="60" w:after="60"/>
              <w:jc w:val="right"/>
              <w:rPr>
                <w:color w:val="000000"/>
              </w:rPr>
            </w:pPr>
            <w:r>
              <w:rPr>
                <w:color w:val="000000"/>
              </w:rPr>
              <w:t>[2]</w:t>
            </w:r>
            <w:r w:rsidRPr="00E90865" w:rsidR="004531AE">
              <w:rPr>
                <w:color w:val="000000"/>
              </w:rPr>
              <w:t xml:space="preserve"> </w:t>
            </w:r>
          </w:p>
        </w:tc>
        <w:tc>
          <w:tcPr>
            <w:tcW w:w="1881" w:type="dxa"/>
          </w:tcPr>
          <w:p w:rsidRPr="00E90865" w:rsidR="00A92D0B" w:rsidP="00B17005" w:rsidRDefault="00871553" w14:paraId="10659B6D" w14:textId="46688F57">
            <w:pPr>
              <w:spacing w:before="60" w:after="60"/>
              <w:jc w:val="right"/>
              <w:rPr>
                <w:color w:val="000000"/>
              </w:rPr>
            </w:pPr>
            <w:r>
              <w:rPr>
                <w:color w:val="000000"/>
              </w:rPr>
              <w:t>$3</w:t>
            </w:r>
            <w:r w:rsidR="005F370E">
              <w:rPr>
                <w:color w:val="000000"/>
              </w:rPr>
              <w:t>,</w:t>
            </w:r>
            <w:r>
              <w:rPr>
                <w:color w:val="000000"/>
              </w:rPr>
              <w:t>354.75</w:t>
            </w:r>
          </w:p>
        </w:tc>
      </w:tr>
      <w:tr w:rsidRPr="007F620E" w:rsidR="00E15DC3" w:rsidTr="00564BD1" w14:paraId="266CEDD5" w14:textId="77777777">
        <w:trPr>
          <w:jc w:val="center"/>
        </w:trPr>
        <w:tc>
          <w:tcPr>
            <w:tcW w:w="7178" w:type="dxa"/>
            <w:gridSpan w:val="9"/>
            <w:tcBorders>
              <w:bottom w:val="single" w:color="auto" w:sz="4" w:space="0"/>
              <w:right w:val="single" w:color="auto" w:sz="24" w:space="0"/>
            </w:tcBorders>
            <w:vAlign w:val="bottom"/>
          </w:tcPr>
          <w:p w:rsidRPr="00374FD1" w:rsidR="00E15DC3" w:rsidP="003B6A1B" w:rsidRDefault="00E15DC3" w14:paraId="4A1F5988" w14:textId="20AE61CC">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sidR="00FF0269">
              <w:rPr>
                <w:b/>
                <w:i/>
                <w:color w:val="000000"/>
              </w:rPr>
              <w:t>3,</w:t>
            </w:r>
            <w:r w:rsidR="003E18E8">
              <w:rPr>
                <w:b/>
                <w:i/>
                <w:color w:val="000000"/>
              </w:rPr>
              <w:t>799.50</w:t>
            </w:r>
          </w:p>
        </w:tc>
        <w:tc>
          <w:tcPr>
            <w:tcW w:w="3982" w:type="dxa"/>
            <w:gridSpan w:val="3"/>
            <w:tcBorders>
              <w:left w:val="single" w:color="auto" w:sz="24" w:space="0"/>
              <w:bottom w:val="single" w:color="auto" w:sz="4" w:space="0"/>
            </w:tcBorders>
            <w:vAlign w:val="bottom"/>
          </w:tcPr>
          <w:p w:rsidRPr="00374FD1" w:rsidR="00E15DC3" w:rsidP="00691528" w:rsidRDefault="00E15DC3" w14:paraId="2FBAA587" w14:textId="0D5F7074">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sidR="00F34AC7">
              <w:rPr>
                <w:b/>
                <w:i/>
                <w:color w:val="000000"/>
              </w:rPr>
              <w:t>3,7</w:t>
            </w:r>
            <w:r w:rsidR="005F370E">
              <w:rPr>
                <w:b/>
                <w:i/>
                <w:color w:val="000000"/>
              </w:rPr>
              <w:t>52.25</w:t>
            </w:r>
          </w:p>
        </w:tc>
      </w:tr>
      <w:tr w:rsidRPr="007F620E" w:rsidR="003B6A1B" w:rsidTr="00564BD1" w14:paraId="06E7371A" w14:textId="77777777">
        <w:trPr>
          <w:jc w:val="center"/>
        </w:trPr>
        <w:tc>
          <w:tcPr>
            <w:tcW w:w="7178" w:type="dxa"/>
            <w:gridSpan w:val="9"/>
            <w:tcBorders>
              <w:top w:val="single" w:color="auto" w:sz="4" w:space="0"/>
              <w:bottom w:val="single" w:color="auto" w:sz="4" w:space="0"/>
              <w:right w:val="single" w:color="auto" w:sz="24" w:space="0"/>
            </w:tcBorders>
            <w:shd w:val="clear" w:color="auto" w:fill="E6E6E6"/>
            <w:vAlign w:val="bottom"/>
          </w:tcPr>
          <w:p w:rsidRPr="00FE3BAE" w:rsidR="003B6A1B" w:rsidP="00FE3BAE" w:rsidRDefault="003B6A1B" w14:paraId="11B3B704" w14:textId="5EA1ABD9">
            <w:pPr>
              <w:tabs>
                <w:tab w:val="left" w:pos="957"/>
              </w:tabs>
              <w:spacing w:before="60" w:after="60"/>
              <w:ind w:right="72"/>
              <w:jc w:val="right"/>
              <w:rPr>
                <w:b/>
                <w:color w:val="000000"/>
              </w:rPr>
            </w:pPr>
            <w:r w:rsidRPr="00374FD1">
              <w:rPr>
                <w:b/>
                <w:i/>
                <w:color w:val="000000"/>
              </w:rPr>
              <w:t>TOTAL REQUEST: $</w:t>
            </w:r>
            <w:r w:rsidR="00FF0269">
              <w:rPr>
                <w:b/>
                <w:i/>
                <w:color w:val="000000"/>
              </w:rPr>
              <w:t>105,059.</w:t>
            </w:r>
            <w:r w:rsidR="003E18E8">
              <w:rPr>
                <w:b/>
                <w:i/>
                <w:color w:val="000000"/>
              </w:rPr>
              <w:t>00</w:t>
            </w:r>
          </w:p>
        </w:tc>
        <w:tc>
          <w:tcPr>
            <w:tcW w:w="3982" w:type="dxa"/>
            <w:gridSpan w:val="3"/>
            <w:tcBorders>
              <w:left w:val="single" w:color="auto" w:sz="24" w:space="0"/>
            </w:tcBorders>
            <w:shd w:val="clear" w:color="auto" w:fill="E6E6E6"/>
            <w:vAlign w:val="bottom"/>
          </w:tcPr>
          <w:p w:rsidRPr="00FE3BAE" w:rsidR="003B6A1B" w:rsidP="00FE3BAE" w:rsidRDefault="003B6A1B" w14:paraId="3680D139" w14:textId="0FE53D69">
            <w:pPr>
              <w:tabs>
                <w:tab w:val="left" w:pos="957"/>
              </w:tabs>
              <w:spacing w:before="60" w:after="60"/>
              <w:ind w:right="72"/>
              <w:jc w:val="right"/>
              <w:rPr>
                <w:b/>
                <w:color w:val="000000"/>
              </w:rPr>
            </w:pPr>
            <w:r w:rsidRPr="00374FD1">
              <w:rPr>
                <w:b/>
                <w:i/>
                <w:color w:val="000000"/>
              </w:rPr>
              <w:t>TOTAL AWARD</w:t>
            </w:r>
            <w:r w:rsidRPr="00871553">
              <w:rPr>
                <w:b/>
                <w:i/>
                <w:color w:val="000000"/>
              </w:rPr>
              <w:t>: $</w:t>
            </w:r>
            <w:r w:rsidRPr="00871553" w:rsidR="00F34AC7">
              <w:rPr>
                <w:b/>
                <w:i/>
                <w:color w:val="000000"/>
              </w:rPr>
              <w:t>102,</w:t>
            </w:r>
            <w:r w:rsidRPr="00871553" w:rsidR="00871553">
              <w:rPr>
                <w:b/>
                <w:i/>
                <w:color w:val="000000"/>
              </w:rPr>
              <w:t>6</w:t>
            </w:r>
            <w:r w:rsidR="005F370E">
              <w:rPr>
                <w:b/>
                <w:i/>
                <w:color w:val="000000"/>
              </w:rPr>
              <w:t>40.25</w:t>
            </w:r>
          </w:p>
        </w:tc>
      </w:tr>
      <w:tr w:rsidRPr="007F620E" w:rsidR="003B6A1B" w:rsidTr="00564BD1" w14:paraId="6A909BC1" w14:textId="77777777">
        <w:trPr>
          <w:jc w:val="center"/>
        </w:trPr>
        <w:tc>
          <w:tcPr>
            <w:tcW w:w="11160" w:type="dxa"/>
            <w:gridSpan w:val="12"/>
            <w:tcBorders>
              <w:top w:val="single" w:color="auto" w:sz="4" w:space="0"/>
              <w:bottom w:val="single" w:color="auto" w:sz="4" w:space="0"/>
            </w:tcBorders>
          </w:tcPr>
          <w:p w:rsidRPr="007F7E97" w:rsidR="003B6A1B" w:rsidP="00D075B1" w:rsidRDefault="003B6A1B" w14:paraId="6F39872E" w14:textId="77777777">
            <w:pPr>
              <w:spacing w:before="60" w:after="60"/>
              <w:rPr>
                <w:color w:val="000000"/>
              </w:rPr>
            </w:pPr>
            <w:r w:rsidRPr="007F7E97">
              <w:rPr>
                <w:color w:val="000000"/>
              </w:rPr>
              <w:t xml:space="preserve">  *We remind all intervenors that Commission staff may audit </w:t>
            </w:r>
            <w:r w:rsidRPr="007F7E97">
              <w:t>the records and books of the intervenors to the extent necessary to verify the basis for the award (§1804(d)).  I</w:t>
            </w:r>
            <w:r w:rsidRPr="007F7E97">
              <w:rPr>
                <w:color w:val="000000"/>
              </w:rPr>
              <w:t xml:space="preserve">ntervenors must make and retain adequate accounting and other documentation to support all claims for intervenor compensation.  Intervenor’s records 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final decision making the award. </w:t>
            </w:r>
          </w:p>
          <w:p w:rsidRPr="007F7E97" w:rsidR="003B6A1B" w:rsidP="00963EEF" w:rsidRDefault="003B6A1B" w14:paraId="0D03EC65" w14:textId="77777777">
            <w:pPr>
              <w:spacing w:before="60" w:after="60"/>
              <w:rPr>
                <w:color w:val="000000"/>
              </w:rPr>
            </w:pPr>
            <w:r w:rsidRPr="007F7E97">
              <w:rPr>
                <w:color w:val="000000"/>
              </w:rPr>
              <w:t>**Travel and Reasonable Claim preparation time are typically compensated at ½ of preparer’s normal hourly rate</w:t>
            </w:r>
            <w:r w:rsidRPr="007F7E97" w:rsidDel="00D075B1">
              <w:rPr>
                <w:color w:val="000000"/>
              </w:rPr>
              <w:t xml:space="preserve"> </w:t>
            </w:r>
          </w:p>
        </w:tc>
      </w:tr>
      <w:tr w:rsidRPr="007F620E" w:rsidR="003B6A1B" w:rsidTr="00564BD1" w14:paraId="458B01A4"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3B6A1B" w:rsidP="004A6FD4" w:rsidRDefault="003B6A1B" w14:paraId="48B43CBD" w14:textId="77777777">
            <w:pPr>
              <w:keepNext/>
              <w:spacing w:before="60" w:after="60"/>
              <w:jc w:val="center"/>
              <w:rPr>
                <w:b/>
                <w:smallCaps/>
                <w:color w:val="000000"/>
              </w:rPr>
            </w:pPr>
            <w:r w:rsidRPr="007F620E">
              <w:rPr>
                <w:b/>
                <w:smallCaps/>
                <w:color w:val="000000"/>
              </w:rPr>
              <w:lastRenderedPageBreak/>
              <w:t>ATTORNEY INFORMATION</w:t>
            </w:r>
          </w:p>
        </w:tc>
      </w:tr>
      <w:tr w:rsidRPr="00C16981" w:rsidR="003B6A1B" w:rsidTr="00564BD1" w14:paraId="790C92C0" w14:textId="77777777">
        <w:trPr>
          <w:trHeight w:val="173"/>
          <w:jc w:val="center"/>
        </w:trPr>
        <w:tc>
          <w:tcPr>
            <w:tcW w:w="2692" w:type="dxa"/>
            <w:gridSpan w:val="3"/>
            <w:tcBorders>
              <w:top w:val="single" w:color="auto" w:sz="4" w:space="0"/>
              <w:bottom w:val="single" w:color="auto" w:sz="4" w:space="0"/>
            </w:tcBorders>
            <w:shd w:val="clear" w:color="auto" w:fill="FFFFFF"/>
            <w:vAlign w:val="bottom"/>
          </w:tcPr>
          <w:p w:rsidRPr="00C16981" w:rsidR="003B6A1B" w:rsidP="00E775D0" w:rsidRDefault="003B6A1B" w14:paraId="00CAC866" w14:textId="77777777">
            <w:pPr>
              <w:keepNext/>
              <w:keepLines/>
              <w:spacing w:before="60" w:after="60"/>
              <w:jc w:val="center"/>
              <w:rPr>
                <w:b/>
                <w:color w:val="000000"/>
                <w:sz w:val="22"/>
                <w:szCs w:val="22"/>
              </w:rPr>
            </w:pPr>
            <w:r w:rsidRPr="00C16981">
              <w:rPr>
                <w:b/>
                <w:sz w:val="22"/>
                <w:szCs w:val="22"/>
              </w:rPr>
              <w:t>Attorney</w:t>
            </w:r>
          </w:p>
        </w:tc>
        <w:tc>
          <w:tcPr>
            <w:tcW w:w="1909" w:type="dxa"/>
            <w:gridSpan w:val="3"/>
            <w:tcBorders>
              <w:top w:val="single" w:color="auto" w:sz="4" w:space="0"/>
              <w:bottom w:val="single" w:color="auto" w:sz="4" w:space="0"/>
            </w:tcBorders>
            <w:shd w:val="clear" w:color="auto" w:fill="FFFFFF"/>
            <w:vAlign w:val="bottom"/>
          </w:tcPr>
          <w:p w:rsidRPr="00C16981" w:rsidR="003B6A1B" w:rsidP="00E775D0" w:rsidRDefault="003B6A1B" w14:paraId="7E76A008" w14:textId="77777777">
            <w:pPr>
              <w:keepNext/>
              <w:keepLines/>
              <w:spacing w:before="60" w:after="60"/>
              <w:jc w:val="center"/>
              <w:rPr>
                <w:b/>
                <w:color w:val="000000"/>
                <w:sz w:val="22"/>
                <w:szCs w:val="22"/>
              </w:rPr>
            </w:pPr>
            <w:r w:rsidRPr="00C16981">
              <w:rPr>
                <w:b/>
                <w:sz w:val="22"/>
                <w:szCs w:val="22"/>
              </w:rPr>
              <w:t>Date Admitted to CA BAR</w:t>
            </w:r>
            <w:r w:rsidRPr="00C16981">
              <w:rPr>
                <w:rStyle w:val="FootnoteReference"/>
                <w:b/>
                <w:sz w:val="22"/>
                <w:szCs w:val="22"/>
              </w:rPr>
              <w:footnoteReference w:id="3"/>
            </w:r>
          </w:p>
        </w:tc>
        <w:tc>
          <w:tcPr>
            <w:tcW w:w="2291" w:type="dxa"/>
            <w:gridSpan w:val="2"/>
            <w:tcBorders>
              <w:top w:val="single" w:color="auto" w:sz="4" w:space="0"/>
              <w:bottom w:val="single" w:color="auto" w:sz="4" w:space="0"/>
            </w:tcBorders>
            <w:shd w:val="clear" w:color="auto" w:fill="FFFFFF"/>
            <w:vAlign w:val="bottom"/>
          </w:tcPr>
          <w:p w:rsidRPr="00C16981" w:rsidR="003B6A1B" w:rsidP="00E775D0" w:rsidRDefault="003B6A1B" w14:paraId="27E64ED7" w14:textId="77777777">
            <w:pPr>
              <w:keepNext/>
              <w:keepLines/>
              <w:spacing w:before="60" w:after="60"/>
              <w:jc w:val="center"/>
              <w:rPr>
                <w:b/>
                <w:color w:val="000000"/>
                <w:sz w:val="22"/>
                <w:szCs w:val="22"/>
              </w:rPr>
            </w:pPr>
            <w:r w:rsidRPr="00C16981">
              <w:rPr>
                <w:b/>
                <w:sz w:val="22"/>
                <w:szCs w:val="22"/>
              </w:rPr>
              <w:t>Member Number</w:t>
            </w:r>
          </w:p>
        </w:tc>
        <w:tc>
          <w:tcPr>
            <w:tcW w:w="4268" w:type="dxa"/>
            <w:gridSpan w:val="4"/>
            <w:tcBorders>
              <w:top w:val="single" w:color="auto" w:sz="4" w:space="0"/>
              <w:bottom w:val="single" w:color="auto" w:sz="4" w:space="0"/>
            </w:tcBorders>
            <w:shd w:val="clear" w:color="auto" w:fill="FFFFFF"/>
            <w:vAlign w:val="bottom"/>
          </w:tcPr>
          <w:p w:rsidRPr="00C16981" w:rsidR="003B6A1B" w:rsidP="00E775D0" w:rsidRDefault="003B6A1B" w14:paraId="496B5DC1" w14:textId="77777777">
            <w:pPr>
              <w:keepNext/>
              <w:keepLines/>
              <w:spacing w:before="60" w:after="60"/>
              <w:jc w:val="center"/>
              <w:rPr>
                <w:b/>
                <w:sz w:val="22"/>
                <w:szCs w:val="22"/>
              </w:rPr>
            </w:pPr>
            <w:r w:rsidRPr="00C16981">
              <w:rPr>
                <w:b/>
                <w:sz w:val="22"/>
                <w:szCs w:val="22"/>
              </w:rPr>
              <w:t>Actions Affecting Eligibility (Yes/No?)</w:t>
            </w:r>
          </w:p>
          <w:p w:rsidRPr="00C16981" w:rsidR="003B6A1B" w:rsidP="00E775D0" w:rsidRDefault="003B6A1B" w14:paraId="36F8922D" w14:textId="77777777">
            <w:pPr>
              <w:keepNext/>
              <w:keepLines/>
              <w:spacing w:before="60" w:after="60"/>
              <w:jc w:val="center"/>
              <w:rPr>
                <w:b/>
                <w:color w:val="000000"/>
                <w:sz w:val="22"/>
                <w:szCs w:val="22"/>
              </w:rPr>
            </w:pPr>
            <w:r w:rsidRPr="00C16981">
              <w:rPr>
                <w:b/>
                <w:sz w:val="22"/>
                <w:szCs w:val="22"/>
              </w:rPr>
              <w:t>If “Yes”, attach explanation</w:t>
            </w:r>
          </w:p>
        </w:tc>
      </w:tr>
      <w:tr w:rsidRPr="007F620E" w:rsidR="00D072A9" w:rsidTr="00564BD1" w14:paraId="4DC5EE9B" w14:textId="77777777">
        <w:trPr>
          <w:trHeight w:val="172"/>
          <w:jc w:val="center"/>
        </w:trPr>
        <w:tc>
          <w:tcPr>
            <w:tcW w:w="2692" w:type="dxa"/>
            <w:gridSpan w:val="3"/>
            <w:tcBorders>
              <w:top w:val="single" w:color="auto" w:sz="4" w:space="0"/>
              <w:bottom w:val="single" w:color="auto" w:sz="4" w:space="0"/>
            </w:tcBorders>
          </w:tcPr>
          <w:p w:rsidRPr="007F620E" w:rsidR="00D072A9" w:rsidP="00D072A9" w:rsidRDefault="00D072A9" w14:paraId="7266B7BF" w14:textId="638575F6">
            <w:pPr>
              <w:keepLines/>
              <w:spacing w:before="60" w:after="60"/>
              <w:jc w:val="center"/>
              <w:rPr>
                <w:color w:val="000000"/>
              </w:rPr>
            </w:pPr>
            <w:r>
              <w:rPr>
                <w:color w:val="000000"/>
              </w:rPr>
              <w:t>Jason Zeller</w:t>
            </w:r>
          </w:p>
        </w:tc>
        <w:tc>
          <w:tcPr>
            <w:tcW w:w="1909" w:type="dxa"/>
            <w:gridSpan w:val="3"/>
            <w:tcBorders>
              <w:top w:val="single" w:color="auto" w:sz="4" w:space="0"/>
              <w:bottom w:val="single" w:color="auto" w:sz="4" w:space="0"/>
            </w:tcBorders>
          </w:tcPr>
          <w:p w:rsidRPr="007F620E" w:rsidR="00D072A9" w:rsidP="00D072A9" w:rsidRDefault="00D072A9" w14:paraId="69A41F15" w14:textId="120B5D4D">
            <w:pPr>
              <w:keepLines/>
              <w:spacing w:before="60" w:after="60"/>
              <w:jc w:val="center"/>
              <w:rPr>
                <w:color w:val="000000"/>
              </w:rPr>
            </w:pPr>
            <w:r>
              <w:rPr>
                <w:color w:val="000000"/>
              </w:rPr>
              <w:t>March 21, 1989</w:t>
            </w:r>
          </w:p>
        </w:tc>
        <w:tc>
          <w:tcPr>
            <w:tcW w:w="2291" w:type="dxa"/>
            <w:gridSpan w:val="2"/>
            <w:tcBorders>
              <w:top w:val="single" w:color="auto" w:sz="4" w:space="0"/>
              <w:bottom w:val="single" w:color="auto" w:sz="4" w:space="0"/>
            </w:tcBorders>
          </w:tcPr>
          <w:p w:rsidRPr="007F620E" w:rsidR="00D072A9" w:rsidP="00D072A9" w:rsidRDefault="00D072A9" w14:paraId="58495CD7" w14:textId="5CC0E221">
            <w:pPr>
              <w:keepLines/>
              <w:spacing w:before="60" w:after="60"/>
              <w:jc w:val="center"/>
              <w:rPr>
                <w:color w:val="000000"/>
              </w:rPr>
            </w:pPr>
            <w:r>
              <w:rPr>
                <w:color w:val="000000"/>
              </w:rPr>
              <w:t>139577</w:t>
            </w:r>
            <w:r w:rsidR="006D2702">
              <w:rPr>
                <w:rStyle w:val="FootnoteReference"/>
                <w:color w:val="000000"/>
              </w:rPr>
              <w:footnoteReference w:id="4"/>
            </w:r>
          </w:p>
        </w:tc>
        <w:tc>
          <w:tcPr>
            <w:tcW w:w="4268" w:type="dxa"/>
            <w:gridSpan w:val="4"/>
            <w:tcBorders>
              <w:top w:val="single" w:color="auto" w:sz="4" w:space="0"/>
              <w:bottom w:val="single" w:color="auto" w:sz="4" w:space="0"/>
            </w:tcBorders>
          </w:tcPr>
          <w:p w:rsidRPr="007F620E" w:rsidR="00D072A9" w:rsidP="00D072A9" w:rsidRDefault="00D072A9" w14:paraId="117B99BF" w14:textId="7BD48F5D">
            <w:pPr>
              <w:keepLines/>
              <w:spacing w:before="60" w:after="60"/>
              <w:jc w:val="center"/>
              <w:rPr>
                <w:color w:val="000000"/>
              </w:rPr>
            </w:pPr>
            <w:r>
              <w:rPr>
                <w:color w:val="000000"/>
              </w:rPr>
              <w:t>No</w:t>
            </w:r>
          </w:p>
        </w:tc>
      </w:tr>
    </w:tbl>
    <w:p w:rsidR="0022302F" w:rsidP="005B5B44" w:rsidRDefault="00A92D0B" w14:paraId="67A6CABA" w14:textId="66E7498B">
      <w:pPr>
        <w:keepNext/>
        <w:numPr>
          <w:ilvl w:val="0"/>
          <w:numId w:val="9"/>
        </w:numPr>
        <w:spacing w:before="240"/>
        <w:rPr>
          <w:b/>
          <w:color w:val="000000"/>
        </w:rPr>
      </w:pPr>
      <w:r w:rsidRPr="005B5B44">
        <w:rPr>
          <w:b/>
          <w:color w:val="000000"/>
        </w:rPr>
        <w:t>Attachments</w:t>
      </w:r>
      <w:r w:rsidRPr="007F620E">
        <w:rPr>
          <w:b/>
        </w:rPr>
        <w:t xml:space="preserve"> Documenting Specific Claim and Comments on Part III</w:t>
      </w:r>
      <w:r w:rsidR="00C02649">
        <w:rPr>
          <w:b/>
        </w:rPr>
        <w:t>:</w:t>
      </w:r>
      <w:r w:rsidR="00720770">
        <w:rPr>
          <w:rStyle w:val="FootnoteReference"/>
          <w:b/>
        </w:rPr>
        <w:footnoteReference w:id="5"/>
      </w:r>
    </w:p>
    <w:p w:rsidRPr="003B6A1B" w:rsidR="00A92D0B" w:rsidP="00B809AF" w:rsidRDefault="00A92D0B" w14:paraId="04BC309E" w14:textId="76C96E6A">
      <w:pPr>
        <w:rPr>
          <w:b/>
          <w:i/>
          <w:color w:val="000000"/>
          <w:u w:val="single"/>
        </w:rPr>
      </w:pPr>
    </w:p>
    <w:tbl>
      <w:tblPr>
        <w:tblW w:w="10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430"/>
        <w:gridCol w:w="8696"/>
      </w:tblGrid>
      <w:tr w:rsidRPr="007F620E" w:rsidR="00A92D0B" w:rsidTr="003E18E8" w14:paraId="0C2B760A" w14:textId="77777777">
        <w:trPr>
          <w:tblHeader/>
        </w:trPr>
        <w:tc>
          <w:tcPr>
            <w:tcW w:w="1430" w:type="dxa"/>
            <w:shd w:val="clear" w:color="auto" w:fill="D9D9D9" w:themeFill="background1" w:themeFillShade="D9"/>
            <w:vAlign w:val="bottom"/>
          </w:tcPr>
          <w:p w:rsidRPr="007F620E" w:rsidR="00A92D0B" w:rsidP="001A3CF3" w:rsidRDefault="00A92D0B" w14:paraId="42A1D838" w14:textId="77777777">
            <w:pPr>
              <w:tabs>
                <w:tab w:val="left" w:pos="1260"/>
              </w:tabs>
              <w:jc w:val="center"/>
              <w:rPr>
                <w:b/>
                <w:color w:val="000000"/>
              </w:rPr>
            </w:pPr>
            <w:r w:rsidRPr="007F620E">
              <w:rPr>
                <w:b/>
                <w:color w:val="000000"/>
              </w:rPr>
              <w:t>Attachment or Comment  #</w:t>
            </w:r>
          </w:p>
        </w:tc>
        <w:tc>
          <w:tcPr>
            <w:tcW w:w="8696" w:type="dxa"/>
            <w:tcBorders>
              <w:bottom w:val="single" w:color="auto" w:sz="4" w:space="0"/>
            </w:tcBorders>
            <w:shd w:val="clear" w:color="auto" w:fill="D9D9D9" w:themeFill="background1" w:themeFillShade="D9"/>
            <w:vAlign w:val="bottom"/>
          </w:tcPr>
          <w:p w:rsidRPr="007F620E" w:rsidR="00A92D0B" w:rsidP="001A3CF3" w:rsidRDefault="00A92D0B" w14:paraId="55F0A65F" w14:textId="77777777">
            <w:pPr>
              <w:tabs>
                <w:tab w:val="left" w:pos="1260"/>
              </w:tabs>
              <w:jc w:val="center"/>
              <w:rPr>
                <w:b/>
                <w:color w:val="000000"/>
              </w:rPr>
            </w:pPr>
            <w:r w:rsidRPr="007F620E">
              <w:rPr>
                <w:b/>
                <w:color w:val="000000"/>
              </w:rPr>
              <w:t>Description/Comment</w:t>
            </w:r>
          </w:p>
        </w:tc>
      </w:tr>
      <w:tr w:rsidRPr="007F620E" w:rsidR="00A92D0B" w:rsidTr="00720770" w14:paraId="71F47148" w14:textId="77777777">
        <w:tc>
          <w:tcPr>
            <w:tcW w:w="1430" w:type="dxa"/>
            <w:tcBorders>
              <w:bottom w:val="single" w:color="auto" w:sz="4" w:space="0"/>
            </w:tcBorders>
          </w:tcPr>
          <w:p w:rsidRPr="007F620E" w:rsidR="00A92D0B" w:rsidP="001A3CF3" w:rsidRDefault="0037486E" w14:paraId="7A5C03D8" w14:textId="7327CA29">
            <w:pPr>
              <w:tabs>
                <w:tab w:val="left" w:pos="1260"/>
              </w:tabs>
              <w:rPr>
                <w:color w:val="000000"/>
              </w:rPr>
            </w:pPr>
            <w:r>
              <w:rPr>
                <w:color w:val="000000"/>
              </w:rPr>
              <w:t>Attachment #1</w:t>
            </w:r>
          </w:p>
        </w:tc>
        <w:tc>
          <w:tcPr>
            <w:tcW w:w="8696" w:type="dxa"/>
            <w:tcBorders>
              <w:bottom w:val="single" w:color="auto" w:sz="4" w:space="0"/>
            </w:tcBorders>
          </w:tcPr>
          <w:p w:rsidRPr="001C0DD1" w:rsidR="00A92D0B" w:rsidP="001A3CF3" w:rsidRDefault="00A92D0B" w14:paraId="370C67BC" w14:textId="77777777">
            <w:pPr>
              <w:tabs>
                <w:tab w:val="left" w:pos="1260"/>
              </w:tabs>
              <w:rPr>
                <w:color w:val="000000"/>
              </w:rPr>
            </w:pPr>
            <w:r w:rsidRPr="001C0DD1">
              <w:rPr>
                <w:color w:val="000000"/>
              </w:rPr>
              <w:t>Certificate of Service</w:t>
            </w:r>
          </w:p>
        </w:tc>
      </w:tr>
      <w:tr w:rsidRPr="007F620E" w:rsidR="00513704" w:rsidTr="00720770" w14:paraId="24216F9A" w14:textId="77777777">
        <w:tc>
          <w:tcPr>
            <w:tcW w:w="1430" w:type="dxa"/>
          </w:tcPr>
          <w:p w:rsidR="00513704" w:rsidP="001A3CF3" w:rsidRDefault="00513704" w14:paraId="2EDBE1C0" w14:textId="1DC6AE9B">
            <w:pPr>
              <w:tabs>
                <w:tab w:val="left" w:pos="1260"/>
              </w:tabs>
              <w:rPr>
                <w:color w:val="000000"/>
              </w:rPr>
            </w:pPr>
            <w:r>
              <w:rPr>
                <w:color w:val="000000"/>
              </w:rPr>
              <w:t>Attachment #2</w:t>
            </w:r>
          </w:p>
        </w:tc>
        <w:tc>
          <w:tcPr>
            <w:tcW w:w="8696" w:type="dxa"/>
          </w:tcPr>
          <w:p w:rsidRPr="00B22C13" w:rsidR="00513704" w:rsidP="005E206F" w:rsidRDefault="00B22C13" w14:paraId="447052B3" w14:textId="0E3C4446">
            <w:pPr>
              <w:tabs>
                <w:tab w:val="left" w:pos="1260"/>
              </w:tabs>
              <w:rPr>
                <w:bCs/>
                <w:color w:val="000000"/>
              </w:rPr>
            </w:pPr>
            <w:r w:rsidRPr="00B22C13">
              <w:rPr>
                <w:bCs/>
                <w:color w:val="000000"/>
              </w:rPr>
              <w:t>Agreement between UCAN and UCAN’s consultant Mr. Siegele</w:t>
            </w:r>
            <w:r w:rsidR="003B43BB">
              <w:rPr>
                <w:bCs/>
                <w:color w:val="000000"/>
              </w:rPr>
              <w:t>.</w:t>
            </w:r>
          </w:p>
        </w:tc>
      </w:tr>
      <w:tr w:rsidRPr="007F620E" w:rsidR="003E18E8" w:rsidTr="00720770" w14:paraId="7AB7EF5F" w14:textId="77777777">
        <w:tc>
          <w:tcPr>
            <w:tcW w:w="1430" w:type="dxa"/>
          </w:tcPr>
          <w:p w:rsidR="003E18E8" w:rsidP="003E18E8" w:rsidRDefault="003E18E8" w14:paraId="72ABAA5A" w14:textId="0C144316">
            <w:pPr>
              <w:tabs>
                <w:tab w:val="left" w:pos="1260"/>
              </w:tabs>
              <w:rPr>
                <w:color w:val="000000"/>
              </w:rPr>
            </w:pPr>
            <w:r>
              <w:rPr>
                <w:color w:val="000000"/>
              </w:rPr>
              <w:t>Comment #1 Rate Escalation Request for Jason Zeller</w:t>
            </w:r>
          </w:p>
        </w:tc>
        <w:tc>
          <w:tcPr>
            <w:tcW w:w="8696" w:type="dxa"/>
          </w:tcPr>
          <w:p w:rsidR="003E18E8" w:rsidP="003E18E8" w:rsidRDefault="003E18E8" w14:paraId="22FFCE26" w14:textId="05756F0C">
            <w:pPr>
              <w:tabs>
                <w:tab w:val="left" w:pos="1260"/>
              </w:tabs>
              <w:rPr>
                <w:sz w:val="23"/>
                <w:szCs w:val="23"/>
              </w:rPr>
            </w:pPr>
            <w:r>
              <w:rPr>
                <w:sz w:val="23"/>
                <w:szCs w:val="23"/>
              </w:rPr>
              <w:t>Based on the approved $</w:t>
            </w:r>
            <w:r w:rsidR="00C0157F">
              <w:rPr>
                <w:sz w:val="23"/>
                <w:szCs w:val="23"/>
              </w:rPr>
              <w:t xml:space="preserve">770 </w:t>
            </w:r>
            <w:r>
              <w:rPr>
                <w:sz w:val="23"/>
                <w:szCs w:val="23"/>
              </w:rPr>
              <w:t>2024 hourly rate, per D.24-10-023, the application of the Commission’s 3.46% escalation for 2025, and rounding to the nearest $5 increment, UCAN requests the 2025 hourly rate for Mr. Zeller of $7</w:t>
            </w:r>
            <w:r w:rsidR="00C0157F">
              <w:rPr>
                <w:sz w:val="23"/>
                <w:szCs w:val="23"/>
              </w:rPr>
              <w:t>95</w:t>
            </w:r>
            <w:r>
              <w:rPr>
                <w:sz w:val="23"/>
                <w:szCs w:val="23"/>
              </w:rPr>
              <w:t xml:space="preserve">. </w:t>
            </w:r>
          </w:p>
          <w:p w:rsidRPr="00B22C13" w:rsidR="00C5050D" w:rsidP="003E18E8" w:rsidRDefault="002B1452" w14:paraId="3EB32C51" w14:textId="0A99E312">
            <w:pPr>
              <w:tabs>
                <w:tab w:val="left" w:pos="1260"/>
              </w:tabs>
              <w:rPr>
                <w:bCs/>
                <w:color w:val="000000"/>
              </w:rPr>
            </w:pPr>
            <w:r>
              <w:rPr>
                <w:bCs/>
                <w:color w:val="000000"/>
                <w:sz w:val="23"/>
                <w:szCs w:val="23"/>
              </w:rPr>
              <w:t>(</w:t>
            </w:r>
            <w:r w:rsidR="00E6261A">
              <w:rPr>
                <w:bCs/>
                <w:color w:val="000000"/>
                <w:sz w:val="23"/>
                <w:szCs w:val="23"/>
              </w:rPr>
              <w:t>N</w:t>
            </w:r>
            <w:r>
              <w:rPr>
                <w:bCs/>
                <w:color w:val="000000"/>
                <w:sz w:val="23"/>
                <w:szCs w:val="23"/>
              </w:rPr>
              <w:t xml:space="preserve">ote: Mr. Zeller’s rate </w:t>
            </w:r>
            <w:r w:rsidR="00A03A07">
              <w:rPr>
                <w:bCs/>
                <w:color w:val="000000"/>
                <w:sz w:val="23"/>
                <w:szCs w:val="23"/>
              </w:rPr>
              <w:t>actually</w:t>
            </w:r>
            <w:r>
              <w:rPr>
                <w:bCs/>
                <w:color w:val="000000"/>
                <w:sz w:val="23"/>
                <w:szCs w:val="23"/>
              </w:rPr>
              <w:t xml:space="preserve"> round</w:t>
            </w:r>
            <w:r w:rsidR="000A0E4C">
              <w:rPr>
                <w:bCs/>
                <w:color w:val="000000"/>
                <w:sz w:val="23"/>
                <w:szCs w:val="23"/>
              </w:rPr>
              <w:t>s</w:t>
            </w:r>
            <w:r>
              <w:rPr>
                <w:bCs/>
                <w:color w:val="000000"/>
                <w:sz w:val="23"/>
                <w:szCs w:val="23"/>
              </w:rPr>
              <w:t xml:space="preserve"> up to </w:t>
            </w:r>
            <w:r w:rsidR="00D45F6C">
              <w:rPr>
                <w:bCs/>
                <w:color w:val="000000"/>
                <w:sz w:val="23"/>
                <w:szCs w:val="23"/>
              </w:rPr>
              <w:t>$</w:t>
            </w:r>
            <w:r>
              <w:rPr>
                <w:bCs/>
                <w:color w:val="000000"/>
                <w:sz w:val="23"/>
                <w:szCs w:val="23"/>
              </w:rPr>
              <w:t xml:space="preserve">800, but that exceeds the </w:t>
            </w:r>
            <w:r w:rsidR="00CD0679">
              <w:rPr>
                <w:bCs/>
                <w:color w:val="000000"/>
                <w:sz w:val="23"/>
                <w:szCs w:val="23"/>
              </w:rPr>
              <w:t>highest approved rate for Attorney-V</w:t>
            </w:r>
            <w:r w:rsidR="00E22721">
              <w:rPr>
                <w:bCs/>
                <w:color w:val="000000"/>
                <w:sz w:val="23"/>
                <w:szCs w:val="23"/>
              </w:rPr>
              <w:t xml:space="preserve"> for 2025, which is </w:t>
            </w:r>
            <w:r w:rsidR="00CD324A">
              <w:rPr>
                <w:bCs/>
                <w:color w:val="000000"/>
                <w:sz w:val="23"/>
                <w:szCs w:val="23"/>
              </w:rPr>
              <w:t>$797.23</w:t>
            </w:r>
            <w:r w:rsidR="00D45F6C">
              <w:rPr>
                <w:bCs/>
                <w:color w:val="000000"/>
                <w:sz w:val="23"/>
                <w:szCs w:val="23"/>
              </w:rPr>
              <w:t xml:space="preserve"> in the Commission’s hourly rate chart.</w:t>
            </w:r>
            <w:r>
              <w:rPr>
                <w:bCs/>
                <w:color w:val="000000"/>
                <w:sz w:val="23"/>
                <w:szCs w:val="23"/>
              </w:rPr>
              <w:t>)</w:t>
            </w:r>
          </w:p>
        </w:tc>
      </w:tr>
      <w:tr w:rsidRPr="007F620E" w:rsidR="00A92D0B" w:rsidTr="00720770" w14:paraId="72C869B0" w14:textId="77777777">
        <w:tc>
          <w:tcPr>
            <w:tcW w:w="1430" w:type="dxa"/>
          </w:tcPr>
          <w:p w:rsidRPr="007F620E" w:rsidR="00A92D0B" w:rsidP="001A3CF3" w:rsidRDefault="00ED137C" w14:paraId="49AADD21" w14:textId="7B4B1D94">
            <w:pPr>
              <w:tabs>
                <w:tab w:val="left" w:pos="1260"/>
              </w:tabs>
              <w:rPr>
                <w:color w:val="000000"/>
              </w:rPr>
            </w:pPr>
            <w:r>
              <w:rPr>
                <w:color w:val="000000"/>
              </w:rPr>
              <w:t>Comment #</w:t>
            </w:r>
            <w:r w:rsidR="003E18E8">
              <w:rPr>
                <w:color w:val="000000"/>
              </w:rPr>
              <w:t>2 Tyson Siegle (Expert) Rate Justification</w:t>
            </w:r>
          </w:p>
        </w:tc>
        <w:tc>
          <w:tcPr>
            <w:tcW w:w="8696" w:type="dxa"/>
          </w:tcPr>
          <w:p w:rsidR="00FC2FB9" w:rsidP="005E206F" w:rsidRDefault="005E206F" w14:paraId="2CD754DA" w14:textId="3A3D18B7">
            <w:pPr>
              <w:tabs>
                <w:tab w:val="left" w:pos="1260"/>
              </w:tabs>
              <w:rPr>
                <w:color w:val="000000"/>
              </w:rPr>
            </w:pPr>
            <w:r w:rsidRPr="001C201E">
              <w:rPr>
                <w:b/>
                <w:color w:val="000000"/>
              </w:rPr>
              <w:t>2024:</w:t>
            </w:r>
            <w:r>
              <w:rPr>
                <w:bCs/>
                <w:color w:val="000000"/>
              </w:rPr>
              <w:t xml:space="preserve"> CPUC-approved rate for Mr. Siegele, $345 in </w:t>
            </w:r>
            <w:r w:rsidRPr="00C22C42">
              <w:rPr>
                <w:color w:val="000000"/>
              </w:rPr>
              <w:t>D</w:t>
            </w:r>
            <w:r>
              <w:rPr>
                <w:color w:val="000000"/>
              </w:rPr>
              <w:t>.</w:t>
            </w:r>
            <w:r w:rsidRPr="00C22C42">
              <w:rPr>
                <w:color w:val="000000"/>
              </w:rPr>
              <w:t>25</w:t>
            </w:r>
            <w:r>
              <w:rPr>
                <w:color w:val="000000"/>
              </w:rPr>
              <w:t>-</w:t>
            </w:r>
            <w:r w:rsidRPr="00C22C42">
              <w:rPr>
                <w:color w:val="000000"/>
              </w:rPr>
              <w:t>03</w:t>
            </w:r>
            <w:r>
              <w:rPr>
                <w:color w:val="000000"/>
              </w:rPr>
              <w:t>-</w:t>
            </w:r>
            <w:r w:rsidRPr="00C22C42">
              <w:rPr>
                <w:color w:val="000000"/>
              </w:rPr>
              <w:t>028</w:t>
            </w:r>
            <w:r>
              <w:rPr>
                <w:color w:val="000000"/>
              </w:rPr>
              <w:t xml:space="preserve"> </w:t>
            </w:r>
          </w:p>
          <w:p w:rsidRPr="006E4378" w:rsidR="005E206F" w:rsidP="005E206F" w:rsidRDefault="0095431F" w14:paraId="1E5BF9A9" w14:textId="6328706B">
            <w:pPr>
              <w:tabs>
                <w:tab w:val="left" w:pos="1260"/>
              </w:tabs>
              <w:rPr>
                <w:bCs/>
                <w:color w:val="000000"/>
              </w:rPr>
            </w:pPr>
            <w:r>
              <w:rPr>
                <w:bCs/>
                <w:color w:val="000000"/>
              </w:rPr>
              <w:t>(</w:t>
            </w:r>
            <w:r w:rsidRPr="000C262D" w:rsidR="005E206F">
              <w:rPr>
                <w:bCs/>
                <w:color w:val="000000"/>
              </w:rPr>
              <w:t>https://docs.cpuc.ca.gov/PublishedDocs/Published/G000/M559/K848/559848673.PDF</w:t>
            </w:r>
            <w:r>
              <w:rPr>
                <w:bCs/>
                <w:color w:val="000000"/>
              </w:rPr>
              <w:t>)</w:t>
            </w:r>
          </w:p>
          <w:p w:rsidRPr="006E4378" w:rsidR="005E206F" w:rsidP="005E206F" w:rsidRDefault="005E206F" w14:paraId="49858B28" w14:textId="77777777">
            <w:pPr>
              <w:tabs>
                <w:tab w:val="left" w:pos="1260"/>
              </w:tabs>
              <w:rPr>
                <w:bCs/>
                <w:color w:val="000000"/>
              </w:rPr>
            </w:pPr>
          </w:p>
          <w:p w:rsidR="005E206F" w:rsidP="005E206F" w:rsidRDefault="005E206F" w14:paraId="2338514E" w14:textId="39F4A02F">
            <w:pPr>
              <w:tabs>
                <w:tab w:val="left" w:pos="1260"/>
              </w:tabs>
              <w:rPr>
                <w:bCs/>
                <w:color w:val="000000"/>
              </w:rPr>
            </w:pPr>
            <w:r w:rsidRPr="001C201E">
              <w:rPr>
                <w:b/>
                <w:color w:val="000000"/>
              </w:rPr>
              <w:t>2025:</w:t>
            </w:r>
            <w:r>
              <w:rPr>
                <w:bCs/>
                <w:color w:val="000000"/>
              </w:rPr>
              <w:t xml:space="preserve"> UCAN requests a 2025 rate for Mr. Siegele of $360. </w:t>
            </w:r>
          </w:p>
          <w:p w:rsidR="005E206F" w:rsidP="005E206F" w:rsidRDefault="005E206F" w14:paraId="4293D3A9" w14:textId="10E5B3CF">
            <w:pPr>
              <w:rPr>
                <w:bCs/>
              </w:rPr>
            </w:pPr>
            <w:r w:rsidRPr="003F54A0">
              <w:rPr>
                <w:bCs/>
              </w:rPr>
              <w:t>This rate is derived by applying the proper escalation rate of 3.</w:t>
            </w:r>
            <w:r>
              <w:rPr>
                <w:bCs/>
              </w:rPr>
              <w:t>46</w:t>
            </w:r>
            <w:r w:rsidRPr="003F54A0">
              <w:rPr>
                <w:bCs/>
              </w:rPr>
              <w:t>% for 2025</w:t>
            </w:r>
            <w:r>
              <w:rPr>
                <w:bCs/>
              </w:rPr>
              <w:t xml:space="preserve">, as published by the Commission in the 2025 version of the hourly rate chart for intervenor compensation (see </w:t>
            </w:r>
            <w:r w:rsidRPr="0099378B">
              <w:rPr>
                <w:bCs/>
              </w:rPr>
              <w:t>https://www.cpuc.ca.gov/-/media/cpuc-website/divisions/administrative-law-judge-division/documents/icomp-materials/hourlyratechart-02132025.xlsm</w:t>
            </w:r>
            <w:r>
              <w:rPr>
                <w:bCs/>
              </w:rPr>
              <w:t>).</w:t>
            </w:r>
          </w:p>
          <w:p w:rsidRPr="003F54A0" w:rsidR="005E206F" w:rsidP="005E206F" w:rsidRDefault="005E206F" w14:paraId="3C2BC852" w14:textId="77777777">
            <w:pPr>
              <w:rPr>
                <w:bCs/>
              </w:rPr>
            </w:pPr>
            <w:r w:rsidRPr="003F54A0">
              <w:rPr>
                <w:bCs/>
              </w:rPr>
              <w:t xml:space="preserve">The resulting 2025 rate is $357 rounded up to the nearest $5, equals $360. </w:t>
            </w:r>
          </w:p>
          <w:p w:rsidR="005E206F" w:rsidP="005E206F" w:rsidRDefault="005E206F" w14:paraId="76B0C807" w14:textId="77777777">
            <w:pPr>
              <w:tabs>
                <w:tab w:val="left" w:pos="1260"/>
              </w:tabs>
              <w:rPr>
                <w:bCs/>
                <w:color w:val="000000"/>
              </w:rPr>
            </w:pPr>
            <w:r>
              <w:rPr>
                <w:bCs/>
                <w:color w:val="000000"/>
              </w:rPr>
              <w:t>[$345 x 1.</w:t>
            </w:r>
            <w:r w:rsidRPr="00E90865">
              <w:rPr>
                <w:bCs/>
                <w:color w:val="000000"/>
              </w:rPr>
              <w:t>0346 = $357 rounded up to the</w:t>
            </w:r>
            <w:r>
              <w:rPr>
                <w:bCs/>
                <w:color w:val="000000"/>
              </w:rPr>
              <w:t xml:space="preserve"> nearest $5 increment = $360].</w:t>
            </w:r>
            <w:r w:rsidRPr="00AE126A">
              <w:rPr>
                <w:bCs/>
                <w:color w:val="000000"/>
              </w:rPr>
              <w:t xml:space="preserve"> </w:t>
            </w:r>
          </w:p>
          <w:p w:rsidR="005E206F" w:rsidP="005E206F" w:rsidRDefault="005E206F" w14:paraId="76F6B75D" w14:textId="77777777">
            <w:pPr>
              <w:tabs>
                <w:tab w:val="left" w:pos="1260"/>
              </w:tabs>
              <w:rPr>
                <w:bCs/>
                <w:color w:val="000000"/>
              </w:rPr>
            </w:pPr>
          </w:p>
          <w:p w:rsidR="004C40B7" w:rsidP="004C40B7" w:rsidRDefault="002A1517" w14:paraId="61766D89" w14:textId="5BADD434">
            <w:pPr>
              <w:rPr>
                <w:bCs/>
                <w:color w:val="000000"/>
              </w:rPr>
            </w:pPr>
            <w:r>
              <w:rPr>
                <w:bCs/>
              </w:rPr>
              <w:t>T</w:t>
            </w:r>
            <w:r w:rsidR="004C40B7">
              <w:rPr>
                <w:bCs/>
              </w:rPr>
              <w:t>he</w:t>
            </w:r>
            <w:r w:rsidR="004F0CB6">
              <w:rPr>
                <w:bCs/>
              </w:rPr>
              <w:t xml:space="preserve"> CPUC-approved rate category for Mr. Siegele is </w:t>
            </w:r>
            <w:r w:rsidR="004C40B7">
              <w:rPr>
                <w:bCs/>
              </w:rPr>
              <w:t xml:space="preserve">“Expert – Not Otherwise </w:t>
            </w:r>
            <w:r w:rsidRPr="00E90865" w:rsidR="004C40B7">
              <w:rPr>
                <w:bCs/>
              </w:rPr>
              <w:t>Classified – V”</w:t>
            </w:r>
            <w:r w:rsidRPr="00E90865" w:rsidR="004F0CB6">
              <w:rPr>
                <w:bCs/>
              </w:rPr>
              <w:t xml:space="preserve"> (</w:t>
            </w:r>
            <w:r w:rsidRPr="00E90865" w:rsidR="004F0CB6">
              <w:rPr>
                <w:color w:val="000000"/>
              </w:rPr>
              <w:t>D.25</w:t>
            </w:r>
            <w:r w:rsidR="004F0CB6">
              <w:rPr>
                <w:color w:val="000000"/>
              </w:rPr>
              <w:t>-</w:t>
            </w:r>
            <w:r w:rsidRPr="00C22C42" w:rsidR="004F0CB6">
              <w:rPr>
                <w:color w:val="000000"/>
              </w:rPr>
              <w:t>03</w:t>
            </w:r>
            <w:r w:rsidR="004F0CB6">
              <w:rPr>
                <w:color w:val="000000"/>
              </w:rPr>
              <w:t>-</w:t>
            </w:r>
            <w:r w:rsidRPr="00C22C42" w:rsidR="004F0CB6">
              <w:rPr>
                <w:color w:val="000000"/>
              </w:rPr>
              <w:t>028</w:t>
            </w:r>
            <w:r w:rsidR="004F0CB6">
              <w:rPr>
                <w:bCs/>
              </w:rPr>
              <w:t>).</w:t>
            </w:r>
            <w:r w:rsidR="00A65047">
              <w:rPr>
                <w:bCs/>
              </w:rPr>
              <w:t xml:space="preserve"> The requested rate of $360 remains within the </w:t>
            </w:r>
            <w:r w:rsidR="001B58D8">
              <w:rPr>
                <w:bCs/>
              </w:rPr>
              <w:t>2025</w:t>
            </w:r>
            <w:r w:rsidR="00ED1137">
              <w:rPr>
                <w:bCs/>
              </w:rPr>
              <w:t xml:space="preserve"> range for this category. </w:t>
            </w:r>
          </w:p>
          <w:p w:rsidR="004C40B7" w:rsidP="005E206F" w:rsidRDefault="004C40B7" w14:paraId="1D168618" w14:textId="77777777">
            <w:pPr>
              <w:tabs>
                <w:tab w:val="left" w:pos="1260"/>
              </w:tabs>
              <w:rPr>
                <w:bCs/>
                <w:color w:val="000000"/>
              </w:rPr>
            </w:pPr>
          </w:p>
          <w:p w:rsidRPr="00B6486A" w:rsidR="00A92D0B" w:rsidP="001A3CF3" w:rsidRDefault="005E206F" w14:paraId="3AF20C23" w14:textId="1DBEF310">
            <w:pPr>
              <w:tabs>
                <w:tab w:val="left" w:pos="1260"/>
              </w:tabs>
              <w:rPr>
                <w:bCs/>
                <w:color w:val="000000"/>
              </w:rPr>
            </w:pPr>
            <w:r>
              <w:rPr>
                <w:bCs/>
                <w:color w:val="000000"/>
              </w:rPr>
              <w:t xml:space="preserve">Note: Mr. Siegele is a consultant to </w:t>
            </w:r>
            <w:r w:rsidR="00611426">
              <w:rPr>
                <w:bCs/>
                <w:color w:val="000000"/>
              </w:rPr>
              <w:t>UCAN</w:t>
            </w:r>
            <w:r>
              <w:rPr>
                <w:bCs/>
                <w:color w:val="000000"/>
              </w:rPr>
              <w:t xml:space="preserve">. The agreement between Mr. Siegele and </w:t>
            </w:r>
            <w:r w:rsidR="00611426">
              <w:rPr>
                <w:bCs/>
                <w:color w:val="000000"/>
              </w:rPr>
              <w:t>UCAN</w:t>
            </w:r>
            <w:r>
              <w:rPr>
                <w:bCs/>
                <w:color w:val="000000"/>
              </w:rPr>
              <w:t xml:space="preserve"> </w:t>
            </w:r>
            <w:r w:rsidR="00513704">
              <w:rPr>
                <w:bCs/>
                <w:color w:val="000000"/>
              </w:rPr>
              <w:t>is Attachment #2.</w:t>
            </w:r>
          </w:p>
        </w:tc>
      </w:tr>
    </w:tbl>
    <w:p w:rsidRPr="007F620E" w:rsidR="00A92D0B" w:rsidP="005B5B44" w:rsidRDefault="00A92D0B" w14:paraId="0D8B7003" w14:textId="57B1DA62">
      <w:pPr>
        <w:keepNext/>
        <w:numPr>
          <w:ilvl w:val="0"/>
          <w:numId w:val="9"/>
        </w:numPr>
        <w:spacing w:before="240" w:after="240"/>
        <w:rPr>
          <w:b/>
          <w:color w:val="000000"/>
        </w:rPr>
      </w:pPr>
      <w:r w:rsidRPr="007F620E">
        <w:rPr>
          <w:b/>
          <w:color w:val="000000"/>
        </w:rPr>
        <w:lastRenderedPageBreak/>
        <w:t xml:space="preserve">CPUC </w:t>
      </w:r>
      <w:r w:rsidR="008C09F7">
        <w:rPr>
          <w:b/>
          <w:color w:val="000000"/>
        </w:rPr>
        <w:t xml:space="preserve">Comments, </w:t>
      </w:r>
      <w:r w:rsidRPr="007F620E">
        <w:rPr>
          <w:b/>
          <w:color w:val="000000"/>
        </w:rPr>
        <w:t>Disallowances</w:t>
      </w:r>
      <w:r w:rsidR="008C09F7">
        <w:rPr>
          <w:b/>
          <w:color w:val="000000"/>
        </w:rPr>
        <w:t>,</w:t>
      </w:r>
      <w:r w:rsidRPr="007F620E" w:rsidR="00D075B1">
        <w:rPr>
          <w:b/>
          <w:color w:val="000000"/>
        </w:rPr>
        <w:t xml:space="preserve"> </w:t>
      </w:r>
      <w:r w:rsidRPr="007F620E" w:rsidR="00A319DE">
        <w:rPr>
          <w:b/>
          <w:color w:val="000000"/>
        </w:rPr>
        <w:t>and</w:t>
      </w:r>
      <w:r w:rsidRPr="007F620E" w:rsidR="00D075B1">
        <w:rPr>
          <w:b/>
          <w:color w:val="000000"/>
        </w:rPr>
        <w:t xml:space="preserve"> </w:t>
      </w:r>
      <w:r w:rsidRPr="007F620E">
        <w:rPr>
          <w:b/>
          <w:color w:val="000000"/>
        </w:rPr>
        <w:t>Adjustments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544"/>
        <w:gridCol w:w="7816"/>
      </w:tblGrid>
      <w:tr w:rsidRPr="007F620E" w:rsidR="00A92D0B" w:rsidTr="001251BA" w14:paraId="52CD0603" w14:textId="77777777">
        <w:trPr>
          <w:tblHeader/>
        </w:trPr>
        <w:tc>
          <w:tcPr>
            <w:tcW w:w="1544" w:type="dxa"/>
            <w:shd w:val="pct12" w:color="auto" w:fill="auto"/>
          </w:tcPr>
          <w:p w:rsidRPr="007F620E" w:rsidR="00A92D0B" w:rsidP="00EB64CF" w:rsidRDefault="00072C81" w14:paraId="3954EC4C" w14:textId="77777777">
            <w:pPr>
              <w:tabs>
                <w:tab w:val="left" w:pos="1440"/>
              </w:tabs>
              <w:jc w:val="center"/>
              <w:rPr>
                <w:b/>
                <w:color w:val="000000"/>
              </w:rPr>
            </w:pPr>
            <w:r w:rsidRPr="007F620E">
              <w:rPr>
                <w:b/>
                <w:color w:val="000000"/>
              </w:rPr>
              <w:t>Item</w:t>
            </w:r>
          </w:p>
        </w:tc>
        <w:tc>
          <w:tcPr>
            <w:tcW w:w="7816" w:type="dxa"/>
            <w:shd w:val="pct12" w:color="auto" w:fill="auto"/>
          </w:tcPr>
          <w:p w:rsidRPr="007F620E" w:rsidR="00A92D0B" w:rsidP="00EB64CF" w:rsidRDefault="00A92D0B" w14:paraId="09F9E4D9" w14:textId="77777777">
            <w:pPr>
              <w:tabs>
                <w:tab w:val="left" w:pos="1440"/>
              </w:tabs>
              <w:jc w:val="center"/>
              <w:rPr>
                <w:b/>
                <w:color w:val="000000"/>
              </w:rPr>
            </w:pPr>
            <w:r w:rsidRPr="007F620E">
              <w:rPr>
                <w:b/>
                <w:color w:val="000000"/>
              </w:rPr>
              <w:t>Reason</w:t>
            </w:r>
          </w:p>
        </w:tc>
      </w:tr>
      <w:tr w:rsidRPr="007F620E" w:rsidR="00A92D0B" w:rsidTr="001251BA" w14:paraId="69DEE01C" w14:textId="77777777">
        <w:tc>
          <w:tcPr>
            <w:tcW w:w="1544" w:type="dxa"/>
          </w:tcPr>
          <w:p w:rsidRPr="007F620E" w:rsidR="00A92D0B" w:rsidP="00EB64CF" w:rsidRDefault="001F27F3" w14:paraId="1E6C8F3D" w14:textId="1FC11F76">
            <w:pPr>
              <w:tabs>
                <w:tab w:val="left" w:pos="1440"/>
              </w:tabs>
              <w:rPr>
                <w:color w:val="000000"/>
              </w:rPr>
            </w:pPr>
            <w:r>
              <w:rPr>
                <w:color w:val="000000"/>
              </w:rPr>
              <w:t xml:space="preserve">[1] </w:t>
            </w:r>
            <w:r w:rsidR="008E0D8C">
              <w:rPr>
                <w:color w:val="000000"/>
              </w:rPr>
              <w:t xml:space="preserve">Jason </w:t>
            </w:r>
            <w:r w:rsidR="004863CB">
              <w:rPr>
                <w:color w:val="000000"/>
              </w:rPr>
              <w:t>Zeller 2024 &amp; 2025</w:t>
            </w:r>
            <w:r w:rsidR="00A4197A">
              <w:rPr>
                <w:color w:val="000000"/>
              </w:rPr>
              <w:t xml:space="preserve"> Hourly Rates</w:t>
            </w:r>
          </w:p>
        </w:tc>
        <w:tc>
          <w:tcPr>
            <w:tcW w:w="7816" w:type="dxa"/>
          </w:tcPr>
          <w:p w:rsidRPr="005969BA" w:rsidR="00014C81" w:rsidP="00014C81" w:rsidRDefault="00014C81" w14:paraId="451D9AE6" w14:textId="3237CA0A">
            <w:pPr>
              <w:tabs>
                <w:tab w:val="left" w:pos="1440"/>
              </w:tabs>
              <w:rPr>
                <w:color w:val="000000"/>
                <w:u w:val="single"/>
              </w:rPr>
            </w:pPr>
            <w:r w:rsidRPr="005969BA">
              <w:rPr>
                <w:color w:val="000000"/>
                <w:u w:val="single"/>
              </w:rPr>
              <w:t>202</w:t>
            </w:r>
            <w:r>
              <w:rPr>
                <w:color w:val="000000"/>
                <w:u w:val="single"/>
              </w:rPr>
              <w:t>4</w:t>
            </w:r>
            <w:r w:rsidRPr="005969BA">
              <w:rPr>
                <w:color w:val="000000"/>
                <w:u w:val="single"/>
              </w:rPr>
              <w:t xml:space="preserve"> Hourly Rate for </w:t>
            </w:r>
            <w:r>
              <w:rPr>
                <w:color w:val="000000"/>
                <w:u w:val="single"/>
              </w:rPr>
              <w:t>Jason Zeller</w:t>
            </w:r>
          </w:p>
          <w:p w:rsidR="00A92D0B" w:rsidP="00EB64CF" w:rsidRDefault="003408B8" w14:paraId="5A5B2222" w14:textId="388C1E55">
            <w:pPr>
              <w:tabs>
                <w:tab w:val="left" w:pos="1440"/>
              </w:tabs>
              <w:rPr>
                <w:color w:val="000000"/>
              </w:rPr>
            </w:pPr>
            <w:r>
              <w:rPr>
                <w:color w:val="000000"/>
              </w:rPr>
              <w:t>D.24-10-023 verified a 2024 rate of $770 for Jason Zeller as a Legal-Attorney</w:t>
            </w:r>
            <w:r w:rsidR="003B1368">
              <w:rPr>
                <w:color w:val="000000"/>
              </w:rPr>
              <w:t>-</w:t>
            </w:r>
            <w:r>
              <w:rPr>
                <w:color w:val="000000"/>
              </w:rPr>
              <w:t>V. We apply the same rate here.</w:t>
            </w:r>
          </w:p>
          <w:p w:rsidR="003B1368" w:rsidP="00EB64CF" w:rsidRDefault="003B1368" w14:paraId="538ADCDA" w14:textId="77777777">
            <w:pPr>
              <w:tabs>
                <w:tab w:val="left" w:pos="1440"/>
              </w:tabs>
              <w:rPr>
                <w:color w:val="000000"/>
              </w:rPr>
            </w:pPr>
          </w:p>
          <w:p w:rsidRPr="005969BA" w:rsidR="00014C81" w:rsidP="00014C81" w:rsidRDefault="00014C81" w14:paraId="65288B9B" w14:textId="62580FD8">
            <w:pPr>
              <w:tabs>
                <w:tab w:val="left" w:pos="1440"/>
              </w:tabs>
              <w:rPr>
                <w:color w:val="000000"/>
                <w:u w:val="single"/>
              </w:rPr>
            </w:pPr>
            <w:r w:rsidRPr="005969BA">
              <w:rPr>
                <w:color w:val="000000"/>
                <w:u w:val="single"/>
              </w:rPr>
              <w:t>202</w:t>
            </w:r>
            <w:r>
              <w:rPr>
                <w:color w:val="000000"/>
                <w:u w:val="single"/>
              </w:rPr>
              <w:t>5</w:t>
            </w:r>
            <w:r w:rsidRPr="005969BA">
              <w:rPr>
                <w:color w:val="000000"/>
                <w:u w:val="single"/>
              </w:rPr>
              <w:t xml:space="preserve"> Hourly Rate for </w:t>
            </w:r>
            <w:r>
              <w:rPr>
                <w:color w:val="000000"/>
                <w:u w:val="single"/>
              </w:rPr>
              <w:t>Jason Zeller</w:t>
            </w:r>
          </w:p>
          <w:p w:rsidR="003B1368" w:rsidP="00EB64CF" w:rsidRDefault="003B1368" w14:paraId="7C32BEAA" w14:textId="39FE928B">
            <w:pPr>
              <w:tabs>
                <w:tab w:val="left" w:pos="1440"/>
              </w:tabs>
              <w:rPr>
                <w:color w:val="FF0000"/>
              </w:rPr>
            </w:pPr>
            <w:r>
              <w:rPr>
                <w:color w:val="000000"/>
              </w:rPr>
              <w:t xml:space="preserve">UCAN requested a 2025 rate </w:t>
            </w:r>
            <w:r w:rsidRPr="00AA3686">
              <w:t>of $</w:t>
            </w:r>
            <w:r w:rsidRPr="00AA3686" w:rsidR="00014C81">
              <w:t>795</w:t>
            </w:r>
            <w:r w:rsidRPr="00AA3686">
              <w:t xml:space="preserve"> for Zeller as a Legal-Attorney-V. With an adopted 2024 rate of $770, an escalation factor of 3.46% would be $</w:t>
            </w:r>
            <w:r w:rsidRPr="00AA3686" w:rsidR="00014C81">
              <w:t>795</w:t>
            </w:r>
            <w:r w:rsidRPr="00AA3686">
              <w:t xml:space="preserve"> after rounding to the nearest $5 increment (range $</w:t>
            </w:r>
            <w:r w:rsidRPr="00AA3686" w:rsidR="0013306F">
              <w:t xml:space="preserve">584.51 </w:t>
            </w:r>
            <w:r w:rsidRPr="00AA3686">
              <w:t>to $</w:t>
            </w:r>
            <w:r w:rsidRPr="00AA3686" w:rsidR="0013306F">
              <w:t>797.23</w:t>
            </w:r>
            <w:r w:rsidRPr="00AA3686">
              <w:t>). We find the requested 2025 hourly rate of $</w:t>
            </w:r>
            <w:r w:rsidRPr="00AA3686" w:rsidR="00014C81">
              <w:t>795</w:t>
            </w:r>
            <w:r w:rsidRPr="00AA3686">
              <w:t xml:space="preserve"> to be reasonable and adopt it here.</w:t>
            </w:r>
          </w:p>
          <w:p w:rsidR="00014C81" w:rsidP="00EB64CF" w:rsidRDefault="00014C81" w14:paraId="3FD26503" w14:textId="77777777">
            <w:pPr>
              <w:tabs>
                <w:tab w:val="left" w:pos="1440"/>
              </w:tabs>
              <w:rPr>
                <w:color w:val="000000"/>
              </w:rPr>
            </w:pPr>
          </w:p>
          <w:p w:rsidRPr="002E7B77" w:rsidR="002E7B77" w:rsidP="00EB64CF" w:rsidRDefault="00014C81" w14:paraId="45BFCB16" w14:textId="148E4F3B">
            <w:pPr>
              <w:tabs>
                <w:tab w:val="left" w:pos="1440"/>
              </w:tabs>
              <w:rPr>
                <w:color w:val="FF0000"/>
              </w:rPr>
            </w:pPr>
            <w:r>
              <w:rPr>
                <w:color w:val="000000"/>
              </w:rPr>
              <w:t xml:space="preserve">Intervenor Compensation Claim Preparation is rated at ½ preparer’s normal rate, bringing the 2025 </w:t>
            </w:r>
            <w:r w:rsidR="007547B5">
              <w:rPr>
                <w:color w:val="000000"/>
              </w:rPr>
              <w:t xml:space="preserve">intervenor compensation </w:t>
            </w:r>
            <w:r>
              <w:rPr>
                <w:color w:val="000000"/>
              </w:rPr>
              <w:t xml:space="preserve">claim preparation rate for Zeller </w:t>
            </w:r>
            <w:r w:rsidRPr="00AA3686">
              <w:t>to $</w:t>
            </w:r>
            <w:r w:rsidRPr="00AA3686" w:rsidR="00AA3686">
              <w:t>397</w:t>
            </w:r>
            <w:r w:rsidR="00AA3686">
              <w:rPr>
                <w:color w:val="000000"/>
              </w:rPr>
              <w:t>.50</w:t>
            </w:r>
            <w:r>
              <w:rPr>
                <w:color w:val="FF0000"/>
              </w:rPr>
              <w:t>.</w:t>
            </w:r>
          </w:p>
        </w:tc>
      </w:tr>
      <w:tr w:rsidRPr="007F620E" w:rsidR="001251BA" w:rsidTr="001251BA" w14:paraId="7A0CB7EA" w14:textId="77777777">
        <w:tc>
          <w:tcPr>
            <w:tcW w:w="1544" w:type="dxa"/>
          </w:tcPr>
          <w:p w:rsidR="001251BA" w:rsidP="001251BA" w:rsidRDefault="001F27F3" w14:paraId="10BD5E8C" w14:textId="7843A252">
            <w:pPr>
              <w:tabs>
                <w:tab w:val="left" w:pos="1440"/>
              </w:tabs>
              <w:rPr>
                <w:color w:val="000000"/>
              </w:rPr>
            </w:pPr>
            <w:r>
              <w:rPr>
                <w:color w:val="000000"/>
              </w:rPr>
              <w:t xml:space="preserve">[2] </w:t>
            </w:r>
            <w:r w:rsidR="001251BA">
              <w:rPr>
                <w:color w:val="000000"/>
              </w:rPr>
              <w:t>Tyson Siegele 2024 &amp; 2025</w:t>
            </w:r>
            <w:r w:rsidR="00A4197A">
              <w:rPr>
                <w:color w:val="000000"/>
              </w:rPr>
              <w:t xml:space="preserve"> Hourly Rates</w:t>
            </w:r>
          </w:p>
          <w:p w:rsidR="001251BA" w:rsidP="001251BA" w:rsidRDefault="001251BA" w14:paraId="04746CB8" w14:textId="4BE0E56B">
            <w:pPr>
              <w:tabs>
                <w:tab w:val="left" w:pos="1440"/>
              </w:tabs>
              <w:rPr>
                <w:color w:val="000000"/>
              </w:rPr>
            </w:pPr>
            <w:r>
              <w:rPr>
                <w:color w:val="000000"/>
              </w:rPr>
              <w:t>(Consultant)</w:t>
            </w:r>
          </w:p>
        </w:tc>
        <w:tc>
          <w:tcPr>
            <w:tcW w:w="7816" w:type="dxa"/>
          </w:tcPr>
          <w:p w:rsidR="001251BA" w:rsidP="001251BA" w:rsidRDefault="001251BA" w14:paraId="72B82328" w14:textId="1C9702D6">
            <w:pPr>
              <w:tabs>
                <w:tab w:val="left" w:pos="1440"/>
              </w:tabs>
              <w:spacing w:before="120"/>
              <w:rPr>
                <w:color w:val="000000"/>
              </w:rPr>
            </w:pPr>
            <w:r>
              <w:rPr>
                <w:color w:val="000000"/>
              </w:rPr>
              <w:t>UCAN</w:t>
            </w:r>
            <w:r w:rsidRPr="00C55924">
              <w:rPr>
                <w:color w:val="000000"/>
              </w:rPr>
              <w:t xml:space="preserve"> has confirmed that </w:t>
            </w:r>
            <w:r>
              <w:rPr>
                <w:color w:val="000000"/>
              </w:rPr>
              <w:t>Tyson Siegele</w:t>
            </w:r>
            <w:r w:rsidRPr="00C55924">
              <w:rPr>
                <w:color w:val="000000"/>
              </w:rPr>
              <w:t xml:space="preserve"> is a consultant. Pursuant to Commission policy, the rate requested by an intervenor must not exceed the rate billed to that intervenor by any outside consultant it hires, even if the consultant’s billed rate is below the floor for a given experience level.</w:t>
            </w:r>
            <w:r w:rsidR="005E2D80">
              <w:rPr>
                <w:rStyle w:val="FootnoteReference"/>
                <w:color w:val="000000"/>
              </w:rPr>
              <w:footnoteReference w:id="6"/>
            </w:r>
            <w:r w:rsidRPr="00C55924">
              <w:rPr>
                <w:color w:val="000000"/>
              </w:rPr>
              <w:t xml:space="preserve"> Per the </w:t>
            </w:r>
            <w:proofErr w:type="spellStart"/>
            <w:r w:rsidRPr="00C55924">
              <w:rPr>
                <w:color w:val="000000"/>
              </w:rPr>
              <w:t>IComp</w:t>
            </w:r>
            <w:proofErr w:type="spellEnd"/>
            <w:r w:rsidRPr="00C55924">
              <w:rPr>
                <w:color w:val="000000"/>
              </w:rPr>
              <w:t xml:space="preserve"> Program Guide at 24, the Commission may audit the records and books of the intervenors to the extent necessary to verify the basis for the award (§ 1804(d)). </w:t>
            </w:r>
          </w:p>
          <w:p w:rsidR="006801D4" w:rsidP="006801D4" w:rsidRDefault="006801D4" w14:paraId="68D27161" w14:textId="77777777">
            <w:pPr>
              <w:tabs>
                <w:tab w:val="left" w:pos="1440"/>
              </w:tabs>
              <w:rPr>
                <w:color w:val="000000"/>
                <w:u w:val="single"/>
              </w:rPr>
            </w:pPr>
          </w:p>
          <w:p w:rsidRPr="006801D4" w:rsidR="006801D4" w:rsidP="006801D4" w:rsidRDefault="006801D4" w14:paraId="72D823F1" w14:textId="19F861F3">
            <w:pPr>
              <w:tabs>
                <w:tab w:val="left" w:pos="1440"/>
              </w:tabs>
              <w:rPr>
                <w:color w:val="000000"/>
                <w:u w:val="single"/>
              </w:rPr>
            </w:pPr>
            <w:r w:rsidRPr="006801D4">
              <w:rPr>
                <w:color w:val="000000"/>
                <w:u w:val="single"/>
              </w:rPr>
              <w:t>2024 Hourly Rate for Tyson Siegele</w:t>
            </w:r>
          </w:p>
          <w:p w:rsidRPr="001251BA" w:rsidR="001251BA" w:rsidP="001251BA" w:rsidRDefault="001251BA" w14:paraId="62DD6E3F" w14:textId="7F38DB85">
            <w:pPr>
              <w:tabs>
                <w:tab w:val="left" w:pos="1440"/>
              </w:tabs>
              <w:rPr>
                <w:color w:val="000000"/>
              </w:rPr>
            </w:pPr>
            <w:r w:rsidRPr="006801D4">
              <w:rPr>
                <w:color w:val="000000"/>
              </w:rPr>
              <w:t xml:space="preserve">UCAN has confirmed that per the terms of their contract, Siegele has been hired on a contingency rate basis, meaning that Siegele has agreed to defer its consulting fee contingent upon receipt of this Intervenor Compensation award. </w:t>
            </w:r>
            <w:r w:rsidRPr="006801D4" w:rsidR="005E2D80">
              <w:rPr>
                <w:color w:val="000000"/>
              </w:rPr>
              <w:t>Given this contingency, we utilize the reasonable rates established by Resolution ALJ-393 based on Tyson Siegele’s experience as an Expert-Expert</w:t>
            </w:r>
            <w:r w:rsidRPr="006801D4" w:rsidR="006801D4">
              <w:rPr>
                <w:color w:val="000000"/>
              </w:rPr>
              <w:t xml:space="preserve"> </w:t>
            </w:r>
            <w:r w:rsidRPr="006801D4" w:rsidR="005E2D80">
              <w:rPr>
                <w:color w:val="000000"/>
              </w:rPr>
              <w:t xml:space="preserve">Not Otherwise Classified-V. Given that the </w:t>
            </w:r>
            <w:r w:rsidRPr="006801D4" w:rsidR="006801D4">
              <w:rPr>
                <w:color w:val="000000"/>
              </w:rPr>
              <w:t>2024</w:t>
            </w:r>
            <w:r w:rsidRPr="006801D4" w:rsidR="005E2D80">
              <w:rPr>
                <w:color w:val="000000"/>
              </w:rPr>
              <w:t xml:space="preserve"> rate range for</w:t>
            </w:r>
            <w:r w:rsidR="005E2D80">
              <w:rPr>
                <w:rFonts w:ascii="Georgia" w:hAnsi="Georgia"/>
                <w:color w:val="000000"/>
              </w:rPr>
              <w:t xml:space="preserve"> </w:t>
            </w:r>
            <w:r w:rsidRPr="006801D4" w:rsidR="006801D4">
              <w:rPr>
                <w:color w:val="000000"/>
              </w:rPr>
              <w:t>an Expert-Expert Not Otherwise Classified-V</w:t>
            </w:r>
            <w:r w:rsidRPr="006801D4" w:rsidR="005E2D80">
              <w:rPr>
                <w:color w:val="000000"/>
              </w:rPr>
              <w:t xml:space="preserve"> is $</w:t>
            </w:r>
            <w:r w:rsidR="006801D4">
              <w:rPr>
                <w:color w:val="000000"/>
              </w:rPr>
              <w:t>253.40 to $390.78,</w:t>
            </w:r>
            <w:r w:rsidRPr="006801D4" w:rsidR="005E2D80">
              <w:rPr>
                <w:color w:val="000000"/>
              </w:rPr>
              <w:t xml:space="preserve"> we find the requested 202</w:t>
            </w:r>
            <w:r w:rsidRPr="006801D4" w:rsidR="006801D4">
              <w:rPr>
                <w:color w:val="000000"/>
              </w:rPr>
              <w:t>4</w:t>
            </w:r>
            <w:r w:rsidRPr="006801D4" w:rsidR="005E2D80">
              <w:rPr>
                <w:color w:val="000000"/>
              </w:rPr>
              <w:t xml:space="preserve"> hourly rate of $</w:t>
            </w:r>
            <w:r w:rsidRPr="006801D4" w:rsidR="006801D4">
              <w:rPr>
                <w:color w:val="000000"/>
              </w:rPr>
              <w:t>345</w:t>
            </w:r>
            <w:r w:rsidRPr="006801D4" w:rsidR="005E2D80">
              <w:rPr>
                <w:color w:val="000000"/>
              </w:rPr>
              <w:t xml:space="preserve"> to be reasonable and we adopt it here.</w:t>
            </w:r>
            <w:r w:rsidR="005E2D80">
              <w:rPr>
                <w:rFonts w:ascii="Georgia" w:hAnsi="Georgia"/>
                <w:color w:val="000000"/>
              </w:rPr>
              <w:t> </w:t>
            </w:r>
          </w:p>
          <w:p w:rsidR="001251BA" w:rsidP="001251BA" w:rsidRDefault="001251BA" w14:paraId="36BC5EBD" w14:textId="77777777">
            <w:pPr>
              <w:tabs>
                <w:tab w:val="left" w:pos="1440"/>
              </w:tabs>
              <w:rPr>
                <w:color w:val="000000"/>
              </w:rPr>
            </w:pPr>
          </w:p>
          <w:p w:rsidRPr="005407C8" w:rsidR="001251BA" w:rsidP="001251BA" w:rsidRDefault="001251BA" w14:paraId="738B3B6B" w14:textId="77777777">
            <w:pPr>
              <w:tabs>
                <w:tab w:val="left" w:pos="1440"/>
              </w:tabs>
              <w:rPr>
                <w:color w:val="000000"/>
                <w:u w:val="single"/>
              </w:rPr>
            </w:pPr>
            <w:r w:rsidRPr="005407C8">
              <w:rPr>
                <w:color w:val="000000"/>
                <w:u w:val="single"/>
              </w:rPr>
              <w:t>2025 Hourly Rate for Tyson Siegele</w:t>
            </w:r>
          </w:p>
          <w:p w:rsidRPr="006A2580" w:rsidR="009C76B3" w:rsidP="006801D4" w:rsidRDefault="006801D4" w14:paraId="01C93E77" w14:textId="6DCC691F">
            <w:pPr>
              <w:tabs>
                <w:tab w:val="left" w:pos="1440"/>
              </w:tabs>
              <w:rPr>
                <w:rFonts w:ascii="Georgia" w:hAnsi="Georgia"/>
                <w:color w:val="000000"/>
              </w:rPr>
            </w:pPr>
            <w:r w:rsidRPr="005407C8">
              <w:rPr>
                <w:color w:val="000000"/>
              </w:rPr>
              <w:t>UCAN</w:t>
            </w:r>
            <w:r w:rsidRPr="006801D4">
              <w:rPr>
                <w:color w:val="000000"/>
              </w:rPr>
              <w:t xml:space="preserve"> has confirmed that per the terms of their contract, Siegele has been hired on a contingency rate basis, meaning that Siegele has agreed to defer its consulting fee contingent upon receipt of this Intervenor Compensation award. Given this contingency, we utilize the reasonable rates established by Resolution ALJ-393 based on Tyson Siegele’s experience as an Expert-Expert Not Otherwise Classified-V. </w:t>
            </w:r>
            <w:r w:rsidR="005F5959">
              <w:rPr>
                <w:bCs/>
                <w:color w:val="000000"/>
              </w:rPr>
              <w:t xml:space="preserve">UCAN requests a 2025 rate for Siegele of $360. </w:t>
            </w:r>
            <w:r w:rsidRPr="006801D4">
              <w:rPr>
                <w:color w:val="000000"/>
              </w:rPr>
              <w:t>Given that the 202</w:t>
            </w:r>
            <w:r>
              <w:rPr>
                <w:color w:val="000000"/>
              </w:rPr>
              <w:t>5</w:t>
            </w:r>
            <w:r w:rsidRPr="006801D4">
              <w:rPr>
                <w:color w:val="000000"/>
              </w:rPr>
              <w:t xml:space="preserve"> rate range for</w:t>
            </w:r>
            <w:r>
              <w:rPr>
                <w:rFonts w:ascii="Georgia" w:hAnsi="Georgia"/>
                <w:color w:val="000000"/>
              </w:rPr>
              <w:t xml:space="preserve"> </w:t>
            </w:r>
            <w:r w:rsidRPr="006801D4">
              <w:rPr>
                <w:color w:val="000000"/>
              </w:rPr>
              <w:t>an Expert- Expert Not Otherwise Classified-</w:t>
            </w:r>
            <w:r w:rsidRPr="006801D4">
              <w:rPr>
                <w:color w:val="000000"/>
              </w:rPr>
              <w:lastRenderedPageBreak/>
              <w:t xml:space="preserve">V is $264.22 to $401.60, we find </w:t>
            </w:r>
            <w:r w:rsidR="005F370E">
              <w:rPr>
                <w:color w:val="000000"/>
              </w:rPr>
              <w:t>a</w:t>
            </w:r>
            <w:r w:rsidRPr="006801D4">
              <w:rPr>
                <w:color w:val="000000"/>
              </w:rPr>
              <w:t xml:space="preserve"> 202</w:t>
            </w:r>
            <w:r>
              <w:rPr>
                <w:color w:val="000000"/>
              </w:rPr>
              <w:t>5</w:t>
            </w:r>
            <w:r w:rsidRPr="006801D4">
              <w:rPr>
                <w:color w:val="000000"/>
              </w:rPr>
              <w:t xml:space="preserve"> hourly rate of $3</w:t>
            </w:r>
            <w:r w:rsidR="00871553">
              <w:rPr>
                <w:color w:val="000000"/>
              </w:rPr>
              <w:t>55</w:t>
            </w:r>
            <w:r w:rsidRPr="006801D4">
              <w:rPr>
                <w:color w:val="000000"/>
              </w:rPr>
              <w:t xml:space="preserve"> to be reasonable and we adopt it here.</w:t>
            </w:r>
            <w:r>
              <w:rPr>
                <w:rFonts w:ascii="Georgia" w:hAnsi="Georgia"/>
                <w:color w:val="000000"/>
              </w:rPr>
              <w:t> </w:t>
            </w:r>
            <w:r w:rsidR="009C76B3">
              <w:rPr>
                <w:color w:val="000000"/>
              </w:rPr>
              <w:t>Intervenor Compensation Claim Preparation is rated at ½ preparer’s normal rate, bringing the 2025</w:t>
            </w:r>
            <w:r w:rsidR="00CE065F">
              <w:rPr>
                <w:color w:val="000000"/>
              </w:rPr>
              <w:t xml:space="preserve"> intervenor</w:t>
            </w:r>
            <w:r w:rsidR="00E04EA4">
              <w:rPr>
                <w:color w:val="000000"/>
              </w:rPr>
              <w:t xml:space="preserve"> compensation</w:t>
            </w:r>
            <w:r w:rsidR="009C76B3">
              <w:rPr>
                <w:color w:val="000000"/>
              </w:rPr>
              <w:t xml:space="preserve"> claim preparation rate for Siegele to $177.50.</w:t>
            </w:r>
          </w:p>
          <w:p w:rsidRPr="007F620E" w:rsidR="002E7B77" w:rsidP="004722D0" w:rsidRDefault="001251BA" w14:paraId="017B80E6" w14:textId="6B5C73F7">
            <w:pPr>
              <w:spacing w:before="60" w:after="60"/>
              <w:rPr>
                <w:color w:val="000000"/>
              </w:rPr>
            </w:pPr>
            <w:r w:rsidRPr="00C55924">
              <w:rPr>
                <w:color w:val="000000"/>
              </w:rPr>
              <w:br/>
              <w:t xml:space="preserve">The award determined herein for </w:t>
            </w:r>
            <w:r>
              <w:rPr>
                <w:color w:val="000000"/>
              </w:rPr>
              <w:t>Tyson Siegele</w:t>
            </w:r>
            <w:r w:rsidRPr="00C55924">
              <w:rPr>
                <w:color w:val="000000"/>
              </w:rPr>
              <w:t xml:space="preserve">’s contribution in this proceeding shall be paid in full to </w:t>
            </w:r>
            <w:r>
              <w:rPr>
                <w:color w:val="000000"/>
              </w:rPr>
              <w:t>Siegele</w:t>
            </w:r>
            <w:r w:rsidRPr="00C55924">
              <w:rPr>
                <w:color w:val="000000"/>
              </w:rPr>
              <w:t xml:space="preserve">, and no portion of this part of the award shall be kept by </w:t>
            </w:r>
            <w:r>
              <w:rPr>
                <w:color w:val="000000"/>
              </w:rPr>
              <w:t>UCAN</w:t>
            </w:r>
            <w:r w:rsidRPr="00C55924">
              <w:rPr>
                <w:color w:val="000000"/>
              </w:rPr>
              <w:t>. Additionally, the rates approved here are specific to work in this proceeding and the contract terms between the consultant and intervenor, as they are established in accordance with the Commission’s policy on consultant compensation</w:t>
            </w:r>
            <w:r w:rsidR="006801D4">
              <w:rPr>
                <w:color w:val="000000"/>
              </w:rPr>
              <w:t>, and the understanding that the consultant has not billed or collected compensation for the work performed until the final award is given.</w:t>
            </w:r>
          </w:p>
        </w:tc>
      </w:tr>
      <w:tr w:rsidRPr="007F620E" w:rsidR="001D15E1" w:rsidTr="001251BA" w14:paraId="5D86F21C" w14:textId="77777777">
        <w:tc>
          <w:tcPr>
            <w:tcW w:w="1544" w:type="dxa"/>
          </w:tcPr>
          <w:p w:rsidR="001D15E1" w:rsidP="001D15E1" w:rsidRDefault="001D15E1" w14:paraId="4983A00B" w14:textId="56A8262B">
            <w:pPr>
              <w:tabs>
                <w:tab w:val="left" w:pos="1440"/>
              </w:tabs>
              <w:rPr>
                <w:color w:val="000000"/>
              </w:rPr>
            </w:pPr>
            <w:r>
              <w:rPr>
                <w:color w:val="000000"/>
              </w:rPr>
              <w:lastRenderedPageBreak/>
              <w:t>[</w:t>
            </w:r>
            <w:r w:rsidR="005E2D80">
              <w:rPr>
                <w:color w:val="000000"/>
              </w:rPr>
              <w:t>3</w:t>
            </w:r>
            <w:r>
              <w:rPr>
                <w:color w:val="000000"/>
              </w:rPr>
              <w:t>]</w:t>
            </w:r>
            <w:r w:rsidR="00BE088B">
              <w:rPr>
                <w:color w:val="000000"/>
              </w:rPr>
              <w:t xml:space="preserve"> </w:t>
            </w:r>
            <w:r w:rsidR="002E7B77">
              <w:rPr>
                <w:color w:val="000000"/>
              </w:rPr>
              <w:t xml:space="preserve">2024 </w:t>
            </w:r>
            <w:r w:rsidR="00BE088B">
              <w:rPr>
                <w:color w:val="000000"/>
              </w:rPr>
              <w:t>Excessive Hours Disallowance</w:t>
            </w:r>
          </w:p>
        </w:tc>
        <w:tc>
          <w:tcPr>
            <w:tcW w:w="7816" w:type="dxa"/>
          </w:tcPr>
          <w:p w:rsidRPr="002E7B77" w:rsidR="006C5210" w:rsidP="006C5210" w:rsidRDefault="00BE088B" w14:paraId="599FAB99" w14:textId="32E93ACB">
            <w:pPr>
              <w:tabs>
                <w:tab w:val="left" w:pos="1440"/>
              </w:tabs>
              <w:rPr>
                <w:bCs/>
                <w:color w:val="000000"/>
              </w:rPr>
            </w:pPr>
            <w:r w:rsidRPr="00564BD1">
              <w:rPr>
                <w:bCs/>
                <w:color w:val="000000"/>
              </w:rPr>
              <w:t>In 2024</w:t>
            </w:r>
            <w:r w:rsidRPr="003542FA">
              <w:rPr>
                <w:bCs/>
                <w:color w:val="000000"/>
              </w:rPr>
              <w:t>,</w:t>
            </w:r>
            <w:r w:rsidRPr="005E2D80">
              <w:rPr>
                <w:bCs/>
                <w:color w:val="000000"/>
              </w:rPr>
              <w:t xml:space="preserve"> Jason Zeller and Tyson Siegele spent approximately 27 hours writing, reviewing, analyzing data, and editing UCAN’s Reply Comments on the Future </w:t>
            </w:r>
            <w:r w:rsidRPr="005E2D80" w:rsidR="005E2D80">
              <w:rPr>
                <w:bCs/>
                <w:color w:val="000000"/>
              </w:rPr>
              <w:t xml:space="preserve">Status </w:t>
            </w:r>
            <w:r w:rsidRPr="005E2D80">
              <w:rPr>
                <w:bCs/>
                <w:color w:val="000000"/>
              </w:rPr>
              <w:t xml:space="preserve">of Disconnection Caps (10/4/2024). We find this excessive for the 11.5 pages of substantial work product produced and therefore disallow 2 hours from Zeller and 2 hours from Siegele from UCAN’s 2024 requested hours. </w:t>
            </w:r>
          </w:p>
        </w:tc>
      </w:tr>
      <w:tr w:rsidRPr="007F620E" w:rsidR="001D15E1" w:rsidTr="001251BA" w14:paraId="52155EFC" w14:textId="77777777">
        <w:tc>
          <w:tcPr>
            <w:tcW w:w="1544" w:type="dxa"/>
          </w:tcPr>
          <w:p w:rsidRPr="007F620E" w:rsidR="001D15E1" w:rsidP="001D15E1" w:rsidRDefault="001D15E1" w14:paraId="26487933" w14:textId="41BEE37B">
            <w:pPr>
              <w:tabs>
                <w:tab w:val="left" w:pos="1440"/>
              </w:tabs>
              <w:rPr>
                <w:color w:val="000000"/>
              </w:rPr>
            </w:pPr>
            <w:r w:rsidRPr="001D15E1">
              <w:rPr>
                <w:color w:val="000000"/>
              </w:rPr>
              <w:t>[</w:t>
            </w:r>
            <w:r w:rsidR="005E2D80">
              <w:rPr>
                <w:color w:val="000000"/>
              </w:rPr>
              <w:t>4</w:t>
            </w:r>
            <w:r w:rsidRPr="001D15E1">
              <w:rPr>
                <w:color w:val="000000"/>
              </w:rPr>
              <w:t>]</w:t>
            </w:r>
            <w:r>
              <w:rPr>
                <w:color w:val="000000"/>
              </w:rPr>
              <w:t xml:space="preserve"> </w:t>
            </w:r>
            <w:r w:rsidR="00D1026C">
              <w:rPr>
                <w:color w:val="000000"/>
              </w:rPr>
              <w:t xml:space="preserve">Contingency </w:t>
            </w:r>
            <w:r>
              <w:rPr>
                <w:color w:val="000000"/>
              </w:rPr>
              <w:t>Rate</w:t>
            </w:r>
            <w:r w:rsidR="00D1026C">
              <w:rPr>
                <w:color w:val="000000"/>
              </w:rPr>
              <w:t xml:space="preserve"> Disclaimer</w:t>
            </w:r>
          </w:p>
        </w:tc>
        <w:tc>
          <w:tcPr>
            <w:tcW w:w="7816" w:type="dxa"/>
          </w:tcPr>
          <w:p w:rsidRPr="00060E07" w:rsidR="001E0F45" w:rsidP="00060E07" w:rsidRDefault="001E0F45" w14:paraId="40C2AE32" w14:textId="77777777">
            <w:r w:rsidRPr="00060E07">
              <w:t>The Commission takes this opportunity to remind all intervenors that they bear the burden of providing accurate, complete, and honest information in all compensation requests. The Commission relies on intervenors' good faith representations, particularly regarding consultant agreements and payments, as it does not have the resources to review every contract or non-standard arrangement in detail.</w:t>
            </w:r>
          </w:p>
          <w:p w:rsidRPr="00060E07" w:rsidR="001E0F45" w:rsidP="00060E07" w:rsidRDefault="001E0F45" w14:paraId="07A19D4B" w14:textId="77777777"/>
          <w:p w:rsidRPr="00060E07" w:rsidR="001E0F45" w:rsidP="00060E07" w:rsidRDefault="001E0F45" w14:paraId="5E1BF3A7" w14:textId="77777777">
            <w:r w:rsidRPr="00060E07">
              <w:t>Intervenor compensation is funded by ratepayers, and the Commission takes seriously any effort to mislead or obscure the financial basis for a claim. Although no violation of Rule 1.1 has been found in this instance, we remind intervenors that under Rule 1.1, intent to deceive is not required for a violation, misstatements may still be actionable. Dishonest or misleading claims not only risk denial of compensation but may also subject the intervenor to penalties.</w:t>
            </w:r>
          </w:p>
          <w:p w:rsidRPr="00060E07" w:rsidR="001E0F45" w:rsidP="00060E07" w:rsidRDefault="001E0F45" w14:paraId="715F2A5A" w14:textId="77777777"/>
          <w:p w:rsidRPr="001E0F45" w:rsidR="001D15E1" w:rsidP="001D15E1" w:rsidRDefault="001E0F45" w14:paraId="455E6A00" w14:textId="7B081BAE">
            <w:pPr>
              <w:rPr>
                <w:b/>
                <w:bCs/>
                <w:color w:val="FF0000"/>
              </w:rPr>
            </w:pPr>
            <w:r w:rsidRPr="00060E07">
              <w:t>The Commission has clear authority to audit intervenors' books and records to verify the basis for any award. Intervenors must therefore ensure full transparency regarding actual time spent on issues, consultant fees, payment arrangements, and the actual disbursement of funds. Failure to meet this obligation undermines the integrity of the compensation process and may lead to denial of claims or further enforcement action.</w:t>
            </w:r>
          </w:p>
        </w:tc>
      </w:tr>
    </w:tbl>
    <w:p w:rsidRPr="007F620E" w:rsidR="00A92D0B" w:rsidP="00575494" w:rsidRDefault="00A92D0B" w14:paraId="18E9D359" w14:textId="6CF07914">
      <w:pPr>
        <w:keepNext/>
        <w:tabs>
          <w:tab w:val="left" w:pos="1260"/>
        </w:tabs>
        <w:spacing w:before="480"/>
        <w:jc w:val="center"/>
        <w:rPr>
          <w:b/>
          <w:color w:val="000000"/>
        </w:rPr>
      </w:pPr>
      <w:r w:rsidRPr="007F620E">
        <w:rPr>
          <w:b/>
          <w:color w:val="000000"/>
        </w:rPr>
        <w:lastRenderedPageBreak/>
        <w:t>PART IV:</w:t>
      </w:r>
      <w:r w:rsidR="00D1778A">
        <w:rPr>
          <w:b/>
          <w:color w:val="000000"/>
        </w:rPr>
        <w:t xml:space="preserve">  </w:t>
      </w:r>
      <w:r w:rsidRPr="007F620E">
        <w:rPr>
          <w:b/>
          <w:color w:val="000000"/>
        </w:rPr>
        <w:t>OPPOSITIONS AND COMMENTS</w:t>
      </w:r>
    </w:p>
    <w:p w:rsidR="00D1778A" w:rsidP="00575494" w:rsidRDefault="00A92D0B" w14:paraId="4E460EA0" w14:textId="77777777">
      <w:pPr>
        <w:keepNext/>
        <w:tabs>
          <w:tab w:val="left" w:pos="1260"/>
        </w:tabs>
        <w:ind w:left="1267" w:hanging="1267"/>
        <w:jc w:val="center"/>
        <w:rPr>
          <w:b/>
          <w:color w:val="000000"/>
        </w:rPr>
      </w:pPr>
      <w:r w:rsidRPr="007F620E">
        <w:rPr>
          <w:b/>
          <w:color w:val="000000"/>
        </w:rPr>
        <w:t>Within 30 days after service of this Claim, Commission Staff</w:t>
      </w:r>
    </w:p>
    <w:p w:rsidRPr="007F620E" w:rsidR="00A92D0B" w:rsidP="00575494" w:rsidRDefault="00F20061" w14:paraId="5D5DC317" w14:textId="6B3AEA94">
      <w:pPr>
        <w:keepNext/>
        <w:tabs>
          <w:tab w:val="left" w:pos="1260"/>
        </w:tabs>
        <w:spacing w:after="240"/>
        <w:ind w:left="1267" w:hanging="1267"/>
        <w:jc w:val="center"/>
        <w:rPr>
          <w:b/>
          <w:color w:val="000000"/>
        </w:rPr>
      </w:pPr>
      <w:r>
        <w:rPr>
          <w:b/>
          <w:color w:val="000000"/>
        </w:rPr>
        <w:t xml:space="preserve"> </w:t>
      </w:r>
      <w:r w:rsidRPr="007F620E" w:rsidR="00A92D0B">
        <w:rPr>
          <w:b/>
          <w:color w:val="000000"/>
        </w:rPr>
        <w:t>or any other party may file a response to the Claim (</w:t>
      </w:r>
      <w:r w:rsidRPr="007F620E" w:rsidR="00A92D0B">
        <w:rPr>
          <w:b/>
          <w:i/>
          <w:color w:val="000000"/>
        </w:rPr>
        <w:t>see</w:t>
      </w:r>
      <w:r w:rsidRPr="007F620E" w:rsidR="00A92D0B">
        <w:rPr>
          <w:b/>
          <w:color w:val="000000"/>
        </w:rPr>
        <w:t xml:space="preserve"> § 1804(c))</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6"/>
        <w:gridCol w:w="2024"/>
      </w:tblGrid>
      <w:tr w:rsidRPr="007F620E" w:rsidR="00A92D0B" w:rsidTr="005A3018" w14:paraId="46A51699" w14:textId="77777777">
        <w:tc>
          <w:tcPr>
            <w:tcW w:w="7336" w:type="dxa"/>
          </w:tcPr>
          <w:p w:rsidRPr="007F620E" w:rsidR="00A92D0B" w:rsidP="005A3018" w:rsidRDefault="00A92D0B" w14:paraId="607B1FB9" w14:textId="639D7800">
            <w:pPr>
              <w:ind w:left="360" w:hanging="360"/>
              <w:rPr>
                <w:color w:val="000000"/>
              </w:rPr>
            </w:pPr>
            <w:r w:rsidRPr="007F620E">
              <w:rPr>
                <w:b/>
                <w:color w:val="000000"/>
              </w:rPr>
              <w:t>A.</w:t>
            </w:r>
            <w:r w:rsidR="005A3018">
              <w:rPr>
                <w:b/>
                <w:color w:val="000000"/>
              </w:rPr>
              <w:tab/>
            </w:r>
            <w:r w:rsidRPr="007F620E">
              <w:rPr>
                <w:b/>
                <w:color w:val="000000"/>
              </w:rPr>
              <w:t>Opposition:  Did any party oppose the Claim?</w:t>
            </w:r>
          </w:p>
        </w:tc>
        <w:tc>
          <w:tcPr>
            <w:tcW w:w="2024" w:type="dxa"/>
          </w:tcPr>
          <w:p w:rsidRPr="007F620E" w:rsidR="00A92D0B" w:rsidP="00720770" w:rsidRDefault="00720770" w14:paraId="6E7CD931" w14:textId="5C53D66A">
            <w:pPr>
              <w:jc w:val="center"/>
              <w:rPr>
                <w:color w:val="000000"/>
              </w:rPr>
            </w:pPr>
            <w:r>
              <w:rPr>
                <w:color w:val="000000"/>
              </w:rPr>
              <w:t>No</w:t>
            </w:r>
          </w:p>
        </w:tc>
      </w:tr>
      <w:tr w:rsidRPr="008936E4" w:rsidR="005407C8" w:rsidTr="00D5597D" w14:paraId="43E1049C" w14:textId="77777777">
        <w:tc>
          <w:tcPr>
            <w:tcW w:w="7338" w:type="dxa"/>
          </w:tcPr>
          <w:p w:rsidRPr="008936E4" w:rsidR="005407C8" w:rsidP="00D5597D" w:rsidRDefault="005407C8" w14:paraId="724F4333" w14:textId="77777777">
            <w:pPr>
              <w:ind w:left="360" w:hanging="360"/>
              <w:rPr>
                <w:rFonts w:asciiTheme="majorBidi" w:hAnsiTheme="majorBidi" w:cstheme="majorBidi"/>
                <w:color w:val="000000"/>
              </w:rPr>
            </w:pPr>
            <w:r w:rsidRPr="008936E4">
              <w:rPr>
                <w:rFonts w:asciiTheme="majorBidi" w:hAnsiTheme="majorBidi" w:cstheme="majorBidi"/>
                <w:b/>
                <w:color w:val="000000"/>
              </w:rPr>
              <w:t>B.</w:t>
            </w:r>
            <w:r w:rsidRPr="008936E4">
              <w:rPr>
                <w:rFonts w:asciiTheme="majorBidi" w:hAnsiTheme="majorBidi" w:cstheme="majorBidi"/>
                <w:b/>
                <w:color w:val="000000"/>
              </w:rPr>
              <w:tab/>
              <w:t>Comment Period:  Was the 30-day comment period waived (</w:t>
            </w:r>
            <w:r w:rsidRPr="008936E4">
              <w:rPr>
                <w:rFonts w:asciiTheme="majorBidi" w:hAnsiTheme="majorBidi" w:cstheme="majorBidi"/>
                <w:b/>
                <w:i/>
                <w:color w:val="000000"/>
              </w:rPr>
              <w:t>see</w:t>
            </w:r>
            <w:r w:rsidRPr="008936E4">
              <w:rPr>
                <w:rFonts w:asciiTheme="majorBidi" w:hAnsiTheme="majorBidi" w:cstheme="majorBidi"/>
                <w:b/>
                <w:color w:val="000000"/>
              </w:rPr>
              <w:t> Rule 14.6(c)(6))?</w:t>
            </w:r>
          </w:p>
        </w:tc>
        <w:tc>
          <w:tcPr>
            <w:tcW w:w="2022" w:type="dxa"/>
          </w:tcPr>
          <w:p w:rsidRPr="008936E4" w:rsidR="005407C8" w:rsidP="00D5597D" w:rsidRDefault="005407C8" w14:paraId="65D1FCED" w14:textId="77777777">
            <w:pPr>
              <w:keepNext/>
              <w:keepLines/>
              <w:spacing w:after="240"/>
              <w:jc w:val="center"/>
              <w:rPr>
                <w:rFonts w:asciiTheme="majorBidi" w:hAnsiTheme="majorBidi" w:cstheme="majorBidi"/>
                <w:color w:val="000000"/>
              </w:rPr>
            </w:pPr>
            <w:r>
              <w:rPr>
                <w:rFonts w:asciiTheme="majorBidi" w:hAnsiTheme="majorBidi" w:cstheme="majorBidi"/>
                <w:color w:val="000000"/>
              </w:rPr>
              <w:t>Yes</w:t>
            </w:r>
          </w:p>
        </w:tc>
      </w:tr>
    </w:tbl>
    <w:p w:rsidR="005407C8" w:rsidP="00720770" w:rsidRDefault="005407C8" w14:paraId="1A2246CD" w14:textId="77777777">
      <w:pPr>
        <w:rPr>
          <w:b/>
          <w:color w:val="000000"/>
          <w:u w:val="single"/>
        </w:rPr>
      </w:pPr>
    </w:p>
    <w:p w:rsidRPr="007F7E97" w:rsidR="00A92D0B" w:rsidP="007927E0" w:rsidRDefault="00A92D0B" w14:paraId="186E115A" w14:textId="77777777">
      <w:pPr>
        <w:keepNext/>
        <w:spacing w:before="360" w:after="240"/>
        <w:jc w:val="center"/>
        <w:rPr>
          <w:b/>
          <w:color w:val="000000"/>
          <w:u w:val="single"/>
        </w:rPr>
      </w:pPr>
      <w:r w:rsidRPr="007F7E97">
        <w:rPr>
          <w:b/>
          <w:color w:val="000000"/>
          <w:u w:val="single"/>
        </w:rPr>
        <w:t>FINDINGS OF FACT</w:t>
      </w:r>
    </w:p>
    <w:p w:rsidRPr="007F7E97" w:rsidR="00A92D0B" w:rsidRDefault="00A049EE" w14:paraId="7772A9DC" w14:textId="33E02F36">
      <w:pPr>
        <w:numPr>
          <w:ilvl w:val="0"/>
          <w:numId w:val="3"/>
        </w:numPr>
        <w:tabs>
          <w:tab w:val="num" w:pos="540"/>
        </w:tabs>
        <w:ind w:left="540" w:hanging="540"/>
      </w:pPr>
      <w:r w:rsidRPr="007F7E97">
        <w:t xml:space="preserve">The Utility Consumers’ Action Network </w:t>
      </w:r>
      <w:r w:rsidRPr="007F7E97" w:rsidR="00A92D0B">
        <w:t>has made a substantia</w:t>
      </w:r>
      <w:r w:rsidRPr="007F7E97" w:rsidR="00DE3A5D">
        <w:t>l contribution to D.</w:t>
      </w:r>
      <w:r w:rsidRPr="007F7E97" w:rsidR="00386D3C">
        <w:t>24-09-005, D.24-11-005, D.25-04-004, and D.25-06-012</w:t>
      </w:r>
      <w:r w:rsidRPr="007F7E97" w:rsidR="00A92D0B">
        <w:t>.</w:t>
      </w:r>
    </w:p>
    <w:p w:rsidRPr="007F620E" w:rsidR="00A92D0B" w:rsidRDefault="00A92D0B" w14:paraId="04EB50FD" w14:textId="615C01B3">
      <w:pPr>
        <w:numPr>
          <w:ilvl w:val="0"/>
          <w:numId w:val="3"/>
        </w:numPr>
        <w:tabs>
          <w:tab w:val="num" w:pos="540"/>
        </w:tabs>
        <w:spacing w:before="240"/>
      </w:pPr>
      <w:r w:rsidRPr="007F7E97">
        <w:t>The requested hourly rates for</w:t>
      </w:r>
      <w:r w:rsidRPr="007F7E97" w:rsidR="003B6A1B">
        <w:t xml:space="preserve"> </w:t>
      </w:r>
      <w:r w:rsidRPr="007F7E97" w:rsidR="00A049EE">
        <w:t>The Utility Consumers’</w:t>
      </w:r>
      <w:r w:rsidRPr="003B5FD8" w:rsidR="00A049EE">
        <w:t xml:space="preserve"> Action</w:t>
      </w:r>
      <w:r w:rsidR="00A049EE">
        <w:t xml:space="preserve"> Network’s</w:t>
      </w:r>
      <w:r w:rsidRPr="007F620E" w:rsidR="005A63D4">
        <w:t xml:space="preserve"> </w:t>
      </w:r>
      <w:r w:rsidRPr="007F620E">
        <w:t>representatives</w:t>
      </w:r>
      <w:r w:rsidR="005407C8">
        <w:t>, as adjusted herein,</w:t>
      </w:r>
      <w:r w:rsidRPr="007F620E">
        <w:t xml:space="preserve"> are comparable to market rates paid to experts and advocates having comparable training and experience and offering similar services</w:t>
      </w:r>
      <w:r w:rsidR="006C5210">
        <w:t>, and/or reflect the actual rates billed to, and paid by the intervenor, for consultant services rendered</w:t>
      </w:r>
      <w:r w:rsidRPr="007F620E">
        <w:t>.</w:t>
      </w:r>
    </w:p>
    <w:p w:rsidRPr="007F620E" w:rsidR="00A92D0B" w:rsidRDefault="00A92D0B" w14:paraId="528EBB52" w14:textId="0BD2C9DC">
      <w:pPr>
        <w:numPr>
          <w:ilvl w:val="0"/>
          <w:numId w:val="3"/>
        </w:numPr>
        <w:tabs>
          <w:tab w:val="num" w:pos="540"/>
        </w:tabs>
        <w:spacing w:before="240"/>
      </w:pPr>
      <w:r w:rsidRPr="007F620E">
        <w:t>The claimed costs and expenses,</w:t>
      </w:r>
      <w:r w:rsidR="00564BD1">
        <w:t xml:space="preserve"> </w:t>
      </w:r>
      <w:r w:rsidRPr="007F620E">
        <w:t xml:space="preserve">as adjusted </w:t>
      </w:r>
      <w:r w:rsidRPr="007F620E" w:rsidR="005407C8">
        <w:t>herein</w:t>
      </w:r>
      <w:r w:rsidR="005407C8">
        <w:rPr>
          <w:rStyle w:val="CommentReference"/>
        </w:rPr>
        <w:t>,</w:t>
      </w:r>
      <w:r w:rsidRPr="007F620E" w:rsidR="005407C8">
        <w:t xml:space="preserve"> are</w:t>
      </w:r>
      <w:r w:rsidRPr="007F620E">
        <w:t xml:space="preserve"> reasonable and commensurate with the work performed. </w:t>
      </w:r>
    </w:p>
    <w:p w:rsidRPr="007F620E" w:rsidR="00A92D0B" w:rsidRDefault="00A92D0B" w14:paraId="48B52895" w14:textId="5EE985B6">
      <w:pPr>
        <w:numPr>
          <w:ilvl w:val="0"/>
          <w:numId w:val="3"/>
        </w:numPr>
        <w:tabs>
          <w:tab w:val="num" w:pos="540"/>
        </w:tabs>
        <w:spacing w:before="240"/>
      </w:pPr>
      <w:r w:rsidRPr="007F620E">
        <w:t xml:space="preserve">The total of </w:t>
      </w:r>
      <w:r w:rsidRPr="008758BE">
        <w:t xml:space="preserve">reasonable </w:t>
      </w:r>
      <w:r w:rsidRPr="005F370E" w:rsidR="003C608A">
        <w:t xml:space="preserve">compensation </w:t>
      </w:r>
      <w:r w:rsidRPr="005F370E">
        <w:t>is $</w:t>
      </w:r>
      <w:r w:rsidRPr="00D5597D" w:rsidR="005F370E">
        <w:rPr>
          <w:bCs/>
          <w:iCs/>
          <w:color w:val="000000"/>
        </w:rPr>
        <w:t>102,640.25</w:t>
      </w:r>
      <w:r w:rsidRPr="005F370E">
        <w:t>.</w:t>
      </w:r>
    </w:p>
    <w:p w:rsidRPr="007F620E" w:rsidR="00A92D0B" w:rsidP="00CE057B" w:rsidRDefault="00A92D0B" w14:paraId="5C773C3F" w14:textId="77777777">
      <w:pPr>
        <w:keepNext/>
        <w:spacing w:before="480" w:after="240"/>
        <w:jc w:val="center"/>
        <w:rPr>
          <w:b/>
          <w:color w:val="000000"/>
          <w:u w:val="single"/>
        </w:rPr>
      </w:pPr>
      <w:r w:rsidRPr="007F620E">
        <w:rPr>
          <w:b/>
          <w:color w:val="000000"/>
          <w:u w:val="single"/>
        </w:rPr>
        <w:t>CONCLUSION OF LAW</w:t>
      </w:r>
    </w:p>
    <w:p w:rsidRPr="007F620E" w:rsidR="00A92D0B" w:rsidP="002422AF" w:rsidRDefault="00A92D0B" w14:paraId="654F2C27" w14:textId="3F27BBD3">
      <w:pPr>
        <w:numPr>
          <w:ilvl w:val="0"/>
          <w:numId w:val="10"/>
        </w:numPr>
        <w:tabs>
          <w:tab w:val="left" w:pos="360"/>
        </w:tabs>
        <w:spacing w:before="240"/>
        <w:ind w:left="360" w:hanging="360"/>
        <w:rPr>
          <w:color w:val="000000"/>
        </w:rPr>
      </w:pPr>
      <w:r w:rsidRPr="00575494">
        <w:t>The</w:t>
      </w:r>
      <w:r w:rsidRPr="007F620E">
        <w:rPr>
          <w:color w:val="000000"/>
        </w:rPr>
        <w:t xml:space="preserve"> Claim, with </w:t>
      </w:r>
      <w:r w:rsidRPr="00B8074F">
        <w:rPr>
          <w:color w:val="000000"/>
        </w:rPr>
        <w:t>any adjustment set forth above,</w:t>
      </w:r>
      <w:r w:rsidRPr="00B8074F" w:rsidR="008758BE">
        <w:rPr>
          <w:color w:val="000000"/>
        </w:rPr>
        <w:t xml:space="preserve"> </w:t>
      </w:r>
      <w:r w:rsidRPr="00B8074F">
        <w:rPr>
          <w:color w:val="000000"/>
        </w:rPr>
        <w:t>satisfies</w:t>
      </w:r>
      <w:r w:rsidRPr="00B8074F" w:rsidR="00DE3A5D">
        <w:rPr>
          <w:color w:val="000000"/>
        </w:rPr>
        <w:t xml:space="preserve"> all requirements</w:t>
      </w:r>
      <w:r w:rsidRPr="007F620E" w:rsidR="00DE3A5D">
        <w:rPr>
          <w:color w:val="000000"/>
        </w:rPr>
        <w:t xml:space="preserve"> of Pub. Util.</w:t>
      </w:r>
      <w:r w:rsidRPr="007F620E">
        <w:rPr>
          <w:color w:val="000000"/>
        </w:rPr>
        <w:t xml:space="preserve"> Code §§ 1801-1812.</w:t>
      </w:r>
    </w:p>
    <w:p w:rsidRPr="007F620E" w:rsidR="00A92D0B" w:rsidP="00CE057B" w:rsidRDefault="00A92D0B" w14:paraId="0E2503A5" w14:textId="77777777">
      <w:pPr>
        <w:keepNext/>
        <w:spacing w:before="480" w:after="240"/>
        <w:jc w:val="center"/>
        <w:rPr>
          <w:b/>
          <w:color w:val="000000"/>
          <w:u w:val="single"/>
        </w:rPr>
      </w:pPr>
      <w:r w:rsidRPr="007F620E">
        <w:rPr>
          <w:b/>
          <w:color w:val="000000"/>
          <w:u w:val="single"/>
        </w:rPr>
        <w:t>ORDER</w:t>
      </w:r>
    </w:p>
    <w:p w:rsidR="00F67CE4" w:rsidP="00F67CE4" w:rsidRDefault="00A049EE" w14:paraId="7E71DCF2" w14:textId="2A075EF8">
      <w:pPr>
        <w:keepNext/>
        <w:numPr>
          <w:ilvl w:val="0"/>
          <w:numId w:val="4"/>
        </w:numPr>
        <w:tabs>
          <w:tab w:val="clear" w:pos="900"/>
          <w:tab w:val="num" w:pos="540"/>
        </w:tabs>
        <w:ind w:left="547" w:hanging="547"/>
        <w:rPr>
          <w:color w:val="000000"/>
        </w:rPr>
      </w:pPr>
      <w:r w:rsidRPr="00A049EE">
        <w:t xml:space="preserve">The Utility Consumers’ Action </w:t>
      </w:r>
      <w:r w:rsidRPr="008758BE">
        <w:t>Network</w:t>
      </w:r>
      <w:r w:rsidRPr="008758BE" w:rsidR="00FE3BAE">
        <w:t xml:space="preserve"> </w:t>
      </w:r>
      <w:r w:rsidRPr="008758BE" w:rsidR="00831652">
        <w:t>is</w:t>
      </w:r>
      <w:r w:rsidRPr="008758BE" w:rsidR="00FE3BAE">
        <w:t xml:space="preserve"> </w:t>
      </w:r>
      <w:r w:rsidRPr="005F370E" w:rsidR="00A92D0B">
        <w:rPr>
          <w:color w:val="000000"/>
        </w:rPr>
        <w:t>awarded $</w:t>
      </w:r>
      <w:r w:rsidRPr="00D5597D" w:rsidR="005F370E">
        <w:rPr>
          <w:bCs/>
          <w:iCs/>
          <w:color w:val="000000"/>
        </w:rPr>
        <w:t>102,640.25</w:t>
      </w:r>
      <w:r w:rsidRPr="005F370E" w:rsidR="00A92D0B">
        <w:rPr>
          <w:bCs/>
          <w:color w:val="000000"/>
        </w:rPr>
        <w:t>.</w:t>
      </w:r>
    </w:p>
    <w:p w:rsidR="00F67CE4" w:rsidP="00F67CE4" w:rsidRDefault="00F67CE4" w14:paraId="47C99618" w14:textId="77777777">
      <w:pPr>
        <w:keepNext/>
        <w:ind w:left="547"/>
        <w:rPr>
          <w:color w:val="000000"/>
        </w:rPr>
      </w:pPr>
    </w:p>
    <w:p w:rsidRPr="00F67CE4" w:rsidR="00A92D0B" w:rsidP="00F67CE4" w:rsidRDefault="0055228B" w14:paraId="4AEF5671" w14:textId="65A08CD6">
      <w:pPr>
        <w:keepNext/>
        <w:numPr>
          <w:ilvl w:val="0"/>
          <w:numId w:val="4"/>
        </w:numPr>
        <w:tabs>
          <w:tab w:val="clear" w:pos="900"/>
          <w:tab w:val="num" w:pos="540"/>
        </w:tabs>
        <w:ind w:left="547" w:hanging="547"/>
        <w:rPr>
          <w:color w:val="000000"/>
        </w:rPr>
      </w:pPr>
      <w:bookmarkStart w:name="_Hlk214273568" w:id="0"/>
      <w:r w:rsidRPr="007060AF">
        <w:t xml:space="preserve">Within 30 days of the effective date of this decision, </w:t>
      </w:r>
      <w:r w:rsidRPr="007060AF" w:rsidR="000115DA">
        <w:t>Pacific Gas and Electric Company, Southern California Edison Company, Southern California Gas Company</w:t>
      </w:r>
      <w:r w:rsidR="00FE41D5">
        <w:t>, and San Diego Gas &amp; Electric Company</w:t>
      </w:r>
      <w:r w:rsidRPr="007060AF" w:rsidR="000115DA">
        <w:t xml:space="preserve"> </w:t>
      </w:r>
      <w:r w:rsidRPr="007060AF">
        <w:t xml:space="preserve">shall pay </w:t>
      </w:r>
      <w:r w:rsidRPr="007060AF" w:rsidR="00A049EE">
        <w:t xml:space="preserve">The Utility Consumers’ Action Network </w:t>
      </w:r>
      <w:r w:rsidRPr="007060AF">
        <w:t>their respective shares of the award, based on their California-jurisdictional</w:t>
      </w:r>
      <w:r w:rsidRPr="007060AF" w:rsidR="007060AF">
        <w:t xml:space="preserve"> </w:t>
      </w:r>
      <w:r w:rsidR="00701607">
        <w:t xml:space="preserve">gas and </w:t>
      </w:r>
      <w:r w:rsidRPr="007060AF" w:rsidR="007060AF">
        <w:t xml:space="preserve">electric </w:t>
      </w:r>
      <w:r w:rsidRPr="007060AF">
        <w:t xml:space="preserve">revenues for </w:t>
      </w:r>
      <w:r w:rsidRPr="00FE41D5">
        <w:t xml:space="preserve">the </w:t>
      </w:r>
      <w:r w:rsidRPr="00FE41D5" w:rsidR="00F67CE4">
        <w:t>2024</w:t>
      </w:r>
      <w:r w:rsidRPr="00FE41D5" w:rsidR="00FE41D5">
        <w:t xml:space="preserve"> calendar</w:t>
      </w:r>
      <w:r w:rsidR="00FE41D5">
        <w:t xml:space="preserve"> </w:t>
      </w:r>
      <w:r w:rsidRPr="00FE41D5" w:rsidR="00FE41D5">
        <w:t>year</w:t>
      </w:r>
      <w:r w:rsidRPr="00FE41D5">
        <w:t xml:space="preserve">, to reflect the year in which the proceeding was primarily litigated. If such data </w:t>
      </w:r>
      <w:r w:rsidR="00BA295A">
        <w:t>is</w:t>
      </w:r>
      <w:r w:rsidRPr="00FE41D5" w:rsidR="00BA295A">
        <w:t xml:space="preserve"> </w:t>
      </w:r>
      <w:r w:rsidRPr="00FE41D5">
        <w:t xml:space="preserve">unavailable, the most recent </w:t>
      </w:r>
      <w:r w:rsidR="00701607">
        <w:t xml:space="preserve">gas and </w:t>
      </w:r>
      <w:r w:rsidRPr="00FE41D5">
        <w:t>electric revenue data shall be used.</w:t>
      </w:r>
      <w:r w:rsidR="00FE41D5">
        <w:t xml:space="preserve"> </w:t>
      </w:r>
      <w:r w:rsidRPr="007060AF" w:rsidR="00A92D0B">
        <w:t>Payment of the award shall include</w:t>
      </w:r>
      <w:r w:rsidRPr="007060AF" w:rsidR="004E3939">
        <w:t xml:space="preserve"> compound </w:t>
      </w:r>
      <w:r w:rsidRPr="007060AF" w:rsidR="00A92D0B">
        <w:t xml:space="preserve">interest at the rate earned on prime, three-month </w:t>
      </w:r>
      <w:r w:rsidRPr="007060AF" w:rsidR="00214B22">
        <w:t>non-</w:t>
      </w:r>
      <w:r w:rsidRPr="007F620E" w:rsidR="00214B22">
        <w:t xml:space="preserve">financial </w:t>
      </w:r>
      <w:r w:rsidRPr="007F620E" w:rsidR="00A92D0B">
        <w:t xml:space="preserve">commercial paper as reported in Federal Reserve </w:t>
      </w:r>
      <w:r w:rsidRPr="007F620E" w:rsidR="00A92D0B">
        <w:lastRenderedPageBreak/>
        <w:t xml:space="preserve">Statistical Release H.15, </w:t>
      </w:r>
      <w:r w:rsidR="000B3D81">
        <w:t xml:space="preserve">beginning </w:t>
      </w:r>
      <w:r w:rsidRPr="00701BD1" w:rsidR="000B3D81">
        <w:t>October 29, 2025</w:t>
      </w:r>
      <w:r w:rsidR="000B3D81">
        <w:t>,</w:t>
      </w:r>
      <w:r w:rsidRPr="007F620E" w:rsidR="00357F1A">
        <w:t xml:space="preserve"> </w:t>
      </w:r>
      <w:r w:rsidRPr="007F620E" w:rsidR="00A92D0B">
        <w:t>the 75</w:t>
      </w:r>
      <w:r w:rsidRPr="00F67CE4" w:rsidR="00A92D0B">
        <w:rPr>
          <w:vertAlign w:val="superscript"/>
        </w:rPr>
        <w:t>th</w:t>
      </w:r>
      <w:r w:rsidRPr="007F620E" w:rsidR="00A92D0B">
        <w:t xml:space="preserve"> day after the filing of </w:t>
      </w:r>
      <w:r w:rsidR="00A049EE">
        <w:t>The Utility Consumers’ Action Network’s</w:t>
      </w:r>
      <w:r w:rsidRPr="00F67CE4" w:rsidR="00FE3BAE">
        <w:rPr>
          <w:b/>
        </w:rPr>
        <w:t xml:space="preserve"> </w:t>
      </w:r>
      <w:r w:rsidRPr="007F620E" w:rsidR="00A92D0B">
        <w:t>request, and continuing until full payment is made.</w:t>
      </w:r>
    </w:p>
    <w:bookmarkEnd w:id="0"/>
    <w:p w:rsidRPr="007F620E" w:rsidR="00A92D0B" w:rsidP="00DE3A5D" w:rsidRDefault="00A92D0B" w14:paraId="5AD40C95" w14:textId="67A8D232">
      <w:pPr>
        <w:keepNext/>
        <w:keepLines/>
        <w:numPr>
          <w:ilvl w:val="0"/>
          <w:numId w:val="4"/>
        </w:numPr>
        <w:tabs>
          <w:tab w:val="clear" w:pos="900"/>
          <w:tab w:val="num" w:pos="540"/>
        </w:tabs>
        <w:spacing w:before="240"/>
        <w:ind w:left="547" w:hanging="547"/>
      </w:pPr>
      <w:r w:rsidRPr="007F620E">
        <w:t>The comment period for today’s decision is waived.</w:t>
      </w:r>
    </w:p>
    <w:p w:rsidRPr="007F620E" w:rsidR="00A92D0B" w:rsidP="00467E65" w:rsidRDefault="00A92D0B" w14:paraId="13F3A0AD" w14:textId="77777777">
      <w:pPr>
        <w:keepNext/>
        <w:keepLines/>
        <w:spacing w:before="240"/>
        <w:ind w:left="547"/>
        <w:rPr>
          <w:color w:val="000000"/>
        </w:rPr>
      </w:pPr>
      <w:r w:rsidRPr="007F620E">
        <w:rPr>
          <w:color w:val="000000"/>
        </w:rPr>
        <w:t>This decision is effective today.</w:t>
      </w:r>
    </w:p>
    <w:p w:rsidRPr="007F620E" w:rsidR="00A92D0B" w:rsidP="00357623" w:rsidRDefault="00A92D0B" w14:paraId="0467B995" w14:textId="06F4F5A5">
      <w:pPr>
        <w:keepNext/>
        <w:keepLines/>
        <w:spacing w:before="240"/>
        <w:ind w:left="547"/>
        <w:rPr>
          <w:color w:val="000000"/>
        </w:rPr>
      </w:pPr>
      <w:r w:rsidRPr="007F620E">
        <w:rPr>
          <w:color w:val="000000"/>
        </w:rPr>
        <w:t>Dated _____________, at</w:t>
      </w:r>
      <w:r w:rsidR="0001267C">
        <w:rPr>
          <w:color w:val="000000"/>
        </w:rPr>
        <w:t xml:space="preserve"> </w:t>
      </w:r>
      <w:r w:rsidR="001D3F5E">
        <w:rPr>
          <w:color w:val="000000"/>
        </w:rPr>
        <w:t>Sacramento</w:t>
      </w:r>
      <w:r w:rsidRPr="007F620E">
        <w:rPr>
          <w:color w:val="000000"/>
        </w:rPr>
        <w:t>, California.</w:t>
      </w:r>
    </w:p>
    <w:p w:rsidRPr="007F620E" w:rsidR="00A92D0B" w:rsidRDefault="00A92D0B" w14:paraId="1A474D77" w14:textId="77777777"/>
    <w:p w:rsidR="00FE3BAE" w:rsidRDefault="00FE3BAE" w14:paraId="3C739AE2" w14:textId="71F3AFC8"/>
    <w:p w:rsidR="006B7228" w:rsidRDefault="006B7228" w14:paraId="37D74F32" w14:textId="77777777">
      <w:pPr>
        <w:sectPr w:rsidR="006B7228" w:rsidSect="006B7228">
          <w:headerReference w:type="default" r:id="rId8"/>
          <w:footerReference w:type="default" r:id="rId9"/>
          <w:headerReference w:type="first" r:id="rId10"/>
          <w:footerReference w:type="first" r:id="rId11"/>
          <w:pgSz w:w="12240" w:h="15840"/>
          <w:pgMar w:top="1440" w:right="1440" w:bottom="1440" w:left="1440" w:header="720" w:footer="720" w:gutter="0"/>
          <w:pgNumType w:fmt="numberInDash" w:start="1"/>
          <w:cols w:space="720"/>
          <w:titlePg/>
          <w:docGrid w:linePitch="360"/>
        </w:sectPr>
      </w:pPr>
    </w:p>
    <w:p w:rsidRPr="00B803D5" w:rsidR="00FE3BAE" w:rsidP="00FE3BAE" w:rsidRDefault="00FE3BAE" w14:paraId="7A1C7043" w14:textId="77777777">
      <w:pPr>
        <w:pStyle w:val="standard"/>
        <w:ind w:firstLine="0"/>
        <w:jc w:val="center"/>
        <w:rPr>
          <w:rFonts w:ascii="Times New Roman" w:hAnsi="Times New Roman"/>
          <w:b/>
          <w:szCs w:val="26"/>
        </w:rPr>
      </w:pPr>
      <w:r w:rsidRPr="00B803D5">
        <w:rPr>
          <w:rFonts w:ascii="Times New Roman" w:hAnsi="Times New Roman"/>
          <w:b/>
          <w:szCs w:val="26"/>
        </w:rPr>
        <w:lastRenderedPageBreak/>
        <w:t>APPENDIX</w:t>
      </w:r>
    </w:p>
    <w:p w:rsidRPr="00F7579D" w:rsidR="00FE3BAE" w:rsidP="00F7579D" w:rsidRDefault="00FE3BAE" w14:paraId="300BB274" w14:textId="77777777">
      <w:pPr>
        <w:pStyle w:val="standard"/>
        <w:ind w:firstLine="0"/>
        <w:jc w:val="center"/>
        <w:rPr>
          <w:rFonts w:ascii="Times New Roman" w:hAnsi="Times New Roman"/>
          <w:b/>
          <w:bCs/>
        </w:rPr>
      </w:pPr>
      <w:r w:rsidRPr="00F7579D">
        <w:rPr>
          <w:rFonts w:ascii="Times New Roman" w:hAnsi="Times New Roman"/>
          <w:b/>
          <w:bCs/>
          <w:sz w:val="28"/>
          <w:szCs w:val="28"/>
        </w:rPr>
        <w:t>Compensation Decision Summary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905"/>
        <w:gridCol w:w="3767"/>
        <w:gridCol w:w="2497"/>
        <w:gridCol w:w="1271"/>
      </w:tblGrid>
      <w:tr w:rsidRPr="00B803D5" w:rsidR="00FE3BAE" w:rsidTr="00F862A9" w14:paraId="062C592A"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4BC9C636" w14:textId="77777777">
            <w:pPr>
              <w:rPr>
                <w:b/>
                <w:bCs/>
              </w:rPr>
            </w:pPr>
            <w:r w:rsidRPr="00F7579D">
              <w:rPr>
                <w:b/>
                <w:bCs/>
              </w:rPr>
              <w:t>Compensation Decision:</w:t>
            </w:r>
          </w:p>
        </w:tc>
        <w:tc>
          <w:tcPr>
            <w:tcW w:w="3735" w:type="dxa"/>
            <w:tcBorders>
              <w:top w:val="single" w:color="auto" w:sz="4" w:space="0"/>
              <w:left w:val="single" w:color="auto" w:sz="4" w:space="0"/>
              <w:bottom w:val="single" w:color="auto" w:sz="4" w:space="0"/>
              <w:right w:val="single" w:color="auto" w:sz="4" w:space="0"/>
            </w:tcBorders>
          </w:tcPr>
          <w:p w:rsidRPr="00B803D5" w:rsidR="00FE3BAE" w:rsidP="00A23C17" w:rsidRDefault="00FE3BAE" w14:paraId="16C5D6B1" w14:textId="77777777"/>
        </w:tc>
        <w:tc>
          <w:tcPr>
            <w:tcW w:w="2475" w:type="dxa"/>
            <w:tcBorders>
              <w:top w:val="single" w:color="auto" w:sz="4" w:space="0"/>
              <w:left w:val="single" w:color="auto" w:sz="4" w:space="0"/>
              <w:bottom w:val="single" w:color="auto" w:sz="4" w:space="0"/>
              <w:right w:val="single" w:color="auto" w:sz="4" w:space="0"/>
            </w:tcBorders>
            <w:hideMark/>
          </w:tcPr>
          <w:p w:rsidRPr="006B0BC7" w:rsidR="00FE3BAE" w:rsidP="00A23C17" w:rsidRDefault="00FE3BAE" w14:paraId="3ECA0C4F" w14:textId="77777777">
            <w:pPr>
              <w:rPr>
                <w:b/>
                <w:bCs/>
              </w:rPr>
            </w:pPr>
            <w:r w:rsidRPr="006B0BC7">
              <w:rPr>
                <w:b/>
                <w:bCs/>
              </w:rPr>
              <w:t xml:space="preserve">Modifies Decision? </w:t>
            </w:r>
          </w:p>
        </w:tc>
        <w:tc>
          <w:tcPr>
            <w:tcW w:w="1260" w:type="dxa"/>
            <w:tcBorders>
              <w:top w:val="single" w:color="auto" w:sz="4" w:space="0"/>
              <w:left w:val="single" w:color="auto" w:sz="4" w:space="0"/>
              <w:bottom w:val="single" w:color="auto" w:sz="4" w:space="0"/>
              <w:right w:val="single" w:color="auto" w:sz="4" w:space="0"/>
            </w:tcBorders>
          </w:tcPr>
          <w:p w:rsidRPr="00B803D5" w:rsidR="00FE3BAE" w:rsidP="00A23C17" w:rsidRDefault="00A049EE" w14:paraId="6846FB87" w14:textId="751D7455">
            <w:pPr>
              <w:jc w:val="center"/>
            </w:pPr>
            <w:r>
              <w:t>No</w:t>
            </w:r>
          </w:p>
        </w:tc>
      </w:tr>
      <w:tr w:rsidRPr="00B803D5" w:rsidR="00FE3BAE" w:rsidTr="00A049EE" w14:paraId="3E0218AD"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6E65620B" w14:textId="77777777">
            <w:pPr>
              <w:rPr>
                <w:b/>
                <w:bCs/>
              </w:rPr>
            </w:pPr>
            <w:r w:rsidRPr="00F7579D">
              <w:rPr>
                <w:b/>
                <w:bCs/>
              </w:rPr>
              <w:t>Contribution Decision(s):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A531C0" w14:paraId="426F2C45" w14:textId="7DAFACB3">
            <w:r w:rsidRPr="00645151">
              <w:rPr>
                <w:color w:val="000000"/>
              </w:rPr>
              <w:t xml:space="preserve">D2409005, </w:t>
            </w:r>
            <w:r w:rsidRPr="00645151" w:rsidR="00EC3144">
              <w:t xml:space="preserve">D2411005, </w:t>
            </w:r>
            <w:r w:rsidRPr="00645151" w:rsidR="00645151">
              <w:t xml:space="preserve">D2504004, </w:t>
            </w:r>
            <w:r w:rsidR="00386D3C">
              <w:t xml:space="preserve">and </w:t>
            </w:r>
            <w:r w:rsidRPr="00645151" w:rsidR="00D072A9">
              <w:t>D</w:t>
            </w:r>
            <w:r w:rsidR="00D072A9">
              <w:t>2506012</w:t>
            </w:r>
          </w:p>
        </w:tc>
      </w:tr>
      <w:tr w:rsidRPr="00B803D5" w:rsidR="00FE3BAE" w:rsidTr="00A049EE" w14:paraId="2808C576"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717974DE" w14:textId="77777777">
            <w:pPr>
              <w:rPr>
                <w:b/>
                <w:bCs/>
              </w:rPr>
            </w:pPr>
            <w:r w:rsidRPr="00F7579D">
              <w:rPr>
                <w:b/>
                <w:bCs/>
              </w:rPr>
              <w:t>Proceeding(s):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A049EE" w14:paraId="5B85688D" w14:textId="3C933309">
            <w:r>
              <w:t>R</w:t>
            </w:r>
            <w:r w:rsidR="00D072A9">
              <w:t>1807005</w:t>
            </w:r>
          </w:p>
        </w:tc>
      </w:tr>
      <w:tr w:rsidRPr="00B803D5" w:rsidR="00FE3BAE" w:rsidTr="00F862A9" w14:paraId="66779179"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738C0A58" w14:textId="77777777">
            <w:pPr>
              <w:rPr>
                <w:b/>
                <w:bCs/>
              </w:rPr>
            </w:pPr>
            <w:r w:rsidRPr="007F7E97">
              <w:rPr>
                <w:b/>
                <w:bCs/>
              </w:rPr>
              <w:t>Author:</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AB79E5" w14:paraId="5E75C0F0" w14:textId="194B13A1">
            <w:r w:rsidRPr="008758BE">
              <w:rPr>
                <w:bCs/>
                <w:color w:val="000000"/>
              </w:rPr>
              <w:t>Andrew Dugowson</w:t>
            </w:r>
          </w:p>
        </w:tc>
      </w:tr>
      <w:tr w:rsidRPr="00B803D5" w:rsidR="00FE3BAE" w:rsidTr="00F862A9" w14:paraId="305F69F4" w14:textId="77777777">
        <w:trPr>
          <w:trHeight w:val="27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1414CA71" w14:textId="77777777">
            <w:pPr>
              <w:rPr>
                <w:b/>
                <w:bCs/>
              </w:rPr>
            </w:pPr>
            <w:r w:rsidRPr="007060AF">
              <w:rPr>
                <w:b/>
                <w:bCs/>
              </w:rPr>
              <w:t>Payer(s):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7060AF" w14:paraId="7CA711B6" w14:textId="7C954D8B">
            <w:r w:rsidRPr="007060AF">
              <w:t>Pacific Gas and Electric Company, Southern California Edison Company,</w:t>
            </w:r>
            <w:r w:rsidR="00FE41D5">
              <w:t xml:space="preserve"> </w:t>
            </w:r>
            <w:r w:rsidRPr="007060AF">
              <w:t>Southern California Gas Company</w:t>
            </w:r>
            <w:r w:rsidR="00FE41D5">
              <w:t xml:space="preserve">, and </w:t>
            </w:r>
            <w:r w:rsidRPr="007060AF" w:rsidR="00FE41D5">
              <w:t>San Diego Gas and Electric Company</w:t>
            </w:r>
          </w:p>
        </w:tc>
      </w:tr>
    </w:tbl>
    <w:p w:rsidRPr="00B803D5" w:rsidR="00FE3BAE" w:rsidP="00CE057B" w:rsidRDefault="00FE3BAE" w14:paraId="7F0236A2" w14:textId="77777777">
      <w:pPr>
        <w:spacing w:before="480" w:after="240"/>
        <w:jc w:val="center"/>
        <w:rPr>
          <w:b/>
          <w:bCs/>
          <w:sz w:val="28"/>
          <w:szCs w:val="28"/>
        </w:rPr>
      </w:pPr>
      <w:r w:rsidRPr="00B803D5">
        <w:rPr>
          <w:b/>
          <w:bCs/>
          <w:sz w:val="28"/>
          <w:szCs w:val="28"/>
        </w:rPr>
        <w:t>Intervenor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063"/>
        <w:gridCol w:w="1458"/>
        <w:gridCol w:w="1430"/>
        <w:gridCol w:w="1587"/>
        <w:gridCol w:w="1404"/>
        <w:gridCol w:w="2498"/>
      </w:tblGrid>
      <w:tr w:rsidRPr="00B803D5" w:rsidR="00FE3BAE" w:rsidTr="00F862A9" w14:paraId="6CDB318E" w14:textId="77777777">
        <w:trPr>
          <w:jc w:val="center"/>
        </w:trPr>
        <w:tc>
          <w:tcPr>
            <w:tcW w:w="2043" w:type="dxa"/>
            <w:tcBorders>
              <w:top w:val="single" w:color="auto" w:sz="4" w:space="0"/>
              <w:left w:val="single" w:color="auto" w:sz="4" w:space="0"/>
              <w:bottom w:val="single" w:color="auto" w:sz="4" w:space="0"/>
              <w:right w:val="single" w:color="auto" w:sz="4" w:space="0"/>
            </w:tcBorders>
            <w:vAlign w:val="bottom"/>
            <w:hideMark/>
          </w:tcPr>
          <w:p w:rsidRPr="007F7E97" w:rsidR="00FE3BAE" w:rsidP="00CE057B" w:rsidRDefault="00FE3BAE" w14:paraId="2578F35B" w14:textId="77777777">
            <w:pPr>
              <w:jc w:val="center"/>
              <w:rPr>
                <w:b/>
                <w:bCs/>
              </w:rPr>
            </w:pPr>
            <w:r w:rsidRPr="007F7E97">
              <w:rPr>
                <w:b/>
                <w:bCs/>
              </w:rPr>
              <w:t>Intervenor</w:t>
            </w:r>
          </w:p>
        </w:tc>
        <w:tc>
          <w:tcPr>
            <w:tcW w:w="1444"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81626F" w14:paraId="1A2BF295" w14:textId="77777777">
            <w:pPr>
              <w:jc w:val="center"/>
              <w:rPr>
                <w:b/>
                <w:bCs/>
              </w:rPr>
            </w:pPr>
            <w:r w:rsidRPr="00B803D5">
              <w:rPr>
                <w:b/>
                <w:bCs/>
              </w:rPr>
              <w:t>Date</w:t>
            </w:r>
          </w:p>
          <w:p w:rsidRPr="00B803D5" w:rsidR="00FE3BAE" w:rsidP="00CE057B" w:rsidRDefault="0081626F" w14:paraId="2C1C9DC3" w14:textId="2305FDF8">
            <w:pPr>
              <w:jc w:val="center"/>
              <w:rPr>
                <w:b/>
                <w:bCs/>
              </w:rPr>
            </w:pPr>
            <w:r w:rsidRPr="00B803D5">
              <w:rPr>
                <w:b/>
                <w:bCs/>
              </w:rPr>
              <w:t>Claim Filed</w:t>
            </w:r>
          </w:p>
        </w:tc>
        <w:tc>
          <w:tcPr>
            <w:tcW w:w="1405"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60DD020D" w14:textId="77777777">
            <w:pPr>
              <w:jc w:val="center"/>
              <w:rPr>
                <w:b/>
                <w:bCs/>
              </w:rPr>
            </w:pPr>
            <w:r w:rsidRPr="00B803D5">
              <w:rPr>
                <w:b/>
                <w:bCs/>
              </w:rPr>
              <w:t>Amount Requested</w:t>
            </w:r>
          </w:p>
        </w:tc>
        <w:tc>
          <w:tcPr>
            <w:tcW w:w="1571"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19A4A01D" w14:textId="77777777">
            <w:pPr>
              <w:jc w:val="center"/>
              <w:rPr>
                <w:b/>
                <w:bCs/>
              </w:rPr>
            </w:pPr>
            <w:r w:rsidRPr="00B803D5">
              <w:rPr>
                <w:b/>
                <w:bCs/>
              </w:rPr>
              <w:t>Amount Awarded</w:t>
            </w:r>
          </w:p>
        </w:tc>
        <w:tc>
          <w:tcPr>
            <w:tcW w:w="1390"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5B9F47E2" w14:textId="77777777">
            <w:pPr>
              <w:jc w:val="center"/>
              <w:rPr>
                <w:b/>
                <w:bCs/>
              </w:rPr>
            </w:pPr>
            <w:r w:rsidRPr="00B803D5">
              <w:rPr>
                <w:b/>
                <w:bCs/>
              </w:rPr>
              <w:t>Multiplier?</w:t>
            </w:r>
          </w:p>
        </w:tc>
        <w:tc>
          <w:tcPr>
            <w:tcW w:w="2474"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089590A8" w14:textId="77777777">
            <w:pPr>
              <w:jc w:val="center"/>
              <w:rPr>
                <w:b/>
                <w:bCs/>
              </w:rPr>
            </w:pPr>
            <w:r w:rsidRPr="00B803D5">
              <w:rPr>
                <w:b/>
                <w:bCs/>
              </w:rPr>
              <w:t>Reason Change/Disallowance</w:t>
            </w:r>
          </w:p>
        </w:tc>
      </w:tr>
      <w:tr w:rsidRPr="00B803D5" w:rsidR="00FE3BAE" w:rsidTr="003B5FD8" w14:paraId="080524E3" w14:textId="77777777">
        <w:trPr>
          <w:trHeight w:val="872"/>
          <w:jc w:val="center"/>
        </w:trPr>
        <w:tc>
          <w:tcPr>
            <w:tcW w:w="2043" w:type="dxa"/>
            <w:tcBorders>
              <w:top w:val="single" w:color="auto" w:sz="4" w:space="0"/>
              <w:left w:val="single" w:color="auto" w:sz="4" w:space="0"/>
              <w:bottom w:val="single" w:color="auto" w:sz="4" w:space="0"/>
              <w:right w:val="single" w:color="auto" w:sz="4" w:space="0"/>
            </w:tcBorders>
            <w:hideMark/>
          </w:tcPr>
          <w:p w:rsidRPr="007F7E97" w:rsidR="00FE3BAE" w:rsidP="00D072A9" w:rsidRDefault="007F7E97" w14:paraId="3008FB17" w14:textId="69D3E483">
            <w:r w:rsidRPr="007F7E97">
              <w:t>Utility Consumers’ Action Network</w:t>
            </w:r>
          </w:p>
        </w:tc>
        <w:tc>
          <w:tcPr>
            <w:tcW w:w="1444" w:type="dxa"/>
            <w:tcBorders>
              <w:top w:val="single" w:color="auto" w:sz="4" w:space="0"/>
              <w:left w:val="single" w:color="auto" w:sz="4" w:space="0"/>
              <w:bottom w:val="single" w:color="auto" w:sz="4" w:space="0"/>
              <w:right w:val="single" w:color="auto" w:sz="4" w:space="0"/>
            </w:tcBorders>
            <w:hideMark/>
          </w:tcPr>
          <w:p w:rsidRPr="003B5FD8" w:rsidR="00FE3BAE" w:rsidP="00A23C17" w:rsidRDefault="001A154D" w14:paraId="63956769" w14:textId="18E5A292">
            <w:pPr>
              <w:jc w:val="center"/>
            </w:pPr>
            <w:r w:rsidRPr="003B5FD8">
              <w:t>August 1</w:t>
            </w:r>
            <w:r w:rsidRPr="003B5FD8" w:rsidR="00097B46">
              <w:t>5</w:t>
            </w:r>
            <w:r w:rsidRPr="003B5FD8">
              <w:t>, 2025</w:t>
            </w:r>
          </w:p>
        </w:tc>
        <w:tc>
          <w:tcPr>
            <w:tcW w:w="1405" w:type="dxa"/>
            <w:tcBorders>
              <w:top w:val="single" w:color="auto" w:sz="4" w:space="0"/>
              <w:left w:val="single" w:color="auto" w:sz="4" w:space="0"/>
              <w:bottom w:val="single" w:color="auto" w:sz="4" w:space="0"/>
              <w:right w:val="single" w:color="auto" w:sz="4" w:space="0"/>
            </w:tcBorders>
            <w:hideMark/>
          </w:tcPr>
          <w:p w:rsidRPr="003B5FD8" w:rsidR="00FE3BAE" w:rsidP="00A23C17" w:rsidRDefault="003E18E8" w14:paraId="75AD20FA" w14:textId="7211CE8D">
            <w:pPr>
              <w:jc w:val="center"/>
            </w:pPr>
            <w:r w:rsidRPr="003B5FD8">
              <w:t>$105,059.00</w:t>
            </w:r>
          </w:p>
        </w:tc>
        <w:tc>
          <w:tcPr>
            <w:tcW w:w="1571" w:type="dxa"/>
            <w:tcBorders>
              <w:top w:val="single" w:color="auto" w:sz="4" w:space="0"/>
              <w:left w:val="single" w:color="auto" w:sz="4" w:space="0"/>
              <w:bottom w:val="single" w:color="auto" w:sz="4" w:space="0"/>
              <w:right w:val="single" w:color="auto" w:sz="4" w:space="0"/>
            </w:tcBorders>
            <w:hideMark/>
          </w:tcPr>
          <w:p w:rsidRPr="005F370E" w:rsidR="00FE3BAE" w:rsidP="00A23C17" w:rsidRDefault="008758BE" w14:paraId="0DD6FE00" w14:textId="31CBAE0D">
            <w:pPr>
              <w:jc w:val="center"/>
              <w:rPr>
                <w:bCs/>
              </w:rPr>
            </w:pPr>
            <w:r w:rsidRPr="005F370E">
              <w:rPr>
                <w:bCs/>
                <w:color w:val="000000"/>
              </w:rPr>
              <w:t>$</w:t>
            </w:r>
            <w:r w:rsidRPr="00D5597D" w:rsidR="005F370E">
              <w:rPr>
                <w:bCs/>
                <w:iCs/>
                <w:color w:val="000000"/>
              </w:rPr>
              <w:t>102,640.25</w:t>
            </w:r>
          </w:p>
        </w:tc>
        <w:tc>
          <w:tcPr>
            <w:tcW w:w="1390" w:type="dxa"/>
            <w:tcBorders>
              <w:top w:val="single" w:color="auto" w:sz="4" w:space="0"/>
              <w:left w:val="single" w:color="auto" w:sz="4" w:space="0"/>
              <w:bottom w:val="single" w:color="auto" w:sz="4" w:space="0"/>
              <w:right w:val="single" w:color="auto" w:sz="4" w:space="0"/>
            </w:tcBorders>
            <w:hideMark/>
          </w:tcPr>
          <w:p w:rsidRPr="00B803D5" w:rsidR="00FE3BAE" w:rsidP="00A23C17" w:rsidRDefault="00FE3BAE" w14:paraId="0BDAFE20" w14:textId="77777777">
            <w:pPr>
              <w:jc w:val="center"/>
            </w:pPr>
            <w:r w:rsidRPr="00B803D5">
              <w:t>N/A</w:t>
            </w:r>
          </w:p>
        </w:tc>
        <w:tc>
          <w:tcPr>
            <w:tcW w:w="2474" w:type="dxa"/>
            <w:tcBorders>
              <w:top w:val="single" w:color="auto" w:sz="4" w:space="0"/>
              <w:left w:val="single" w:color="auto" w:sz="4" w:space="0"/>
              <w:bottom w:val="single" w:color="auto" w:sz="4" w:space="0"/>
              <w:right w:val="single" w:color="auto" w:sz="4" w:space="0"/>
            </w:tcBorders>
            <w:hideMark/>
          </w:tcPr>
          <w:p w:rsidRPr="00B803D5" w:rsidR="00FE3BAE" w:rsidP="00A23C17" w:rsidRDefault="007F7E97" w14:paraId="6B53C6F9" w14:textId="06CCBA39">
            <w:pPr>
              <w:jc w:val="center"/>
            </w:pPr>
            <w:r>
              <w:t>See Part III. D CPUC Comments, Disallowances, and Adjustments</w:t>
            </w:r>
          </w:p>
        </w:tc>
      </w:tr>
    </w:tbl>
    <w:p w:rsidRPr="00B803D5" w:rsidR="00FE3BAE" w:rsidP="00CE057B" w:rsidRDefault="0022302F" w14:paraId="2841210B" w14:textId="77777777">
      <w:pPr>
        <w:spacing w:before="480" w:after="240"/>
        <w:jc w:val="center"/>
        <w:rPr>
          <w:b/>
          <w:bCs/>
          <w:sz w:val="28"/>
          <w:szCs w:val="28"/>
        </w:rPr>
      </w:pPr>
      <w:r w:rsidRPr="00B803D5">
        <w:rPr>
          <w:b/>
          <w:bCs/>
          <w:sz w:val="28"/>
          <w:szCs w:val="28"/>
        </w:rPr>
        <w:t>Hourly Fee</w:t>
      </w:r>
      <w:r w:rsidRPr="00B803D5" w:rsidR="00FE3BAE">
        <w:rPr>
          <w:b/>
          <w:bCs/>
          <w:sz w:val="28"/>
          <w:szCs w:val="28"/>
        </w:rPr>
        <w:t xml:space="preserve">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520"/>
        <w:gridCol w:w="1725"/>
        <w:gridCol w:w="2088"/>
        <w:gridCol w:w="1748"/>
        <w:gridCol w:w="1725"/>
        <w:gridCol w:w="1634"/>
      </w:tblGrid>
      <w:tr w:rsidRPr="00B803D5" w:rsidR="00C02649" w:rsidTr="001A154D" w14:paraId="7CF2F0CA"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3B6A1B" w14:paraId="61500303" w14:textId="77777777">
            <w:pPr>
              <w:jc w:val="center"/>
              <w:rPr>
                <w:b/>
                <w:bCs/>
              </w:rPr>
            </w:pPr>
            <w:r w:rsidRPr="00B803D5">
              <w:rPr>
                <w:b/>
                <w:bCs/>
              </w:rPr>
              <w:t>First Name</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3B6A1B" w14:paraId="55908486" w14:textId="77777777">
            <w:pPr>
              <w:jc w:val="center"/>
              <w:rPr>
                <w:b/>
                <w:bCs/>
              </w:rPr>
            </w:pPr>
            <w:r w:rsidRPr="00B803D5">
              <w:rPr>
                <w:b/>
                <w:bCs/>
              </w:rPr>
              <w:t>Last Name</w:t>
            </w:r>
          </w:p>
        </w:tc>
        <w:tc>
          <w:tcPr>
            <w:tcW w:w="2088"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171EBF" w14:paraId="2438DAE1" w14:textId="77777777">
            <w:pPr>
              <w:ind w:left="12" w:firstLine="12"/>
              <w:jc w:val="center"/>
              <w:rPr>
                <w:b/>
                <w:bCs/>
              </w:rPr>
            </w:pPr>
            <w:r w:rsidRPr="00B803D5">
              <w:rPr>
                <w:b/>
                <w:bCs/>
              </w:rPr>
              <w:t>Attorney, Expert, or Advocate</w:t>
            </w:r>
          </w:p>
        </w:tc>
        <w:tc>
          <w:tcPr>
            <w:tcW w:w="1748"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30FCBD16" w14:textId="77777777">
            <w:pPr>
              <w:jc w:val="center"/>
              <w:rPr>
                <w:b/>
                <w:bCs/>
              </w:rPr>
            </w:pPr>
            <w:r w:rsidRPr="00B803D5">
              <w:rPr>
                <w:b/>
                <w:bCs/>
              </w:rPr>
              <w:t>Hourly</w:t>
            </w:r>
          </w:p>
          <w:p w:rsidRPr="00B803D5" w:rsidR="003B6A1B" w:rsidP="00CE057B" w:rsidRDefault="003B6A1B" w14:paraId="3431A72E" w14:textId="15E5EE89">
            <w:pPr>
              <w:jc w:val="center"/>
              <w:rPr>
                <w:b/>
                <w:bCs/>
              </w:rPr>
            </w:pPr>
            <w:r w:rsidRPr="00B803D5">
              <w:rPr>
                <w:b/>
                <w:bCs/>
              </w:rPr>
              <w:t>Fee Requested</w:t>
            </w:r>
          </w:p>
        </w:tc>
        <w:tc>
          <w:tcPr>
            <w:tcW w:w="1725"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27A4F1D1" w14:textId="77777777">
            <w:pPr>
              <w:jc w:val="center"/>
              <w:rPr>
                <w:b/>
                <w:bCs/>
              </w:rPr>
            </w:pPr>
            <w:r w:rsidRPr="00B803D5">
              <w:rPr>
                <w:b/>
                <w:bCs/>
              </w:rPr>
              <w:t>Year Hourly</w:t>
            </w:r>
          </w:p>
          <w:p w:rsidRPr="00B803D5" w:rsidR="003B6A1B" w:rsidP="00CE057B" w:rsidRDefault="003B6A1B" w14:paraId="6FE76773" w14:textId="7DDDAF05">
            <w:pPr>
              <w:jc w:val="center"/>
              <w:rPr>
                <w:b/>
                <w:bCs/>
              </w:rPr>
            </w:pPr>
            <w:r w:rsidRPr="00B803D5">
              <w:rPr>
                <w:b/>
                <w:bCs/>
              </w:rPr>
              <w:t>Fee Requested</w:t>
            </w:r>
          </w:p>
        </w:tc>
        <w:tc>
          <w:tcPr>
            <w:tcW w:w="1634"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08CD8CFB" w14:textId="50A63D11">
            <w:pPr>
              <w:jc w:val="center"/>
              <w:rPr>
                <w:b/>
                <w:bCs/>
              </w:rPr>
            </w:pPr>
            <w:r w:rsidRPr="00B803D5">
              <w:rPr>
                <w:b/>
                <w:bCs/>
              </w:rPr>
              <w:t>Hourly</w:t>
            </w:r>
          </w:p>
          <w:p w:rsidRPr="00B803D5" w:rsidR="003B6A1B" w:rsidP="00CE057B" w:rsidRDefault="003B6A1B" w14:paraId="1B789B85" w14:textId="3C9059B0">
            <w:pPr>
              <w:jc w:val="center"/>
              <w:rPr>
                <w:b/>
                <w:bCs/>
              </w:rPr>
            </w:pPr>
            <w:r w:rsidRPr="00B803D5">
              <w:rPr>
                <w:b/>
                <w:bCs/>
              </w:rPr>
              <w:t>Fee Adopted</w:t>
            </w:r>
          </w:p>
        </w:tc>
      </w:tr>
      <w:tr w:rsidRPr="00B803D5" w:rsidR="001A154D" w:rsidTr="003B5FD8" w14:paraId="1211B948"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8758BE" w:rsidR="001A154D" w:rsidP="001A154D" w:rsidRDefault="001A154D" w14:paraId="0F0C6D6C" w14:textId="4C5E109A">
            <w:pPr>
              <w:jc w:val="center"/>
            </w:pPr>
            <w:r w:rsidRPr="008758BE">
              <w:t>Jason</w:t>
            </w:r>
          </w:p>
        </w:tc>
        <w:tc>
          <w:tcPr>
            <w:tcW w:w="1725" w:type="dxa"/>
            <w:tcBorders>
              <w:top w:val="single" w:color="auto" w:sz="4" w:space="0"/>
              <w:left w:val="single" w:color="auto" w:sz="4" w:space="0"/>
              <w:bottom w:val="single" w:color="auto" w:sz="4" w:space="0"/>
              <w:right w:val="single" w:color="auto" w:sz="4" w:space="0"/>
            </w:tcBorders>
          </w:tcPr>
          <w:p w:rsidRPr="008758BE" w:rsidR="001A154D" w:rsidP="001A154D" w:rsidRDefault="001A154D" w14:paraId="6ACE7B68" w14:textId="0808C1F5">
            <w:pPr>
              <w:jc w:val="center"/>
            </w:pPr>
            <w:r w:rsidRPr="008758BE">
              <w:t>Zeller</w:t>
            </w:r>
          </w:p>
        </w:tc>
        <w:tc>
          <w:tcPr>
            <w:tcW w:w="2088" w:type="dxa"/>
            <w:tcBorders>
              <w:top w:val="single" w:color="auto" w:sz="4" w:space="0"/>
              <w:left w:val="single" w:color="auto" w:sz="4" w:space="0"/>
              <w:bottom w:val="single" w:color="auto" w:sz="4" w:space="0"/>
              <w:right w:val="single" w:color="auto" w:sz="4" w:space="0"/>
            </w:tcBorders>
          </w:tcPr>
          <w:p w:rsidRPr="008758BE" w:rsidR="001A154D" w:rsidP="001A154D" w:rsidRDefault="001A154D" w14:paraId="0E61474F" w14:textId="2F498E20">
            <w:pPr>
              <w:jc w:val="center"/>
            </w:pPr>
            <w:r w:rsidRPr="008758BE">
              <w:t>Attorney</w:t>
            </w:r>
          </w:p>
        </w:tc>
        <w:tc>
          <w:tcPr>
            <w:tcW w:w="1748" w:type="dxa"/>
            <w:tcBorders>
              <w:top w:val="single" w:color="auto" w:sz="4" w:space="0"/>
              <w:left w:val="single" w:color="auto" w:sz="4" w:space="0"/>
              <w:bottom w:val="single" w:color="auto" w:sz="4" w:space="0"/>
              <w:right w:val="single" w:color="auto" w:sz="4" w:space="0"/>
            </w:tcBorders>
          </w:tcPr>
          <w:p w:rsidRPr="00B803D5" w:rsidR="001A154D" w:rsidP="001A154D" w:rsidRDefault="003E18E8" w14:paraId="44F9655C" w14:textId="78E99077">
            <w:pPr>
              <w:jc w:val="center"/>
            </w:pPr>
            <w:r>
              <w:rPr>
                <w:color w:val="000000"/>
              </w:rPr>
              <w:t>$770</w:t>
            </w:r>
          </w:p>
        </w:tc>
        <w:tc>
          <w:tcPr>
            <w:tcW w:w="1725" w:type="dxa"/>
            <w:tcBorders>
              <w:top w:val="single" w:color="auto" w:sz="4" w:space="0"/>
              <w:left w:val="single" w:color="auto" w:sz="4" w:space="0"/>
              <w:bottom w:val="single" w:color="auto" w:sz="4" w:space="0"/>
              <w:right w:val="single" w:color="auto" w:sz="4" w:space="0"/>
            </w:tcBorders>
          </w:tcPr>
          <w:p w:rsidRPr="00B803D5" w:rsidR="001A154D" w:rsidP="001A154D" w:rsidRDefault="001A154D" w14:paraId="2EB25516" w14:textId="5E31D5F8">
            <w:pPr>
              <w:jc w:val="center"/>
            </w:pPr>
            <w:r>
              <w:t>2024</w:t>
            </w:r>
          </w:p>
        </w:tc>
        <w:tc>
          <w:tcPr>
            <w:tcW w:w="1634" w:type="dxa"/>
            <w:tcBorders>
              <w:top w:val="single" w:color="auto" w:sz="4" w:space="0"/>
              <w:left w:val="single" w:color="auto" w:sz="4" w:space="0"/>
              <w:bottom w:val="single" w:color="auto" w:sz="4" w:space="0"/>
              <w:right w:val="single" w:color="auto" w:sz="4" w:space="0"/>
            </w:tcBorders>
          </w:tcPr>
          <w:p w:rsidRPr="00B803D5" w:rsidR="001A154D" w:rsidP="001A154D" w:rsidRDefault="006D2702" w14:paraId="0A76FE98" w14:textId="3DE1E462">
            <w:pPr>
              <w:jc w:val="center"/>
            </w:pPr>
            <w:r>
              <w:t>$770.00</w:t>
            </w:r>
          </w:p>
        </w:tc>
      </w:tr>
      <w:tr w:rsidRPr="00B803D5" w:rsidR="001A154D" w:rsidTr="003B5FD8" w14:paraId="23CC0A9F"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8758BE" w:rsidR="001A154D" w:rsidP="001A154D" w:rsidRDefault="001A154D" w14:paraId="4CFDAB24" w14:textId="0BA03378">
            <w:pPr>
              <w:jc w:val="center"/>
            </w:pPr>
            <w:r w:rsidRPr="008758BE">
              <w:t>Jason</w:t>
            </w:r>
          </w:p>
        </w:tc>
        <w:tc>
          <w:tcPr>
            <w:tcW w:w="1725" w:type="dxa"/>
            <w:tcBorders>
              <w:top w:val="single" w:color="auto" w:sz="4" w:space="0"/>
              <w:left w:val="single" w:color="auto" w:sz="4" w:space="0"/>
              <w:bottom w:val="single" w:color="auto" w:sz="4" w:space="0"/>
              <w:right w:val="single" w:color="auto" w:sz="4" w:space="0"/>
            </w:tcBorders>
          </w:tcPr>
          <w:p w:rsidRPr="008758BE" w:rsidR="001A154D" w:rsidP="001A154D" w:rsidRDefault="001A154D" w14:paraId="3A9B4F75" w14:textId="57F7F51E">
            <w:pPr>
              <w:jc w:val="center"/>
            </w:pPr>
            <w:r w:rsidRPr="008758BE">
              <w:t>Zeller</w:t>
            </w:r>
          </w:p>
        </w:tc>
        <w:tc>
          <w:tcPr>
            <w:tcW w:w="2088" w:type="dxa"/>
            <w:tcBorders>
              <w:top w:val="single" w:color="auto" w:sz="4" w:space="0"/>
              <w:left w:val="single" w:color="auto" w:sz="4" w:space="0"/>
              <w:bottom w:val="single" w:color="auto" w:sz="4" w:space="0"/>
              <w:right w:val="single" w:color="auto" w:sz="4" w:space="0"/>
            </w:tcBorders>
          </w:tcPr>
          <w:p w:rsidRPr="008758BE" w:rsidR="001A154D" w:rsidP="001A154D" w:rsidRDefault="001A154D" w14:paraId="73440B00" w14:textId="772BFC36">
            <w:pPr>
              <w:jc w:val="center"/>
            </w:pPr>
            <w:r w:rsidRPr="008758BE">
              <w:t>Attorney</w:t>
            </w:r>
          </w:p>
        </w:tc>
        <w:tc>
          <w:tcPr>
            <w:tcW w:w="1748" w:type="dxa"/>
            <w:tcBorders>
              <w:top w:val="single" w:color="auto" w:sz="4" w:space="0"/>
              <w:left w:val="single" w:color="auto" w:sz="4" w:space="0"/>
              <w:bottom w:val="single" w:color="auto" w:sz="4" w:space="0"/>
              <w:right w:val="single" w:color="auto" w:sz="4" w:space="0"/>
            </w:tcBorders>
          </w:tcPr>
          <w:p w:rsidRPr="00B803D5" w:rsidR="001A154D" w:rsidP="001A154D" w:rsidRDefault="003E18E8" w14:paraId="1466F47E" w14:textId="7557146F">
            <w:pPr>
              <w:jc w:val="center"/>
            </w:pPr>
            <w:r>
              <w:rPr>
                <w:color w:val="000000"/>
              </w:rPr>
              <w:t>$795</w:t>
            </w:r>
          </w:p>
        </w:tc>
        <w:tc>
          <w:tcPr>
            <w:tcW w:w="1725" w:type="dxa"/>
            <w:tcBorders>
              <w:top w:val="single" w:color="auto" w:sz="4" w:space="0"/>
              <w:left w:val="single" w:color="auto" w:sz="4" w:space="0"/>
              <w:bottom w:val="single" w:color="auto" w:sz="4" w:space="0"/>
              <w:right w:val="single" w:color="auto" w:sz="4" w:space="0"/>
            </w:tcBorders>
          </w:tcPr>
          <w:p w:rsidRPr="00B803D5" w:rsidR="001A154D" w:rsidP="001A154D" w:rsidRDefault="001A154D" w14:paraId="4CBE320E" w14:textId="6D28FAE7">
            <w:pPr>
              <w:jc w:val="center"/>
            </w:pPr>
            <w:r>
              <w:t>2025</w:t>
            </w:r>
          </w:p>
        </w:tc>
        <w:tc>
          <w:tcPr>
            <w:tcW w:w="1634" w:type="dxa"/>
            <w:tcBorders>
              <w:top w:val="single" w:color="auto" w:sz="4" w:space="0"/>
              <w:left w:val="single" w:color="auto" w:sz="4" w:space="0"/>
              <w:bottom w:val="single" w:color="auto" w:sz="4" w:space="0"/>
              <w:right w:val="single" w:color="auto" w:sz="4" w:space="0"/>
            </w:tcBorders>
          </w:tcPr>
          <w:p w:rsidRPr="00B803D5" w:rsidR="001A154D" w:rsidP="001A154D" w:rsidRDefault="006D2702" w14:paraId="37932A57" w14:textId="64B214B3">
            <w:pPr>
              <w:jc w:val="center"/>
            </w:pPr>
            <w:r>
              <w:t>$795.00</w:t>
            </w:r>
          </w:p>
        </w:tc>
      </w:tr>
      <w:tr w:rsidRPr="00B803D5" w:rsidR="001A154D" w:rsidTr="003B5FD8" w14:paraId="4C519B49"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8758BE" w:rsidR="001A154D" w:rsidP="001A154D" w:rsidRDefault="001A154D" w14:paraId="65C04662" w14:textId="52ACA357">
            <w:pPr>
              <w:jc w:val="center"/>
            </w:pPr>
            <w:r w:rsidRPr="008758BE">
              <w:t>Tyson</w:t>
            </w:r>
          </w:p>
        </w:tc>
        <w:tc>
          <w:tcPr>
            <w:tcW w:w="1725" w:type="dxa"/>
            <w:tcBorders>
              <w:top w:val="single" w:color="auto" w:sz="4" w:space="0"/>
              <w:left w:val="single" w:color="auto" w:sz="4" w:space="0"/>
              <w:bottom w:val="single" w:color="auto" w:sz="4" w:space="0"/>
              <w:right w:val="single" w:color="auto" w:sz="4" w:space="0"/>
            </w:tcBorders>
          </w:tcPr>
          <w:p w:rsidRPr="008758BE" w:rsidR="001A154D" w:rsidP="001A154D" w:rsidRDefault="001A154D" w14:paraId="1C590887" w14:textId="0C9F169A">
            <w:pPr>
              <w:jc w:val="center"/>
            </w:pPr>
            <w:r w:rsidRPr="008758BE">
              <w:t>Siegle</w:t>
            </w:r>
          </w:p>
        </w:tc>
        <w:tc>
          <w:tcPr>
            <w:tcW w:w="2088" w:type="dxa"/>
            <w:tcBorders>
              <w:top w:val="single" w:color="auto" w:sz="4" w:space="0"/>
              <w:left w:val="single" w:color="auto" w:sz="4" w:space="0"/>
              <w:bottom w:val="single" w:color="auto" w:sz="4" w:space="0"/>
              <w:right w:val="single" w:color="auto" w:sz="4" w:space="0"/>
            </w:tcBorders>
          </w:tcPr>
          <w:p w:rsidRPr="008758BE" w:rsidR="001A154D" w:rsidP="001A154D" w:rsidRDefault="001A154D" w14:paraId="1EA8DE3D" w14:textId="2B4C48AE">
            <w:pPr>
              <w:jc w:val="center"/>
            </w:pPr>
            <w:r w:rsidRPr="008758BE">
              <w:t>Expert</w:t>
            </w:r>
            <w:bookmarkStart w:name="_Ref211505801" w:id="1"/>
            <w:r w:rsidR="0098559D">
              <w:rPr>
                <w:rStyle w:val="FootnoteReference"/>
              </w:rPr>
              <w:footnoteReference w:id="7"/>
            </w:r>
            <w:bookmarkEnd w:id="1"/>
          </w:p>
        </w:tc>
        <w:tc>
          <w:tcPr>
            <w:tcW w:w="1748" w:type="dxa"/>
            <w:tcBorders>
              <w:top w:val="single" w:color="auto" w:sz="4" w:space="0"/>
              <w:left w:val="single" w:color="auto" w:sz="4" w:space="0"/>
              <w:bottom w:val="single" w:color="auto" w:sz="4" w:space="0"/>
              <w:right w:val="single" w:color="auto" w:sz="4" w:space="0"/>
            </w:tcBorders>
          </w:tcPr>
          <w:p w:rsidRPr="00B803D5" w:rsidR="001A154D" w:rsidP="001A154D" w:rsidRDefault="001A154D" w14:paraId="4F6290AB" w14:textId="34B8BF48">
            <w:pPr>
              <w:jc w:val="center"/>
            </w:pPr>
            <w:r>
              <w:rPr>
                <w:color w:val="000000"/>
              </w:rPr>
              <w:t>$345</w:t>
            </w:r>
          </w:p>
        </w:tc>
        <w:tc>
          <w:tcPr>
            <w:tcW w:w="1725" w:type="dxa"/>
            <w:tcBorders>
              <w:top w:val="single" w:color="auto" w:sz="4" w:space="0"/>
              <w:left w:val="single" w:color="auto" w:sz="4" w:space="0"/>
              <w:bottom w:val="single" w:color="auto" w:sz="4" w:space="0"/>
              <w:right w:val="single" w:color="auto" w:sz="4" w:space="0"/>
            </w:tcBorders>
          </w:tcPr>
          <w:p w:rsidRPr="00B803D5" w:rsidR="001A154D" w:rsidP="001A154D" w:rsidRDefault="001A154D" w14:paraId="1354C70A" w14:textId="078E97EC">
            <w:pPr>
              <w:jc w:val="center"/>
            </w:pPr>
            <w:r>
              <w:t>2024</w:t>
            </w:r>
          </w:p>
        </w:tc>
        <w:tc>
          <w:tcPr>
            <w:tcW w:w="1634" w:type="dxa"/>
            <w:tcBorders>
              <w:top w:val="single" w:color="auto" w:sz="4" w:space="0"/>
              <w:left w:val="single" w:color="auto" w:sz="4" w:space="0"/>
              <w:bottom w:val="single" w:color="auto" w:sz="4" w:space="0"/>
              <w:right w:val="single" w:color="auto" w:sz="4" w:space="0"/>
            </w:tcBorders>
          </w:tcPr>
          <w:p w:rsidRPr="00B803D5" w:rsidR="001A154D" w:rsidP="001A154D" w:rsidRDefault="006D2702" w14:paraId="36649915" w14:textId="7BAF03A9">
            <w:pPr>
              <w:jc w:val="center"/>
            </w:pPr>
            <w:r>
              <w:t>$345.00</w:t>
            </w:r>
          </w:p>
        </w:tc>
      </w:tr>
      <w:tr w:rsidRPr="00B803D5" w:rsidR="001A154D" w:rsidTr="003B5FD8" w14:paraId="6C04DB40"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8758BE" w:rsidR="001A154D" w:rsidP="001A154D" w:rsidRDefault="001A154D" w14:paraId="71BF257F" w14:textId="09254D24">
            <w:pPr>
              <w:jc w:val="center"/>
            </w:pPr>
            <w:r w:rsidRPr="008758BE">
              <w:t>Tyson</w:t>
            </w:r>
          </w:p>
        </w:tc>
        <w:tc>
          <w:tcPr>
            <w:tcW w:w="1725" w:type="dxa"/>
            <w:tcBorders>
              <w:top w:val="single" w:color="auto" w:sz="4" w:space="0"/>
              <w:left w:val="single" w:color="auto" w:sz="4" w:space="0"/>
              <w:bottom w:val="single" w:color="auto" w:sz="4" w:space="0"/>
              <w:right w:val="single" w:color="auto" w:sz="4" w:space="0"/>
            </w:tcBorders>
          </w:tcPr>
          <w:p w:rsidRPr="008758BE" w:rsidR="001A154D" w:rsidP="001A154D" w:rsidRDefault="001A154D" w14:paraId="4D0E5B24" w14:textId="78949E73">
            <w:pPr>
              <w:jc w:val="center"/>
            </w:pPr>
            <w:r w:rsidRPr="008758BE">
              <w:t>Siegle</w:t>
            </w:r>
          </w:p>
        </w:tc>
        <w:tc>
          <w:tcPr>
            <w:tcW w:w="2088" w:type="dxa"/>
            <w:tcBorders>
              <w:top w:val="single" w:color="auto" w:sz="4" w:space="0"/>
              <w:left w:val="single" w:color="auto" w:sz="4" w:space="0"/>
              <w:bottom w:val="single" w:color="auto" w:sz="4" w:space="0"/>
              <w:right w:val="single" w:color="auto" w:sz="4" w:space="0"/>
            </w:tcBorders>
          </w:tcPr>
          <w:p w:rsidRPr="008758BE" w:rsidR="001A154D" w:rsidP="001A154D" w:rsidRDefault="001A154D" w14:paraId="3ACB6465" w14:textId="3C3D661B">
            <w:pPr>
              <w:jc w:val="center"/>
            </w:pPr>
            <w:r w:rsidRPr="008758BE">
              <w:t>Expert</w:t>
            </w:r>
            <w:r w:rsidR="00D91F29">
              <w:fldChar w:fldCharType="begin"/>
            </w:r>
            <w:r w:rsidR="00D91F29">
              <w:instrText xml:space="preserve"> NOTEREF _Ref211505801 \f \h </w:instrText>
            </w:r>
            <w:r w:rsidR="00D91F29">
              <w:fldChar w:fldCharType="separate"/>
            </w:r>
            <w:r w:rsidRPr="00D91F29" w:rsidR="00D91F29">
              <w:rPr>
                <w:rStyle w:val="FootnoteReference"/>
              </w:rPr>
              <w:t>7</w:t>
            </w:r>
            <w:r w:rsidR="00D91F29">
              <w:fldChar w:fldCharType="end"/>
            </w:r>
          </w:p>
        </w:tc>
        <w:tc>
          <w:tcPr>
            <w:tcW w:w="1748" w:type="dxa"/>
            <w:tcBorders>
              <w:top w:val="single" w:color="auto" w:sz="4" w:space="0"/>
              <w:left w:val="single" w:color="auto" w:sz="4" w:space="0"/>
              <w:bottom w:val="single" w:color="auto" w:sz="4" w:space="0"/>
              <w:right w:val="single" w:color="auto" w:sz="4" w:space="0"/>
            </w:tcBorders>
          </w:tcPr>
          <w:p w:rsidRPr="00B803D5" w:rsidR="001A154D" w:rsidP="001A154D" w:rsidRDefault="001A154D" w14:paraId="27D75B3F" w14:textId="71837323">
            <w:pPr>
              <w:jc w:val="center"/>
            </w:pPr>
            <w:r w:rsidRPr="00A049EE">
              <w:rPr>
                <w:color w:val="000000"/>
              </w:rPr>
              <w:t>$3</w:t>
            </w:r>
            <w:r w:rsidRPr="00A049EE" w:rsidR="00B22C13">
              <w:rPr>
                <w:color w:val="000000"/>
              </w:rPr>
              <w:t>60</w:t>
            </w:r>
          </w:p>
        </w:tc>
        <w:tc>
          <w:tcPr>
            <w:tcW w:w="1725" w:type="dxa"/>
            <w:tcBorders>
              <w:top w:val="single" w:color="auto" w:sz="4" w:space="0"/>
              <w:left w:val="single" w:color="auto" w:sz="4" w:space="0"/>
              <w:bottom w:val="single" w:color="auto" w:sz="4" w:space="0"/>
              <w:right w:val="single" w:color="auto" w:sz="4" w:space="0"/>
            </w:tcBorders>
          </w:tcPr>
          <w:p w:rsidRPr="00B803D5" w:rsidR="001A154D" w:rsidP="001A154D" w:rsidRDefault="001A154D" w14:paraId="0BD45097" w14:textId="330892DF">
            <w:pPr>
              <w:jc w:val="center"/>
            </w:pPr>
            <w:r>
              <w:t>2025</w:t>
            </w:r>
          </w:p>
        </w:tc>
        <w:tc>
          <w:tcPr>
            <w:tcW w:w="1634" w:type="dxa"/>
            <w:tcBorders>
              <w:top w:val="single" w:color="auto" w:sz="4" w:space="0"/>
              <w:left w:val="single" w:color="auto" w:sz="4" w:space="0"/>
              <w:bottom w:val="single" w:color="auto" w:sz="4" w:space="0"/>
              <w:right w:val="single" w:color="auto" w:sz="4" w:space="0"/>
            </w:tcBorders>
          </w:tcPr>
          <w:p w:rsidRPr="00B803D5" w:rsidR="001A154D" w:rsidP="001A154D" w:rsidRDefault="006D2702" w14:paraId="6B245605" w14:textId="32D526DA">
            <w:pPr>
              <w:jc w:val="center"/>
            </w:pPr>
            <w:r w:rsidRPr="00A049EE">
              <w:t>$3</w:t>
            </w:r>
            <w:r w:rsidR="00871553">
              <w:t>55</w:t>
            </w:r>
            <w:r w:rsidRPr="00A049EE">
              <w:t>.00</w:t>
            </w:r>
          </w:p>
        </w:tc>
      </w:tr>
    </w:tbl>
    <w:p w:rsidR="0022302F" w:rsidP="00FE3BAE" w:rsidRDefault="0022302F" w14:paraId="330D3693" w14:textId="77777777">
      <w:pPr>
        <w:spacing w:line="360" w:lineRule="auto"/>
        <w:rPr>
          <w:b/>
        </w:rPr>
      </w:pPr>
    </w:p>
    <w:p w:rsidR="0022302F" w:rsidP="00FE3BAE" w:rsidRDefault="0022302F" w14:paraId="1CF37A00" w14:textId="77777777">
      <w:pPr>
        <w:spacing w:line="360" w:lineRule="auto"/>
        <w:rPr>
          <w:b/>
        </w:rPr>
      </w:pPr>
    </w:p>
    <w:p w:rsidR="0022302F" w:rsidP="00FE3BAE" w:rsidRDefault="0022302F" w14:paraId="439C0840" w14:textId="77777777">
      <w:pPr>
        <w:spacing w:line="360" w:lineRule="auto"/>
        <w:rPr>
          <w:b/>
        </w:rPr>
      </w:pPr>
    </w:p>
    <w:p w:rsidRPr="00B803D5" w:rsidR="00FE3BAE" w:rsidP="00FE3BAE" w:rsidRDefault="00FE3BAE" w14:paraId="53F54635" w14:textId="77777777">
      <w:pPr>
        <w:jc w:val="center"/>
      </w:pPr>
      <w:r w:rsidRPr="00B803D5">
        <w:rPr>
          <w:b/>
        </w:rPr>
        <w:t xml:space="preserve">(END OF </w:t>
      </w:r>
      <w:r w:rsidRPr="00B803D5">
        <w:rPr>
          <w:b/>
          <w:szCs w:val="26"/>
        </w:rPr>
        <w:t>APPENDIX</w:t>
      </w:r>
      <w:r w:rsidRPr="00B803D5">
        <w:rPr>
          <w:b/>
        </w:rPr>
        <w:t>)</w:t>
      </w:r>
    </w:p>
    <w:sectPr w:rsidRPr="00B803D5" w:rsidR="00FE3BAE" w:rsidSect="006B7228">
      <w:footerReference w:type="default" r:id="rId12"/>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173FC" w14:textId="77777777" w:rsidR="00125EA4" w:rsidRDefault="00125EA4" w:rsidP="00885956">
      <w:r>
        <w:separator/>
      </w:r>
    </w:p>
  </w:endnote>
  <w:endnote w:type="continuationSeparator" w:id="0">
    <w:p w14:paraId="1935B82A" w14:textId="77777777" w:rsidR="00125EA4" w:rsidRDefault="00125EA4" w:rsidP="0088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Segoe UI Historic"/>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570652"/>
      <w:docPartObj>
        <w:docPartGallery w:val="Page Numbers (Bottom of Page)"/>
        <w:docPartUnique/>
      </w:docPartObj>
    </w:sdtPr>
    <w:sdtEndPr>
      <w:rPr>
        <w:noProof/>
      </w:rPr>
    </w:sdtEndPr>
    <w:sdtContent>
      <w:p w14:paraId="28A020F4" w14:textId="3FB6E185" w:rsidR="003B6A1B" w:rsidRDefault="003B6A1B" w:rsidP="00880855">
        <w:pPr>
          <w:pStyle w:val="Footer"/>
          <w:jc w:val="center"/>
        </w:pPr>
        <w:r>
          <w:fldChar w:fldCharType="begin"/>
        </w:r>
        <w:r>
          <w:instrText xml:space="preserve"> PAGE   \* MERGEFORMAT </w:instrText>
        </w:r>
        <w:r>
          <w:fldChar w:fldCharType="separate"/>
        </w:r>
        <w:r w:rsidR="0055228B">
          <w:rPr>
            <w:noProof/>
          </w:rPr>
          <w:t>- 1 -</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49329"/>
      <w:docPartObj>
        <w:docPartGallery w:val="Page Numbers (Bottom of Page)"/>
        <w:docPartUnique/>
      </w:docPartObj>
    </w:sdtPr>
    <w:sdtEndPr>
      <w:rPr>
        <w:noProof/>
      </w:rPr>
    </w:sdtEndPr>
    <w:sdtContent>
      <w:p w14:paraId="560F7D5D" w14:textId="77777777" w:rsidR="00CF1129" w:rsidRDefault="00CF1129">
        <w:pPr>
          <w:pStyle w:val="Footer"/>
          <w:jc w:val="center"/>
        </w:pPr>
        <w:r>
          <w:fldChar w:fldCharType="begin"/>
        </w:r>
        <w:r>
          <w:instrText xml:space="preserve"> PAGE   \* MERGEFORMAT </w:instrText>
        </w:r>
        <w:r>
          <w:fldChar w:fldCharType="separate"/>
        </w:r>
        <w:r w:rsidR="002A6C07">
          <w:rPr>
            <w:noProof/>
          </w:rPr>
          <w:t>- 1 -</w:t>
        </w:r>
        <w:r>
          <w:rPr>
            <w:noProof/>
          </w:rPr>
          <w:fldChar w:fldCharType="end"/>
        </w:r>
      </w:p>
    </w:sdtContent>
  </w:sdt>
  <w:p w14:paraId="2B494C2D" w14:textId="00CF8D0D" w:rsidR="00CF1129" w:rsidRPr="00E70E15" w:rsidRDefault="00E70E15">
    <w:pPr>
      <w:pStyle w:val="Footer"/>
      <w:rPr>
        <w:sz w:val="16"/>
        <w:szCs w:val="16"/>
      </w:rPr>
    </w:pPr>
    <w:r w:rsidRPr="00E70E15">
      <w:rPr>
        <w:sz w:val="16"/>
        <w:szCs w:val="16"/>
      </w:rPr>
      <w:t>588940990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DD96" w14:textId="7A4B1371" w:rsidR="00435C30" w:rsidRDefault="00435C30" w:rsidP="0088085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F232A" w14:textId="77777777" w:rsidR="00125EA4" w:rsidRDefault="00125EA4" w:rsidP="00885956">
      <w:r>
        <w:separator/>
      </w:r>
    </w:p>
  </w:footnote>
  <w:footnote w:type="continuationSeparator" w:id="0">
    <w:p w14:paraId="7D4FA757" w14:textId="77777777" w:rsidR="00125EA4" w:rsidRDefault="00125EA4" w:rsidP="00885956">
      <w:r>
        <w:continuationSeparator/>
      </w:r>
    </w:p>
  </w:footnote>
  <w:footnote w:id="1">
    <w:p w14:paraId="7CAF0DDD" w14:textId="77777777" w:rsidR="003B6A1B" w:rsidRDefault="003B6A1B" w:rsidP="00D91F29">
      <w:pPr>
        <w:pStyle w:val="FootnoteText"/>
        <w:spacing w:after="0"/>
      </w:pPr>
      <w:r>
        <w:rPr>
          <w:rStyle w:val="FootnoteReference"/>
        </w:rPr>
        <w:footnoteRef/>
      </w:r>
      <w:r>
        <w:t xml:space="preserve"> All statutory references are to California Public Utilities Code unless indicated otherwise.</w:t>
      </w:r>
    </w:p>
  </w:footnote>
  <w:footnote w:id="2">
    <w:p w14:paraId="64BBC78D" w14:textId="058ADFED" w:rsidR="00D709CE" w:rsidRDefault="00D709CE" w:rsidP="00D91F29">
      <w:pPr>
        <w:pStyle w:val="FootnoteText"/>
        <w:spacing w:after="0"/>
      </w:pPr>
      <w:r>
        <w:rPr>
          <w:rStyle w:val="FootnoteReference"/>
        </w:rPr>
        <w:footnoteRef/>
      </w:r>
      <w:r>
        <w:t xml:space="preserve"> ALJ Ruling </w:t>
      </w:r>
      <w:hyperlink r:id="rId1" w:history="1">
        <w:r w:rsidRPr="00BA0A57">
          <w:rPr>
            <w:rStyle w:val="Hyperlink"/>
          </w:rPr>
          <w:t>https://docs.cpuc.ca.gov/SearchRes.aspx?DocFormat=ALL&amp;DocID=296319049</w:t>
        </w:r>
      </w:hyperlink>
      <w:r>
        <w:t xml:space="preserve"> </w:t>
      </w:r>
    </w:p>
  </w:footnote>
  <w:footnote w:id="3">
    <w:p w14:paraId="2A44723A" w14:textId="4855DD6A" w:rsidR="003B6A1B" w:rsidRPr="00060E07" w:rsidRDefault="003B6A1B" w:rsidP="00D91F29">
      <w:pPr>
        <w:pStyle w:val="FootnoteText"/>
        <w:spacing w:after="0"/>
        <w:rPr>
          <w:szCs w:val="22"/>
        </w:rPr>
      </w:pPr>
      <w:r w:rsidRPr="00DE3A5D">
        <w:rPr>
          <w:rStyle w:val="FootnoteReference"/>
          <w:sz w:val="20"/>
        </w:rPr>
        <w:footnoteRef/>
      </w:r>
      <w:r w:rsidRPr="00DE3A5D">
        <w:t xml:space="preserve"> This information may be </w:t>
      </w:r>
      <w:r w:rsidRPr="00DE3A5D">
        <w:rPr>
          <w:color w:val="000000"/>
        </w:rPr>
        <w:t>obtain</w:t>
      </w:r>
      <w:r>
        <w:rPr>
          <w:color w:val="000000"/>
        </w:rPr>
        <w:t xml:space="preserve">ed through the State Bar of California’s website at </w:t>
      </w:r>
      <w:hyperlink r:id="rId2" w:history="1">
        <w:r w:rsidR="005F5959" w:rsidRPr="005F5959">
          <w:rPr>
            <w:rStyle w:val="Hyperlink"/>
            <w:szCs w:val="22"/>
          </w:rPr>
          <w:t xml:space="preserve">http://members.calbar.ca.gov/fal/MemberSearch/QuickSearch. </w:t>
        </w:r>
      </w:hyperlink>
    </w:p>
  </w:footnote>
  <w:footnote w:id="4">
    <w:p w14:paraId="6EAFF0D7" w14:textId="4852B289" w:rsidR="006D2702" w:rsidRDefault="006D2702" w:rsidP="00D91F29">
      <w:pPr>
        <w:pStyle w:val="FootnoteText"/>
        <w:spacing w:after="0"/>
      </w:pPr>
      <w:r>
        <w:rPr>
          <w:rStyle w:val="FootnoteReference"/>
        </w:rPr>
        <w:footnoteRef/>
      </w:r>
      <w:r>
        <w:t xml:space="preserve"> </w:t>
      </w:r>
      <w:r w:rsidRPr="006D2702">
        <w:rPr>
          <w:rStyle w:val="cf01"/>
          <w:rFonts w:ascii="Times New Roman" w:hAnsi="Times New Roman" w:cs="Times New Roman"/>
          <w:sz w:val="22"/>
          <w:szCs w:val="22"/>
        </w:rPr>
        <w:t>Jason Jonathan Zeller’s Member Number is 139477</w:t>
      </w:r>
      <w:r w:rsidR="00AE6B26">
        <w:rPr>
          <w:rStyle w:val="cf01"/>
          <w:rFonts w:ascii="Times New Roman" w:hAnsi="Times New Roman" w:cs="Times New Roman"/>
          <w:sz w:val="22"/>
          <w:szCs w:val="22"/>
        </w:rPr>
        <w:t>, and</w:t>
      </w:r>
      <w:r w:rsidRPr="006D2702">
        <w:rPr>
          <w:rStyle w:val="cf01"/>
          <w:rFonts w:ascii="Times New Roman" w:hAnsi="Times New Roman" w:cs="Times New Roman"/>
          <w:sz w:val="22"/>
          <w:szCs w:val="22"/>
        </w:rPr>
        <w:t xml:space="preserve"> not 139577</w:t>
      </w:r>
      <w:r w:rsidR="00AE6B26">
        <w:rPr>
          <w:rStyle w:val="cf01"/>
          <w:rFonts w:ascii="Times New Roman" w:hAnsi="Times New Roman" w:cs="Times New Roman"/>
          <w:sz w:val="22"/>
          <w:szCs w:val="22"/>
        </w:rPr>
        <w:t xml:space="preserve"> as UCAN erroneously listed</w:t>
      </w:r>
      <w:r w:rsidRPr="006D2702">
        <w:rPr>
          <w:rStyle w:val="cf01"/>
          <w:rFonts w:ascii="Times New Roman" w:hAnsi="Times New Roman" w:cs="Times New Roman"/>
          <w:sz w:val="22"/>
          <w:szCs w:val="22"/>
        </w:rPr>
        <w:t>.</w:t>
      </w:r>
    </w:p>
  </w:footnote>
  <w:footnote w:id="5">
    <w:p w14:paraId="51FD4504" w14:textId="15FD634F" w:rsidR="00720770" w:rsidRDefault="00720770" w:rsidP="00D91F29">
      <w:pPr>
        <w:pStyle w:val="FootnoteText"/>
        <w:spacing w:after="0"/>
      </w:pPr>
      <w:r>
        <w:rPr>
          <w:rStyle w:val="FootnoteReference"/>
        </w:rPr>
        <w:footnoteRef/>
      </w:r>
      <w:r>
        <w:t xml:space="preserve"> Attachments not included in final Decision.</w:t>
      </w:r>
    </w:p>
  </w:footnote>
  <w:footnote w:id="6">
    <w:p w14:paraId="68548C7A" w14:textId="0B5057C1" w:rsidR="005E2D80" w:rsidRDefault="005E2D80">
      <w:pPr>
        <w:pStyle w:val="FootnoteText"/>
      </w:pPr>
      <w:r w:rsidRPr="00792772">
        <w:rPr>
          <w:rStyle w:val="FootnoteReference"/>
        </w:rPr>
        <w:footnoteRef/>
      </w:r>
      <w:r w:rsidRPr="00792772">
        <w:t xml:space="preserve"> </w:t>
      </w:r>
      <w:r w:rsidRPr="007F7E97">
        <w:rPr>
          <w:color w:val="000000"/>
        </w:rPr>
        <w:t>D.07-01-009, D.08-04-010, and ALJ Resolution ALJ 235.</w:t>
      </w:r>
      <w:r>
        <w:rPr>
          <w:rFonts w:ascii="Georgia" w:hAnsi="Georgia"/>
          <w:color w:val="000000"/>
        </w:rPr>
        <w:t>  </w:t>
      </w:r>
    </w:p>
  </w:footnote>
  <w:footnote w:id="7">
    <w:p w14:paraId="288D0804" w14:textId="13DFCC55" w:rsidR="0098559D" w:rsidRDefault="0098559D">
      <w:pPr>
        <w:pStyle w:val="FootnoteText"/>
      </w:pPr>
      <w:r>
        <w:rPr>
          <w:rStyle w:val="FootnoteReference"/>
        </w:rPr>
        <w:footnoteRef/>
      </w:r>
      <w:r>
        <w:t xml:space="preserve"> </w:t>
      </w:r>
      <w:r w:rsidRPr="00A049EE">
        <w:t xml:space="preserve">Tyson Siegle served </w:t>
      </w:r>
      <w:r>
        <w:t xml:space="preserve">UCAN </w:t>
      </w:r>
      <w:r w:rsidRPr="00A049EE">
        <w:t>as a consultant</w:t>
      </w:r>
      <w:r>
        <w:t xml:space="preserve"> in 2024 &amp; 2025</w:t>
      </w:r>
      <w:r w:rsidRPr="00A049E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FF04" w14:textId="0C433286" w:rsidR="0005538D" w:rsidRPr="00D55E1E" w:rsidRDefault="00D55E1E">
    <w:pPr>
      <w:pStyle w:val="Header"/>
    </w:pPr>
    <w:r w:rsidRPr="00D55E1E">
      <w:rPr>
        <w:color w:val="000000"/>
      </w:rPr>
      <w:t>R.18-07-005 ALJ/ADW/kp7</w:t>
    </w:r>
    <w:r w:rsidRPr="00D55E1E">
      <w:rPr>
        <w:color w:val="000000"/>
      </w:rPr>
      <w:tab/>
    </w:r>
    <w:r>
      <w:rPr>
        <w:color w:val="000000"/>
      </w:rPr>
      <w:tab/>
    </w:r>
    <w:r w:rsidRPr="00D55E1E">
      <w:rPr>
        <w:color w:val="000000"/>
      </w:rPr>
      <w:t>PROPOSE</w:t>
    </w:r>
    <w:r>
      <w:rPr>
        <w:color w:val="000000"/>
      </w:rPr>
      <w:t>D DECISION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F2D1E" w14:textId="52FAD354" w:rsidR="00A23930" w:rsidRPr="00141A4E" w:rsidRDefault="00774AB1">
    <w:pPr>
      <w:pStyle w:val="Header"/>
      <w:rPr>
        <w:color w:val="7F7F7F"/>
      </w:rPr>
    </w:pPr>
    <w:r>
      <w:rPr>
        <w:color w:val="7F7F7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5AE7"/>
    <w:multiLevelType w:val="hybridMultilevel"/>
    <w:tmpl w:val="2892EF34"/>
    <w:lvl w:ilvl="0" w:tplc="7B3657A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B2577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65914"/>
    <w:multiLevelType w:val="hybridMultilevel"/>
    <w:tmpl w:val="315AB08E"/>
    <w:lvl w:ilvl="0" w:tplc="97CC1A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2F0203"/>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02E60CD"/>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2504B9E"/>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104FC"/>
    <w:multiLevelType w:val="hybridMultilevel"/>
    <w:tmpl w:val="A1FCBB4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568F6BF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EE0BC7"/>
    <w:multiLevelType w:val="hybridMultilevel"/>
    <w:tmpl w:val="17C8B27A"/>
    <w:lvl w:ilvl="0" w:tplc="0409000F">
      <w:start w:val="1"/>
      <w:numFmt w:val="decimal"/>
      <w:lvlText w:val="%1."/>
      <w:lvlJc w:val="left"/>
      <w:pPr>
        <w:tabs>
          <w:tab w:val="num" w:pos="1620"/>
        </w:tabs>
        <w:ind w:left="1620" w:hanging="360"/>
      </w:pPr>
    </w:lvl>
    <w:lvl w:ilvl="1" w:tplc="A2982BDA">
      <w:start w:val="1"/>
      <w:numFmt w:val="upp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9" w15:restartNumberingAfterBreak="0">
    <w:nsid w:val="778737B1"/>
    <w:multiLevelType w:val="hybridMultilevel"/>
    <w:tmpl w:val="6E5AF590"/>
    <w:lvl w:ilvl="0" w:tplc="58ECDC58">
      <w:start w:val="1"/>
      <w:numFmt w:val="upperLetter"/>
      <w:lvlText w:val="%1."/>
      <w:lvlJc w:val="left"/>
      <w:pPr>
        <w:tabs>
          <w:tab w:val="num" w:pos="900"/>
        </w:tabs>
        <w:ind w:left="900" w:hanging="360"/>
      </w:pPr>
      <w:rPr>
        <w:rFonts w:hint="default"/>
        <w:i w:val="0"/>
      </w:rPr>
    </w:lvl>
    <w:lvl w:ilvl="1" w:tplc="EC9EF088">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A8179A5"/>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6431786">
    <w:abstractNumId w:val="9"/>
  </w:num>
  <w:num w:numId="2" w16cid:durableId="296566636">
    <w:abstractNumId w:val="0"/>
  </w:num>
  <w:num w:numId="3" w16cid:durableId="2098595014">
    <w:abstractNumId w:val="10"/>
  </w:num>
  <w:num w:numId="4" w16cid:durableId="1312905431">
    <w:abstractNumId w:val="6"/>
  </w:num>
  <w:num w:numId="5" w16cid:durableId="417093550">
    <w:abstractNumId w:val="4"/>
  </w:num>
  <w:num w:numId="6" w16cid:durableId="1486429129">
    <w:abstractNumId w:val="8"/>
  </w:num>
  <w:num w:numId="7" w16cid:durableId="258221757">
    <w:abstractNumId w:val="5"/>
  </w:num>
  <w:num w:numId="8" w16cid:durableId="842936081">
    <w:abstractNumId w:val="7"/>
  </w:num>
  <w:num w:numId="9" w16cid:durableId="1685205339">
    <w:abstractNumId w:val="1"/>
  </w:num>
  <w:num w:numId="10" w16cid:durableId="789317941">
    <w:abstractNumId w:val="3"/>
  </w:num>
  <w:num w:numId="11" w16cid:durableId="665279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83"/>
    <w:rsid w:val="000024DD"/>
    <w:rsid w:val="00003A49"/>
    <w:rsid w:val="000112E9"/>
    <w:rsid w:val="000115DA"/>
    <w:rsid w:val="00011FBC"/>
    <w:rsid w:val="0001267C"/>
    <w:rsid w:val="000128BB"/>
    <w:rsid w:val="00013B2E"/>
    <w:rsid w:val="00014C81"/>
    <w:rsid w:val="000165E8"/>
    <w:rsid w:val="00021111"/>
    <w:rsid w:val="00022382"/>
    <w:rsid w:val="000231D0"/>
    <w:rsid w:val="0002527B"/>
    <w:rsid w:val="000252EA"/>
    <w:rsid w:val="00026A15"/>
    <w:rsid w:val="000270D6"/>
    <w:rsid w:val="00032346"/>
    <w:rsid w:val="00033915"/>
    <w:rsid w:val="00034492"/>
    <w:rsid w:val="00036D38"/>
    <w:rsid w:val="00036F54"/>
    <w:rsid w:val="0004028C"/>
    <w:rsid w:val="000416DE"/>
    <w:rsid w:val="00045A2F"/>
    <w:rsid w:val="000463C8"/>
    <w:rsid w:val="00050A33"/>
    <w:rsid w:val="000543BA"/>
    <w:rsid w:val="00055216"/>
    <w:rsid w:val="0005538D"/>
    <w:rsid w:val="00055843"/>
    <w:rsid w:val="00060E07"/>
    <w:rsid w:val="00061D8F"/>
    <w:rsid w:val="00072285"/>
    <w:rsid w:val="00072C81"/>
    <w:rsid w:val="00073262"/>
    <w:rsid w:val="00077048"/>
    <w:rsid w:val="000815A6"/>
    <w:rsid w:val="000817E3"/>
    <w:rsid w:val="0008262A"/>
    <w:rsid w:val="00083165"/>
    <w:rsid w:val="000922A4"/>
    <w:rsid w:val="00093DD6"/>
    <w:rsid w:val="000971C0"/>
    <w:rsid w:val="00097B46"/>
    <w:rsid w:val="000A0135"/>
    <w:rsid w:val="000A0E4C"/>
    <w:rsid w:val="000A1B05"/>
    <w:rsid w:val="000A2117"/>
    <w:rsid w:val="000A34A3"/>
    <w:rsid w:val="000A4085"/>
    <w:rsid w:val="000A54AA"/>
    <w:rsid w:val="000B1BF7"/>
    <w:rsid w:val="000B322C"/>
    <w:rsid w:val="000B3A63"/>
    <w:rsid w:val="000B3D81"/>
    <w:rsid w:val="000C159F"/>
    <w:rsid w:val="000C15CE"/>
    <w:rsid w:val="000C1A0B"/>
    <w:rsid w:val="000C2393"/>
    <w:rsid w:val="000C4949"/>
    <w:rsid w:val="000C4954"/>
    <w:rsid w:val="000C5603"/>
    <w:rsid w:val="000D0B8A"/>
    <w:rsid w:val="000D0BF5"/>
    <w:rsid w:val="000D2B09"/>
    <w:rsid w:val="000D5EE6"/>
    <w:rsid w:val="000D6CA0"/>
    <w:rsid w:val="000D6DF8"/>
    <w:rsid w:val="000D7128"/>
    <w:rsid w:val="000D72C3"/>
    <w:rsid w:val="000D73B7"/>
    <w:rsid w:val="000E32B8"/>
    <w:rsid w:val="000E3CEA"/>
    <w:rsid w:val="000E41D9"/>
    <w:rsid w:val="000E4A68"/>
    <w:rsid w:val="000E6A09"/>
    <w:rsid w:val="000E6A82"/>
    <w:rsid w:val="000E6ABD"/>
    <w:rsid w:val="000E740B"/>
    <w:rsid w:val="000F2590"/>
    <w:rsid w:val="000F46CC"/>
    <w:rsid w:val="000F4F30"/>
    <w:rsid w:val="000F4FD1"/>
    <w:rsid w:val="000F595C"/>
    <w:rsid w:val="000F7579"/>
    <w:rsid w:val="000F7670"/>
    <w:rsid w:val="00100077"/>
    <w:rsid w:val="00103E9E"/>
    <w:rsid w:val="0010480F"/>
    <w:rsid w:val="00110D89"/>
    <w:rsid w:val="001170E8"/>
    <w:rsid w:val="00117CEA"/>
    <w:rsid w:val="00120F8B"/>
    <w:rsid w:val="00122C57"/>
    <w:rsid w:val="00123103"/>
    <w:rsid w:val="001251BA"/>
    <w:rsid w:val="00125492"/>
    <w:rsid w:val="00125EA4"/>
    <w:rsid w:val="00126802"/>
    <w:rsid w:val="0013306F"/>
    <w:rsid w:val="001346EB"/>
    <w:rsid w:val="00135211"/>
    <w:rsid w:val="00137C00"/>
    <w:rsid w:val="00141A4E"/>
    <w:rsid w:val="00142C0D"/>
    <w:rsid w:val="001456B9"/>
    <w:rsid w:val="00145E1C"/>
    <w:rsid w:val="00147C69"/>
    <w:rsid w:val="00150E50"/>
    <w:rsid w:val="00151AA8"/>
    <w:rsid w:val="00152F94"/>
    <w:rsid w:val="001549B9"/>
    <w:rsid w:val="0015518A"/>
    <w:rsid w:val="00157414"/>
    <w:rsid w:val="001626DB"/>
    <w:rsid w:val="00167FA8"/>
    <w:rsid w:val="00171EBF"/>
    <w:rsid w:val="00171EDC"/>
    <w:rsid w:val="00175865"/>
    <w:rsid w:val="00177368"/>
    <w:rsid w:val="00180E8C"/>
    <w:rsid w:val="001823E9"/>
    <w:rsid w:val="001825A1"/>
    <w:rsid w:val="00183E79"/>
    <w:rsid w:val="00184333"/>
    <w:rsid w:val="00186106"/>
    <w:rsid w:val="00186D94"/>
    <w:rsid w:val="001924CC"/>
    <w:rsid w:val="001962EB"/>
    <w:rsid w:val="00196699"/>
    <w:rsid w:val="00196A55"/>
    <w:rsid w:val="001977E3"/>
    <w:rsid w:val="001A0FAD"/>
    <w:rsid w:val="001A154D"/>
    <w:rsid w:val="001A3CF3"/>
    <w:rsid w:val="001A6D66"/>
    <w:rsid w:val="001A7282"/>
    <w:rsid w:val="001B1DD0"/>
    <w:rsid w:val="001B3363"/>
    <w:rsid w:val="001B4565"/>
    <w:rsid w:val="001B5497"/>
    <w:rsid w:val="001B58AC"/>
    <w:rsid w:val="001B58D8"/>
    <w:rsid w:val="001C0DD1"/>
    <w:rsid w:val="001C21AE"/>
    <w:rsid w:val="001C32BA"/>
    <w:rsid w:val="001D0768"/>
    <w:rsid w:val="001D0B54"/>
    <w:rsid w:val="001D0E72"/>
    <w:rsid w:val="001D15E1"/>
    <w:rsid w:val="001D1CBA"/>
    <w:rsid w:val="001D3ED2"/>
    <w:rsid w:val="001D3F5E"/>
    <w:rsid w:val="001D42EC"/>
    <w:rsid w:val="001D4CAB"/>
    <w:rsid w:val="001D5DAB"/>
    <w:rsid w:val="001D7854"/>
    <w:rsid w:val="001E0F45"/>
    <w:rsid w:val="001E107C"/>
    <w:rsid w:val="001E1E16"/>
    <w:rsid w:val="001E2432"/>
    <w:rsid w:val="001E77CF"/>
    <w:rsid w:val="001E7B95"/>
    <w:rsid w:val="001E7EE2"/>
    <w:rsid w:val="001F238E"/>
    <w:rsid w:val="001F27F3"/>
    <w:rsid w:val="00203737"/>
    <w:rsid w:val="00204E3A"/>
    <w:rsid w:val="00205C53"/>
    <w:rsid w:val="002119DF"/>
    <w:rsid w:val="00212E10"/>
    <w:rsid w:val="00214B22"/>
    <w:rsid w:val="00217224"/>
    <w:rsid w:val="00220501"/>
    <w:rsid w:val="00222069"/>
    <w:rsid w:val="0022302F"/>
    <w:rsid w:val="00224F6B"/>
    <w:rsid w:val="00227295"/>
    <w:rsid w:val="00230392"/>
    <w:rsid w:val="00232C8A"/>
    <w:rsid w:val="00235BB8"/>
    <w:rsid w:val="00240ADF"/>
    <w:rsid w:val="002411BB"/>
    <w:rsid w:val="002415DC"/>
    <w:rsid w:val="002422AF"/>
    <w:rsid w:val="002466F8"/>
    <w:rsid w:val="00251C37"/>
    <w:rsid w:val="00251E71"/>
    <w:rsid w:val="00253B88"/>
    <w:rsid w:val="00253BD5"/>
    <w:rsid w:val="0025441B"/>
    <w:rsid w:val="0025605D"/>
    <w:rsid w:val="00256F00"/>
    <w:rsid w:val="00260518"/>
    <w:rsid w:val="0026074D"/>
    <w:rsid w:val="00264333"/>
    <w:rsid w:val="00264D2B"/>
    <w:rsid w:val="00270E2E"/>
    <w:rsid w:val="00273208"/>
    <w:rsid w:val="002739F4"/>
    <w:rsid w:val="00275407"/>
    <w:rsid w:val="002772C3"/>
    <w:rsid w:val="002810D2"/>
    <w:rsid w:val="00282545"/>
    <w:rsid w:val="002827CC"/>
    <w:rsid w:val="0028630A"/>
    <w:rsid w:val="00290E21"/>
    <w:rsid w:val="00292371"/>
    <w:rsid w:val="00296BF9"/>
    <w:rsid w:val="002A1517"/>
    <w:rsid w:val="002A1857"/>
    <w:rsid w:val="002A2CAB"/>
    <w:rsid w:val="002A41D2"/>
    <w:rsid w:val="002A46E3"/>
    <w:rsid w:val="002A5FC9"/>
    <w:rsid w:val="002A6C07"/>
    <w:rsid w:val="002A7E75"/>
    <w:rsid w:val="002B1452"/>
    <w:rsid w:val="002B15E4"/>
    <w:rsid w:val="002B235A"/>
    <w:rsid w:val="002B3390"/>
    <w:rsid w:val="002B3E70"/>
    <w:rsid w:val="002B48CD"/>
    <w:rsid w:val="002C5D04"/>
    <w:rsid w:val="002C7AFF"/>
    <w:rsid w:val="002D13AB"/>
    <w:rsid w:val="002D1F6A"/>
    <w:rsid w:val="002D21CA"/>
    <w:rsid w:val="002D348D"/>
    <w:rsid w:val="002D3B71"/>
    <w:rsid w:val="002D4398"/>
    <w:rsid w:val="002D53AA"/>
    <w:rsid w:val="002D54C2"/>
    <w:rsid w:val="002D5893"/>
    <w:rsid w:val="002D5FF1"/>
    <w:rsid w:val="002D7BE6"/>
    <w:rsid w:val="002D7F23"/>
    <w:rsid w:val="002E190F"/>
    <w:rsid w:val="002E58AC"/>
    <w:rsid w:val="002E5F83"/>
    <w:rsid w:val="002E77D8"/>
    <w:rsid w:val="002E7B77"/>
    <w:rsid w:val="002E7EA1"/>
    <w:rsid w:val="002F59B7"/>
    <w:rsid w:val="002F7EEF"/>
    <w:rsid w:val="00300F64"/>
    <w:rsid w:val="0030295A"/>
    <w:rsid w:val="003030EE"/>
    <w:rsid w:val="00303C2B"/>
    <w:rsid w:val="00306573"/>
    <w:rsid w:val="00307569"/>
    <w:rsid w:val="00315529"/>
    <w:rsid w:val="00316026"/>
    <w:rsid w:val="0031677B"/>
    <w:rsid w:val="00324505"/>
    <w:rsid w:val="00324CD4"/>
    <w:rsid w:val="00330C35"/>
    <w:rsid w:val="00332303"/>
    <w:rsid w:val="00336178"/>
    <w:rsid w:val="00340737"/>
    <w:rsid w:val="003408B8"/>
    <w:rsid w:val="00344879"/>
    <w:rsid w:val="003501DD"/>
    <w:rsid w:val="003542FA"/>
    <w:rsid w:val="00355D52"/>
    <w:rsid w:val="003565F2"/>
    <w:rsid w:val="00357623"/>
    <w:rsid w:val="00357F1A"/>
    <w:rsid w:val="00364580"/>
    <w:rsid w:val="003662B0"/>
    <w:rsid w:val="00370110"/>
    <w:rsid w:val="00371E29"/>
    <w:rsid w:val="00372CA3"/>
    <w:rsid w:val="0037486E"/>
    <w:rsid w:val="00374FD1"/>
    <w:rsid w:val="00377884"/>
    <w:rsid w:val="00377A56"/>
    <w:rsid w:val="00380212"/>
    <w:rsid w:val="00380703"/>
    <w:rsid w:val="00380E2A"/>
    <w:rsid w:val="003813AE"/>
    <w:rsid w:val="00381FF3"/>
    <w:rsid w:val="00382617"/>
    <w:rsid w:val="00386D3C"/>
    <w:rsid w:val="00393156"/>
    <w:rsid w:val="003941B3"/>
    <w:rsid w:val="003A0338"/>
    <w:rsid w:val="003A0682"/>
    <w:rsid w:val="003A246A"/>
    <w:rsid w:val="003A47E0"/>
    <w:rsid w:val="003B1368"/>
    <w:rsid w:val="003B1782"/>
    <w:rsid w:val="003B1A2F"/>
    <w:rsid w:val="003B1FAE"/>
    <w:rsid w:val="003B296D"/>
    <w:rsid w:val="003B4171"/>
    <w:rsid w:val="003B43BB"/>
    <w:rsid w:val="003B5EAC"/>
    <w:rsid w:val="003B5FD8"/>
    <w:rsid w:val="003B65B0"/>
    <w:rsid w:val="003B69AB"/>
    <w:rsid w:val="003B6A1B"/>
    <w:rsid w:val="003B748E"/>
    <w:rsid w:val="003C1288"/>
    <w:rsid w:val="003C155E"/>
    <w:rsid w:val="003C2875"/>
    <w:rsid w:val="003C54B2"/>
    <w:rsid w:val="003C608A"/>
    <w:rsid w:val="003D1605"/>
    <w:rsid w:val="003D359B"/>
    <w:rsid w:val="003D3782"/>
    <w:rsid w:val="003D4272"/>
    <w:rsid w:val="003D4455"/>
    <w:rsid w:val="003D585D"/>
    <w:rsid w:val="003E18E8"/>
    <w:rsid w:val="003E21BA"/>
    <w:rsid w:val="003E2969"/>
    <w:rsid w:val="003E34FD"/>
    <w:rsid w:val="003E4F71"/>
    <w:rsid w:val="003E5413"/>
    <w:rsid w:val="003E68E2"/>
    <w:rsid w:val="003F377D"/>
    <w:rsid w:val="003F7753"/>
    <w:rsid w:val="0040382D"/>
    <w:rsid w:val="00410AB2"/>
    <w:rsid w:val="00411379"/>
    <w:rsid w:val="00412DFE"/>
    <w:rsid w:val="00413166"/>
    <w:rsid w:val="00414481"/>
    <w:rsid w:val="00417855"/>
    <w:rsid w:val="00422897"/>
    <w:rsid w:val="00435C30"/>
    <w:rsid w:val="00441F54"/>
    <w:rsid w:val="0044471C"/>
    <w:rsid w:val="004458D2"/>
    <w:rsid w:val="004460AD"/>
    <w:rsid w:val="004531AE"/>
    <w:rsid w:val="004534E7"/>
    <w:rsid w:val="00457877"/>
    <w:rsid w:val="004601F3"/>
    <w:rsid w:val="00460472"/>
    <w:rsid w:val="00460499"/>
    <w:rsid w:val="0046248A"/>
    <w:rsid w:val="00462642"/>
    <w:rsid w:val="0046551A"/>
    <w:rsid w:val="00465F7E"/>
    <w:rsid w:val="004664B1"/>
    <w:rsid w:val="00467E65"/>
    <w:rsid w:val="004701A6"/>
    <w:rsid w:val="00470D7D"/>
    <w:rsid w:val="004722D0"/>
    <w:rsid w:val="0047639A"/>
    <w:rsid w:val="004764DA"/>
    <w:rsid w:val="00476863"/>
    <w:rsid w:val="00480495"/>
    <w:rsid w:val="00480692"/>
    <w:rsid w:val="00480BF6"/>
    <w:rsid w:val="00481910"/>
    <w:rsid w:val="004840D2"/>
    <w:rsid w:val="004863CB"/>
    <w:rsid w:val="004876B0"/>
    <w:rsid w:val="00490078"/>
    <w:rsid w:val="004927AD"/>
    <w:rsid w:val="00497603"/>
    <w:rsid w:val="004A6FD4"/>
    <w:rsid w:val="004A7F70"/>
    <w:rsid w:val="004B03C9"/>
    <w:rsid w:val="004B05E5"/>
    <w:rsid w:val="004B627B"/>
    <w:rsid w:val="004B76DE"/>
    <w:rsid w:val="004C0192"/>
    <w:rsid w:val="004C0961"/>
    <w:rsid w:val="004C1714"/>
    <w:rsid w:val="004C39A1"/>
    <w:rsid w:val="004C3F96"/>
    <w:rsid w:val="004C40B7"/>
    <w:rsid w:val="004C5345"/>
    <w:rsid w:val="004C64EA"/>
    <w:rsid w:val="004C68AB"/>
    <w:rsid w:val="004D2194"/>
    <w:rsid w:val="004D2CD4"/>
    <w:rsid w:val="004D4B3A"/>
    <w:rsid w:val="004D4F4A"/>
    <w:rsid w:val="004D5EAB"/>
    <w:rsid w:val="004D6B6D"/>
    <w:rsid w:val="004D779D"/>
    <w:rsid w:val="004E0395"/>
    <w:rsid w:val="004E128A"/>
    <w:rsid w:val="004E1723"/>
    <w:rsid w:val="004E3939"/>
    <w:rsid w:val="004E3D93"/>
    <w:rsid w:val="004F0CB6"/>
    <w:rsid w:val="00501CA0"/>
    <w:rsid w:val="00503061"/>
    <w:rsid w:val="005106B5"/>
    <w:rsid w:val="00513704"/>
    <w:rsid w:val="00516CE7"/>
    <w:rsid w:val="00517092"/>
    <w:rsid w:val="005210FA"/>
    <w:rsid w:val="005215EF"/>
    <w:rsid w:val="00521B86"/>
    <w:rsid w:val="00523C5F"/>
    <w:rsid w:val="005244BD"/>
    <w:rsid w:val="00526074"/>
    <w:rsid w:val="00527E81"/>
    <w:rsid w:val="00527FDB"/>
    <w:rsid w:val="00533373"/>
    <w:rsid w:val="005333E8"/>
    <w:rsid w:val="00533A4E"/>
    <w:rsid w:val="00535E4C"/>
    <w:rsid w:val="005407C8"/>
    <w:rsid w:val="005413F8"/>
    <w:rsid w:val="00544FA4"/>
    <w:rsid w:val="00545F72"/>
    <w:rsid w:val="00547145"/>
    <w:rsid w:val="005516AC"/>
    <w:rsid w:val="00551967"/>
    <w:rsid w:val="0055228B"/>
    <w:rsid w:val="00552BB8"/>
    <w:rsid w:val="00553F88"/>
    <w:rsid w:val="00563CD7"/>
    <w:rsid w:val="00564BD1"/>
    <w:rsid w:val="00566B43"/>
    <w:rsid w:val="0057088A"/>
    <w:rsid w:val="0057252D"/>
    <w:rsid w:val="00575494"/>
    <w:rsid w:val="005769E9"/>
    <w:rsid w:val="00577070"/>
    <w:rsid w:val="00590089"/>
    <w:rsid w:val="005909E3"/>
    <w:rsid w:val="005912FA"/>
    <w:rsid w:val="00591CA2"/>
    <w:rsid w:val="0059289A"/>
    <w:rsid w:val="00593705"/>
    <w:rsid w:val="00593F84"/>
    <w:rsid w:val="005971C1"/>
    <w:rsid w:val="00597555"/>
    <w:rsid w:val="005979A0"/>
    <w:rsid w:val="005A3018"/>
    <w:rsid w:val="005A40C4"/>
    <w:rsid w:val="005A482B"/>
    <w:rsid w:val="005A53F1"/>
    <w:rsid w:val="005A54E4"/>
    <w:rsid w:val="005A5C63"/>
    <w:rsid w:val="005A6071"/>
    <w:rsid w:val="005A63D4"/>
    <w:rsid w:val="005A65C2"/>
    <w:rsid w:val="005B13F0"/>
    <w:rsid w:val="005B2A82"/>
    <w:rsid w:val="005B2E5B"/>
    <w:rsid w:val="005B399E"/>
    <w:rsid w:val="005B3C35"/>
    <w:rsid w:val="005B48A0"/>
    <w:rsid w:val="005B5AC8"/>
    <w:rsid w:val="005B5B44"/>
    <w:rsid w:val="005B62BB"/>
    <w:rsid w:val="005C327F"/>
    <w:rsid w:val="005C6B76"/>
    <w:rsid w:val="005C7D13"/>
    <w:rsid w:val="005D0C5F"/>
    <w:rsid w:val="005D15F5"/>
    <w:rsid w:val="005D1A16"/>
    <w:rsid w:val="005D316A"/>
    <w:rsid w:val="005D6E61"/>
    <w:rsid w:val="005E206F"/>
    <w:rsid w:val="005E2D80"/>
    <w:rsid w:val="005E331E"/>
    <w:rsid w:val="005E6AD9"/>
    <w:rsid w:val="005E6F9D"/>
    <w:rsid w:val="005F0077"/>
    <w:rsid w:val="005F0EF8"/>
    <w:rsid w:val="005F370E"/>
    <w:rsid w:val="005F4641"/>
    <w:rsid w:val="005F4D82"/>
    <w:rsid w:val="005F5959"/>
    <w:rsid w:val="00611426"/>
    <w:rsid w:val="00613028"/>
    <w:rsid w:val="0061349E"/>
    <w:rsid w:val="00613BB9"/>
    <w:rsid w:val="006143C3"/>
    <w:rsid w:val="00616B0E"/>
    <w:rsid w:val="00617F26"/>
    <w:rsid w:val="00621A7C"/>
    <w:rsid w:val="00625E7D"/>
    <w:rsid w:val="0063198C"/>
    <w:rsid w:val="006413FC"/>
    <w:rsid w:val="00641D5E"/>
    <w:rsid w:val="00643112"/>
    <w:rsid w:val="00643D05"/>
    <w:rsid w:val="00645151"/>
    <w:rsid w:val="006455D0"/>
    <w:rsid w:val="00646A5D"/>
    <w:rsid w:val="0065087E"/>
    <w:rsid w:val="00650881"/>
    <w:rsid w:val="00652DEA"/>
    <w:rsid w:val="00653BA4"/>
    <w:rsid w:val="00655AF8"/>
    <w:rsid w:val="0065690E"/>
    <w:rsid w:val="006574D7"/>
    <w:rsid w:val="00657952"/>
    <w:rsid w:val="00657BAA"/>
    <w:rsid w:val="00660C47"/>
    <w:rsid w:val="00660D7E"/>
    <w:rsid w:val="00661088"/>
    <w:rsid w:val="00663449"/>
    <w:rsid w:val="006637D2"/>
    <w:rsid w:val="006671E7"/>
    <w:rsid w:val="0067020D"/>
    <w:rsid w:val="00670D44"/>
    <w:rsid w:val="00673595"/>
    <w:rsid w:val="00673EB1"/>
    <w:rsid w:val="00674FB0"/>
    <w:rsid w:val="006776B5"/>
    <w:rsid w:val="006801D4"/>
    <w:rsid w:val="00682CA8"/>
    <w:rsid w:val="00683D03"/>
    <w:rsid w:val="006854F9"/>
    <w:rsid w:val="0068663E"/>
    <w:rsid w:val="00691528"/>
    <w:rsid w:val="00692738"/>
    <w:rsid w:val="00692C2D"/>
    <w:rsid w:val="006A2580"/>
    <w:rsid w:val="006A33B6"/>
    <w:rsid w:val="006A3E37"/>
    <w:rsid w:val="006A503A"/>
    <w:rsid w:val="006A7272"/>
    <w:rsid w:val="006A7A5D"/>
    <w:rsid w:val="006B0BC7"/>
    <w:rsid w:val="006B2B2B"/>
    <w:rsid w:val="006B3AA4"/>
    <w:rsid w:val="006B7228"/>
    <w:rsid w:val="006B723B"/>
    <w:rsid w:val="006B7375"/>
    <w:rsid w:val="006C0178"/>
    <w:rsid w:val="006C247D"/>
    <w:rsid w:val="006C29AC"/>
    <w:rsid w:val="006C5210"/>
    <w:rsid w:val="006C5468"/>
    <w:rsid w:val="006C6D33"/>
    <w:rsid w:val="006C74A3"/>
    <w:rsid w:val="006D0FD5"/>
    <w:rsid w:val="006D1BE0"/>
    <w:rsid w:val="006D2702"/>
    <w:rsid w:val="006D3EC6"/>
    <w:rsid w:val="006D43C1"/>
    <w:rsid w:val="006D4B0E"/>
    <w:rsid w:val="006D585F"/>
    <w:rsid w:val="006D67C9"/>
    <w:rsid w:val="006D6CA7"/>
    <w:rsid w:val="006D797D"/>
    <w:rsid w:val="006E2CBD"/>
    <w:rsid w:val="006F046A"/>
    <w:rsid w:val="006F107E"/>
    <w:rsid w:val="006F72AE"/>
    <w:rsid w:val="00701607"/>
    <w:rsid w:val="00701BD1"/>
    <w:rsid w:val="00703D5A"/>
    <w:rsid w:val="00704BC5"/>
    <w:rsid w:val="007056FC"/>
    <w:rsid w:val="00705794"/>
    <w:rsid w:val="00705ABB"/>
    <w:rsid w:val="007060AF"/>
    <w:rsid w:val="00707734"/>
    <w:rsid w:val="007108C7"/>
    <w:rsid w:val="00711641"/>
    <w:rsid w:val="007178DA"/>
    <w:rsid w:val="007203A3"/>
    <w:rsid w:val="00720770"/>
    <w:rsid w:val="00721853"/>
    <w:rsid w:val="007234E3"/>
    <w:rsid w:val="00726255"/>
    <w:rsid w:val="00726EBB"/>
    <w:rsid w:val="00732533"/>
    <w:rsid w:val="00736E79"/>
    <w:rsid w:val="007427CD"/>
    <w:rsid w:val="00742949"/>
    <w:rsid w:val="0074620B"/>
    <w:rsid w:val="00746E14"/>
    <w:rsid w:val="007547B5"/>
    <w:rsid w:val="00755718"/>
    <w:rsid w:val="00756551"/>
    <w:rsid w:val="00756D12"/>
    <w:rsid w:val="00757B44"/>
    <w:rsid w:val="007618F5"/>
    <w:rsid w:val="00763797"/>
    <w:rsid w:val="00766E8B"/>
    <w:rsid w:val="007675D9"/>
    <w:rsid w:val="00772FDA"/>
    <w:rsid w:val="00773F40"/>
    <w:rsid w:val="00774AB1"/>
    <w:rsid w:val="00777777"/>
    <w:rsid w:val="00780151"/>
    <w:rsid w:val="00780C7B"/>
    <w:rsid w:val="00780F7B"/>
    <w:rsid w:val="007853A3"/>
    <w:rsid w:val="00786291"/>
    <w:rsid w:val="00786CAD"/>
    <w:rsid w:val="00790EFE"/>
    <w:rsid w:val="00792372"/>
    <w:rsid w:val="00792772"/>
    <w:rsid w:val="007927E0"/>
    <w:rsid w:val="00794E54"/>
    <w:rsid w:val="007A3FCC"/>
    <w:rsid w:val="007A5D63"/>
    <w:rsid w:val="007A7478"/>
    <w:rsid w:val="007B7A57"/>
    <w:rsid w:val="007C1B69"/>
    <w:rsid w:val="007C72E4"/>
    <w:rsid w:val="007D2798"/>
    <w:rsid w:val="007D2C73"/>
    <w:rsid w:val="007D559C"/>
    <w:rsid w:val="007E0F16"/>
    <w:rsid w:val="007E12D2"/>
    <w:rsid w:val="007E66E1"/>
    <w:rsid w:val="007E6E98"/>
    <w:rsid w:val="007E71C3"/>
    <w:rsid w:val="007F03DF"/>
    <w:rsid w:val="007F1A9B"/>
    <w:rsid w:val="007F27AC"/>
    <w:rsid w:val="007F620E"/>
    <w:rsid w:val="007F6CF5"/>
    <w:rsid w:val="007F7E97"/>
    <w:rsid w:val="00802101"/>
    <w:rsid w:val="00802701"/>
    <w:rsid w:val="00811DB1"/>
    <w:rsid w:val="00812CD9"/>
    <w:rsid w:val="00813464"/>
    <w:rsid w:val="00815F1F"/>
    <w:rsid w:val="0081626F"/>
    <w:rsid w:val="008173B4"/>
    <w:rsid w:val="00821C09"/>
    <w:rsid w:val="00824921"/>
    <w:rsid w:val="00825B3B"/>
    <w:rsid w:val="0082777B"/>
    <w:rsid w:val="00831652"/>
    <w:rsid w:val="00831B25"/>
    <w:rsid w:val="0083350A"/>
    <w:rsid w:val="0083442F"/>
    <w:rsid w:val="008404AF"/>
    <w:rsid w:val="00843CD8"/>
    <w:rsid w:val="00845E97"/>
    <w:rsid w:val="00847A38"/>
    <w:rsid w:val="00851EC7"/>
    <w:rsid w:val="00854F7A"/>
    <w:rsid w:val="00855216"/>
    <w:rsid w:val="00855FD7"/>
    <w:rsid w:val="00860BA2"/>
    <w:rsid w:val="008621B9"/>
    <w:rsid w:val="008648BB"/>
    <w:rsid w:val="008656BC"/>
    <w:rsid w:val="0087097B"/>
    <w:rsid w:val="00870C26"/>
    <w:rsid w:val="00871553"/>
    <w:rsid w:val="008758BE"/>
    <w:rsid w:val="008759B1"/>
    <w:rsid w:val="00880855"/>
    <w:rsid w:val="00881191"/>
    <w:rsid w:val="0088240F"/>
    <w:rsid w:val="008844B6"/>
    <w:rsid w:val="00884639"/>
    <w:rsid w:val="00884DC4"/>
    <w:rsid w:val="00885956"/>
    <w:rsid w:val="00886566"/>
    <w:rsid w:val="00886869"/>
    <w:rsid w:val="00890014"/>
    <w:rsid w:val="0089184C"/>
    <w:rsid w:val="00892CEE"/>
    <w:rsid w:val="0089432C"/>
    <w:rsid w:val="00896CB1"/>
    <w:rsid w:val="00897932"/>
    <w:rsid w:val="008A4268"/>
    <w:rsid w:val="008A500D"/>
    <w:rsid w:val="008A577E"/>
    <w:rsid w:val="008B1D7E"/>
    <w:rsid w:val="008B67E2"/>
    <w:rsid w:val="008C09F7"/>
    <w:rsid w:val="008C0F1B"/>
    <w:rsid w:val="008C2208"/>
    <w:rsid w:val="008C3A95"/>
    <w:rsid w:val="008C4687"/>
    <w:rsid w:val="008C474A"/>
    <w:rsid w:val="008C638C"/>
    <w:rsid w:val="008D5AB4"/>
    <w:rsid w:val="008D5C0E"/>
    <w:rsid w:val="008D77DB"/>
    <w:rsid w:val="008D7DA2"/>
    <w:rsid w:val="008E0D8C"/>
    <w:rsid w:val="008E182E"/>
    <w:rsid w:val="008E1AAF"/>
    <w:rsid w:val="008E2E37"/>
    <w:rsid w:val="008E3450"/>
    <w:rsid w:val="008E4336"/>
    <w:rsid w:val="008F1B25"/>
    <w:rsid w:val="008F2353"/>
    <w:rsid w:val="008F36A0"/>
    <w:rsid w:val="008F399F"/>
    <w:rsid w:val="008F6304"/>
    <w:rsid w:val="008F75B3"/>
    <w:rsid w:val="008F78C8"/>
    <w:rsid w:val="009014DB"/>
    <w:rsid w:val="00915118"/>
    <w:rsid w:val="00920089"/>
    <w:rsid w:val="009206E5"/>
    <w:rsid w:val="009218B6"/>
    <w:rsid w:val="00925FAB"/>
    <w:rsid w:val="00935CAA"/>
    <w:rsid w:val="00936524"/>
    <w:rsid w:val="00940DAB"/>
    <w:rsid w:val="009427D2"/>
    <w:rsid w:val="009451D1"/>
    <w:rsid w:val="00947CEA"/>
    <w:rsid w:val="009514BB"/>
    <w:rsid w:val="00951CCD"/>
    <w:rsid w:val="0095431F"/>
    <w:rsid w:val="00956267"/>
    <w:rsid w:val="00957E62"/>
    <w:rsid w:val="00961785"/>
    <w:rsid w:val="00963EEF"/>
    <w:rsid w:val="009649AF"/>
    <w:rsid w:val="00964ED8"/>
    <w:rsid w:val="0097307F"/>
    <w:rsid w:val="009730D8"/>
    <w:rsid w:val="00980E11"/>
    <w:rsid w:val="00983D09"/>
    <w:rsid w:val="0098559D"/>
    <w:rsid w:val="00986075"/>
    <w:rsid w:val="00990FD1"/>
    <w:rsid w:val="0099130D"/>
    <w:rsid w:val="0099275A"/>
    <w:rsid w:val="00995014"/>
    <w:rsid w:val="009952B4"/>
    <w:rsid w:val="009968F3"/>
    <w:rsid w:val="009971E4"/>
    <w:rsid w:val="00997D0B"/>
    <w:rsid w:val="009A1D18"/>
    <w:rsid w:val="009A3921"/>
    <w:rsid w:val="009A605D"/>
    <w:rsid w:val="009A62F6"/>
    <w:rsid w:val="009A79CA"/>
    <w:rsid w:val="009A7CF6"/>
    <w:rsid w:val="009B002A"/>
    <w:rsid w:val="009B2C9F"/>
    <w:rsid w:val="009C45CE"/>
    <w:rsid w:val="009C4829"/>
    <w:rsid w:val="009C5A2D"/>
    <w:rsid w:val="009C6E47"/>
    <w:rsid w:val="009C76B3"/>
    <w:rsid w:val="009E37BE"/>
    <w:rsid w:val="009E48E4"/>
    <w:rsid w:val="009E4EE8"/>
    <w:rsid w:val="009F2EEF"/>
    <w:rsid w:val="00A01272"/>
    <w:rsid w:val="00A01854"/>
    <w:rsid w:val="00A03A07"/>
    <w:rsid w:val="00A049EE"/>
    <w:rsid w:val="00A0588C"/>
    <w:rsid w:val="00A06748"/>
    <w:rsid w:val="00A07A96"/>
    <w:rsid w:val="00A16FF4"/>
    <w:rsid w:val="00A23930"/>
    <w:rsid w:val="00A23CC3"/>
    <w:rsid w:val="00A24E91"/>
    <w:rsid w:val="00A25761"/>
    <w:rsid w:val="00A313AD"/>
    <w:rsid w:val="00A319DE"/>
    <w:rsid w:val="00A32834"/>
    <w:rsid w:val="00A3707B"/>
    <w:rsid w:val="00A37B19"/>
    <w:rsid w:val="00A37B24"/>
    <w:rsid w:val="00A402C3"/>
    <w:rsid w:val="00A40E1D"/>
    <w:rsid w:val="00A4197A"/>
    <w:rsid w:val="00A42472"/>
    <w:rsid w:val="00A42F67"/>
    <w:rsid w:val="00A452E0"/>
    <w:rsid w:val="00A510AB"/>
    <w:rsid w:val="00A511E8"/>
    <w:rsid w:val="00A531C0"/>
    <w:rsid w:val="00A53FA5"/>
    <w:rsid w:val="00A54AAF"/>
    <w:rsid w:val="00A56CD7"/>
    <w:rsid w:val="00A60203"/>
    <w:rsid w:val="00A60CAD"/>
    <w:rsid w:val="00A6200B"/>
    <w:rsid w:val="00A63215"/>
    <w:rsid w:val="00A65047"/>
    <w:rsid w:val="00A66531"/>
    <w:rsid w:val="00A67E89"/>
    <w:rsid w:val="00A750A5"/>
    <w:rsid w:val="00A75D2D"/>
    <w:rsid w:val="00A81283"/>
    <w:rsid w:val="00A82A77"/>
    <w:rsid w:val="00A8344C"/>
    <w:rsid w:val="00A85B92"/>
    <w:rsid w:val="00A86489"/>
    <w:rsid w:val="00A86988"/>
    <w:rsid w:val="00A86C8C"/>
    <w:rsid w:val="00A910F1"/>
    <w:rsid w:val="00A92D0B"/>
    <w:rsid w:val="00AA1740"/>
    <w:rsid w:val="00AA3686"/>
    <w:rsid w:val="00AA5F66"/>
    <w:rsid w:val="00AA649E"/>
    <w:rsid w:val="00AB2F7F"/>
    <w:rsid w:val="00AB3510"/>
    <w:rsid w:val="00AB6C11"/>
    <w:rsid w:val="00AB73E6"/>
    <w:rsid w:val="00AB7690"/>
    <w:rsid w:val="00AB79E5"/>
    <w:rsid w:val="00AC04ED"/>
    <w:rsid w:val="00AC2A06"/>
    <w:rsid w:val="00AC2DF8"/>
    <w:rsid w:val="00AC4AE4"/>
    <w:rsid w:val="00AC5A4B"/>
    <w:rsid w:val="00AC619A"/>
    <w:rsid w:val="00AC6FB6"/>
    <w:rsid w:val="00AC71A2"/>
    <w:rsid w:val="00AD1180"/>
    <w:rsid w:val="00AD4456"/>
    <w:rsid w:val="00AD5797"/>
    <w:rsid w:val="00AD6EE7"/>
    <w:rsid w:val="00AD742A"/>
    <w:rsid w:val="00AE0DD2"/>
    <w:rsid w:val="00AE2985"/>
    <w:rsid w:val="00AE429F"/>
    <w:rsid w:val="00AE4300"/>
    <w:rsid w:val="00AE6488"/>
    <w:rsid w:val="00AE6B26"/>
    <w:rsid w:val="00AE7283"/>
    <w:rsid w:val="00AE76BB"/>
    <w:rsid w:val="00AF1800"/>
    <w:rsid w:val="00AF30E8"/>
    <w:rsid w:val="00AF587D"/>
    <w:rsid w:val="00AF61A9"/>
    <w:rsid w:val="00B00BCD"/>
    <w:rsid w:val="00B0278B"/>
    <w:rsid w:val="00B03003"/>
    <w:rsid w:val="00B03242"/>
    <w:rsid w:val="00B03624"/>
    <w:rsid w:val="00B037B9"/>
    <w:rsid w:val="00B05A81"/>
    <w:rsid w:val="00B10422"/>
    <w:rsid w:val="00B1593B"/>
    <w:rsid w:val="00B15E98"/>
    <w:rsid w:val="00B1615D"/>
    <w:rsid w:val="00B17005"/>
    <w:rsid w:val="00B21C87"/>
    <w:rsid w:val="00B22C13"/>
    <w:rsid w:val="00B258D3"/>
    <w:rsid w:val="00B30467"/>
    <w:rsid w:val="00B30F84"/>
    <w:rsid w:val="00B312DA"/>
    <w:rsid w:val="00B31565"/>
    <w:rsid w:val="00B33BE7"/>
    <w:rsid w:val="00B34DD0"/>
    <w:rsid w:val="00B36AF3"/>
    <w:rsid w:val="00B42327"/>
    <w:rsid w:val="00B456FB"/>
    <w:rsid w:val="00B508CF"/>
    <w:rsid w:val="00B51C2B"/>
    <w:rsid w:val="00B51F03"/>
    <w:rsid w:val="00B528BE"/>
    <w:rsid w:val="00B53ACA"/>
    <w:rsid w:val="00B540FA"/>
    <w:rsid w:val="00B54991"/>
    <w:rsid w:val="00B54B6E"/>
    <w:rsid w:val="00B55BB2"/>
    <w:rsid w:val="00B55CCD"/>
    <w:rsid w:val="00B55D78"/>
    <w:rsid w:val="00B61F3A"/>
    <w:rsid w:val="00B62AC0"/>
    <w:rsid w:val="00B63667"/>
    <w:rsid w:val="00B63DF0"/>
    <w:rsid w:val="00B64740"/>
    <w:rsid w:val="00B6486A"/>
    <w:rsid w:val="00B65B63"/>
    <w:rsid w:val="00B6623A"/>
    <w:rsid w:val="00B66CF5"/>
    <w:rsid w:val="00B66D02"/>
    <w:rsid w:val="00B75E89"/>
    <w:rsid w:val="00B77A16"/>
    <w:rsid w:val="00B803D5"/>
    <w:rsid w:val="00B8074F"/>
    <w:rsid w:val="00B809AF"/>
    <w:rsid w:val="00B86056"/>
    <w:rsid w:val="00B91C8A"/>
    <w:rsid w:val="00B93D53"/>
    <w:rsid w:val="00B968B6"/>
    <w:rsid w:val="00BA0550"/>
    <w:rsid w:val="00BA16F9"/>
    <w:rsid w:val="00BA17B7"/>
    <w:rsid w:val="00BA295A"/>
    <w:rsid w:val="00BA2E58"/>
    <w:rsid w:val="00BA3709"/>
    <w:rsid w:val="00BA548C"/>
    <w:rsid w:val="00BA6C04"/>
    <w:rsid w:val="00BA6C2A"/>
    <w:rsid w:val="00BB14DA"/>
    <w:rsid w:val="00BB3B56"/>
    <w:rsid w:val="00BB49BB"/>
    <w:rsid w:val="00BB523B"/>
    <w:rsid w:val="00BB7F64"/>
    <w:rsid w:val="00BC090C"/>
    <w:rsid w:val="00BC12BD"/>
    <w:rsid w:val="00BC4A1D"/>
    <w:rsid w:val="00BC524D"/>
    <w:rsid w:val="00BC593F"/>
    <w:rsid w:val="00BD3DD5"/>
    <w:rsid w:val="00BD5604"/>
    <w:rsid w:val="00BD621F"/>
    <w:rsid w:val="00BD65F2"/>
    <w:rsid w:val="00BE088B"/>
    <w:rsid w:val="00BE2042"/>
    <w:rsid w:val="00BE45D0"/>
    <w:rsid w:val="00BE6184"/>
    <w:rsid w:val="00BE6996"/>
    <w:rsid w:val="00BE7252"/>
    <w:rsid w:val="00BF05ED"/>
    <w:rsid w:val="00BF2BC1"/>
    <w:rsid w:val="00BF2F45"/>
    <w:rsid w:val="00BF6198"/>
    <w:rsid w:val="00BF7097"/>
    <w:rsid w:val="00BF7227"/>
    <w:rsid w:val="00C0157F"/>
    <w:rsid w:val="00C02649"/>
    <w:rsid w:val="00C04708"/>
    <w:rsid w:val="00C0471D"/>
    <w:rsid w:val="00C06348"/>
    <w:rsid w:val="00C12652"/>
    <w:rsid w:val="00C130D9"/>
    <w:rsid w:val="00C13B3F"/>
    <w:rsid w:val="00C15950"/>
    <w:rsid w:val="00C15EB6"/>
    <w:rsid w:val="00C16981"/>
    <w:rsid w:val="00C21AC9"/>
    <w:rsid w:val="00C240AE"/>
    <w:rsid w:val="00C27B68"/>
    <w:rsid w:val="00C30738"/>
    <w:rsid w:val="00C31CD8"/>
    <w:rsid w:val="00C32F12"/>
    <w:rsid w:val="00C35C1A"/>
    <w:rsid w:val="00C36091"/>
    <w:rsid w:val="00C372E0"/>
    <w:rsid w:val="00C433EE"/>
    <w:rsid w:val="00C4536F"/>
    <w:rsid w:val="00C45D47"/>
    <w:rsid w:val="00C4738F"/>
    <w:rsid w:val="00C47A2B"/>
    <w:rsid w:val="00C5050D"/>
    <w:rsid w:val="00C5129B"/>
    <w:rsid w:val="00C51E90"/>
    <w:rsid w:val="00C53C80"/>
    <w:rsid w:val="00C55924"/>
    <w:rsid w:val="00C57C26"/>
    <w:rsid w:val="00C603AC"/>
    <w:rsid w:val="00C60413"/>
    <w:rsid w:val="00C60F94"/>
    <w:rsid w:val="00C62186"/>
    <w:rsid w:val="00C661D5"/>
    <w:rsid w:val="00C66A01"/>
    <w:rsid w:val="00C67108"/>
    <w:rsid w:val="00C72441"/>
    <w:rsid w:val="00C730C2"/>
    <w:rsid w:val="00C737B2"/>
    <w:rsid w:val="00C742D7"/>
    <w:rsid w:val="00C765A2"/>
    <w:rsid w:val="00C80771"/>
    <w:rsid w:val="00C83494"/>
    <w:rsid w:val="00C84D5C"/>
    <w:rsid w:val="00C859FC"/>
    <w:rsid w:val="00C9262F"/>
    <w:rsid w:val="00C95367"/>
    <w:rsid w:val="00C97995"/>
    <w:rsid w:val="00CA1084"/>
    <w:rsid w:val="00CA5713"/>
    <w:rsid w:val="00CA5B31"/>
    <w:rsid w:val="00CA67DB"/>
    <w:rsid w:val="00CA67E3"/>
    <w:rsid w:val="00CC10AF"/>
    <w:rsid w:val="00CC13E8"/>
    <w:rsid w:val="00CC1CC2"/>
    <w:rsid w:val="00CC21DB"/>
    <w:rsid w:val="00CC4B40"/>
    <w:rsid w:val="00CD0679"/>
    <w:rsid w:val="00CD324A"/>
    <w:rsid w:val="00CD5CBC"/>
    <w:rsid w:val="00CD6886"/>
    <w:rsid w:val="00CD7D17"/>
    <w:rsid w:val="00CE057B"/>
    <w:rsid w:val="00CE065F"/>
    <w:rsid w:val="00CE596E"/>
    <w:rsid w:val="00CE5EB1"/>
    <w:rsid w:val="00CE6D95"/>
    <w:rsid w:val="00CE6F48"/>
    <w:rsid w:val="00CF0B92"/>
    <w:rsid w:val="00CF1129"/>
    <w:rsid w:val="00CF1AA7"/>
    <w:rsid w:val="00CF3F45"/>
    <w:rsid w:val="00CF4038"/>
    <w:rsid w:val="00CF511A"/>
    <w:rsid w:val="00CF5527"/>
    <w:rsid w:val="00D06DC9"/>
    <w:rsid w:val="00D072A9"/>
    <w:rsid w:val="00D075B1"/>
    <w:rsid w:val="00D1026C"/>
    <w:rsid w:val="00D10372"/>
    <w:rsid w:val="00D1057D"/>
    <w:rsid w:val="00D108C9"/>
    <w:rsid w:val="00D1188E"/>
    <w:rsid w:val="00D1778A"/>
    <w:rsid w:val="00D219B1"/>
    <w:rsid w:val="00D2470A"/>
    <w:rsid w:val="00D25A52"/>
    <w:rsid w:val="00D25A8F"/>
    <w:rsid w:val="00D27D5F"/>
    <w:rsid w:val="00D30039"/>
    <w:rsid w:val="00D30771"/>
    <w:rsid w:val="00D30C4F"/>
    <w:rsid w:val="00D3269D"/>
    <w:rsid w:val="00D32C85"/>
    <w:rsid w:val="00D33661"/>
    <w:rsid w:val="00D33C9C"/>
    <w:rsid w:val="00D35FC3"/>
    <w:rsid w:val="00D36884"/>
    <w:rsid w:val="00D36927"/>
    <w:rsid w:val="00D4388E"/>
    <w:rsid w:val="00D4391B"/>
    <w:rsid w:val="00D44E4C"/>
    <w:rsid w:val="00D45F6C"/>
    <w:rsid w:val="00D5333F"/>
    <w:rsid w:val="00D53368"/>
    <w:rsid w:val="00D55E1E"/>
    <w:rsid w:val="00D56BCA"/>
    <w:rsid w:val="00D60C56"/>
    <w:rsid w:val="00D65EE8"/>
    <w:rsid w:val="00D709CE"/>
    <w:rsid w:val="00D70D8A"/>
    <w:rsid w:val="00D74113"/>
    <w:rsid w:val="00D74F4E"/>
    <w:rsid w:val="00D75107"/>
    <w:rsid w:val="00D845BC"/>
    <w:rsid w:val="00D84F94"/>
    <w:rsid w:val="00D855F8"/>
    <w:rsid w:val="00D86A68"/>
    <w:rsid w:val="00D86B03"/>
    <w:rsid w:val="00D8769E"/>
    <w:rsid w:val="00D901DE"/>
    <w:rsid w:val="00D90ECF"/>
    <w:rsid w:val="00D91F29"/>
    <w:rsid w:val="00D93814"/>
    <w:rsid w:val="00D9546B"/>
    <w:rsid w:val="00DA3AEE"/>
    <w:rsid w:val="00DA4B8A"/>
    <w:rsid w:val="00DA5A6A"/>
    <w:rsid w:val="00DB07EE"/>
    <w:rsid w:val="00DC224C"/>
    <w:rsid w:val="00DC2A1F"/>
    <w:rsid w:val="00DC4F4D"/>
    <w:rsid w:val="00DC64BB"/>
    <w:rsid w:val="00DD1CF3"/>
    <w:rsid w:val="00DD2894"/>
    <w:rsid w:val="00DD52BB"/>
    <w:rsid w:val="00DD549C"/>
    <w:rsid w:val="00DD77E1"/>
    <w:rsid w:val="00DD7A55"/>
    <w:rsid w:val="00DE0EAD"/>
    <w:rsid w:val="00DE1610"/>
    <w:rsid w:val="00DE37E0"/>
    <w:rsid w:val="00DE3A5D"/>
    <w:rsid w:val="00DE407A"/>
    <w:rsid w:val="00DE4303"/>
    <w:rsid w:val="00DE6AE0"/>
    <w:rsid w:val="00DF4D53"/>
    <w:rsid w:val="00DF78D6"/>
    <w:rsid w:val="00E00136"/>
    <w:rsid w:val="00E00990"/>
    <w:rsid w:val="00E00FCE"/>
    <w:rsid w:val="00E04C45"/>
    <w:rsid w:val="00E04E29"/>
    <w:rsid w:val="00E04EA4"/>
    <w:rsid w:val="00E077FE"/>
    <w:rsid w:val="00E07D32"/>
    <w:rsid w:val="00E11023"/>
    <w:rsid w:val="00E13816"/>
    <w:rsid w:val="00E15DC3"/>
    <w:rsid w:val="00E17B34"/>
    <w:rsid w:val="00E21EA5"/>
    <w:rsid w:val="00E22721"/>
    <w:rsid w:val="00E242A6"/>
    <w:rsid w:val="00E25078"/>
    <w:rsid w:val="00E258E4"/>
    <w:rsid w:val="00E3100B"/>
    <w:rsid w:val="00E34347"/>
    <w:rsid w:val="00E35728"/>
    <w:rsid w:val="00E357D6"/>
    <w:rsid w:val="00E367E3"/>
    <w:rsid w:val="00E3786F"/>
    <w:rsid w:val="00E40140"/>
    <w:rsid w:val="00E4232C"/>
    <w:rsid w:val="00E43BC3"/>
    <w:rsid w:val="00E46459"/>
    <w:rsid w:val="00E50552"/>
    <w:rsid w:val="00E50963"/>
    <w:rsid w:val="00E52697"/>
    <w:rsid w:val="00E52992"/>
    <w:rsid w:val="00E52A1F"/>
    <w:rsid w:val="00E52A73"/>
    <w:rsid w:val="00E56974"/>
    <w:rsid w:val="00E5775B"/>
    <w:rsid w:val="00E60942"/>
    <w:rsid w:val="00E6261A"/>
    <w:rsid w:val="00E6599C"/>
    <w:rsid w:val="00E66FE7"/>
    <w:rsid w:val="00E67FD6"/>
    <w:rsid w:val="00E70E15"/>
    <w:rsid w:val="00E75955"/>
    <w:rsid w:val="00E75E09"/>
    <w:rsid w:val="00E775D0"/>
    <w:rsid w:val="00E81881"/>
    <w:rsid w:val="00E84AB6"/>
    <w:rsid w:val="00E85164"/>
    <w:rsid w:val="00E8705D"/>
    <w:rsid w:val="00E90865"/>
    <w:rsid w:val="00E9366A"/>
    <w:rsid w:val="00E93961"/>
    <w:rsid w:val="00E94341"/>
    <w:rsid w:val="00E94F3A"/>
    <w:rsid w:val="00E959A0"/>
    <w:rsid w:val="00E95FA3"/>
    <w:rsid w:val="00EA018D"/>
    <w:rsid w:val="00EA094C"/>
    <w:rsid w:val="00EA5B81"/>
    <w:rsid w:val="00EA68FC"/>
    <w:rsid w:val="00EA781D"/>
    <w:rsid w:val="00EB037C"/>
    <w:rsid w:val="00EB0DBA"/>
    <w:rsid w:val="00EB2072"/>
    <w:rsid w:val="00EB4D00"/>
    <w:rsid w:val="00EB521A"/>
    <w:rsid w:val="00EB5F4C"/>
    <w:rsid w:val="00EB64CF"/>
    <w:rsid w:val="00EB72A8"/>
    <w:rsid w:val="00EB7701"/>
    <w:rsid w:val="00EC1F27"/>
    <w:rsid w:val="00EC3144"/>
    <w:rsid w:val="00EC4014"/>
    <w:rsid w:val="00EC635D"/>
    <w:rsid w:val="00EC6387"/>
    <w:rsid w:val="00EC65A6"/>
    <w:rsid w:val="00EC725A"/>
    <w:rsid w:val="00EC73F8"/>
    <w:rsid w:val="00ED1137"/>
    <w:rsid w:val="00ED137C"/>
    <w:rsid w:val="00ED60F0"/>
    <w:rsid w:val="00ED6B6B"/>
    <w:rsid w:val="00ED76E1"/>
    <w:rsid w:val="00EE39A3"/>
    <w:rsid w:val="00EE5120"/>
    <w:rsid w:val="00EF0A69"/>
    <w:rsid w:val="00EF2F38"/>
    <w:rsid w:val="00EF5805"/>
    <w:rsid w:val="00EF69BF"/>
    <w:rsid w:val="00EF734F"/>
    <w:rsid w:val="00F01777"/>
    <w:rsid w:val="00F028C8"/>
    <w:rsid w:val="00F02DCE"/>
    <w:rsid w:val="00F03FCC"/>
    <w:rsid w:val="00F0427C"/>
    <w:rsid w:val="00F04904"/>
    <w:rsid w:val="00F0653C"/>
    <w:rsid w:val="00F13097"/>
    <w:rsid w:val="00F14481"/>
    <w:rsid w:val="00F146D6"/>
    <w:rsid w:val="00F162BC"/>
    <w:rsid w:val="00F20061"/>
    <w:rsid w:val="00F20C2F"/>
    <w:rsid w:val="00F20C69"/>
    <w:rsid w:val="00F22831"/>
    <w:rsid w:val="00F24B63"/>
    <w:rsid w:val="00F26371"/>
    <w:rsid w:val="00F2682B"/>
    <w:rsid w:val="00F276B0"/>
    <w:rsid w:val="00F30768"/>
    <w:rsid w:val="00F30DA8"/>
    <w:rsid w:val="00F349AE"/>
    <w:rsid w:val="00F34AC7"/>
    <w:rsid w:val="00F34C1F"/>
    <w:rsid w:val="00F35A1D"/>
    <w:rsid w:val="00F3772B"/>
    <w:rsid w:val="00F40941"/>
    <w:rsid w:val="00F42600"/>
    <w:rsid w:val="00F44168"/>
    <w:rsid w:val="00F47E87"/>
    <w:rsid w:val="00F50649"/>
    <w:rsid w:val="00F544AB"/>
    <w:rsid w:val="00F577AE"/>
    <w:rsid w:val="00F61AEA"/>
    <w:rsid w:val="00F62220"/>
    <w:rsid w:val="00F63C29"/>
    <w:rsid w:val="00F63D6E"/>
    <w:rsid w:val="00F650AE"/>
    <w:rsid w:val="00F66B7E"/>
    <w:rsid w:val="00F67593"/>
    <w:rsid w:val="00F67CE4"/>
    <w:rsid w:val="00F739D6"/>
    <w:rsid w:val="00F73D20"/>
    <w:rsid w:val="00F75753"/>
    <w:rsid w:val="00F7579D"/>
    <w:rsid w:val="00F76802"/>
    <w:rsid w:val="00F77F66"/>
    <w:rsid w:val="00F81778"/>
    <w:rsid w:val="00F853EF"/>
    <w:rsid w:val="00F85683"/>
    <w:rsid w:val="00F862A9"/>
    <w:rsid w:val="00F90603"/>
    <w:rsid w:val="00F91F7A"/>
    <w:rsid w:val="00F923B2"/>
    <w:rsid w:val="00F95051"/>
    <w:rsid w:val="00F97AE9"/>
    <w:rsid w:val="00FA4732"/>
    <w:rsid w:val="00FA5863"/>
    <w:rsid w:val="00FA74B0"/>
    <w:rsid w:val="00FB0372"/>
    <w:rsid w:val="00FC1313"/>
    <w:rsid w:val="00FC2FB9"/>
    <w:rsid w:val="00FC3AF0"/>
    <w:rsid w:val="00FC3FB7"/>
    <w:rsid w:val="00FC451B"/>
    <w:rsid w:val="00FC68B4"/>
    <w:rsid w:val="00FC72B7"/>
    <w:rsid w:val="00FC7A9C"/>
    <w:rsid w:val="00FD47A5"/>
    <w:rsid w:val="00FD48C2"/>
    <w:rsid w:val="00FD5325"/>
    <w:rsid w:val="00FD688E"/>
    <w:rsid w:val="00FD6E82"/>
    <w:rsid w:val="00FE0183"/>
    <w:rsid w:val="00FE024B"/>
    <w:rsid w:val="00FE3004"/>
    <w:rsid w:val="00FE3BAE"/>
    <w:rsid w:val="00FE41D5"/>
    <w:rsid w:val="00FF0269"/>
    <w:rsid w:val="00FF2599"/>
    <w:rsid w:val="00FF3DED"/>
    <w:rsid w:val="00FF5915"/>
    <w:rsid w:val="00FF5B73"/>
    <w:rsid w:val="00FF7213"/>
    <w:rsid w:val="00FF7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995AA"/>
  <w15:docId w15:val="{156C0FDE-3D47-41AB-AAE6-4639CA11F1E2}"/>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r">
    <w:name w:val="title bar"/>
    <w:basedOn w:val="Normal"/>
    <w:pPr>
      <w:keepNext/>
      <w:suppressAutoHyphens/>
      <w:jc w:val="center"/>
    </w:pPr>
    <w:rPr>
      <w:rFonts w:ascii="Helvetica" w:hAnsi="Helvetica"/>
      <w:b/>
      <w:sz w:val="26"/>
      <w:szCs w:val="20"/>
    </w:rPr>
  </w:style>
  <w:style w:type="character" w:styleId="Hyperlink">
    <w:name w:val="Hyperlink"/>
    <w:rsid w:val="00885956"/>
    <w:rPr>
      <w:color w:val="3754D4"/>
      <w:u w:val="single"/>
    </w:rPr>
  </w:style>
  <w:style w:type="paragraph" w:styleId="FootnoteText">
    <w:name w:val="footnote text"/>
    <w:basedOn w:val="Normal"/>
    <w:link w:val="FootnoteTextChar"/>
    <w:uiPriority w:val="99"/>
    <w:rsid w:val="00A86489"/>
    <w:pPr>
      <w:spacing w:after="120"/>
    </w:pPr>
    <w:rPr>
      <w:sz w:val="22"/>
      <w:szCs w:val="20"/>
    </w:rPr>
  </w:style>
  <w:style w:type="character" w:customStyle="1" w:styleId="FootnoteTextChar">
    <w:name w:val="Footnote Text Char"/>
    <w:basedOn w:val="DefaultParagraphFont"/>
    <w:link w:val="FootnoteText"/>
    <w:uiPriority w:val="99"/>
    <w:rsid w:val="00A86489"/>
    <w:rPr>
      <w:sz w:val="22"/>
    </w:rPr>
  </w:style>
  <w:style w:type="character" w:styleId="FootnoteReference">
    <w:name w:val="footnote reference"/>
    <w:aliases w:val="o,fr,o1,o2,o3,o4,o5,o6,o11,o21,o7,Style 3,Style 21,Style 12"/>
    <w:uiPriority w:val="99"/>
    <w:rsid w:val="00885956"/>
    <w:rPr>
      <w:vertAlign w:val="superscript"/>
    </w:rPr>
  </w:style>
  <w:style w:type="paragraph" w:styleId="ListParagraph">
    <w:name w:val="List Paragraph"/>
    <w:basedOn w:val="Normal"/>
    <w:uiPriority w:val="34"/>
    <w:qFormat/>
    <w:rsid w:val="00885956"/>
    <w:pPr>
      <w:ind w:left="720"/>
    </w:pPr>
    <w:rPr>
      <w:rFonts w:ascii="Calibri" w:eastAsia="Calibri" w:hAnsi="Calibri"/>
      <w:sz w:val="22"/>
      <w:szCs w:val="22"/>
    </w:rPr>
  </w:style>
  <w:style w:type="character" w:styleId="FollowedHyperlink">
    <w:name w:val="FollowedHyperlink"/>
    <w:rsid w:val="00885956"/>
    <w:rPr>
      <w:color w:val="800080"/>
      <w:u w:val="single"/>
    </w:rPr>
  </w:style>
  <w:style w:type="paragraph" w:styleId="Header">
    <w:name w:val="header"/>
    <w:basedOn w:val="Normal"/>
    <w:link w:val="HeaderChar"/>
    <w:uiPriority w:val="99"/>
    <w:rsid w:val="00B00BCD"/>
    <w:pPr>
      <w:tabs>
        <w:tab w:val="center" w:pos="4680"/>
        <w:tab w:val="right" w:pos="9360"/>
      </w:tabs>
    </w:pPr>
  </w:style>
  <w:style w:type="character" w:customStyle="1" w:styleId="HeaderChar">
    <w:name w:val="Header Char"/>
    <w:link w:val="Header"/>
    <w:uiPriority w:val="99"/>
    <w:rsid w:val="00B00BCD"/>
    <w:rPr>
      <w:sz w:val="24"/>
      <w:szCs w:val="24"/>
    </w:rPr>
  </w:style>
  <w:style w:type="paragraph" w:styleId="Footer">
    <w:name w:val="footer"/>
    <w:basedOn w:val="Normal"/>
    <w:link w:val="FooterChar"/>
    <w:uiPriority w:val="99"/>
    <w:rsid w:val="00B00BCD"/>
    <w:pPr>
      <w:tabs>
        <w:tab w:val="center" w:pos="4680"/>
        <w:tab w:val="right" w:pos="9360"/>
      </w:tabs>
    </w:pPr>
  </w:style>
  <w:style w:type="character" w:customStyle="1" w:styleId="FooterChar">
    <w:name w:val="Footer Char"/>
    <w:link w:val="Footer"/>
    <w:uiPriority w:val="99"/>
    <w:rsid w:val="00B00BCD"/>
    <w:rPr>
      <w:sz w:val="24"/>
      <w:szCs w:val="24"/>
    </w:rPr>
  </w:style>
  <w:style w:type="paragraph" w:styleId="BalloonText">
    <w:name w:val="Balloon Text"/>
    <w:basedOn w:val="Normal"/>
    <w:link w:val="BalloonTextChar"/>
    <w:rsid w:val="00B00BCD"/>
    <w:rPr>
      <w:rFonts w:ascii="Tahoma" w:hAnsi="Tahoma" w:cs="Tahoma"/>
      <w:sz w:val="16"/>
      <w:szCs w:val="16"/>
    </w:rPr>
  </w:style>
  <w:style w:type="character" w:customStyle="1" w:styleId="BalloonTextChar">
    <w:name w:val="Balloon Text Char"/>
    <w:link w:val="BalloonText"/>
    <w:rsid w:val="00B00BCD"/>
    <w:rPr>
      <w:rFonts w:ascii="Tahoma" w:hAnsi="Tahoma" w:cs="Tahoma"/>
      <w:sz w:val="16"/>
      <w:szCs w:val="16"/>
    </w:rPr>
  </w:style>
  <w:style w:type="paragraph" w:styleId="Revision">
    <w:name w:val="Revision"/>
    <w:hidden/>
    <w:uiPriority w:val="99"/>
    <w:semiHidden/>
    <w:rsid w:val="00B55CCD"/>
    <w:rPr>
      <w:sz w:val="24"/>
      <w:szCs w:val="24"/>
    </w:rPr>
  </w:style>
  <w:style w:type="character" w:styleId="CommentReference">
    <w:name w:val="annotation reference"/>
    <w:rsid w:val="00963EEF"/>
    <w:rPr>
      <w:sz w:val="16"/>
      <w:szCs w:val="16"/>
    </w:rPr>
  </w:style>
  <w:style w:type="paragraph" w:styleId="CommentText">
    <w:name w:val="annotation text"/>
    <w:basedOn w:val="Normal"/>
    <w:link w:val="CommentTextChar"/>
    <w:rsid w:val="00963EEF"/>
    <w:rPr>
      <w:sz w:val="20"/>
      <w:szCs w:val="20"/>
    </w:rPr>
  </w:style>
  <w:style w:type="character" w:customStyle="1" w:styleId="CommentTextChar">
    <w:name w:val="Comment Text Char"/>
    <w:basedOn w:val="DefaultParagraphFont"/>
    <w:link w:val="CommentText"/>
    <w:rsid w:val="00963EEF"/>
  </w:style>
  <w:style w:type="paragraph" w:styleId="CommentSubject">
    <w:name w:val="annotation subject"/>
    <w:basedOn w:val="CommentText"/>
    <w:next w:val="CommentText"/>
    <w:link w:val="CommentSubjectChar"/>
    <w:rsid w:val="00963EEF"/>
    <w:rPr>
      <w:b/>
      <w:bCs/>
    </w:rPr>
  </w:style>
  <w:style w:type="character" w:customStyle="1" w:styleId="CommentSubjectChar">
    <w:name w:val="Comment Subject Char"/>
    <w:link w:val="CommentSubject"/>
    <w:rsid w:val="00963EEF"/>
    <w:rPr>
      <w:b/>
      <w:bCs/>
    </w:rPr>
  </w:style>
  <w:style w:type="character" w:styleId="PlaceholderText">
    <w:name w:val="Placeholder Text"/>
    <w:uiPriority w:val="99"/>
    <w:semiHidden/>
    <w:rsid w:val="00BE45D0"/>
    <w:rPr>
      <w:color w:val="808080"/>
    </w:rPr>
  </w:style>
  <w:style w:type="character" w:customStyle="1" w:styleId="standardChar">
    <w:name w:val="standard Char"/>
    <w:link w:val="standard"/>
    <w:locked/>
    <w:rsid w:val="00FE3BAE"/>
    <w:rPr>
      <w:rFonts w:ascii="Palatino" w:hAnsi="Palatino"/>
      <w:sz w:val="26"/>
    </w:rPr>
  </w:style>
  <w:style w:type="paragraph" w:customStyle="1" w:styleId="standard">
    <w:name w:val="standard"/>
    <w:basedOn w:val="Normal"/>
    <w:link w:val="standardChar"/>
    <w:rsid w:val="00FE3BAE"/>
    <w:pPr>
      <w:spacing w:line="360" w:lineRule="auto"/>
      <w:ind w:firstLine="720"/>
    </w:pPr>
    <w:rPr>
      <w:rFonts w:ascii="Palatino" w:hAnsi="Palatino"/>
      <w:sz w:val="26"/>
      <w:szCs w:val="20"/>
    </w:rPr>
  </w:style>
  <w:style w:type="paragraph" w:styleId="NormalWeb">
    <w:name w:val="Normal (Web)"/>
    <w:basedOn w:val="Normal"/>
    <w:uiPriority w:val="99"/>
    <w:unhideWhenUsed/>
    <w:rsid w:val="009E48E4"/>
    <w:rPr>
      <w:rFonts w:eastAsiaTheme="minorHAnsi"/>
    </w:rPr>
  </w:style>
  <w:style w:type="character" w:styleId="UnresolvedMention">
    <w:name w:val="Unresolved Mention"/>
    <w:basedOn w:val="DefaultParagraphFont"/>
    <w:uiPriority w:val="99"/>
    <w:semiHidden/>
    <w:unhideWhenUsed/>
    <w:rsid w:val="00D709CE"/>
    <w:rPr>
      <w:color w:val="605E5C"/>
      <w:shd w:val="clear" w:color="auto" w:fill="E1DFDD"/>
    </w:rPr>
  </w:style>
  <w:style w:type="character" w:customStyle="1" w:styleId="fontstyle01">
    <w:name w:val="fontstyle01"/>
    <w:basedOn w:val="DefaultParagraphFont"/>
    <w:rsid w:val="00036D38"/>
    <w:rPr>
      <w:rFonts w:ascii="TimesNewRomanPSMT" w:hAnsi="TimesNewRomanPSMT" w:hint="default"/>
      <w:b w:val="0"/>
      <w:bCs w:val="0"/>
      <w:i w:val="0"/>
      <w:iCs w:val="0"/>
      <w:color w:val="000000"/>
      <w:sz w:val="24"/>
      <w:szCs w:val="24"/>
    </w:rPr>
  </w:style>
  <w:style w:type="character" w:customStyle="1" w:styleId="cf01">
    <w:name w:val="cf01"/>
    <w:basedOn w:val="DefaultParagraphFont"/>
    <w:rsid w:val="006D270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665039">
      <w:bodyDiv w:val="1"/>
      <w:marLeft w:val="0"/>
      <w:marRight w:val="0"/>
      <w:marTop w:val="0"/>
      <w:marBottom w:val="0"/>
      <w:divBdr>
        <w:top w:val="none" w:sz="0" w:space="0" w:color="auto"/>
        <w:left w:val="none" w:sz="0" w:space="0" w:color="auto"/>
        <w:bottom w:val="none" w:sz="0" w:space="0" w:color="auto"/>
        <w:right w:val="none" w:sz="0" w:space="0" w:color="auto"/>
      </w:divBdr>
    </w:div>
    <w:div w:id="1294825033">
      <w:bodyDiv w:val="1"/>
      <w:marLeft w:val="0"/>
      <w:marRight w:val="0"/>
      <w:marTop w:val="0"/>
      <w:marBottom w:val="0"/>
      <w:divBdr>
        <w:top w:val="none" w:sz="0" w:space="0" w:color="auto"/>
        <w:left w:val="none" w:sz="0" w:space="0" w:color="auto"/>
        <w:bottom w:val="none" w:sz="0" w:space="0" w:color="auto"/>
        <w:right w:val="none" w:sz="0" w:space="0" w:color="auto"/>
      </w:divBdr>
    </w:div>
    <w:div w:id="1670787779">
      <w:bodyDiv w:val="1"/>
      <w:marLeft w:val="0"/>
      <w:marRight w:val="0"/>
      <w:marTop w:val="0"/>
      <w:marBottom w:val="0"/>
      <w:divBdr>
        <w:top w:val="none" w:sz="0" w:space="0" w:color="auto"/>
        <w:left w:val="none" w:sz="0" w:space="0" w:color="auto"/>
        <w:bottom w:val="none" w:sz="0" w:space="0" w:color="auto"/>
        <w:right w:val="none" w:sz="0" w:space="0" w:color="auto"/>
      </w:divBdr>
    </w:div>
    <w:div w:id="1876429981">
      <w:bodyDiv w:val="1"/>
      <w:marLeft w:val="0"/>
      <w:marRight w:val="0"/>
      <w:marTop w:val="0"/>
      <w:marBottom w:val="0"/>
      <w:divBdr>
        <w:top w:val="none" w:sz="0" w:space="0" w:color="auto"/>
        <w:left w:val="none" w:sz="0" w:space="0" w:color="auto"/>
        <w:bottom w:val="none" w:sz="0" w:space="0" w:color="auto"/>
        <w:right w:val="none" w:sz="0" w:space="0" w:color="auto"/>
      </w:divBdr>
    </w:div>
    <w:div w:id="201222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members.calbar.ca.gov/fal/MemberSearch/QuickSearch." TargetMode="External"/><Relationship Id="rId1" Type="http://schemas.openxmlformats.org/officeDocument/2006/relationships/hyperlink" Target="https://docs.cpuc.ca.gov/SearchRes.aspx?DocFormat=ALL&amp;DocID=2963190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6AF57-A618-47D2-81A6-4DCC377A891E}">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23</ap:Pages>
  <ap:Words>6077</ap:Words>
  <ap:Characters>34645</ap:Characters>
  <ap:Application>Microsoft Office Word</ap:Application>
  <ap:DocSecurity>0</ap:DocSecurity>
  <ap:Lines>288</ap:Lines>
  <ap:Paragraphs>81</ap:Paragraphs>
  <ap:ScaleCrop>false</ap:ScaleCrop>
  <ap:HeadingPairs>
    <vt:vector baseType="variant" size="2">
      <vt:variant>
        <vt:lpstr>Title</vt:lpstr>
      </vt:variant>
      <vt:variant>
        <vt:i4>1</vt:i4>
      </vt:variant>
    </vt:vector>
  </ap:HeadingPairs>
  <ap:TitlesOfParts>
    <vt:vector baseType="lpstr" size="1">
      <vt:lpstr>Icomp Claim Form</vt:lpstr>
    </vt:vector>
  </ap:TitlesOfParts>
  <ap:Company/>
  <ap:LinksUpToDate>false</ap:LinksUpToDate>
  <ap:CharactersWithSpaces>40641</ap:CharactersWithSpaces>
  <ap:SharedDoc>false</ap:SharedDoc>
  <ap:HyperlinkBase/>
  <ap:HLinks>
    <vt:vector baseType="variant" size="12">
      <vt:variant>
        <vt:i4>2031738</vt:i4>
      </vt:variant>
      <vt:variant>
        <vt:i4>0</vt:i4>
      </vt:variant>
      <vt:variant>
        <vt:i4>0</vt:i4>
      </vt:variant>
      <vt:variant>
        <vt:i4>5</vt:i4>
      </vt:variant>
      <vt:variant>
        <vt:lpwstr>mailto:Icompcoordinator@cpuc.ca.gov</vt:lpwstr>
      </vt:variant>
      <vt:variant>
        <vt:lpwstr/>
      </vt:variant>
      <vt:variant>
        <vt:i4>5963790</vt:i4>
      </vt:variant>
      <vt:variant>
        <vt:i4>0</vt:i4>
      </vt:variant>
      <vt:variant>
        <vt:i4>0</vt:i4>
      </vt:variant>
      <vt:variant>
        <vt:i4>5</vt:i4>
      </vt:variant>
      <vt:variant>
        <vt:lpwstr>http://members.calbar.ca.gov/fal/MemberSearch/QuickSearch</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2013-07-15T17:59:00Z</cp:lastPrinted>
  <dcterms:created xsi:type="dcterms:W3CDTF">2025-12-01T11:33:44Z</dcterms:created>
  <dcterms:modified xsi:type="dcterms:W3CDTF">2025-12-01T11:33:44Z</dcterms:modified>
</cp:coreProperties>
</file>