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FB5" w:rsidR="009B671D" w:rsidP="009B671D" w:rsidRDefault="009B671D" w14:paraId="4F8A8819" w14:textId="0D8FBE4E">
      <w:pPr>
        <w:tabs>
          <w:tab w:val="center" w:pos="4680"/>
          <w:tab w:val="right" w:pos="9360"/>
        </w:tabs>
      </w:pPr>
      <w:r w:rsidRPr="00B74FB5">
        <w:t>ALJ/</w:t>
      </w:r>
      <w:r>
        <w:t>JF2</w:t>
      </w:r>
      <w:r w:rsidRPr="00B74FB5">
        <w:t>/</w:t>
      </w:r>
      <w:r>
        <w:t>VUK</w:t>
      </w:r>
      <w:r w:rsidRPr="00B74FB5">
        <w:t>/</w:t>
      </w:r>
      <w:r>
        <w:t>jds</w:t>
      </w:r>
      <w:r>
        <w:tab/>
      </w:r>
      <w:r>
        <w:rPr>
          <w:rFonts w:ascii="Arial" w:hAnsi="Arial" w:cs="Arial"/>
          <w:b/>
          <w:sz w:val="32"/>
          <w:szCs w:val="32"/>
        </w:rPr>
        <w:t>PROPOSED DECISION</w:t>
      </w:r>
      <w:r>
        <w:tab/>
      </w:r>
      <w:r w:rsidRPr="00B74FB5">
        <w:rPr>
          <w:b/>
        </w:rPr>
        <w:t>Agenda ID #</w:t>
      </w:r>
      <w:r w:rsidRPr="00F32398" w:rsidR="00F32398">
        <w:rPr>
          <w:b/>
        </w:rPr>
        <w:t>23904</w:t>
      </w:r>
    </w:p>
    <w:p w:rsidRPr="00B74FB5" w:rsidR="009B671D" w:rsidP="009B671D" w:rsidRDefault="009B671D" w14:paraId="10940605" w14:textId="77777777">
      <w:pPr>
        <w:jc w:val="right"/>
        <w:rPr>
          <w:b/>
        </w:rPr>
      </w:pPr>
      <w:r w:rsidRPr="00B74FB5">
        <w:rPr>
          <w:b/>
        </w:rPr>
        <w:t>Ratesetting</w:t>
      </w:r>
    </w:p>
    <w:p w:rsidRPr="00B74FB5" w:rsidR="009B671D" w:rsidP="009B671D" w:rsidRDefault="009B671D" w14:paraId="19B7A69D" w14:textId="77777777"/>
    <w:p w:rsidRPr="00EE3060" w:rsidR="009B671D" w:rsidP="009B671D" w:rsidRDefault="009B671D" w14:paraId="357FA2BD" w14:textId="77777777">
      <w:pPr>
        <w:ind w:left="1080" w:hanging="1080"/>
      </w:pPr>
      <w:r>
        <w:t>Decision __________</w:t>
      </w:r>
    </w:p>
    <w:p w:rsidR="009B671D" w:rsidP="009B671D" w:rsidRDefault="009B671D" w14:paraId="7C92EDFF" w14:textId="77777777">
      <w:pPr>
        <w:jc w:val="center"/>
        <w:rPr>
          <w:u w:val="single"/>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130"/>
        <w:gridCol w:w="4698"/>
      </w:tblGrid>
      <w:tr w:rsidRPr="007F620E" w:rsidR="00A92D0B" w:rsidTr="00212FD8" w14:paraId="3942D7B4" w14:textId="77777777">
        <w:tc>
          <w:tcPr>
            <w:tcW w:w="5130" w:type="dxa"/>
          </w:tcPr>
          <w:p w:rsidRPr="005D1FFE" w:rsidR="003E7E0F" w:rsidP="003E7E0F" w:rsidRDefault="003E7E0F" w14:paraId="19934766" w14:textId="77777777">
            <w:pPr>
              <w:pBdr>
                <w:bar w:val="single" w:color="auto" w:sz="4"/>
              </w:pBdr>
              <w:contextualSpacing/>
            </w:pPr>
            <w:r w:rsidRPr="005D1FFE">
              <w:t xml:space="preserve">In the Matter of </w:t>
            </w:r>
            <w:bookmarkStart w:name="_Hlk61359347" w:id="0"/>
            <w:r w:rsidRPr="005D1FFE">
              <w:t>the Application of Pacific Gas</w:t>
            </w:r>
          </w:p>
          <w:p w:rsidRPr="005D1FFE" w:rsidR="003E7E0F" w:rsidP="003E7E0F" w:rsidRDefault="003E7E0F" w14:paraId="51A8A7F3" w14:textId="241F5C81">
            <w:pPr>
              <w:pBdr>
                <w:bar w:val="single" w:color="auto" w:sz="4"/>
              </w:pBdr>
              <w:contextualSpacing/>
            </w:pPr>
            <w:r w:rsidRPr="005D1FFE">
              <w:t xml:space="preserve">and Electric Company for (1) Administration of </w:t>
            </w:r>
          </w:p>
          <w:p w:rsidRPr="005D1FFE" w:rsidR="003E7E0F" w:rsidP="003E7E0F" w:rsidRDefault="003E7E0F" w14:paraId="6D31C2E5" w14:textId="55757852">
            <w:pPr>
              <w:pBdr>
                <w:bar w:val="single" w:color="auto" w:sz="4"/>
              </w:pBdr>
              <w:contextualSpacing/>
            </w:pPr>
            <w:r w:rsidRPr="005D1FFE">
              <w:t xml:space="preserve">Stress Test Methodology Developed Pursuant </w:t>
            </w:r>
            <w:r w:rsidR="00212FD8">
              <w:br/>
            </w:r>
            <w:r w:rsidRPr="005D1FFE">
              <w:t xml:space="preserve">to Public Utilities Code Section 451.2(b) and </w:t>
            </w:r>
            <w:r w:rsidR="00212FD8">
              <w:br/>
            </w:r>
            <w:r w:rsidRPr="005D1FFE">
              <w:t>(2)</w:t>
            </w:r>
            <w:r w:rsidR="00212FD8">
              <w:t xml:space="preserve"> </w:t>
            </w:r>
            <w:r w:rsidRPr="005D1FFE">
              <w:t>Determination That $7.5 Billion of 2017</w:t>
            </w:r>
            <w:r w:rsidRPr="005D1FFE">
              <w:tab/>
            </w:r>
          </w:p>
          <w:p w:rsidRPr="005D1FFE" w:rsidR="003E7E0F" w:rsidP="003E7E0F" w:rsidRDefault="003E7E0F" w14:paraId="290EAD0D" w14:textId="2A0215B8">
            <w:pPr>
              <w:pBdr>
                <w:bar w:val="single" w:color="auto" w:sz="4"/>
              </w:pBdr>
              <w:contextualSpacing/>
            </w:pPr>
            <w:r w:rsidRPr="005D1FFE">
              <w:t>Catastrophic Wildfire Costs and Expenses Are</w:t>
            </w:r>
          </w:p>
          <w:p w:rsidRPr="005D1FFE" w:rsidR="003E7E0F" w:rsidP="003E7E0F" w:rsidRDefault="003E7E0F" w14:paraId="331187E4" w14:textId="51BBBB02">
            <w:pPr>
              <w:pBdr>
                <w:bar w:val="single" w:color="auto" w:sz="4"/>
              </w:pBdr>
              <w:contextualSpacing/>
            </w:pPr>
            <w:r w:rsidRPr="005D1FFE">
              <w:t>Stress Test Costs That May Be Financed Through</w:t>
            </w:r>
          </w:p>
          <w:p w:rsidRPr="005D1FFE" w:rsidR="003E7E0F" w:rsidP="003E7E0F" w:rsidRDefault="003E7E0F" w14:paraId="42970A33" w14:textId="64BA14C5">
            <w:pPr>
              <w:pBdr>
                <w:bar w:val="single" w:color="auto" w:sz="4"/>
              </w:pBdr>
              <w:contextualSpacing/>
            </w:pPr>
            <w:r w:rsidRPr="005D1FFE">
              <w:t>Issuance of Recovery Bonds Pursuant to Section</w:t>
            </w:r>
          </w:p>
          <w:p w:rsidR="00A92D0B" w:rsidP="005D1FFE" w:rsidRDefault="003E7E0F" w14:paraId="6296EFD0" w14:textId="537AEE0E">
            <w:pPr>
              <w:pBdr>
                <w:bar w:val="single" w:color="auto" w:sz="4"/>
              </w:pBdr>
              <w:contextualSpacing/>
            </w:pPr>
            <w:r w:rsidRPr="005D1FFE">
              <w:t xml:space="preserve">451.2(c) and Section 850 </w:t>
            </w:r>
            <w:r w:rsidRPr="005D1FFE">
              <w:rPr>
                <w:i/>
                <w:iCs/>
              </w:rPr>
              <w:t>et s</w:t>
            </w:r>
            <w:bookmarkEnd w:id="0"/>
            <w:r w:rsidR="005D1FFE">
              <w:rPr>
                <w:i/>
                <w:iCs/>
              </w:rPr>
              <w:t>eq.</w:t>
            </w:r>
            <w:r w:rsidRPr="005D1FFE">
              <w:t>(U39E)</w:t>
            </w:r>
          </w:p>
          <w:p w:rsidRPr="005D1FFE" w:rsidR="00212FD8" w:rsidP="005D1FFE" w:rsidRDefault="00212FD8" w14:paraId="47850BD9" w14:textId="7375ED02">
            <w:pPr>
              <w:pBdr>
                <w:bar w:val="single" w:color="auto" w:sz="4"/>
              </w:pBdr>
              <w:contextualSpacing/>
            </w:pPr>
          </w:p>
        </w:tc>
        <w:tc>
          <w:tcPr>
            <w:tcW w:w="4698" w:type="dxa"/>
            <w:tcBorders>
              <w:top w:val="nil"/>
              <w:bottom w:val="nil"/>
            </w:tcBorders>
          </w:tcPr>
          <w:p w:rsidRPr="005D1FFE" w:rsidR="003E7E0F" w:rsidP="003E7E0F" w:rsidRDefault="003E7E0F" w14:paraId="1DA432BD" w14:textId="77777777">
            <w:pPr>
              <w:tabs>
                <w:tab w:val="left" w:pos="1440"/>
                <w:tab w:val="left" w:pos="3600"/>
              </w:tabs>
              <w:jc w:val="center"/>
              <w:rPr>
                <w:color w:val="000000"/>
              </w:rPr>
            </w:pPr>
          </w:p>
          <w:p w:rsidRPr="005D1FFE" w:rsidR="003E7E0F" w:rsidP="003E7E0F" w:rsidRDefault="003E7E0F" w14:paraId="5DE6128C" w14:textId="77777777">
            <w:pPr>
              <w:tabs>
                <w:tab w:val="left" w:pos="1440"/>
                <w:tab w:val="left" w:pos="3600"/>
              </w:tabs>
              <w:jc w:val="center"/>
              <w:rPr>
                <w:color w:val="000000"/>
              </w:rPr>
            </w:pPr>
          </w:p>
          <w:p w:rsidRPr="005D1FFE" w:rsidR="003E7E0F" w:rsidP="003E7E0F" w:rsidRDefault="003E7E0F" w14:paraId="01AF09FC" w14:textId="77777777">
            <w:pPr>
              <w:tabs>
                <w:tab w:val="left" w:pos="1440"/>
                <w:tab w:val="left" w:pos="3600"/>
              </w:tabs>
              <w:jc w:val="center"/>
              <w:rPr>
                <w:color w:val="000000"/>
              </w:rPr>
            </w:pPr>
          </w:p>
          <w:p w:rsidRPr="005D1FFE" w:rsidR="003E7E0F" w:rsidP="003E7E0F" w:rsidRDefault="003E7E0F" w14:paraId="3C093066" w14:textId="77777777">
            <w:pPr>
              <w:tabs>
                <w:tab w:val="left" w:pos="1440"/>
                <w:tab w:val="left" w:pos="3600"/>
              </w:tabs>
              <w:jc w:val="center"/>
              <w:rPr>
                <w:color w:val="000000"/>
              </w:rPr>
            </w:pPr>
          </w:p>
          <w:p w:rsidRPr="005D1FFE" w:rsidR="00A92D0B" w:rsidP="003E7E0F" w:rsidRDefault="003E7E0F" w14:paraId="56246C5B" w14:textId="66F48B87">
            <w:pPr>
              <w:tabs>
                <w:tab w:val="left" w:pos="1440"/>
                <w:tab w:val="left" w:pos="3600"/>
              </w:tabs>
              <w:jc w:val="center"/>
              <w:rPr>
                <w:color w:val="000000"/>
              </w:rPr>
            </w:pPr>
            <w:r w:rsidRPr="005D1FFE">
              <w:rPr>
                <w:color w:val="000000"/>
              </w:rPr>
              <w:t>A</w:t>
            </w:r>
            <w:r w:rsidR="00212FD8">
              <w:rPr>
                <w:color w:val="000000"/>
              </w:rPr>
              <w:t xml:space="preserve">pplication </w:t>
            </w:r>
            <w:r w:rsidRPr="005D1FFE">
              <w:rPr>
                <w:color w:val="000000"/>
              </w:rPr>
              <w:t>20-04-023</w:t>
            </w:r>
          </w:p>
          <w:p w:rsidRPr="005D1FFE" w:rsidR="00A92D0B" w:rsidP="003E7E0F" w:rsidRDefault="00A92D0B" w14:paraId="4E5DC7CF" w14:textId="4B445A54">
            <w:pPr>
              <w:tabs>
                <w:tab w:val="left" w:pos="1440"/>
                <w:tab w:val="left" w:pos="3600"/>
              </w:tabs>
              <w:jc w:val="center"/>
              <w:rPr>
                <w:color w:val="000000"/>
              </w:rPr>
            </w:pPr>
            <w:r w:rsidRPr="005D1FFE">
              <w:rPr>
                <w:color w:val="000000"/>
              </w:rPr>
              <w:t xml:space="preserve">(Filed </w:t>
            </w:r>
            <w:r w:rsidRPr="005D1FFE" w:rsidR="003E7E0F">
              <w:rPr>
                <w:color w:val="000000"/>
              </w:rPr>
              <w:t>April 30, 2020</w:t>
            </w:r>
            <w:r w:rsidRPr="005D1FFE">
              <w:rPr>
                <w:color w:val="000000"/>
              </w:rPr>
              <w:t>)</w:t>
            </w:r>
          </w:p>
          <w:p w:rsidRPr="005D1FFE" w:rsidR="00A92D0B" w:rsidRDefault="00A92D0B" w14:paraId="7EC7277D" w14:textId="77777777">
            <w:pPr>
              <w:jc w:val="center"/>
              <w:rPr>
                <w:color w:val="000000"/>
              </w:rPr>
            </w:pPr>
          </w:p>
        </w:tc>
      </w:tr>
    </w:tbl>
    <w:p w:rsidRPr="007F620E" w:rsidR="00FC72B7" w:rsidRDefault="00FC72B7" w14:paraId="5459E071" w14:textId="77777777">
      <w:pPr>
        <w:jc w:val="center"/>
        <w:rPr>
          <w:b/>
          <w:color w:val="000000"/>
        </w:rPr>
      </w:pPr>
    </w:p>
    <w:p w:rsidRPr="00E96CE5" w:rsidR="00A92D0B" w:rsidP="00E96CE5" w:rsidRDefault="00E96CE5" w14:paraId="17BB0C52" w14:textId="7DDA4C80">
      <w:pPr>
        <w:jc w:val="center"/>
        <w:rPr>
          <w:b/>
        </w:rPr>
      </w:pPr>
      <w:r>
        <w:rPr>
          <w:b/>
        </w:rPr>
        <w:t xml:space="preserve">DECISION GRANTING </w:t>
      </w:r>
      <w:r w:rsidRPr="00691528" w:rsidR="00A92D0B">
        <w:rPr>
          <w:b/>
        </w:rPr>
        <w:t>COMPENSATION</w:t>
      </w:r>
      <w:r>
        <w:rPr>
          <w:b/>
        </w:rPr>
        <w:t xml:space="preserve"> TO</w:t>
      </w:r>
      <w:r w:rsidRPr="00691528" w:rsidR="00A92D0B">
        <w:rPr>
          <w:b/>
        </w:rPr>
        <w:t xml:space="preserve"> </w:t>
      </w:r>
      <w:r w:rsidRPr="00E96CE5" w:rsidR="003E7E0F">
        <w:rPr>
          <w:b/>
        </w:rPr>
        <w:t xml:space="preserve">ALLIANCE FOR </w:t>
      </w:r>
      <w:r w:rsidR="00212FD8">
        <w:rPr>
          <w:b/>
        </w:rPr>
        <w:br/>
      </w:r>
      <w:r w:rsidRPr="00E96CE5" w:rsidR="003E7E0F">
        <w:rPr>
          <w:b/>
        </w:rPr>
        <w:t>NUCLEAR RESPONSIBILITY</w:t>
      </w:r>
      <w:r w:rsidR="00212FD8">
        <w:rPr>
          <w:b/>
        </w:rPr>
        <w:t xml:space="preserve"> </w:t>
      </w:r>
      <w:r>
        <w:rPr>
          <w:b/>
        </w:rPr>
        <w:t xml:space="preserve">FOR SUBSTANTIAL </w:t>
      </w:r>
      <w:r w:rsidR="00212FD8">
        <w:rPr>
          <w:b/>
        </w:rPr>
        <w:br/>
      </w:r>
      <w:r>
        <w:rPr>
          <w:b/>
        </w:rPr>
        <w:t>CONTRIBUTION TO DECISION</w:t>
      </w:r>
      <w:r w:rsidR="00212FD8">
        <w:rPr>
          <w:b/>
        </w:rPr>
        <w:t xml:space="preserve"> </w:t>
      </w:r>
      <w:r>
        <w:rPr>
          <w:b/>
        </w:rPr>
        <w:t>25-07-013</w:t>
      </w:r>
      <w:bookmarkStart w:name="_Hlk207723453" w:id="1"/>
    </w:p>
    <w:bookmarkEnd w:id="1"/>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5"/>
        <w:gridCol w:w="4955"/>
      </w:tblGrid>
      <w:tr w:rsidRPr="007F620E" w:rsidR="00A92D0B" w:rsidTr="00011851" w14:paraId="0FE98F62" w14:textId="77777777">
        <w:tc>
          <w:tcPr>
            <w:tcW w:w="4405" w:type="dxa"/>
          </w:tcPr>
          <w:p w:rsidRPr="00614819" w:rsidR="003E7E0F" w:rsidP="00C47A2B" w:rsidRDefault="005A63D4" w14:paraId="52A2798A" w14:textId="77777777">
            <w:pPr>
              <w:tabs>
                <w:tab w:val="left" w:pos="1620"/>
                <w:tab w:val="right" w:pos="4500"/>
              </w:tabs>
              <w:rPr>
                <w:bCs/>
                <w:color w:val="000000"/>
              </w:rPr>
            </w:pPr>
            <w:r w:rsidRPr="00011851">
              <w:rPr>
                <w:b/>
                <w:color w:val="000000"/>
              </w:rPr>
              <w:t>Intervenor</w:t>
            </w:r>
            <w:r w:rsidRPr="00011851" w:rsidR="00F63C29">
              <w:rPr>
                <w:b/>
                <w:color w:val="000000"/>
              </w:rPr>
              <w:t>:</w:t>
            </w:r>
            <w:r w:rsidRPr="00011851" w:rsidR="00691528">
              <w:rPr>
                <w:b/>
                <w:color w:val="000000"/>
              </w:rPr>
              <w:t xml:space="preserve"> </w:t>
            </w:r>
          </w:p>
          <w:p w:rsidRPr="00011851" w:rsidR="00A92D0B" w:rsidP="00C47A2B" w:rsidRDefault="003E7E0F" w14:paraId="11570D4A" w14:textId="5FDA3EA7">
            <w:pPr>
              <w:tabs>
                <w:tab w:val="left" w:pos="1620"/>
                <w:tab w:val="right" w:pos="4500"/>
              </w:tabs>
              <w:rPr>
                <w:color w:val="000000"/>
              </w:rPr>
            </w:pPr>
            <w:r w:rsidRPr="00614819">
              <w:rPr>
                <w:bCs/>
                <w:color w:val="000000"/>
              </w:rPr>
              <w:t>Alliance for Nuclear Responsibility</w:t>
            </w:r>
          </w:p>
        </w:tc>
        <w:tc>
          <w:tcPr>
            <w:tcW w:w="4955" w:type="dxa"/>
          </w:tcPr>
          <w:p w:rsidRPr="00011851" w:rsidR="00A92D0B" w:rsidP="00C47A2B" w:rsidRDefault="00A92D0B" w14:paraId="53A584EE" w14:textId="7D7BB8E3">
            <w:pPr>
              <w:tabs>
                <w:tab w:val="left" w:pos="1872"/>
                <w:tab w:val="right" w:pos="3672"/>
              </w:tabs>
              <w:rPr>
                <w:b/>
                <w:color w:val="000000"/>
              </w:rPr>
            </w:pPr>
            <w:r w:rsidRPr="00011851">
              <w:rPr>
                <w:b/>
                <w:color w:val="000000"/>
              </w:rPr>
              <w:t>For contribution to D</w:t>
            </w:r>
            <w:r w:rsidRPr="00011851" w:rsidR="00DE3A5D">
              <w:rPr>
                <w:b/>
                <w:color w:val="000000"/>
              </w:rPr>
              <w:t xml:space="preserve">ecision </w:t>
            </w:r>
            <w:r w:rsidRPr="00011851" w:rsidR="003E7E0F">
              <w:rPr>
                <w:b/>
                <w:color w:val="000000"/>
              </w:rPr>
              <w:t>25-07-013</w:t>
            </w:r>
          </w:p>
        </w:tc>
      </w:tr>
      <w:tr w:rsidRPr="007F620E" w:rsidR="00A92D0B" w:rsidTr="00011851" w14:paraId="47003B8E" w14:textId="77777777">
        <w:tc>
          <w:tcPr>
            <w:tcW w:w="4405" w:type="dxa"/>
          </w:tcPr>
          <w:p w:rsidRPr="00011851" w:rsidR="00A92D0B" w:rsidP="00C47A2B" w:rsidRDefault="00A92D0B" w14:paraId="0E2E4BD1" w14:textId="0076A6E6">
            <w:pPr>
              <w:tabs>
                <w:tab w:val="left" w:pos="1620"/>
                <w:tab w:val="right" w:pos="4500"/>
              </w:tabs>
              <w:rPr>
                <w:b/>
                <w:color w:val="000000"/>
                <w:u w:val="single"/>
              </w:rPr>
            </w:pPr>
            <w:r w:rsidRPr="00011851">
              <w:rPr>
                <w:b/>
                <w:color w:val="000000"/>
              </w:rPr>
              <w:t>Claimed:</w:t>
            </w:r>
            <w:r w:rsidRPr="00011851" w:rsidR="00F63C29">
              <w:rPr>
                <w:b/>
                <w:color w:val="000000"/>
              </w:rPr>
              <w:t xml:space="preserve"> </w:t>
            </w:r>
            <w:r w:rsidRPr="00011851" w:rsidR="002D21CA">
              <w:rPr>
                <w:b/>
                <w:color w:val="000000"/>
              </w:rPr>
              <w:t xml:space="preserve"> </w:t>
            </w:r>
            <w:r w:rsidRPr="00614819" w:rsidR="00FC72B7">
              <w:rPr>
                <w:bCs/>
                <w:color w:val="000000"/>
              </w:rPr>
              <w:t>$</w:t>
            </w:r>
            <w:r w:rsidRPr="00614819" w:rsidR="005700BE">
              <w:rPr>
                <w:bCs/>
              </w:rPr>
              <w:t>18,886.70</w:t>
            </w:r>
          </w:p>
        </w:tc>
        <w:tc>
          <w:tcPr>
            <w:tcW w:w="4955" w:type="dxa"/>
            <w:tcBorders>
              <w:bottom w:val="single" w:color="auto" w:sz="4" w:space="0"/>
            </w:tcBorders>
          </w:tcPr>
          <w:p w:rsidRPr="00011851" w:rsidR="00A92D0B" w:rsidP="00C47A2B" w:rsidRDefault="00A92D0B" w14:paraId="211F40A8" w14:textId="3C982D54">
            <w:pPr>
              <w:tabs>
                <w:tab w:val="left" w:pos="1872"/>
                <w:tab w:val="right" w:pos="3672"/>
              </w:tabs>
              <w:rPr>
                <w:b/>
                <w:color w:val="000000"/>
                <w:u w:val="single"/>
              </w:rPr>
            </w:pPr>
            <w:r w:rsidRPr="00011851">
              <w:rPr>
                <w:b/>
                <w:color w:val="000000"/>
              </w:rPr>
              <w:t>Awarded:</w:t>
            </w:r>
            <w:r w:rsidRPr="00011851" w:rsidR="00FC72B7">
              <w:rPr>
                <w:b/>
                <w:color w:val="000000"/>
              </w:rPr>
              <w:t xml:space="preserve">  </w:t>
            </w:r>
            <w:r w:rsidRPr="00614819" w:rsidR="00FC72B7">
              <w:rPr>
                <w:bCs/>
                <w:color w:val="000000"/>
              </w:rPr>
              <w:t>$</w:t>
            </w:r>
            <w:r w:rsidRPr="00614819" w:rsidR="00B127EE">
              <w:rPr>
                <w:bCs/>
                <w:color w:val="000000"/>
              </w:rPr>
              <w:t>18,886.70</w:t>
            </w:r>
          </w:p>
        </w:tc>
      </w:tr>
      <w:tr w:rsidRPr="007F620E" w:rsidR="00A92D0B" w:rsidTr="00011851" w14:paraId="5C56877D" w14:textId="77777777">
        <w:tc>
          <w:tcPr>
            <w:tcW w:w="4405" w:type="dxa"/>
          </w:tcPr>
          <w:p w:rsidRPr="00011851" w:rsidR="00A92D0B" w:rsidP="00C47A2B" w:rsidRDefault="00A92D0B" w14:paraId="6EF99E36" w14:textId="1C3B7FD5">
            <w:pPr>
              <w:tabs>
                <w:tab w:val="left" w:pos="3060"/>
                <w:tab w:val="right" w:pos="4500"/>
              </w:tabs>
              <w:rPr>
                <w:color w:val="000000"/>
                <w:u w:val="single"/>
              </w:rPr>
            </w:pPr>
            <w:r w:rsidRPr="00011851">
              <w:rPr>
                <w:b/>
                <w:color w:val="000000"/>
              </w:rPr>
              <w:t xml:space="preserve">Assigned Commissioner: </w:t>
            </w:r>
            <w:r w:rsidRPr="00614819" w:rsidR="00EB4E4B">
              <w:rPr>
                <w:bCs/>
                <w:color w:val="000000"/>
              </w:rPr>
              <w:t>Alice Reynolds</w:t>
            </w:r>
          </w:p>
        </w:tc>
        <w:tc>
          <w:tcPr>
            <w:tcW w:w="4955" w:type="dxa"/>
          </w:tcPr>
          <w:p w:rsidRPr="00011851" w:rsidR="00A92D0B" w:rsidP="00C47A2B" w:rsidRDefault="00A92D0B" w14:paraId="79375F78" w14:textId="7262486E">
            <w:pPr>
              <w:tabs>
                <w:tab w:val="left" w:pos="1872"/>
                <w:tab w:val="right" w:pos="3672"/>
              </w:tabs>
              <w:rPr>
                <w:color w:val="000000"/>
                <w:u w:val="single"/>
              </w:rPr>
            </w:pPr>
            <w:r w:rsidRPr="00011851">
              <w:rPr>
                <w:b/>
                <w:color w:val="000000"/>
              </w:rPr>
              <w:t>Assigned ALJ:</w:t>
            </w:r>
            <w:r w:rsidRPr="00011851" w:rsidR="00F63C29">
              <w:rPr>
                <w:b/>
                <w:color w:val="000000"/>
              </w:rPr>
              <w:t xml:space="preserve"> </w:t>
            </w:r>
            <w:r w:rsidRPr="00614819" w:rsidR="003E7E0F">
              <w:rPr>
                <w:bCs/>
                <w:color w:val="000000"/>
              </w:rPr>
              <w:t>Robert Haga</w:t>
            </w:r>
          </w:p>
        </w:tc>
      </w:tr>
    </w:tbl>
    <w:p w:rsidR="00691528" w:rsidP="00055843" w:rsidRDefault="00A92D0B" w14:paraId="3CEED871" w14:textId="6DE1EFD7">
      <w:pPr>
        <w:keepNext/>
        <w:spacing w:before="480"/>
        <w:jc w:val="center"/>
        <w:rPr>
          <w:b/>
          <w:color w:val="000000"/>
        </w:rPr>
      </w:pPr>
      <w:r w:rsidRPr="007F620E">
        <w:rPr>
          <w:b/>
          <w:color w:val="000000"/>
        </w:rPr>
        <w:t>PART I:</w:t>
      </w:r>
      <w:r w:rsidR="009C566F">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22054E"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C02649" w:rsidRDefault="00EB4E4B" w14:paraId="67B8ECAA" w14:textId="14EE42FD">
            <w:pPr>
              <w:rPr>
                <w:color w:val="000000"/>
              </w:rPr>
            </w:pPr>
            <w:r w:rsidRPr="0022054E">
              <w:rPr>
                <w:color w:val="000000"/>
              </w:rPr>
              <w:t>D</w:t>
            </w:r>
            <w:r w:rsidR="00212FD8">
              <w:rPr>
                <w:color w:val="000000"/>
              </w:rPr>
              <w:t xml:space="preserve">ecision (D.) </w:t>
            </w:r>
            <w:r w:rsidRPr="0022054E">
              <w:rPr>
                <w:color w:val="000000"/>
              </w:rPr>
              <w:t>25-07-013 modifies D.</w:t>
            </w:r>
            <w:r w:rsidRPr="0022054E" w:rsidR="009B5AF5">
              <w:rPr>
                <w:color w:val="000000"/>
              </w:rPr>
              <w:t xml:space="preserve">21-04-030, allowing PG&amp;E to delay a $650 million contribution to the Customer Credit Trust and requiring that PG&amp;E compensate the Trust at PG&amp;E’s authorized rate of return </w:t>
            </w:r>
            <w:proofErr w:type="gramStart"/>
            <w:r w:rsidRPr="0022054E" w:rsidR="009B5AF5">
              <w:rPr>
                <w:color w:val="000000"/>
              </w:rPr>
              <w:t>in order to</w:t>
            </w:r>
            <w:proofErr w:type="gramEnd"/>
            <w:r w:rsidRPr="0022054E" w:rsidR="009B5AF5">
              <w:rPr>
                <w:color w:val="000000"/>
              </w:rPr>
              <w:t xml:space="preserve"> avoid prejudice </w:t>
            </w:r>
            <w:proofErr w:type="gramStart"/>
            <w:r w:rsidRPr="0022054E" w:rsidR="009B5AF5">
              <w:rPr>
                <w:color w:val="000000"/>
              </w:rPr>
              <w:t>to</w:t>
            </w:r>
            <w:proofErr w:type="gramEnd"/>
            <w:r w:rsidRPr="0022054E" w:rsidR="009B5AF5">
              <w:rPr>
                <w:color w:val="000000"/>
              </w:rPr>
              <w:t xml:space="preserve"> the interests of ratepayers.</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076700" w14:paraId="160E284A" w14:textId="77777777">
        <w:tc>
          <w:tcPr>
            <w:tcW w:w="4817" w:type="dxa"/>
            <w:tcBorders>
              <w:top w:val="single" w:color="auto" w:sz="4" w:space="0"/>
            </w:tcBorders>
          </w:tcPr>
          <w:p w:rsidRPr="007F620E" w:rsidR="00A92D0B" w:rsidP="00F028C8" w:rsidRDefault="00A92D0B" w14:paraId="44D1876C" w14:textId="0B64D185">
            <w:pPr>
              <w:keepNext/>
              <w:tabs>
                <w:tab w:val="left" w:pos="360"/>
              </w:tabs>
              <w:ind w:left="360" w:hanging="360"/>
              <w:rPr>
                <w:color w:val="000000"/>
              </w:rPr>
            </w:pPr>
            <w:r w:rsidRPr="007F620E">
              <w:rPr>
                <w:color w:val="000000"/>
              </w:rPr>
              <w:t>1.</w:t>
            </w:r>
            <w:r w:rsidR="001E7EE2">
              <w:rPr>
                <w:color w:val="000000"/>
              </w:rPr>
              <w:tab/>
            </w:r>
            <w:r w:rsidRPr="007F620E">
              <w:rPr>
                <w:color w:val="000000"/>
              </w:rPr>
              <w:t xml:space="preserve">Date of </w:t>
            </w:r>
            <w:r w:rsidR="00212FD8">
              <w:rPr>
                <w:color w:val="000000"/>
              </w:rPr>
              <w:t>p</w:t>
            </w:r>
            <w:r w:rsidRPr="007F620E">
              <w:rPr>
                <w:color w:val="000000"/>
              </w:rPr>
              <w:t xml:space="preserve">rehearing </w:t>
            </w:r>
            <w:r w:rsidR="00212FD8">
              <w:rPr>
                <w:color w:val="000000"/>
              </w:rPr>
              <w:t>c</w:t>
            </w:r>
            <w:r w:rsidRPr="007F620E">
              <w:rPr>
                <w:color w:val="000000"/>
              </w:rPr>
              <w:t>onference:</w:t>
            </w:r>
          </w:p>
        </w:tc>
        <w:tc>
          <w:tcPr>
            <w:tcW w:w="2267" w:type="dxa"/>
            <w:tcBorders>
              <w:top w:val="single" w:color="auto" w:sz="4" w:space="0"/>
            </w:tcBorders>
          </w:tcPr>
          <w:p w:rsidRPr="00076700" w:rsidR="00A92D0B" w:rsidP="00F028C8" w:rsidRDefault="009B5AF5" w14:paraId="35450816" w14:textId="4457B755">
            <w:pPr>
              <w:keepNext/>
              <w:keepLines/>
              <w:tabs>
                <w:tab w:val="left" w:pos="360"/>
              </w:tabs>
              <w:ind w:left="360" w:hanging="360"/>
              <w:rPr>
                <w:color w:val="000000"/>
              </w:rPr>
            </w:pPr>
            <w:r w:rsidRPr="00076700">
              <w:rPr>
                <w:color w:val="000000"/>
              </w:rPr>
              <w:t>06/18/2020</w:t>
            </w:r>
          </w:p>
        </w:tc>
        <w:tc>
          <w:tcPr>
            <w:tcW w:w="2276" w:type="dxa"/>
            <w:tcBorders>
              <w:top w:val="single" w:color="auto" w:sz="4" w:space="0"/>
            </w:tcBorders>
          </w:tcPr>
          <w:p w:rsidRPr="007F620E" w:rsidR="00A92D0B" w:rsidP="00F028C8" w:rsidRDefault="006E7731" w14:paraId="34540344" w14:textId="0DC45D37">
            <w:pPr>
              <w:keepNext/>
              <w:tabs>
                <w:tab w:val="left" w:pos="360"/>
              </w:tabs>
              <w:jc w:val="both"/>
              <w:rPr>
                <w:color w:val="000000"/>
              </w:rPr>
            </w:pPr>
            <w:r>
              <w:rPr>
                <w:color w:val="000000"/>
              </w:rPr>
              <w:t>Verified</w:t>
            </w:r>
          </w:p>
        </w:tc>
      </w:tr>
      <w:tr w:rsidRPr="007F620E" w:rsidR="00A92D0B" w:rsidTr="00076700"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076700"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076700"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076700" w:rsidR="00A92D0B" w:rsidP="00F028C8" w:rsidRDefault="009B5AF5" w14:paraId="44F7CCB9" w14:textId="7C0F37E9">
            <w:pPr>
              <w:keepNext/>
              <w:keepLines/>
              <w:tabs>
                <w:tab w:val="left" w:pos="360"/>
              </w:tabs>
              <w:ind w:left="360" w:hanging="360"/>
              <w:rPr>
                <w:color w:val="000000"/>
              </w:rPr>
            </w:pPr>
            <w:r w:rsidRPr="00076700">
              <w:rPr>
                <w:color w:val="000000"/>
              </w:rPr>
              <w:t>07/13/2020</w:t>
            </w:r>
          </w:p>
        </w:tc>
        <w:tc>
          <w:tcPr>
            <w:tcW w:w="2276" w:type="dxa"/>
            <w:tcBorders>
              <w:bottom w:val="single" w:color="auto" w:sz="4" w:space="0"/>
            </w:tcBorders>
          </w:tcPr>
          <w:p w:rsidRPr="007F620E" w:rsidR="00A92D0B" w:rsidP="00F028C8" w:rsidRDefault="006E7731" w14:paraId="71759DE3" w14:textId="5BE61BD2">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6E7731" w14:paraId="61DE2845" w14:textId="000BC1BE">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8D3F66" w14:paraId="259EC227" w14:textId="77777777">
        <w:tc>
          <w:tcPr>
            <w:tcW w:w="4817" w:type="dxa"/>
            <w:tcBorders>
              <w:top w:val="single" w:color="auto" w:sz="4" w:space="0"/>
            </w:tcBorders>
          </w:tcPr>
          <w:p w:rsidRPr="007F620E" w:rsidR="00A92D0B" w:rsidP="00F028C8" w:rsidRDefault="00A92D0B" w14:paraId="0EFCD0E9" w14:textId="4F3BC6F1">
            <w:pPr>
              <w:keepNext/>
              <w:keepLines/>
              <w:ind w:left="360" w:hanging="360"/>
              <w:rPr>
                <w:color w:val="000000"/>
              </w:rPr>
            </w:pPr>
            <w:r w:rsidRPr="007F620E">
              <w:rPr>
                <w:color w:val="000000"/>
              </w:rPr>
              <w:t>5.</w:t>
            </w:r>
            <w:r w:rsidR="001E7EE2">
              <w:rPr>
                <w:color w:val="000000"/>
              </w:rPr>
              <w:tab/>
            </w:r>
            <w:r w:rsidRPr="007F620E">
              <w:rPr>
                <w:color w:val="000000"/>
              </w:rPr>
              <w:t>Based on A</w:t>
            </w:r>
            <w:r w:rsidR="00212FD8">
              <w:rPr>
                <w:color w:val="000000"/>
              </w:rPr>
              <w:t xml:space="preserve">dministrative </w:t>
            </w:r>
            <w:r w:rsidRPr="007F620E">
              <w:rPr>
                <w:color w:val="000000"/>
              </w:rPr>
              <w:t>L</w:t>
            </w:r>
            <w:r w:rsidR="00212FD8">
              <w:rPr>
                <w:color w:val="000000"/>
              </w:rPr>
              <w:t xml:space="preserve">aw </w:t>
            </w:r>
            <w:r w:rsidRPr="007F620E">
              <w:rPr>
                <w:color w:val="000000"/>
              </w:rPr>
              <w:t>J</w:t>
            </w:r>
            <w:r w:rsidR="00212FD8">
              <w:rPr>
                <w:color w:val="000000"/>
              </w:rPr>
              <w:t>udge (ALJ)</w:t>
            </w:r>
            <w:r w:rsidRPr="007F620E">
              <w:rPr>
                <w:color w:val="000000"/>
              </w:rPr>
              <w:t xml:space="preserve">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00212FD8" w:rsidP="00F028C8" w:rsidRDefault="009B5AF5" w14:paraId="5B88B7F9" w14:textId="77777777">
            <w:pPr>
              <w:keepNext/>
              <w:keepLines/>
              <w:tabs>
                <w:tab w:val="left" w:pos="360"/>
              </w:tabs>
              <w:ind w:left="360" w:hanging="360"/>
              <w:rPr>
                <w:color w:val="000000"/>
              </w:rPr>
            </w:pPr>
            <w:r w:rsidRPr="008D3F66">
              <w:rPr>
                <w:color w:val="000000"/>
              </w:rPr>
              <w:t>A</w:t>
            </w:r>
            <w:r w:rsidR="00212FD8">
              <w:rPr>
                <w:color w:val="000000"/>
              </w:rPr>
              <w:t xml:space="preserve">pplication </w:t>
            </w:r>
          </w:p>
          <w:p w:rsidRPr="008D3F66" w:rsidR="00A92D0B" w:rsidP="00F028C8" w:rsidRDefault="00212FD8" w14:paraId="13E72B6D" w14:textId="41224A49">
            <w:pPr>
              <w:keepNext/>
              <w:keepLines/>
              <w:tabs>
                <w:tab w:val="left" w:pos="360"/>
              </w:tabs>
              <w:ind w:left="360" w:hanging="360"/>
              <w:rPr>
                <w:color w:val="000000"/>
              </w:rPr>
            </w:pPr>
            <w:r>
              <w:rPr>
                <w:color w:val="000000"/>
              </w:rPr>
              <w:t xml:space="preserve">(A.) </w:t>
            </w:r>
            <w:r w:rsidRPr="008D3F66" w:rsidR="009B5AF5">
              <w:rPr>
                <w:color w:val="000000"/>
              </w:rPr>
              <w:t>18-03-009</w:t>
            </w:r>
          </w:p>
        </w:tc>
        <w:tc>
          <w:tcPr>
            <w:tcW w:w="2276" w:type="dxa"/>
            <w:tcBorders>
              <w:top w:val="single" w:color="auto" w:sz="4" w:space="0"/>
            </w:tcBorders>
          </w:tcPr>
          <w:p w:rsidRPr="007F620E" w:rsidR="00A92D0B" w:rsidP="00F028C8" w:rsidRDefault="004A63A3" w14:paraId="2679B197" w14:textId="7BECE1FD">
            <w:pPr>
              <w:keepNext/>
              <w:keepLines/>
              <w:tabs>
                <w:tab w:val="left" w:pos="360"/>
              </w:tabs>
              <w:rPr>
                <w:color w:val="000000"/>
              </w:rPr>
            </w:pPr>
            <w:r>
              <w:rPr>
                <w:color w:val="000000"/>
              </w:rPr>
              <w:t>Verified</w:t>
            </w:r>
          </w:p>
        </w:tc>
      </w:tr>
      <w:tr w:rsidRPr="007F620E" w:rsidR="00A92D0B" w:rsidTr="008D3F66"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8D3F66" w:rsidR="00A92D0B" w:rsidP="00F028C8" w:rsidRDefault="009B5AF5" w14:paraId="306125B9" w14:textId="01495D5A">
            <w:pPr>
              <w:tabs>
                <w:tab w:val="left" w:pos="360"/>
              </w:tabs>
              <w:ind w:left="360" w:hanging="360"/>
              <w:rPr>
                <w:color w:val="000000"/>
              </w:rPr>
            </w:pPr>
            <w:r w:rsidRPr="008D3F66">
              <w:rPr>
                <w:color w:val="000000"/>
              </w:rPr>
              <w:t>09/26/2019</w:t>
            </w:r>
          </w:p>
        </w:tc>
        <w:tc>
          <w:tcPr>
            <w:tcW w:w="2276" w:type="dxa"/>
          </w:tcPr>
          <w:p w:rsidRPr="007F620E" w:rsidR="00A92D0B" w:rsidP="00F028C8" w:rsidRDefault="004A63A3" w14:paraId="19F10313" w14:textId="592B6ADE">
            <w:pPr>
              <w:tabs>
                <w:tab w:val="left" w:pos="360"/>
              </w:tabs>
              <w:rPr>
                <w:color w:val="000000"/>
              </w:rPr>
            </w:pPr>
            <w:r>
              <w:rPr>
                <w:color w:val="000000"/>
              </w:rPr>
              <w:t>Verified</w:t>
            </w:r>
          </w:p>
        </w:tc>
      </w:tr>
      <w:tr w:rsidRPr="007F620E" w:rsidR="00A92D0B" w:rsidTr="008D3F66"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8D3F66"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4A63A3" w14:paraId="7D296E63" w14:textId="62CB4453">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4A63A3" w:rsidTr="006A2402" w14:paraId="77F91856" w14:textId="77777777">
        <w:tc>
          <w:tcPr>
            <w:tcW w:w="4817" w:type="dxa"/>
            <w:tcBorders>
              <w:top w:val="single" w:color="auto" w:sz="4" w:space="0"/>
            </w:tcBorders>
          </w:tcPr>
          <w:p w:rsidRPr="007F620E" w:rsidR="004A63A3" w:rsidP="004A63A3" w:rsidRDefault="004A63A3"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6A2402" w:rsidR="004A63A3" w:rsidP="004A63A3" w:rsidRDefault="004A63A3" w14:paraId="54B4911C" w14:textId="2C223F5D">
            <w:pPr>
              <w:tabs>
                <w:tab w:val="left" w:pos="360"/>
              </w:tabs>
              <w:ind w:left="360" w:hanging="360"/>
              <w:rPr>
                <w:color w:val="000000"/>
              </w:rPr>
            </w:pPr>
            <w:r w:rsidRPr="006A2402">
              <w:rPr>
                <w:color w:val="000000"/>
              </w:rPr>
              <w:t>A.18-03-009</w:t>
            </w:r>
          </w:p>
        </w:tc>
        <w:tc>
          <w:tcPr>
            <w:tcW w:w="2276" w:type="dxa"/>
            <w:tcBorders>
              <w:top w:val="single" w:color="auto" w:sz="4" w:space="0"/>
            </w:tcBorders>
          </w:tcPr>
          <w:p w:rsidRPr="007F620E" w:rsidR="004A63A3" w:rsidP="004A63A3" w:rsidRDefault="004A63A3" w14:paraId="2E2FB9D6" w14:textId="333883A1">
            <w:pPr>
              <w:tabs>
                <w:tab w:val="left" w:pos="360"/>
              </w:tabs>
              <w:rPr>
                <w:color w:val="000000"/>
              </w:rPr>
            </w:pPr>
            <w:r>
              <w:rPr>
                <w:color w:val="000000"/>
              </w:rPr>
              <w:t>Verified</w:t>
            </w:r>
          </w:p>
        </w:tc>
      </w:tr>
      <w:tr w:rsidRPr="007F620E" w:rsidR="004A63A3" w:rsidTr="006A2402" w14:paraId="4AD750C1" w14:textId="77777777">
        <w:tc>
          <w:tcPr>
            <w:tcW w:w="4817" w:type="dxa"/>
          </w:tcPr>
          <w:p w:rsidRPr="007F620E" w:rsidR="004A63A3" w:rsidP="004A63A3" w:rsidRDefault="004A63A3"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6A2402" w:rsidR="004A63A3" w:rsidP="004A63A3" w:rsidRDefault="004A63A3" w14:paraId="4B66A2E4" w14:textId="192E60B3">
            <w:pPr>
              <w:tabs>
                <w:tab w:val="left" w:pos="360"/>
              </w:tabs>
              <w:ind w:left="360" w:hanging="360"/>
              <w:rPr>
                <w:color w:val="000000"/>
              </w:rPr>
            </w:pPr>
            <w:r w:rsidRPr="006A2402">
              <w:rPr>
                <w:color w:val="000000"/>
              </w:rPr>
              <w:t>09/26/2019</w:t>
            </w:r>
          </w:p>
        </w:tc>
        <w:tc>
          <w:tcPr>
            <w:tcW w:w="2276" w:type="dxa"/>
          </w:tcPr>
          <w:p w:rsidRPr="007F620E" w:rsidR="004A63A3" w:rsidP="004A63A3" w:rsidRDefault="004A63A3" w14:paraId="3B83D035" w14:textId="1A1E84E4">
            <w:pPr>
              <w:tabs>
                <w:tab w:val="left" w:pos="360"/>
              </w:tabs>
              <w:rPr>
                <w:color w:val="000000"/>
              </w:rPr>
            </w:pPr>
            <w:r>
              <w:rPr>
                <w:color w:val="000000"/>
              </w:rPr>
              <w:t>Verified</w:t>
            </w:r>
          </w:p>
        </w:tc>
      </w:tr>
      <w:tr w:rsidRPr="007F620E" w:rsidR="004A63A3" w:rsidTr="006A2402" w14:paraId="7C183C5E" w14:textId="77777777">
        <w:tc>
          <w:tcPr>
            <w:tcW w:w="4817" w:type="dxa"/>
          </w:tcPr>
          <w:p w:rsidRPr="007F620E" w:rsidR="004A63A3" w:rsidP="004A63A3" w:rsidRDefault="004A63A3"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6A2402" w:rsidR="004A63A3" w:rsidP="004A63A3" w:rsidRDefault="004A63A3" w14:paraId="141EB5CF" w14:textId="77777777">
            <w:pPr>
              <w:tabs>
                <w:tab w:val="left" w:pos="360"/>
              </w:tabs>
              <w:ind w:left="360" w:hanging="360"/>
              <w:rPr>
                <w:color w:val="000000"/>
              </w:rPr>
            </w:pPr>
          </w:p>
        </w:tc>
        <w:tc>
          <w:tcPr>
            <w:tcW w:w="2276" w:type="dxa"/>
          </w:tcPr>
          <w:p w:rsidRPr="007F620E" w:rsidR="004A63A3" w:rsidP="004A63A3" w:rsidRDefault="004A63A3" w14:paraId="79318715" w14:textId="77777777">
            <w:pPr>
              <w:tabs>
                <w:tab w:val="left" w:pos="360"/>
              </w:tabs>
              <w:rPr>
                <w:color w:val="000000"/>
              </w:rPr>
            </w:pPr>
          </w:p>
        </w:tc>
      </w:tr>
      <w:tr w:rsidRPr="007F620E" w:rsidR="004A63A3" w:rsidTr="00F028C8" w14:paraId="4E8D20BF" w14:textId="77777777">
        <w:tc>
          <w:tcPr>
            <w:tcW w:w="7084" w:type="dxa"/>
            <w:gridSpan w:val="2"/>
            <w:tcBorders>
              <w:bottom w:val="single" w:color="auto" w:sz="4" w:space="0"/>
            </w:tcBorders>
          </w:tcPr>
          <w:p w:rsidRPr="007F620E" w:rsidR="004A63A3" w:rsidP="004A63A3" w:rsidRDefault="004A63A3"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color="auto" w:sz="4" w:space="0"/>
            </w:tcBorders>
          </w:tcPr>
          <w:p w:rsidRPr="007F620E" w:rsidR="004A63A3" w:rsidP="004A63A3" w:rsidRDefault="004A63A3" w14:paraId="0F29B839" w14:textId="67647796">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264235" w:rsidTr="006A2402" w14:paraId="3E7938B0" w14:textId="77777777">
        <w:tc>
          <w:tcPr>
            <w:tcW w:w="4817" w:type="dxa"/>
            <w:tcBorders>
              <w:top w:val="single" w:color="auto" w:sz="4" w:space="0"/>
            </w:tcBorders>
          </w:tcPr>
          <w:p w:rsidRPr="007F620E" w:rsidR="00264235" w:rsidP="00264235" w:rsidRDefault="00264235"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67" w:type="dxa"/>
            <w:tcBorders>
              <w:top w:val="single" w:color="auto" w:sz="4" w:space="0"/>
            </w:tcBorders>
          </w:tcPr>
          <w:p w:rsidRPr="006A2402" w:rsidR="00264235" w:rsidP="00264235" w:rsidRDefault="00264235" w14:paraId="7166F318" w14:textId="258D10F5">
            <w:pPr>
              <w:tabs>
                <w:tab w:val="left" w:pos="360"/>
              </w:tabs>
              <w:rPr>
                <w:color w:val="000000"/>
              </w:rPr>
            </w:pPr>
            <w:r w:rsidRPr="006A2402">
              <w:rPr>
                <w:color w:val="000000"/>
              </w:rPr>
              <w:t>D.25-07-013</w:t>
            </w:r>
          </w:p>
        </w:tc>
        <w:tc>
          <w:tcPr>
            <w:tcW w:w="2276" w:type="dxa"/>
            <w:tcBorders>
              <w:top w:val="single" w:color="auto" w:sz="4" w:space="0"/>
            </w:tcBorders>
          </w:tcPr>
          <w:p w:rsidRPr="007F620E" w:rsidR="00264235" w:rsidP="00264235" w:rsidRDefault="00264235" w14:paraId="1588DC54" w14:textId="581821D1">
            <w:pPr>
              <w:tabs>
                <w:tab w:val="left" w:pos="360"/>
              </w:tabs>
              <w:rPr>
                <w:color w:val="000000"/>
              </w:rPr>
            </w:pPr>
            <w:r>
              <w:rPr>
                <w:color w:val="000000"/>
              </w:rPr>
              <w:t>Verified</w:t>
            </w:r>
          </w:p>
        </w:tc>
      </w:tr>
      <w:tr w:rsidRPr="007F620E" w:rsidR="00264235" w:rsidTr="006A2402" w14:paraId="6360DE59" w14:textId="77777777">
        <w:tc>
          <w:tcPr>
            <w:tcW w:w="4817" w:type="dxa"/>
          </w:tcPr>
          <w:p w:rsidRPr="007F620E" w:rsidR="00264235" w:rsidP="00264235" w:rsidRDefault="00264235" w14:paraId="4B809E4A" w14:textId="4BEED0BB">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67" w:type="dxa"/>
          </w:tcPr>
          <w:p w:rsidRPr="006A2402" w:rsidR="00264235" w:rsidP="00264235" w:rsidRDefault="00264235" w14:paraId="20455B5F" w14:textId="4EF795B5">
            <w:pPr>
              <w:tabs>
                <w:tab w:val="left" w:pos="360"/>
              </w:tabs>
              <w:rPr>
                <w:color w:val="000000"/>
              </w:rPr>
            </w:pPr>
            <w:r w:rsidRPr="006A2402">
              <w:rPr>
                <w:color w:val="000000"/>
              </w:rPr>
              <w:t>07/31/2025</w:t>
            </w:r>
          </w:p>
        </w:tc>
        <w:tc>
          <w:tcPr>
            <w:tcW w:w="2276" w:type="dxa"/>
          </w:tcPr>
          <w:p w:rsidRPr="007F620E" w:rsidR="00264235" w:rsidP="00264235" w:rsidRDefault="00264235" w14:paraId="1FCF00DD" w14:textId="30D62DA3">
            <w:pPr>
              <w:tabs>
                <w:tab w:val="left" w:pos="360"/>
              </w:tabs>
              <w:rPr>
                <w:color w:val="000000"/>
              </w:rPr>
            </w:pPr>
            <w:r>
              <w:rPr>
                <w:color w:val="000000"/>
              </w:rPr>
              <w:t>Verified</w:t>
            </w:r>
          </w:p>
        </w:tc>
      </w:tr>
      <w:tr w:rsidRPr="007F620E" w:rsidR="00264235" w:rsidTr="006A2402" w14:paraId="723259E3" w14:textId="77777777">
        <w:tc>
          <w:tcPr>
            <w:tcW w:w="4817" w:type="dxa"/>
          </w:tcPr>
          <w:p w:rsidRPr="007F620E" w:rsidR="00264235" w:rsidP="00264235" w:rsidRDefault="00264235"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67" w:type="dxa"/>
          </w:tcPr>
          <w:p w:rsidRPr="006A2402" w:rsidR="00264235" w:rsidP="00264235" w:rsidRDefault="00264235" w14:paraId="0568B39D" w14:textId="550995B5">
            <w:pPr>
              <w:tabs>
                <w:tab w:val="left" w:pos="360"/>
              </w:tabs>
              <w:rPr>
                <w:color w:val="000000"/>
              </w:rPr>
            </w:pPr>
            <w:r w:rsidRPr="006A2402">
              <w:t>09/03/2025</w:t>
            </w:r>
          </w:p>
        </w:tc>
        <w:tc>
          <w:tcPr>
            <w:tcW w:w="2276" w:type="dxa"/>
          </w:tcPr>
          <w:p w:rsidRPr="007F620E" w:rsidR="00264235" w:rsidP="00264235" w:rsidRDefault="00264235" w14:paraId="1CBF4E7A" w14:textId="23A19079">
            <w:pPr>
              <w:tabs>
                <w:tab w:val="left" w:pos="360"/>
              </w:tabs>
              <w:rPr>
                <w:color w:val="000000"/>
              </w:rPr>
            </w:pPr>
            <w:r>
              <w:rPr>
                <w:color w:val="000000"/>
              </w:rPr>
              <w:t>Verified</w:t>
            </w:r>
          </w:p>
        </w:tc>
      </w:tr>
      <w:tr w:rsidRPr="007F620E" w:rsidR="00264235" w:rsidTr="00F028C8" w14:paraId="406BCA3A" w14:textId="77777777">
        <w:tc>
          <w:tcPr>
            <w:tcW w:w="7084" w:type="dxa"/>
            <w:gridSpan w:val="2"/>
          </w:tcPr>
          <w:p w:rsidRPr="006A2402" w:rsidR="00264235" w:rsidP="00264235" w:rsidRDefault="00264235" w14:paraId="10AF42D1" w14:textId="67695104">
            <w:pPr>
              <w:tabs>
                <w:tab w:val="left" w:pos="360"/>
              </w:tabs>
              <w:ind w:left="360" w:hanging="360"/>
              <w:rPr>
                <w:color w:val="000000"/>
              </w:rPr>
            </w:pPr>
            <w:proofErr w:type="gramStart"/>
            <w:r w:rsidRPr="006A2402">
              <w:rPr>
                <w:color w:val="000000"/>
              </w:rPr>
              <w:t>16.</w:t>
            </w:r>
            <w:r w:rsidRPr="006A2402">
              <w:rPr>
                <w:color w:val="000000"/>
              </w:rPr>
              <w:tab/>
              <w:t>Was</w:t>
            </w:r>
            <w:proofErr w:type="gramEnd"/>
            <w:r w:rsidRPr="006A2402">
              <w:rPr>
                <w:color w:val="000000"/>
              </w:rPr>
              <w:t xml:space="preserve"> the request for compensation timely?</w:t>
            </w:r>
          </w:p>
        </w:tc>
        <w:tc>
          <w:tcPr>
            <w:tcW w:w="2276" w:type="dxa"/>
          </w:tcPr>
          <w:p w:rsidRPr="007F620E" w:rsidR="00264235" w:rsidP="00264235" w:rsidRDefault="00264235" w14:paraId="2EA30E63" w14:textId="484CDE82">
            <w:pPr>
              <w:tabs>
                <w:tab w:val="left" w:pos="360"/>
              </w:tabs>
              <w:rPr>
                <w:color w:val="000000"/>
              </w:rPr>
            </w:pPr>
            <w:r>
              <w:rPr>
                <w:color w:val="000000"/>
              </w:rPr>
              <w:t>Yes</w:t>
            </w:r>
          </w:p>
        </w:tc>
      </w:tr>
    </w:tbl>
    <w:p w:rsidRPr="007F620E" w:rsidR="00A92D0B" w:rsidP="00880855" w:rsidRDefault="00A92D0B" w14:paraId="0068592B" w14:textId="7046171F">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EC77BF" w14:paraId="1C6180A4" w14:textId="77777777">
        <w:trPr>
          <w:trHeight w:val="67"/>
        </w:trPr>
        <w:tc>
          <w:tcPr>
            <w:tcW w:w="860" w:type="dxa"/>
          </w:tcPr>
          <w:p w:rsidRPr="00EC77BF" w:rsidR="003C608A" w:rsidP="007056FC" w:rsidRDefault="00A75949" w14:paraId="4350D384" w14:textId="62AFE6FE">
            <w:pPr>
              <w:tabs>
                <w:tab w:val="left" w:pos="360"/>
              </w:tabs>
              <w:rPr>
                <w:color w:val="000000"/>
              </w:rPr>
            </w:pPr>
            <w:r w:rsidRPr="00EC77BF">
              <w:rPr>
                <w:color w:val="000000"/>
              </w:rPr>
              <w:t>I.A.</w:t>
            </w:r>
          </w:p>
        </w:tc>
        <w:tc>
          <w:tcPr>
            <w:tcW w:w="3759" w:type="dxa"/>
          </w:tcPr>
          <w:p w:rsidRPr="00EC77BF" w:rsidR="003C608A" w:rsidP="007056FC" w:rsidRDefault="009B5AF5" w14:paraId="0ECF4A98" w14:textId="434BEE62">
            <w:pPr>
              <w:tabs>
                <w:tab w:val="left" w:pos="360"/>
              </w:tabs>
              <w:rPr>
                <w:color w:val="000000"/>
              </w:rPr>
            </w:pPr>
            <w:r w:rsidRPr="00EC77BF">
              <w:rPr>
                <w:color w:val="000000"/>
              </w:rPr>
              <w:t>Th</w:t>
            </w:r>
            <w:r w:rsidRPr="00EC77BF" w:rsidR="005C260A">
              <w:rPr>
                <w:color w:val="000000"/>
              </w:rPr>
              <w:t>e</w:t>
            </w:r>
            <w:r w:rsidRPr="00EC77BF">
              <w:rPr>
                <w:color w:val="000000"/>
              </w:rPr>
              <w:t xml:space="preserve"> work</w:t>
            </w:r>
            <w:r w:rsidRPr="00EC77BF" w:rsidR="005C260A">
              <w:rPr>
                <w:color w:val="000000"/>
              </w:rPr>
              <w:t xml:space="preserve"> covered by this </w:t>
            </w:r>
            <w:r w:rsidRPr="00EC77BF" w:rsidR="0069508C">
              <w:rPr>
                <w:color w:val="000000"/>
              </w:rPr>
              <w:t>compensation claim</w:t>
            </w:r>
            <w:r w:rsidRPr="00EC77BF">
              <w:rPr>
                <w:color w:val="000000"/>
              </w:rPr>
              <w:t xml:space="preserve"> consists entirely of A4NR’s response to a PG&amp;E Petition for Modification of </w:t>
            </w:r>
            <w:r w:rsidR="00212FD8">
              <w:rPr>
                <w:color w:val="000000"/>
              </w:rPr>
              <w:br/>
            </w:r>
            <w:r w:rsidRPr="00EC77BF">
              <w:rPr>
                <w:color w:val="000000"/>
              </w:rPr>
              <w:t>D.2</w:t>
            </w:r>
            <w:r w:rsidRPr="00EC77BF" w:rsidR="00945134">
              <w:rPr>
                <w:color w:val="000000"/>
              </w:rPr>
              <w:t>1</w:t>
            </w:r>
            <w:r w:rsidRPr="00EC77BF">
              <w:rPr>
                <w:color w:val="000000"/>
              </w:rPr>
              <w:t>-0</w:t>
            </w:r>
            <w:r w:rsidRPr="00EC77BF" w:rsidR="00945134">
              <w:rPr>
                <w:color w:val="000000"/>
              </w:rPr>
              <w:t>4</w:t>
            </w:r>
            <w:r w:rsidRPr="00EC77BF">
              <w:rPr>
                <w:color w:val="000000"/>
              </w:rPr>
              <w:t>-0</w:t>
            </w:r>
            <w:r w:rsidRPr="00EC77BF" w:rsidR="00945134">
              <w:rPr>
                <w:color w:val="000000"/>
              </w:rPr>
              <w:t>30</w:t>
            </w:r>
            <w:r w:rsidRPr="00EC77BF">
              <w:rPr>
                <w:color w:val="000000"/>
              </w:rPr>
              <w:t xml:space="preserve"> and Opening and Reply Comments on the Proposed Decision </w:t>
            </w:r>
            <w:r w:rsidRPr="00EC77BF" w:rsidR="002A3455">
              <w:rPr>
                <w:color w:val="000000"/>
              </w:rPr>
              <w:t>on PG&amp;E’s Petition.</w:t>
            </w:r>
          </w:p>
        </w:tc>
        <w:tc>
          <w:tcPr>
            <w:tcW w:w="4741" w:type="dxa"/>
          </w:tcPr>
          <w:p w:rsidRPr="00EC77BF" w:rsidR="003C608A" w:rsidP="007056FC" w:rsidRDefault="006A12A0" w14:paraId="416D6250" w14:textId="4E0DBE81">
            <w:pPr>
              <w:tabs>
                <w:tab w:val="left" w:pos="360"/>
              </w:tabs>
              <w:rPr>
                <w:color w:val="000000"/>
              </w:rPr>
            </w:pPr>
            <w:r>
              <w:rPr>
                <w:color w:val="000000"/>
              </w:rPr>
              <w:t>Noted</w:t>
            </w:r>
          </w:p>
        </w:tc>
      </w:tr>
    </w:tbl>
    <w:p w:rsidR="003B6A1B" w:rsidP="0057088A" w:rsidRDefault="00A92D0B" w14:paraId="501B5F3D" w14:textId="4F8FB93B">
      <w:pPr>
        <w:keepNext/>
        <w:spacing w:before="480"/>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5B5B44" w:rsidRDefault="00D075B1" w14:paraId="337CC332" w14:textId="6BAA7922">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CC33AB"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CC33AB" w14:paraId="2E691FFC" w14:textId="77777777">
        <w:tc>
          <w:tcPr>
            <w:tcW w:w="3258" w:type="dxa"/>
          </w:tcPr>
          <w:p w:rsidRPr="00BE731A" w:rsidR="00E25078" w:rsidP="00073262" w:rsidRDefault="00A92D0B" w14:paraId="1B0CC007" w14:textId="08B76A3E">
            <w:pPr>
              <w:rPr>
                <w:color w:val="000000"/>
              </w:rPr>
            </w:pPr>
            <w:r w:rsidRPr="00BE731A">
              <w:rPr>
                <w:color w:val="000000"/>
              </w:rPr>
              <w:t>1.</w:t>
            </w:r>
            <w:r w:rsidRPr="00BE731A" w:rsidR="00E25078">
              <w:rPr>
                <w:color w:val="000000"/>
              </w:rPr>
              <w:t xml:space="preserve"> </w:t>
            </w:r>
            <w:r w:rsidRPr="00BE731A" w:rsidR="002A3455">
              <w:rPr>
                <w:color w:val="000000"/>
              </w:rPr>
              <w:t>A4NR supported the PFM’s requested</w:t>
            </w:r>
            <w:r w:rsidRPr="00BE731A" w:rsidR="00366E56">
              <w:rPr>
                <w:color w:val="000000"/>
              </w:rPr>
              <w:t xml:space="preserve"> </w:t>
            </w:r>
            <w:proofErr w:type="gramStart"/>
            <w:r w:rsidRPr="00BE731A" w:rsidR="00366E56">
              <w:rPr>
                <w:color w:val="000000"/>
              </w:rPr>
              <w:t xml:space="preserve">contribution </w:t>
            </w:r>
            <w:r w:rsidRPr="00BE731A" w:rsidR="002A3455">
              <w:rPr>
                <w:color w:val="000000"/>
              </w:rPr>
              <w:t xml:space="preserve"> deferral</w:t>
            </w:r>
            <w:proofErr w:type="gramEnd"/>
            <w:r w:rsidRPr="00BE731A" w:rsidR="002A3455">
              <w:rPr>
                <w:color w:val="000000"/>
              </w:rPr>
              <w:t xml:space="preserve">, but opposed PG&amp;E’s proposed level of compensation to the Trust as insufficient to avoid prejudice </w:t>
            </w:r>
            <w:proofErr w:type="gramStart"/>
            <w:r w:rsidRPr="00BE731A" w:rsidR="002A3455">
              <w:rPr>
                <w:color w:val="000000"/>
              </w:rPr>
              <w:t>to</w:t>
            </w:r>
            <w:proofErr w:type="gramEnd"/>
            <w:r w:rsidRPr="00BE731A" w:rsidR="002A3455">
              <w:rPr>
                <w:color w:val="000000"/>
              </w:rPr>
              <w:t xml:space="preserve"> the interests of ratepayers. (Response to PFM, p. 1</w:t>
            </w:r>
            <w:r w:rsidRPr="00BE731A" w:rsidR="00C46779">
              <w:rPr>
                <w:color w:val="000000"/>
              </w:rPr>
              <w:t>;</w:t>
            </w:r>
            <w:r w:rsidRPr="00BE731A" w:rsidR="00C46779">
              <w:t xml:space="preserve"> </w:t>
            </w:r>
            <w:r w:rsidRPr="00BE731A" w:rsidR="00C46779">
              <w:rPr>
                <w:color w:val="000000"/>
              </w:rPr>
              <w:t>Opening Comments on PD, pp. 1 – 3; Reply Comments on PD, pp. 1 – 3</w:t>
            </w:r>
            <w:r w:rsidRPr="00BE731A" w:rsidR="002A3455">
              <w:rPr>
                <w:color w:val="000000"/>
              </w:rPr>
              <w:t>)</w:t>
            </w:r>
          </w:p>
        </w:tc>
        <w:tc>
          <w:tcPr>
            <w:tcW w:w="4140" w:type="dxa"/>
          </w:tcPr>
          <w:p w:rsidRPr="00BE731A" w:rsidR="00A92D0B" w:rsidP="00073262" w:rsidRDefault="00471115" w14:paraId="532F95D2" w14:textId="3EBF34E1">
            <w:pPr>
              <w:rPr>
                <w:color w:val="000000"/>
              </w:rPr>
            </w:pPr>
            <w:r w:rsidRPr="00BE731A">
              <w:rPr>
                <w:color w:val="000000"/>
              </w:rPr>
              <w:t xml:space="preserve">After detailing at pp. 8 – 9 the concerns expressed in A4NR’s Response to the PFM, D.25-07-013 adopts multiple findings about the insufficiency of the PG&amp;E-proposed compensation.  </w:t>
            </w:r>
            <w:r w:rsidRPr="00BE731A">
              <w:rPr>
                <w:i/>
                <w:iCs/>
                <w:color w:val="000000"/>
              </w:rPr>
              <w:t xml:space="preserve">See </w:t>
            </w:r>
            <w:r w:rsidRPr="00BE731A">
              <w:rPr>
                <w:color w:val="000000"/>
              </w:rPr>
              <w:t xml:space="preserve">FOF </w:t>
            </w:r>
            <w:r w:rsidRPr="00BE731A" w:rsidR="000E65E3">
              <w:rPr>
                <w:color w:val="000000"/>
              </w:rPr>
              <w:t>#23, #</w:t>
            </w:r>
            <w:proofErr w:type="gramStart"/>
            <w:r w:rsidRPr="00BE731A" w:rsidR="000E65E3">
              <w:rPr>
                <w:color w:val="000000"/>
              </w:rPr>
              <w:t>25, #26, #27, #28, #31, #32, #34, #</w:t>
            </w:r>
            <w:proofErr w:type="gramEnd"/>
            <w:r w:rsidRPr="00BE731A" w:rsidR="000E65E3">
              <w:rPr>
                <w:color w:val="000000"/>
              </w:rPr>
              <w:t>37, COL #8.</w:t>
            </w:r>
          </w:p>
        </w:tc>
        <w:tc>
          <w:tcPr>
            <w:tcW w:w="2340" w:type="dxa"/>
          </w:tcPr>
          <w:p w:rsidRPr="007F620E" w:rsidR="00A92D0B" w:rsidP="00073262" w:rsidRDefault="001859A7" w14:paraId="63938BDA" w14:textId="78454D87">
            <w:pPr>
              <w:rPr>
                <w:color w:val="000000"/>
              </w:rPr>
            </w:pPr>
            <w:r>
              <w:rPr>
                <w:color w:val="000000"/>
              </w:rPr>
              <w:t>Verified</w:t>
            </w:r>
          </w:p>
        </w:tc>
      </w:tr>
      <w:tr w:rsidRPr="007F620E" w:rsidR="00A92D0B" w:rsidTr="00CC33AB" w14:paraId="4AAA05AE" w14:textId="77777777">
        <w:tc>
          <w:tcPr>
            <w:tcW w:w="3258" w:type="dxa"/>
          </w:tcPr>
          <w:p w:rsidRPr="00BE731A" w:rsidR="00E25078" w:rsidP="00073262" w:rsidRDefault="00A92D0B" w14:paraId="11FCCEB5" w14:textId="34860E29">
            <w:pPr>
              <w:rPr>
                <w:color w:val="000000"/>
              </w:rPr>
            </w:pPr>
            <w:r w:rsidRPr="00BE731A">
              <w:rPr>
                <w:color w:val="000000"/>
              </w:rPr>
              <w:t>2.</w:t>
            </w:r>
            <w:r w:rsidRPr="00BE731A" w:rsidR="00CB74C4">
              <w:rPr>
                <w:color w:val="000000"/>
              </w:rPr>
              <w:t xml:space="preserve"> A4NR challenged PG&amp;E’s claimed nexus between the PFM and the proposed Pacific Generation transaction at issue in A.22-09-018. (Response to PFM, pp. 1 – 3) </w:t>
            </w:r>
            <w:r w:rsidRPr="00BE731A" w:rsidR="00E25078">
              <w:rPr>
                <w:color w:val="000000"/>
              </w:rPr>
              <w:t xml:space="preserve"> </w:t>
            </w:r>
          </w:p>
        </w:tc>
        <w:tc>
          <w:tcPr>
            <w:tcW w:w="4140" w:type="dxa"/>
          </w:tcPr>
          <w:p w:rsidRPr="00BE731A" w:rsidR="00A92D0B" w:rsidP="00073262" w:rsidRDefault="00945134" w14:paraId="2A92A629" w14:textId="1109C723">
            <w:pPr>
              <w:rPr>
                <w:color w:val="000000"/>
              </w:rPr>
            </w:pPr>
            <w:r w:rsidRPr="00BE731A">
              <w:rPr>
                <w:color w:val="000000"/>
              </w:rPr>
              <w:t xml:space="preserve">D.25-07-013 at 16: </w:t>
            </w:r>
            <w:r w:rsidRPr="00BE731A" w:rsidR="0070293A">
              <w:rPr>
                <w:color w:val="000000"/>
              </w:rPr>
              <w:t>“Though PG&amp;E’s explanation lacks detail, we agree with A4NR that in this case we do not need to insert ourselves into PG&amp;E’s capital markets strategy and require further exposition regarding the timing of the petition.” (</w:t>
            </w:r>
            <w:r w:rsidRPr="00BE731A" w:rsidR="0070293A">
              <w:rPr>
                <w:i/>
                <w:iCs/>
                <w:color w:val="000000"/>
              </w:rPr>
              <w:t xml:space="preserve">See </w:t>
            </w:r>
            <w:r w:rsidRPr="00BE731A" w:rsidR="0070293A">
              <w:rPr>
                <w:color w:val="000000"/>
              </w:rPr>
              <w:t xml:space="preserve">also </w:t>
            </w:r>
            <w:r w:rsidRPr="00BE731A" w:rsidR="00471115">
              <w:rPr>
                <w:color w:val="000000"/>
              </w:rPr>
              <w:t xml:space="preserve">FOF # 14, </w:t>
            </w:r>
            <w:r w:rsidRPr="00BE731A" w:rsidR="0070293A">
              <w:rPr>
                <w:color w:val="000000"/>
              </w:rPr>
              <w:t>COL #5)</w:t>
            </w:r>
          </w:p>
        </w:tc>
        <w:tc>
          <w:tcPr>
            <w:tcW w:w="2340" w:type="dxa"/>
          </w:tcPr>
          <w:p w:rsidRPr="007F620E" w:rsidR="00A92D0B" w:rsidP="00073262" w:rsidRDefault="009A2DAD" w14:paraId="56FD3368" w14:textId="16EB4347">
            <w:pPr>
              <w:rPr>
                <w:color w:val="000000"/>
              </w:rPr>
            </w:pPr>
            <w:r>
              <w:rPr>
                <w:color w:val="000000"/>
              </w:rPr>
              <w:t>Verified</w:t>
            </w:r>
          </w:p>
        </w:tc>
      </w:tr>
      <w:tr w:rsidRPr="007F620E" w:rsidR="008F1E01" w:rsidTr="00CC33AB" w14:paraId="3DEC4E48" w14:textId="77777777">
        <w:tc>
          <w:tcPr>
            <w:tcW w:w="3258" w:type="dxa"/>
          </w:tcPr>
          <w:p w:rsidRPr="00BE731A" w:rsidR="008F1E01" w:rsidP="00073262" w:rsidRDefault="00795EDF" w14:paraId="2EF03105" w14:textId="35BEB8B6">
            <w:pPr>
              <w:rPr>
                <w:color w:val="000000"/>
              </w:rPr>
            </w:pPr>
            <w:r w:rsidRPr="00BE731A">
              <w:rPr>
                <w:color w:val="000000"/>
              </w:rPr>
              <w:t>3</w:t>
            </w:r>
            <w:r w:rsidRPr="00BE731A" w:rsidR="008F1E01">
              <w:rPr>
                <w:color w:val="000000"/>
              </w:rPr>
              <w:t>. A4NR recommended that PG&amp;E’s compensation to the Trust should reflect the equity</w:t>
            </w:r>
            <w:r w:rsidRPr="00BE731A" w:rsidR="00F46FAC">
              <w:rPr>
                <w:color w:val="000000"/>
              </w:rPr>
              <w:t xml:space="preserve"> attributes of the deferral.  (Response to PFM, pp. 4 – 5</w:t>
            </w:r>
            <w:r w:rsidRPr="00BE731A" w:rsidR="00C46779">
              <w:rPr>
                <w:color w:val="000000"/>
              </w:rPr>
              <w:t>;</w:t>
            </w:r>
            <w:r w:rsidRPr="00BE731A" w:rsidR="00F46FAC">
              <w:rPr>
                <w:color w:val="000000"/>
              </w:rPr>
              <w:t xml:space="preserve"> Opening Comments on PD, </w:t>
            </w:r>
            <w:r w:rsidRPr="00BE731A" w:rsidR="00C46779">
              <w:rPr>
                <w:color w:val="000000"/>
              </w:rPr>
              <w:t>pp. 1 – 3;</w:t>
            </w:r>
            <w:r w:rsidRPr="00BE731A" w:rsidR="00F46FAC">
              <w:rPr>
                <w:color w:val="000000"/>
              </w:rPr>
              <w:t xml:space="preserve"> </w:t>
            </w:r>
            <w:r w:rsidRPr="00BE731A" w:rsidR="00C46779">
              <w:rPr>
                <w:color w:val="000000"/>
              </w:rPr>
              <w:t xml:space="preserve">Reply Comments on PD, </w:t>
            </w:r>
            <w:r w:rsidRPr="00BE731A" w:rsidR="00C46779">
              <w:rPr>
                <w:color w:val="000000"/>
              </w:rPr>
              <w:lastRenderedPageBreak/>
              <w:t>pp. 1 – 3)</w:t>
            </w:r>
            <w:r w:rsidRPr="00BE731A" w:rsidR="00F46FAC">
              <w:rPr>
                <w:color w:val="000000"/>
              </w:rPr>
              <w:t xml:space="preserve"> </w:t>
            </w:r>
            <w:r w:rsidRPr="00BE731A">
              <w:rPr>
                <w:color w:val="000000"/>
              </w:rPr>
              <w:t xml:space="preserve">Over the course of the one-year deferral period, this enhanced compensation would have raised PG&amp;E’s $13.76 million proposal to $68.87 million. (Reply Comments on PD, p. </w:t>
            </w:r>
            <w:r w:rsidRPr="00BE731A" w:rsidR="00B67DC6">
              <w:rPr>
                <w:color w:val="000000"/>
              </w:rPr>
              <w:t>1)</w:t>
            </w:r>
          </w:p>
        </w:tc>
        <w:tc>
          <w:tcPr>
            <w:tcW w:w="4140" w:type="dxa"/>
          </w:tcPr>
          <w:p w:rsidRPr="00BE731A" w:rsidR="008F1E01" w:rsidP="00073262" w:rsidRDefault="00B67DC6" w14:paraId="4F954CF4" w14:textId="72E6B2B6">
            <w:pPr>
              <w:rPr>
                <w:color w:val="000000"/>
              </w:rPr>
            </w:pPr>
            <w:r w:rsidRPr="00BE731A">
              <w:rPr>
                <w:color w:val="000000"/>
              </w:rPr>
              <w:lastRenderedPageBreak/>
              <w:t xml:space="preserve">D.25-07-013 at p. 23: “We are persuaded that the modifications proposed by A4NR provide a reasonable approach, but we are concerned that calculating the interest payment requirement purely on the cost of equity does not fully align with the record in </w:t>
            </w:r>
            <w:r w:rsidRPr="00BE731A">
              <w:rPr>
                <w:color w:val="000000"/>
              </w:rPr>
              <w:lastRenderedPageBreak/>
              <w:t>this case with respect to investment return…As PG&amp;E’s rate of return is a mix of its return on equity and return on debt it more closely aligns with the projections that we relied upon and thus provides a more reasonable result than the return on equity figure that A4NR proposes.”  As calculated in A4NR’s Reply Comments on the PD, this result increases PG&amp;</w:t>
            </w:r>
            <w:proofErr w:type="gramStart"/>
            <w:r w:rsidRPr="00BE731A">
              <w:rPr>
                <w:color w:val="000000"/>
              </w:rPr>
              <w:t>E’s</w:t>
            </w:r>
            <w:proofErr w:type="gramEnd"/>
            <w:r w:rsidRPr="00BE731A">
              <w:rPr>
                <w:color w:val="000000"/>
              </w:rPr>
              <w:t xml:space="preserve"> proposed $13.76 million to a required </w:t>
            </w:r>
            <w:r w:rsidRPr="00BE731A" w:rsidR="00D6089D">
              <w:rPr>
                <w:color w:val="000000"/>
              </w:rPr>
              <w:t>$50.48 million.</w:t>
            </w:r>
            <w:r w:rsidRPr="00BE731A">
              <w:rPr>
                <w:color w:val="000000"/>
              </w:rPr>
              <w:t xml:space="preserve"> </w:t>
            </w:r>
          </w:p>
        </w:tc>
        <w:tc>
          <w:tcPr>
            <w:tcW w:w="2340" w:type="dxa"/>
          </w:tcPr>
          <w:p w:rsidRPr="007F620E" w:rsidR="008F1E01" w:rsidP="00073262" w:rsidRDefault="001D5F5B" w14:paraId="2DB61910" w14:textId="71B638B6">
            <w:pPr>
              <w:rPr>
                <w:color w:val="000000"/>
              </w:rPr>
            </w:pPr>
            <w:r>
              <w:rPr>
                <w:color w:val="000000"/>
              </w:rPr>
              <w:lastRenderedPageBreak/>
              <w:t>Verified</w:t>
            </w:r>
          </w:p>
        </w:tc>
      </w:tr>
      <w:tr w:rsidRPr="007F620E" w:rsidR="00F46FAC" w:rsidTr="00CC33AB" w14:paraId="0A0DD51C" w14:textId="77777777">
        <w:tc>
          <w:tcPr>
            <w:tcW w:w="3258" w:type="dxa"/>
          </w:tcPr>
          <w:p w:rsidRPr="00BE731A" w:rsidR="00F46FAC" w:rsidP="00073262" w:rsidRDefault="00795EDF" w14:paraId="481347C3" w14:textId="08778CC8">
            <w:pPr>
              <w:rPr>
                <w:color w:val="000000"/>
              </w:rPr>
            </w:pPr>
            <w:r w:rsidRPr="00BE731A">
              <w:rPr>
                <w:color w:val="000000"/>
              </w:rPr>
              <w:t>4</w:t>
            </w:r>
            <w:r w:rsidRPr="00BE731A" w:rsidR="00F46FAC">
              <w:rPr>
                <w:color w:val="000000"/>
              </w:rPr>
              <w:t>. A4NR argued that, during the deferral period, PG&amp;E had simply substituted another of its promises in place of investable cash as security for ratepayers. (Response to PFM, p. 5)</w:t>
            </w:r>
          </w:p>
        </w:tc>
        <w:tc>
          <w:tcPr>
            <w:tcW w:w="4140" w:type="dxa"/>
          </w:tcPr>
          <w:p w:rsidRPr="00BE731A" w:rsidR="00F46FAC" w:rsidP="00073262" w:rsidRDefault="00945134" w14:paraId="26B4E998" w14:textId="167A7FDB">
            <w:pPr>
              <w:rPr>
                <w:color w:val="000000"/>
              </w:rPr>
            </w:pPr>
            <w:r w:rsidRPr="00BE731A">
              <w:rPr>
                <w:color w:val="000000"/>
              </w:rPr>
              <w:t xml:space="preserve">D.25-07-013 at p. 24: “we agree with A4NR that we are now reliant on a new PG&amp;E promise to contribute $650 million over a two-year period in order for the CCT to cover the debt service on $7.5 billion in Recovery Bonds and remain </w:t>
            </w:r>
            <w:proofErr w:type="gramStart"/>
            <w:r w:rsidRPr="00BE731A">
              <w:rPr>
                <w:color w:val="000000"/>
              </w:rPr>
              <w:t>neutral,</w:t>
            </w:r>
            <w:proofErr w:type="gramEnd"/>
            <w:r w:rsidRPr="00BE731A">
              <w:rPr>
                <w:color w:val="000000"/>
              </w:rPr>
              <w:t xml:space="preserve"> on average to ratepayers for the entire 30-year period.”</w:t>
            </w:r>
          </w:p>
        </w:tc>
        <w:tc>
          <w:tcPr>
            <w:tcW w:w="2340" w:type="dxa"/>
          </w:tcPr>
          <w:p w:rsidRPr="007F620E" w:rsidR="00F46FAC" w:rsidP="00073262" w:rsidRDefault="00F46FAC" w14:paraId="05723953" w14:textId="77777777">
            <w:pPr>
              <w:rPr>
                <w:color w:val="000000"/>
              </w:rPr>
            </w:pP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115DBF"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115DBF" w14:paraId="24A12BE1" w14:textId="77777777">
        <w:tc>
          <w:tcPr>
            <w:tcW w:w="6048" w:type="dxa"/>
          </w:tcPr>
          <w:p w:rsidRPr="00EC77BF" w:rsidR="00A92D0B" w:rsidP="00073262" w:rsidRDefault="00A92D0B" w14:paraId="6915FAF6" w14:textId="7E2F1F34">
            <w:pPr>
              <w:keepLines/>
              <w:ind w:left="360" w:hanging="360"/>
              <w:rPr>
                <w:bCs/>
                <w:color w:val="000000"/>
              </w:rPr>
            </w:pPr>
            <w:r w:rsidRPr="00EC77BF">
              <w:rPr>
                <w:bCs/>
                <w:color w:val="000000"/>
              </w:rPr>
              <w:t>a.</w:t>
            </w:r>
            <w:r w:rsidRPr="00EC77BF">
              <w:rPr>
                <w:bCs/>
                <w:color w:val="000000"/>
              </w:rPr>
              <w:tab/>
            </w:r>
            <w:r w:rsidRPr="00EC77BF">
              <w:rPr>
                <w:bCs/>
              </w:rPr>
              <w:t xml:space="preserve">Was the </w:t>
            </w:r>
            <w:r w:rsidRPr="00EC77BF" w:rsidR="009E48E4">
              <w:rPr>
                <w:bCs/>
                <w:color w:val="000000"/>
                <w:sz w:val="22"/>
                <w:szCs w:val="22"/>
              </w:rPr>
              <w:t>Public Advocate</w:t>
            </w:r>
            <w:r w:rsidRPr="00EC77BF" w:rsidR="00621A7C">
              <w:rPr>
                <w:bCs/>
                <w:color w:val="000000"/>
                <w:sz w:val="22"/>
                <w:szCs w:val="22"/>
              </w:rPr>
              <w:t>’</w:t>
            </w:r>
            <w:r w:rsidRPr="00EC77BF" w:rsidR="009E48E4">
              <w:rPr>
                <w:bCs/>
                <w:color w:val="000000"/>
                <w:sz w:val="22"/>
                <w:szCs w:val="22"/>
              </w:rPr>
              <w:t>s Office of the Public Utilities Commission</w:t>
            </w:r>
            <w:r w:rsidRPr="00EC77BF" w:rsidR="009E48E4">
              <w:rPr>
                <w:bCs/>
              </w:rPr>
              <w:t xml:space="preserve"> </w:t>
            </w:r>
            <w:r w:rsidRPr="00EC77BF">
              <w:rPr>
                <w:bCs/>
                <w:color w:val="000000"/>
                <w:sz w:val="22"/>
                <w:szCs w:val="22"/>
              </w:rPr>
              <w:t>(</w:t>
            </w:r>
            <w:r w:rsidRPr="00EC77BF" w:rsidR="00B55D78">
              <w:rPr>
                <w:bCs/>
                <w:color w:val="000000"/>
                <w:sz w:val="22"/>
                <w:szCs w:val="22"/>
              </w:rPr>
              <w:t>Cal Advocates</w:t>
            </w:r>
            <w:r w:rsidRPr="00EC77BF">
              <w:rPr>
                <w:bCs/>
              </w:rPr>
              <w:t>) a party to the proceeding</w:t>
            </w:r>
            <w:r w:rsidRPr="00EC77BF">
              <w:rPr>
                <w:bCs/>
                <w:color w:val="000000"/>
              </w:rPr>
              <w:t>?</w:t>
            </w:r>
          </w:p>
        </w:tc>
        <w:tc>
          <w:tcPr>
            <w:tcW w:w="1710" w:type="dxa"/>
          </w:tcPr>
          <w:p w:rsidRPr="00EC77BF" w:rsidR="00A92D0B" w:rsidP="00073262" w:rsidRDefault="00D6089D" w14:paraId="0B49A7C8" w14:textId="5ADC923F">
            <w:pPr>
              <w:keepNext/>
              <w:keepLines/>
              <w:rPr>
                <w:bCs/>
                <w:color w:val="000000"/>
              </w:rPr>
            </w:pPr>
            <w:r w:rsidRPr="00EC77BF">
              <w:rPr>
                <w:bCs/>
                <w:color w:val="000000"/>
              </w:rPr>
              <w:t>Not the PFM portion of the proceeding.</w:t>
            </w:r>
          </w:p>
        </w:tc>
        <w:tc>
          <w:tcPr>
            <w:tcW w:w="1980" w:type="dxa"/>
          </w:tcPr>
          <w:p w:rsidRPr="00EC77BF" w:rsidR="00A92D0B" w:rsidP="00073262" w:rsidRDefault="000B34EE" w14:paraId="23B6532A" w14:textId="51AC8E9E">
            <w:pPr>
              <w:keepNext/>
              <w:keepLines/>
              <w:rPr>
                <w:bCs/>
                <w:color w:val="000000"/>
              </w:rPr>
            </w:pPr>
            <w:r>
              <w:rPr>
                <w:bCs/>
                <w:color w:val="000000"/>
              </w:rPr>
              <w:t xml:space="preserve">Cal Advocates was a party </w:t>
            </w:r>
            <w:proofErr w:type="gramStart"/>
            <w:r>
              <w:rPr>
                <w:bCs/>
                <w:color w:val="000000"/>
              </w:rPr>
              <w:t>to the</w:t>
            </w:r>
            <w:proofErr w:type="gramEnd"/>
            <w:r>
              <w:rPr>
                <w:bCs/>
                <w:color w:val="000000"/>
              </w:rPr>
              <w:t xml:space="preserve"> </w:t>
            </w:r>
            <w:proofErr w:type="gramStart"/>
            <w:r>
              <w:rPr>
                <w:bCs/>
                <w:color w:val="000000"/>
              </w:rPr>
              <w:t>proceeding</w:t>
            </w:r>
            <w:proofErr w:type="gramEnd"/>
            <w:r>
              <w:rPr>
                <w:bCs/>
                <w:color w:val="000000"/>
              </w:rPr>
              <w:t>, but they did not respond</w:t>
            </w:r>
            <w:r w:rsidR="003337B6">
              <w:rPr>
                <w:bCs/>
                <w:color w:val="000000"/>
              </w:rPr>
              <w:t xml:space="preserve"> to PG&amp;E’s PFM. </w:t>
            </w:r>
          </w:p>
        </w:tc>
      </w:tr>
      <w:tr w:rsidRPr="007F620E" w:rsidR="00A92D0B" w:rsidTr="00115DBF" w14:paraId="3317BD71" w14:textId="77777777">
        <w:tc>
          <w:tcPr>
            <w:tcW w:w="6048" w:type="dxa"/>
          </w:tcPr>
          <w:p w:rsidRPr="00EC77BF" w:rsidR="00A92D0B" w:rsidP="00073262" w:rsidRDefault="00A92D0B" w14:paraId="561D245D" w14:textId="77777777">
            <w:pPr>
              <w:tabs>
                <w:tab w:val="left" w:pos="360"/>
              </w:tabs>
              <w:ind w:left="360" w:hanging="360"/>
              <w:rPr>
                <w:bCs/>
                <w:color w:val="000000"/>
              </w:rPr>
            </w:pPr>
            <w:r w:rsidRPr="00EC77BF">
              <w:rPr>
                <w:bCs/>
                <w:color w:val="000000"/>
              </w:rPr>
              <w:t>b.</w:t>
            </w:r>
            <w:r w:rsidRPr="00EC77BF">
              <w:rPr>
                <w:bCs/>
                <w:color w:val="000000"/>
              </w:rPr>
              <w:tab/>
              <w:t xml:space="preserve">Were there other parties to </w:t>
            </w:r>
            <w:proofErr w:type="gramStart"/>
            <w:r w:rsidRPr="00EC77BF">
              <w:rPr>
                <w:bCs/>
                <w:color w:val="000000"/>
              </w:rPr>
              <w:t>the proceeding</w:t>
            </w:r>
            <w:proofErr w:type="gramEnd"/>
            <w:r w:rsidRPr="00EC77BF">
              <w:rPr>
                <w:bCs/>
                <w:color w:val="000000"/>
              </w:rPr>
              <w:t xml:space="preserve"> with positions </w:t>
            </w:r>
            <w:proofErr w:type="gramStart"/>
            <w:r w:rsidRPr="00EC77BF">
              <w:rPr>
                <w:bCs/>
                <w:color w:val="000000"/>
              </w:rPr>
              <w:t>similar to</w:t>
            </w:r>
            <w:proofErr w:type="gramEnd"/>
            <w:r w:rsidRPr="00EC77BF">
              <w:rPr>
                <w:bCs/>
                <w:color w:val="000000"/>
              </w:rPr>
              <w:t xml:space="preserve"> yours? </w:t>
            </w:r>
          </w:p>
        </w:tc>
        <w:tc>
          <w:tcPr>
            <w:tcW w:w="1710" w:type="dxa"/>
          </w:tcPr>
          <w:p w:rsidRPr="00EC77BF" w:rsidR="00A92D0B" w:rsidP="00073262" w:rsidRDefault="001F431A" w14:paraId="3708E485" w14:textId="1E6137B4">
            <w:pPr>
              <w:rPr>
                <w:bCs/>
                <w:color w:val="000000"/>
              </w:rPr>
            </w:pPr>
            <w:r w:rsidRPr="00EC77BF">
              <w:rPr>
                <w:bCs/>
                <w:color w:val="000000"/>
              </w:rPr>
              <w:t xml:space="preserve">No, TURN opposed the PFM and demanded a formal PG&amp;E guarantee against </w:t>
            </w:r>
            <w:r w:rsidRPr="00EC77BF" w:rsidR="00946210">
              <w:rPr>
                <w:bCs/>
                <w:color w:val="000000"/>
              </w:rPr>
              <w:t xml:space="preserve">any </w:t>
            </w:r>
            <w:r w:rsidRPr="00EC77BF">
              <w:rPr>
                <w:bCs/>
                <w:color w:val="000000"/>
              </w:rPr>
              <w:t>future Trust shortfalls.</w:t>
            </w:r>
          </w:p>
        </w:tc>
        <w:tc>
          <w:tcPr>
            <w:tcW w:w="1980" w:type="dxa"/>
          </w:tcPr>
          <w:p w:rsidRPr="00EC77BF" w:rsidR="00A92D0B" w:rsidP="00073262" w:rsidRDefault="004C04D7" w14:paraId="6B3388E6" w14:textId="2336705F">
            <w:pPr>
              <w:rPr>
                <w:bCs/>
                <w:color w:val="000000"/>
              </w:rPr>
            </w:pPr>
            <w:r w:rsidRPr="004C04D7">
              <w:rPr>
                <w:bCs/>
                <w:color w:val="000000"/>
              </w:rPr>
              <w:t>Both TURN and A4NR proposed different potential modifications to address the issues raised in PG&amp;E’s PFM.</w:t>
            </w:r>
          </w:p>
        </w:tc>
      </w:tr>
      <w:tr w:rsidRPr="007F620E" w:rsidR="00A92D0B" w:rsidTr="00115DBF" w14:paraId="0A51B7D4" w14:textId="77777777">
        <w:tc>
          <w:tcPr>
            <w:tcW w:w="7758" w:type="dxa"/>
            <w:gridSpan w:val="2"/>
          </w:tcPr>
          <w:p w:rsidRPr="00EC77BF" w:rsidR="00A92D0B" w:rsidP="00073262" w:rsidRDefault="00A92D0B" w14:paraId="30CB6275" w14:textId="7D63B4F2">
            <w:pPr>
              <w:ind w:left="360" w:hanging="360"/>
              <w:rPr>
                <w:bCs/>
                <w:color w:val="000000"/>
              </w:rPr>
            </w:pPr>
            <w:proofErr w:type="gramStart"/>
            <w:r w:rsidRPr="00EC77BF">
              <w:rPr>
                <w:bCs/>
                <w:color w:val="000000"/>
              </w:rPr>
              <w:t>c.</w:t>
            </w:r>
            <w:r w:rsidRPr="00EC77BF">
              <w:rPr>
                <w:bCs/>
                <w:color w:val="000000"/>
              </w:rPr>
              <w:tab/>
              <w:t>If</w:t>
            </w:r>
            <w:proofErr w:type="gramEnd"/>
            <w:r w:rsidRPr="00EC77BF">
              <w:rPr>
                <w:bCs/>
                <w:color w:val="000000"/>
              </w:rPr>
              <w:t xml:space="preserve"> so, provide name of other parties:</w:t>
            </w:r>
            <w:r w:rsidRPr="00EC77BF" w:rsidR="00E25078">
              <w:rPr>
                <w:bCs/>
                <w:color w:val="000000"/>
              </w:rPr>
              <w:t xml:space="preserve"> </w:t>
            </w:r>
          </w:p>
          <w:p w:rsidRPr="00EC77BF" w:rsidR="00691528" w:rsidP="00073262" w:rsidRDefault="00691528" w14:paraId="058CE425" w14:textId="77777777">
            <w:pPr>
              <w:ind w:left="360" w:hanging="360"/>
              <w:rPr>
                <w:bCs/>
                <w:color w:val="000000"/>
              </w:rPr>
            </w:pPr>
          </w:p>
          <w:p w:rsidRPr="00EC77BF" w:rsidR="00A92D0B" w:rsidP="00073262" w:rsidRDefault="00A92D0B" w14:paraId="0919176B" w14:textId="77777777">
            <w:pPr>
              <w:ind w:left="360" w:hanging="360"/>
              <w:rPr>
                <w:bCs/>
                <w:color w:val="000000"/>
              </w:rPr>
            </w:pPr>
          </w:p>
        </w:tc>
        <w:tc>
          <w:tcPr>
            <w:tcW w:w="1980" w:type="dxa"/>
          </w:tcPr>
          <w:p w:rsidRPr="00EC77BF" w:rsidR="00A92D0B" w:rsidP="00073262" w:rsidRDefault="00221DD3" w14:paraId="22A40B49" w14:textId="752000D3">
            <w:pPr>
              <w:rPr>
                <w:bCs/>
                <w:color w:val="000000"/>
              </w:rPr>
            </w:pPr>
            <w:r>
              <w:rPr>
                <w:bCs/>
                <w:color w:val="000000"/>
              </w:rPr>
              <w:lastRenderedPageBreak/>
              <w:t>N/A</w:t>
            </w:r>
          </w:p>
        </w:tc>
      </w:tr>
      <w:tr w:rsidRPr="007F620E" w:rsidR="00ED5AE6" w:rsidTr="00115DBF" w14:paraId="744830F5" w14:textId="77777777">
        <w:trPr>
          <w:trHeight w:val="976"/>
        </w:trPr>
        <w:tc>
          <w:tcPr>
            <w:tcW w:w="7758" w:type="dxa"/>
            <w:gridSpan w:val="2"/>
          </w:tcPr>
          <w:p w:rsidRPr="00EC77BF" w:rsidR="00ED5AE6" w:rsidP="00ED5AE6" w:rsidRDefault="00ED5AE6" w14:paraId="7C05FE5A" w14:textId="7521972E">
            <w:pPr>
              <w:tabs>
                <w:tab w:val="left" w:pos="360"/>
              </w:tabs>
              <w:ind w:left="360" w:hanging="360"/>
              <w:rPr>
                <w:bCs/>
                <w:color w:val="000000"/>
              </w:rPr>
            </w:pPr>
            <w:r w:rsidRPr="00EC77BF">
              <w:rPr>
                <w:bCs/>
                <w:color w:val="000000"/>
              </w:rPr>
              <w:t>d.</w:t>
            </w:r>
            <w:r w:rsidRPr="00EC77BF">
              <w:rPr>
                <w:bCs/>
                <w:color w:val="000000"/>
              </w:rPr>
              <w:tab/>
              <w:t xml:space="preserve">Intervenor’s claim of non-duplication: </w:t>
            </w:r>
          </w:p>
          <w:p w:rsidRPr="00EC77BF" w:rsidR="00ED5AE6" w:rsidP="00ED5AE6" w:rsidRDefault="00ED5AE6" w14:paraId="0CFBC7B2" w14:textId="77777777">
            <w:pPr>
              <w:tabs>
                <w:tab w:val="left" w:pos="360"/>
              </w:tabs>
              <w:ind w:left="360" w:hanging="360"/>
              <w:rPr>
                <w:bCs/>
                <w:color w:val="000000"/>
              </w:rPr>
            </w:pPr>
          </w:p>
          <w:p w:rsidRPr="00EC77BF" w:rsidR="00ED5AE6" w:rsidP="00ED5AE6" w:rsidRDefault="00ED5AE6" w14:paraId="3228BB07" w14:textId="77777777">
            <w:pPr>
              <w:tabs>
                <w:tab w:val="left" w:pos="360"/>
              </w:tabs>
              <w:ind w:left="360" w:hanging="360"/>
              <w:rPr>
                <w:bCs/>
                <w:color w:val="000000"/>
              </w:rPr>
            </w:pPr>
          </w:p>
        </w:tc>
        <w:tc>
          <w:tcPr>
            <w:tcW w:w="1980" w:type="dxa"/>
          </w:tcPr>
          <w:p w:rsidRPr="00EC77BF" w:rsidR="00ED5AE6" w:rsidP="00CE008A" w:rsidRDefault="000421A2" w14:paraId="5F9BBA55" w14:textId="39C37109">
            <w:pPr>
              <w:tabs>
                <w:tab w:val="left" w:pos="360"/>
              </w:tabs>
              <w:rPr>
                <w:bCs/>
                <w:color w:val="000000"/>
              </w:rPr>
            </w:pPr>
            <w:r>
              <w:rPr>
                <w:bCs/>
                <w:color w:val="000000"/>
              </w:rPr>
              <w:t>TURN and A4NR both responded to the PFM and did not find PG&amp;E’s proposal sufficient</w:t>
            </w:r>
            <w:r w:rsidR="00191856">
              <w:rPr>
                <w:bCs/>
                <w:color w:val="000000"/>
              </w:rPr>
              <w:t xml:space="preserve">. TURN urged the Commission to reject the PFM unless </w:t>
            </w:r>
            <w:r w:rsidR="00115DBF">
              <w:rPr>
                <w:bCs/>
                <w:color w:val="000000"/>
              </w:rPr>
              <w:t>it enforced a guarantee that</w:t>
            </w:r>
            <w:r w:rsidR="00454111">
              <w:rPr>
                <w:bCs/>
                <w:color w:val="000000"/>
              </w:rPr>
              <w:t xml:space="preserve"> ratepayers would not be held responsible for any underfunding of the Trust.</w:t>
            </w:r>
            <w:r w:rsidR="00B97FF2">
              <w:rPr>
                <w:bCs/>
                <w:color w:val="000000"/>
              </w:rPr>
              <w:t xml:space="preserve"> A4NR </w:t>
            </w:r>
            <w:r w:rsidRPr="00EC77BF" w:rsidR="00B97FF2">
              <w:rPr>
                <w:color w:val="000000"/>
              </w:rPr>
              <w:t xml:space="preserve">supported the PFM’s requested </w:t>
            </w:r>
            <w:r w:rsidRPr="00EC77BF" w:rsidR="00BE731A">
              <w:rPr>
                <w:color w:val="000000"/>
              </w:rPr>
              <w:t xml:space="preserve">contribution </w:t>
            </w:r>
            <w:proofErr w:type="gramStart"/>
            <w:r w:rsidRPr="00EC77BF" w:rsidR="00BE731A">
              <w:rPr>
                <w:color w:val="000000"/>
              </w:rPr>
              <w:t>deferral</w:t>
            </w:r>
            <w:r w:rsidRPr="00EC77BF" w:rsidR="00B97FF2">
              <w:rPr>
                <w:color w:val="000000"/>
              </w:rPr>
              <w:t>, but</w:t>
            </w:r>
            <w:proofErr w:type="gramEnd"/>
            <w:r w:rsidRPr="00EC77BF" w:rsidR="00B97FF2">
              <w:rPr>
                <w:color w:val="000000"/>
              </w:rPr>
              <w:t xml:space="preserve"> opposed PG&amp;E’s proposed level of compensation to the Trust as insufficient to avoid prejudice to the interests of ratepayers.</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3A599E" w14:paraId="5708510E" w14:textId="77777777">
        <w:tc>
          <w:tcPr>
            <w:tcW w:w="7488" w:type="dxa"/>
            <w:tcBorders>
              <w:bottom w:val="single" w:color="auto" w:sz="4" w:space="0"/>
            </w:tcBorders>
          </w:tcPr>
          <w:p w:rsidRPr="003A599E" w:rsidR="00C60388" w:rsidP="00EC6387" w:rsidRDefault="00FE3BAE" w14:paraId="5389DEA7" w14:textId="77777777">
            <w:pPr>
              <w:rPr>
                <w:bCs/>
                <w:color w:val="000000"/>
              </w:rPr>
            </w:pPr>
            <w:r w:rsidRPr="003A599E">
              <w:rPr>
                <w:bCs/>
                <w:color w:val="000000"/>
              </w:rPr>
              <w:t>a. Intervenor’s claim of cost reasonableness:</w:t>
            </w:r>
          </w:p>
          <w:p w:rsidRPr="003A599E" w:rsidR="00C60388" w:rsidP="00EC6387" w:rsidRDefault="00E25078" w14:paraId="53685D9F" w14:textId="06E32833">
            <w:pPr>
              <w:rPr>
                <w:bCs/>
                <w:color w:val="000000"/>
              </w:rPr>
            </w:pPr>
            <w:r w:rsidRPr="003A599E">
              <w:rPr>
                <w:bCs/>
                <w:color w:val="000000"/>
              </w:rPr>
              <w:t xml:space="preserve"> </w:t>
            </w:r>
          </w:p>
          <w:p w:rsidRPr="003A599E" w:rsidR="00FE3BAE" w:rsidP="00EC6387" w:rsidRDefault="00BB2942" w14:paraId="707F9932" w14:textId="78934BEB">
            <w:pPr>
              <w:rPr>
                <w:bCs/>
                <w:color w:val="000000"/>
              </w:rPr>
            </w:pPr>
            <w:r w:rsidRPr="003A599E">
              <w:rPr>
                <w:bCs/>
                <w:color w:val="000000"/>
              </w:rPr>
              <w:t>A4NR’s</w:t>
            </w:r>
            <w:r w:rsidRPr="003A599E" w:rsidR="009C0819">
              <w:rPr>
                <w:bCs/>
                <w:color w:val="000000"/>
              </w:rPr>
              <w:t xml:space="preserve"> participation in the PFM stage of this proceeding </w:t>
            </w:r>
            <w:r w:rsidRPr="003A599E" w:rsidR="0053597C">
              <w:rPr>
                <w:bCs/>
                <w:color w:val="000000"/>
              </w:rPr>
              <w:t>helped achieve</w:t>
            </w:r>
            <w:r w:rsidRPr="003A599E" w:rsidR="000E12AF">
              <w:rPr>
                <w:bCs/>
                <w:color w:val="000000"/>
              </w:rPr>
              <w:t xml:space="preserve"> </w:t>
            </w:r>
            <w:r w:rsidRPr="003A599E" w:rsidR="001C6CBE">
              <w:rPr>
                <w:bCs/>
                <w:color w:val="000000"/>
              </w:rPr>
              <w:t>the $</w:t>
            </w:r>
            <w:r w:rsidRPr="003A599E" w:rsidR="004E4156">
              <w:rPr>
                <w:bCs/>
                <w:color w:val="000000"/>
              </w:rPr>
              <w:t>36.72 mi</w:t>
            </w:r>
            <w:r w:rsidRPr="003A599E" w:rsidR="007F3B5F">
              <w:rPr>
                <w:bCs/>
                <w:color w:val="000000"/>
              </w:rPr>
              <w:t xml:space="preserve">llion increase (i.e., the </w:t>
            </w:r>
            <w:r w:rsidRPr="003A599E" w:rsidR="00AE6295">
              <w:rPr>
                <w:bCs/>
                <w:color w:val="000000"/>
              </w:rPr>
              <w:t xml:space="preserve">difference between </w:t>
            </w:r>
            <w:r w:rsidRPr="003A599E" w:rsidR="00AF2B67">
              <w:rPr>
                <w:bCs/>
                <w:color w:val="000000"/>
              </w:rPr>
              <w:t>D.25-07-013’s</w:t>
            </w:r>
            <w:r w:rsidRPr="003A599E" w:rsidR="00AE6295">
              <w:rPr>
                <w:bCs/>
                <w:color w:val="000000"/>
              </w:rPr>
              <w:t xml:space="preserve"> rate-of-return metric and </w:t>
            </w:r>
            <w:r w:rsidRPr="003A599E" w:rsidR="002D275D">
              <w:rPr>
                <w:bCs/>
                <w:color w:val="000000"/>
              </w:rPr>
              <w:t xml:space="preserve">PG&amp;E’s proposed </w:t>
            </w:r>
            <w:r w:rsidRPr="003A599E" w:rsidR="00AE6295">
              <w:rPr>
                <w:bCs/>
                <w:color w:val="000000"/>
              </w:rPr>
              <w:t>foregone invest</w:t>
            </w:r>
            <w:r w:rsidRPr="003A599E" w:rsidR="00942946">
              <w:rPr>
                <w:bCs/>
                <w:color w:val="000000"/>
              </w:rPr>
              <w:t xml:space="preserve">ment earnings </w:t>
            </w:r>
            <w:r w:rsidRPr="003A599E" w:rsidR="002D275D">
              <w:rPr>
                <w:bCs/>
                <w:color w:val="000000"/>
              </w:rPr>
              <w:t>amount</w:t>
            </w:r>
            <w:r w:rsidRPr="003A599E" w:rsidR="00942946">
              <w:rPr>
                <w:bCs/>
                <w:color w:val="000000"/>
              </w:rPr>
              <w:t>) in</w:t>
            </w:r>
            <w:r w:rsidRPr="003A599E" w:rsidR="000E12AF">
              <w:rPr>
                <w:bCs/>
                <w:color w:val="000000"/>
              </w:rPr>
              <w:t xml:space="preserve"> </w:t>
            </w:r>
            <w:r w:rsidRPr="003A599E" w:rsidR="00AE18F2">
              <w:rPr>
                <w:bCs/>
                <w:color w:val="000000"/>
              </w:rPr>
              <w:t>PG&amp;E</w:t>
            </w:r>
            <w:r w:rsidRPr="003A599E" w:rsidR="0011656F">
              <w:rPr>
                <w:bCs/>
                <w:color w:val="000000"/>
              </w:rPr>
              <w:t>’s</w:t>
            </w:r>
            <w:r w:rsidRPr="003A599E" w:rsidR="00AE18F2">
              <w:rPr>
                <w:bCs/>
                <w:color w:val="000000"/>
              </w:rPr>
              <w:t xml:space="preserve"> </w:t>
            </w:r>
            <w:r w:rsidRPr="003A599E" w:rsidR="0021209B">
              <w:rPr>
                <w:bCs/>
                <w:color w:val="000000"/>
              </w:rPr>
              <w:t>agreed</w:t>
            </w:r>
            <w:r w:rsidRPr="003A599E" w:rsidR="002C701E">
              <w:rPr>
                <w:bCs/>
                <w:color w:val="000000"/>
              </w:rPr>
              <w:t>-upon</w:t>
            </w:r>
            <w:r w:rsidRPr="003A599E" w:rsidR="0021209B">
              <w:rPr>
                <w:bCs/>
                <w:color w:val="000000"/>
              </w:rPr>
              <w:t xml:space="preserve"> deposit into the Customer Credit Trust</w:t>
            </w:r>
            <w:r w:rsidRPr="003A599E" w:rsidR="00942946">
              <w:rPr>
                <w:bCs/>
                <w:color w:val="000000"/>
              </w:rPr>
              <w:t xml:space="preserve"> as compensation for </w:t>
            </w:r>
            <w:r w:rsidRPr="003A599E" w:rsidR="002C701E">
              <w:rPr>
                <w:bCs/>
                <w:color w:val="000000"/>
              </w:rPr>
              <w:t>a</w:t>
            </w:r>
            <w:r w:rsidRPr="003A599E" w:rsidR="00942946">
              <w:rPr>
                <w:bCs/>
                <w:color w:val="000000"/>
              </w:rPr>
              <w:t xml:space="preserve"> one-year deferral of the</w:t>
            </w:r>
            <w:r w:rsidRPr="003A599E" w:rsidR="0089683D">
              <w:rPr>
                <w:bCs/>
                <w:color w:val="000000"/>
              </w:rPr>
              <w:t xml:space="preserve"> $650</w:t>
            </w:r>
            <w:r w:rsidRPr="003A599E" w:rsidR="00B82B1A">
              <w:rPr>
                <w:bCs/>
                <w:color w:val="000000"/>
              </w:rPr>
              <w:t xml:space="preserve"> million</w:t>
            </w:r>
            <w:r w:rsidRPr="003A599E" w:rsidR="0089683D">
              <w:rPr>
                <w:bCs/>
                <w:color w:val="000000"/>
              </w:rPr>
              <w:t xml:space="preserve"> </w:t>
            </w:r>
            <w:r w:rsidRPr="003A599E" w:rsidR="003A03A9">
              <w:rPr>
                <w:bCs/>
                <w:color w:val="000000"/>
              </w:rPr>
              <w:t>contribution</w:t>
            </w:r>
            <w:r w:rsidRPr="003A599E" w:rsidR="00B82B1A">
              <w:rPr>
                <w:bCs/>
                <w:color w:val="000000"/>
              </w:rPr>
              <w:t xml:space="preserve"> required by </w:t>
            </w:r>
            <w:r w:rsidRPr="003A599E" w:rsidR="00182037">
              <w:rPr>
                <w:bCs/>
                <w:color w:val="000000"/>
              </w:rPr>
              <w:t>D.21-04-030</w:t>
            </w:r>
            <w:r w:rsidRPr="003A599E" w:rsidR="003F51B5">
              <w:rPr>
                <w:bCs/>
                <w:color w:val="000000"/>
              </w:rPr>
              <w:t>.</w:t>
            </w:r>
            <w:r w:rsidRPr="003A599E" w:rsidR="00182037">
              <w:rPr>
                <w:bCs/>
                <w:color w:val="000000"/>
              </w:rPr>
              <w:t xml:space="preserve">  </w:t>
            </w:r>
            <w:r w:rsidRPr="003A599E" w:rsidR="00BA0EC2">
              <w:rPr>
                <w:bCs/>
                <w:color w:val="000000"/>
              </w:rPr>
              <w:t xml:space="preserve">While A4NR does not claim sole </w:t>
            </w:r>
            <w:r w:rsidRPr="003A599E" w:rsidR="007B6EA5">
              <w:rPr>
                <w:bCs/>
                <w:color w:val="000000"/>
              </w:rPr>
              <w:t xml:space="preserve">responsibility </w:t>
            </w:r>
            <w:r w:rsidRPr="003A599E" w:rsidR="007B6EA5">
              <w:rPr>
                <w:bCs/>
                <w:color w:val="000000"/>
              </w:rPr>
              <w:lastRenderedPageBreak/>
              <w:t xml:space="preserve">for this </w:t>
            </w:r>
            <w:r w:rsidRPr="003A599E" w:rsidR="005E093B">
              <w:rPr>
                <w:bCs/>
                <w:color w:val="000000"/>
              </w:rPr>
              <w:t>outcome</w:t>
            </w:r>
            <w:r w:rsidRPr="003A599E" w:rsidR="007B6EA5">
              <w:rPr>
                <w:bCs/>
                <w:color w:val="000000"/>
              </w:rPr>
              <w:t>,</w:t>
            </w:r>
            <w:r w:rsidRPr="003A599E" w:rsidR="006730BB">
              <w:rPr>
                <w:bCs/>
                <w:color w:val="000000"/>
              </w:rPr>
              <w:t xml:space="preserve"> the </w:t>
            </w:r>
            <w:r w:rsidRPr="003A599E" w:rsidR="003803EC">
              <w:rPr>
                <w:bCs/>
                <w:color w:val="000000"/>
              </w:rPr>
              <w:t>incremental benefit to ratepayers</w:t>
            </w:r>
            <w:r w:rsidRPr="003A599E" w:rsidR="006730BB">
              <w:rPr>
                <w:bCs/>
                <w:color w:val="000000"/>
              </w:rPr>
              <w:t xml:space="preserve"> is 1,944 times the cost of A4NR’s </w:t>
            </w:r>
            <w:r w:rsidRPr="003A599E" w:rsidR="005061B8">
              <w:rPr>
                <w:bCs/>
                <w:color w:val="000000"/>
              </w:rPr>
              <w:t xml:space="preserve">effort – a </w:t>
            </w:r>
            <w:r w:rsidRPr="003A599E" w:rsidR="00DB7372">
              <w:rPr>
                <w:bCs/>
                <w:color w:val="000000"/>
              </w:rPr>
              <w:t xml:space="preserve">clear indicator </w:t>
            </w:r>
            <w:r w:rsidRPr="003A599E" w:rsidR="005E093B">
              <w:rPr>
                <w:bCs/>
                <w:color w:val="000000"/>
              </w:rPr>
              <w:t>of cost reasonableness.</w:t>
            </w:r>
          </w:p>
          <w:p w:rsidRPr="003A599E" w:rsidR="00FE3BAE" w:rsidP="00EC6387" w:rsidRDefault="00FE3BAE" w14:paraId="2B1A1242" w14:textId="77777777">
            <w:pPr>
              <w:rPr>
                <w:bCs/>
                <w:color w:val="000000"/>
              </w:rPr>
            </w:pPr>
          </w:p>
        </w:tc>
        <w:tc>
          <w:tcPr>
            <w:tcW w:w="2250" w:type="dxa"/>
          </w:tcPr>
          <w:p w:rsidRPr="003A599E" w:rsidR="00FE3BAE" w:rsidP="00EC6387" w:rsidRDefault="001967BC" w14:paraId="223B4665" w14:textId="29E0EE7A">
            <w:pPr>
              <w:rPr>
                <w:bCs/>
                <w:color w:val="000000"/>
              </w:rPr>
            </w:pPr>
            <w:r>
              <w:rPr>
                <w:bCs/>
                <w:color w:val="000000"/>
              </w:rPr>
              <w:lastRenderedPageBreak/>
              <w:t>Noted</w:t>
            </w:r>
          </w:p>
        </w:tc>
      </w:tr>
      <w:tr w:rsidRPr="007F620E" w:rsidR="00FE3BAE" w:rsidTr="003A599E" w14:paraId="5548029C" w14:textId="77777777">
        <w:tc>
          <w:tcPr>
            <w:tcW w:w="7488" w:type="dxa"/>
          </w:tcPr>
          <w:p w:rsidRPr="003A599E" w:rsidR="00FE3BAE" w:rsidP="00EC6387" w:rsidRDefault="00FE3BAE" w14:paraId="751A610C" w14:textId="509B1715">
            <w:pPr>
              <w:rPr>
                <w:bCs/>
                <w:color w:val="000000"/>
              </w:rPr>
            </w:pPr>
            <w:r w:rsidRPr="003A599E">
              <w:rPr>
                <w:bCs/>
                <w:color w:val="000000"/>
              </w:rPr>
              <w:t>b. Reasonableness of hours claimed:</w:t>
            </w:r>
            <w:r w:rsidRPr="003A599E" w:rsidR="00E25078">
              <w:rPr>
                <w:bCs/>
                <w:color w:val="000000"/>
              </w:rPr>
              <w:t xml:space="preserve"> </w:t>
            </w:r>
          </w:p>
          <w:p w:rsidRPr="003A599E" w:rsidR="009C41F5" w:rsidP="00EC6387" w:rsidRDefault="009C41F5" w14:paraId="5CAD5DC6" w14:textId="55A9D5B2">
            <w:pPr>
              <w:rPr>
                <w:bCs/>
                <w:color w:val="000000"/>
              </w:rPr>
            </w:pPr>
          </w:p>
          <w:p w:rsidRPr="003A599E" w:rsidR="007F1B64" w:rsidP="00EC6387" w:rsidRDefault="007F1B64" w14:paraId="5E9D5D6F" w14:textId="500B31E9">
            <w:pPr>
              <w:rPr>
                <w:bCs/>
                <w:color w:val="000000"/>
              </w:rPr>
            </w:pPr>
            <w:r w:rsidRPr="003A599E">
              <w:rPr>
                <w:bCs/>
                <w:color w:val="000000"/>
              </w:rPr>
              <w:t xml:space="preserve">A4NR expended 23.01 hours of substantive </w:t>
            </w:r>
            <w:r w:rsidRPr="003A599E" w:rsidR="00620AE0">
              <w:rPr>
                <w:bCs/>
                <w:color w:val="000000"/>
              </w:rPr>
              <w:t>time to produce three well-researched, succinct pleadings</w:t>
            </w:r>
            <w:r w:rsidRPr="003A599E" w:rsidR="003E2FA2">
              <w:rPr>
                <w:bCs/>
                <w:color w:val="000000"/>
              </w:rPr>
              <w:t xml:space="preserve"> which focused the Commission’s attention on the pertinent issues.  </w:t>
            </w:r>
            <w:r w:rsidRPr="003A599E" w:rsidR="005B185D">
              <w:rPr>
                <w:bCs/>
                <w:color w:val="000000"/>
              </w:rPr>
              <w:t xml:space="preserve">The effort </w:t>
            </w:r>
            <w:r w:rsidRPr="003A599E" w:rsidR="00AF0901">
              <w:rPr>
                <w:bCs/>
                <w:color w:val="000000"/>
              </w:rPr>
              <w:t>was highly efficient.</w:t>
            </w:r>
          </w:p>
          <w:p w:rsidRPr="003A599E" w:rsidR="00691528" w:rsidP="00EC6387" w:rsidRDefault="00691528" w14:paraId="694F0B63" w14:textId="77777777">
            <w:pPr>
              <w:rPr>
                <w:bCs/>
                <w:color w:val="000000"/>
              </w:rPr>
            </w:pPr>
          </w:p>
        </w:tc>
        <w:tc>
          <w:tcPr>
            <w:tcW w:w="2250" w:type="dxa"/>
          </w:tcPr>
          <w:p w:rsidRPr="003A599E" w:rsidR="00FE3BAE" w:rsidP="00EC6387" w:rsidRDefault="001967BC" w14:paraId="1874D625" w14:textId="5354A139">
            <w:pPr>
              <w:rPr>
                <w:bCs/>
                <w:color w:val="000000"/>
              </w:rPr>
            </w:pPr>
            <w:r>
              <w:rPr>
                <w:bCs/>
                <w:color w:val="000000"/>
              </w:rPr>
              <w:t>Noted</w:t>
            </w:r>
          </w:p>
        </w:tc>
      </w:tr>
      <w:tr w:rsidRPr="007F620E" w:rsidR="00FE3BAE" w:rsidTr="003A599E" w14:paraId="3FD38B74" w14:textId="77777777">
        <w:tc>
          <w:tcPr>
            <w:tcW w:w="7488" w:type="dxa"/>
          </w:tcPr>
          <w:p w:rsidRPr="003A599E" w:rsidR="005E093B" w:rsidP="00EC6387" w:rsidRDefault="00FE3BAE" w14:paraId="59547020" w14:textId="77777777">
            <w:pPr>
              <w:rPr>
                <w:bCs/>
                <w:color w:val="000000"/>
              </w:rPr>
            </w:pPr>
            <w:r w:rsidRPr="003A599E">
              <w:rPr>
                <w:bCs/>
                <w:color w:val="000000"/>
              </w:rPr>
              <w:t>c. Allocation of hours by issue:</w:t>
            </w:r>
            <w:r w:rsidRPr="003A599E" w:rsidR="00E25078">
              <w:rPr>
                <w:bCs/>
                <w:color w:val="000000"/>
              </w:rPr>
              <w:t xml:space="preserve"> </w:t>
            </w:r>
          </w:p>
          <w:p w:rsidRPr="003A599E" w:rsidR="005E093B" w:rsidP="00EC6387" w:rsidRDefault="005E093B" w14:paraId="1A23E64F" w14:textId="77777777">
            <w:pPr>
              <w:rPr>
                <w:bCs/>
                <w:color w:val="000000"/>
              </w:rPr>
            </w:pPr>
          </w:p>
          <w:p w:rsidRPr="003A599E" w:rsidR="00FE3BAE" w:rsidP="00EC6387" w:rsidRDefault="00946210" w14:paraId="46990B37" w14:textId="7CCBD949">
            <w:pPr>
              <w:rPr>
                <w:bCs/>
                <w:color w:val="000000"/>
              </w:rPr>
            </w:pPr>
            <w:r w:rsidRPr="003A599E">
              <w:rPr>
                <w:bCs/>
                <w:color w:val="000000"/>
              </w:rPr>
              <w:t xml:space="preserve">Inadequate compensation to Trust, </w:t>
            </w:r>
            <w:r w:rsidRPr="003A599E" w:rsidR="009108AB">
              <w:rPr>
                <w:bCs/>
                <w:color w:val="000000"/>
              </w:rPr>
              <w:t xml:space="preserve">19.29 </w:t>
            </w:r>
            <w:r w:rsidRPr="003A599E">
              <w:rPr>
                <w:bCs/>
                <w:color w:val="000000"/>
              </w:rPr>
              <w:t xml:space="preserve">hours, </w:t>
            </w:r>
            <w:r w:rsidRPr="003A599E" w:rsidR="009108AB">
              <w:rPr>
                <w:bCs/>
                <w:color w:val="000000"/>
              </w:rPr>
              <w:t>77.1</w:t>
            </w:r>
            <w:r w:rsidRPr="003A599E" w:rsidR="00450594">
              <w:rPr>
                <w:bCs/>
                <w:color w:val="000000"/>
              </w:rPr>
              <w:t>3</w:t>
            </w:r>
            <w:r w:rsidRPr="003A599E">
              <w:rPr>
                <w:bCs/>
                <w:color w:val="000000"/>
              </w:rPr>
              <w:t xml:space="preserve">%; absence of </w:t>
            </w:r>
            <w:r w:rsidRPr="003A599E" w:rsidR="00FA0836">
              <w:rPr>
                <w:bCs/>
                <w:color w:val="000000"/>
              </w:rPr>
              <w:t>good faith</w:t>
            </w:r>
            <w:r w:rsidRPr="003A599E">
              <w:rPr>
                <w:bCs/>
                <w:color w:val="000000"/>
              </w:rPr>
              <w:t>,</w:t>
            </w:r>
            <w:r w:rsidRPr="003A599E" w:rsidR="00FA0836">
              <w:rPr>
                <w:bCs/>
                <w:color w:val="000000"/>
              </w:rPr>
              <w:t xml:space="preserve"> reliable security during deferral,</w:t>
            </w:r>
            <w:r w:rsidRPr="003A599E" w:rsidR="009108AB">
              <w:rPr>
                <w:bCs/>
                <w:color w:val="000000"/>
              </w:rPr>
              <w:t xml:space="preserve"> 3.72</w:t>
            </w:r>
            <w:r w:rsidRPr="003A599E">
              <w:rPr>
                <w:bCs/>
                <w:color w:val="000000"/>
              </w:rPr>
              <w:t xml:space="preserve"> hours, </w:t>
            </w:r>
            <w:r w:rsidRPr="003A599E" w:rsidR="009108AB">
              <w:rPr>
                <w:bCs/>
                <w:color w:val="000000"/>
              </w:rPr>
              <w:t>14.</w:t>
            </w:r>
            <w:r w:rsidRPr="003A599E" w:rsidR="009A1F84">
              <w:rPr>
                <w:bCs/>
                <w:color w:val="000000"/>
              </w:rPr>
              <w:t>87</w:t>
            </w:r>
            <w:r w:rsidRPr="003A599E">
              <w:rPr>
                <w:bCs/>
                <w:color w:val="000000"/>
              </w:rPr>
              <w:t>%; general (i</w:t>
            </w:r>
            <w:r w:rsidRPr="003A599E" w:rsidR="006F1AAE">
              <w:rPr>
                <w:bCs/>
                <w:color w:val="000000"/>
              </w:rPr>
              <w:t>.e.,</w:t>
            </w:r>
            <w:r w:rsidRPr="003A599E">
              <w:rPr>
                <w:bCs/>
                <w:color w:val="000000"/>
              </w:rPr>
              <w:t xml:space="preserve"> claim preparation), 2 hours, </w:t>
            </w:r>
            <w:r w:rsidRPr="003A599E" w:rsidR="00050A64">
              <w:rPr>
                <w:bCs/>
                <w:color w:val="000000"/>
              </w:rPr>
              <w:t>8</w:t>
            </w:r>
            <w:r w:rsidRPr="003A599E" w:rsidR="009A1F84">
              <w:rPr>
                <w:bCs/>
                <w:color w:val="000000"/>
              </w:rPr>
              <w:t>.00</w:t>
            </w:r>
            <w:r w:rsidRPr="003A599E" w:rsidR="00050A64">
              <w:rPr>
                <w:bCs/>
                <w:color w:val="000000"/>
              </w:rPr>
              <w:t>%.</w:t>
            </w:r>
          </w:p>
          <w:p w:rsidRPr="003A599E" w:rsidR="00691528" w:rsidP="00EC6387" w:rsidRDefault="00691528" w14:paraId="3285939A" w14:textId="77777777">
            <w:pPr>
              <w:rPr>
                <w:bCs/>
                <w:color w:val="000000"/>
              </w:rPr>
            </w:pPr>
          </w:p>
        </w:tc>
        <w:tc>
          <w:tcPr>
            <w:tcW w:w="2250" w:type="dxa"/>
          </w:tcPr>
          <w:p w:rsidRPr="003A599E" w:rsidR="00FE3BAE" w:rsidP="00EC6387" w:rsidRDefault="001967BC" w14:paraId="497C4799" w14:textId="2A91E6DA">
            <w:pPr>
              <w:rPr>
                <w:bCs/>
                <w:color w:val="000000"/>
              </w:rPr>
            </w:pPr>
            <w:r>
              <w:rPr>
                <w:bCs/>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054430" w14:paraId="62E8A168" w14:textId="77777777">
        <w:trPr>
          <w:jc w:val="center"/>
        </w:trPr>
        <w:tc>
          <w:tcPr>
            <w:tcW w:w="1489" w:type="dxa"/>
          </w:tcPr>
          <w:p w:rsidRPr="00054430" w:rsidR="00A92D0B" w:rsidP="00A92D0B" w:rsidRDefault="001F431A" w14:paraId="33EA8B38" w14:textId="5A5FDF49">
            <w:pPr>
              <w:spacing w:before="60" w:after="60"/>
              <w:rPr>
                <w:color w:val="000000"/>
              </w:rPr>
            </w:pPr>
            <w:r w:rsidRPr="00054430">
              <w:rPr>
                <w:color w:val="000000"/>
              </w:rPr>
              <w:t>John Geesman</w:t>
            </w:r>
          </w:p>
        </w:tc>
        <w:tc>
          <w:tcPr>
            <w:tcW w:w="821" w:type="dxa"/>
          </w:tcPr>
          <w:p w:rsidRPr="00054430" w:rsidR="00A92D0B" w:rsidP="00AF61A9" w:rsidRDefault="001F431A" w14:paraId="47EBBC49" w14:textId="490BF4C5">
            <w:pPr>
              <w:spacing w:before="60" w:after="60"/>
              <w:jc w:val="center"/>
              <w:rPr>
                <w:color w:val="000000"/>
              </w:rPr>
            </w:pPr>
            <w:r w:rsidRPr="00054430">
              <w:rPr>
                <w:color w:val="000000"/>
              </w:rPr>
              <w:t>2025</w:t>
            </w:r>
          </w:p>
        </w:tc>
        <w:tc>
          <w:tcPr>
            <w:tcW w:w="884" w:type="dxa"/>
            <w:gridSpan w:val="2"/>
          </w:tcPr>
          <w:p w:rsidRPr="00054430" w:rsidR="00A92D0B" w:rsidP="00AF61A9" w:rsidRDefault="001F431A" w14:paraId="39A3074C" w14:textId="2CFAD7FE">
            <w:pPr>
              <w:spacing w:before="60" w:after="60"/>
              <w:jc w:val="center"/>
              <w:rPr>
                <w:color w:val="000000"/>
              </w:rPr>
            </w:pPr>
            <w:r w:rsidRPr="00054430">
              <w:rPr>
                <w:color w:val="000000"/>
              </w:rPr>
              <w:t>14.96</w:t>
            </w:r>
          </w:p>
        </w:tc>
        <w:tc>
          <w:tcPr>
            <w:tcW w:w="930" w:type="dxa"/>
          </w:tcPr>
          <w:p w:rsidRPr="00054430" w:rsidR="00A92D0B" w:rsidP="00946210" w:rsidRDefault="001F431A" w14:paraId="3E5BD317" w14:textId="1A20CB8D">
            <w:pPr>
              <w:spacing w:before="60" w:after="60"/>
              <w:jc w:val="center"/>
              <w:rPr>
                <w:color w:val="000000"/>
              </w:rPr>
            </w:pPr>
            <w:r w:rsidRPr="00054430">
              <w:rPr>
                <w:color w:val="000000"/>
              </w:rPr>
              <w:t>795</w:t>
            </w:r>
          </w:p>
        </w:tc>
        <w:tc>
          <w:tcPr>
            <w:tcW w:w="1721" w:type="dxa"/>
            <w:gridSpan w:val="2"/>
            <w:tcBorders>
              <w:right w:val="single" w:color="auto" w:sz="4" w:space="0"/>
            </w:tcBorders>
          </w:tcPr>
          <w:p w:rsidRPr="00054430" w:rsidR="00A92D0B" w:rsidP="00CC10AF" w:rsidRDefault="001F431A" w14:paraId="63BDE315" w14:textId="5627EE1A">
            <w:pPr>
              <w:spacing w:before="60" w:after="60"/>
              <w:rPr>
                <w:color w:val="000000"/>
              </w:rPr>
            </w:pPr>
            <w:r w:rsidRPr="00054430">
              <w:rPr>
                <w:color w:val="000000"/>
              </w:rPr>
              <w:t>D.25-05-017 approved rate for 2024 plus 3.46%</w:t>
            </w:r>
            <w:r w:rsidRPr="00054430">
              <w:t xml:space="preserve"> </w:t>
            </w:r>
            <w:r w:rsidRPr="00054430">
              <w:rPr>
                <w:color w:val="000000"/>
              </w:rPr>
              <w:t>ALJ-393 COLA, rounded to nearest $5</w:t>
            </w:r>
          </w:p>
        </w:tc>
        <w:tc>
          <w:tcPr>
            <w:tcW w:w="1333" w:type="dxa"/>
            <w:gridSpan w:val="2"/>
            <w:tcBorders>
              <w:top w:val="single" w:color="auto" w:sz="4" w:space="0"/>
              <w:left w:val="single" w:color="auto" w:sz="4" w:space="0"/>
              <w:bottom w:val="single" w:color="auto" w:sz="4" w:space="0"/>
              <w:right w:val="single" w:color="auto" w:sz="24" w:space="0"/>
            </w:tcBorders>
          </w:tcPr>
          <w:p w:rsidRPr="00054430" w:rsidR="00A92D0B" w:rsidP="00B17005" w:rsidRDefault="00946210" w14:paraId="06BD92A5" w14:textId="1FF4488B">
            <w:pPr>
              <w:spacing w:before="60" w:after="60"/>
              <w:jc w:val="right"/>
              <w:rPr>
                <w:color w:val="000000"/>
              </w:rPr>
            </w:pPr>
            <w:r w:rsidRPr="00054430">
              <w:rPr>
                <w:color w:val="000000"/>
              </w:rPr>
              <w:t>11,893.20</w:t>
            </w:r>
          </w:p>
        </w:tc>
        <w:tc>
          <w:tcPr>
            <w:tcW w:w="955" w:type="dxa"/>
            <w:tcBorders>
              <w:left w:val="single" w:color="auto" w:sz="4" w:space="0"/>
            </w:tcBorders>
          </w:tcPr>
          <w:p w:rsidRPr="007F620E" w:rsidR="00A92D0B" w:rsidP="00AF61A9" w:rsidRDefault="00C91EEE" w14:paraId="31AF7AA4" w14:textId="21EE65E4">
            <w:pPr>
              <w:spacing w:before="60" w:after="60"/>
              <w:jc w:val="center"/>
              <w:rPr>
                <w:color w:val="000000"/>
              </w:rPr>
            </w:pPr>
            <w:r>
              <w:rPr>
                <w:color w:val="000000"/>
              </w:rPr>
              <w:t>14.96</w:t>
            </w:r>
          </w:p>
        </w:tc>
        <w:tc>
          <w:tcPr>
            <w:tcW w:w="1146" w:type="dxa"/>
          </w:tcPr>
          <w:p w:rsidRPr="007F620E" w:rsidR="00A92D0B" w:rsidP="008E23A1" w:rsidRDefault="00844E69" w14:paraId="3400AFFC" w14:textId="595E4AAB">
            <w:pPr>
              <w:spacing w:before="60" w:after="60"/>
              <w:jc w:val="center"/>
              <w:rPr>
                <w:color w:val="000000"/>
              </w:rPr>
            </w:pPr>
            <w:r>
              <w:rPr>
                <w:color w:val="000000"/>
              </w:rPr>
              <w:t>$795.00 [1,2]</w:t>
            </w:r>
          </w:p>
        </w:tc>
        <w:tc>
          <w:tcPr>
            <w:tcW w:w="1881" w:type="dxa"/>
          </w:tcPr>
          <w:p w:rsidRPr="007F620E" w:rsidR="00A92D0B" w:rsidP="00B17005" w:rsidRDefault="00346D9B" w14:paraId="196C1830" w14:textId="22B33267">
            <w:pPr>
              <w:spacing w:before="60" w:after="60"/>
              <w:jc w:val="right"/>
              <w:rPr>
                <w:color w:val="000000"/>
              </w:rPr>
            </w:pPr>
            <w:r>
              <w:rPr>
                <w:color w:val="000000"/>
              </w:rPr>
              <w:t>$11,893.20</w:t>
            </w:r>
          </w:p>
        </w:tc>
      </w:tr>
      <w:tr w:rsidRPr="007F620E" w:rsidR="00A92D0B" w:rsidTr="00054430" w14:paraId="5BF6A154" w14:textId="77777777">
        <w:trPr>
          <w:jc w:val="center"/>
        </w:trPr>
        <w:tc>
          <w:tcPr>
            <w:tcW w:w="1489" w:type="dxa"/>
          </w:tcPr>
          <w:p w:rsidRPr="00054430" w:rsidR="00A92D0B" w:rsidP="003B6A1B" w:rsidRDefault="001F431A" w14:paraId="118506EC" w14:textId="613E2ED0">
            <w:pPr>
              <w:spacing w:before="60" w:after="60"/>
              <w:rPr>
                <w:color w:val="000000"/>
              </w:rPr>
            </w:pPr>
            <w:r w:rsidRPr="00054430">
              <w:rPr>
                <w:color w:val="000000"/>
              </w:rPr>
              <w:t>John Geesman</w:t>
            </w:r>
          </w:p>
        </w:tc>
        <w:tc>
          <w:tcPr>
            <w:tcW w:w="821" w:type="dxa"/>
          </w:tcPr>
          <w:p w:rsidRPr="00054430" w:rsidR="00A92D0B" w:rsidP="00AF61A9" w:rsidRDefault="001F431A" w14:paraId="3767540B" w14:textId="649D5F6A">
            <w:pPr>
              <w:spacing w:before="60" w:after="60"/>
              <w:jc w:val="center"/>
              <w:rPr>
                <w:color w:val="000000"/>
              </w:rPr>
            </w:pPr>
            <w:r w:rsidRPr="00054430">
              <w:rPr>
                <w:color w:val="000000"/>
              </w:rPr>
              <w:t>2024</w:t>
            </w:r>
          </w:p>
        </w:tc>
        <w:tc>
          <w:tcPr>
            <w:tcW w:w="884" w:type="dxa"/>
            <w:gridSpan w:val="2"/>
          </w:tcPr>
          <w:p w:rsidRPr="00054430" w:rsidR="00A92D0B" w:rsidP="00AF61A9" w:rsidRDefault="001F431A" w14:paraId="120FE857" w14:textId="1901A3E5">
            <w:pPr>
              <w:spacing w:before="60" w:after="60"/>
              <w:jc w:val="center"/>
              <w:rPr>
                <w:color w:val="000000"/>
              </w:rPr>
            </w:pPr>
            <w:r w:rsidRPr="00054430">
              <w:rPr>
                <w:color w:val="000000"/>
              </w:rPr>
              <w:t>8.05</w:t>
            </w:r>
          </w:p>
        </w:tc>
        <w:tc>
          <w:tcPr>
            <w:tcW w:w="930" w:type="dxa"/>
          </w:tcPr>
          <w:p w:rsidRPr="00054430" w:rsidR="00A92D0B" w:rsidP="00946210" w:rsidRDefault="00946210" w14:paraId="075109E1" w14:textId="7D79910C">
            <w:pPr>
              <w:spacing w:before="60" w:after="60"/>
              <w:jc w:val="center"/>
              <w:rPr>
                <w:color w:val="000000"/>
              </w:rPr>
            </w:pPr>
            <w:r w:rsidRPr="00054430">
              <w:rPr>
                <w:color w:val="000000"/>
              </w:rPr>
              <w:t>770</w:t>
            </w:r>
          </w:p>
        </w:tc>
        <w:tc>
          <w:tcPr>
            <w:tcW w:w="1721" w:type="dxa"/>
            <w:gridSpan w:val="2"/>
            <w:tcBorders>
              <w:right w:val="single" w:color="auto" w:sz="4" w:space="0"/>
            </w:tcBorders>
          </w:tcPr>
          <w:p w:rsidRPr="00054430" w:rsidR="00A92D0B" w:rsidP="00CC10AF" w:rsidRDefault="00946210" w14:paraId="4AF4C006" w14:textId="39C6D3E9">
            <w:pPr>
              <w:spacing w:before="60" w:after="60"/>
              <w:rPr>
                <w:color w:val="000000"/>
              </w:rPr>
            </w:pPr>
            <w:r w:rsidRPr="00054430">
              <w:rPr>
                <w:color w:val="000000"/>
              </w:rPr>
              <w:t>D.25-05-017</w:t>
            </w:r>
          </w:p>
        </w:tc>
        <w:tc>
          <w:tcPr>
            <w:tcW w:w="1333" w:type="dxa"/>
            <w:gridSpan w:val="2"/>
            <w:tcBorders>
              <w:top w:val="single" w:color="auto" w:sz="4" w:space="0"/>
              <w:left w:val="single" w:color="auto" w:sz="4" w:space="0"/>
              <w:bottom w:val="single" w:color="auto" w:sz="4" w:space="0"/>
              <w:right w:val="single" w:color="auto" w:sz="24" w:space="0"/>
            </w:tcBorders>
          </w:tcPr>
          <w:p w:rsidRPr="00054430" w:rsidR="00A92D0B" w:rsidP="00B17005" w:rsidRDefault="00946210" w14:paraId="2A77845E" w14:textId="1788AE03">
            <w:pPr>
              <w:spacing w:before="60" w:after="60"/>
              <w:jc w:val="right"/>
              <w:rPr>
                <w:color w:val="000000"/>
              </w:rPr>
            </w:pPr>
            <w:r w:rsidRPr="00054430">
              <w:rPr>
                <w:color w:val="000000"/>
              </w:rPr>
              <w:t>6,198.50</w:t>
            </w:r>
          </w:p>
        </w:tc>
        <w:tc>
          <w:tcPr>
            <w:tcW w:w="955" w:type="dxa"/>
            <w:tcBorders>
              <w:left w:val="single" w:color="auto" w:sz="4" w:space="0"/>
            </w:tcBorders>
          </w:tcPr>
          <w:p w:rsidRPr="007F620E" w:rsidR="00A92D0B" w:rsidP="00AF61A9" w:rsidRDefault="00443BFD" w14:paraId="461DC9FD" w14:textId="33485B12">
            <w:pPr>
              <w:spacing w:before="60" w:after="60"/>
              <w:jc w:val="center"/>
              <w:rPr>
                <w:color w:val="000000"/>
              </w:rPr>
            </w:pPr>
            <w:r>
              <w:rPr>
                <w:color w:val="000000"/>
              </w:rPr>
              <w:t>8</w:t>
            </w:r>
            <w:r w:rsidR="00C91EEE">
              <w:rPr>
                <w:color w:val="000000"/>
              </w:rPr>
              <w:t>.05</w:t>
            </w:r>
          </w:p>
        </w:tc>
        <w:tc>
          <w:tcPr>
            <w:tcW w:w="1146" w:type="dxa"/>
          </w:tcPr>
          <w:p w:rsidRPr="007F620E" w:rsidR="00A92D0B" w:rsidP="008E23A1" w:rsidRDefault="00F23021" w14:paraId="7FDABF74" w14:textId="03658528">
            <w:pPr>
              <w:spacing w:before="60" w:after="60"/>
              <w:jc w:val="center"/>
              <w:rPr>
                <w:color w:val="000000"/>
              </w:rPr>
            </w:pPr>
            <w:r>
              <w:rPr>
                <w:color w:val="000000"/>
              </w:rPr>
              <w:t>$770.00</w:t>
            </w:r>
            <w:r w:rsidR="00844E69">
              <w:rPr>
                <w:color w:val="000000"/>
              </w:rPr>
              <w:t xml:space="preserve"> [1,2]</w:t>
            </w:r>
          </w:p>
        </w:tc>
        <w:tc>
          <w:tcPr>
            <w:tcW w:w="1881" w:type="dxa"/>
          </w:tcPr>
          <w:p w:rsidRPr="007F620E" w:rsidR="00A92D0B" w:rsidP="00B17005" w:rsidRDefault="00346D9B" w14:paraId="05EFCF76" w14:textId="2839735A">
            <w:pPr>
              <w:spacing w:before="60" w:after="60"/>
              <w:jc w:val="right"/>
              <w:rPr>
                <w:color w:val="000000"/>
              </w:rPr>
            </w:pPr>
            <w:r>
              <w:rPr>
                <w:color w:val="000000"/>
              </w:rPr>
              <w:t>$6,198.50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6E47BA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46210">
              <w:rPr>
                <w:b/>
                <w:i/>
                <w:color w:val="000000"/>
              </w:rPr>
              <w:t>18,091.70</w:t>
            </w:r>
          </w:p>
        </w:tc>
        <w:tc>
          <w:tcPr>
            <w:tcW w:w="3982" w:type="dxa"/>
            <w:gridSpan w:val="3"/>
            <w:tcBorders>
              <w:left w:val="single" w:color="auto" w:sz="24" w:space="0"/>
              <w:bottom w:val="single" w:color="auto" w:sz="4" w:space="0"/>
            </w:tcBorders>
            <w:vAlign w:val="bottom"/>
          </w:tcPr>
          <w:p w:rsidRPr="001C6293" w:rsidR="00E3786F" w:rsidP="003B6A1B" w:rsidRDefault="00E3786F" w14:paraId="4C4556E5" w14:textId="60EEFD4D">
            <w:pPr>
              <w:tabs>
                <w:tab w:val="left" w:pos="957"/>
              </w:tabs>
              <w:spacing w:before="60" w:after="60"/>
              <w:ind w:right="162"/>
              <w:jc w:val="right"/>
              <w:rPr>
                <w:i/>
                <w:color w:val="000000"/>
              </w:rPr>
            </w:pPr>
            <w:r w:rsidRPr="001C6293">
              <w:rPr>
                <w:b/>
                <w:i/>
                <w:color w:val="000000"/>
              </w:rPr>
              <w:t>Subtotal: $</w:t>
            </w:r>
            <w:r w:rsidRPr="001C6293" w:rsidR="00346D9B">
              <w:rPr>
                <w:b/>
                <w:i/>
                <w:color w:val="000000"/>
              </w:rPr>
              <w:t>18,091.70</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92D0B" w:rsidTr="00D7238A" w14:paraId="25086E67" w14:textId="77777777">
        <w:trPr>
          <w:jc w:val="center"/>
        </w:trPr>
        <w:tc>
          <w:tcPr>
            <w:tcW w:w="1489" w:type="dxa"/>
          </w:tcPr>
          <w:p w:rsidRPr="00D7238A" w:rsidR="00A92D0B" w:rsidP="003B6A1B" w:rsidRDefault="00946210" w14:paraId="386D0995" w14:textId="03DD7600">
            <w:pPr>
              <w:spacing w:before="60" w:after="60"/>
              <w:rPr>
                <w:color w:val="000000"/>
              </w:rPr>
            </w:pPr>
            <w:r w:rsidRPr="00D7238A">
              <w:rPr>
                <w:color w:val="000000"/>
              </w:rPr>
              <w:t>John Geesman</w:t>
            </w:r>
          </w:p>
        </w:tc>
        <w:tc>
          <w:tcPr>
            <w:tcW w:w="821" w:type="dxa"/>
          </w:tcPr>
          <w:p w:rsidRPr="00D7238A" w:rsidR="00A92D0B" w:rsidP="00AF61A9" w:rsidRDefault="00946210" w14:paraId="4A155F1D" w14:textId="3646F7FF">
            <w:pPr>
              <w:spacing w:before="60" w:after="60"/>
              <w:jc w:val="center"/>
              <w:rPr>
                <w:color w:val="000000"/>
              </w:rPr>
            </w:pPr>
            <w:r w:rsidRPr="00D7238A">
              <w:rPr>
                <w:color w:val="000000"/>
              </w:rPr>
              <w:t>2025</w:t>
            </w:r>
          </w:p>
        </w:tc>
        <w:tc>
          <w:tcPr>
            <w:tcW w:w="884" w:type="dxa"/>
            <w:gridSpan w:val="2"/>
          </w:tcPr>
          <w:p w:rsidRPr="00D7238A" w:rsidR="00A92D0B" w:rsidP="00AF61A9" w:rsidRDefault="00946210" w14:paraId="30EEA80A" w14:textId="0E26A3CC">
            <w:pPr>
              <w:spacing w:before="60" w:after="60"/>
              <w:jc w:val="center"/>
              <w:rPr>
                <w:color w:val="000000"/>
              </w:rPr>
            </w:pPr>
            <w:r w:rsidRPr="00D7238A">
              <w:rPr>
                <w:color w:val="000000"/>
              </w:rPr>
              <w:t>2</w:t>
            </w:r>
          </w:p>
        </w:tc>
        <w:tc>
          <w:tcPr>
            <w:tcW w:w="930" w:type="dxa"/>
          </w:tcPr>
          <w:p w:rsidRPr="00D7238A" w:rsidR="00A92D0B" w:rsidP="003B6A1B" w:rsidRDefault="00946210" w14:paraId="4EB14C91" w14:textId="4946478C">
            <w:pPr>
              <w:spacing w:before="60" w:after="60"/>
              <w:rPr>
                <w:color w:val="000000"/>
              </w:rPr>
            </w:pPr>
            <w:r w:rsidRPr="00D7238A">
              <w:rPr>
                <w:color w:val="000000"/>
              </w:rPr>
              <w:t>397.50</w:t>
            </w:r>
          </w:p>
        </w:tc>
        <w:tc>
          <w:tcPr>
            <w:tcW w:w="1721" w:type="dxa"/>
            <w:gridSpan w:val="2"/>
            <w:tcBorders>
              <w:right w:val="single" w:color="auto" w:sz="4" w:space="0"/>
            </w:tcBorders>
          </w:tcPr>
          <w:p w:rsidRPr="00D7238A" w:rsidR="00A92D0B" w:rsidP="003B6A1B" w:rsidRDefault="005700BE" w14:paraId="02D334B7" w14:textId="2D536428">
            <w:pPr>
              <w:spacing w:before="60" w:after="60"/>
              <w:rPr>
                <w:color w:val="000000"/>
              </w:rPr>
            </w:pPr>
            <w:r w:rsidRPr="00D7238A">
              <w:rPr>
                <w:color w:val="000000"/>
              </w:rPr>
              <w:t>one-half of COLA-adjusted rate approved in D.25-05-017</w:t>
            </w:r>
          </w:p>
        </w:tc>
        <w:tc>
          <w:tcPr>
            <w:tcW w:w="1333" w:type="dxa"/>
            <w:gridSpan w:val="2"/>
            <w:tcBorders>
              <w:top w:val="single" w:color="auto" w:sz="4" w:space="0"/>
              <w:left w:val="single" w:color="auto" w:sz="4" w:space="0"/>
              <w:bottom w:val="single" w:color="auto" w:sz="4" w:space="0"/>
              <w:right w:val="single" w:color="auto" w:sz="24" w:space="0"/>
            </w:tcBorders>
          </w:tcPr>
          <w:p w:rsidRPr="00D7238A" w:rsidR="00A92D0B" w:rsidP="00AE6488" w:rsidRDefault="00946210" w14:paraId="7B9A0261" w14:textId="1F36BF87">
            <w:pPr>
              <w:spacing w:before="60" w:after="60"/>
              <w:jc w:val="right"/>
              <w:rPr>
                <w:color w:val="000000"/>
              </w:rPr>
            </w:pPr>
            <w:r w:rsidRPr="00D7238A">
              <w:rPr>
                <w:color w:val="000000"/>
              </w:rPr>
              <w:t>795</w:t>
            </w:r>
          </w:p>
        </w:tc>
        <w:tc>
          <w:tcPr>
            <w:tcW w:w="955" w:type="dxa"/>
            <w:tcBorders>
              <w:left w:val="single" w:color="auto" w:sz="4" w:space="0"/>
              <w:right w:val="single" w:color="auto" w:sz="4" w:space="0"/>
            </w:tcBorders>
          </w:tcPr>
          <w:p w:rsidRPr="007F620E" w:rsidR="00A92D0B" w:rsidP="00C91EEE" w:rsidRDefault="00C91EEE" w14:paraId="5E5A4264" w14:textId="22B76C81">
            <w:pPr>
              <w:spacing w:before="60" w:after="60"/>
              <w:jc w:val="center"/>
              <w:rPr>
                <w:color w:val="000000"/>
              </w:rPr>
            </w:pPr>
            <w:r>
              <w:rPr>
                <w:color w:val="000000"/>
              </w:rPr>
              <w:t>2.00</w:t>
            </w:r>
          </w:p>
        </w:tc>
        <w:tc>
          <w:tcPr>
            <w:tcW w:w="1146" w:type="dxa"/>
            <w:tcBorders>
              <w:left w:val="single" w:color="auto" w:sz="4" w:space="0"/>
            </w:tcBorders>
          </w:tcPr>
          <w:p w:rsidRPr="007F620E" w:rsidR="00A92D0B" w:rsidP="008E23A1" w:rsidRDefault="00AE6469" w14:paraId="47B1F089" w14:textId="704F0001">
            <w:pPr>
              <w:spacing w:before="60" w:after="60"/>
              <w:jc w:val="center"/>
              <w:rPr>
                <w:color w:val="000000"/>
              </w:rPr>
            </w:pPr>
            <w:r>
              <w:rPr>
                <w:color w:val="000000"/>
              </w:rPr>
              <w:t>$397.50</w:t>
            </w:r>
            <w:r w:rsidR="00CB053A">
              <w:rPr>
                <w:color w:val="000000"/>
              </w:rPr>
              <w:t xml:space="preserve"> [1,2]</w:t>
            </w:r>
          </w:p>
        </w:tc>
        <w:tc>
          <w:tcPr>
            <w:tcW w:w="1881" w:type="dxa"/>
          </w:tcPr>
          <w:p w:rsidRPr="007F620E" w:rsidR="00A92D0B" w:rsidP="00B17005" w:rsidRDefault="00E33447" w14:paraId="10659B6D" w14:textId="276E99E1">
            <w:pPr>
              <w:spacing w:before="60" w:after="60"/>
              <w:jc w:val="right"/>
              <w:rPr>
                <w:color w:val="000000"/>
              </w:rPr>
            </w:pPr>
            <w:r>
              <w:rPr>
                <w:color w:val="000000"/>
              </w:rPr>
              <w:t>$</w:t>
            </w:r>
            <w:r w:rsidR="00346D9B">
              <w:rPr>
                <w:color w:val="000000"/>
              </w:rPr>
              <w:t>795.00</w:t>
            </w:r>
          </w:p>
        </w:tc>
      </w:tr>
      <w:tr w:rsidRPr="007F620E" w:rsidR="00E15DC3"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E15DC3" w:rsidP="003B6A1B" w:rsidRDefault="00E15DC3" w14:paraId="4A1F5988" w14:textId="305DF401">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46210">
              <w:rPr>
                <w:b/>
                <w:i/>
                <w:color w:val="000000"/>
              </w:rPr>
              <w:t>795.00</w:t>
            </w:r>
          </w:p>
        </w:tc>
        <w:tc>
          <w:tcPr>
            <w:tcW w:w="3982" w:type="dxa"/>
            <w:gridSpan w:val="3"/>
            <w:tcBorders>
              <w:left w:val="single" w:color="auto" w:sz="24" w:space="0"/>
              <w:bottom w:val="single" w:color="auto" w:sz="4" w:space="0"/>
            </w:tcBorders>
            <w:vAlign w:val="bottom"/>
          </w:tcPr>
          <w:p w:rsidRPr="00374FD1" w:rsidR="00E15DC3" w:rsidP="00691528" w:rsidRDefault="00E15DC3" w14:paraId="2FBAA587" w14:textId="0960896E">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E33447">
              <w:rPr>
                <w:b/>
                <w:i/>
                <w:color w:val="000000"/>
              </w:rPr>
              <w:t>795.00</w:t>
            </w:r>
          </w:p>
        </w:tc>
      </w:tr>
      <w:tr w:rsidRPr="007F620E" w:rsidR="003B6A1B"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3B6A1B" w:rsidP="00FE3BAE" w:rsidRDefault="003B6A1B" w14:paraId="11B3B704" w14:textId="6491DF69">
            <w:pPr>
              <w:tabs>
                <w:tab w:val="left" w:pos="957"/>
              </w:tabs>
              <w:spacing w:before="60" w:after="60"/>
              <w:ind w:right="72"/>
              <w:jc w:val="right"/>
              <w:rPr>
                <w:b/>
                <w:color w:val="000000"/>
              </w:rPr>
            </w:pPr>
            <w:r w:rsidRPr="00374FD1">
              <w:rPr>
                <w:b/>
                <w:i/>
                <w:color w:val="000000"/>
              </w:rPr>
              <w:lastRenderedPageBreak/>
              <w:t>TOTAL REQUEST: $</w:t>
            </w:r>
            <w:r w:rsidR="005700BE">
              <w:rPr>
                <w:b/>
                <w:i/>
                <w:color w:val="000000"/>
              </w:rPr>
              <w:t>18,886.70</w:t>
            </w:r>
          </w:p>
        </w:tc>
        <w:tc>
          <w:tcPr>
            <w:tcW w:w="3982" w:type="dxa"/>
            <w:gridSpan w:val="3"/>
            <w:tcBorders>
              <w:left w:val="single" w:color="auto" w:sz="24" w:space="0"/>
            </w:tcBorders>
            <w:shd w:val="clear" w:color="auto" w:fill="E6E6E6"/>
            <w:vAlign w:val="bottom"/>
          </w:tcPr>
          <w:p w:rsidRPr="00FE3BAE" w:rsidR="003B6A1B" w:rsidP="00FE3BAE" w:rsidRDefault="003B6A1B" w14:paraId="3680D139" w14:textId="6EF1F292">
            <w:pPr>
              <w:tabs>
                <w:tab w:val="left" w:pos="957"/>
              </w:tabs>
              <w:spacing w:before="60" w:after="60"/>
              <w:ind w:right="72"/>
              <w:jc w:val="right"/>
              <w:rPr>
                <w:b/>
                <w:color w:val="000000"/>
              </w:rPr>
            </w:pPr>
            <w:r w:rsidRPr="00374FD1">
              <w:rPr>
                <w:b/>
                <w:i/>
                <w:color w:val="000000"/>
              </w:rPr>
              <w:t>TOTAL AWARD: $</w:t>
            </w:r>
            <w:r w:rsidR="00346D9B">
              <w:rPr>
                <w:b/>
                <w:i/>
                <w:color w:val="000000"/>
              </w:rPr>
              <w:t>18,886.70</w:t>
            </w:r>
          </w:p>
        </w:tc>
      </w:tr>
      <w:tr w:rsidRPr="007F620E" w:rsidR="003B6A1B" w:rsidTr="00EC6387" w14:paraId="6A909BC1" w14:textId="77777777">
        <w:trPr>
          <w:jc w:val="center"/>
        </w:trPr>
        <w:tc>
          <w:tcPr>
            <w:tcW w:w="11160" w:type="dxa"/>
            <w:gridSpan w:val="12"/>
            <w:tcBorders>
              <w:top w:val="single" w:color="auto" w:sz="4" w:space="0"/>
              <w:bottom w:val="single" w:color="auto" w:sz="4" w:space="0"/>
            </w:tcBorders>
          </w:tcPr>
          <w:p w:rsidRPr="007F620E" w:rsidR="003B6A1B" w:rsidP="00D075B1" w:rsidRDefault="003B6A1B"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3B6A1B" w:rsidP="00963EEF" w:rsidRDefault="003B6A1B"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3B6A1B"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3B6A1B" w:rsidP="004A6FD4" w:rsidRDefault="003B6A1B" w14:paraId="48B43CBD" w14:textId="77777777">
            <w:pPr>
              <w:keepNext/>
              <w:spacing w:before="60" w:after="60"/>
              <w:jc w:val="center"/>
              <w:rPr>
                <w:b/>
                <w:smallCaps/>
                <w:color w:val="000000"/>
              </w:rPr>
            </w:pPr>
            <w:r w:rsidRPr="007F620E">
              <w:rPr>
                <w:b/>
                <w:smallCaps/>
                <w:color w:val="000000"/>
              </w:rPr>
              <w:t>ATTORNEY INFORMATION</w:t>
            </w:r>
          </w:p>
        </w:tc>
      </w:tr>
      <w:tr w:rsidRPr="00C16981" w:rsidR="003B6A1B"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3B6A1B" w:rsidP="00E775D0" w:rsidRDefault="003B6A1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3B6A1B" w:rsidP="00E775D0" w:rsidRDefault="003B6A1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3B6A1B" w:rsidP="00E775D0" w:rsidRDefault="003B6A1B"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3B6A1B" w:rsidP="00E775D0" w:rsidRDefault="003B6A1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3B6A1B" w:rsidP="00E775D0" w:rsidRDefault="003B6A1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E91981" w:rsidR="003B6A1B" w:rsidTr="00E91981" w14:paraId="4DC5EE9B" w14:textId="77777777">
        <w:trPr>
          <w:trHeight w:val="172"/>
          <w:jc w:val="center"/>
        </w:trPr>
        <w:tc>
          <w:tcPr>
            <w:tcW w:w="2692" w:type="dxa"/>
            <w:gridSpan w:val="3"/>
            <w:tcBorders>
              <w:top w:val="single" w:color="auto" w:sz="4" w:space="0"/>
              <w:bottom w:val="single" w:color="auto" w:sz="4" w:space="0"/>
            </w:tcBorders>
          </w:tcPr>
          <w:p w:rsidRPr="00E91981" w:rsidR="003B6A1B" w:rsidP="001A3CF3" w:rsidRDefault="005700BE" w14:paraId="7266B7BF" w14:textId="043692D3">
            <w:pPr>
              <w:keepLines/>
              <w:spacing w:before="60" w:after="60"/>
              <w:jc w:val="center"/>
              <w:rPr>
                <w:color w:val="000000"/>
              </w:rPr>
            </w:pPr>
            <w:r w:rsidRPr="00E91981">
              <w:rPr>
                <w:color w:val="000000"/>
              </w:rPr>
              <w:t>John Geesman</w:t>
            </w:r>
          </w:p>
        </w:tc>
        <w:tc>
          <w:tcPr>
            <w:tcW w:w="1909" w:type="dxa"/>
            <w:gridSpan w:val="3"/>
            <w:tcBorders>
              <w:top w:val="single" w:color="auto" w:sz="4" w:space="0"/>
              <w:bottom w:val="single" w:color="auto" w:sz="4" w:space="0"/>
            </w:tcBorders>
          </w:tcPr>
          <w:p w:rsidRPr="00E91981" w:rsidR="003B6A1B" w:rsidP="001A3CF3" w:rsidRDefault="005700BE" w14:paraId="69A41F15" w14:textId="0E38C7E1">
            <w:pPr>
              <w:keepLines/>
              <w:spacing w:before="60" w:after="60"/>
              <w:jc w:val="center"/>
              <w:rPr>
                <w:color w:val="000000"/>
              </w:rPr>
            </w:pPr>
            <w:r w:rsidRPr="00E91981">
              <w:rPr>
                <w:color w:val="000000"/>
              </w:rPr>
              <w:t>June 28, 1977</w:t>
            </w:r>
          </w:p>
        </w:tc>
        <w:tc>
          <w:tcPr>
            <w:tcW w:w="2291" w:type="dxa"/>
            <w:gridSpan w:val="2"/>
            <w:tcBorders>
              <w:top w:val="single" w:color="auto" w:sz="4" w:space="0"/>
              <w:bottom w:val="single" w:color="auto" w:sz="4" w:space="0"/>
            </w:tcBorders>
          </w:tcPr>
          <w:p w:rsidRPr="00E91981" w:rsidR="003B6A1B" w:rsidP="001A3CF3" w:rsidRDefault="005700BE" w14:paraId="58495CD7" w14:textId="28A9CAC9">
            <w:pPr>
              <w:keepLines/>
              <w:spacing w:before="60" w:after="60"/>
              <w:jc w:val="center"/>
              <w:rPr>
                <w:color w:val="000000"/>
              </w:rPr>
            </w:pPr>
            <w:r w:rsidRPr="00E91981">
              <w:rPr>
                <w:color w:val="000000"/>
              </w:rPr>
              <w:t>74448</w:t>
            </w:r>
          </w:p>
        </w:tc>
        <w:tc>
          <w:tcPr>
            <w:tcW w:w="4268" w:type="dxa"/>
            <w:gridSpan w:val="4"/>
            <w:tcBorders>
              <w:top w:val="single" w:color="auto" w:sz="4" w:space="0"/>
              <w:bottom w:val="single" w:color="auto" w:sz="4" w:space="0"/>
            </w:tcBorders>
          </w:tcPr>
          <w:p w:rsidRPr="00E91981" w:rsidR="003B6A1B" w:rsidP="001A3CF3" w:rsidRDefault="005700BE" w14:paraId="117B99BF" w14:textId="5CF96F8C">
            <w:pPr>
              <w:keepLines/>
              <w:spacing w:before="60" w:after="60"/>
              <w:jc w:val="center"/>
              <w:rPr>
                <w:color w:val="000000"/>
              </w:rPr>
            </w:pPr>
            <w:r w:rsidRPr="00E91981">
              <w:rPr>
                <w:color w:val="000000"/>
              </w:rPr>
              <w:t>No</w:t>
            </w:r>
          </w:p>
        </w:tc>
      </w:tr>
    </w:tbl>
    <w:p w:rsidRPr="00266061" w:rsidR="00A92D0B" w:rsidP="00B93F60" w:rsidRDefault="00A92D0B" w14:paraId="04BC309E" w14:textId="71506E10">
      <w:pPr>
        <w:keepNext/>
        <w:numPr>
          <w:ilvl w:val="0"/>
          <w:numId w:val="9"/>
        </w:numPr>
        <w:spacing w:before="240" w:after="240"/>
        <w:rPr>
          <w:b/>
          <w:color w:val="000000"/>
        </w:rPr>
      </w:pPr>
      <w:r w:rsidRPr="005B5B44">
        <w:rPr>
          <w:b/>
          <w:color w:val="000000"/>
        </w:rPr>
        <w:t>Attachments</w:t>
      </w:r>
      <w:r w:rsidRPr="007F620E">
        <w:rPr>
          <w:b/>
        </w:rPr>
        <w:t xml:space="preserve"> Documenting Specific Claim and Comments on Part III</w:t>
      </w:r>
      <w:r w:rsidR="00C02649">
        <w:rPr>
          <w:b/>
        </w:rPr>
        <w:t>:</w:t>
      </w:r>
      <w:r w:rsidR="00E91981">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66061" w14:paraId="71F47148" w14:textId="77777777">
        <w:tc>
          <w:tcPr>
            <w:tcW w:w="1795" w:type="dxa"/>
            <w:tcBorders>
              <w:bottom w:val="single" w:color="auto" w:sz="4" w:space="0"/>
            </w:tcBorders>
          </w:tcPr>
          <w:p w:rsidRPr="00266061" w:rsidR="00A92D0B" w:rsidP="001A3CF3" w:rsidRDefault="00A92D0B" w14:paraId="7A5C03D8" w14:textId="77777777">
            <w:pPr>
              <w:tabs>
                <w:tab w:val="left" w:pos="1260"/>
              </w:tabs>
              <w:rPr>
                <w:color w:val="000000"/>
              </w:rPr>
            </w:pPr>
            <w:r w:rsidRPr="00266061">
              <w:rPr>
                <w:color w:val="000000"/>
              </w:rPr>
              <w:t>1</w:t>
            </w:r>
          </w:p>
        </w:tc>
        <w:tc>
          <w:tcPr>
            <w:tcW w:w="7565" w:type="dxa"/>
            <w:tcBorders>
              <w:bottom w:val="single" w:color="auto" w:sz="4" w:space="0"/>
            </w:tcBorders>
          </w:tcPr>
          <w:p w:rsidRPr="00266061" w:rsidR="00A92D0B" w:rsidP="001A3CF3" w:rsidRDefault="00A92D0B" w14:paraId="370C67BC" w14:textId="77777777">
            <w:pPr>
              <w:tabs>
                <w:tab w:val="left" w:pos="1260"/>
              </w:tabs>
              <w:rPr>
                <w:color w:val="000000"/>
              </w:rPr>
            </w:pPr>
            <w:r w:rsidRPr="00266061">
              <w:rPr>
                <w:color w:val="000000"/>
              </w:rPr>
              <w:t>Certificate of Service</w:t>
            </w:r>
          </w:p>
        </w:tc>
      </w:tr>
      <w:tr w:rsidRPr="007F620E" w:rsidR="00A92D0B" w:rsidTr="00266061" w14:paraId="72C869B0" w14:textId="77777777">
        <w:tc>
          <w:tcPr>
            <w:tcW w:w="1795" w:type="dxa"/>
          </w:tcPr>
          <w:p w:rsidRPr="00266061" w:rsidR="00A92D0B" w:rsidP="001A3CF3" w:rsidRDefault="0022302F" w14:paraId="49AADD21" w14:textId="77777777">
            <w:pPr>
              <w:tabs>
                <w:tab w:val="left" w:pos="1260"/>
              </w:tabs>
              <w:rPr>
                <w:color w:val="000000"/>
              </w:rPr>
            </w:pPr>
            <w:r w:rsidRPr="00266061">
              <w:rPr>
                <w:color w:val="000000"/>
              </w:rPr>
              <w:t>2</w:t>
            </w:r>
          </w:p>
        </w:tc>
        <w:tc>
          <w:tcPr>
            <w:tcW w:w="7565" w:type="dxa"/>
          </w:tcPr>
          <w:p w:rsidRPr="00266061" w:rsidR="00A92D0B" w:rsidP="001A3CF3" w:rsidRDefault="005700BE" w14:paraId="3AF20C23" w14:textId="575AC9C3">
            <w:pPr>
              <w:tabs>
                <w:tab w:val="left" w:pos="1260"/>
              </w:tabs>
              <w:rPr>
                <w:color w:val="000000"/>
              </w:rPr>
            </w:pPr>
            <w:r w:rsidRPr="00266061">
              <w:rPr>
                <w:color w:val="000000"/>
              </w:rPr>
              <w:t>Time Records of John Geesman</w:t>
            </w:r>
          </w:p>
        </w:tc>
      </w:tr>
      <w:tr w:rsidRPr="007F620E" w:rsidR="00390734" w:rsidTr="00266061" w14:paraId="14B5A110" w14:textId="77777777">
        <w:tc>
          <w:tcPr>
            <w:tcW w:w="1795" w:type="dxa"/>
          </w:tcPr>
          <w:p w:rsidRPr="00266061" w:rsidR="00390734" w:rsidP="001A3CF3" w:rsidRDefault="00390734" w14:paraId="7AFDEDC2" w14:textId="16F091CC">
            <w:pPr>
              <w:tabs>
                <w:tab w:val="left" w:pos="1260"/>
              </w:tabs>
              <w:rPr>
                <w:color w:val="000000"/>
              </w:rPr>
            </w:pPr>
            <w:r w:rsidRPr="00266061">
              <w:rPr>
                <w:color w:val="000000"/>
              </w:rPr>
              <w:t>3</w:t>
            </w:r>
          </w:p>
        </w:tc>
        <w:tc>
          <w:tcPr>
            <w:tcW w:w="7565" w:type="dxa"/>
          </w:tcPr>
          <w:p w:rsidRPr="00266061" w:rsidR="00390734" w:rsidP="001A3CF3" w:rsidRDefault="0082123D" w14:paraId="7A972D66" w14:textId="45DC9F66">
            <w:pPr>
              <w:tabs>
                <w:tab w:val="left" w:pos="1260"/>
              </w:tabs>
              <w:rPr>
                <w:color w:val="000000"/>
              </w:rPr>
            </w:pPr>
            <w:r w:rsidRPr="00266061">
              <w:rPr>
                <w:color w:val="000000"/>
              </w:rPr>
              <w:t>Spreadsheet Verification of Calculations</w:t>
            </w:r>
          </w:p>
        </w:tc>
      </w:tr>
      <w:tr w:rsidRPr="007F620E" w:rsidR="005700BE" w:rsidTr="00266061" w14:paraId="52E72B9D" w14:textId="77777777">
        <w:tc>
          <w:tcPr>
            <w:tcW w:w="1795" w:type="dxa"/>
          </w:tcPr>
          <w:p w:rsidRPr="00266061" w:rsidR="005700BE" w:rsidP="001A3CF3" w:rsidRDefault="0082123D" w14:paraId="03C6C90E" w14:textId="7E4031A9">
            <w:pPr>
              <w:tabs>
                <w:tab w:val="left" w:pos="1260"/>
              </w:tabs>
              <w:rPr>
                <w:color w:val="000000"/>
              </w:rPr>
            </w:pPr>
            <w:r w:rsidRPr="00266061">
              <w:rPr>
                <w:color w:val="000000"/>
              </w:rPr>
              <w:t>4</w:t>
            </w:r>
          </w:p>
        </w:tc>
        <w:tc>
          <w:tcPr>
            <w:tcW w:w="7565" w:type="dxa"/>
          </w:tcPr>
          <w:p w:rsidRPr="00266061" w:rsidR="005700BE" w:rsidP="001A3CF3" w:rsidRDefault="005700BE" w14:paraId="7C1BD5D4" w14:textId="34218ED8">
            <w:pPr>
              <w:tabs>
                <w:tab w:val="left" w:pos="1260"/>
              </w:tabs>
              <w:rPr>
                <w:color w:val="000000"/>
              </w:rPr>
            </w:pPr>
            <w:r w:rsidRPr="00266061">
              <w:rPr>
                <w:color w:val="000000"/>
              </w:rPr>
              <w:t>John Geesman is a consultant to A4NR, not a staff member.  His 2012 contingent fee retainer agreement with A4NR, which remains in full force and effect, was determined by D.25-05-017 to satisfy Commission policy on consultant compensation: “Geesman has been hired on a contingency basis, where the consultant has not billed or collected compensation for the work performed until the final award is given. Given this contingency, we therefore utilize the reasonable rates established by Resolution ALJ-393 based on Geesman’s experience.”</w:t>
            </w:r>
          </w:p>
        </w:tc>
      </w:tr>
    </w:tbl>
    <w:p w:rsidRPr="007F620E" w:rsidR="00A92D0B" w:rsidP="005B5B44" w:rsidRDefault="00A92D0B" w14:paraId="0D8B7003" w14:textId="3456A1FD">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B57843"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F9211B" w:rsidTr="00B57843" w14:paraId="69DEE01C" w14:textId="77777777">
        <w:tc>
          <w:tcPr>
            <w:tcW w:w="1527" w:type="dxa"/>
          </w:tcPr>
          <w:p w:rsidRPr="007F620E" w:rsidR="00F9211B" w:rsidP="00F9211B" w:rsidRDefault="00F9211B" w14:paraId="1E6C8F3D" w14:textId="4536351A">
            <w:pPr>
              <w:tabs>
                <w:tab w:val="left" w:pos="1440"/>
              </w:tabs>
              <w:rPr>
                <w:color w:val="000000"/>
              </w:rPr>
            </w:pPr>
            <w:r w:rsidRPr="00165E44">
              <w:t xml:space="preserve">[1] </w:t>
            </w:r>
            <w:r w:rsidR="00262EEB">
              <w:t>Geesman</w:t>
            </w:r>
            <w:r w:rsidRPr="00165E44">
              <w:t xml:space="preserve"> 2024, 2025 </w:t>
            </w:r>
            <w:r w:rsidRPr="00165E44">
              <w:lastRenderedPageBreak/>
              <w:t xml:space="preserve">Hourly, and 2025 Intervenor Compensation (IComp) Claim Preparation Rates </w:t>
            </w:r>
          </w:p>
        </w:tc>
        <w:tc>
          <w:tcPr>
            <w:tcW w:w="7833" w:type="dxa"/>
          </w:tcPr>
          <w:p w:rsidRPr="00165E44" w:rsidR="00F9211B" w:rsidP="00F9211B" w:rsidRDefault="00240FD2" w14:paraId="70A3D64F" w14:textId="3B372227">
            <w:r>
              <w:lastRenderedPageBreak/>
              <w:t>A4NR</w:t>
            </w:r>
            <w:r w:rsidRPr="00165E44" w:rsidR="00F9211B">
              <w:t xml:space="preserve"> requested a 2024 hourly rate of $</w:t>
            </w:r>
            <w:r w:rsidR="00262EEB">
              <w:t>770</w:t>
            </w:r>
            <w:r w:rsidRPr="00165E44" w:rsidR="00F9211B">
              <w:t>.00 and a 2025 hourly rate of $</w:t>
            </w:r>
            <w:r w:rsidR="00262EEB">
              <w:t>795</w:t>
            </w:r>
            <w:r w:rsidRPr="00165E44" w:rsidR="00F9211B">
              <w:t xml:space="preserve">.00 for </w:t>
            </w:r>
            <w:r w:rsidR="00262EEB">
              <w:t>Geesman</w:t>
            </w:r>
            <w:r w:rsidRPr="00165E44" w:rsidR="00F9211B">
              <w:t>.</w:t>
            </w:r>
          </w:p>
          <w:p w:rsidRPr="00165E44" w:rsidR="00F9211B" w:rsidP="00F9211B" w:rsidRDefault="00F9211B" w14:paraId="58617C79" w14:textId="77777777"/>
          <w:p w:rsidRPr="00165E44" w:rsidR="00F9211B" w:rsidP="00F9211B" w:rsidRDefault="00240FD2" w14:paraId="2EF11DD4" w14:textId="4171F611">
            <w:r>
              <w:t xml:space="preserve">A4NR has confirmed that John Geesman is a consultant. </w:t>
            </w:r>
            <w:r w:rsidRPr="00165E44" w:rsidR="00F9211B">
              <w:t xml:space="preserve">Pursuant to the Commission’s policy, </w:t>
            </w:r>
            <w:r w:rsidRPr="00165E44" w:rsidR="00F9211B">
              <w:rPr>
                <w:color w:val="000000"/>
              </w:rPr>
              <w:t>the rate requested by an intervenor must not exceed the rate billed to that intervenor by any outside consultant it hires, even if the consultant’s billed rate is below the floor for a given experience level.</w:t>
            </w:r>
            <w:bookmarkStart w:name="_Ref211496757" w:id="2"/>
            <w:r w:rsidRPr="00165E44" w:rsidR="00F9211B">
              <w:rPr>
                <w:color w:val="000000"/>
                <w:vertAlign w:val="superscript"/>
              </w:rPr>
              <w:footnoteReference w:id="4"/>
            </w:r>
            <w:bookmarkEnd w:id="2"/>
            <w:r w:rsidRPr="00165E44" w:rsidR="00F9211B">
              <w:rPr>
                <w:color w:val="000000"/>
              </w:rPr>
              <w:t xml:space="preserve"> Per the Intervenor Compensation Program Guide at 24, the Commission may audit the records and books of the intervenors to the extent necessary to verify the basis for the award (§1804(d)).</w:t>
            </w:r>
            <w:r w:rsidRPr="00165E44" w:rsidR="00F9211B">
              <w:t xml:space="preserve"> </w:t>
            </w:r>
          </w:p>
          <w:p w:rsidRPr="00165E44" w:rsidR="00F9211B" w:rsidP="00F9211B" w:rsidRDefault="00F9211B" w14:paraId="731208C2" w14:textId="77777777"/>
          <w:p w:rsidR="00924C2C" w:rsidP="00524D7F" w:rsidRDefault="00524D7F" w14:paraId="72960EAA" w14:textId="377861E7">
            <w:r>
              <w:t>A4NR</w:t>
            </w:r>
            <w:r w:rsidRPr="00524D7F">
              <w:t xml:space="preserve"> has confirmed that per the terms of their contract, </w:t>
            </w:r>
            <w:r>
              <w:t>John Geesman</w:t>
            </w:r>
            <w:r w:rsidRPr="00524D7F">
              <w:t xml:space="preserve"> has been hired on a contingency rate basis, meaning that </w:t>
            </w:r>
            <w:r>
              <w:t>John Geesman</w:t>
            </w:r>
            <w:r w:rsidRPr="00524D7F">
              <w:t xml:space="preserve"> has agreed to defer its consulting fee contingent upon receipt of this Intervenor Compensation award. Given this contingency, we utilize the reasonable rates established by Resolution ALJ-393 based on </w:t>
            </w:r>
            <w:r>
              <w:t>John Geesman’s</w:t>
            </w:r>
            <w:r w:rsidRPr="00524D7F">
              <w:t xml:space="preserve"> experience as a</w:t>
            </w:r>
            <w:r w:rsidR="005041A8">
              <w:t>n</w:t>
            </w:r>
            <w:r w:rsidRPr="00524D7F">
              <w:t xml:space="preserve"> </w:t>
            </w:r>
            <w:r>
              <w:t>Attorney V</w:t>
            </w:r>
            <w:r w:rsidRPr="00524D7F">
              <w:t>. </w:t>
            </w:r>
          </w:p>
          <w:p w:rsidR="00924C2C" w:rsidP="00524D7F" w:rsidRDefault="00924C2C" w14:paraId="5EB63438" w14:textId="77777777"/>
          <w:p w:rsidR="00924C2C" w:rsidP="00524D7F" w:rsidRDefault="00524D7F" w14:paraId="418BD160" w14:textId="77777777">
            <w:r w:rsidRPr="00524D7F">
              <w:t xml:space="preserve">Given that the </w:t>
            </w:r>
            <w:r>
              <w:t xml:space="preserve">2024 </w:t>
            </w:r>
            <w:r w:rsidRPr="00524D7F">
              <w:t xml:space="preserve">rate range </w:t>
            </w:r>
            <w:r>
              <w:t>for Attorney V</w:t>
            </w:r>
            <w:r w:rsidRPr="00524D7F">
              <w:t xml:space="preserve"> is </w:t>
            </w:r>
            <w:r w:rsidR="00262EEB">
              <w:t>$560.95</w:t>
            </w:r>
            <w:r w:rsidRPr="00524D7F">
              <w:t xml:space="preserve"> to $</w:t>
            </w:r>
            <w:r w:rsidR="00262EEB">
              <w:t>773.67</w:t>
            </w:r>
            <w:r w:rsidRPr="00524D7F">
              <w:t>, we find the requested 202</w:t>
            </w:r>
            <w:r w:rsidR="00262EEB">
              <w:t>4</w:t>
            </w:r>
            <w:r w:rsidRPr="00524D7F">
              <w:t xml:space="preserve"> hourly rate of $</w:t>
            </w:r>
            <w:r w:rsidR="00D20C21">
              <w:t>770.00</w:t>
            </w:r>
            <w:r w:rsidRPr="00524D7F">
              <w:t xml:space="preserve"> to be reasonable and we adopt it here.</w:t>
            </w:r>
          </w:p>
          <w:p w:rsidR="00924C2C" w:rsidP="00524D7F" w:rsidRDefault="00924C2C" w14:paraId="1CAD52CE" w14:textId="77777777"/>
          <w:p w:rsidR="00524D7F" w:rsidP="00524D7F" w:rsidRDefault="00924C2C" w14:paraId="42519233" w14:textId="5198B4BE">
            <w:pPr>
              <w:rPr>
                <w:b/>
                <w:bCs/>
              </w:rPr>
            </w:pPr>
            <w:r w:rsidRPr="00524D7F">
              <w:t xml:space="preserve">Given that the </w:t>
            </w:r>
            <w:r>
              <w:t xml:space="preserve">2025 </w:t>
            </w:r>
            <w:r w:rsidRPr="00524D7F">
              <w:t xml:space="preserve">rate range </w:t>
            </w:r>
            <w:r>
              <w:t>for Attorney V</w:t>
            </w:r>
            <w:r w:rsidRPr="00524D7F">
              <w:t xml:space="preserve"> is </w:t>
            </w:r>
            <w:r>
              <w:t>$584.51 to $797.23</w:t>
            </w:r>
            <w:r w:rsidRPr="00524D7F">
              <w:t>, we find the requested 202</w:t>
            </w:r>
            <w:r>
              <w:t>5</w:t>
            </w:r>
            <w:r w:rsidRPr="00524D7F">
              <w:t xml:space="preserve"> hourly rate of $</w:t>
            </w:r>
            <w:r>
              <w:t>795.00</w:t>
            </w:r>
            <w:r w:rsidRPr="00524D7F">
              <w:t xml:space="preserve"> to be reasonable and we adopt it here.</w:t>
            </w:r>
            <w:r w:rsidRPr="00524D7F" w:rsidR="00524D7F">
              <w:br/>
            </w:r>
            <w:r w:rsidRPr="00524D7F" w:rsidR="00524D7F">
              <w:br/>
              <w:t xml:space="preserve">The award determined herein for </w:t>
            </w:r>
            <w:r w:rsidR="00524D7F">
              <w:t>John Geesman’s</w:t>
            </w:r>
            <w:r w:rsidRPr="00524D7F" w:rsidR="00524D7F">
              <w:t xml:space="preserve"> contribution in this proceeding shall be paid in full to </w:t>
            </w:r>
            <w:r w:rsidR="00524D7F">
              <w:t>John Geesman</w:t>
            </w:r>
            <w:r w:rsidRPr="00524D7F" w:rsidR="00524D7F">
              <w:t xml:space="preserve">, and no portion of this part of the award shall be kept by </w:t>
            </w:r>
            <w:r w:rsidR="00524D7F">
              <w:t>A4NR</w:t>
            </w:r>
            <w:r w:rsidRPr="00524D7F" w:rsidR="00524D7F">
              <w:t>.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r w:rsidRPr="00524D7F" w:rsidR="00524D7F">
              <w:br/>
            </w:r>
          </w:p>
          <w:p w:rsidRPr="00524D7F" w:rsidR="00F9211B" w:rsidP="00524D7F" w:rsidRDefault="00524D7F" w14:paraId="45BFCB16" w14:textId="3FDAA751">
            <w:r w:rsidRPr="00524D7F">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w:t>
            </w:r>
            <w:proofErr w:type="gramStart"/>
            <w:r w:rsidRPr="00524D7F">
              <w:t>processing, and</w:t>
            </w:r>
            <w:proofErr w:type="gramEnd"/>
            <w:r w:rsidRPr="00524D7F">
              <w:t xml:space="preserve"> thus avoid the need for the Commission to request supplemental documentation. In this instance, </w:t>
            </w:r>
            <w:r>
              <w:t>A4NR</w:t>
            </w:r>
            <w:r w:rsidRPr="00524D7F">
              <w:t xml:space="preserve"> did not provide all the documentation pertaining to the contract terms between Intervenor and Consultant in the initial claim and waited until the Commission requested supplemental documentation which delays the processing of the claim.</w:t>
            </w:r>
          </w:p>
        </w:tc>
      </w:tr>
      <w:tr w:rsidRPr="007F620E" w:rsidR="00B57843" w:rsidTr="00B57843" w14:paraId="52155EFC" w14:textId="77777777">
        <w:tc>
          <w:tcPr>
            <w:tcW w:w="1527" w:type="dxa"/>
          </w:tcPr>
          <w:p w:rsidRPr="007F620E" w:rsidR="00B57843" w:rsidP="00B57843" w:rsidRDefault="00B57843" w14:paraId="26487933" w14:textId="145B91AB">
            <w:pPr>
              <w:tabs>
                <w:tab w:val="left" w:pos="1440"/>
              </w:tabs>
              <w:rPr>
                <w:color w:val="000000"/>
              </w:rPr>
            </w:pPr>
            <w:r>
              <w:lastRenderedPageBreak/>
              <w:t>[</w:t>
            </w:r>
            <w:r w:rsidR="008B37A1">
              <w:t>2</w:t>
            </w:r>
            <w:r>
              <w:t>] Consultant Rate</w:t>
            </w:r>
            <w:r w:rsidR="00363FD7">
              <w:t xml:space="preserve"> Disclaimer</w:t>
            </w:r>
          </w:p>
        </w:tc>
        <w:tc>
          <w:tcPr>
            <w:tcW w:w="7833" w:type="dxa"/>
          </w:tcPr>
          <w:p w:rsidRPr="005E3E41" w:rsidR="005E3E41" w:rsidP="005E3E41" w:rsidRDefault="005E3E41" w14:paraId="7956F10D" w14:textId="77777777">
            <w:pPr>
              <w:rPr>
                <w:bCs/>
              </w:rPr>
            </w:pPr>
            <w:r w:rsidRPr="005E3E41">
              <w:rPr>
                <w:bCs/>
              </w:rPr>
              <w:t xml:space="preserve">The Commission takes this opportunity to remind all intervenors that they bear the burden of providing accurate, complete, and honest information </w:t>
            </w:r>
            <w:proofErr w:type="gramStart"/>
            <w:r w:rsidRPr="005E3E41">
              <w:rPr>
                <w:bCs/>
              </w:rPr>
              <w:t>in</w:t>
            </w:r>
            <w:proofErr w:type="gramEnd"/>
            <w:r w:rsidRPr="005E3E41">
              <w:rPr>
                <w:bCs/>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5E3E41" w:rsidR="005E3E41" w:rsidP="005E3E41" w:rsidRDefault="005E3E41" w14:paraId="176A8818" w14:textId="77777777">
            <w:pPr>
              <w:rPr>
                <w:bCs/>
              </w:rPr>
            </w:pPr>
          </w:p>
          <w:p w:rsidRPr="005E3E41" w:rsidR="005E3E41" w:rsidP="005E3E41" w:rsidRDefault="005E3E41" w14:paraId="6CF3CAAC" w14:textId="77777777">
            <w:pPr>
              <w:rPr>
                <w:bCs/>
              </w:rPr>
            </w:pPr>
            <w:r w:rsidRPr="005E3E41">
              <w:rPr>
                <w:bCs/>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5E3E41" w:rsidR="005E3E41" w:rsidP="005E3E41" w:rsidRDefault="005E3E41" w14:paraId="5FB30D09" w14:textId="77777777">
            <w:pPr>
              <w:rPr>
                <w:bCs/>
              </w:rPr>
            </w:pPr>
          </w:p>
          <w:p w:rsidRPr="007F620E" w:rsidR="00B57843" w:rsidP="005E3E41" w:rsidRDefault="005E3E41" w14:paraId="455E6A00" w14:textId="7308097A">
            <w:pPr>
              <w:tabs>
                <w:tab w:val="left" w:pos="1440"/>
              </w:tabs>
              <w:rPr>
                <w:color w:val="000000"/>
              </w:rPr>
            </w:pPr>
            <w:r w:rsidRPr="005E3E41">
              <w:rPr>
                <w:bCs/>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8B37A1" w14:paraId="6E7CD931" w14:textId="35FB533E">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8B37A1" w14:paraId="238D2D3F" w14:textId="71DD2440">
            <w:pPr>
              <w:keepNext/>
              <w:keepLines/>
              <w:spacing w:after="240"/>
              <w:rPr>
                <w:color w:val="000000"/>
              </w:rPr>
            </w:pPr>
            <w:r>
              <w:rPr>
                <w:color w:val="000000"/>
              </w:rPr>
              <w:t>Yes</w:t>
            </w:r>
          </w:p>
        </w:tc>
      </w:tr>
    </w:tbl>
    <w:p w:rsidR="00BE45D0" w:rsidP="00B127EE" w:rsidRDefault="00BE45D0" w14:paraId="4C76EB64" w14:textId="77777777">
      <w:pPr>
        <w:rPr>
          <w:b/>
          <w:color w:val="000000"/>
          <w:u w:val="single"/>
        </w:rPr>
      </w:pPr>
    </w:p>
    <w:p w:rsidRPr="007F620E" w:rsidR="00A92D0B" w:rsidP="00B93F60" w:rsidRDefault="00A92D0B" w14:paraId="186E115A" w14:textId="77777777">
      <w:pPr>
        <w:keepNext/>
        <w:spacing w:after="240"/>
        <w:jc w:val="center"/>
        <w:rPr>
          <w:b/>
          <w:color w:val="000000"/>
          <w:u w:val="single"/>
        </w:rPr>
      </w:pPr>
      <w:r w:rsidRPr="007F620E">
        <w:rPr>
          <w:b/>
          <w:color w:val="000000"/>
          <w:u w:val="single"/>
        </w:rPr>
        <w:t>FINDINGS OF FACT</w:t>
      </w:r>
    </w:p>
    <w:p w:rsidRPr="007F620E" w:rsidR="00A92D0B" w:rsidRDefault="00CA7EB9" w14:paraId="7772A9DC" w14:textId="32ACDAFB">
      <w:pPr>
        <w:numPr>
          <w:ilvl w:val="0"/>
          <w:numId w:val="3"/>
        </w:numPr>
        <w:tabs>
          <w:tab w:val="num" w:pos="540"/>
        </w:tabs>
        <w:ind w:left="540" w:hanging="540"/>
      </w:pPr>
      <w:r>
        <w:t xml:space="preserve">Alliance for Nuclear Responsibility </w:t>
      </w:r>
      <w:r w:rsidRPr="007F620E" w:rsidR="00A92D0B">
        <w:t>has made a substantia</w:t>
      </w:r>
      <w:r w:rsidRPr="007F620E" w:rsidR="00DE3A5D">
        <w:t>l contribution to D.</w:t>
      </w:r>
      <w:r w:rsidRPr="00CA7EB9" w:rsidR="005700BE">
        <w:t>25-07-013</w:t>
      </w:r>
      <w:r w:rsidRPr="007F620E" w:rsidR="00A92D0B">
        <w:t>.</w:t>
      </w:r>
    </w:p>
    <w:p w:rsidRPr="007F620E" w:rsidR="00A92D0B" w:rsidP="004D6531" w:rsidRDefault="00A92D0B" w14:paraId="04EB50FD" w14:textId="42625731">
      <w:pPr>
        <w:numPr>
          <w:ilvl w:val="0"/>
          <w:numId w:val="3"/>
        </w:numPr>
        <w:tabs>
          <w:tab w:val="num" w:pos="540"/>
        </w:tabs>
        <w:spacing w:before="240"/>
      </w:pPr>
      <w:r w:rsidRPr="007F620E">
        <w:t>The requested hourly rates for</w:t>
      </w:r>
      <w:r w:rsidR="003B6A1B">
        <w:t xml:space="preserve"> </w:t>
      </w:r>
      <w:r w:rsidR="00CA7EB9">
        <w:t>Alliance for Nuclear Responsibility</w:t>
      </w:r>
      <w:r w:rsidRPr="00CA7EB9" w:rsidR="005A63D4">
        <w:t>’s</w:t>
      </w:r>
      <w:r w:rsidRPr="007F620E" w:rsidR="005A63D4">
        <w:t xml:space="preserve"> </w:t>
      </w:r>
      <w:r w:rsidRPr="007F620E">
        <w:t>representatives are comparable to market rates paid to experts and advocates having comparable training and experience and offering similar services</w:t>
      </w:r>
      <w:r w:rsidR="00A15C3A">
        <w:t xml:space="preserve">, </w:t>
      </w:r>
      <w:r w:rsidRPr="00A15C3A" w:rsidR="00A15C3A">
        <w:t>and/or reflect the actual rates billed to, and paid by the intervenor, for consultant services rendered.</w:t>
      </w:r>
    </w:p>
    <w:p w:rsidRPr="00B127EE" w:rsidR="00A92D0B" w:rsidRDefault="00A92D0B" w14:paraId="528EBB52" w14:textId="495904EE">
      <w:pPr>
        <w:numPr>
          <w:ilvl w:val="0"/>
          <w:numId w:val="3"/>
        </w:numPr>
        <w:tabs>
          <w:tab w:val="num" w:pos="540"/>
        </w:tabs>
        <w:spacing w:before="240"/>
      </w:pPr>
      <w:r w:rsidRPr="007F620E">
        <w:t xml:space="preserve">The claimed costs and </w:t>
      </w:r>
      <w:r w:rsidR="00B127EE">
        <w:t xml:space="preserve">expenses </w:t>
      </w:r>
      <w:r w:rsidRPr="007F620E">
        <w:t xml:space="preserve">are reasonable and commensurate with the work performed. </w:t>
      </w:r>
    </w:p>
    <w:p w:rsidRPr="00B127EE" w:rsidR="00A92D0B" w:rsidRDefault="00A92D0B" w14:paraId="48B52895" w14:textId="26C74E01">
      <w:pPr>
        <w:numPr>
          <w:ilvl w:val="0"/>
          <w:numId w:val="3"/>
        </w:numPr>
        <w:tabs>
          <w:tab w:val="num" w:pos="540"/>
        </w:tabs>
        <w:spacing w:before="240"/>
      </w:pPr>
      <w:r w:rsidRPr="00B127EE">
        <w:lastRenderedPageBreak/>
        <w:t xml:space="preserve">The total of reasonable </w:t>
      </w:r>
      <w:r w:rsidRPr="00B127EE" w:rsidR="003C608A">
        <w:t xml:space="preserve">compensation </w:t>
      </w:r>
      <w:r w:rsidRPr="00B127EE">
        <w:t xml:space="preserve">is </w:t>
      </w:r>
      <w:r w:rsidRPr="00B127EE" w:rsidR="00B127EE">
        <w:rPr>
          <w:color w:val="000000"/>
        </w:rPr>
        <w:t>$18,886.70.</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46C5DF9">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CA7EB9" w14:paraId="33FB4E15" w14:textId="6722EFF3">
      <w:pPr>
        <w:keepNext/>
        <w:numPr>
          <w:ilvl w:val="0"/>
          <w:numId w:val="4"/>
        </w:numPr>
        <w:tabs>
          <w:tab w:val="clear" w:pos="900"/>
          <w:tab w:val="num" w:pos="540"/>
        </w:tabs>
        <w:ind w:left="547" w:hanging="547"/>
        <w:rPr>
          <w:color w:val="000000"/>
        </w:rPr>
      </w:pPr>
      <w:r w:rsidRPr="00CA7EB9">
        <w:t xml:space="preserve">Alliance for Nuclear Responsibility </w:t>
      </w:r>
      <w:r w:rsidR="00831652">
        <w:t>is</w:t>
      </w:r>
      <w:r w:rsidRPr="00FE3BAE" w:rsidR="00FE3BAE">
        <w:t xml:space="preserve"> </w:t>
      </w:r>
      <w:r w:rsidRPr="00FE3BAE" w:rsidR="00A92D0B">
        <w:rPr>
          <w:color w:val="000000"/>
        </w:rPr>
        <w:t xml:space="preserve">awarded </w:t>
      </w:r>
      <w:r w:rsidRPr="00B127EE" w:rsidR="00B127EE">
        <w:rPr>
          <w:color w:val="000000"/>
        </w:rPr>
        <w:t>$18,886.70.</w:t>
      </w:r>
    </w:p>
    <w:p w:rsidR="00A92D0B" w:rsidRDefault="00A92D0B" w14:paraId="4AEF5671" w14:textId="49532A8A">
      <w:pPr>
        <w:numPr>
          <w:ilvl w:val="0"/>
          <w:numId w:val="4"/>
        </w:numPr>
        <w:tabs>
          <w:tab w:val="clear" w:pos="900"/>
          <w:tab w:val="num" w:pos="540"/>
        </w:tabs>
        <w:spacing w:before="240"/>
        <w:ind w:left="547" w:hanging="547"/>
      </w:pPr>
      <w:r w:rsidRPr="007F620E">
        <w:t xml:space="preserve">Within 30 days of the effective date of this decision, </w:t>
      </w:r>
      <w:r w:rsidR="00030A25">
        <w:t>Pacific Gas and Electric Company</w:t>
      </w:r>
      <w:r w:rsidRPr="007F620E" w:rsidR="00030A25">
        <w:t xml:space="preserve"> </w:t>
      </w:r>
      <w:r w:rsidRPr="007F620E">
        <w:t xml:space="preserve">shall pay </w:t>
      </w:r>
      <w:r w:rsidRPr="00CA7EB9" w:rsidR="00CA7EB9">
        <w:t>Alliance for Nuclear Responsibility</w:t>
      </w:r>
      <w:r w:rsidRPr="0022302F" w:rsidR="00CA7EB9">
        <w:t xml:space="preserve"> the</w:t>
      </w:r>
      <w:r w:rsidRPr="0022302F">
        <w:t xml:space="preserv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923F8D">
        <w:t>November 17, 2025</w:t>
      </w:r>
      <w:r w:rsidRPr="007F620E" w:rsidR="00357F1A">
        <w:t xml:space="preserve">, </w:t>
      </w:r>
      <w:r w:rsidRPr="007F620E">
        <w:t>the 75</w:t>
      </w:r>
      <w:r w:rsidRPr="00CA7EB9">
        <w:t>th</w:t>
      </w:r>
      <w:r w:rsidRPr="007F620E">
        <w:t xml:space="preserve"> day after the filing of </w:t>
      </w:r>
      <w:r w:rsidRPr="00CA7EB9" w:rsidR="00CA7EB9">
        <w:t>Alliance for Nuclear Responsibility</w:t>
      </w:r>
      <w:r w:rsidRPr="003B6A1B" w:rsidR="00FE3BAE">
        <w:t>’s</w:t>
      </w:r>
      <w:r w:rsidRPr="00CA7EB9" w:rsidR="00FE3BAE">
        <w:t xml:space="preserve"> </w:t>
      </w:r>
      <w:r w:rsidRPr="007F620E">
        <w:t>request, and continuing until full payment is made.</w:t>
      </w:r>
    </w:p>
    <w:p w:rsidR="00A92D0B" w:rsidP="00DE3A5D" w:rsidRDefault="00A92D0B" w14:paraId="5AD40C95" w14:textId="5B655D2E">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43BE35F1">
      <w:pPr>
        <w:keepNext/>
        <w:keepLines/>
        <w:spacing w:before="240"/>
        <w:ind w:left="547"/>
        <w:rPr>
          <w:color w:val="000000"/>
        </w:rPr>
      </w:pPr>
      <w:r w:rsidRPr="007F620E">
        <w:rPr>
          <w:color w:val="000000"/>
        </w:rPr>
        <w:t xml:space="preserve">Dated </w:t>
      </w:r>
      <w:r w:rsidR="00212FD8">
        <w:rPr>
          <w:color w:val="000000"/>
        </w:rPr>
        <w:t>_____</w:t>
      </w:r>
      <w:r w:rsidR="004C0EA5">
        <w:rPr>
          <w:color w:val="000000"/>
        </w:rPr>
        <w:t>__, 2025</w:t>
      </w:r>
      <w:r w:rsidRPr="007F620E">
        <w:rPr>
          <w:color w:val="000000"/>
        </w:rPr>
        <w:t>, at San Francisco,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382FEB"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97"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B803D5" w:rsidR="00FE3BAE" w:rsidP="00A23C17" w:rsidRDefault="00F84030" w14:paraId="6846FB87" w14:textId="0A34A530">
            <w:pPr>
              <w:jc w:val="center"/>
            </w:pPr>
            <w:r>
              <w:t>No</w:t>
            </w:r>
          </w:p>
        </w:tc>
      </w:tr>
      <w:tr w:rsidRPr="00B803D5" w:rsidR="00382FEB" w:rsidTr="00382FEB"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382FEB" w:rsidP="00382FEB" w:rsidRDefault="00382FEB" w14:paraId="6E65620B" w14:textId="77777777">
            <w:pPr>
              <w:rPr>
                <w:b/>
                <w:bCs/>
              </w:rPr>
            </w:pPr>
            <w:r w:rsidRPr="00F7579D">
              <w:rPr>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5700BE" w:rsidR="00382FEB" w:rsidP="00382FEB" w:rsidRDefault="00382FEB" w14:paraId="426F2C45" w14:textId="50A89880">
            <w:r>
              <w:t>D2507013</w:t>
            </w:r>
          </w:p>
        </w:tc>
      </w:tr>
      <w:tr w:rsidRPr="00B803D5" w:rsidR="00382FEB" w:rsidTr="00382FEB"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382FEB" w:rsidP="00382FEB" w:rsidRDefault="00382FEB" w14:paraId="717974DE" w14:textId="77777777">
            <w:pPr>
              <w:rPr>
                <w:b/>
                <w:bCs/>
              </w:rPr>
            </w:pPr>
            <w:r w:rsidRPr="00F7579D">
              <w:rPr>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5700BE" w:rsidR="00382FEB" w:rsidP="00382FEB" w:rsidRDefault="00382FEB" w14:paraId="5B85688D" w14:textId="6EEF461B">
            <w:r>
              <w:t>A2004023</w:t>
            </w:r>
          </w:p>
        </w:tc>
      </w:tr>
      <w:tr w:rsidRPr="00B803D5" w:rsidR="004B09FB" w:rsidTr="00382FEB"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4B09FB" w:rsidP="004B09FB" w:rsidRDefault="004B09FB" w14:paraId="738C0A58" w14:textId="77777777">
            <w:pPr>
              <w:rPr>
                <w:b/>
                <w:bCs/>
              </w:rPr>
            </w:pPr>
            <w:r w:rsidRPr="00F7579D">
              <w:rPr>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B803D5" w:rsidR="004B09FB" w:rsidP="004B09FB" w:rsidRDefault="004B09FB" w14:paraId="5E75C0F0" w14:textId="3322C3BD">
            <w:r>
              <w:t>ALJ Robert Haga</w:t>
            </w:r>
          </w:p>
        </w:tc>
      </w:tr>
      <w:tr w:rsidRPr="00B803D5" w:rsidR="00610BE3" w:rsidTr="00382FEB"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F7579D" w:rsidR="00610BE3" w:rsidP="00610BE3" w:rsidRDefault="00610BE3" w14:paraId="1414CA71" w14:textId="77777777">
            <w:pPr>
              <w:rPr>
                <w:b/>
                <w:bCs/>
              </w:rPr>
            </w:pPr>
            <w:r w:rsidRPr="00F7579D">
              <w:rPr>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B803D5" w:rsidR="00610BE3" w:rsidP="00610BE3" w:rsidRDefault="00610BE3" w14:paraId="7CA711B6" w14:textId="45149D72">
            <w:r>
              <w:t>Pacific Gas and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D01CAF"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CA7EB9" w:rsidR="00FE3BAE" w:rsidP="00A23C17" w:rsidRDefault="00CA7EB9" w14:paraId="3008FB17" w14:textId="25DF928E">
            <w:pPr>
              <w:jc w:val="center"/>
            </w:pPr>
            <w:r w:rsidRPr="00CA7EB9">
              <w:t>Alliance for Nuclear Responsibility</w:t>
            </w:r>
          </w:p>
        </w:tc>
        <w:tc>
          <w:tcPr>
            <w:tcW w:w="1444" w:type="dxa"/>
            <w:tcBorders>
              <w:top w:val="single" w:color="auto" w:sz="4" w:space="0"/>
              <w:left w:val="single" w:color="auto" w:sz="4" w:space="0"/>
              <w:bottom w:val="single" w:color="auto" w:sz="4" w:space="0"/>
              <w:right w:val="single" w:color="auto" w:sz="4" w:space="0"/>
            </w:tcBorders>
            <w:hideMark/>
          </w:tcPr>
          <w:p w:rsidRPr="00CA7EB9" w:rsidR="00FE3BAE" w:rsidP="00A23C17" w:rsidRDefault="005700BE" w14:paraId="74A276E0" w14:textId="7A0FF615">
            <w:pPr>
              <w:jc w:val="center"/>
            </w:pPr>
            <w:r w:rsidRPr="00CA7EB9">
              <w:t>09/0</w:t>
            </w:r>
            <w:r w:rsidRPr="00CA7EB9" w:rsidR="000F4120">
              <w:t>3</w:t>
            </w:r>
            <w:r w:rsidRPr="00CA7EB9">
              <w:t>/</w:t>
            </w:r>
            <w:r w:rsidRPr="00CA7EB9" w:rsidR="000D2AAA">
              <w:t>20</w:t>
            </w:r>
            <w:r w:rsidRPr="00CA7EB9">
              <w:t>25</w:t>
            </w:r>
          </w:p>
          <w:p w:rsidRPr="005700BE" w:rsidR="005700BE" w:rsidP="005700BE" w:rsidRDefault="005700BE" w14:paraId="63956769" w14:textId="77777777"/>
        </w:tc>
        <w:tc>
          <w:tcPr>
            <w:tcW w:w="1405" w:type="dxa"/>
            <w:tcBorders>
              <w:top w:val="single" w:color="auto" w:sz="4" w:space="0"/>
              <w:left w:val="single" w:color="auto" w:sz="4" w:space="0"/>
              <w:bottom w:val="single" w:color="auto" w:sz="4" w:space="0"/>
              <w:right w:val="single" w:color="auto" w:sz="4" w:space="0"/>
            </w:tcBorders>
            <w:hideMark/>
          </w:tcPr>
          <w:p w:rsidRPr="00CA7EB9" w:rsidR="00FE3BAE" w:rsidP="00A23C17" w:rsidRDefault="005700BE" w14:paraId="75AD20FA" w14:textId="772A7DCF">
            <w:pPr>
              <w:jc w:val="center"/>
            </w:pPr>
            <w:r w:rsidRPr="00CA7EB9">
              <w:t>$18,886.70</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B127EE" w14:paraId="0DD6FE00" w14:textId="625FC686">
            <w:pPr>
              <w:jc w:val="center"/>
            </w:pPr>
            <w:r w:rsidRPr="00B127EE">
              <w:rPr>
                <w:color w:val="000000"/>
              </w:rPr>
              <w:t>$18,886.70</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33AB" w14:paraId="6B53C6F9" w14:textId="6092BC83">
            <w:pPr>
              <w:jc w:val="center"/>
            </w:pPr>
            <w:r>
              <w:t>N/A</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D01CAF"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D01CAF"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0F0C6D6C" w14:textId="4364E2A4">
            <w:pPr>
              <w:jc w:val="center"/>
            </w:pPr>
            <w:r w:rsidRPr="00CA7EB9">
              <w:t xml:space="preserve">John </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6ACE7B68" w14:textId="32122C49">
            <w:pPr>
              <w:jc w:val="center"/>
            </w:pPr>
            <w:r w:rsidRPr="00CA7EB9">
              <w:t>Geesman</w:t>
            </w:r>
          </w:p>
        </w:tc>
        <w:tc>
          <w:tcPr>
            <w:tcW w:w="208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0E61474F" w14:textId="45BD2B15">
            <w:pPr>
              <w:jc w:val="center"/>
            </w:pPr>
            <w:r w:rsidRPr="00CA7EB9">
              <w:t>Attorney</w:t>
            </w:r>
            <w:bookmarkStart w:name="_Ref212025924" w:id="3"/>
            <w:r w:rsidR="00021EEE">
              <w:rPr>
                <w:rStyle w:val="FootnoteReference"/>
              </w:rPr>
              <w:footnoteReference w:id="5"/>
            </w:r>
            <w:bookmarkEnd w:id="3"/>
          </w:p>
        </w:tc>
        <w:tc>
          <w:tcPr>
            <w:tcW w:w="174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4F9655C" w14:textId="5BBC0693">
            <w:pPr>
              <w:jc w:val="center"/>
            </w:pPr>
            <w:r w:rsidRPr="00CA7EB9">
              <w:t>795</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2EB25516" w14:textId="3D30C35F">
            <w:pPr>
              <w:jc w:val="center"/>
            </w:pPr>
            <w:r w:rsidRPr="00CA7EB9">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C33AB" w14:paraId="0A76FE98" w14:textId="6564A0B2">
            <w:pPr>
              <w:jc w:val="center"/>
            </w:pPr>
            <w:r>
              <w:t>$795.00</w:t>
            </w:r>
          </w:p>
        </w:tc>
      </w:tr>
      <w:tr w:rsidRPr="00B803D5" w:rsidR="00C02649" w:rsidTr="00D01CAF"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CFDAB24" w14:textId="4A1D78E7">
            <w:pPr>
              <w:jc w:val="center"/>
            </w:pPr>
            <w:r w:rsidRPr="00CA7EB9">
              <w:t>John</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3A9B4F75" w14:textId="582156A4">
            <w:pPr>
              <w:jc w:val="center"/>
            </w:pPr>
            <w:r w:rsidRPr="00CA7EB9">
              <w:t>Geesman</w:t>
            </w:r>
          </w:p>
        </w:tc>
        <w:tc>
          <w:tcPr>
            <w:tcW w:w="208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73440B00" w14:textId="3B33C708">
            <w:pPr>
              <w:jc w:val="center"/>
            </w:pPr>
            <w:r w:rsidRPr="00CA7EB9">
              <w:t>Attorney</w:t>
            </w:r>
            <w:r w:rsidR="00CC33AB">
              <w:fldChar w:fldCharType="begin"/>
            </w:r>
            <w:r w:rsidR="00CC33AB">
              <w:instrText xml:space="preserve"> NOTEREF _Ref212025924 \f \h </w:instrText>
            </w:r>
            <w:r w:rsidR="00CC33AB">
              <w:fldChar w:fldCharType="separate"/>
            </w:r>
            <w:r w:rsidRPr="00B62D72" w:rsidR="00B62D72">
              <w:rPr>
                <w:rStyle w:val="FootnoteReference"/>
              </w:rPr>
              <w:t>5</w:t>
            </w:r>
            <w:r w:rsidR="00CC33AB">
              <w:fldChar w:fldCharType="end"/>
            </w:r>
          </w:p>
        </w:tc>
        <w:tc>
          <w:tcPr>
            <w:tcW w:w="1748"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1466F47E" w14:textId="265BEBA5">
            <w:pPr>
              <w:jc w:val="center"/>
            </w:pPr>
            <w:r w:rsidRPr="00CA7EB9">
              <w:t>770</w:t>
            </w:r>
          </w:p>
        </w:tc>
        <w:tc>
          <w:tcPr>
            <w:tcW w:w="1725" w:type="dxa"/>
            <w:tcBorders>
              <w:top w:val="single" w:color="auto" w:sz="4" w:space="0"/>
              <w:left w:val="single" w:color="auto" w:sz="4" w:space="0"/>
              <w:bottom w:val="single" w:color="auto" w:sz="4" w:space="0"/>
              <w:right w:val="single" w:color="auto" w:sz="4" w:space="0"/>
            </w:tcBorders>
          </w:tcPr>
          <w:p w:rsidRPr="00CA7EB9" w:rsidR="003B6A1B" w:rsidP="00A23C17" w:rsidRDefault="005700BE" w14:paraId="4CBE320E" w14:textId="39D6C58B">
            <w:pPr>
              <w:jc w:val="center"/>
            </w:pPr>
            <w:r w:rsidRPr="00CA7EB9">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C33AB" w14:paraId="37932A57" w14:textId="6AAAB937">
            <w:pPr>
              <w:jc w:val="center"/>
            </w:pPr>
            <w:r>
              <w:t>$770.00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BC00" w14:textId="77777777" w:rsidR="0039026A" w:rsidRDefault="0039026A" w:rsidP="00885956">
      <w:r>
        <w:separator/>
      </w:r>
    </w:p>
  </w:endnote>
  <w:endnote w:type="continuationSeparator" w:id="0">
    <w:p w14:paraId="3D000181" w14:textId="77777777" w:rsidR="0039026A" w:rsidRDefault="0039026A"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944622"/>
      <w:docPartObj>
        <w:docPartGallery w:val="Page Numbers (Bottom of Page)"/>
        <w:docPartUnique/>
      </w:docPartObj>
    </w:sdtPr>
    <w:sdtEndPr>
      <w:rPr>
        <w:noProof/>
      </w:rPr>
    </w:sdtEndPr>
    <w:sdtContent>
      <w:p w14:paraId="2B494C2D" w14:textId="4016DACD" w:rsidR="00CF1129" w:rsidRDefault="00CA5334" w:rsidP="00EC1225">
        <w:pPr>
          <w:pStyle w:val="Footer"/>
        </w:pPr>
        <w:r w:rsidRPr="00CA5334">
          <w:rPr>
            <w:sz w:val="16"/>
            <w:szCs w:val="16"/>
          </w:rPr>
          <w:t>589802153</w:t>
        </w:r>
        <w:r w:rsidR="00EC1225">
          <w:tab/>
        </w:r>
        <w:r w:rsidR="00EC1225">
          <w:fldChar w:fldCharType="begin"/>
        </w:r>
        <w:r w:rsidR="00EC1225">
          <w:instrText xml:space="preserve"> PAGE   \* MERGEFORMAT </w:instrText>
        </w:r>
        <w:r w:rsidR="00EC1225">
          <w:fldChar w:fldCharType="separate"/>
        </w:r>
        <w:r w:rsidR="00EC1225">
          <w:t>- 1 -</w:t>
        </w:r>
        <w:r w:rsidR="00EC122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B6BE" w14:textId="77777777" w:rsidR="0039026A" w:rsidRDefault="0039026A" w:rsidP="00885956">
      <w:r>
        <w:separator/>
      </w:r>
    </w:p>
  </w:footnote>
  <w:footnote w:type="continuationSeparator" w:id="0">
    <w:p w14:paraId="3A49B0B2" w14:textId="77777777" w:rsidR="0039026A" w:rsidRDefault="0039026A"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740FA648"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1294F0BE" w14:textId="49F712AB" w:rsidR="00E91981" w:rsidRDefault="00E91981">
      <w:pPr>
        <w:pStyle w:val="FootnoteText"/>
      </w:pPr>
      <w:r>
        <w:rPr>
          <w:rStyle w:val="FootnoteReference"/>
        </w:rPr>
        <w:footnoteRef/>
      </w:r>
      <w:r>
        <w:t xml:space="preserve"> </w:t>
      </w:r>
      <w:r w:rsidR="00266061">
        <w:t>A</w:t>
      </w:r>
      <w:r w:rsidRPr="00E91981">
        <w:t>ttachments not attached to final Decision</w:t>
      </w:r>
      <w:r>
        <w:t>.</w:t>
      </w:r>
    </w:p>
  </w:footnote>
  <w:footnote w:id="4">
    <w:p w14:paraId="1131032B" w14:textId="77777777" w:rsidR="00F9211B" w:rsidRDefault="00F9211B" w:rsidP="00DC1BD3">
      <w:pPr>
        <w:pStyle w:val="FootnoteText"/>
      </w:pPr>
      <w:r>
        <w:rPr>
          <w:rStyle w:val="FootnoteReference"/>
        </w:rPr>
        <w:footnoteRef/>
      </w:r>
      <w:r>
        <w:t xml:space="preserve"> </w:t>
      </w:r>
      <w:r w:rsidRPr="00390673">
        <w:t xml:space="preserve">D.07-01-009, D.08-04-010, and ALJ Resolution ALJ 235.   </w:t>
      </w:r>
    </w:p>
  </w:footnote>
  <w:footnote w:id="5">
    <w:p w14:paraId="052A9D6C" w14:textId="3D4E48CA" w:rsidR="00021EEE" w:rsidRDefault="00021EEE">
      <w:pPr>
        <w:pStyle w:val="FootnoteText"/>
      </w:pPr>
      <w:r>
        <w:rPr>
          <w:rStyle w:val="FootnoteReference"/>
        </w:rPr>
        <w:footnoteRef/>
      </w:r>
      <w:r>
        <w:t xml:space="preserve"> </w:t>
      </w:r>
      <w:r w:rsidR="00712D32">
        <w:t xml:space="preserve">Geesman serves </w:t>
      </w:r>
      <w:r>
        <w:t>A4NR</w:t>
      </w:r>
      <w:r w:rsidR="00712D32">
        <w:t xml:space="preserve"> as a consultant</w:t>
      </w:r>
      <w:r>
        <w:t xml:space="preserve">. </w:t>
      </w:r>
      <w:r w:rsidR="00CC33AB">
        <w:t>Geesman is</w:t>
      </w:r>
      <w:r w:rsidR="00712D32">
        <w:t xml:space="preserve"> classified</w:t>
      </w:r>
      <w:r w:rsidR="00CC33AB">
        <w:t xml:space="preserve"> </w:t>
      </w:r>
      <w:r w:rsidR="001009E3">
        <w:t xml:space="preserve">as </w:t>
      </w:r>
      <w:r w:rsidR="00CC33AB">
        <w:t>an Attorney V for 2024 and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39A3" w14:textId="20DA3FB5" w:rsidR="004C0EA5" w:rsidRDefault="004C0EA5">
    <w:pPr>
      <w:pStyle w:val="Header"/>
      <w:rPr>
        <w:b/>
        <w:bCs/>
      </w:rPr>
    </w:pPr>
    <w:r>
      <w:t>A.24-04-</w:t>
    </w:r>
    <w:proofErr w:type="gramStart"/>
    <w:r>
      <w:t>023  ALJ</w:t>
    </w:r>
    <w:proofErr w:type="gramEnd"/>
    <w:r>
      <w:t>/RWH/jds</w:t>
    </w:r>
    <w:r w:rsidR="00212FD8">
      <w:tab/>
    </w:r>
    <w:r w:rsidR="00212FD8">
      <w:tab/>
    </w:r>
    <w:r w:rsidR="00212FD8" w:rsidRPr="00212FD8">
      <w:rPr>
        <w:b/>
        <w:bCs/>
      </w:rPr>
      <w:t>PROPOSED DECISION</w:t>
    </w:r>
  </w:p>
  <w:p w14:paraId="52BA3932" w14:textId="77777777" w:rsidR="00212FD8" w:rsidRDefault="00212FD8">
    <w:pPr>
      <w:pStyle w:val="Header"/>
      <w:rPr>
        <w:b/>
        <w:bCs/>
      </w:rPr>
    </w:pPr>
  </w:p>
  <w:p w14:paraId="6CF7FA9A" w14:textId="77777777" w:rsidR="00212FD8" w:rsidRDefault="0021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11851"/>
    <w:rsid w:val="00021EEE"/>
    <w:rsid w:val="00024393"/>
    <w:rsid w:val="00026A15"/>
    <w:rsid w:val="00030A25"/>
    <w:rsid w:val="00034492"/>
    <w:rsid w:val="00036F54"/>
    <w:rsid w:val="000421A2"/>
    <w:rsid w:val="00045A2F"/>
    <w:rsid w:val="00050A64"/>
    <w:rsid w:val="00054430"/>
    <w:rsid w:val="0005538D"/>
    <w:rsid w:val="00055843"/>
    <w:rsid w:val="00072C81"/>
    <w:rsid w:val="00073262"/>
    <w:rsid w:val="00076700"/>
    <w:rsid w:val="000971C0"/>
    <w:rsid w:val="000B34EE"/>
    <w:rsid w:val="000D2AAA"/>
    <w:rsid w:val="000D6CA0"/>
    <w:rsid w:val="000D6DF8"/>
    <w:rsid w:val="000E12AF"/>
    <w:rsid w:val="000E41D9"/>
    <w:rsid w:val="000E65E3"/>
    <w:rsid w:val="000E6ABD"/>
    <w:rsid w:val="000F303B"/>
    <w:rsid w:val="000F4120"/>
    <w:rsid w:val="000F595C"/>
    <w:rsid w:val="000F7670"/>
    <w:rsid w:val="001009E3"/>
    <w:rsid w:val="0010480F"/>
    <w:rsid w:val="00110D89"/>
    <w:rsid w:val="00115DBF"/>
    <w:rsid w:val="0011656F"/>
    <w:rsid w:val="00123103"/>
    <w:rsid w:val="00125492"/>
    <w:rsid w:val="0012796E"/>
    <w:rsid w:val="001346EB"/>
    <w:rsid w:val="00141A4E"/>
    <w:rsid w:val="00151AA8"/>
    <w:rsid w:val="00152F94"/>
    <w:rsid w:val="00171EBF"/>
    <w:rsid w:val="00175865"/>
    <w:rsid w:val="00180E8C"/>
    <w:rsid w:val="00182037"/>
    <w:rsid w:val="001859A7"/>
    <w:rsid w:val="00191856"/>
    <w:rsid w:val="00192E2D"/>
    <w:rsid w:val="001962EB"/>
    <w:rsid w:val="001967BC"/>
    <w:rsid w:val="001A3CF3"/>
    <w:rsid w:val="001B4565"/>
    <w:rsid w:val="001C0DD1"/>
    <w:rsid w:val="001C21AE"/>
    <w:rsid w:val="001C6293"/>
    <w:rsid w:val="001C6CBE"/>
    <w:rsid w:val="001D3775"/>
    <w:rsid w:val="001D3ED2"/>
    <w:rsid w:val="001D5DAB"/>
    <w:rsid w:val="001D5F5B"/>
    <w:rsid w:val="001E6AFE"/>
    <w:rsid w:val="001E77CF"/>
    <w:rsid w:val="001E7EE2"/>
    <w:rsid w:val="001F238E"/>
    <w:rsid w:val="001F431A"/>
    <w:rsid w:val="00204E3A"/>
    <w:rsid w:val="0021209B"/>
    <w:rsid w:val="00212E10"/>
    <w:rsid w:val="00212FD8"/>
    <w:rsid w:val="00214B22"/>
    <w:rsid w:val="00217224"/>
    <w:rsid w:val="0022054E"/>
    <w:rsid w:val="00221AD8"/>
    <w:rsid w:val="00221DD3"/>
    <w:rsid w:val="0022302F"/>
    <w:rsid w:val="00230392"/>
    <w:rsid w:val="00240FD2"/>
    <w:rsid w:val="002415DC"/>
    <w:rsid w:val="002466F8"/>
    <w:rsid w:val="00256F00"/>
    <w:rsid w:val="00260518"/>
    <w:rsid w:val="00262EEB"/>
    <w:rsid w:val="00264235"/>
    <w:rsid w:val="00264333"/>
    <w:rsid w:val="00266061"/>
    <w:rsid w:val="00270E2E"/>
    <w:rsid w:val="00273208"/>
    <w:rsid w:val="00294A7A"/>
    <w:rsid w:val="002A3455"/>
    <w:rsid w:val="002A6B5F"/>
    <w:rsid w:val="002A6C07"/>
    <w:rsid w:val="002B7B4C"/>
    <w:rsid w:val="002C3EEE"/>
    <w:rsid w:val="002C701E"/>
    <w:rsid w:val="002D21CA"/>
    <w:rsid w:val="002D25E2"/>
    <w:rsid w:val="002D275D"/>
    <w:rsid w:val="002D2ED8"/>
    <w:rsid w:val="002D53AA"/>
    <w:rsid w:val="002D5893"/>
    <w:rsid w:val="002E58AC"/>
    <w:rsid w:val="002E5F83"/>
    <w:rsid w:val="002E77D8"/>
    <w:rsid w:val="00303C2B"/>
    <w:rsid w:val="003202C1"/>
    <w:rsid w:val="00327081"/>
    <w:rsid w:val="00331AAD"/>
    <w:rsid w:val="003337B6"/>
    <w:rsid w:val="00340DAF"/>
    <w:rsid w:val="00346D9B"/>
    <w:rsid w:val="003501DD"/>
    <w:rsid w:val="00357623"/>
    <w:rsid w:val="00357F1A"/>
    <w:rsid w:val="00363FD7"/>
    <w:rsid w:val="00366E56"/>
    <w:rsid w:val="00374FD1"/>
    <w:rsid w:val="00377884"/>
    <w:rsid w:val="003803EC"/>
    <w:rsid w:val="00380703"/>
    <w:rsid w:val="00382FEB"/>
    <w:rsid w:val="0039026A"/>
    <w:rsid w:val="00390734"/>
    <w:rsid w:val="003A03A9"/>
    <w:rsid w:val="003A599E"/>
    <w:rsid w:val="003B1782"/>
    <w:rsid w:val="003B5EAC"/>
    <w:rsid w:val="003B6A1B"/>
    <w:rsid w:val="003C608A"/>
    <w:rsid w:val="003D359B"/>
    <w:rsid w:val="003D4455"/>
    <w:rsid w:val="003E2FA2"/>
    <w:rsid w:val="003E34FD"/>
    <w:rsid w:val="003E490C"/>
    <w:rsid w:val="003E7E0F"/>
    <w:rsid w:val="003F51B5"/>
    <w:rsid w:val="004118B6"/>
    <w:rsid w:val="00435C30"/>
    <w:rsid w:val="00443BFD"/>
    <w:rsid w:val="00450594"/>
    <w:rsid w:val="004534E7"/>
    <w:rsid w:val="00454111"/>
    <w:rsid w:val="0046248A"/>
    <w:rsid w:val="00467E65"/>
    <w:rsid w:val="00471115"/>
    <w:rsid w:val="00480BF6"/>
    <w:rsid w:val="004840D2"/>
    <w:rsid w:val="004A63A3"/>
    <w:rsid w:val="004A6FD4"/>
    <w:rsid w:val="004B09FB"/>
    <w:rsid w:val="004C04D7"/>
    <w:rsid w:val="004C0961"/>
    <w:rsid w:val="004C0EA5"/>
    <w:rsid w:val="004C39A1"/>
    <w:rsid w:val="004D6531"/>
    <w:rsid w:val="004D6B6D"/>
    <w:rsid w:val="004D779D"/>
    <w:rsid w:val="004E0395"/>
    <w:rsid w:val="004E3939"/>
    <w:rsid w:val="004E3D93"/>
    <w:rsid w:val="004E4156"/>
    <w:rsid w:val="004F11F6"/>
    <w:rsid w:val="005041A8"/>
    <w:rsid w:val="005061B8"/>
    <w:rsid w:val="00506F00"/>
    <w:rsid w:val="00516CE7"/>
    <w:rsid w:val="005215EF"/>
    <w:rsid w:val="00521815"/>
    <w:rsid w:val="00521B86"/>
    <w:rsid w:val="00524D7F"/>
    <w:rsid w:val="00527FDB"/>
    <w:rsid w:val="00533373"/>
    <w:rsid w:val="005347EF"/>
    <w:rsid w:val="0053597C"/>
    <w:rsid w:val="005374AD"/>
    <w:rsid w:val="00547145"/>
    <w:rsid w:val="00551967"/>
    <w:rsid w:val="0055228B"/>
    <w:rsid w:val="0056479F"/>
    <w:rsid w:val="005700BE"/>
    <w:rsid w:val="0057088A"/>
    <w:rsid w:val="005750AD"/>
    <w:rsid w:val="00575494"/>
    <w:rsid w:val="005764F1"/>
    <w:rsid w:val="005823D2"/>
    <w:rsid w:val="005912FA"/>
    <w:rsid w:val="0059289A"/>
    <w:rsid w:val="00594D9A"/>
    <w:rsid w:val="005A3018"/>
    <w:rsid w:val="005A53F1"/>
    <w:rsid w:val="005A54E4"/>
    <w:rsid w:val="005A63D4"/>
    <w:rsid w:val="005A65C2"/>
    <w:rsid w:val="005B185D"/>
    <w:rsid w:val="005B5B44"/>
    <w:rsid w:val="005B6BF5"/>
    <w:rsid w:val="005C015B"/>
    <w:rsid w:val="005C260A"/>
    <w:rsid w:val="005C2E56"/>
    <w:rsid w:val="005C327F"/>
    <w:rsid w:val="005D1FFE"/>
    <w:rsid w:val="005E093B"/>
    <w:rsid w:val="005E3E41"/>
    <w:rsid w:val="005F4D82"/>
    <w:rsid w:val="00610BE3"/>
    <w:rsid w:val="006137C6"/>
    <w:rsid w:val="00614819"/>
    <w:rsid w:val="00620AE0"/>
    <w:rsid w:val="00621A7C"/>
    <w:rsid w:val="00645562"/>
    <w:rsid w:val="0065087E"/>
    <w:rsid w:val="00652DEA"/>
    <w:rsid w:val="00660D7E"/>
    <w:rsid w:val="006637D2"/>
    <w:rsid w:val="00663F0B"/>
    <w:rsid w:val="006730BB"/>
    <w:rsid w:val="00673595"/>
    <w:rsid w:val="00673EB1"/>
    <w:rsid w:val="00685AAE"/>
    <w:rsid w:val="00691528"/>
    <w:rsid w:val="00692738"/>
    <w:rsid w:val="0069508C"/>
    <w:rsid w:val="006A100E"/>
    <w:rsid w:val="006A12A0"/>
    <w:rsid w:val="006A2402"/>
    <w:rsid w:val="006A7272"/>
    <w:rsid w:val="006B0BC7"/>
    <w:rsid w:val="006B7228"/>
    <w:rsid w:val="006B7375"/>
    <w:rsid w:val="006B74FC"/>
    <w:rsid w:val="006D1BE0"/>
    <w:rsid w:val="006D4B0E"/>
    <w:rsid w:val="006D5264"/>
    <w:rsid w:val="006D67C9"/>
    <w:rsid w:val="006E7731"/>
    <w:rsid w:val="006F1AAE"/>
    <w:rsid w:val="0070293A"/>
    <w:rsid w:val="00703D5A"/>
    <w:rsid w:val="007056FC"/>
    <w:rsid w:val="00711F35"/>
    <w:rsid w:val="00712D32"/>
    <w:rsid w:val="00734D8D"/>
    <w:rsid w:val="0074620B"/>
    <w:rsid w:val="00757B44"/>
    <w:rsid w:val="00763797"/>
    <w:rsid w:val="007714CB"/>
    <w:rsid w:val="00771857"/>
    <w:rsid w:val="007759C0"/>
    <w:rsid w:val="007773A9"/>
    <w:rsid w:val="00780C7B"/>
    <w:rsid w:val="00786CAD"/>
    <w:rsid w:val="00795EDF"/>
    <w:rsid w:val="007A3FCC"/>
    <w:rsid w:val="007B6EA5"/>
    <w:rsid w:val="007C1B69"/>
    <w:rsid w:val="007E71C3"/>
    <w:rsid w:val="007F1B64"/>
    <w:rsid w:val="007F3B5F"/>
    <w:rsid w:val="007F620E"/>
    <w:rsid w:val="007F671B"/>
    <w:rsid w:val="007F6CF5"/>
    <w:rsid w:val="00802101"/>
    <w:rsid w:val="00802701"/>
    <w:rsid w:val="00811DB1"/>
    <w:rsid w:val="00815F1F"/>
    <w:rsid w:val="0081626F"/>
    <w:rsid w:val="00816756"/>
    <w:rsid w:val="0082123D"/>
    <w:rsid w:val="00831652"/>
    <w:rsid w:val="0083350A"/>
    <w:rsid w:val="0083442F"/>
    <w:rsid w:val="00844E69"/>
    <w:rsid w:val="0084514A"/>
    <w:rsid w:val="00855FD7"/>
    <w:rsid w:val="008650B6"/>
    <w:rsid w:val="008678C0"/>
    <w:rsid w:val="00880855"/>
    <w:rsid w:val="008844B6"/>
    <w:rsid w:val="00885956"/>
    <w:rsid w:val="00886869"/>
    <w:rsid w:val="0089683D"/>
    <w:rsid w:val="008B37A1"/>
    <w:rsid w:val="008B67E2"/>
    <w:rsid w:val="008C09F7"/>
    <w:rsid w:val="008C2208"/>
    <w:rsid w:val="008D05AA"/>
    <w:rsid w:val="008D3F66"/>
    <w:rsid w:val="008E182E"/>
    <w:rsid w:val="008E23A1"/>
    <w:rsid w:val="008E3450"/>
    <w:rsid w:val="008E4336"/>
    <w:rsid w:val="008E6AEE"/>
    <w:rsid w:val="008F1E01"/>
    <w:rsid w:val="009108AB"/>
    <w:rsid w:val="00915118"/>
    <w:rsid w:val="00923F8D"/>
    <w:rsid w:val="00924C2C"/>
    <w:rsid w:val="00925C4D"/>
    <w:rsid w:val="00925FAB"/>
    <w:rsid w:val="00942946"/>
    <w:rsid w:val="00945134"/>
    <w:rsid w:val="00946210"/>
    <w:rsid w:val="009550FC"/>
    <w:rsid w:val="00963EEF"/>
    <w:rsid w:val="00970A0B"/>
    <w:rsid w:val="009A1F84"/>
    <w:rsid w:val="009A2DAD"/>
    <w:rsid w:val="009A62F6"/>
    <w:rsid w:val="009A741E"/>
    <w:rsid w:val="009B5AF5"/>
    <w:rsid w:val="009B671D"/>
    <w:rsid w:val="009C01D3"/>
    <w:rsid w:val="009C0819"/>
    <w:rsid w:val="009C41F5"/>
    <w:rsid w:val="009C566F"/>
    <w:rsid w:val="009D054C"/>
    <w:rsid w:val="009E48E4"/>
    <w:rsid w:val="009E777E"/>
    <w:rsid w:val="00A0067C"/>
    <w:rsid w:val="00A07A96"/>
    <w:rsid w:val="00A12E26"/>
    <w:rsid w:val="00A15C3A"/>
    <w:rsid w:val="00A23930"/>
    <w:rsid w:val="00A24E91"/>
    <w:rsid w:val="00A319DE"/>
    <w:rsid w:val="00A55C2A"/>
    <w:rsid w:val="00A60203"/>
    <w:rsid w:val="00A67E89"/>
    <w:rsid w:val="00A75949"/>
    <w:rsid w:val="00A75D2D"/>
    <w:rsid w:val="00A86489"/>
    <w:rsid w:val="00A86988"/>
    <w:rsid w:val="00A910F1"/>
    <w:rsid w:val="00A92C13"/>
    <w:rsid w:val="00A92D0B"/>
    <w:rsid w:val="00AA010E"/>
    <w:rsid w:val="00AA1740"/>
    <w:rsid w:val="00AB2F7F"/>
    <w:rsid w:val="00AB3510"/>
    <w:rsid w:val="00AC5A4B"/>
    <w:rsid w:val="00AD5797"/>
    <w:rsid w:val="00AD742A"/>
    <w:rsid w:val="00AE18F2"/>
    <w:rsid w:val="00AE429F"/>
    <w:rsid w:val="00AE6295"/>
    <w:rsid w:val="00AE6469"/>
    <w:rsid w:val="00AE6488"/>
    <w:rsid w:val="00AF0901"/>
    <w:rsid w:val="00AF2B67"/>
    <w:rsid w:val="00AF61A9"/>
    <w:rsid w:val="00B00BCD"/>
    <w:rsid w:val="00B03003"/>
    <w:rsid w:val="00B0674E"/>
    <w:rsid w:val="00B127EE"/>
    <w:rsid w:val="00B1593B"/>
    <w:rsid w:val="00B17005"/>
    <w:rsid w:val="00B30760"/>
    <w:rsid w:val="00B30F84"/>
    <w:rsid w:val="00B312DA"/>
    <w:rsid w:val="00B31565"/>
    <w:rsid w:val="00B50AB4"/>
    <w:rsid w:val="00B51C2B"/>
    <w:rsid w:val="00B51F03"/>
    <w:rsid w:val="00B54991"/>
    <w:rsid w:val="00B55CCD"/>
    <w:rsid w:val="00B55D78"/>
    <w:rsid w:val="00B57843"/>
    <w:rsid w:val="00B62AC0"/>
    <w:rsid w:val="00B62D72"/>
    <w:rsid w:val="00B66CF5"/>
    <w:rsid w:val="00B67DC6"/>
    <w:rsid w:val="00B803D5"/>
    <w:rsid w:val="00B82B1A"/>
    <w:rsid w:val="00B93F60"/>
    <w:rsid w:val="00B97FF2"/>
    <w:rsid w:val="00BA0EC2"/>
    <w:rsid w:val="00BA548C"/>
    <w:rsid w:val="00BB2942"/>
    <w:rsid w:val="00BB49BB"/>
    <w:rsid w:val="00BC524D"/>
    <w:rsid w:val="00BE45D0"/>
    <w:rsid w:val="00BE731A"/>
    <w:rsid w:val="00BF2F45"/>
    <w:rsid w:val="00C02649"/>
    <w:rsid w:val="00C0362B"/>
    <w:rsid w:val="00C0471D"/>
    <w:rsid w:val="00C054C2"/>
    <w:rsid w:val="00C13B3F"/>
    <w:rsid w:val="00C16981"/>
    <w:rsid w:val="00C27100"/>
    <w:rsid w:val="00C372E0"/>
    <w:rsid w:val="00C46779"/>
    <w:rsid w:val="00C47A2B"/>
    <w:rsid w:val="00C60388"/>
    <w:rsid w:val="00C7388C"/>
    <w:rsid w:val="00C742D7"/>
    <w:rsid w:val="00C765A2"/>
    <w:rsid w:val="00C80771"/>
    <w:rsid w:val="00C84298"/>
    <w:rsid w:val="00C91EEE"/>
    <w:rsid w:val="00CA5334"/>
    <w:rsid w:val="00CA7441"/>
    <w:rsid w:val="00CA7EB9"/>
    <w:rsid w:val="00CB053A"/>
    <w:rsid w:val="00CB74C4"/>
    <w:rsid w:val="00CC10AF"/>
    <w:rsid w:val="00CC33AB"/>
    <w:rsid w:val="00CC4B40"/>
    <w:rsid w:val="00CD6886"/>
    <w:rsid w:val="00CD7D17"/>
    <w:rsid w:val="00CE008A"/>
    <w:rsid w:val="00CE057B"/>
    <w:rsid w:val="00CF1129"/>
    <w:rsid w:val="00D01CAF"/>
    <w:rsid w:val="00D05E73"/>
    <w:rsid w:val="00D06938"/>
    <w:rsid w:val="00D075B1"/>
    <w:rsid w:val="00D10372"/>
    <w:rsid w:val="00D1778A"/>
    <w:rsid w:val="00D20C21"/>
    <w:rsid w:val="00D27D5F"/>
    <w:rsid w:val="00D30039"/>
    <w:rsid w:val="00D30C4F"/>
    <w:rsid w:val="00D36884"/>
    <w:rsid w:val="00D36927"/>
    <w:rsid w:val="00D56BCA"/>
    <w:rsid w:val="00D6089D"/>
    <w:rsid w:val="00D7238A"/>
    <w:rsid w:val="00D74F4E"/>
    <w:rsid w:val="00D75107"/>
    <w:rsid w:val="00D82ABA"/>
    <w:rsid w:val="00D84F94"/>
    <w:rsid w:val="00D8769E"/>
    <w:rsid w:val="00DA263B"/>
    <w:rsid w:val="00DA3AEE"/>
    <w:rsid w:val="00DA4858"/>
    <w:rsid w:val="00DB7372"/>
    <w:rsid w:val="00DC64BB"/>
    <w:rsid w:val="00DD52BB"/>
    <w:rsid w:val="00DE3A5D"/>
    <w:rsid w:val="00DF39F9"/>
    <w:rsid w:val="00E00990"/>
    <w:rsid w:val="00E00FCE"/>
    <w:rsid w:val="00E06460"/>
    <w:rsid w:val="00E15DC3"/>
    <w:rsid w:val="00E17B34"/>
    <w:rsid w:val="00E21EA5"/>
    <w:rsid w:val="00E25078"/>
    <w:rsid w:val="00E27142"/>
    <w:rsid w:val="00E33447"/>
    <w:rsid w:val="00E3786F"/>
    <w:rsid w:val="00E40140"/>
    <w:rsid w:val="00E41E7A"/>
    <w:rsid w:val="00E52992"/>
    <w:rsid w:val="00E60942"/>
    <w:rsid w:val="00E66FE7"/>
    <w:rsid w:val="00E75E09"/>
    <w:rsid w:val="00E775D0"/>
    <w:rsid w:val="00E81881"/>
    <w:rsid w:val="00E91981"/>
    <w:rsid w:val="00E9366A"/>
    <w:rsid w:val="00E959A0"/>
    <w:rsid w:val="00E96CE5"/>
    <w:rsid w:val="00EB0DBA"/>
    <w:rsid w:val="00EB4E4B"/>
    <w:rsid w:val="00EB64CF"/>
    <w:rsid w:val="00EC1225"/>
    <w:rsid w:val="00EC41E8"/>
    <w:rsid w:val="00EC6387"/>
    <w:rsid w:val="00EC77BF"/>
    <w:rsid w:val="00ED395E"/>
    <w:rsid w:val="00ED5AE6"/>
    <w:rsid w:val="00ED6B6B"/>
    <w:rsid w:val="00EF15FF"/>
    <w:rsid w:val="00F028C8"/>
    <w:rsid w:val="00F04904"/>
    <w:rsid w:val="00F20061"/>
    <w:rsid w:val="00F23021"/>
    <w:rsid w:val="00F26371"/>
    <w:rsid w:val="00F2682B"/>
    <w:rsid w:val="00F30DA8"/>
    <w:rsid w:val="00F32398"/>
    <w:rsid w:val="00F34C1F"/>
    <w:rsid w:val="00F36FCD"/>
    <w:rsid w:val="00F3772B"/>
    <w:rsid w:val="00F46FAC"/>
    <w:rsid w:val="00F47E87"/>
    <w:rsid w:val="00F63C29"/>
    <w:rsid w:val="00F650AE"/>
    <w:rsid w:val="00F7579D"/>
    <w:rsid w:val="00F81371"/>
    <w:rsid w:val="00F81778"/>
    <w:rsid w:val="00F84030"/>
    <w:rsid w:val="00F862A9"/>
    <w:rsid w:val="00F9211B"/>
    <w:rsid w:val="00FA0836"/>
    <w:rsid w:val="00FA4732"/>
    <w:rsid w:val="00FC3AF0"/>
    <w:rsid w:val="00FC72B7"/>
    <w:rsid w:val="00FD688E"/>
    <w:rsid w:val="00FE0080"/>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4095">
      <w:bodyDiv w:val="1"/>
      <w:marLeft w:val="0"/>
      <w:marRight w:val="0"/>
      <w:marTop w:val="0"/>
      <w:marBottom w:val="0"/>
      <w:divBdr>
        <w:top w:val="none" w:sz="0" w:space="0" w:color="auto"/>
        <w:left w:val="none" w:sz="0" w:space="0" w:color="auto"/>
        <w:bottom w:val="none" w:sz="0" w:space="0" w:color="auto"/>
        <w:right w:val="none" w:sz="0" w:space="0" w:color="auto"/>
      </w:divBdr>
      <w:divsChild>
        <w:div w:id="1653369751">
          <w:marLeft w:val="0"/>
          <w:marRight w:val="0"/>
          <w:marTop w:val="0"/>
          <w:marBottom w:val="0"/>
          <w:divBdr>
            <w:top w:val="none" w:sz="0" w:space="0" w:color="auto"/>
            <w:left w:val="none" w:sz="0" w:space="0" w:color="auto"/>
            <w:bottom w:val="none" w:sz="0" w:space="0" w:color="auto"/>
            <w:right w:val="none" w:sz="0" w:space="0" w:color="auto"/>
          </w:divBdr>
        </w:div>
      </w:divsChild>
    </w:div>
    <w:div w:id="985934811">
      <w:bodyDiv w:val="1"/>
      <w:marLeft w:val="0"/>
      <w:marRight w:val="0"/>
      <w:marTop w:val="0"/>
      <w:marBottom w:val="0"/>
      <w:divBdr>
        <w:top w:val="none" w:sz="0" w:space="0" w:color="auto"/>
        <w:left w:val="none" w:sz="0" w:space="0" w:color="auto"/>
        <w:bottom w:val="none" w:sz="0" w:space="0" w:color="auto"/>
        <w:right w:val="none" w:sz="0" w:space="0" w:color="auto"/>
      </w:divBdr>
    </w:div>
    <w:div w:id="1132140859">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2532</ap:Words>
  <ap:Characters>14438</ap:Characters>
  <ap:Application>Microsoft Office Word</ap:Application>
  <ap:DocSecurity>0</ap:DocSecurity>
  <ap:Lines>120</ap:Lines>
  <ap:Paragraphs>33</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16937</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2025-12-03T16:16:40Z</dcterms:created>
  <dcterms:modified xsi:type="dcterms:W3CDTF">2025-12-03T16:16:40Z</dcterms:modified>
</cp:coreProperties>
</file>