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51CB" w:rsidR="001E3916" w:rsidP="001E3916" w:rsidRDefault="001E3916" w14:paraId="6D4D9F1F" w14:textId="42FA57FE">
      <w:pPr>
        <w:rPr>
          <w:b/>
          <w:bCs/>
          <w:color w:val="000000"/>
        </w:rPr>
      </w:pPr>
      <w:r w:rsidRPr="004C6FAC">
        <w:rPr>
          <w:color w:val="000000"/>
        </w:rPr>
        <w:t>ALJ/JF2</w:t>
      </w:r>
      <w:r>
        <w:rPr>
          <w:color w:val="000000"/>
        </w:rPr>
        <w:t>/CR2/hma</w:t>
      </w:r>
      <w:r w:rsidRPr="004C6FAC">
        <w:rPr>
          <w:color w:val="000000"/>
        </w:rPr>
        <w:tab/>
      </w:r>
      <w:r w:rsidRPr="004C6FAC">
        <w:rPr>
          <w:color w:val="000000"/>
        </w:rPr>
        <w:tab/>
      </w:r>
      <w:r w:rsidR="005351CB">
        <w:rPr>
          <w:color w:val="000000"/>
        </w:rPr>
        <w:tab/>
      </w:r>
      <w:r w:rsidR="00737AB9">
        <w:rPr>
          <w:b/>
          <w:bCs/>
          <w:color w:val="000000"/>
        </w:rPr>
        <w:tab/>
      </w:r>
      <w:r w:rsidR="00737AB9">
        <w:rPr>
          <w:b/>
          <w:bCs/>
          <w:color w:val="000000"/>
        </w:rPr>
        <w:tab/>
      </w:r>
      <w:r w:rsidRPr="005351CB">
        <w:rPr>
          <w:b/>
          <w:bCs/>
          <w:color w:val="000000"/>
        </w:rPr>
        <w:tab/>
      </w:r>
      <w:r w:rsidRPr="005351CB">
        <w:rPr>
          <w:b/>
          <w:bCs/>
          <w:color w:val="000000"/>
        </w:rPr>
        <w:tab/>
      </w:r>
      <w:r w:rsidR="00737AB9">
        <w:rPr>
          <w:b/>
          <w:bCs/>
          <w:color w:val="000000"/>
        </w:rPr>
        <w:t>Date of Issuance 12/5/2025</w:t>
      </w:r>
    </w:p>
    <w:p w:rsidRPr="004C6FAC" w:rsidR="001E3916" w:rsidP="001E3916" w:rsidRDefault="001E3916" w14:paraId="55DE5249" w14:textId="77777777">
      <w:pPr>
        <w:rPr>
          <w:color w:val="000000"/>
        </w:rPr>
      </w:pPr>
    </w:p>
    <w:p w:rsidR="00F47C88" w:rsidP="003D3709" w:rsidRDefault="00F47C88" w14:paraId="26003BCD" w14:textId="77777777">
      <w:pPr>
        <w:widowControl w:val="0"/>
        <w:contextualSpacing/>
        <w:rPr>
          <w:color w:val="000000"/>
        </w:rPr>
      </w:pPr>
    </w:p>
    <w:p w:rsidR="001E3916" w:rsidP="003D3709" w:rsidRDefault="001E3916" w14:paraId="299605E9" w14:textId="77777777">
      <w:pPr>
        <w:widowControl w:val="0"/>
        <w:contextualSpacing/>
      </w:pPr>
    </w:p>
    <w:p w:rsidRPr="007F620E" w:rsidR="00645220" w:rsidP="003D3709" w:rsidRDefault="00645220" w14:paraId="7A173C2F" w14:textId="14D107F0">
      <w:pPr>
        <w:widowControl w:val="0"/>
        <w:contextualSpacing/>
      </w:pPr>
      <w:r w:rsidRPr="007F620E">
        <w:t>Decision</w:t>
      </w:r>
      <w:r w:rsidR="00737AB9">
        <w:t xml:space="preserve"> 25-12-013 December 4, 2025</w:t>
      </w:r>
    </w:p>
    <w:p w:rsidRPr="007F620E" w:rsidR="00645220" w:rsidP="003D3709" w:rsidRDefault="00645220" w14:paraId="686CC84A" w14:textId="77777777">
      <w:pPr>
        <w:widowControl w:val="0"/>
        <w:contextualSpacing/>
      </w:pPr>
    </w:p>
    <w:p w:rsidRPr="0057088A" w:rsidR="00645220" w:rsidP="003D3709" w:rsidRDefault="00645220" w14:paraId="304CAA68" w14:textId="77777777">
      <w:pPr>
        <w:widowControl w:val="0"/>
        <w:contextualSpacing/>
        <w:rPr>
          <w:rFonts w:ascii="Arial" w:hAnsi="Arial"/>
          <w:b/>
          <w:bCs/>
        </w:rPr>
      </w:pPr>
      <w:r w:rsidRPr="2320ED69">
        <w:rPr>
          <w:rFonts w:ascii="Arial" w:hAnsi="Arial"/>
          <w:b/>
          <w:bCs/>
        </w:rPr>
        <w:t>BEFORE THE PUBLIC UTILITIES COMMISSION OF THE STATE OF CALIFORNIA</w:t>
      </w:r>
    </w:p>
    <w:p w:rsidRPr="007F620E" w:rsidR="00645220" w:rsidP="003D3709" w:rsidRDefault="00645220" w14:paraId="0832245D" w14:textId="77777777">
      <w:pPr>
        <w:widowControl w:val="0"/>
        <w:contextualSpacing/>
      </w:pPr>
    </w:p>
    <w:tbl>
      <w:tblPr>
        <w:tblW w:w="9828"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5670"/>
        <w:gridCol w:w="4158"/>
      </w:tblGrid>
      <w:tr w:rsidRPr="007F620E" w:rsidR="00645220" w:rsidTr="001E3916" w14:paraId="5AA266C3" w14:textId="77777777">
        <w:tc>
          <w:tcPr>
            <w:tcW w:w="5670" w:type="dxa"/>
            <w:shd w:val="clear" w:color="auto" w:fill="FFFFFF" w:themeFill="background1"/>
          </w:tcPr>
          <w:p w:rsidRPr="00F7298C" w:rsidR="00645220" w:rsidP="003D3709" w:rsidRDefault="00645220" w14:paraId="06A9A954" w14:textId="77777777">
            <w:pPr>
              <w:widowControl w:val="0"/>
              <w:contextualSpacing/>
            </w:pPr>
            <w:r>
              <w:t>Order Instituting Rulemaking to Continue Electric Integrated Resource Planning and Related Procurement Processes</w:t>
            </w:r>
          </w:p>
          <w:p w:rsidRPr="007F620E" w:rsidR="00645220" w:rsidP="003D3709" w:rsidRDefault="00645220" w14:paraId="35D1AF11" w14:textId="77777777">
            <w:pPr>
              <w:widowControl w:val="0"/>
              <w:contextualSpacing/>
            </w:pPr>
          </w:p>
        </w:tc>
        <w:tc>
          <w:tcPr>
            <w:tcW w:w="4158" w:type="dxa"/>
            <w:tcBorders>
              <w:top w:val="nil"/>
              <w:bottom w:val="nil"/>
            </w:tcBorders>
            <w:shd w:val="clear" w:color="auto" w:fill="FFFFFF" w:themeFill="background1"/>
          </w:tcPr>
          <w:p w:rsidR="00F47C88" w:rsidP="00F47C88" w:rsidRDefault="00F47C88" w14:paraId="5DAEEFA2" w14:textId="77777777">
            <w:pPr>
              <w:widowControl w:val="0"/>
              <w:contextualSpacing/>
              <w:jc w:val="center"/>
            </w:pPr>
          </w:p>
          <w:p w:rsidRPr="007F620E" w:rsidR="00645220" w:rsidP="001E3916" w:rsidRDefault="00645220" w14:paraId="4835F7D1" w14:textId="44BE9034">
            <w:pPr>
              <w:widowControl w:val="0"/>
              <w:ind w:left="-114"/>
              <w:contextualSpacing/>
              <w:jc w:val="center"/>
            </w:pPr>
            <w:r>
              <w:t>R</w:t>
            </w:r>
            <w:r w:rsidR="00F47C88">
              <w:t xml:space="preserve">ulemaking </w:t>
            </w:r>
            <w:r w:rsidRPr="000A049C">
              <w:t>20</w:t>
            </w:r>
            <w:r>
              <w:t>-</w:t>
            </w:r>
            <w:r w:rsidRPr="000A049C">
              <w:t>05</w:t>
            </w:r>
            <w:r>
              <w:t>-</w:t>
            </w:r>
            <w:r w:rsidRPr="000A049C">
              <w:t>003</w:t>
            </w:r>
          </w:p>
          <w:p w:rsidRPr="007F620E" w:rsidR="00645220" w:rsidP="003D3709" w:rsidRDefault="00645220" w14:paraId="5970E231" w14:textId="77777777">
            <w:pPr>
              <w:widowControl w:val="0"/>
              <w:contextualSpacing/>
            </w:pPr>
          </w:p>
        </w:tc>
      </w:tr>
    </w:tbl>
    <w:p w:rsidRPr="007F620E" w:rsidR="00645220" w:rsidP="003D3709" w:rsidRDefault="00645220" w14:paraId="234D3570" w14:textId="77777777">
      <w:pPr>
        <w:widowControl w:val="0"/>
        <w:contextualSpacing/>
        <w:rPr>
          <w:b/>
          <w:bCs/>
        </w:rPr>
      </w:pPr>
    </w:p>
    <w:p w:rsidRPr="00691528" w:rsidR="00645220" w:rsidP="007C67D4" w:rsidRDefault="0C54585C" w14:paraId="5034B784" w14:textId="11A3D687">
      <w:pPr>
        <w:widowControl w:val="0"/>
        <w:contextualSpacing/>
        <w:jc w:val="center"/>
        <w:rPr>
          <w:b/>
          <w:bCs/>
        </w:rPr>
      </w:pPr>
      <w:r w:rsidRPr="5064E299">
        <w:rPr>
          <w:b/>
          <w:bCs/>
        </w:rPr>
        <w:t xml:space="preserve">DECISION GRANTING </w:t>
      </w:r>
      <w:r w:rsidRPr="5064E299" w:rsidR="00645220">
        <w:rPr>
          <w:b/>
          <w:bCs/>
        </w:rPr>
        <w:t>COMPENSATION</w:t>
      </w:r>
      <w:r w:rsidRPr="5064E299" w:rsidR="67046A6B">
        <w:rPr>
          <w:b/>
          <w:bCs/>
        </w:rPr>
        <w:t xml:space="preserve"> TO</w:t>
      </w:r>
      <w:r w:rsidRPr="5064E299" w:rsidR="00645220">
        <w:rPr>
          <w:b/>
          <w:bCs/>
        </w:rPr>
        <w:t xml:space="preserve"> </w:t>
      </w:r>
      <w:r w:rsidRPr="5064E299" w:rsidR="00B9EB62">
        <w:rPr>
          <w:b/>
          <w:bCs/>
        </w:rPr>
        <w:t>ENVIRONMENTAL DEFENSE FUND FOR SUBSTANTIAL CONTR</w:t>
      </w:r>
      <w:r w:rsidR="00C50F8C">
        <w:rPr>
          <w:b/>
          <w:bCs/>
        </w:rPr>
        <w:t>I</w:t>
      </w:r>
      <w:r w:rsidRPr="5064E299" w:rsidR="00B9EB62">
        <w:rPr>
          <w:b/>
          <w:bCs/>
        </w:rPr>
        <w:t>BUTION TO DECISION (D.) 24-09-006</w:t>
      </w:r>
    </w:p>
    <w:p w:rsidRPr="007F620E" w:rsidR="00645220" w:rsidP="003D3709" w:rsidRDefault="00645220" w14:paraId="18C28406" w14:textId="37E601D1">
      <w:pPr>
        <w:widowControl w:val="0"/>
        <w:contextualSpacing/>
        <w:rPr>
          <w:b/>
          <w:bCs/>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971"/>
        <w:gridCol w:w="5389"/>
      </w:tblGrid>
      <w:tr w:rsidRPr="007F620E" w:rsidR="00645220" w:rsidTr="1F222C3D" w14:paraId="2AFCD954" w14:textId="77777777">
        <w:trPr>
          <w:trHeight w:val="300"/>
        </w:trPr>
        <w:tc>
          <w:tcPr>
            <w:tcW w:w="3971" w:type="dxa"/>
            <w:shd w:val="clear" w:color="auto" w:fill="FFFFFF" w:themeFill="background1"/>
          </w:tcPr>
          <w:p w:rsidRPr="00691528" w:rsidR="00645220" w:rsidP="003D3709" w:rsidRDefault="00645220" w14:paraId="794FA960" w14:textId="77777777">
            <w:pPr>
              <w:widowControl w:val="0"/>
              <w:contextualSpacing/>
            </w:pPr>
            <w:r w:rsidRPr="007F620E">
              <w:rPr>
                <w:b/>
              </w:rPr>
              <w:t>Intervenor:</w:t>
            </w:r>
            <w:r>
              <w:rPr>
                <w:b/>
              </w:rPr>
              <w:t xml:space="preserve"> </w:t>
            </w:r>
            <w:r w:rsidRPr="009A5CDF">
              <w:rPr>
                <w:bCs/>
              </w:rPr>
              <w:t>Environmental Defense Fund</w:t>
            </w:r>
          </w:p>
        </w:tc>
        <w:tc>
          <w:tcPr>
            <w:tcW w:w="5389" w:type="dxa"/>
            <w:shd w:val="clear" w:color="auto" w:fill="FFFFFF" w:themeFill="background1"/>
          </w:tcPr>
          <w:p w:rsidRPr="007F620E" w:rsidR="00645220" w:rsidP="003D3709" w:rsidRDefault="00645220" w14:paraId="0021C7DB" w14:textId="73AF2C95">
            <w:pPr>
              <w:widowControl w:val="0"/>
              <w:contextualSpacing/>
              <w:rPr>
                <w:b/>
              </w:rPr>
            </w:pPr>
            <w:r w:rsidRPr="007F620E">
              <w:rPr>
                <w:b/>
              </w:rPr>
              <w:t xml:space="preserve">For contribution to Decision </w:t>
            </w:r>
            <w:r>
              <w:rPr>
                <w:bCs/>
              </w:rPr>
              <w:t>24-0</w:t>
            </w:r>
            <w:r w:rsidR="000F44F6">
              <w:rPr>
                <w:bCs/>
              </w:rPr>
              <w:t>9</w:t>
            </w:r>
            <w:r>
              <w:rPr>
                <w:bCs/>
              </w:rPr>
              <w:t>-0</w:t>
            </w:r>
            <w:r w:rsidR="000F44F6">
              <w:rPr>
                <w:bCs/>
              </w:rPr>
              <w:t>0</w:t>
            </w:r>
            <w:r>
              <w:rPr>
                <w:bCs/>
              </w:rPr>
              <w:t>6</w:t>
            </w:r>
          </w:p>
        </w:tc>
      </w:tr>
      <w:tr w:rsidRPr="007F620E" w:rsidR="00645220" w:rsidTr="1F222C3D" w14:paraId="2E2E1417" w14:textId="77777777">
        <w:trPr>
          <w:trHeight w:val="300"/>
        </w:trPr>
        <w:tc>
          <w:tcPr>
            <w:tcW w:w="3971" w:type="dxa"/>
            <w:shd w:val="clear" w:color="auto" w:fill="FFFFFF" w:themeFill="background1"/>
          </w:tcPr>
          <w:p w:rsidRPr="007F620E" w:rsidR="00645220" w:rsidP="003D3709" w:rsidRDefault="00645220" w14:paraId="412A2AE8" w14:textId="6AE80B95">
            <w:pPr>
              <w:widowControl w:val="0"/>
              <w:contextualSpacing/>
              <w:rPr>
                <w:b/>
                <w:bCs/>
                <w:u w:val="single"/>
              </w:rPr>
            </w:pPr>
            <w:r w:rsidRPr="1F222C3D">
              <w:rPr>
                <w:b/>
                <w:bCs/>
              </w:rPr>
              <w:t xml:space="preserve">Claimed:  </w:t>
            </w:r>
            <w:r w:rsidRPr="000E6B09">
              <w:t>$</w:t>
            </w:r>
            <w:r w:rsidRPr="000E6B09" w:rsidR="00732C4D">
              <w:t>16,053</w:t>
            </w:r>
            <w:r w:rsidRPr="000E6B09">
              <w:rPr>
                <w:vertAlign w:val="superscript"/>
              </w:rPr>
              <w:footnoteReference w:id="2"/>
            </w:r>
          </w:p>
        </w:tc>
        <w:tc>
          <w:tcPr>
            <w:tcW w:w="5389" w:type="dxa"/>
            <w:tcBorders>
              <w:bottom w:val="single" w:color="auto" w:sz="4" w:space="0"/>
            </w:tcBorders>
            <w:shd w:val="clear" w:color="auto" w:fill="FFFFFF" w:themeFill="background1"/>
          </w:tcPr>
          <w:p w:rsidRPr="007F620E" w:rsidR="00645220" w:rsidP="003D3709" w:rsidRDefault="00645220" w14:paraId="09BCE1C6" w14:textId="366E4FDD">
            <w:pPr>
              <w:widowControl w:val="0"/>
              <w:contextualSpacing/>
            </w:pPr>
            <w:r w:rsidRPr="512F9659">
              <w:rPr>
                <w:b/>
                <w:bCs/>
              </w:rPr>
              <w:t xml:space="preserve">Awarded:  </w:t>
            </w:r>
            <w:r w:rsidR="2D1DB9BD">
              <w:t>$</w:t>
            </w:r>
            <w:r w:rsidR="64C2AF49">
              <w:t>15,466.25</w:t>
            </w:r>
          </w:p>
        </w:tc>
      </w:tr>
      <w:tr w:rsidRPr="007F620E" w:rsidR="00645220" w:rsidTr="1F222C3D" w14:paraId="1EE64320" w14:textId="77777777">
        <w:trPr>
          <w:trHeight w:val="300"/>
        </w:trPr>
        <w:tc>
          <w:tcPr>
            <w:tcW w:w="3971" w:type="dxa"/>
            <w:shd w:val="clear" w:color="auto" w:fill="FFFFFF" w:themeFill="background1"/>
          </w:tcPr>
          <w:p w:rsidRPr="00691528" w:rsidR="00645220" w:rsidP="003D3709" w:rsidRDefault="00645220" w14:paraId="38C581CF" w14:textId="0C236D4E">
            <w:pPr>
              <w:widowControl w:val="0"/>
              <w:contextualSpacing/>
              <w:rPr>
                <w:u w:val="single"/>
              </w:rPr>
            </w:pPr>
            <w:r w:rsidRPr="007F620E">
              <w:rPr>
                <w:b/>
              </w:rPr>
              <w:t xml:space="preserve">Assigned Commissioner: </w:t>
            </w:r>
            <w:r w:rsidR="00732C4D">
              <w:rPr>
                <w:bCs/>
              </w:rPr>
              <w:t>Alice Reynolds</w:t>
            </w:r>
          </w:p>
        </w:tc>
        <w:tc>
          <w:tcPr>
            <w:tcW w:w="5389" w:type="dxa"/>
            <w:shd w:val="clear" w:color="auto" w:fill="FFFFFF" w:themeFill="background1"/>
          </w:tcPr>
          <w:p w:rsidRPr="00691528" w:rsidR="00645220" w:rsidP="003D3709" w:rsidRDefault="00645220" w14:paraId="0C11B8AC" w14:textId="30941F5D">
            <w:pPr>
              <w:widowControl w:val="0"/>
              <w:contextualSpacing/>
              <w:rPr>
                <w:u w:val="single"/>
              </w:rPr>
            </w:pPr>
            <w:r w:rsidRPr="007F620E">
              <w:rPr>
                <w:b/>
              </w:rPr>
              <w:t xml:space="preserve">Assigned ALJ: </w:t>
            </w:r>
            <w:r>
              <w:rPr>
                <w:bCs/>
              </w:rPr>
              <w:t>Julie A. Fitch</w:t>
            </w:r>
            <w:r w:rsidR="00C57D18">
              <w:rPr>
                <w:bCs/>
              </w:rPr>
              <w:t>, Colin Rizzo</w:t>
            </w:r>
            <w:r w:rsidR="00C57D18">
              <w:rPr>
                <w:rStyle w:val="FootnoteReference"/>
                <w:bCs/>
              </w:rPr>
              <w:footnoteReference w:id="3"/>
            </w:r>
          </w:p>
        </w:tc>
      </w:tr>
    </w:tbl>
    <w:p w:rsidR="2320ED69" w:rsidP="003D3709" w:rsidRDefault="2320ED69" w14:paraId="244C3F9A" w14:textId="7F9BCE82">
      <w:pPr>
        <w:contextualSpacing/>
      </w:pPr>
    </w:p>
    <w:p w:rsidR="00645220" w:rsidP="003D3709" w:rsidRDefault="00645220" w14:paraId="100578FC" w14:textId="47229A57">
      <w:pPr>
        <w:widowControl w:val="0"/>
        <w:contextualSpacing/>
        <w:jc w:val="center"/>
        <w:rPr>
          <w:b/>
          <w:bCs/>
        </w:rPr>
      </w:pPr>
      <w:r w:rsidRPr="2320ED69">
        <w:rPr>
          <w:b/>
          <w:bCs/>
        </w:rPr>
        <w:t>PART I</w:t>
      </w:r>
      <w:proofErr w:type="gramStart"/>
      <w:r w:rsidRPr="2320ED69">
        <w:rPr>
          <w:b/>
          <w:bCs/>
        </w:rPr>
        <w:t>:  PROCEDURAL</w:t>
      </w:r>
      <w:proofErr w:type="gramEnd"/>
      <w:r w:rsidRPr="2320ED69">
        <w:rPr>
          <w:b/>
          <w:bCs/>
        </w:rPr>
        <w:t xml:space="preserve"> ISSUES</w:t>
      </w:r>
    </w:p>
    <w:p w:rsidRPr="007F620E" w:rsidR="00084FF0" w:rsidP="003D3709" w:rsidRDefault="00084FF0" w14:paraId="166F9074" w14:textId="77777777">
      <w:pPr>
        <w:widowControl w:val="0"/>
        <w:contextualSpacing/>
        <w:jc w:val="center"/>
        <w:rPr>
          <w:b/>
          <w:bCs/>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5647"/>
      </w:tblGrid>
      <w:tr w:rsidRPr="007F620E" w:rsidR="00645220" w:rsidTr="7ED7E18D" w14:paraId="303CB2CB" w14:textId="77777777">
        <w:tc>
          <w:tcPr>
            <w:tcW w:w="3708" w:type="dxa"/>
            <w:shd w:val="clear" w:color="auto" w:fill="FFFFFF" w:themeFill="background1"/>
          </w:tcPr>
          <w:p w:rsidRPr="007F620E" w:rsidR="00645220" w:rsidP="003D3709" w:rsidRDefault="00645220" w14:paraId="3CFF12FF" w14:textId="77777777">
            <w:pPr>
              <w:widowControl w:val="0"/>
              <w:contextualSpacing/>
              <w:rPr>
                <w:b/>
              </w:rPr>
            </w:pPr>
            <w:r w:rsidRPr="007F620E">
              <w:rPr>
                <w:b/>
              </w:rPr>
              <w:t xml:space="preserve">A.  Brief description of Decision: </w:t>
            </w:r>
          </w:p>
        </w:tc>
        <w:tc>
          <w:tcPr>
            <w:tcW w:w="5647" w:type="dxa"/>
            <w:shd w:val="clear" w:color="auto" w:fill="FFFFFF" w:themeFill="background1"/>
          </w:tcPr>
          <w:p w:rsidRPr="007F620E" w:rsidR="00645220" w:rsidP="003D3709" w:rsidRDefault="00645220" w14:paraId="20888400" w14:textId="4B62658D">
            <w:pPr>
              <w:widowControl w:val="0"/>
              <w:contextualSpacing/>
            </w:pPr>
            <w:r>
              <w:t>D.24-0</w:t>
            </w:r>
            <w:r w:rsidR="27E93BA5">
              <w:t>9</w:t>
            </w:r>
            <w:r>
              <w:t>-0</w:t>
            </w:r>
            <w:r w:rsidR="27E93BA5">
              <w:t>06</w:t>
            </w:r>
            <w:r>
              <w:t xml:space="preserve"> </w:t>
            </w:r>
            <w:r w:rsidR="27E93BA5">
              <w:t xml:space="preserve">authorizes Load Serving Entities (“LSEs”) to </w:t>
            </w:r>
            <w:r w:rsidR="3549BD73">
              <w:t xml:space="preserve">temporarily rely on </w:t>
            </w:r>
            <w:r w:rsidR="27E93BA5">
              <w:t>short-term bridge resources to comply with their obligations</w:t>
            </w:r>
            <w:r w:rsidR="3549BD73">
              <w:t xml:space="preserve"> </w:t>
            </w:r>
            <w:r w:rsidR="7919BFF0">
              <w:t xml:space="preserve">under D.21-06-035 to procure </w:t>
            </w:r>
            <w:r w:rsidR="3549BD73">
              <w:t>resources to replace the attributes of the Diablo Canyon Power Plant</w:t>
            </w:r>
            <w:r w:rsidR="27E93BA5">
              <w:t xml:space="preserve">. </w:t>
            </w:r>
          </w:p>
        </w:tc>
      </w:tr>
    </w:tbl>
    <w:p w:rsidR="00981BCA" w:rsidP="00084FF0" w:rsidRDefault="00981BCA" w14:paraId="1A682C1C" w14:textId="0611E44F">
      <w:pPr>
        <w:keepNext/>
        <w:contextualSpacing/>
        <w:rPr>
          <w:b/>
          <w:bCs/>
        </w:rPr>
      </w:pPr>
    </w:p>
    <w:p w:rsidR="00645220" w:rsidP="00084FF0" w:rsidRDefault="00981BCA" w14:paraId="23A3D177" w14:textId="0176D464">
      <w:pPr>
        <w:keepNext/>
        <w:contextualSpacing/>
        <w:rPr>
          <w:b/>
          <w:bCs/>
        </w:rPr>
      </w:pPr>
      <w:r>
        <w:rPr>
          <w:b/>
          <w:bCs/>
        </w:rPr>
        <w:t xml:space="preserve">B. </w:t>
      </w:r>
      <w:r w:rsidRPr="2320ED69" w:rsidR="00645220">
        <w:rPr>
          <w:b/>
          <w:bCs/>
        </w:rPr>
        <w:t>Intervenor must satisfy intervenor compensation requirements set forth in Pub. Util. Code §§ 1801-1812</w:t>
      </w:r>
      <w:r w:rsidRPr="2320ED69" w:rsidR="00645220">
        <w:rPr>
          <w:rStyle w:val="FootnoteReference"/>
          <w:b/>
          <w:bCs/>
          <w:color w:val="000000"/>
        </w:rPr>
        <w:footnoteReference w:id="4"/>
      </w:r>
      <w:r w:rsidRPr="2320ED69" w:rsidR="00645220">
        <w:rPr>
          <w:b/>
          <w:bCs/>
        </w:rPr>
        <w:t>:</w:t>
      </w:r>
    </w:p>
    <w:p w:rsidRPr="007F620E" w:rsidR="00981BCA" w:rsidP="003D3709" w:rsidRDefault="00981BCA" w14:paraId="2136672B" w14:textId="77777777">
      <w:pPr>
        <w:keepNext/>
        <w:contextualSpacing/>
        <w:rPr>
          <w:b/>
          <w:bCs/>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7F620E" w:rsidR="00645220" w:rsidTr="7ED7E18D" w14:paraId="13BE0FD3" w14:textId="77777777">
        <w:trPr>
          <w:tblHeader/>
        </w:trPr>
        <w:tc>
          <w:tcPr>
            <w:tcW w:w="4817" w:type="dxa"/>
            <w:tcBorders>
              <w:bottom w:val="single" w:color="auto" w:sz="4" w:space="0"/>
            </w:tcBorders>
          </w:tcPr>
          <w:p w:rsidRPr="007F620E" w:rsidR="00645220" w:rsidP="003D3709" w:rsidRDefault="00645220" w14:paraId="5EA79327" w14:textId="77777777">
            <w:pPr>
              <w:widowControl w:val="0"/>
              <w:contextualSpacing/>
            </w:pPr>
          </w:p>
        </w:tc>
        <w:tc>
          <w:tcPr>
            <w:tcW w:w="2267" w:type="dxa"/>
            <w:tcBorders>
              <w:bottom w:val="single" w:color="auto" w:sz="4" w:space="0"/>
            </w:tcBorders>
          </w:tcPr>
          <w:p w:rsidRPr="007F620E" w:rsidR="00645220" w:rsidP="003D3709" w:rsidRDefault="00645220" w14:paraId="5DC51F99" w14:textId="77777777">
            <w:pPr>
              <w:widowControl w:val="0"/>
              <w:contextualSpacing/>
              <w:jc w:val="center"/>
              <w:rPr>
                <w:b/>
              </w:rPr>
            </w:pPr>
            <w:r w:rsidRPr="007F620E">
              <w:rPr>
                <w:b/>
              </w:rPr>
              <w:t>Intervenor</w:t>
            </w:r>
          </w:p>
        </w:tc>
        <w:tc>
          <w:tcPr>
            <w:tcW w:w="2276" w:type="dxa"/>
            <w:tcBorders>
              <w:bottom w:val="single" w:color="auto" w:sz="4" w:space="0"/>
            </w:tcBorders>
          </w:tcPr>
          <w:p w:rsidRPr="007F620E" w:rsidR="00645220" w:rsidP="003D3709" w:rsidRDefault="00645220" w14:paraId="6E5A2804" w14:textId="77777777">
            <w:pPr>
              <w:widowControl w:val="0"/>
              <w:contextualSpacing/>
              <w:jc w:val="center"/>
              <w:rPr>
                <w:b/>
              </w:rPr>
            </w:pPr>
            <w:r w:rsidRPr="007F620E">
              <w:rPr>
                <w:b/>
              </w:rPr>
              <w:t xml:space="preserve">CPUC </w:t>
            </w:r>
            <w:r>
              <w:rPr>
                <w:b/>
              </w:rPr>
              <w:t>Verification</w:t>
            </w:r>
          </w:p>
        </w:tc>
      </w:tr>
      <w:tr w:rsidRPr="007F620E" w:rsidR="00645220" w:rsidTr="7ED7E18D" w14:paraId="13DA6FA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645220" w:rsidP="003D3709" w:rsidRDefault="00645220" w14:paraId="7D71DA8E" w14:textId="77777777">
            <w:pPr>
              <w:widowControl w:val="0"/>
              <w:contextualSpacing/>
              <w:jc w:val="center"/>
              <w:rPr>
                <w:b/>
              </w:rPr>
            </w:pPr>
            <w:r w:rsidRPr="007F620E">
              <w:rPr>
                <w:b/>
              </w:rPr>
              <w:t>Timely filing of notice of intent to claim compensation (NOI) (§ 1804(a)):</w:t>
            </w:r>
          </w:p>
        </w:tc>
      </w:tr>
      <w:tr w:rsidRPr="007F620E" w:rsidR="00645220" w:rsidTr="7ED7E18D" w14:paraId="136DC4A5" w14:textId="77777777">
        <w:tc>
          <w:tcPr>
            <w:tcW w:w="4817" w:type="dxa"/>
            <w:tcBorders>
              <w:top w:val="single" w:color="auto" w:sz="4" w:space="0"/>
            </w:tcBorders>
          </w:tcPr>
          <w:p w:rsidRPr="007F620E" w:rsidR="00645220" w:rsidP="003D3709" w:rsidRDefault="00645220" w14:paraId="3DFAFD84" w14:textId="77777777">
            <w:pPr>
              <w:widowControl w:val="0"/>
              <w:contextualSpacing/>
            </w:pPr>
            <w:r w:rsidRPr="007F620E">
              <w:t>1.</w:t>
            </w:r>
            <w:r>
              <w:tab/>
            </w:r>
            <w:r w:rsidRPr="007F620E">
              <w:t>Date of Prehearing Conference:</w:t>
            </w:r>
          </w:p>
        </w:tc>
        <w:tc>
          <w:tcPr>
            <w:tcW w:w="2267" w:type="dxa"/>
            <w:tcBorders>
              <w:top w:val="single" w:color="auto" w:sz="4" w:space="0"/>
            </w:tcBorders>
            <w:shd w:val="clear" w:color="auto" w:fill="FFFFFF" w:themeFill="background1"/>
          </w:tcPr>
          <w:p w:rsidRPr="007F620E" w:rsidR="00645220" w:rsidP="003D3709" w:rsidRDefault="00645220" w14:paraId="60DC773C" w14:textId="77777777">
            <w:pPr>
              <w:widowControl w:val="0"/>
              <w:contextualSpacing/>
            </w:pPr>
            <w:r>
              <w:t>July 14, 2020</w:t>
            </w:r>
          </w:p>
          <w:p w:rsidRPr="007F620E" w:rsidR="00645220" w:rsidP="003D3709" w:rsidRDefault="00645220" w14:paraId="04D7212D" w14:textId="77777777">
            <w:pPr>
              <w:widowControl w:val="0"/>
              <w:contextualSpacing/>
            </w:pPr>
          </w:p>
        </w:tc>
        <w:tc>
          <w:tcPr>
            <w:tcW w:w="2276" w:type="dxa"/>
            <w:tcBorders>
              <w:top w:val="single" w:color="auto" w:sz="4" w:space="0"/>
            </w:tcBorders>
          </w:tcPr>
          <w:p w:rsidRPr="007F620E" w:rsidR="00645220" w:rsidP="003D3709" w:rsidRDefault="6C746120" w14:paraId="4C206FCC" w14:textId="3291E2E2">
            <w:pPr>
              <w:widowControl w:val="0"/>
              <w:contextualSpacing/>
            </w:pPr>
            <w:r>
              <w:t>Verified</w:t>
            </w:r>
          </w:p>
        </w:tc>
      </w:tr>
      <w:tr w:rsidRPr="007F620E" w:rsidR="00645220" w:rsidTr="7ED7E18D" w14:paraId="3C63C800" w14:textId="77777777">
        <w:tc>
          <w:tcPr>
            <w:tcW w:w="4817" w:type="dxa"/>
          </w:tcPr>
          <w:p w:rsidRPr="007F620E" w:rsidR="00645220" w:rsidP="003D3709" w:rsidRDefault="00645220" w14:paraId="751DB81E" w14:textId="77777777">
            <w:pPr>
              <w:widowControl w:val="0"/>
              <w:contextualSpacing/>
            </w:pPr>
            <w:r w:rsidRPr="007F620E">
              <w:lastRenderedPageBreak/>
              <w:t>2.</w:t>
            </w:r>
            <w:r>
              <w:tab/>
            </w:r>
            <w:r w:rsidRPr="007F620E">
              <w:t>Other specified date for NOI:</w:t>
            </w:r>
          </w:p>
        </w:tc>
        <w:tc>
          <w:tcPr>
            <w:tcW w:w="2267" w:type="dxa"/>
            <w:shd w:val="clear" w:color="auto" w:fill="FFFFFF" w:themeFill="background1"/>
          </w:tcPr>
          <w:p w:rsidRPr="007F620E" w:rsidR="00645220" w:rsidP="003D3709" w:rsidRDefault="00645220" w14:paraId="102D505C" w14:textId="77777777">
            <w:pPr>
              <w:widowControl w:val="0"/>
              <w:contextualSpacing/>
            </w:pPr>
            <w:r>
              <w:t>N/A</w:t>
            </w:r>
          </w:p>
        </w:tc>
        <w:tc>
          <w:tcPr>
            <w:tcW w:w="2276" w:type="dxa"/>
          </w:tcPr>
          <w:p w:rsidRPr="007F620E" w:rsidR="00645220" w:rsidP="003D3709" w:rsidRDefault="00645220" w14:paraId="35709DD5" w14:textId="77777777">
            <w:pPr>
              <w:widowControl w:val="0"/>
              <w:contextualSpacing/>
            </w:pPr>
          </w:p>
        </w:tc>
      </w:tr>
      <w:tr w:rsidRPr="007F620E" w:rsidR="00645220" w:rsidTr="7ED7E18D" w14:paraId="322DF42A" w14:textId="77777777">
        <w:tc>
          <w:tcPr>
            <w:tcW w:w="4817" w:type="dxa"/>
          </w:tcPr>
          <w:p w:rsidRPr="007F620E" w:rsidR="00645220" w:rsidP="003D3709" w:rsidRDefault="00645220" w14:paraId="5AFC76C0" w14:textId="77777777">
            <w:pPr>
              <w:widowControl w:val="0"/>
              <w:contextualSpacing/>
            </w:pPr>
            <w:r w:rsidRPr="007F620E">
              <w:t>3.</w:t>
            </w:r>
            <w:r>
              <w:tab/>
            </w:r>
            <w:r w:rsidRPr="007F620E">
              <w:t>Date NOI filed:</w:t>
            </w:r>
          </w:p>
        </w:tc>
        <w:tc>
          <w:tcPr>
            <w:tcW w:w="2267" w:type="dxa"/>
            <w:tcBorders>
              <w:bottom w:val="single" w:color="auto" w:sz="4" w:space="0"/>
            </w:tcBorders>
            <w:shd w:val="clear" w:color="auto" w:fill="FFFFFF" w:themeFill="background1"/>
          </w:tcPr>
          <w:p w:rsidR="00645220" w:rsidP="003D3709" w:rsidRDefault="00645220" w14:paraId="226479EB" w14:textId="77777777">
            <w:pPr>
              <w:widowControl w:val="0"/>
              <w:contextualSpacing/>
            </w:pPr>
            <w:r>
              <w:t xml:space="preserve">Per the Order Instituting Rulemaking Ordering Paragraph 9, parties previously found to be eligible for intervenor compensation in Rulemaking 16-02-007 and </w:t>
            </w:r>
            <w:proofErr w:type="gramStart"/>
            <w:r>
              <w:t>has</w:t>
            </w:r>
            <w:proofErr w:type="gramEnd"/>
            <w:r>
              <w:t xml:space="preserve"> been awarded intervenor compensation both in that rulemaking and in this Rulemaking for prior decisions.</w:t>
            </w:r>
          </w:p>
          <w:p w:rsidR="00645220" w:rsidP="003D3709" w:rsidRDefault="00645220" w14:paraId="03A601DE" w14:textId="77777777">
            <w:pPr>
              <w:widowControl w:val="0"/>
              <w:contextualSpacing/>
            </w:pPr>
          </w:p>
          <w:p w:rsidR="00645220" w:rsidP="003D3709" w:rsidRDefault="00645220" w14:paraId="12A25ECB" w14:textId="77777777">
            <w:pPr>
              <w:widowControl w:val="0"/>
              <w:contextualSpacing/>
            </w:pPr>
            <w:r>
              <w:t xml:space="preserve">The Commission confirmed this </w:t>
            </w:r>
            <w:proofErr w:type="gramStart"/>
            <w:r>
              <w:t>in</w:t>
            </w:r>
            <w:proofErr w:type="gramEnd"/>
            <w:r>
              <w:t xml:space="preserve"> granting EDF an award for substantial contribution </w:t>
            </w:r>
            <w:proofErr w:type="gramStart"/>
            <w:r>
              <w:t>in</w:t>
            </w:r>
            <w:proofErr w:type="gramEnd"/>
            <w:r>
              <w:t xml:space="preserve"> D.22-11-037. In that decision, the Commission determined that EDF previously submitted an NOI on March 27, </w:t>
            </w:r>
            <w:proofErr w:type="gramStart"/>
            <w:r>
              <w:t>2014</w:t>
            </w:r>
            <w:proofErr w:type="gramEnd"/>
            <w:r>
              <w:t xml:space="preserve"> in the original R.13-12-010 proceeding, which turned into R.16-02-007 and subsequently into R.20-05-003. </w:t>
            </w:r>
          </w:p>
          <w:p w:rsidR="00645220" w:rsidP="003D3709" w:rsidRDefault="00645220" w14:paraId="7A1B4D9C" w14:textId="77777777">
            <w:pPr>
              <w:widowControl w:val="0"/>
              <w:contextualSpacing/>
            </w:pPr>
          </w:p>
          <w:p w:rsidRPr="007F620E" w:rsidR="00645220" w:rsidP="003D3709" w:rsidRDefault="00645220" w14:paraId="047D5EE6" w14:textId="77777777">
            <w:pPr>
              <w:widowControl w:val="0"/>
              <w:contextualSpacing/>
            </w:pPr>
            <w:r>
              <w:t xml:space="preserve">EDF further notes, consistent with the language in D.22-11-037, that there are no changes to its by-laws or financial </w:t>
            </w:r>
            <w:r>
              <w:lastRenderedPageBreak/>
              <w:t>status.</w:t>
            </w:r>
          </w:p>
        </w:tc>
        <w:tc>
          <w:tcPr>
            <w:tcW w:w="2276" w:type="dxa"/>
            <w:tcBorders>
              <w:bottom w:val="single" w:color="auto" w:sz="4" w:space="0"/>
            </w:tcBorders>
          </w:tcPr>
          <w:p w:rsidRPr="007F620E" w:rsidR="00645220" w:rsidP="003D3709" w:rsidRDefault="18D34572" w14:paraId="58AE4F88" w14:textId="07A0E56A">
            <w:pPr>
              <w:widowControl w:val="0"/>
              <w:contextualSpacing/>
            </w:pPr>
            <w:r>
              <w:lastRenderedPageBreak/>
              <w:t>Verified</w:t>
            </w:r>
          </w:p>
        </w:tc>
      </w:tr>
      <w:tr w:rsidRPr="007F620E" w:rsidR="00645220" w:rsidTr="7ED7E18D" w14:paraId="09ADDADA" w14:textId="77777777">
        <w:tc>
          <w:tcPr>
            <w:tcW w:w="7084" w:type="dxa"/>
            <w:gridSpan w:val="2"/>
            <w:tcBorders>
              <w:bottom w:val="single" w:color="auto" w:sz="4" w:space="0"/>
            </w:tcBorders>
          </w:tcPr>
          <w:p w:rsidRPr="007F620E" w:rsidR="00645220" w:rsidP="003D3709" w:rsidRDefault="00645220" w14:paraId="27FCCE58" w14:textId="77777777">
            <w:pPr>
              <w:widowControl w:val="0"/>
              <w:contextualSpacing/>
            </w:pPr>
            <w:r w:rsidRPr="007F620E">
              <w:t>4.</w:t>
            </w:r>
            <w:r>
              <w:tab/>
            </w:r>
            <w:r w:rsidRPr="007F620E">
              <w:t>Was the NOI timely filed?</w:t>
            </w:r>
          </w:p>
        </w:tc>
        <w:tc>
          <w:tcPr>
            <w:tcW w:w="2276" w:type="dxa"/>
            <w:tcBorders>
              <w:bottom w:val="single" w:color="auto" w:sz="4" w:space="0"/>
            </w:tcBorders>
          </w:tcPr>
          <w:p w:rsidRPr="007F620E" w:rsidR="00645220" w:rsidP="003D3709" w:rsidRDefault="47AFAE88" w14:paraId="2884CCB4" w14:textId="5BFAF41D">
            <w:pPr>
              <w:widowControl w:val="0"/>
              <w:contextualSpacing/>
            </w:pPr>
            <w:r>
              <w:t>Yes</w:t>
            </w:r>
          </w:p>
        </w:tc>
      </w:tr>
      <w:tr w:rsidRPr="007F620E" w:rsidR="00645220" w:rsidTr="7ED7E18D" w14:paraId="5A04C8A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00645220" w:rsidP="003D3709" w:rsidRDefault="00645220" w14:paraId="6DB19F48" w14:textId="77777777">
            <w:pPr>
              <w:widowControl w:val="0"/>
              <w:contextualSpacing/>
              <w:jc w:val="center"/>
              <w:rPr>
                <w:b/>
              </w:rPr>
            </w:pPr>
            <w:r w:rsidRPr="007F620E">
              <w:rPr>
                <w:b/>
              </w:rPr>
              <w:t>Showing of eligible customer status (§ 1802(b)</w:t>
            </w:r>
            <w:r>
              <w:rPr>
                <w:b/>
              </w:rPr>
              <w:t>)</w:t>
            </w:r>
          </w:p>
          <w:p w:rsidRPr="007F620E" w:rsidR="00645220" w:rsidP="003D3709" w:rsidRDefault="00645220" w14:paraId="52386EF0" w14:textId="74E67536">
            <w:pPr>
              <w:widowControl w:val="0"/>
              <w:contextualSpacing/>
              <w:jc w:val="center"/>
              <w:rPr>
                <w:b/>
              </w:rPr>
            </w:pPr>
            <w:r w:rsidRPr="007F620E">
              <w:rPr>
                <w:b/>
              </w:rPr>
              <w:t xml:space="preserve">or eligible local government entity </w:t>
            </w:r>
            <w:r>
              <w:rPr>
                <w:b/>
              </w:rPr>
              <w:t xml:space="preserve">status </w:t>
            </w:r>
            <w:r w:rsidRPr="007F620E">
              <w:rPr>
                <w:b/>
              </w:rPr>
              <w:t>(§§ 1802(d), 1802.4):</w:t>
            </w:r>
          </w:p>
        </w:tc>
      </w:tr>
      <w:tr w:rsidRPr="007F620E" w:rsidR="00645220" w:rsidTr="7ED7E18D" w14:paraId="28811E88" w14:textId="77777777">
        <w:tc>
          <w:tcPr>
            <w:tcW w:w="4817" w:type="dxa"/>
            <w:tcBorders>
              <w:top w:val="single" w:color="auto" w:sz="4" w:space="0"/>
            </w:tcBorders>
          </w:tcPr>
          <w:p w:rsidRPr="007F620E" w:rsidR="00645220" w:rsidP="003D3709" w:rsidRDefault="00645220" w14:paraId="04936660" w14:textId="77777777">
            <w:pPr>
              <w:widowControl w:val="0"/>
              <w:contextualSpacing/>
            </w:pPr>
            <w:r w:rsidRPr="007F620E">
              <w:t>5.</w:t>
            </w:r>
            <w:r>
              <w:tab/>
            </w:r>
            <w:r w:rsidRPr="007F620E">
              <w:t>Based on ALJ ruling issued in proceeding number:</w:t>
            </w:r>
          </w:p>
        </w:tc>
        <w:tc>
          <w:tcPr>
            <w:tcW w:w="2267" w:type="dxa"/>
            <w:tcBorders>
              <w:top w:val="single" w:color="auto" w:sz="4" w:space="0"/>
            </w:tcBorders>
            <w:shd w:val="clear" w:color="auto" w:fill="FFFFFF" w:themeFill="background1"/>
          </w:tcPr>
          <w:p w:rsidRPr="007F620E" w:rsidR="00645220" w:rsidP="003D3709" w:rsidRDefault="00645220" w14:paraId="25CB15F7" w14:textId="77777777">
            <w:pPr>
              <w:widowControl w:val="0"/>
              <w:contextualSpacing/>
            </w:pPr>
            <w:r>
              <w:t>R.21-06-017</w:t>
            </w:r>
          </w:p>
        </w:tc>
        <w:tc>
          <w:tcPr>
            <w:tcW w:w="2276" w:type="dxa"/>
            <w:tcBorders>
              <w:top w:val="single" w:color="auto" w:sz="4" w:space="0"/>
            </w:tcBorders>
          </w:tcPr>
          <w:p w:rsidR="2320ED69" w:rsidP="003D3709" w:rsidRDefault="2320ED69" w14:paraId="31A2B6CC" w14:textId="1A24E421">
            <w:pPr>
              <w:widowControl w:val="0"/>
              <w:contextualSpacing/>
              <w:rPr>
                <w:rFonts w:eastAsia="Times New Roman"/>
                <w:color w:val="000000" w:themeColor="text1"/>
                <w:szCs w:val="24"/>
              </w:rPr>
            </w:pPr>
            <w:r w:rsidRPr="2320ED69">
              <w:rPr>
                <w:rFonts w:eastAsia="Times New Roman"/>
                <w:color w:val="000000" w:themeColor="text1"/>
                <w:szCs w:val="24"/>
              </w:rPr>
              <w:t>Verified</w:t>
            </w:r>
          </w:p>
        </w:tc>
      </w:tr>
      <w:tr w:rsidRPr="007F620E" w:rsidR="00645220" w:rsidTr="7ED7E18D" w14:paraId="38B0E795" w14:textId="77777777">
        <w:tc>
          <w:tcPr>
            <w:tcW w:w="4817" w:type="dxa"/>
          </w:tcPr>
          <w:p w:rsidRPr="007F620E" w:rsidR="00645220" w:rsidP="003D3709" w:rsidRDefault="00645220" w14:paraId="7C7D1A80" w14:textId="77777777">
            <w:pPr>
              <w:widowControl w:val="0"/>
              <w:contextualSpacing/>
            </w:pPr>
            <w:r w:rsidRPr="007F620E">
              <w:t>6.</w:t>
            </w:r>
            <w:r>
              <w:tab/>
            </w:r>
            <w:r w:rsidRPr="007F620E">
              <w:t>Date of ALJ ruling:</w:t>
            </w:r>
          </w:p>
        </w:tc>
        <w:tc>
          <w:tcPr>
            <w:tcW w:w="2267" w:type="dxa"/>
            <w:shd w:val="clear" w:color="auto" w:fill="FFFFFF" w:themeFill="background1"/>
          </w:tcPr>
          <w:p w:rsidRPr="007F620E" w:rsidR="00645220" w:rsidP="003D3709" w:rsidRDefault="00645220" w14:paraId="666E8B32" w14:textId="77777777">
            <w:pPr>
              <w:widowControl w:val="0"/>
              <w:contextualSpacing/>
            </w:pPr>
            <w:r>
              <w:t>November 9, 2021</w:t>
            </w:r>
          </w:p>
        </w:tc>
        <w:tc>
          <w:tcPr>
            <w:tcW w:w="2276" w:type="dxa"/>
          </w:tcPr>
          <w:p w:rsidR="2320ED69" w:rsidP="003D3709" w:rsidRDefault="2320ED69" w14:paraId="3D36EAE8" w14:textId="79D2DECC">
            <w:pPr>
              <w:widowControl w:val="0"/>
              <w:contextualSpacing/>
              <w:rPr>
                <w:rFonts w:eastAsia="Times New Roman"/>
                <w:color w:val="000000" w:themeColor="text1"/>
                <w:szCs w:val="24"/>
              </w:rPr>
            </w:pPr>
            <w:r w:rsidRPr="2320ED69">
              <w:rPr>
                <w:rFonts w:eastAsia="Times New Roman"/>
                <w:color w:val="000000" w:themeColor="text1"/>
                <w:szCs w:val="24"/>
              </w:rPr>
              <w:t>Verified</w:t>
            </w:r>
          </w:p>
        </w:tc>
      </w:tr>
      <w:tr w:rsidRPr="007F620E" w:rsidR="00645220" w:rsidTr="7ED7E18D" w14:paraId="00738D80" w14:textId="77777777">
        <w:tc>
          <w:tcPr>
            <w:tcW w:w="4817" w:type="dxa"/>
          </w:tcPr>
          <w:p w:rsidRPr="007F620E" w:rsidR="00645220" w:rsidP="003D3709" w:rsidRDefault="00645220" w14:paraId="75B114EB" w14:textId="77777777">
            <w:pPr>
              <w:widowControl w:val="0"/>
              <w:contextualSpacing/>
            </w:pPr>
            <w:r w:rsidRPr="007F620E">
              <w:t>7.</w:t>
            </w:r>
            <w:r>
              <w:tab/>
            </w:r>
            <w:r w:rsidRPr="007F620E">
              <w:t>Based on another CPUC determination (specify):</w:t>
            </w:r>
          </w:p>
        </w:tc>
        <w:tc>
          <w:tcPr>
            <w:tcW w:w="2267" w:type="dxa"/>
            <w:tcBorders>
              <w:bottom w:val="single" w:color="auto" w:sz="4" w:space="0"/>
            </w:tcBorders>
            <w:shd w:val="clear" w:color="auto" w:fill="FFFFFF" w:themeFill="background1"/>
          </w:tcPr>
          <w:p w:rsidRPr="007F620E" w:rsidR="00645220" w:rsidP="003D3709" w:rsidRDefault="00645220" w14:paraId="257C7AC0" w14:textId="77777777">
            <w:pPr>
              <w:widowControl w:val="0"/>
              <w:contextualSpacing/>
            </w:pPr>
            <w:r>
              <w:t>N/A</w:t>
            </w:r>
          </w:p>
        </w:tc>
        <w:tc>
          <w:tcPr>
            <w:tcW w:w="2276" w:type="dxa"/>
            <w:tcBorders>
              <w:bottom w:val="single" w:color="auto" w:sz="4" w:space="0"/>
            </w:tcBorders>
          </w:tcPr>
          <w:p w:rsidR="2320ED69" w:rsidP="003D3709" w:rsidRDefault="2320ED69" w14:paraId="5B87B085" w14:textId="52F75847">
            <w:pPr>
              <w:widowControl w:val="0"/>
              <w:contextualSpacing/>
              <w:rPr>
                <w:rFonts w:eastAsia="Times New Roman"/>
                <w:color w:val="000000" w:themeColor="text1"/>
                <w:szCs w:val="24"/>
              </w:rPr>
            </w:pPr>
          </w:p>
        </w:tc>
      </w:tr>
      <w:tr w:rsidRPr="007F620E" w:rsidR="00645220" w:rsidTr="7ED7E18D" w14:paraId="30DF7BAA" w14:textId="77777777">
        <w:tc>
          <w:tcPr>
            <w:tcW w:w="7084" w:type="dxa"/>
            <w:gridSpan w:val="2"/>
            <w:tcBorders>
              <w:bottom w:val="single" w:color="auto" w:sz="4" w:space="0"/>
            </w:tcBorders>
          </w:tcPr>
          <w:p w:rsidRPr="007F620E" w:rsidR="00645220" w:rsidP="003D3709" w:rsidRDefault="00645220" w14:paraId="6C080B3D" w14:textId="77777777">
            <w:pPr>
              <w:widowControl w:val="0"/>
              <w:contextualSpacing/>
            </w:pPr>
            <w:r w:rsidRPr="007F620E">
              <w:t>8.</w:t>
            </w:r>
            <w:r>
              <w:tab/>
            </w:r>
            <w:r w:rsidRPr="007F620E">
              <w:t xml:space="preserve">Has the Intervenor demonstrated </w:t>
            </w:r>
            <w:r w:rsidRPr="00ED6B6B">
              <w:t>customer</w:t>
            </w:r>
            <w:r w:rsidRPr="007F620E">
              <w:t xml:space="preserve"> </w:t>
            </w:r>
            <w:r>
              <w:t>status or eligible government entity status</w:t>
            </w:r>
            <w:r w:rsidRPr="007F620E">
              <w:t>?</w:t>
            </w:r>
          </w:p>
        </w:tc>
        <w:tc>
          <w:tcPr>
            <w:tcW w:w="2276" w:type="dxa"/>
            <w:tcBorders>
              <w:bottom w:val="single" w:color="auto" w:sz="4" w:space="0"/>
            </w:tcBorders>
          </w:tcPr>
          <w:p w:rsidR="2320ED69" w:rsidP="003D3709" w:rsidRDefault="2320ED69" w14:paraId="7CB287CF" w14:textId="19F8726D">
            <w:pPr>
              <w:widowControl w:val="0"/>
              <w:contextualSpacing/>
              <w:rPr>
                <w:rFonts w:eastAsia="Times New Roman"/>
                <w:color w:val="000000" w:themeColor="text1"/>
                <w:szCs w:val="24"/>
              </w:rPr>
            </w:pPr>
            <w:r w:rsidRPr="2320ED69">
              <w:rPr>
                <w:rFonts w:eastAsia="Times New Roman"/>
                <w:color w:val="000000" w:themeColor="text1"/>
                <w:szCs w:val="24"/>
              </w:rPr>
              <w:t>Yes</w:t>
            </w:r>
          </w:p>
        </w:tc>
      </w:tr>
      <w:tr w:rsidRPr="007F620E" w:rsidR="00645220" w:rsidTr="7ED7E18D" w14:paraId="4877F279"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645220" w:rsidP="003D3709" w:rsidRDefault="00645220" w14:paraId="0897F3FD" w14:textId="77777777">
            <w:pPr>
              <w:widowControl w:val="0"/>
              <w:contextualSpacing/>
              <w:jc w:val="center"/>
            </w:pPr>
            <w:r w:rsidRPr="007F620E">
              <w:rPr>
                <w:b/>
              </w:rPr>
              <w:t>Showing of “significant financial hardship” (§1802(</w:t>
            </w:r>
            <w:r>
              <w:rPr>
                <w:b/>
              </w:rPr>
              <w:t>h</w:t>
            </w:r>
            <w:r w:rsidRPr="007F620E">
              <w:rPr>
                <w:b/>
              </w:rPr>
              <w:t>) or §1803.1(b))</w:t>
            </w:r>
            <w:r>
              <w:rPr>
                <w:b/>
              </w:rPr>
              <w:t>:</w:t>
            </w:r>
          </w:p>
        </w:tc>
      </w:tr>
      <w:tr w:rsidRPr="007F620E" w:rsidR="00645220" w:rsidTr="7ED7E18D" w14:paraId="6B17C1E4" w14:textId="77777777">
        <w:tc>
          <w:tcPr>
            <w:tcW w:w="4817" w:type="dxa"/>
            <w:tcBorders>
              <w:top w:val="single" w:color="auto" w:sz="4" w:space="0"/>
            </w:tcBorders>
          </w:tcPr>
          <w:p w:rsidRPr="007F620E" w:rsidR="00645220" w:rsidP="003D3709" w:rsidRDefault="00645220" w14:paraId="3C9DE353" w14:textId="77777777">
            <w:pPr>
              <w:widowControl w:val="0"/>
              <w:contextualSpacing/>
            </w:pPr>
            <w:r w:rsidRPr="007F620E">
              <w:t>9.</w:t>
            </w:r>
            <w:r>
              <w:tab/>
            </w:r>
            <w:r w:rsidRPr="007F620E">
              <w:t>Based on ALJ ruling issued in proceeding number:</w:t>
            </w:r>
          </w:p>
        </w:tc>
        <w:tc>
          <w:tcPr>
            <w:tcW w:w="2267" w:type="dxa"/>
            <w:tcBorders>
              <w:top w:val="single" w:color="auto" w:sz="4" w:space="0"/>
            </w:tcBorders>
            <w:shd w:val="clear" w:color="auto" w:fill="FFFFFF" w:themeFill="background1"/>
          </w:tcPr>
          <w:p w:rsidRPr="007F620E" w:rsidR="00645220" w:rsidP="003D3709" w:rsidRDefault="00645220" w14:paraId="1026B90D" w14:textId="77777777">
            <w:pPr>
              <w:widowControl w:val="0"/>
              <w:contextualSpacing/>
            </w:pPr>
            <w:r>
              <w:t>R.21-06-017</w:t>
            </w:r>
          </w:p>
        </w:tc>
        <w:tc>
          <w:tcPr>
            <w:tcW w:w="2276" w:type="dxa"/>
            <w:tcBorders>
              <w:top w:val="single" w:color="auto" w:sz="4" w:space="0"/>
            </w:tcBorders>
            <w:shd w:val="clear" w:color="auto" w:fill="FFFFFF" w:themeFill="background1"/>
          </w:tcPr>
          <w:p w:rsidR="2320ED69" w:rsidP="003D3709" w:rsidRDefault="2320ED69" w14:paraId="5A3CB060" w14:textId="2AAE4407">
            <w:pPr>
              <w:widowControl w:val="0"/>
              <w:contextualSpacing/>
              <w:rPr>
                <w:rFonts w:eastAsia="Times New Roman"/>
                <w:color w:val="000000" w:themeColor="text1"/>
                <w:szCs w:val="24"/>
              </w:rPr>
            </w:pPr>
            <w:r w:rsidRPr="2320ED69">
              <w:rPr>
                <w:rFonts w:eastAsia="Times New Roman"/>
                <w:color w:val="000000" w:themeColor="text1"/>
                <w:szCs w:val="24"/>
              </w:rPr>
              <w:t>Verified</w:t>
            </w:r>
          </w:p>
        </w:tc>
      </w:tr>
      <w:tr w:rsidRPr="007F620E" w:rsidR="00645220" w:rsidTr="7ED7E18D" w14:paraId="4E558475" w14:textId="77777777">
        <w:tc>
          <w:tcPr>
            <w:tcW w:w="4817" w:type="dxa"/>
          </w:tcPr>
          <w:p w:rsidRPr="007F620E" w:rsidR="00645220" w:rsidP="003D3709" w:rsidRDefault="00645220" w14:paraId="09763B12" w14:textId="77777777">
            <w:pPr>
              <w:widowControl w:val="0"/>
              <w:contextualSpacing/>
            </w:pPr>
            <w:r w:rsidRPr="007F620E">
              <w:t>10.</w:t>
            </w:r>
            <w:r>
              <w:tab/>
            </w:r>
            <w:r w:rsidRPr="007F620E">
              <w:t>Date of ALJ ruling:</w:t>
            </w:r>
          </w:p>
        </w:tc>
        <w:tc>
          <w:tcPr>
            <w:tcW w:w="2267" w:type="dxa"/>
            <w:shd w:val="clear" w:color="auto" w:fill="FFFFFF" w:themeFill="background1"/>
          </w:tcPr>
          <w:p w:rsidRPr="007F620E" w:rsidR="00645220" w:rsidP="003D3709" w:rsidRDefault="00645220" w14:paraId="17C4E31B" w14:textId="77777777">
            <w:pPr>
              <w:widowControl w:val="0"/>
              <w:contextualSpacing/>
            </w:pPr>
            <w:r>
              <w:t>November 9, 2021</w:t>
            </w:r>
          </w:p>
        </w:tc>
        <w:tc>
          <w:tcPr>
            <w:tcW w:w="2276" w:type="dxa"/>
            <w:shd w:val="clear" w:color="auto" w:fill="FFFFFF" w:themeFill="background1"/>
          </w:tcPr>
          <w:p w:rsidR="2320ED69" w:rsidP="003D3709" w:rsidRDefault="2320ED69" w14:paraId="7A64F5DA" w14:textId="729D6DA9">
            <w:pPr>
              <w:widowControl w:val="0"/>
              <w:contextualSpacing/>
              <w:rPr>
                <w:rFonts w:eastAsia="Times New Roman"/>
                <w:color w:val="000000" w:themeColor="text1"/>
                <w:szCs w:val="24"/>
              </w:rPr>
            </w:pPr>
            <w:r w:rsidRPr="2320ED69">
              <w:rPr>
                <w:rFonts w:eastAsia="Times New Roman"/>
                <w:color w:val="000000" w:themeColor="text1"/>
                <w:szCs w:val="24"/>
              </w:rPr>
              <w:t>Verified</w:t>
            </w:r>
          </w:p>
        </w:tc>
      </w:tr>
      <w:tr w:rsidRPr="007F620E" w:rsidR="00645220" w:rsidTr="7ED7E18D" w14:paraId="2CBC82E1" w14:textId="77777777">
        <w:tc>
          <w:tcPr>
            <w:tcW w:w="4817" w:type="dxa"/>
          </w:tcPr>
          <w:p w:rsidRPr="007F620E" w:rsidR="00645220" w:rsidP="003D3709" w:rsidRDefault="00645220" w14:paraId="41C76AE0" w14:textId="77777777">
            <w:pPr>
              <w:widowControl w:val="0"/>
              <w:contextualSpacing/>
            </w:pPr>
            <w:r w:rsidRPr="007F620E">
              <w:t>11.</w:t>
            </w:r>
            <w:r>
              <w:tab/>
            </w:r>
            <w:r w:rsidRPr="007F620E">
              <w:t>Based on another CPUC determination (specify):</w:t>
            </w:r>
          </w:p>
        </w:tc>
        <w:tc>
          <w:tcPr>
            <w:tcW w:w="2267" w:type="dxa"/>
            <w:shd w:val="clear" w:color="auto" w:fill="FFFFFF" w:themeFill="background1"/>
          </w:tcPr>
          <w:p w:rsidRPr="007F620E" w:rsidR="00645220" w:rsidP="003D3709" w:rsidRDefault="00645220" w14:paraId="1A5BDC35" w14:textId="77777777">
            <w:pPr>
              <w:widowControl w:val="0"/>
              <w:contextualSpacing/>
            </w:pPr>
            <w:r>
              <w:t>N/A</w:t>
            </w:r>
          </w:p>
        </w:tc>
        <w:tc>
          <w:tcPr>
            <w:tcW w:w="2276" w:type="dxa"/>
            <w:shd w:val="clear" w:color="auto" w:fill="FFFFFF" w:themeFill="background1"/>
          </w:tcPr>
          <w:p w:rsidR="2320ED69" w:rsidP="003D3709" w:rsidRDefault="2320ED69" w14:paraId="7A32C683" w14:textId="02D51988">
            <w:pPr>
              <w:widowControl w:val="0"/>
              <w:contextualSpacing/>
              <w:rPr>
                <w:rFonts w:eastAsia="Times New Roman"/>
                <w:color w:val="000000" w:themeColor="text1"/>
                <w:szCs w:val="24"/>
              </w:rPr>
            </w:pPr>
          </w:p>
        </w:tc>
      </w:tr>
      <w:tr w:rsidRPr="007F620E" w:rsidR="00645220" w:rsidTr="7ED7E18D" w14:paraId="465FA129" w14:textId="77777777">
        <w:tc>
          <w:tcPr>
            <w:tcW w:w="7084" w:type="dxa"/>
            <w:gridSpan w:val="2"/>
            <w:tcBorders>
              <w:bottom w:val="single" w:color="auto" w:sz="4" w:space="0"/>
            </w:tcBorders>
            <w:shd w:val="clear" w:color="auto" w:fill="FFFFFF" w:themeFill="background1"/>
          </w:tcPr>
          <w:p w:rsidRPr="007F620E" w:rsidR="00645220" w:rsidP="003D3709" w:rsidRDefault="00645220" w14:paraId="56F5B7A5" w14:textId="77777777">
            <w:pPr>
              <w:widowControl w:val="0"/>
              <w:contextualSpacing/>
            </w:pPr>
            <w:r>
              <w:t>12</w:t>
            </w:r>
            <w:r w:rsidRPr="007F620E">
              <w:t>.</w:t>
            </w:r>
            <w:r>
              <w:tab/>
            </w:r>
            <w:r w:rsidRPr="007F620E">
              <w:t>Has the Intervenor demonstrated significant financial hardship?</w:t>
            </w:r>
          </w:p>
        </w:tc>
        <w:tc>
          <w:tcPr>
            <w:tcW w:w="2276" w:type="dxa"/>
            <w:tcBorders>
              <w:bottom w:val="single" w:color="auto" w:sz="4" w:space="0"/>
            </w:tcBorders>
            <w:shd w:val="clear" w:color="auto" w:fill="FFFFFF" w:themeFill="background1"/>
          </w:tcPr>
          <w:p w:rsidR="2320ED69" w:rsidP="003D3709" w:rsidRDefault="2320ED69" w14:paraId="34C3B431" w14:textId="2AE2A221">
            <w:pPr>
              <w:widowControl w:val="0"/>
              <w:contextualSpacing/>
              <w:rPr>
                <w:rFonts w:eastAsia="Times New Roman"/>
                <w:color w:val="000000" w:themeColor="text1"/>
                <w:szCs w:val="24"/>
              </w:rPr>
            </w:pPr>
            <w:r w:rsidRPr="2320ED69">
              <w:rPr>
                <w:rFonts w:eastAsia="Times New Roman"/>
                <w:color w:val="000000" w:themeColor="text1"/>
                <w:szCs w:val="24"/>
              </w:rPr>
              <w:t>Yes</w:t>
            </w:r>
          </w:p>
        </w:tc>
      </w:tr>
      <w:tr w:rsidRPr="007F620E" w:rsidR="00645220" w:rsidTr="7ED7E18D" w14:paraId="3D484660"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Pr="007F620E" w:rsidR="00645220" w:rsidP="003D3709" w:rsidRDefault="00645220" w14:paraId="5DB67F8E" w14:textId="77777777">
            <w:pPr>
              <w:widowControl w:val="0"/>
              <w:contextualSpacing/>
              <w:jc w:val="center"/>
            </w:pPr>
            <w:r w:rsidRPr="007F620E">
              <w:rPr>
                <w:b/>
              </w:rPr>
              <w:t>Timely request for compensation (§ 1804(c)):</w:t>
            </w:r>
          </w:p>
        </w:tc>
      </w:tr>
      <w:tr w:rsidRPr="007F620E" w:rsidR="00645220" w:rsidTr="7ED7E18D" w14:paraId="6451E647" w14:textId="77777777">
        <w:tc>
          <w:tcPr>
            <w:tcW w:w="4817" w:type="dxa"/>
            <w:tcBorders>
              <w:top w:val="single" w:color="auto" w:sz="4" w:space="0"/>
            </w:tcBorders>
          </w:tcPr>
          <w:p w:rsidRPr="007F620E" w:rsidR="00645220" w:rsidP="003D3709" w:rsidRDefault="00645220" w14:paraId="18C097E9" w14:textId="77777777">
            <w:pPr>
              <w:widowControl w:val="0"/>
              <w:contextualSpacing/>
            </w:pPr>
            <w:r w:rsidRPr="007F620E">
              <w:t>13.</w:t>
            </w:r>
            <w:r>
              <w:tab/>
            </w:r>
            <w:r w:rsidRPr="007F620E">
              <w:t>Identify Final Decision:</w:t>
            </w:r>
          </w:p>
        </w:tc>
        <w:tc>
          <w:tcPr>
            <w:tcW w:w="2267" w:type="dxa"/>
            <w:tcBorders>
              <w:top w:val="single" w:color="auto" w:sz="4" w:space="0"/>
            </w:tcBorders>
            <w:shd w:val="clear" w:color="auto" w:fill="FFFFFF" w:themeFill="background1"/>
          </w:tcPr>
          <w:p w:rsidRPr="007F620E" w:rsidR="00645220" w:rsidP="003D3709" w:rsidRDefault="00645220" w14:paraId="2F90809D" w14:textId="59D2006D">
            <w:pPr>
              <w:widowControl w:val="0"/>
              <w:contextualSpacing/>
            </w:pPr>
            <w:r>
              <w:t>D.24-0</w:t>
            </w:r>
            <w:r w:rsidR="003A631F">
              <w:t>9</w:t>
            </w:r>
            <w:r>
              <w:t>-0</w:t>
            </w:r>
            <w:r w:rsidR="003A631F">
              <w:t>06</w:t>
            </w:r>
          </w:p>
        </w:tc>
        <w:tc>
          <w:tcPr>
            <w:tcW w:w="2276" w:type="dxa"/>
            <w:tcBorders>
              <w:top w:val="single" w:color="auto" w:sz="4" w:space="0"/>
            </w:tcBorders>
            <w:shd w:val="clear" w:color="auto" w:fill="FFFFFF" w:themeFill="background1"/>
          </w:tcPr>
          <w:p w:rsidR="1C0F7DCD" w:rsidP="003D3709" w:rsidRDefault="1C0F7DCD" w14:paraId="38EF7C9E" w14:textId="57AE0B65">
            <w:pPr>
              <w:widowControl w:val="0"/>
              <w:contextualSpacing/>
              <w:rPr>
                <w:rFonts w:eastAsia="Times New Roman"/>
                <w:color w:val="000000" w:themeColor="text1"/>
                <w:szCs w:val="24"/>
              </w:rPr>
            </w:pPr>
            <w:r w:rsidRPr="2320ED69">
              <w:rPr>
                <w:rFonts w:eastAsia="Times New Roman"/>
                <w:color w:val="000000" w:themeColor="text1"/>
                <w:szCs w:val="24"/>
              </w:rPr>
              <w:t>Verified</w:t>
            </w:r>
          </w:p>
        </w:tc>
      </w:tr>
      <w:tr w:rsidRPr="007F620E" w:rsidR="00645220" w:rsidTr="7ED7E18D" w14:paraId="688E1BB7" w14:textId="77777777">
        <w:tc>
          <w:tcPr>
            <w:tcW w:w="4817" w:type="dxa"/>
          </w:tcPr>
          <w:p w:rsidRPr="007F620E" w:rsidR="00645220" w:rsidP="003D3709" w:rsidRDefault="00645220" w14:paraId="34FC257C" w14:textId="77777777">
            <w:pPr>
              <w:widowControl w:val="0"/>
              <w:contextualSpacing/>
            </w:pPr>
            <w:r w:rsidRPr="007F620E">
              <w:t>14.</w:t>
            </w:r>
            <w:r>
              <w:tab/>
            </w:r>
            <w:r w:rsidRPr="007F620E">
              <w:t xml:space="preserve">Date of issuance of Final Order or Decision:    </w:t>
            </w:r>
          </w:p>
        </w:tc>
        <w:tc>
          <w:tcPr>
            <w:tcW w:w="2267" w:type="dxa"/>
            <w:shd w:val="clear" w:color="auto" w:fill="FFFFFF" w:themeFill="background1"/>
          </w:tcPr>
          <w:p w:rsidRPr="007F620E" w:rsidR="00645220" w:rsidP="003D3709" w:rsidRDefault="003A631F" w14:paraId="4836CAE8" w14:textId="65124D62">
            <w:pPr>
              <w:widowControl w:val="0"/>
              <w:contextualSpacing/>
            </w:pPr>
            <w:r>
              <w:t>September 17</w:t>
            </w:r>
            <w:r w:rsidR="00645220">
              <w:t>, 2024</w:t>
            </w:r>
          </w:p>
        </w:tc>
        <w:tc>
          <w:tcPr>
            <w:tcW w:w="2276" w:type="dxa"/>
            <w:shd w:val="clear" w:color="auto" w:fill="FFFFFF" w:themeFill="background1"/>
          </w:tcPr>
          <w:p w:rsidR="179C006D" w:rsidP="003D3709" w:rsidRDefault="179C006D" w14:paraId="6D97938E" w14:textId="79D50CDB">
            <w:pPr>
              <w:widowControl w:val="0"/>
              <w:contextualSpacing/>
              <w:rPr>
                <w:rFonts w:eastAsia="Times New Roman"/>
                <w:color w:val="000000" w:themeColor="text1"/>
                <w:szCs w:val="24"/>
              </w:rPr>
            </w:pPr>
            <w:r w:rsidRPr="2320ED69">
              <w:rPr>
                <w:rFonts w:eastAsia="Times New Roman"/>
                <w:color w:val="000000" w:themeColor="text1"/>
                <w:szCs w:val="24"/>
              </w:rPr>
              <w:t>Verified</w:t>
            </w:r>
          </w:p>
        </w:tc>
      </w:tr>
      <w:tr w:rsidRPr="007F620E" w:rsidR="00645220" w:rsidTr="7ED7E18D" w14:paraId="68A07A5E" w14:textId="77777777">
        <w:tc>
          <w:tcPr>
            <w:tcW w:w="4817" w:type="dxa"/>
          </w:tcPr>
          <w:p w:rsidRPr="007F620E" w:rsidR="00645220" w:rsidP="003D3709" w:rsidRDefault="00645220" w14:paraId="2ECA3A56" w14:textId="77777777">
            <w:pPr>
              <w:widowControl w:val="0"/>
              <w:contextualSpacing/>
            </w:pPr>
            <w:r w:rsidRPr="007F620E">
              <w:t>15.</w:t>
            </w:r>
            <w:r>
              <w:tab/>
            </w:r>
            <w:r w:rsidRPr="007F620E">
              <w:t>File date of compensation request:</w:t>
            </w:r>
          </w:p>
        </w:tc>
        <w:tc>
          <w:tcPr>
            <w:tcW w:w="2267" w:type="dxa"/>
            <w:shd w:val="clear" w:color="auto" w:fill="FFFFFF" w:themeFill="background1"/>
          </w:tcPr>
          <w:p w:rsidRPr="007F620E" w:rsidR="00645220" w:rsidP="003D3709" w:rsidRDefault="0013047E" w14:paraId="1F2CBC94" w14:textId="65BE070A">
            <w:pPr>
              <w:widowControl w:val="0"/>
              <w:contextualSpacing/>
            </w:pPr>
            <w:r w:rsidRPr="0013047E">
              <w:t>November 15,</w:t>
            </w:r>
            <w:r w:rsidR="00645220">
              <w:t xml:space="preserve"> 2024</w:t>
            </w:r>
          </w:p>
        </w:tc>
        <w:tc>
          <w:tcPr>
            <w:tcW w:w="2276" w:type="dxa"/>
            <w:shd w:val="clear" w:color="auto" w:fill="FFFFFF" w:themeFill="background1"/>
          </w:tcPr>
          <w:p w:rsidR="405F62FE" w:rsidP="003D3709" w:rsidRDefault="405F62FE" w14:paraId="0269448E" w14:textId="3E4D6F87">
            <w:pPr>
              <w:widowControl w:val="0"/>
              <w:contextualSpacing/>
              <w:rPr>
                <w:rFonts w:eastAsia="Times New Roman"/>
                <w:color w:val="000000" w:themeColor="text1"/>
                <w:szCs w:val="24"/>
              </w:rPr>
            </w:pPr>
            <w:r w:rsidRPr="2320ED69">
              <w:rPr>
                <w:rFonts w:eastAsia="Times New Roman"/>
                <w:color w:val="000000" w:themeColor="text1"/>
                <w:szCs w:val="24"/>
              </w:rPr>
              <w:t>Verified</w:t>
            </w:r>
          </w:p>
        </w:tc>
      </w:tr>
      <w:tr w:rsidRPr="007F620E" w:rsidR="00645220" w:rsidTr="7ED7E18D" w14:paraId="5C86898E" w14:textId="77777777">
        <w:tc>
          <w:tcPr>
            <w:tcW w:w="7084" w:type="dxa"/>
            <w:gridSpan w:val="2"/>
          </w:tcPr>
          <w:p w:rsidRPr="007F620E" w:rsidR="00645220" w:rsidP="003D3709" w:rsidRDefault="00645220" w14:paraId="6F834CED" w14:textId="77777777">
            <w:pPr>
              <w:widowControl w:val="0"/>
              <w:contextualSpacing/>
            </w:pPr>
            <w:proofErr w:type="gramStart"/>
            <w:r w:rsidRPr="007F620E">
              <w:t>16</w:t>
            </w:r>
            <w:r>
              <w:t>.</w:t>
            </w:r>
            <w:r>
              <w:tab/>
            </w:r>
            <w:r w:rsidRPr="007F620E">
              <w:t>Was</w:t>
            </w:r>
            <w:proofErr w:type="gramEnd"/>
            <w:r w:rsidRPr="007F620E">
              <w:t xml:space="preserve"> the request for compensation timely?</w:t>
            </w:r>
          </w:p>
        </w:tc>
        <w:tc>
          <w:tcPr>
            <w:tcW w:w="2276" w:type="dxa"/>
          </w:tcPr>
          <w:p w:rsidR="622B7680" w:rsidP="003D3709" w:rsidRDefault="622B7680" w14:paraId="43A2021D" w14:textId="3510530E">
            <w:pPr>
              <w:widowControl w:val="0"/>
              <w:contextualSpacing/>
              <w:rPr>
                <w:rFonts w:eastAsia="Times New Roman"/>
                <w:color w:val="000000" w:themeColor="text1"/>
                <w:szCs w:val="24"/>
              </w:rPr>
            </w:pPr>
            <w:r w:rsidRPr="2320ED69">
              <w:rPr>
                <w:rFonts w:eastAsia="Times New Roman"/>
                <w:color w:val="000000" w:themeColor="text1"/>
                <w:szCs w:val="24"/>
              </w:rPr>
              <w:t>Yes</w:t>
            </w:r>
          </w:p>
        </w:tc>
      </w:tr>
    </w:tbl>
    <w:p w:rsidR="00981BCA" w:rsidP="00084FF0" w:rsidRDefault="00981BCA" w14:paraId="59EF6A29" w14:textId="57084A97">
      <w:pPr>
        <w:keepNext/>
        <w:contextualSpacing/>
        <w:rPr>
          <w:b/>
          <w:bCs/>
        </w:rPr>
      </w:pPr>
    </w:p>
    <w:p w:rsidR="00645220" w:rsidP="00084FF0" w:rsidRDefault="00981BCA" w14:paraId="3057EB26" w14:textId="6CD142CD">
      <w:pPr>
        <w:keepNext/>
        <w:contextualSpacing/>
        <w:rPr>
          <w:b/>
          <w:bCs/>
        </w:rPr>
      </w:pPr>
      <w:r w:rsidRPr="007949ED">
        <w:rPr>
          <w:b/>
          <w:bCs/>
        </w:rPr>
        <w:t>C</w:t>
      </w:r>
      <w:r w:rsidRPr="2320ED69">
        <w:rPr>
          <w:b/>
          <w:bCs/>
        </w:rPr>
        <w:t xml:space="preserve">. </w:t>
      </w:r>
      <w:r w:rsidR="00DA3010">
        <w:rPr>
          <w:b/>
          <w:bCs/>
        </w:rPr>
        <w:t xml:space="preserve"> </w:t>
      </w:r>
      <w:r w:rsidRPr="2320ED69" w:rsidR="00645220">
        <w:rPr>
          <w:b/>
          <w:bCs/>
        </w:rPr>
        <w:t>Additional Comments on Part I:</w:t>
      </w:r>
    </w:p>
    <w:p w:rsidRPr="007F620E" w:rsidR="00981BCA" w:rsidP="003D3709" w:rsidRDefault="00981BCA" w14:paraId="05219E98" w14:textId="77777777">
      <w:pPr>
        <w:keepNext/>
        <w:contextualSpacing/>
        <w:rPr>
          <w:b/>
          <w:bCs/>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3759"/>
        <w:gridCol w:w="4741"/>
      </w:tblGrid>
      <w:tr w:rsidRPr="007F620E" w:rsidR="00645220" w:rsidTr="7ED7E18D" w14:paraId="538248EF" w14:textId="77777777">
        <w:trPr>
          <w:tblHeader/>
        </w:trPr>
        <w:tc>
          <w:tcPr>
            <w:tcW w:w="860" w:type="dxa"/>
            <w:tcBorders>
              <w:bottom w:val="single" w:color="auto" w:sz="4" w:space="0"/>
            </w:tcBorders>
            <w:shd w:val="clear" w:color="auto" w:fill="D9D9D9" w:themeFill="background1" w:themeFillShade="D9"/>
          </w:tcPr>
          <w:p w:rsidRPr="007F620E" w:rsidR="00645220" w:rsidP="003D3709" w:rsidRDefault="00645220" w14:paraId="37E4CD1F" w14:textId="77777777">
            <w:pPr>
              <w:widowControl w:val="0"/>
              <w:contextualSpacing/>
              <w:jc w:val="center"/>
              <w:rPr>
                <w:b/>
              </w:rPr>
            </w:pPr>
            <w:r w:rsidRPr="007F620E">
              <w:rPr>
                <w:b/>
              </w:rPr>
              <w:t>#</w:t>
            </w:r>
          </w:p>
        </w:tc>
        <w:tc>
          <w:tcPr>
            <w:tcW w:w="3759" w:type="dxa"/>
            <w:tcBorders>
              <w:bottom w:val="single" w:color="auto" w:sz="4" w:space="0"/>
            </w:tcBorders>
            <w:shd w:val="clear" w:color="auto" w:fill="D9D9D9" w:themeFill="background1" w:themeFillShade="D9"/>
          </w:tcPr>
          <w:p w:rsidRPr="007F620E" w:rsidR="00645220" w:rsidP="003D3709" w:rsidRDefault="00645220" w14:paraId="5F9E0091" w14:textId="77777777">
            <w:pPr>
              <w:widowControl w:val="0"/>
              <w:contextualSpacing/>
              <w:jc w:val="center"/>
              <w:rPr>
                <w:b/>
              </w:rPr>
            </w:pPr>
            <w:r w:rsidRPr="007F620E">
              <w:rPr>
                <w:b/>
              </w:rPr>
              <w:t>Intervenor’s Comment(s)</w:t>
            </w:r>
          </w:p>
        </w:tc>
        <w:tc>
          <w:tcPr>
            <w:tcW w:w="4741" w:type="dxa"/>
            <w:shd w:val="clear" w:color="auto" w:fill="D9D9D9" w:themeFill="background1" w:themeFillShade="D9"/>
          </w:tcPr>
          <w:p w:rsidRPr="007F620E" w:rsidR="00645220" w:rsidP="003D3709" w:rsidRDefault="00645220" w14:paraId="4B88A081" w14:textId="77777777">
            <w:pPr>
              <w:widowControl w:val="0"/>
              <w:contextualSpacing/>
              <w:jc w:val="center"/>
              <w:rPr>
                <w:b/>
              </w:rPr>
            </w:pPr>
            <w:r w:rsidRPr="007F620E">
              <w:rPr>
                <w:b/>
              </w:rPr>
              <w:t>CPUC Discussion</w:t>
            </w:r>
          </w:p>
        </w:tc>
      </w:tr>
      <w:tr w:rsidRPr="007F620E" w:rsidR="00645220" w:rsidTr="7ED7E18D" w14:paraId="4D80343D" w14:textId="77777777">
        <w:trPr>
          <w:trHeight w:val="67"/>
        </w:trPr>
        <w:tc>
          <w:tcPr>
            <w:tcW w:w="860" w:type="dxa"/>
            <w:shd w:val="clear" w:color="auto" w:fill="FFFFFF" w:themeFill="background1"/>
          </w:tcPr>
          <w:p w:rsidRPr="007F620E" w:rsidR="00645220" w:rsidP="003D3709" w:rsidRDefault="00645220" w14:paraId="4834CB05" w14:textId="77777777">
            <w:pPr>
              <w:widowControl w:val="0"/>
              <w:contextualSpacing/>
            </w:pPr>
            <w:r>
              <w:t>1-3</w:t>
            </w:r>
          </w:p>
        </w:tc>
        <w:tc>
          <w:tcPr>
            <w:tcW w:w="3759" w:type="dxa"/>
            <w:shd w:val="clear" w:color="auto" w:fill="FFFFFF" w:themeFill="background1"/>
          </w:tcPr>
          <w:p w:rsidRPr="007F620E" w:rsidR="00645220" w:rsidP="003D3709" w:rsidRDefault="00645220" w14:paraId="2C5D629F" w14:textId="77777777">
            <w:pPr>
              <w:widowControl w:val="0"/>
              <w:contextualSpacing/>
            </w:pPr>
            <w:r>
              <w:t xml:space="preserve">EDF was not required to file an NOI in this proceeding because EDF was found eligible to request compensation </w:t>
            </w:r>
            <w:proofErr w:type="gramStart"/>
            <w:r>
              <w:t>in</w:t>
            </w:r>
            <w:proofErr w:type="gramEnd"/>
            <w:r>
              <w:t xml:space="preserve"> R.16-02-007. </w:t>
            </w:r>
            <w:r>
              <w:rPr>
                <w:i/>
                <w:iCs/>
              </w:rPr>
              <w:t>See</w:t>
            </w:r>
            <w:r>
              <w:t xml:space="preserve">, </w:t>
            </w:r>
            <w:r>
              <w:rPr>
                <w:i/>
                <w:iCs/>
              </w:rPr>
              <w:t>e.g.</w:t>
            </w:r>
            <w:r>
              <w:t xml:space="preserve">, D.20-02-006 (Feb. 28, 2020) (finding EDF eligible for compensation in R.16-02-007); </w:t>
            </w:r>
            <w:r>
              <w:lastRenderedPageBreak/>
              <w:t>R.20-05-003, Order Instituting Rulemaking to Continue Electric Integrated Resource Planning and Related Procurement Processes (May 14, 2020) (“Parties who were previously found eligible to request compensation in R.16-02-007 shall remain eligible in this proceeding and do not need to file an NOI within 30 days, provided there are no material changes in their by-laws or financial status.”)</w:t>
            </w:r>
          </w:p>
        </w:tc>
        <w:tc>
          <w:tcPr>
            <w:tcW w:w="4741" w:type="dxa"/>
          </w:tcPr>
          <w:p w:rsidRPr="007F620E" w:rsidR="00645220" w:rsidP="003D3709" w:rsidRDefault="6D9EDF31" w14:paraId="159D4581" w14:textId="1C6E217C">
            <w:pPr>
              <w:widowControl w:val="0"/>
              <w:contextualSpacing/>
            </w:pPr>
            <w:r>
              <w:lastRenderedPageBreak/>
              <w:t>Verified</w:t>
            </w:r>
          </w:p>
        </w:tc>
      </w:tr>
    </w:tbl>
    <w:p w:rsidR="00DA3010" w:rsidP="003D3709" w:rsidRDefault="00DA3010" w14:paraId="5AC3E2D7" w14:textId="77777777">
      <w:pPr>
        <w:keepNext/>
        <w:contextualSpacing/>
        <w:jc w:val="center"/>
        <w:rPr>
          <w:rFonts w:eastAsia="Times New Roman"/>
          <w:b/>
          <w:bCs/>
          <w:color w:val="000000" w:themeColor="text1"/>
          <w:szCs w:val="24"/>
        </w:rPr>
      </w:pPr>
    </w:p>
    <w:p w:rsidR="07251D13" w:rsidP="003D3709" w:rsidRDefault="07251D13" w14:paraId="6FDED4DB" w14:textId="1CA0AAC4">
      <w:pPr>
        <w:keepNext/>
        <w:contextualSpacing/>
        <w:jc w:val="center"/>
        <w:rPr>
          <w:rFonts w:eastAsia="Times New Roman"/>
          <w:b/>
          <w:bCs/>
          <w:color w:val="000000" w:themeColor="text1"/>
          <w:szCs w:val="24"/>
        </w:rPr>
      </w:pPr>
      <w:r w:rsidRPr="2320ED69">
        <w:rPr>
          <w:rFonts w:eastAsia="Times New Roman"/>
          <w:b/>
          <w:bCs/>
          <w:color w:val="000000" w:themeColor="text1"/>
          <w:szCs w:val="24"/>
        </w:rPr>
        <w:t>PART II</w:t>
      </w:r>
      <w:proofErr w:type="gramStart"/>
      <w:r w:rsidRPr="2320ED69">
        <w:rPr>
          <w:rFonts w:eastAsia="Times New Roman"/>
          <w:b/>
          <w:bCs/>
          <w:color w:val="000000" w:themeColor="text1"/>
          <w:szCs w:val="24"/>
        </w:rPr>
        <w:t>:  SUBSTANTIAL</w:t>
      </w:r>
      <w:proofErr w:type="gramEnd"/>
      <w:r w:rsidRPr="2320ED69">
        <w:rPr>
          <w:rFonts w:eastAsia="Times New Roman"/>
          <w:b/>
          <w:bCs/>
          <w:color w:val="000000" w:themeColor="text1"/>
          <w:szCs w:val="24"/>
        </w:rPr>
        <w:t xml:space="preserve"> CONTRIBUTION</w:t>
      </w:r>
    </w:p>
    <w:p w:rsidR="00DA3010" w:rsidP="003D3709" w:rsidRDefault="00DA3010" w14:paraId="2062CAFF" w14:textId="77777777">
      <w:pPr>
        <w:keepNext/>
        <w:contextualSpacing/>
        <w:jc w:val="center"/>
        <w:rPr>
          <w:rFonts w:eastAsia="Times New Roman"/>
          <w:color w:val="000000" w:themeColor="text1"/>
          <w:szCs w:val="24"/>
        </w:rPr>
      </w:pPr>
    </w:p>
    <w:p w:rsidRPr="003D3709" w:rsidR="07251D13" w:rsidP="00084FF0" w:rsidRDefault="07251D13" w14:paraId="6045B14F" w14:textId="210EB4FD">
      <w:pPr>
        <w:pStyle w:val="ListParagraph"/>
        <w:widowControl w:val="0"/>
        <w:numPr>
          <w:ilvl w:val="0"/>
          <w:numId w:val="2"/>
        </w:numPr>
        <w:rPr>
          <w:rFonts w:eastAsia="Times New Roman"/>
          <w:color w:val="000000" w:themeColor="text1"/>
          <w:szCs w:val="24"/>
        </w:rPr>
      </w:pPr>
      <w:r w:rsidRPr="2320ED69">
        <w:rPr>
          <w:rFonts w:eastAsia="Times New Roman"/>
          <w:b/>
          <w:bCs/>
          <w:color w:val="000000" w:themeColor="text1"/>
          <w:szCs w:val="24"/>
        </w:rPr>
        <w:t>Did the Intervenor substantially contribute to the final decision (</w:t>
      </w:r>
      <w:r w:rsidRPr="2320ED69">
        <w:rPr>
          <w:rFonts w:eastAsia="Times New Roman"/>
          <w:b/>
          <w:bCs/>
          <w:i/>
          <w:iCs/>
          <w:color w:val="000000" w:themeColor="text1"/>
          <w:szCs w:val="24"/>
        </w:rPr>
        <w:t>see</w:t>
      </w:r>
      <w:r w:rsidRPr="2320ED69">
        <w:rPr>
          <w:rFonts w:eastAsia="Times New Roman"/>
          <w:b/>
          <w:bCs/>
          <w:color w:val="000000" w:themeColor="text1"/>
          <w:szCs w:val="24"/>
        </w:rPr>
        <w:t xml:space="preserve"> § 1802(j), </w:t>
      </w:r>
      <w:r>
        <w:br/>
      </w:r>
      <w:r w:rsidRPr="2320ED69">
        <w:rPr>
          <w:rFonts w:eastAsia="Times New Roman"/>
          <w:b/>
          <w:bCs/>
          <w:color w:val="000000" w:themeColor="text1"/>
          <w:szCs w:val="24"/>
        </w:rPr>
        <w:t>§ 1803(a), 1803.1(a) and D.98-04-059):</w:t>
      </w:r>
    </w:p>
    <w:p w:rsidR="00981BCA" w:rsidP="003D3709" w:rsidRDefault="00981BCA" w14:paraId="4C08F95E" w14:textId="77777777">
      <w:pPr>
        <w:pStyle w:val="ListParagraph"/>
        <w:widowControl w:val="0"/>
        <w:ind w:left="360"/>
        <w:rPr>
          <w:rFonts w:eastAsia="Times New Roman"/>
          <w:color w:val="000000" w:themeColor="text1"/>
          <w:szCs w:val="24"/>
        </w:rPr>
      </w:pPr>
    </w:p>
    <w:tbl>
      <w:tblPr>
        <w:tblStyle w:val="TableGrid"/>
        <w:tblW w:w="9350" w:type="dxa"/>
        <w:tblLook w:val="04A0" w:firstRow="1" w:lastRow="0" w:firstColumn="1" w:lastColumn="0" w:noHBand="0" w:noVBand="1"/>
      </w:tblPr>
      <w:tblGrid>
        <w:gridCol w:w="3325"/>
        <w:gridCol w:w="3690"/>
        <w:gridCol w:w="2335"/>
      </w:tblGrid>
      <w:tr w:rsidR="00645220" w:rsidTr="02C02B7E" w14:paraId="75C667DA" w14:textId="77777777">
        <w:trPr>
          <w:tblHeader/>
        </w:trPr>
        <w:tc>
          <w:tcPr>
            <w:tcW w:w="3325" w:type="dxa"/>
            <w:shd w:val="clear" w:color="auto" w:fill="D0CECE" w:themeFill="background2" w:themeFillShade="E6"/>
            <w:vAlign w:val="bottom"/>
          </w:tcPr>
          <w:p w:rsidRPr="00201288" w:rsidR="00645220" w:rsidP="003D3709" w:rsidRDefault="00645220" w14:paraId="6DAAC579" w14:textId="77777777">
            <w:pPr>
              <w:widowControl w:val="0"/>
              <w:contextualSpacing/>
              <w:jc w:val="center"/>
            </w:pPr>
            <w:r w:rsidRPr="007F620E">
              <w:rPr>
                <w:b/>
              </w:rPr>
              <w:t>Intervenor’s Claimed Contribution(s)</w:t>
            </w:r>
          </w:p>
        </w:tc>
        <w:tc>
          <w:tcPr>
            <w:tcW w:w="3690" w:type="dxa"/>
            <w:shd w:val="clear" w:color="auto" w:fill="D0CECE" w:themeFill="background2" w:themeFillShade="E6"/>
            <w:vAlign w:val="bottom"/>
          </w:tcPr>
          <w:p w:rsidRPr="00201288" w:rsidR="00645220" w:rsidP="003D3709" w:rsidRDefault="00645220" w14:paraId="4B66B52F" w14:textId="77777777">
            <w:pPr>
              <w:widowControl w:val="0"/>
              <w:contextualSpacing/>
              <w:jc w:val="center"/>
            </w:pPr>
            <w:r w:rsidRPr="007F620E">
              <w:rPr>
                <w:b/>
              </w:rPr>
              <w:t>Specific References to Intervenor’s Claimed Contribution(s)</w:t>
            </w:r>
          </w:p>
        </w:tc>
        <w:tc>
          <w:tcPr>
            <w:tcW w:w="2335" w:type="dxa"/>
            <w:shd w:val="clear" w:color="auto" w:fill="D0CECE" w:themeFill="background2" w:themeFillShade="E6"/>
            <w:vAlign w:val="bottom"/>
          </w:tcPr>
          <w:p w:rsidRPr="00201288" w:rsidR="00645220" w:rsidP="003D3709" w:rsidRDefault="00645220" w14:paraId="3E419A3A" w14:textId="77777777">
            <w:pPr>
              <w:widowControl w:val="0"/>
              <w:contextualSpacing/>
              <w:jc w:val="center"/>
            </w:pPr>
            <w:r w:rsidRPr="007F620E">
              <w:rPr>
                <w:b/>
              </w:rPr>
              <w:t>CPUC Discussion</w:t>
            </w:r>
          </w:p>
        </w:tc>
      </w:tr>
      <w:tr w:rsidR="00645220" w:rsidTr="02C02B7E" w14:paraId="041F8CCD" w14:textId="77777777">
        <w:tc>
          <w:tcPr>
            <w:tcW w:w="3325" w:type="dxa"/>
            <w:shd w:val="clear" w:color="auto" w:fill="FFFFFF" w:themeFill="background1"/>
          </w:tcPr>
          <w:p w:rsidR="00645220" w:rsidP="003D3709" w:rsidRDefault="00645220" w14:paraId="578B0CA8" w14:textId="731A3960">
            <w:pPr>
              <w:widowControl w:val="0"/>
              <w:contextualSpacing/>
            </w:pPr>
            <w:r w:rsidRPr="007F620E">
              <w:t>1.</w:t>
            </w:r>
            <w:r>
              <w:t xml:space="preserve"> EDF </w:t>
            </w:r>
            <w:r w:rsidR="0016387C">
              <w:t>advocated for the Commission to reject Pacific Gas &amp; Electric’s</w:t>
            </w:r>
            <w:r w:rsidR="0011047F">
              <w:t xml:space="preserve"> (PG&amp;E)</w:t>
            </w:r>
            <w:r w:rsidR="00CE4C08">
              <w:t xml:space="preserve"> request that the Commission grant relief for </w:t>
            </w:r>
            <w:r w:rsidR="0011047F">
              <w:t xml:space="preserve">“last-minute” project delays. </w:t>
            </w:r>
          </w:p>
          <w:p w:rsidR="00645220" w:rsidP="003D3709" w:rsidRDefault="00645220" w14:paraId="0C71699E" w14:textId="77777777">
            <w:pPr>
              <w:widowControl w:val="0"/>
              <w:contextualSpacing/>
            </w:pPr>
          </w:p>
          <w:p w:rsidRPr="00E23E08" w:rsidR="00645220" w:rsidP="003D3709" w:rsidRDefault="00645220" w14:paraId="75ED8B0B" w14:textId="796BF66C">
            <w:pPr>
              <w:widowControl w:val="0"/>
              <w:contextualSpacing/>
            </w:pPr>
            <w:r>
              <w:t xml:space="preserve">The Commission </w:t>
            </w:r>
            <w:r w:rsidR="0011047F">
              <w:t>declined to adopt PG&amp;E’s proposal. D.24-09-006 at 17-18.</w:t>
            </w:r>
          </w:p>
          <w:p w:rsidR="00645220" w:rsidP="003D3709" w:rsidRDefault="00645220" w14:paraId="34FC0B20" w14:textId="77777777">
            <w:pPr>
              <w:widowControl w:val="0"/>
              <w:contextualSpacing/>
            </w:pPr>
          </w:p>
          <w:p w:rsidR="00645220" w:rsidP="003D3709" w:rsidRDefault="00645220" w14:paraId="44439448" w14:textId="77777777">
            <w:pPr>
              <w:widowControl w:val="0"/>
              <w:contextualSpacing/>
            </w:pPr>
          </w:p>
          <w:p w:rsidR="00645220" w:rsidP="003D3709" w:rsidRDefault="00645220" w14:paraId="6F9C56D6" w14:textId="77777777">
            <w:pPr>
              <w:widowControl w:val="0"/>
              <w:contextualSpacing/>
            </w:pPr>
          </w:p>
          <w:p w:rsidRPr="00201288" w:rsidR="00645220" w:rsidP="003D3709" w:rsidRDefault="00645220" w14:paraId="5BBC30EC" w14:textId="77777777">
            <w:pPr>
              <w:widowControl w:val="0"/>
              <w:contextualSpacing/>
            </w:pPr>
          </w:p>
        </w:tc>
        <w:tc>
          <w:tcPr>
            <w:tcW w:w="3690" w:type="dxa"/>
            <w:shd w:val="clear" w:color="auto" w:fill="FFFFFF" w:themeFill="background1"/>
          </w:tcPr>
          <w:p w:rsidRPr="004C03F0" w:rsidR="00645220" w:rsidP="003D3709" w:rsidRDefault="00645220" w14:paraId="5DADBE33" w14:textId="77777777">
            <w:pPr>
              <w:widowControl w:val="0"/>
              <w:contextualSpacing/>
              <w:jc w:val="center"/>
              <w:rPr>
                <w:b/>
                <w:bCs/>
                <w:szCs w:val="24"/>
              </w:rPr>
            </w:pPr>
            <w:r w:rsidRPr="004C03F0">
              <w:rPr>
                <w:b/>
                <w:bCs/>
                <w:szCs w:val="24"/>
              </w:rPr>
              <w:t>EDF Comments</w:t>
            </w:r>
          </w:p>
          <w:p w:rsidRPr="004C03F0" w:rsidR="00645220" w:rsidP="003D3709" w:rsidRDefault="00645220" w14:paraId="6D669D04" w14:textId="77777777">
            <w:pPr>
              <w:widowControl w:val="0"/>
              <w:contextualSpacing/>
              <w:jc w:val="center"/>
              <w:rPr>
                <w:b/>
                <w:bCs/>
                <w:szCs w:val="24"/>
              </w:rPr>
            </w:pPr>
          </w:p>
          <w:p w:rsidR="0011047F" w:rsidP="003D3709" w:rsidRDefault="00526B28" w14:paraId="72BD89B9" w14:textId="3ECDE7BC">
            <w:pPr>
              <w:widowControl w:val="0"/>
              <w:contextualSpacing/>
            </w:pPr>
            <w:r>
              <w:rPr>
                <w:szCs w:val="24"/>
              </w:rPr>
              <w:t>“</w:t>
            </w:r>
            <w:r>
              <w:t xml:space="preserve">In opening comments, EDF expressed strong concern with the Commission’s practice of consistently modifying LSEs’ procurement obligations when LSEs are unable to satisfy their </w:t>
            </w:r>
            <w:proofErr w:type="gramStart"/>
            <w:r>
              <w:t>clearly-defined</w:t>
            </w:r>
            <w:proofErr w:type="gramEnd"/>
            <w:r>
              <w:t xml:space="preserve"> procurement requirements. This practice sends a signal to LSEs that rigorous procurement efforts are not necessary and has contributed to the State continuing to rely on aging, inefficient, and harmful </w:t>
            </w:r>
            <w:proofErr w:type="gramStart"/>
            <w:r>
              <w:t>fossil based</w:t>
            </w:r>
            <w:proofErr w:type="gramEnd"/>
            <w:r>
              <w:t xml:space="preserve"> resources. EDF cited PG&amp;E’s recent procedurally and substantively defective request to extend the deadline by which it must comply with D.21-06-035 as exemplary of how some LSEs feel emboldened to shirk their </w:t>
            </w:r>
            <w:r>
              <w:lastRenderedPageBreak/>
              <w:t>procurement obligations on the belief the Commission will rescue them from their noncompliance.</w:t>
            </w:r>
          </w:p>
          <w:p w:rsidR="00526B28" w:rsidP="003D3709" w:rsidRDefault="00F7134A" w14:paraId="3A04950E" w14:textId="3998B959">
            <w:pPr>
              <w:widowControl w:val="0"/>
              <w:contextualSpacing/>
            </w:pPr>
            <w:r>
              <w:t>Now, PG&amp;E has proposed that the Commission partly memorialize this practice. PG&amp;E requests the Commission provide LSEs with relief for “last-minute” delays that occur where an LSE is notified of a project delay by a developer within 30 days prior to the expected online date for the delayed project.  PG&amp;E’s proposal does not include any oversight mechanism by which the Commission could independently confirm when, and whether, a developer notified an LSE of a project delay. EDF opposes the Commission formalizing a process by which LSEs may be granted relief from their procurement obligations. EDF believes LSEs (and in turn the developers) should be required to bear the risk associated with potential project delays, which will incent LSEs to employ all efforts to bring resources online quickly.</w:t>
            </w:r>
          </w:p>
          <w:p w:rsidR="00F7134A" w:rsidP="003D3709" w:rsidRDefault="00F7134A" w14:paraId="434C549B" w14:textId="77777777">
            <w:pPr>
              <w:widowControl w:val="0"/>
              <w:contextualSpacing/>
            </w:pPr>
          </w:p>
          <w:p w:rsidR="00F7134A" w:rsidP="003D3709" w:rsidRDefault="00F7134A" w14:paraId="566903D6" w14:textId="0D28917A">
            <w:pPr>
              <w:widowControl w:val="0"/>
              <w:contextualSpacing/>
            </w:pPr>
            <w:r>
              <w:t xml:space="preserve">EDF suggests that the Commission direct the LSEs to include provisions in their contracts with developers for these bridge resources to protect ratepayers from the financial and reliability harm caused by these “last minute delays,” including strong financial penalties in the event the developer is unable to bring the resource online by the date established in the contract. If the financial signal is strong enough, the risk can be </w:t>
            </w:r>
            <w:r>
              <w:lastRenderedPageBreak/>
              <w:t xml:space="preserve">shifted onto the developer. EDF also suggests that additional guidance should be provided on status updates so that, if there is a risk of not bringing the bridge resources online by the date established in the applicable contract, the Commission and PG&amp;E can respond in more holistic manner. Granting PG&amp;E’s request will send a further signal to LSEs and developers that compliance with the procurement deadlines established by the Commission is not required or </w:t>
            </w:r>
            <w:proofErr w:type="gramStart"/>
            <w:r>
              <w:t>expected.”</w:t>
            </w:r>
            <w:proofErr w:type="gramEnd"/>
          </w:p>
          <w:p w:rsidRPr="004C03F0" w:rsidR="00645220" w:rsidP="003D3709" w:rsidRDefault="00F7134A" w14:paraId="5BAEAF20" w14:textId="3060367E">
            <w:pPr>
              <w:widowControl w:val="0"/>
              <w:contextualSpacing/>
              <w:rPr>
                <w:szCs w:val="24"/>
              </w:rPr>
            </w:pPr>
            <w:r>
              <w:rPr>
                <w:szCs w:val="24"/>
              </w:rPr>
              <w:t>Reply Comments of Environmental Defense Fund on the Administrative Law Judge’s Ruling Seeking Comments on Staff Proposal to Allow Temporary Bridge Resources to meet Diablo Canyon Replacement Obligations, at 3-5 (June 21, 2024). (EDF</w:t>
            </w:r>
            <w:r w:rsidR="004B20F5">
              <w:rPr>
                <w:szCs w:val="24"/>
              </w:rPr>
              <w:t xml:space="preserve"> Bridge Resources</w:t>
            </w:r>
            <w:r>
              <w:rPr>
                <w:szCs w:val="24"/>
              </w:rPr>
              <w:t xml:space="preserve"> Reply Comments</w:t>
            </w:r>
            <w:r w:rsidR="004B20F5">
              <w:rPr>
                <w:szCs w:val="24"/>
              </w:rPr>
              <w:t>)</w:t>
            </w:r>
          </w:p>
          <w:p w:rsidRPr="004C03F0" w:rsidR="00645220" w:rsidP="003D3709" w:rsidRDefault="00645220" w14:paraId="13EF68CC" w14:textId="77777777">
            <w:pPr>
              <w:widowControl w:val="0"/>
              <w:contextualSpacing/>
              <w:rPr>
                <w:szCs w:val="24"/>
              </w:rPr>
            </w:pPr>
          </w:p>
          <w:p w:rsidRPr="004C03F0" w:rsidR="00645220" w:rsidP="003D3709" w:rsidRDefault="00645220" w14:paraId="6749E77B" w14:textId="77777777">
            <w:pPr>
              <w:widowControl w:val="0"/>
              <w:contextualSpacing/>
              <w:jc w:val="center"/>
              <w:rPr>
                <w:b/>
                <w:bCs/>
                <w:szCs w:val="24"/>
              </w:rPr>
            </w:pPr>
            <w:r w:rsidRPr="004C03F0">
              <w:rPr>
                <w:b/>
                <w:bCs/>
                <w:szCs w:val="24"/>
              </w:rPr>
              <w:t>Decision Excerpts</w:t>
            </w:r>
          </w:p>
          <w:p w:rsidRPr="004C03F0" w:rsidR="00645220" w:rsidP="003D3709" w:rsidRDefault="00645220" w14:paraId="19423CF7" w14:textId="77777777">
            <w:pPr>
              <w:widowControl w:val="0"/>
              <w:contextualSpacing/>
              <w:rPr>
                <w:szCs w:val="24"/>
              </w:rPr>
            </w:pPr>
          </w:p>
          <w:p w:rsidRPr="00526B28" w:rsidR="0011047F" w:rsidP="003D3709" w:rsidRDefault="00645220" w14:paraId="1D299D0F" w14:textId="762E9F18">
            <w:pPr>
              <w:pStyle w:val="Default"/>
              <w:widowControl w:val="0"/>
              <w:contextualSpacing/>
              <w:rPr>
                <w:rFonts w:ascii="Times New Roman" w:hAnsi="Times New Roman" w:cs="Times New Roman"/>
              </w:rPr>
            </w:pPr>
            <w:r w:rsidRPr="004C03F0">
              <w:rPr>
                <w:rFonts w:ascii="Times New Roman" w:hAnsi="Times New Roman" w:cs="Times New Roman"/>
              </w:rPr>
              <w:t>“</w:t>
            </w:r>
            <w:r w:rsidR="0011047F">
              <w:rPr>
                <w:rFonts w:ascii="Times New Roman" w:hAnsi="Times New Roman" w:cs="Times New Roman"/>
              </w:rPr>
              <w:t xml:space="preserve">In opening comments, PG&amp;E requests that in the </w:t>
            </w:r>
            <w:r w:rsidR="00526B28">
              <w:rPr>
                <w:rFonts w:ascii="Times New Roman" w:hAnsi="Times New Roman" w:cs="Times New Roman"/>
              </w:rPr>
              <w:t>ev</w:t>
            </w:r>
            <w:r w:rsidR="0011047F">
              <w:rPr>
                <w:rFonts w:ascii="Times New Roman" w:hAnsi="Times New Roman" w:cs="Times New Roman"/>
              </w:rPr>
              <w:t>ent an LSE is notified of a “last-minute” delay to a resource by that resource’s developer, the LSE could be relieved from procuring bridge resources to replace that resource’s capacity and/or energy</w:t>
            </w:r>
            <w:r w:rsidR="00526B28">
              <w:rPr>
                <w:rFonts w:ascii="Times New Roman" w:hAnsi="Times New Roman" w:cs="Times New Roman"/>
              </w:rPr>
              <w:t>. PG&amp;E proposes a set of criteria that would need to be met to quality [</w:t>
            </w:r>
            <w:r w:rsidR="00526B28">
              <w:rPr>
                <w:rFonts w:ascii="Times New Roman" w:hAnsi="Times New Roman" w:cs="Times New Roman"/>
                <w:i/>
                <w:iCs/>
              </w:rPr>
              <w:t>sic</w:t>
            </w:r>
            <w:r w:rsidR="00526B28">
              <w:rPr>
                <w:rFonts w:ascii="Times New Roman" w:hAnsi="Times New Roman" w:cs="Times New Roman"/>
              </w:rPr>
              <w:t>] for this suggested procurement exemption.</w:t>
            </w:r>
          </w:p>
          <w:p w:rsidRPr="004C03F0" w:rsidR="00645220" w:rsidP="003D3709" w:rsidRDefault="00645220" w14:paraId="50C1A66D" w14:textId="4F04920B">
            <w:pPr>
              <w:pStyle w:val="Default"/>
              <w:widowControl w:val="0"/>
              <w:contextualSpacing/>
              <w:rPr>
                <w:rFonts w:ascii="Times New Roman" w:hAnsi="Times New Roman" w:cs="Times New Roman"/>
              </w:rPr>
            </w:pPr>
          </w:p>
          <w:p w:rsidR="00645220" w:rsidP="003D3709" w:rsidRDefault="00526B28" w14:paraId="301A8887" w14:textId="32CB4EB9">
            <w:pPr>
              <w:pStyle w:val="Default"/>
              <w:widowControl w:val="0"/>
              <w:contextualSpacing/>
              <w:rPr>
                <w:rFonts w:ascii="Times New Roman" w:hAnsi="Times New Roman" w:cs="Times New Roman"/>
              </w:rPr>
            </w:pPr>
            <w:r w:rsidRPr="00526B28">
              <w:rPr>
                <w:rFonts w:ascii="Times New Roman" w:hAnsi="Times New Roman" w:cs="Times New Roman"/>
              </w:rPr>
              <w:t xml:space="preserve">We recognize </w:t>
            </w:r>
            <w:r>
              <w:rPr>
                <w:rFonts w:ascii="Times New Roman" w:hAnsi="Times New Roman" w:cs="Times New Roman"/>
              </w:rPr>
              <w:t xml:space="preserve">the challenging </w:t>
            </w:r>
            <w:r>
              <w:rPr>
                <w:rFonts w:ascii="Times New Roman" w:hAnsi="Times New Roman" w:cs="Times New Roman"/>
              </w:rPr>
              <w:lastRenderedPageBreak/>
              <w:t xml:space="preserve">procurement environment that LSEs must operate in to meet their obligations under D.21-06-035. The ALJ ruling and staff proposal, as well as this decision, were designed to help give LSEs more options for compliance with the Diablo Canyon replacement resource provisions of D.21-06-035. In the event of an unexpected last-minute delay to a Diablo Canyon replacement resource coming online, the LSE may be unable to act quickly enough to substitute a bridge </w:t>
            </w:r>
            <w:proofErr w:type="gramStart"/>
            <w:r>
              <w:rPr>
                <w:rFonts w:ascii="Times New Roman" w:hAnsi="Times New Roman" w:cs="Times New Roman"/>
              </w:rPr>
              <w:t>resources</w:t>
            </w:r>
            <w:proofErr w:type="gramEnd"/>
            <w:r>
              <w:rPr>
                <w:rFonts w:ascii="Times New Roman" w:hAnsi="Times New Roman" w:cs="Times New Roman"/>
              </w:rPr>
              <w:t>. However, this is a generic issue across all required procurement. We decline to adopt a broad policy about last-minute resource delays in this context, and even for a subset of resources such as the Diablo Canyon replacement resources.</w:t>
            </w:r>
          </w:p>
          <w:p w:rsidR="00526B28" w:rsidP="003D3709" w:rsidRDefault="00526B28" w14:paraId="2A448980" w14:textId="77777777">
            <w:pPr>
              <w:pStyle w:val="Default"/>
              <w:widowControl w:val="0"/>
              <w:contextualSpacing/>
              <w:rPr>
                <w:rFonts w:ascii="Times New Roman" w:hAnsi="Times New Roman" w:cs="Times New Roman"/>
              </w:rPr>
            </w:pPr>
          </w:p>
          <w:p w:rsidR="00526B28" w:rsidP="003D3709" w:rsidRDefault="00526B28" w14:paraId="33327EB3" w14:textId="403EE52B">
            <w:pPr>
              <w:pStyle w:val="Default"/>
              <w:widowControl w:val="0"/>
              <w:contextualSpacing/>
              <w:rPr>
                <w:rFonts w:ascii="Times New Roman" w:hAnsi="Times New Roman" w:cs="Times New Roman"/>
              </w:rPr>
            </w:pPr>
            <w:r>
              <w:rPr>
                <w:rFonts w:ascii="Times New Roman" w:hAnsi="Times New Roman" w:cs="Times New Roman"/>
              </w:rPr>
              <w:t xml:space="preserve">Though we decline to adopt PG&amp;E’s proposal, we emphasize that Commission staff will </w:t>
            </w:r>
            <w:proofErr w:type="spellStart"/>
            <w:proofErr w:type="gramStart"/>
            <w:r>
              <w:rPr>
                <w:rFonts w:ascii="Times New Roman" w:hAnsi="Times New Roman" w:cs="Times New Roman"/>
              </w:rPr>
              <w:t>asses</w:t>
            </w:r>
            <w:proofErr w:type="spellEnd"/>
            <w:proofErr w:type="gramEnd"/>
            <w:r>
              <w:rPr>
                <w:rFonts w:ascii="Times New Roman" w:hAnsi="Times New Roman" w:cs="Times New Roman"/>
              </w:rPr>
              <w:t xml:space="preserve"> an LSE’s compliance status holistically, both for Diablo Canyon replacement resources and IRP procurement generally, considering </w:t>
            </w:r>
            <w:proofErr w:type="gramStart"/>
            <w:r>
              <w:rPr>
                <w:rFonts w:ascii="Times New Roman" w:hAnsi="Times New Roman" w:cs="Times New Roman"/>
              </w:rPr>
              <w:t>all of</w:t>
            </w:r>
            <w:proofErr w:type="gramEnd"/>
            <w:r>
              <w:rPr>
                <w:rFonts w:ascii="Times New Roman" w:hAnsi="Times New Roman" w:cs="Times New Roman"/>
              </w:rPr>
              <w:t xml:space="preserve"> the LSE’s efforts to procure resources and taking last-minute delay notices from developers into account.”</w:t>
            </w:r>
          </w:p>
          <w:p w:rsidRPr="00001C9D" w:rsidR="00645220" w:rsidP="003D3709" w:rsidRDefault="00B07FE5" w14:paraId="04F47039" w14:textId="2C5B14BC">
            <w:pPr>
              <w:pStyle w:val="Default"/>
              <w:widowControl w:val="0"/>
              <w:contextualSpacing/>
              <w:rPr>
                <w:rFonts w:ascii="Times New Roman" w:hAnsi="Times New Roman" w:cs="Times New Roman"/>
              </w:rPr>
            </w:pPr>
            <w:r>
              <w:rPr>
                <w:rFonts w:ascii="Times New Roman" w:hAnsi="Times New Roman" w:cs="Times New Roman"/>
              </w:rPr>
              <w:t>D.24-09</w:t>
            </w:r>
            <w:r w:rsidR="00460133">
              <w:rPr>
                <w:rFonts w:ascii="Times New Roman" w:hAnsi="Times New Roman" w:cs="Times New Roman"/>
              </w:rPr>
              <w:t>-006 at 17-18.</w:t>
            </w:r>
          </w:p>
        </w:tc>
        <w:tc>
          <w:tcPr>
            <w:tcW w:w="2335" w:type="dxa"/>
          </w:tcPr>
          <w:p w:rsidRPr="00201288" w:rsidR="00645220" w:rsidP="003D3709" w:rsidRDefault="6A8D98E0" w14:paraId="3081F1A1" w14:textId="19FFD069">
            <w:pPr>
              <w:widowControl w:val="0"/>
              <w:contextualSpacing/>
            </w:pPr>
            <w:r w:rsidRPr="2320ED69">
              <w:rPr>
                <w:rFonts w:eastAsia="Times New Roman"/>
                <w:szCs w:val="24"/>
              </w:rPr>
              <w:lastRenderedPageBreak/>
              <w:t>Verified</w:t>
            </w:r>
          </w:p>
        </w:tc>
      </w:tr>
      <w:tr w:rsidR="00645220" w:rsidTr="02C02B7E" w14:paraId="13FB5449" w14:textId="77777777">
        <w:tc>
          <w:tcPr>
            <w:tcW w:w="3325" w:type="dxa"/>
            <w:shd w:val="clear" w:color="auto" w:fill="FFFFFF" w:themeFill="background1"/>
          </w:tcPr>
          <w:p w:rsidR="00645220" w:rsidP="003D3709" w:rsidRDefault="00645220" w14:paraId="496949BF" w14:textId="5DAECDBF">
            <w:pPr>
              <w:widowControl w:val="0"/>
              <w:contextualSpacing/>
            </w:pPr>
            <w:r>
              <w:lastRenderedPageBreak/>
              <w:t>2. EDF advocated for the Commission</w:t>
            </w:r>
            <w:r w:rsidR="00C036DF">
              <w:t xml:space="preserve"> to prohibit LSEs from relying on unspecified imports and requested that the Commission provide clarity on the definition of unspecified imports.</w:t>
            </w:r>
          </w:p>
          <w:p w:rsidR="00645220" w:rsidP="003D3709" w:rsidRDefault="00645220" w14:paraId="673F03D8" w14:textId="77777777">
            <w:pPr>
              <w:widowControl w:val="0"/>
              <w:contextualSpacing/>
            </w:pPr>
          </w:p>
          <w:p w:rsidR="00C036DF" w:rsidP="003D3709" w:rsidRDefault="00645220" w14:paraId="6E60DB2E" w14:textId="77777777">
            <w:pPr>
              <w:widowControl w:val="0"/>
              <w:contextualSpacing/>
            </w:pPr>
            <w:r>
              <w:t>The Commission</w:t>
            </w:r>
            <w:r w:rsidR="00C036DF">
              <w:t>’s decision prohibits LSEs from relying on unspecified imports and provides clarity on the definition of unspecified imports.</w:t>
            </w:r>
          </w:p>
          <w:p w:rsidRPr="007F620E" w:rsidR="00645220" w:rsidP="003D3709" w:rsidRDefault="00C036DF" w14:paraId="05E20037" w14:textId="0FF3BDBB">
            <w:pPr>
              <w:widowControl w:val="0"/>
              <w:contextualSpacing/>
            </w:pPr>
            <w:r>
              <w:t xml:space="preserve">D.24-09-006 at </w:t>
            </w:r>
            <w:r w:rsidR="00460133">
              <w:t>10-14.</w:t>
            </w:r>
          </w:p>
        </w:tc>
        <w:tc>
          <w:tcPr>
            <w:tcW w:w="3690" w:type="dxa"/>
            <w:shd w:val="clear" w:color="auto" w:fill="FFFFFF" w:themeFill="background1"/>
          </w:tcPr>
          <w:p w:rsidRPr="000C60D7" w:rsidR="00645220" w:rsidP="003D3709" w:rsidRDefault="00645220" w14:paraId="4A2F01F1" w14:textId="77777777">
            <w:pPr>
              <w:widowControl w:val="0"/>
              <w:contextualSpacing/>
              <w:jc w:val="center"/>
              <w:rPr>
                <w:b/>
                <w:bCs/>
              </w:rPr>
            </w:pPr>
            <w:r>
              <w:rPr>
                <w:b/>
                <w:bCs/>
              </w:rPr>
              <w:lastRenderedPageBreak/>
              <w:t>EDF Comments</w:t>
            </w:r>
          </w:p>
          <w:p w:rsidR="00645220" w:rsidP="003D3709" w:rsidRDefault="00645220" w14:paraId="086A4ABA" w14:textId="77777777">
            <w:pPr>
              <w:widowControl w:val="0"/>
              <w:contextualSpacing/>
            </w:pPr>
          </w:p>
          <w:p w:rsidR="00645220" w:rsidP="003D3709" w:rsidRDefault="00C036DF" w14:paraId="1C128267" w14:textId="592272D6">
            <w:pPr>
              <w:widowControl w:val="0"/>
              <w:contextualSpacing/>
            </w:pPr>
            <w:r>
              <w:rPr>
                <w:szCs w:val="24"/>
              </w:rPr>
              <w:t>“</w:t>
            </w:r>
            <w:r>
              <w:t xml:space="preserve">In opening comments, EDF expressed concern that LSEs executing bridge import contracts may cause an increase in out-of-state greenhouse gas emissions by </w:t>
            </w:r>
            <w:r>
              <w:lastRenderedPageBreak/>
              <w:t>forcing other states to rely on fossil-fueled resources when they otherwise would have relied on zero-emission resources. EDF reiterates its suggestion that Commission staff modify the Proposal to minimize increases in out-of-state GHGs, as is required by Senate Bill 100.</w:t>
            </w:r>
          </w:p>
          <w:p w:rsidR="00C036DF" w:rsidP="003D3709" w:rsidRDefault="00C036DF" w14:paraId="1DFC21C2" w14:textId="77777777">
            <w:pPr>
              <w:widowControl w:val="0"/>
              <w:contextualSpacing/>
              <w:rPr>
                <w:szCs w:val="24"/>
              </w:rPr>
            </w:pPr>
          </w:p>
          <w:p w:rsidR="00C036DF" w:rsidP="003D3709" w:rsidRDefault="00C036DF" w14:paraId="7F86876A" w14:textId="7C823FEE">
            <w:pPr>
              <w:widowControl w:val="0"/>
              <w:contextualSpacing/>
            </w:pPr>
            <w:r>
              <w:t>Pacific Gas &amp; Electric (PG&amp;E) notes that it is unclear how “unspecified imports” are defined, noting there is a distinction between the definition used in the Resource Adequacy proceeding, and the definition used by the California Air Resources Board. PG&amp;E emphasizes that, if the definition of “unspecified imports” aligns with the definition used in the RA proceeding, the range of imports LSEs may rely on as bridge resources will be “severely limited.” EDF agrees that there are limitations on this definition and that additional clarity is needed. In clarifying the precise definition of “unspecified imports, the Commission should consider its statutory obligation to minimize out-of-state GHGs, which may require limiting the range of imports LSEs may rely on as bridge resources.</w:t>
            </w:r>
          </w:p>
          <w:p w:rsidR="007B7327" w:rsidP="003D3709" w:rsidRDefault="007B7327" w14:paraId="6C3B7D21" w14:textId="77777777">
            <w:pPr>
              <w:widowControl w:val="0"/>
              <w:contextualSpacing/>
            </w:pPr>
          </w:p>
          <w:p w:rsidR="00C036DF" w:rsidP="003D3709" w:rsidRDefault="007B7327" w14:paraId="1DAED450" w14:textId="16D82AE3">
            <w:pPr>
              <w:widowControl w:val="0"/>
              <w:contextualSpacing/>
            </w:pPr>
            <w:r>
              <w:t xml:space="preserve">Relatedly, EDF strongly opposes the recommendation by Shell Energy (Shell) to allow LSEs to rely on unspecified imports to temporarily satisfy their Diablo Canyon procurement replacement </w:t>
            </w:r>
            <w:r>
              <w:lastRenderedPageBreak/>
              <w:t>obligations. The Commission stated very clearly that the purpose of the Diablo Canyon replacement obligations was to ensure the retirement of Diablo Canyon does not cause either a system reliability shortfall or an increase in GHG emissions. Allowing LSEs to rely on unspecified imports, which likely include a significant portion of fossil-based resources, to temporarily satisfy their Diablo Canyon procurement obligations directly undercuts this clear direction, as well as the State’s climate, air pollution reduction, and environmental justice goals.”</w:t>
            </w:r>
          </w:p>
          <w:p w:rsidR="007B7327" w:rsidP="003D3709" w:rsidRDefault="007B7327" w14:paraId="48C9104E" w14:textId="7F64396E">
            <w:pPr>
              <w:widowControl w:val="0"/>
              <w:contextualSpacing/>
              <w:rPr>
                <w:szCs w:val="24"/>
              </w:rPr>
            </w:pPr>
            <w:r>
              <w:rPr>
                <w:szCs w:val="24"/>
              </w:rPr>
              <w:t>EDF Bridge Resources Reply Comments, at 2-3.</w:t>
            </w:r>
          </w:p>
          <w:p w:rsidR="007B7327" w:rsidP="003D3709" w:rsidRDefault="007B7327" w14:paraId="5ED49724" w14:textId="77777777">
            <w:pPr>
              <w:widowControl w:val="0"/>
              <w:contextualSpacing/>
              <w:rPr>
                <w:szCs w:val="24"/>
              </w:rPr>
            </w:pPr>
          </w:p>
          <w:p w:rsidRPr="004C03F0" w:rsidR="00645220" w:rsidP="003D3709" w:rsidRDefault="00645220" w14:paraId="534BF67E" w14:textId="77777777">
            <w:pPr>
              <w:widowControl w:val="0"/>
              <w:contextualSpacing/>
              <w:jc w:val="center"/>
              <w:rPr>
                <w:b/>
                <w:bCs/>
                <w:szCs w:val="24"/>
              </w:rPr>
            </w:pPr>
            <w:r w:rsidRPr="004C03F0">
              <w:rPr>
                <w:b/>
                <w:bCs/>
                <w:szCs w:val="24"/>
              </w:rPr>
              <w:t>Decision Excerpts</w:t>
            </w:r>
          </w:p>
          <w:p w:rsidRPr="004C03F0" w:rsidR="00645220" w:rsidP="003D3709" w:rsidRDefault="00645220" w14:paraId="243C2621" w14:textId="77777777">
            <w:pPr>
              <w:widowControl w:val="0"/>
              <w:contextualSpacing/>
              <w:rPr>
                <w:b/>
                <w:bCs/>
                <w:szCs w:val="24"/>
              </w:rPr>
            </w:pPr>
          </w:p>
          <w:p w:rsidR="00CE5688" w:rsidP="003D3709" w:rsidRDefault="00645220" w14:paraId="7B63F849" w14:textId="68EFE188">
            <w:pPr>
              <w:widowControl w:val="0"/>
              <w:contextualSpacing/>
              <w:rPr>
                <w:szCs w:val="24"/>
              </w:rPr>
            </w:pPr>
            <w:r w:rsidRPr="004C03F0">
              <w:rPr>
                <w:szCs w:val="24"/>
              </w:rPr>
              <w:t>“EDF</w:t>
            </w:r>
            <w:r w:rsidR="00CE5688">
              <w:rPr>
                <w:szCs w:val="24"/>
              </w:rPr>
              <w:t xml:space="preserve"> … opposes any provision that may allow for an increase of out-of-state emissions, even if California’s emissions footprint does not increase.</w:t>
            </w:r>
          </w:p>
          <w:p w:rsidR="004D4604" w:rsidP="003D3709" w:rsidRDefault="004D4604" w14:paraId="7BEE349B" w14:textId="06D83976">
            <w:pPr>
              <w:widowControl w:val="0"/>
              <w:contextualSpacing/>
              <w:rPr>
                <w:szCs w:val="24"/>
              </w:rPr>
            </w:pPr>
            <w:r>
              <w:rPr>
                <w:szCs w:val="24"/>
              </w:rPr>
              <w:t>…</w:t>
            </w:r>
          </w:p>
          <w:p w:rsidR="00CE5688" w:rsidP="003D3709" w:rsidRDefault="004D4604" w14:paraId="328F781C" w14:textId="7393BFD6">
            <w:pPr>
              <w:widowControl w:val="0"/>
              <w:contextualSpacing/>
            </w:pPr>
            <w:r>
              <w:t xml:space="preserve">To resolve these issues, we start by referring again to the emissions standard set in D.21-06-035 for Diablo Canyon replacement resources, which is that the resources must have “zero-on-site emissions or, if the resources have emissions, they must otherwise qualify under the RPS eligibility requirements.” Since we are not modifying this standard in this decision, Commission staff will need to be able to verify the </w:t>
            </w:r>
            <w:proofErr w:type="gramStart"/>
            <w:r>
              <w:t>provenance</w:t>
            </w:r>
            <w:proofErr w:type="gramEnd"/>
            <w:r>
              <w:t xml:space="preserve"> of any resource in </w:t>
            </w:r>
            <w:r>
              <w:lastRenderedPageBreak/>
              <w:t xml:space="preserve">question that is being used to satisfy the Diablo Canyon replacement category of resources. Any contract, product, or solution – import or otherwise – for which Commission staff cannot verify the resource type of the generator is ineligible. </w:t>
            </w:r>
          </w:p>
          <w:p w:rsidR="004D4604" w:rsidP="003D3709" w:rsidRDefault="004D4604" w14:paraId="740BC4A8" w14:textId="77777777">
            <w:pPr>
              <w:widowControl w:val="0"/>
              <w:contextualSpacing/>
              <w:rPr>
                <w:szCs w:val="24"/>
              </w:rPr>
            </w:pPr>
          </w:p>
          <w:p w:rsidR="004D4604" w:rsidP="003D3709" w:rsidRDefault="004D4604" w14:paraId="27BED8B8" w14:textId="53F258FB">
            <w:pPr>
              <w:widowControl w:val="0"/>
              <w:contextualSpacing/>
            </w:pPr>
            <w:r>
              <w:t xml:space="preserve">As to the definition of unspecified imports for purposes of compliance with this decision, we have reviewed the relevant definitions in the CARB Mandatory Greenhouse Gas Reporting Regulations under the Cap-and-Trade Program, as well as the Resource Adequacy definition. According to </w:t>
            </w:r>
            <w:proofErr w:type="gramStart"/>
            <w:r>
              <w:t>the CARB</w:t>
            </w:r>
            <w:proofErr w:type="gramEnd"/>
            <w:r>
              <w:t xml:space="preserve"> regulations, unspecified imports do not have proof of direct delivery from or a contract with a specific generation facility.</w:t>
            </w:r>
          </w:p>
          <w:p w:rsidR="004D4604" w:rsidP="003D3709" w:rsidRDefault="004D4604" w14:paraId="78DE4D3C" w14:textId="77777777">
            <w:pPr>
              <w:widowControl w:val="0"/>
              <w:contextualSpacing/>
              <w:rPr>
                <w:szCs w:val="24"/>
              </w:rPr>
            </w:pPr>
          </w:p>
          <w:p w:rsidR="004D4604" w:rsidP="003D3709" w:rsidRDefault="004D4604" w14:paraId="2A9DD54D" w14:textId="3CB9D114">
            <w:pPr>
              <w:widowControl w:val="0"/>
              <w:contextualSpacing/>
            </w:pPr>
            <w:r>
              <w:t>The Commission’s Resource Adequacy program uses the terms “</w:t>
            </w:r>
            <w:proofErr w:type="spellStart"/>
            <w:r>
              <w:t>nonresource</w:t>
            </w:r>
            <w:proofErr w:type="spellEnd"/>
            <w:r>
              <w:t xml:space="preserve">-specific” and “unspecified imports” interchangeably. Non-resource specific imports are defined under the Resource Adequacy program as “imports that are not associated with a specific resource or unit. Non-resource-specific resources are eligible under the Resource Adequacy program </w:t>
            </w:r>
            <w:proofErr w:type="gramStart"/>
            <w:r>
              <w:t>provided that</w:t>
            </w:r>
            <w:proofErr w:type="gramEnd"/>
            <w:r>
              <w:t xml:space="preserve"> they meet certain requirements, but it is important to note that the Resource Adequacy program is not chiefly concerned with emissions characteristics, given its focus on system reliability.</w:t>
            </w:r>
          </w:p>
          <w:p w:rsidR="004D4604" w:rsidP="003D3709" w:rsidRDefault="004D4604" w14:paraId="445D9429" w14:textId="77777777">
            <w:pPr>
              <w:widowControl w:val="0"/>
              <w:contextualSpacing/>
              <w:rPr>
                <w:szCs w:val="24"/>
              </w:rPr>
            </w:pPr>
          </w:p>
          <w:p w:rsidR="004D4604" w:rsidP="003D3709" w:rsidRDefault="00BA056A" w14:paraId="6F8F59D9" w14:textId="5C4AE8C6">
            <w:pPr>
              <w:widowControl w:val="0"/>
              <w:contextualSpacing/>
            </w:pPr>
            <w:r>
              <w:lastRenderedPageBreak/>
              <w:t>The CARB definition of unspecified imports is more relevant and provides guidance that most closely aligns with the emissions standards under D.21-06-035 for Diablo Canyon replacement resources.”</w:t>
            </w:r>
          </w:p>
          <w:p w:rsidRPr="00704458" w:rsidR="00645220" w:rsidP="003D3709" w:rsidRDefault="00BA056A" w14:paraId="280CDA60" w14:textId="7B6E43DF">
            <w:pPr>
              <w:widowControl w:val="0"/>
              <w:contextualSpacing/>
            </w:pPr>
            <w:r>
              <w:rPr>
                <w:szCs w:val="24"/>
              </w:rPr>
              <w:t>D.24-09-006 at 4, 11-12.</w:t>
            </w:r>
          </w:p>
        </w:tc>
        <w:tc>
          <w:tcPr>
            <w:tcW w:w="2335" w:type="dxa"/>
          </w:tcPr>
          <w:p w:rsidRPr="00201288" w:rsidR="00645220" w:rsidP="003D3709" w:rsidRDefault="23781058" w14:paraId="10226EA4" w14:textId="05EB0997">
            <w:pPr>
              <w:widowControl w:val="0"/>
              <w:contextualSpacing/>
            </w:pPr>
            <w:r>
              <w:lastRenderedPageBreak/>
              <w:t>Verified</w:t>
            </w:r>
          </w:p>
        </w:tc>
      </w:tr>
    </w:tbl>
    <w:p w:rsidR="00645220" w:rsidP="00084FF0" w:rsidRDefault="00645220" w14:paraId="6B9B3E14" w14:textId="77777777">
      <w:pPr>
        <w:pStyle w:val="Normal0"/>
        <w:keepNext/>
        <w:numPr>
          <w:ilvl w:val="0"/>
          <w:numId w:val="2"/>
        </w:numPr>
        <w:contextualSpacing/>
        <w:rPr>
          <w:b/>
          <w:bCs/>
          <w:noProof/>
          <w:spacing w:val="-2"/>
        </w:rPr>
      </w:pPr>
      <w:r w:rsidRPr="2320ED69">
        <w:rPr>
          <w:b/>
          <w:bCs/>
          <w:noProof/>
          <w:spacing w:val="-2"/>
        </w:rPr>
        <w:lastRenderedPageBreak/>
        <w:t>Duplication of Effort (§ 1801.3(f) and § 1802.5):</w:t>
      </w:r>
    </w:p>
    <w:p w:rsidRPr="00D80CA4" w:rsidR="00981BCA" w:rsidP="003D3709" w:rsidRDefault="00981BCA" w14:paraId="6C6D4A9E" w14:textId="77777777">
      <w:pPr>
        <w:pStyle w:val="Normal0"/>
        <w:keepNext/>
        <w:ind w:left="360"/>
        <w:contextualSpacing/>
        <w:rPr>
          <w:b/>
          <w:bCs/>
          <w:noProof/>
          <w:spacing w:val="-2"/>
        </w:rPr>
      </w:pP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830"/>
        <w:gridCol w:w="1860"/>
      </w:tblGrid>
      <w:tr w:rsidRPr="007F620E" w:rsidR="00645220" w:rsidTr="003D3709" w14:paraId="08626273" w14:textId="77777777">
        <w:trPr>
          <w:trHeight w:val="300"/>
          <w:tblHeader/>
        </w:trPr>
        <w:tc>
          <w:tcPr>
            <w:tcW w:w="6048" w:type="dxa"/>
            <w:shd w:val="clear" w:color="auto" w:fill="D9D9D9" w:themeFill="background1" w:themeFillShade="D9"/>
          </w:tcPr>
          <w:p w:rsidRPr="007F620E" w:rsidR="00645220" w:rsidP="003D3709" w:rsidRDefault="00645220" w14:paraId="3DA969D2" w14:textId="77777777">
            <w:pPr>
              <w:widowControl w:val="0"/>
              <w:contextualSpacing/>
            </w:pPr>
          </w:p>
        </w:tc>
        <w:tc>
          <w:tcPr>
            <w:tcW w:w="1830" w:type="dxa"/>
            <w:tcBorders>
              <w:bottom w:val="single" w:color="auto" w:sz="4" w:space="0"/>
            </w:tcBorders>
            <w:shd w:val="clear" w:color="auto" w:fill="D9D9D9" w:themeFill="background1" w:themeFillShade="D9"/>
          </w:tcPr>
          <w:p w:rsidRPr="007F620E" w:rsidR="00645220" w:rsidP="003D3709" w:rsidRDefault="00645220" w14:paraId="274D8511" w14:textId="77777777">
            <w:pPr>
              <w:widowControl w:val="0"/>
              <w:contextualSpacing/>
              <w:jc w:val="center"/>
              <w:rPr>
                <w:b/>
              </w:rPr>
            </w:pPr>
            <w:r w:rsidRPr="007F620E">
              <w:rPr>
                <w:b/>
              </w:rPr>
              <w:t>Intervenor’s Assertion</w:t>
            </w:r>
          </w:p>
        </w:tc>
        <w:tc>
          <w:tcPr>
            <w:tcW w:w="1860" w:type="dxa"/>
            <w:shd w:val="clear" w:color="auto" w:fill="D9D9D9" w:themeFill="background1" w:themeFillShade="D9"/>
          </w:tcPr>
          <w:p w:rsidRPr="007F620E" w:rsidR="00645220" w:rsidP="003D3709" w:rsidRDefault="00645220" w14:paraId="63F6A69B" w14:textId="77777777">
            <w:pPr>
              <w:widowControl w:val="0"/>
              <w:contextualSpacing/>
              <w:jc w:val="center"/>
              <w:rPr>
                <w:b/>
              </w:rPr>
            </w:pPr>
            <w:r w:rsidRPr="007F620E">
              <w:rPr>
                <w:b/>
              </w:rPr>
              <w:t>CPUC Discussion</w:t>
            </w:r>
          </w:p>
        </w:tc>
      </w:tr>
      <w:tr w:rsidRPr="007F620E" w:rsidR="00645220" w:rsidTr="003D3709" w14:paraId="10671733" w14:textId="77777777">
        <w:trPr>
          <w:trHeight w:val="300"/>
          <w:tblHeader/>
        </w:trPr>
        <w:tc>
          <w:tcPr>
            <w:tcW w:w="6048" w:type="dxa"/>
            <w:shd w:val="clear" w:color="auto" w:fill="FFFFFF" w:themeFill="background1"/>
          </w:tcPr>
          <w:p w:rsidRPr="007F620E" w:rsidR="00645220" w:rsidP="003D3709" w:rsidRDefault="00645220" w14:paraId="41679CF6" w14:textId="714D75A2">
            <w:pPr>
              <w:widowControl w:val="0"/>
              <w:contextualSpacing/>
              <w:rPr>
                <w:b/>
              </w:rPr>
            </w:pPr>
            <w:r w:rsidRPr="1F222C3D">
              <w:rPr>
                <w:b/>
                <w:bCs/>
              </w:rPr>
              <w:t>a.</w:t>
            </w:r>
            <w:r w:rsidRPr="007F620E">
              <w:rPr>
                <w:b/>
              </w:rPr>
              <w:tab/>
            </w:r>
            <w:r w:rsidRPr="1F222C3D">
              <w:rPr>
                <w:b/>
                <w:bCs/>
              </w:rPr>
              <w:t xml:space="preserve">Was the </w:t>
            </w:r>
            <w:r w:rsidRPr="1F222C3D">
              <w:rPr>
                <w:b/>
                <w:bCs/>
                <w:sz w:val="22"/>
              </w:rPr>
              <w:t>Public Advocate’s Office of the Public Utilities Commission</w:t>
            </w:r>
            <w:r w:rsidRPr="1F222C3D">
              <w:rPr>
                <w:b/>
                <w:bCs/>
              </w:rPr>
              <w:t xml:space="preserve"> </w:t>
            </w:r>
            <w:r w:rsidRPr="1F222C3D">
              <w:rPr>
                <w:b/>
                <w:bCs/>
                <w:sz w:val="22"/>
              </w:rPr>
              <w:t>(Cal Advocates</w:t>
            </w:r>
            <w:r w:rsidRPr="1F222C3D">
              <w:rPr>
                <w:b/>
                <w:bCs/>
              </w:rPr>
              <w:t>) a party to the proceeding?</w:t>
            </w:r>
          </w:p>
        </w:tc>
        <w:tc>
          <w:tcPr>
            <w:tcW w:w="1830" w:type="dxa"/>
            <w:shd w:val="clear" w:color="auto" w:fill="FFFFFF" w:themeFill="background1"/>
          </w:tcPr>
          <w:p w:rsidRPr="00E25078" w:rsidR="00645220" w:rsidP="003D3709" w:rsidRDefault="00645220" w14:paraId="3EFD5246" w14:textId="77777777">
            <w:pPr>
              <w:widowControl w:val="0"/>
              <w:contextualSpacing/>
            </w:pPr>
            <w:r>
              <w:t>Yes</w:t>
            </w:r>
          </w:p>
        </w:tc>
        <w:tc>
          <w:tcPr>
            <w:tcW w:w="1860" w:type="dxa"/>
          </w:tcPr>
          <w:p w:rsidRPr="00E25078" w:rsidR="00645220" w:rsidP="003D3709" w:rsidRDefault="0DA3D122" w14:paraId="174A1728" w14:textId="442BB8DF">
            <w:pPr>
              <w:widowControl w:val="0"/>
              <w:contextualSpacing/>
            </w:pPr>
            <w:r>
              <w:t>Verified</w:t>
            </w:r>
          </w:p>
        </w:tc>
      </w:tr>
      <w:tr w:rsidRPr="007F620E" w:rsidR="00645220" w:rsidTr="003D3709" w14:paraId="51642583" w14:textId="77777777">
        <w:trPr>
          <w:trHeight w:val="300"/>
        </w:trPr>
        <w:tc>
          <w:tcPr>
            <w:tcW w:w="6048" w:type="dxa"/>
            <w:shd w:val="clear" w:color="auto" w:fill="FFFFFF" w:themeFill="background1"/>
          </w:tcPr>
          <w:p w:rsidRPr="007F620E" w:rsidR="00645220" w:rsidP="003D3709" w:rsidRDefault="00645220" w14:paraId="5DF1C5CF" w14:textId="77777777">
            <w:pPr>
              <w:widowControl w:val="0"/>
              <w:contextualSpacing/>
              <w:rPr>
                <w:b/>
              </w:rPr>
            </w:pPr>
            <w:r w:rsidRPr="007F620E">
              <w:rPr>
                <w:b/>
              </w:rPr>
              <w:t>b.</w:t>
            </w:r>
            <w:r w:rsidRPr="007F620E">
              <w:rPr>
                <w:b/>
              </w:rPr>
              <w:tab/>
              <w:t xml:space="preserve">Were there other parties to </w:t>
            </w:r>
            <w:proofErr w:type="gramStart"/>
            <w:r w:rsidRPr="007F620E">
              <w:rPr>
                <w:b/>
              </w:rPr>
              <w:t>the proceeding</w:t>
            </w:r>
            <w:proofErr w:type="gramEnd"/>
            <w:r w:rsidRPr="007F620E">
              <w:rPr>
                <w:b/>
              </w:rPr>
              <w:t xml:space="preserve"> with positions </w:t>
            </w:r>
            <w:proofErr w:type="gramStart"/>
            <w:r w:rsidRPr="007F620E">
              <w:rPr>
                <w:b/>
              </w:rPr>
              <w:t>similar to</w:t>
            </w:r>
            <w:proofErr w:type="gramEnd"/>
            <w:r w:rsidRPr="007F620E">
              <w:rPr>
                <w:b/>
              </w:rPr>
              <w:t xml:space="preserve"> yours? </w:t>
            </w:r>
          </w:p>
        </w:tc>
        <w:tc>
          <w:tcPr>
            <w:tcW w:w="1830" w:type="dxa"/>
            <w:shd w:val="clear" w:color="auto" w:fill="FFFFFF" w:themeFill="background1"/>
          </w:tcPr>
          <w:p w:rsidRPr="00E25078" w:rsidR="00645220" w:rsidP="003D3709" w:rsidRDefault="00645220" w14:paraId="1F3E7E94" w14:textId="77777777">
            <w:pPr>
              <w:widowControl w:val="0"/>
              <w:contextualSpacing/>
            </w:pPr>
            <w:r>
              <w:t>Yes</w:t>
            </w:r>
          </w:p>
        </w:tc>
        <w:tc>
          <w:tcPr>
            <w:tcW w:w="1860" w:type="dxa"/>
          </w:tcPr>
          <w:p w:rsidRPr="00E25078" w:rsidR="00645220" w:rsidP="003D3709" w:rsidRDefault="0BAD90CD" w14:paraId="3B8AA837" w14:textId="64B8BCD3">
            <w:pPr>
              <w:widowControl w:val="0"/>
              <w:contextualSpacing/>
            </w:pPr>
            <w:r>
              <w:t>Verified</w:t>
            </w:r>
          </w:p>
        </w:tc>
      </w:tr>
      <w:tr w:rsidRPr="007F620E" w:rsidR="00645220" w:rsidTr="003D3709" w14:paraId="66DFB72F" w14:textId="77777777">
        <w:trPr>
          <w:trHeight w:val="300"/>
        </w:trPr>
        <w:tc>
          <w:tcPr>
            <w:tcW w:w="7878" w:type="dxa"/>
            <w:gridSpan w:val="2"/>
            <w:shd w:val="clear" w:color="auto" w:fill="FFFFFF" w:themeFill="background1"/>
          </w:tcPr>
          <w:p w:rsidRPr="00E25078" w:rsidR="00645220" w:rsidP="003D3709" w:rsidRDefault="00645220" w14:paraId="0A000323" w14:textId="77777777">
            <w:pPr>
              <w:widowControl w:val="0"/>
              <w:contextualSpacing/>
            </w:pPr>
            <w:proofErr w:type="gramStart"/>
            <w:r w:rsidRPr="00E25078">
              <w:rPr>
                <w:b/>
              </w:rPr>
              <w:t>c.</w:t>
            </w:r>
            <w:r w:rsidRPr="00E25078">
              <w:rPr>
                <w:b/>
              </w:rPr>
              <w:tab/>
              <w:t>If</w:t>
            </w:r>
            <w:proofErr w:type="gramEnd"/>
            <w:r w:rsidRPr="00E25078">
              <w:rPr>
                <w:b/>
              </w:rPr>
              <w:t xml:space="preserve"> so, provide name of other parties:</w:t>
            </w:r>
            <w:r w:rsidRPr="00E25078">
              <w:t xml:space="preserve"> </w:t>
            </w:r>
          </w:p>
          <w:p w:rsidRPr="00E25078" w:rsidR="00645220" w:rsidP="003D3709" w:rsidRDefault="00645220" w14:paraId="3D850273" w14:textId="77777777">
            <w:pPr>
              <w:widowControl w:val="0"/>
              <w:contextualSpacing/>
            </w:pPr>
            <w:r>
              <w:t>Sierra Club; California Environmental Justice Alliance; Union of Concerned Scientists; Natural Resources Defense Council.</w:t>
            </w:r>
          </w:p>
        </w:tc>
        <w:tc>
          <w:tcPr>
            <w:tcW w:w="1860" w:type="dxa"/>
          </w:tcPr>
          <w:p w:rsidRPr="00E25078" w:rsidR="00645220" w:rsidP="003D3709" w:rsidRDefault="435DB896" w14:paraId="32BBBA1D" w14:textId="230F864F">
            <w:pPr>
              <w:widowControl w:val="0"/>
              <w:contextualSpacing/>
            </w:pPr>
            <w:r>
              <w:t>Noted</w:t>
            </w:r>
          </w:p>
        </w:tc>
      </w:tr>
      <w:tr w:rsidRPr="007F620E" w:rsidR="00645220" w:rsidTr="003D3709" w14:paraId="52723021" w14:textId="77777777">
        <w:trPr>
          <w:trHeight w:val="300"/>
        </w:trPr>
        <w:tc>
          <w:tcPr>
            <w:tcW w:w="7878" w:type="dxa"/>
            <w:gridSpan w:val="2"/>
            <w:shd w:val="clear" w:color="auto" w:fill="FFFFFF" w:themeFill="background1"/>
          </w:tcPr>
          <w:p w:rsidRPr="00E25078" w:rsidR="00645220" w:rsidP="003D3709" w:rsidRDefault="00645220" w14:paraId="2F837F4F" w14:textId="77777777">
            <w:pPr>
              <w:widowControl w:val="0"/>
              <w:contextualSpacing/>
            </w:pPr>
            <w:r w:rsidRPr="00E25078">
              <w:rPr>
                <w:b/>
              </w:rPr>
              <w:t>d.</w:t>
            </w:r>
            <w:r w:rsidRPr="00E25078">
              <w:rPr>
                <w:b/>
              </w:rPr>
              <w:tab/>
              <w:t>Intervenor’s claim of non-duplication:</w:t>
            </w:r>
            <w:r w:rsidRPr="00E25078">
              <w:t xml:space="preserve"> </w:t>
            </w:r>
          </w:p>
          <w:p w:rsidRPr="00E25078" w:rsidR="00645220" w:rsidP="003D3709" w:rsidRDefault="00645220" w14:paraId="62B7CF7E" w14:textId="77777777">
            <w:pPr>
              <w:widowControl w:val="0"/>
              <w:contextualSpacing/>
            </w:pPr>
            <w:r>
              <w:t xml:space="preserve">EDF conferred with but ultimately could not reconcile its position with the </w:t>
            </w:r>
            <w:proofErr w:type="gramStart"/>
            <w:r>
              <w:t>above mentioned</w:t>
            </w:r>
            <w:proofErr w:type="gramEnd"/>
            <w:r>
              <w:t xml:space="preserve"> similarly aligned parties. Given the large number of parties actively engaged in the case, if any duplication of effort occurred, it was unavoidable due to the large number of parties actively engaged in the case. EDF’s comments were neither unproductive nor unnecessary because they substantially assisted the Commission’s deliberations and decision making. EDF worked diligently to ensure that its involvement uniquely influence the outcome of the final Decision. </w:t>
            </w:r>
          </w:p>
        </w:tc>
        <w:tc>
          <w:tcPr>
            <w:tcW w:w="1860" w:type="dxa"/>
          </w:tcPr>
          <w:p w:rsidRPr="00E25078" w:rsidR="00645220" w:rsidP="003D3709" w:rsidRDefault="45062242" w14:paraId="409FEDCA" w14:textId="7A9B87EB">
            <w:pPr>
              <w:widowControl w:val="0"/>
              <w:contextualSpacing/>
              <w:rPr>
                <w:rFonts w:eastAsia="Times New Roman"/>
                <w:szCs w:val="24"/>
              </w:rPr>
            </w:pPr>
            <w:r w:rsidRPr="2320ED69">
              <w:rPr>
                <w:rFonts w:eastAsia="Times New Roman"/>
                <w:szCs w:val="24"/>
              </w:rPr>
              <w:t>Noted</w:t>
            </w:r>
          </w:p>
        </w:tc>
      </w:tr>
    </w:tbl>
    <w:p w:rsidRPr="003D3709" w:rsidR="00981BCA" w:rsidP="003D3709" w:rsidRDefault="00981BCA" w14:paraId="7CD1FB8F" w14:textId="77777777">
      <w:pPr>
        <w:pStyle w:val="Normal0"/>
        <w:keepNext/>
        <w:ind w:left="360"/>
        <w:contextualSpacing/>
        <w:rPr>
          <w:noProof/>
        </w:rPr>
      </w:pPr>
    </w:p>
    <w:p w:rsidRPr="003D3709" w:rsidR="534D64B5" w:rsidP="00084FF0" w:rsidRDefault="534D64B5" w14:paraId="5C444627" w14:textId="20A1DE18">
      <w:pPr>
        <w:pStyle w:val="Normal0"/>
        <w:keepNext/>
        <w:numPr>
          <w:ilvl w:val="0"/>
          <w:numId w:val="2"/>
        </w:numPr>
        <w:contextualSpacing/>
        <w:rPr>
          <w:noProof/>
        </w:rPr>
      </w:pPr>
      <w:r w:rsidRPr="2320ED69">
        <w:rPr>
          <w:rFonts w:eastAsia="Times New Roman"/>
          <w:b/>
          <w:bCs/>
          <w:noProof/>
          <w:color w:val="000000" w:themeColor="text1"/>
          <w:szCs w:val="24"/>
        </w:rPr>
        <w:t>Additional Comments on Part II:</w:t>
      </w:r>
    </w:p>
    <w:p w:rsidR="00981BCA" w:rsidP="003D3709" w:rsidRDefault="00981BCA" w14:paraId="28B716E9" w14:textId="77777777">
      <w:pPr>
        <w:pStyle w:val="Normal0"/>
        <w:keepNext/>
        <w:ind w:left="360"/>
        <w:contextualSpacing/>
        <w:rPr>
          <w:noProof/>
        </w:rPr>
      </w:pPr>
    </w:p>
    <w:tbl>
      <w:tblPr>
        <w:tblW w:w="9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999"/>
        <w:gridCol w:w="3519"/>
        <w:gridCol w:w="5276"/>
      </w:tblGrid>
      <w:tr w:rsidRPr="007F620E" w:rsidR="00645220" w:rsidTr="7ED7E18D" w14:paraId="3A72FC0C" w14:textId="77777777">
        <w:trPr>
          <w:tblHeader/>
        </w:trPr>
        <w:tc>
          <w:tcPr>
            <w:tcW w:w="999" w:type="dxa"/>
            <w:tcBorders>
              <w:bottom w:val="single" w:color="auto" w:sz="4" w:space="0"/>
            </w:tcBorders>
            <w:shd w:val="clear" w:color="auto" w:fill="D9D9D9" w:themeFill="background1" w:themeFillShade="D9"/>
          </w:tcPr>
          <w:p w:rsidRPr="007F620E" w:rsidR="00645220" w:rsidP="003D3709" w:rsidRDefault="00645220" w14:paraId="6ED71A6F" w14:textId="77777777">
            <w:pPr>
              <w:widowControl w:val="0"/>
              <w:contextualSpacing/>
              <w:rPr>
                <w:b/>
              </w:rPr>
            </w:pPr>
            <w:r w:rsidRPr="007F620E">
              <w:rPr>
                <w:b/>
              </w:rPr>
              <w:t>#</w:t>
            </w:r>
          </w:p>
        </w:tc>
        <w:tc>
          <w:tcPr>
            <w:tcW w:w="3519" w:type="dxa"/>
            <w:tcBorders>
              <w:bottom w:val="single" w:color="auto" w:sz="4" w:space="0"/>
            </w:tcBorders>
            <w:shd w:val="clear" w:color="auto" w:fill="D9D9D9" w:themeFill="background1" w:themeFillShade="D9"/>
          </w:tcPr>
          <w:p w:rsidRPr="007F620E" w:rsidR="00645220" w:rsidP="003D3709" w:rsidRDefault="00645220" w14:paraId="4D1E06D1" w14:textId="77777777">
            <w:pPr>
              <w:widowControl w:val="0"/>
              <w:contextualSpacing/>
              <w:jc w:val="center"/>
              <w:rPr>
                <w:b/>
              </w:rPr>
            </w:pPr>
            <w:r w:rsidRPr="007F620E">
              <w:rPr>
                <w:b/>
              </w:rPr>
              <w:t>Intervenor’s Comment</w:t>
            </w:r>
          </w:p>
        </w:tc>
        <w:tc>
          <w:tcPr>
            <w:tcW w:w="5276" w:type="dxa"/>
            <w:shd w:val="clear" w:color="auto" w:fill="D9D9D9" w:themeFill="background1" w:themeFillShade="D9"/>
          </w:tcPr>
          <w:p w:rsidRPr="007F620E" w:rsidR="00645220" w:rsidP="003D3709" w:rsidRDefault="00645220" w14:paraId="13F85F76" w14:textId="77777777">
            <w:pPr>
              <w:widowControl w:val="0"/>
              <w:contextualSpacing/>
              <w:jc w:val="center"/>
              <w:rPr>
                <w:b/>
              </w:rPr>
            </w:pPr>
            <w:r w:rsidRPr="007F620E">
              <w:rPr>
                <w:b/>
              </w:rPr>
              <w:t>CPUC Discussion</w:t>
            </w:r>
          </w:p>
        </w:tc>
      </w:tr>
      <w:tr w:rsidRPr="007F620E" w:rsidR="00645220" w:rsidTr="7ED7E18D" w14:paraId="45001820" w14:textId="77777777">
        <w:tc>
          <w:tcPr>
            <w:tcW w:w="999" w:type="dxa"/>
            <w:shd w:val="clear" w:color="auto" w:fill="FFFFFF" w:themeFill="background1"/>
          </w:tcPr>
          <w:p w:rsidRPr="007F620E" w:rsidR="00645220" w:rsidP="003D3709" w:rsidRDefault="00645220" w14:paraId="683C2B74" w14:textId="77777777">
            <w:pPr>
              <w:widowControl w:val="0"/>
              <w:contextualSpacing/>
            </w:pPr>
            <w:r>
              <w:t>II.A.</w:t>
            </w:r>
          </w:p>
        </w:tc>
        <w:tc>
          <w:tcPr>
            <w:tcW w:w="3519" w:type="dxa"/>
            <w:shd w:val="clear" w:color="auto" w:fill="FFFFFF" w:themeFill="background1"/>
          </w:tcPr>
          <w:p w:rsidRPr="001F55E4" w:rsidR="00645220" w:rsidP="003D3709" w:rsidRDefault="00645220" w14:paraId="675BEBD6" w14:textId="77777777">
            <w:pPr>
              <w:widowControl w:val="0"/>
              <w:contextualSpacing/>
              <w:rPr>
                <w:b/>
                <w:bCs/>
              </w:rPr>
            </w:pPr>
            <w:r w:rsidRPr="001F55E4">
              <w:rPr>
                <w:b/>
                <w:bCs/>
              </w:rPr>
              <w:t>Substantial Contribution.</w:t>
            </w:r>
          </w:p>
          <w:p w:rsidRPr="007F620E" w:rsidR="00645220" w:rsidP="003D3709" w:rsidRDefault="00645220" w14:paraId="4C7363C2" w14:textId="77777777">
            <w:pPr>
              <w:widowControl w:val="0"/>
              <w:contextualSpacing/>
            </w:pPr>
            <w:r>
              <w:t xml:space="preserve">Pursuant to Section 1802(j), “Substantial contribution” means that, in the judgment of the commission, the customer’s presentation has substantially </w:t>
            </w:r>
            <w:r>
              <w:lastRenderedPageBreak/>
              <w:t>assisted the commission in the making of its order or decision because the order or decision has adopted in whole or in part one or more factual contentions, legal contentions, or specific policy or procedural recommendations presented by the customer.”</w:t>
            </w:r>
          </w:p>
        </w:tc>
        <w:tc>
          <w:tcPr>
            <w:tcW w:w="5276" w:type="dxa"/>
          </w:tcPr>
          <w:p w:rsidRPr="007F620E" w:rsidR="00645220" w:rsidP="003D3709" w:rsidRDefault="0006E299" w14:paraId="01C6DC5A" w14:textId="24DB973C">
            <w:pPr>
              <w:widowControl w:val="0"/>
              <w:contextualSpacing/>
            </w:pPr>
            <w:r>
              <w:lastRenderedPageBreak/>
              <w:t>Noted</w:t>
            </w:r>
          </w:p>
        </w:tc>
      </w:tr>
      <w:tr w:rsidRPr="007F620E" w:rsidR="00645220" w:rsidTr="7ED7E18D" w14:paraId="54006B0A" w14:textId="77777777">
        <w:tc>
          <w:tcPr>
            <w:tcW w:w="999" w:type="dxa"/>
            <w:shd w:val="clear" w:color="auto" w:fill="FFFFFF" w:themeFill="background1"/>
          </w:tcPr>
          <w:p w:rsidRPr="007F620E" w:rsidR="00645220" w:rsidP="003D3709" w:rsidRDefault="00645220" w14:paraId="2FAA5CA5" w14:textId="77777777">
            <w:pPr>
              <w:widowControl w:val="0"/>
              <w:contextualSpacing/>
            </w:pPr>
            <w:r>
              <w:t>II.A.</w:t>
            </w:r>
          </w:p>
        </w:tc>
        <w:tc>
          <w:tcPr>
            <w:tcW w:w="3519" w:type="dxa"/>
            <w:shd w:val="clear" w:color="auto" w:fill="FFFFFF" w:themeFill="background1"/>
          </w:tcPr>
          <w:p w:rsidRPr="001F55E4" w:rsidR="00645220" w:rsidP="003D3709" w:rsidRDefault="00645220" w14:paraId="35B0E854" w14:textId="77777777">
            <w:pPr>
              <w:widowControl w:val="0"/>
              <w:contextualSpacing/>
              <w:rPr>
                <w:b/>
                <w:bCs/>
              </w:rPr>
            </w:pPr>
            <w:r w:rsidRPr="001F55E4">
              <w:rPr>
                <w:b/>
                <w:bCs/>
              </w:rPr>
              <w:t>Substantial Contribution Includes Enriching Deliberations and the Record.</w:t>
            </w:r>
          </w:p>
          <w:p w:rsidRPr="007F620E" w:rsidR="00645220" w:rsidP="003D3709" w:rsidRDefault="00645220" w14:paraId="5ECDB5CE" w14:textId="77777777">
            <w:pPr>
              <w:widowControl w:val="0"/>
              <w:contextualSpacing/>
            </w:pPr>
            <w:r>
              <w:t xml:space="preserve">The Commission’s past decisions recognize that the Commission does not need to adopt an intervenor’s position on a particular issue for that intervenor to make a substantial contribution. D.08-04-004 at 4-5; D.19-10-019 at 3; D.03-03-031 at </w:t>
            </w:r>
            <w:r w:rsidRPr="001F55E4">
              <w:t xml:space="preserve">6 (“substantial contribution includes evidence or argument that supports part of the decision even if the Commission does not adopt a party’s position in total”). Rather, intervenor substantially contribute when they have “provided a unique perspective that enriched the Commission’s deliberations and the record.” D.05-06-027 at 5. Intervenors also substantially contribute when they provide a full discussion of the matters at issue </w:t>
            </w:r>
            <w:proofErr w:type="gramStart"/>
            <w:r w:rsidRPr="001F55E4">
              <w:t>so as to</w:t>
            </w:r>
            <w:proofErr w:type="gramEnd"/>
            <w:r w:rsidRPr="001F55E4">
              <w:t xml:space="preserve"> allow the Commission “to fully consider the consequences of adopting or rejecting” the parties’ proposals, and when they “assist [] the Commission in the decision-making process.” D.08-04-004 at 5-6; D.19-10-019 at 4.</w:t>
            </w:r>
          </w:p>
        </w:tc>
        <w:tc>
          <w:tcPr>
            <w:tcW w:w="5276" w:type="dxa"/>
          </w:tcPr>
          <w:p w:rsidRPr="007F620E" w:rsidR="00645220" w:rsidP="003D3709" w:rsidRDefault="15737466" w14:paraId="14C49121" w14:textId="1745A72D">
            <w:pPr>
              <w:widowControl w:val="0"/>
              <w:contextualSpacing/>
            </w:pPr>
            <w:r>
              <w:t>Verified</w:t>
            </w:r>
          </w:p>
        </w:tc>
      </w:tr>
      <w:tr w:rsidRPr="007F620E" w:rsidR="00645220" w:rsidTr="7ED7E18D" w14:paraId="50137A04" w14:textId="77777777">
        <w:tc>
          <w:tcPr>
            <w:tcW w:w="999" w:type="dxa"/>
            <w:shd w:val="clear" w:color="auto" w:fill="FFFFFF" w:themeFill="background1"/>
          </w:tcPr>
          <w:p w:rsidR="00645220" w:rsidP="003D3709" w:rsidRDefault="00645220" w14:paraId="2F17467C" w14:textId="77777777">
            <w:pPr>
              <w:widowControl w:val="0"/>
              <w:contextualSpacing/>
            </w:pPr>
            <w:r>
              <w:t>II.B.</w:t>
            </w:r>
          </w:p>
        </w:tc>
        <w:tc>
          <w:tcPr>
            <w:tcW w:w="3519" w:type="dxa"/>
            <w:shd w:val="clear" w:color="auto" w:fill="FFFFFF" w:themeFill="background1"/>
          </w:tcPr>
          <w:p w:rsidRPr="001F55E4" w:rsidR="00645220" w:rsidP="003D3709" w:rsidRDefault="00645220" w14:paraId="2AF7D372" w14:textId="77777777">
            <w:pPr>
              <w:widowControl w:val="0"/>
              <w:contextualSpacing/>
              <w:rPr>
                <w:b/>
                <w:bCs/>
              </w:rPr>
            </w:pPr>
            <w:r w:rsidRPr="001F55E4">
              <w:rPr>
                <w:b/>
                <w:bCs/>
              </w:rPr>
              <w:t>No Duplication.</w:t>
            </w:r>
          </w:p>
          <w:p w:rsidR="00645220" w:rsidP="003D3709" w:rsidRDefault="00645220" w14:paraId="00779270" w14:textId="77777777">
            <w:pPr>
              <w:widowControl w:val="0"/>
              <w:contextualSpacing/>
            </w:pPr>
            <w:r w:rsidRPr="001F55E4">
              <w:t xml:space="preserve">No reduction to EDF’s </w:t>
            </w:r>
            <w:r w:rsidRPr="001F55E4">
              <w:lastRenderedPageBreak/>
              <w:t>compensation due to duplication is warranted given the standard adopted by the Commission in D.03-03-031 and consistent with Public Utilities Code Sections 1801.3(b) &amp; (f), 1802(j), 1802.5, and 1803.</w:t>
            </w:r>
          </w:p>
          <w:p w:rsidRPr="001F55E4" w:rsidR="00645220" w:rsidP="003D3709" w:rsidRDefault="00645220" w14:paraId="063973E2" w14:textId="77777777">
            <w:pPr>
              <w:widowControl w:val="0"/>
              <w:contextualSpacing/>
            </w:pPr>
          </w:p>
          <w:p w:rsidR="00645220" w:rsidP="003D3709" w:rsidRDefault="00645220" w14:paraId="651F6A7C" w14:textId="77777777">
            <w:pPr>
              <w:widowControl w:val="0"/>
              <w:contextualSpacing/>
            </w:pPr>
            <w:r w:rsidRPr="001F55E4">
              <w:t>Section 1803 sets forth the requirements for awarding intervenor compensation. Pub. Util. Code, § 1803; D.03-03-031 at 12-14. An award of compensation for reasonable frees for participation in a proceeding is required when an intervenor (1) complies with Section 1804 and (2) “satisfies both of the following requirements: (a) The customer’s presentation makes a substantial contribution to the</w:t>
            </w:r>
            <w:r>
              <w:t xml:space="preserve"> adoption, in whole or in part, of the Commission’s order or decision. (b) Participation or intervention without an award of fees or costs imposes a significant financial </w:t>
            </w:r>
            <w:proofErr w:type="gramStart"/>
            <w:r>
              <w:t>hardship.”</w:t>
            </w:r>
            <w:proofErr w:type="gramEnd"/>
            <w:r>
              <w:t xml:space="preserve"> Pub. Util. Code. § 1803.</w:t>
            </w:r>
          </w:p>
          <w:p w:rsidR="00645220" w:rsidP="003D3709" w:rsidRDefault="00645220" w14:paraId="01450408" w14:textId="77777777">
            <w:pPr>
              <w:widowControl w:val="0"/>
              <w:contextualSpacing/>
            </w:pPr>
          </w:p>
          <w:p w:rsidR="00645220" w:rsidP="003D3709" w:rsidRDefault="00645220" w14:paraId="4FB84720" w14:textId="77777777">
            <w:pPr>
              <w:widowControl w:val="0"/>
              <w:contextualSpacing/>
            </w:pPr>
            <w:r>
              <w:t xml:space="preserve">Section 1801.3(f) seeks to avoid only (1) “unproductive or unnecessary participation that duplicates the participation of similar interests otherwise adequately represented” or (2) “participation that is not necessary for a fair determination of the proceeding.” Pub. Util. Code, § 1801.3(f); D.03-03-031 at 15-18. The “duplication language contained in the first dependent clause requires the compensation opponent to establish three </w:t>
            </w:r>
            <w:r>
              <w:lastRenderedPageBreak/>
              <w:t>elements – duplication, similar interests, and adequate representation.” D.03-03-031 at 18.</w:t>
            </w:r>
          </w:p>
          <w:p w:rsidR="00645220" w:rsidP="003D3709" w:rsidRDefault="00645220" w14:paraId="6B8D7482" w14:textId="77777777">
            <w:pPr>
              <w:widowControl w:val="0"/>
              <w:contextualSpacing/>
            </w:pPr>
          </w:p>
          <w:p w:rsidRPr="001F55E4" w:rsidR="00645220" w:rsidP="003D3709" w:rsidRDefault="00645220" w14:paraId="2CBB9B62" w14:textId="77777777">
            <w:pPr>
              <w:widowControl w:val="0"/>
              <w:contextualSpacing/>
              <w:rPr>
                <w:b/>
                <w:bCs/>
              </w:rPr>
            </w:pPr>
            <w:r>
              <w:t>Section 1802.5 provides for full compensation where participation “materially supplements, complements, or contributes to the presentation of another party.” Pub. Util. Code, § 1802.5; see also D.03-03-031 at 14. Additionally, the intervenor compensation statutory scheme is intended to “be administered in a manner that encourages the effective and efficient participation of all groups that have a stake in the public utility regulation process.” Pub. Util. Code § 1801.3(b).</w:t>
            </w:r>
          </w:p>
        </w:tc>
        <w:tc>
          <w:tcPr>
            <w:tcW w:w="5276" w:type="dxa"/>
          </w:tcPr>
          <w:p w:rsidRPr="007F620E" w:rsidR="00645220" w:rsidP="003D3709" w:rsidRDefault="5CE237E7" w14:paraId="3444D7B1" w14:textId="662B1CAC">
            <w:pPr>
              <w:widowControl w:val="0"/>
              <w:contextualSpacing/>
            </w:pPr>
            <w:r>
              <w:lastRenderedPageBreak/>
              <w:t>Noted</w:t>
            </w:r>
          </w:p>
        </w:tc>
      </w:tr>
    </w:tbl>
    <w:p w:rsidR="00981BCA" w:rsidP="00084FF0" w:rsidRDefault="00981BCA" w14:paraId="7CCA226F" w14:textId="77777777">
      <w:pPr>
        <w:keepNext/>
        <w:tabs>
          <w:tab w:val="left" w:pos="1260"/>
        </w:tabs>
        <w:ind w:left="1267" w:hanging="1267"/>
        <w:contextualSpacing/>
        <w:jc w:val="center"/>
        <w:rPr>
          <w:rFonts w:eastAsia="Times New Roman"/>
          <w:b/>
          <w:bCs/>
          <w:color w:val="000000" w:themeColor="text1"/>
          <w:szCs w:val="24"/>
        </w:rPr>
      </w:pPr>
    </w:p>
    <w:p w:rsidR="3A173C03" w:rsidP="00084FF0" w:rsidRDefault="3A173C03" w14:paraId="7EEC0C51" w14:textId="17DC62E1">
      <w:pPr>
        <w:keepNext/>
        <w:tabs>
          <w:tab w:val="left" w:pos="1260"/>
        </w:tabs>
        <w:ind w:left="1267" w:hanging="1267"/>
        <w:contextualSpacing/>
        <w:jc w:val="center"/>
        <w:rPr>
          <w:rFonts w:eastAsia="Times New Roman"/>
          <w:b/>
          <w:bCs/>
          <w:color w:val="000000" w:themeColor="text1"/>
          <w:szCs w:val="24"/>
        </w:rPr>
      </w:pPr>
      <w:r w:rsidRPr="2320ED69">
        <w:rPr>
          <w:rFonts w:eastAsia="Times New Roman"/>
          <w:b/>
          <w:bCs/>
          <w:color w:val="000000" w:themeColor="text1"/>
          <w:szCs w:val="24"/>
        </w:rPr>
        <w:t>PART III</w:t>
      </w:r>
      <w:proofErr w:type="gramStart"/>
      <w:r w:rsidRPr="2320ED69">
        <w:rPr>
          <w:rFonts w:eastAsia="Times New Roman"/>
          <w:b/>
          <w:bCs/>
          <w:color w:val="000000" w:themeColor="text1"/>
          <w:szCs w:val="24"/>
        </w:rPr>
        <w:t>:  REASONABLENESS</w:t>
      </w:r>
      <w:proofErr w:type="gramEnd"/>
      <w:r w:rsidRPr="2320ED69">
        <w:rPr>
          <w:rFonts w:eastAsia="Times New Roman"/>
          <w:b/>
          <w:bCs/>
          <w:color w:val="000000" w:themeColor="text1"/>
          <w:szCs w:val="24"/>
        </w:rPr>
        <w:t xml:space="preserve"> OF REQUESTED COMPENSATION</w:t>
      </w:r>
    </w:p>
    <w:p w:rsidR="00981BCA" w:rsidP="003D3709" w:rsidRDefault="00981BCA" w14:paraId="4EDF3174" w14:textId="77777777">
      <w:pPr>
        <w:keepNext/>
        <w:tabs>
          <w:tab w:val="left" w:pos="1260"/>
        </w:tabs>
        <w:ind w:left="1267" w:hanging="1267"/>
        <w:contextualSpacing/>
        <w:jc w:val="center"/>
        <w:rPr>
          <w:rFonts w:eastAsia="Times New Roman"/>
          <w:color w:val="000000" w:themeColor="text1"/>
          <w:szCs w:val="24"/>
        </w:rPr>
      </w:pPr>
    </w:p>
    <w:p w:rsidRPr="00B575C2" w:rsidR="3A173C03" w:rsidP="003D3709" w:rsidRDefault="3A173C03" w14:paraId="23295C7B" w14:textId="2F855BE8">
      <w:pPr>
        <w:pStyle w:val="ListParagraph"/>
        <w:keepNext/>
        <w:numPr>
          <w:ilvl w:val="0"/>
          <w:numId w:val="1"/>
        </w:numPr>
        <w:rPr>
          <w:rFonts w:eastAsia="Times New Roman"/>
          <w:color w:val="000000" w:themeColor="text1"/>
          <w:szCs w:val="24"/>
        </w:rPr>
      </w:pPr>
      <w:r w:rsidRPr="2320ED69">
        <w:rPr>
          <w:rFonts w:eastAsia="Times New Roman"/>
          <w:b/>
          <w:bCs/>
          <w:color w:val="000000" w:themeColor="text1"/>
          <w:szCs w:val="24"/>
        </w:rPr>
        <w:t>General Claim of Reasonableness (§ 1801 and § 1806):</w:t>
      </w:r>
    </w:p>
    <w:p w:rsidR="00B575C2" w:rsidP="00B575C2" w:rsidRDefault="00B575C2" w14:paraId="3F68417D" w14:textId="77777777">
      <w:pPr>
        <w:pStyle w:val="ListParagraph"/>
        <w:keepNext/>
        <w:ind w:left="360"/>
        <w:rPr>
          <w:rFonts w:eastAsia="Times New Roman"/>
          <w:color w:val="000000" w:themeColor="text1"/>
          <w:szCs w:val="24"/>
        </w:rPr>
      </w:pP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7F620E" w:rsidR="00645220" w:rsidTr="02C02B7E" w14:paraId="45440C72" w14:textId="77777777">
        <w:trPr>
          <w:tblHeader/>
        </w:trPr>
        <w:tc>
          <w:tcPr>
            <w:tcW w:w="7488" w:type="dxa"/>
            <w:tcBorders>
              <w:bottom w:val="single" w:color="auto" w:sz="4" w:space="0"/>
            </w:tcBorders>
            <w:shd w:val="clear" w:color="auto" w:fill="D9D9D9" w:themeFill="background1" w:themeFillShade="D9"/>
          </w:tcPr>
          <w:p w:rsidRPr="007F620E" w:rsidR="00645220" w:rsidP="003D3709" w:rsidRDefault="00645220" w14:paraId="49DAB48E" w14:textId="77777777">
            <w:pPr>
              <w:widowControl w:val="0"/>
              <w:contextualSpacing/>
              <w:rPr>
                <w:b/>
              </w:rPr>
            </w:pPr>
          </w:p>
        </w:tc>
        <w:tc>
          <w:tcPr>
            <w:tcW w:w="2250" w:type="dxa"/>
            <w:shd w:val="clear" w:color="auto" w:fill="D9D9D9" w:themeFill="background1" w:themeFillShade="D9"/>
          </w:tcPr>
          <w:p w:rsidRPr="00FE3BAE" w:rsidR="00645220" w:rsidP="003D3709" w:rsidRDefault="00645220" w14:paraId="664D79BC" w14:textId="77777777">
            <w:pPr>
              <w:widowControl w:val="0"/>
              <w:contextualSpacing/>
              <w:jc w:val="center"/>
            </w:pPr>
            <w:r w:rsidRPr="007F620E">
              <w:rPr>
                <w:b/>
              </w:rPr>
              <w:t>CPUC Discussion</w:t>
            </w:r>
          </w:p>
        </w:tc>
      </w:tr>
      <w:tr w:rsidRPr="007F620E" w:rsidR="00645220" w:rsidTr="02C02B7E" w14:paraId="3FE1C196" w14:textId="77777777">
        <w:tc>
          <w:tcPr>
            <w:tcW w:w="7488" w:type="dxa"/>
            <w:tcBorders>
              <w:bottom w:val="single" w:color="auto" w:sz="4" w:space="0"/>
            </w:tcBorders>
            <w:shd w:val="clear" w:color="auto" w:fill="FFFFFF" w:themeFill="background1"/>
          </w:tcPr>
          <w:p w:rsidRPr="00E25078" w:rsidR="00645220" w:rsidP="003D3709" w:rsidRDefault="00645220" w14:paraId="5E9E4183" w14:textId="77777777">
            <w:pPr>
              <w:widowControl w:val="0"/>
              <w:contextualSpacing/>
            </w:pPr>
            <w:r w:rsidRPr="007F620E">
              <w:rPr>
                <w:b/>
              </w:rPr>
              <w:t>a. Intervenor’s claim of cost reasonableness:</w:t>
            </w:r>
            <w:r w:rsidRPr="00E25078">
              <w:t xml:space="preserve"> </w:t>
            </w:r>
          </w:p>
          <w:p w:rsidRPr="003D4455" w:rsidR="00645220" w:rsidP="003D3709" w:rsidRDefault="00645220" w14:paraId="78441F18" w14:textId="77777777">
            <w:pPr>
              <w:widowControl w:val="0"/>
              <w:contextualSpacing/>
            </w:pPr>
            <w:r w:rsidRPr="00D30704">
              <w:t>EDF’s costs were reasonable for the scope and complexity of the issues presented in this rulemaking and the proposed procurement requirements.</w:t>
            </w:r>
            <w:r>
              <w:t xml:space="preserve"> EDF had one point person for legal arguments, one supervising attorney and one point person for policy arguments to ensure efficient disposition of our advocacy.</w:t>
            </w:r>
          </w:p>
        </w:tc>
        <w:tc>
          <w:tcPr>
            <w:tcW w:w="2250" w:type="dxa"/>
          </w:tcPr>
          <w:p w:rsidRPr="00FE3BAE" w:rsidR="00645220" w:rsidP="003D3709" w:rsidRDefault="3ECE283E" w14:paraId="6869DA1F" w14:textId="40852A97">
            <w:pPr>
              <w:widowControl w:val="0"/>
              <w:contextualSpacing/>
            </w:pPr>
            <w:r>
              <w:t xml:space="preserve">Noted </w:t>
            </w:r>
          </w:p>
        </w:tc>
      </w:tr>
      <w:tr w:rsidRPr="007F620E" w:rsidR="00645220" w:rsidTr="02C02B7E" w14:paraId="6850701A" w14:textId="77777777">
        <w:tc>
          <w:tcPr>
            <w:tcW w:w="7488" w:type="dxa"/>
            <w:shd w:val="clear" w:color="auto" w:fill="FFFFFF" w:themeFill="background1"/>
          </w:tcPr>
          <w:p w:rsidRPr="00E25078" w:rsidR="00645220" w:rsidP="003D3709" w:rsidRDefault="00645220" w14:paraId="52CC67AA" w14:textId="77777777">
            <w:pPr>
              <w:widowControl w:val="0"/>
              <w:contextualSpacing/>
            </w:pPr>
            <w:r w:rsidRPr="007F620E">
              <w:rPr>
                <w:b/>
              </w:rPr>
              <w:t>b. Reasonableness of hours claimed:</w:t>
            </w:r>
            <w:r w:rsidRPr="00E25078">
              <w:t xml:space="preserve"> </w:t>
            </w:r>
          </w:p>
          <w:p w:rsidRPr="007F620E" w:rsidR="00645220" w:rsidP="003D3709" w:rsidRDefault="00645220" w14:paraId="06B1CC3D" w14:textId="77777777">
            <w:pPr>
              <w:widowControl w:val="0"/>
              <w:contextualSpacing/>
            </w:pPr>
            <w:r>
              <w:t>Given the size and scope of issues at hand, EDF’s claim is reasonable.</w:t>
            </w:r>
          </w:p>
        </w:tc>
        <w:tc>
          <w:tcPr>
            <w:tcW w:w="2250" w:type="dxa"/>
          </w:tcPr>
          <w:p w:rsidRPr="007F620E" w:rsidR="00645220" w:rsidP="003D3709" w:rsidRDefault="0BBEE243" w14:paraId="6DF4EDB7" w14:textId="2C8DCBC2">
            <w:pPr>
              <w:widowControl w:val="0"/>
              <w:contextualSpacing/>
            </w:pPr>
            <w:r>
              <w:t>Noted</w:t>
            </w:r>
          </w:p>
        </w:tc>
      </w:tr>
      <w:tr w:rsidRPr="007F620E" w:rsidR="00645220" w:rsidTr="02C02B7E" w14:paraId="4E28A21C" w14:textId="77777777">
        <w:tc>
          <w:tcPr>
            <w:tcW w:w="7488" w:type="dxa"/>
            <w:shd w:val="clear" w:color="auto" w:fill="FFFFFF" w:themeFill="background1"/>
          </w:tcPr>
          <w:p w:rsidRPr="00E25078" w:rsidR="00645220" w:rsidP="003D3709" w:rsidRDefault="00645220" w14:paraId="70E98190" w14:textId="77777777">
            <w:pPr>
              <w:widowControl w:val="0"/>
              <w:contextualSpacing/>
            </w:pPr>
            <w:r w:rsidRPr="007F620E">
              <w:rPr>
                <w:b/>
              </w:rPr>
              <w:t>c. Allocation of hours by issue:</w:t>
            </w:r>
            <w:r w:rsidRPr="00E25078">
              <w:t xml:space="preserve"> </w:t>
            </w:r>
          </w:p>
          <w:p w:rsidRPr="003D4455" w:rsidR="00645220" w:rsidP="003D3709" w:rsidRDefault="00645220" w14:paraId="491C75A3" w14:textId="10E0BCAA">
            <w:pPr>
              <w:widowControl w:val="0"/>
              <w:contextualSpacing/>
            </w:pPr>
            <w:r>
              <w:t xml:space="preserve">100% of EDF’s hours were spent on the </w:t>
            </w:r>
            <w:r w:rsidR="002433C3">
              <w:t>proposal to allow LSEs to rely on bridge resources to temporarily comply with their Diablo Canyon replacement procurement obligations.</w:t>
            </w:r>
            <w:r>
              <w:t xml:space="preserve"> Due to the limited nature of </w:t>
            </w:r>
            <w:r w:rsidR="00732C4D">
              <w:t xml:space="preserve">the scope of issues resolved </w:t>
            </w:r>
            <w:proofErr w:type="gramStart"/>
            <w:r w:rsidR="00732C4D">
              <w:t>in</w:t>
            </w:r>
            <w:proofErr w:type="gramEnd"/>
            <w:r w:rsidR="00732C4D">
              <w:t xml:space="preserve"> </w:t>
            </w:r>
            <w:r>
              <w:t>D.24-0</w:t>
            </w:r>
            <w:r w:rsidR="002433C3">
              <w:t>9</w:t>
            </w:r>
            <w:r>
              <w:t>-0</w:t>
            </w:r>
            <w:r w:rsidR="002433C3">
              <w:t>06</w:t>
            </w:r>
            <w:r>
              <w:t>, EDF cannot segment its work into discrete issues.</w:t>
            </w:r>
          </w:p>
          <w:p w:rsidRPr="003D4455" w:rsidR="00645220" w:rsidP="003D3709" w:rsidRDefault="00645220" w14:paraId="63D9BFA9" w14:textId="77777777">
            <w:pPr>
              <w:widowControl w:val="0"/>
              <w:contextualSpacing/>
            </w:pPr>
          </w:p>
        </w:tc>
        <w:tc>
          <w:tcPr>
            <w:tcW w:w="2250" w:type="dxa"/>
          </w:tcPr>
          <w:p w:rsidRPr="007F620E" w:rsidR="00645220" w:rsidP="003D3709" w:rsidRDefault="26390870" w14:paraId="339AA13E" w14:textId="2B80B3E1">
            <w:pPr>
              <w:widowControl w:val="0"/>
              <w:contextualSpacing/>
            </w:pPr>
            <w:r>
              <w:lastRenderedPageBreak/>
              <w:t>Noted</w:t>
            </w:r>
          </w:p>
        </w:tc>
      </w:tr>
    </w:tbl>
    <w:p w:rsidR="00981BCA" w:rsidP="003D3709" w:rsidRDefault="00981BCA" w14:paraId="344AF979" w14:textId="77777777">
      <w:pPr>
        <w:pStyle w:val="Normal0"/>
        <w:keepNext/>
        <w:ind w:left="360"/>
        <w:contextualSpacing/>
        <w:rPr>
          <w:b/>
          <w:bCs/>
          <w:noProof/>
          <w:spacing w:val="-2"/>
        </w:rPr>
      </w:pPr>
    </w:p>
    <w:p w:rsidRPr="003D3709" w:rsidR="00645220" w:rsidP="00084FF0" w:rsidRDefault="00645220" w14:paraId="37000ACD" w14:textId="0B115DDF">
      <w:pPr>
        <w:pStyle w:val="Normal0"/>
        <w:keepNext/>
        <w:numPr>
          <w:ilvl w:val="0"/>
          <w:numId w:val="1"/>
        </w:numPr>
        <w:contextualSpacing/>
        <w:rPr>
          <w:b/>
          <w:bCs/>
          <w:noProof/>
          <w:spacing w:val="-2"/>
        </w:rPr>
      </w:pPr>
      <w:r w:rsidRPr="2320ED69">
        <w:rPr>
          <w:b/>
          <w:bCs/>
          <w:noProof/>
          <w:spacing w:val="-2"/>
        </w:rPr>
        <w:t>Specific Claim:</w:t>
      </w:r>
      <w:r w:rsidR="00084FF0">
        <w:rPr>
          <w:b/>
          <w:bCs/>
          <w:noProof/>
          <w:spacing w:val="-2"/>
        </w:rPr>
        <w:t xml:space="preserve"> </w:t>
      </w:r>
      <w:r w:rsidRPr="007F620E" w:rsidR="00084FF0">
        <w:t>*</w:t>
      </w:r>
    </w:p>
    <w:p w:rsidR="00981BCA" w:rsidP="003D3709" w:rsidRDefault="00981BCA" w14:paraId="1B8F9C92" w14:textId="77777777">
      <w:pPr>
        <w:pStyle w:val="Normal0"/>
        <w:keepNext/>
        <w:ind w:left="360"/>
        <w:contextualSpacing/>
        <w:rPr>
          <w:b/>
          <w:bCs/>
          <w:noProof/>
          <w:spacing w:val="-2"/>
        </w:rPr>
      </w:pPr>
    </w:p>
    <w:tbl>
      <w:tblPr>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820"/>
        <w:gridCol w:w="357"/>
        <w:gridCol w:w="449"/>
        <w:gridCol w:w="713"/>
        <w:gridCol w:w="404"/>
        <w:gridCol w:w="901"/>
        <w:gridCol w:w="907"/>
        <w:gridCol w:w="229"/>
        <w:gridCol w:w="803"/>
        <w:gridCol w:w="1016"/>
        <w:gridCol w:w="1453"/>
      </w:tblGrid>
      <w:tr w:rsidRPr="007F620E" w:rsidR="00645220" w:rsidTr="74F2F876" w14:paraId="2DAE412B" w14:textId="77777777">
        <w:trPr>
          <w:trHeight w:val="300"/>
          <w:tblHeader/>
          <w:jc w:val="center"/>
        </w:trPr>
        <w:tc>
          <w:tcPr>
            <w:tcW w:w="6131" w:type="dxa"/>
            <w:gridSpan w:val="9"/>
            <w:tcBorders>
              <w:bottom w:val="single" w:color="auto" w:sz="4" w:space="0"/>
              <w:right w:val="single" w:color="auto" w:sz="24" w:space="0"/>
            </w:tcBorders>
          </w:tcPr>
          <w:p w:rsidRPr="007F620E" w:rsidR="00645220" w:rsidP="003D3709" w:rsidRDefault="00645220" w14:paraId="17AB2C72" w14:textId="77777777">
            <w:pPr>
              <w:widowControl w:val="0"/>
              <w:contextualSpacing/>
              <w:jc w:val="center"/>
              <w:rPr>
                <w:b/>
                <w:smallCaps/>
              </w:rPr>
            </w:pPr>
            <w:r w:rsidRPr="007F620E">
              <w:rPr>
                <w:b/>
                <w:smallCaps/>
              </w:rPr>
              <w:t>Claimed</w:t>
            </w:r>
          </w:p>
        </w:tc>
        <w:tc>
          <w:tcPr>
            <w:tcW w:w="3337" w:type="dxa"/>
            <w:gridSpan w:val="3"/>
            <w:tcBorders>
              <w:left w:val="single" w:color="auto" w:sz="24" w:space="0"/>
              <w:bottom w:val="single" w:color="auto" w:sz="4" w:space="0"/>
            </w:tcBorders>
          </w:tcPr>
          <w:p w:rsidRPr="007F620E" w:rsidR="00645220" w:rsidP="003D3709" w:rsidRDefault="00645220" w14:paraId="1CD4E051" w14:textId="77777777">
            <w:pPr>
              <w:widowControl w:val="0"/>
              <w:contextualSpacing/>
              <w:jc w:val="center"/>
              <w:rPr>
                <w:b/>
                <w:smallCaps/>
              </w:rPr>
            </w:pPr>
            <w:r w:rsidRPr="007F620E">
              <w:rPr>
                <w:b/>
                <w:smallCaps/>
              </w:rPr>
              <w:t>CPUC Award</w:t>
            </w:r>
          </w:p>
        </w:tc>
      </w:tr>
      <w:tr w:rsidRPr="007F620E" w:rsidR="00645220" w:rsidTr="74F2F876" w14:paraId="4F2DDE44" w14:textId="77777777">
        <w:trPr>
          <w:trHeight w:val="300"/>
          <w:jc w:val="center"/>
        </w:trPr>
        <w:tc>
          <w:tcPr>
            <w:tcW w:w="9468"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645220" w:rsidP="003D3709" w:rsidRDefault="00645220" w14:paraId="1106DBE0" w14:textId="77777777">
            <w:pPr>
              <w:widowControl w:val="0"/>
              <w:contextualSpacing/>
              <w:jc w:val="center"/>
              <w:rPr>
                <w:b/>
              </w:rPr>
            </w:pPr>
            <w:r w:rsidRPr="007F620E">
              <w:rPr>
                <w:b/>
              </w:rPr>
              <w:t>ATTORNEY, EXPERT, AND ADVOCATE FEES</w:t>
            </w:r>
          </w:p>
        </w:tc>
      </w:tr>
      <w:tr w:rsidRPr="00260518" w:rsidR="00645220" w:rsidTr="74F2F876" w14:paraId="3ED8711B" w14:textId="77777777">
        <w:trPr>
          <w:trHeight w:val="300"/>
          <w:jc w:val="center"/>
        </w:trPr>
        <w:tc>
          <w:tcPr>
            <w:tcW w:w="1260" w:type="dxa"/>
            <w:tcBorders>
              <w:top w:val="single" w:color="auto" w:sz="4" w:space="0"/>
              <w:bottom w:val="single" w:color="auto" w:sz="4" w:space="0"/>
            </w:tcBorders>
            <w:vAlign w:val="bottom"/>
          </w:tcPr>
          <w:p w:rsidRPr="00260518" w:rsidR="00645220" w:rsidP="003D3709" w:rsidRDefault="00645220" w14:paraId="2DB4B1E4" w14:textId="77777777">
            <w:pPr>
              <w:widowControl w:val="0"/>
              <w:contextualSpacing/>
              <w:rPr>
                <w:b/>
                <w:sz w:val="22"/>
              </w:rPr>
            </w:pPr>
            <w:r w:rsidRPr="00260518">
              <w:rPr>
                <w:b/>
                <w:sz w:val="22"/>
              </w:rPr>
              <w:t>Item</w:t>
            </w:r>
          </w:p>
        </w:tc>
        <w:tc>
          <w:tcPr>
            <w:tcW w:w="847" w:type="dxa"/>
            <w:tcBorders>
              <w:top w:val="single" w:color="auto" w:sz="4" w:space="0"/>
              <w:bottom w:val="single" w:color="auto" w:sz="4" w:space="0"/>
            </w:tcBorders>
            <w:vAlign w:val="bottom"/>
          </w:tcPr>
          <w:p w:rsidRPr="00260518" w:rsidR="00645220" w:rsidP="003D3709" w:rsidRDefault="00645220" w14:paraId="081953D8" w14:textId="77777777">
            <w:pPr>
              <w:widowControl w:val="0"/>
              <w:contextualSpacing/>
              <w:rPr>
                <w:b/>
                <w:sz w:val="22"/>
              </w:rPr>
            </w:pPr>
            <w:r w:rsidRPr="00260518">
              <w:rPr>
                <w:b/>
                <w:sz w:val="22"/>
              </w:rPr>
              <w:t>Year</w:t>
            </w:r>
          </w:p>
        </w:tc>
        <w:tc>
          <w:tcPr>
            <w:tcW w:w="807" w:type="dxa"/>
            <w:gridSpan w:val="2"/>
            <w:tcBorders>
              <w:top w:val="single" w:color="auto" w:sz="4" w:space="0"/>
              <w:bottom w:val="single" w:color="auto" w:sz="4" w:space="0"/>
            </w:tcBorders>
            <w:vAlign w:val="bottom"/>
          </w:tcPr>
          <w:p w:rsidRPr="00260518" w:rsidR="00645220" w:rsidP="003D3709" w:rsidRDefault="00645220" w14:paraId="4EB23B0B" w14:textId="77777777">
            <w:pPr>
              <w:widowControl w:val="0"/>
              <w:contextualSpacing/>
              <w:rPr>
                <w:b/>
                <w:sz w:val="22"/>
              </w:rPr>
            </w:pPr>
            <w:r w:rsidRPr="00260518">
              <w:rPr>
                <w:b/>
                <w:sz w:val="22"/>
              </w:rPr>
              <w:t>Hours</w:t>
            </w:r>
          </w:p>
        </w:tc>
        <w:tc>
          <w:tcPr>
            <w:tcW w:w="717" w:type="dxa"/>
            <w:tcBorders>
              <w:top w:val="single" w:color="auto" w:sz="4" w:space="0"/>
              <w:bottom w:val="single" w:color="auto" w:sz="4" w:space="0"/>
            </w:tcBorders>
            <w:vAlign w:val="bottom"/>
          </w:tcPr>
          <w:p w:rsidRPr="00260518" w:rsidR="00645220" w:rsidP="003D3709" w:rsidRDefault="00645220" w14:paraId="268FE9F7" w14:textId="77777777">
            <w:pPr>
              <w:widowControl w:val="0"/>
              <w:contextualSpacing/>
              <w:rPr>
                <w:b/>
                <w:sz w:val="22"/>
              </w:rPr>
            </w:pPr>
            <w:r w:rsidRPr="00260518">
              <w:rPr>
                <w:b/>
                <w:sz w:val="22"/>
              </w:rPr>
              <w:t>Rate $</w:t>
            </w:r>
          </w:p>
        </w:tc>
        <w:tc>
          <w:tcPr>
            <w:tcW w:w="1324" w:type="dxa"/>
            <w:gridSpan w:val="2"/>
            <w:tcBorders>
              <w:top w:val="single" w:color="auto" w:sz="4" w:space="0"/>
              <w:bottom w:val="single" w:color="auto" w:sz="4" w:space="0"/>
              <w:right w:val="single" w:color="auto" w:sz="4" w:space="0"/>
            </w:tcBorders>
            <w:vAlign w:val="bottom"/>
          </w:tcPr>
          <w:p w:rsidRPr="00260518" w:rsidR="00645220" w:rsidP="003D3709" w:rsidRDefault="00645220" w14:paraId="7A0F81D1" w14:textId="77777777">
            <w:pPr>
              <w:widowControl w:val="0"/>
              <w:contextualSpacing/>
              <w:rPr>
                <w:b/>
                <w:sz w:val="22"/>
              </w:rPr>
            </w:pPr>
            <w:r w:rsidRPr="00260518">
              <w:rPr>
                <w:b/>
                <w:sz w:val="22"/>
              </w:rPr>
              <w:t>Basis for Rate*</w:t>
            </w:r>
          </w:p>
        </w:tc>
        <w:tc>
          <w:tcPr>
            <w:tcW w:w="1176" w:type="dxa"/>
            <w:gridSpan w:val="2"/>
            <w:tcBorders>
              <w:top w:val="single" w:color="auto" w:sz="4" w:space="0"/>
              <w:left w:val="single" w:color="auto" w:sz="4" w:space="0"/>
              <w:bottom w:val="single" w:color="auto" w:sz="4" w:space="0"/>
              <w:right w:val="single" w:color="auto" w:sz="24" w:space="0"/>
            </w:tcBorders>
            <w:vAlign w:val="bottom"/>
          </w:tcPr>
          <w:p w:rsidRPr="00260518" w:rsidR="00645220" w:rsidP="003D3709" w:rsidRDefault="00645220" w14:paraId="3FF42E01" w14:textId="77777777">
            <w:pPr>
              <w:widowControl w:val="0"/>
              <w:contextualSpacing/>
              <w:rPr>
                <w:b/>
                <w:sz w:val="22"/>
              </w:rPr>
            </w:pPr>
            <w:r w:rsidRPr="00260518">
              <w:rPr>
                <w:b/>
                <w:sz w:val="22"/>
              </w:rPr>
              <w:t>Total $</w:t>
            </w:r>
          </w:p>
        </w:tc>
        <w:tc>
          <w:tcPr>
            <w:tcW w:w="803" w:type="dxa"/>
            <w:tcBorders>
              <w:top w:val="single" w:color="auto" w:sz="4" w:space="0"/>
              <w:left w:val="single" w:color="auto" w:sz="4" w:space="0"/>
            </w:tcBorders>
            <w:vAlign w:val="bottom"/>
          </w:tcPr>
          <w:p w:rsidRPr="00260518" w:rsidR="00645220" w:rsidP="003D3709" w:rsidRDefault="00645220" w14:paraId="1595B89A" w14:textId="77777777">
            <w:pPr>
              <w:widowControl w:val="0"/>
              <w:contextualSpacing/>
              <w:rPr>
                <w:b/>
                <w:sz w:val="22"/>
              </w:rPr>
            </w:pPr>
            <w:r w:rsidRPr="00260518">
              <w:rPr>
                <w:b/>
                <w:sz w:val="22"/>
              </w:rPr>
              <w:t>Hours</w:t>
            </w:r>
          </w:p>
        </w:tc>
        <w:tc>
          <w:tcPr>
            <w:tcW w:w="1020" w:type="dxa"/>
            <w:tcBorders>
              <w:top w:val="single" w:color="auto" w:sz="4" w:space="0"/>
            </w:tcBorders>
            <w:vAlign w:val="bottom"/>
          </w:tcPr>
          <w:p w:rsidRPr="00260518" w:rsidR="00645220" w:rsidP="003D3709" w:rsidRDefault="00645220" w14:paraId="2BD7B66D" w14:textId="77777777">
            <w:pPr>
              <w:widowControl w:val="0"/>
              <w:contextualSpacing/>
              <w:rPr>
                <w:b/>
                <w:sz w:val="22"/>
              </w:rPr>
            </w:pPr>
            <w:r w:rsidRPr="00260518">
              <w:rPr>
                <w:b/>
                <w:sz w:val="22"/>
              </w:rPr>
              <w:t>Rate $</w:t>
            </w:r>
          </w:p>
        </w:tc>
        <w:tc>
          <w:tcPr>
            <w:tcW w:w="1514" w:type="dxa"/>
            <w:tcBorders>
              <w:top w:val="single" w:color="auto" w:sz="4" w:space="0"/>
            </w:tcBorders>
            <w:vAlign w:val="bottom"/>
          </w:tcPr>
          <w:p w:rsidRPr="00260518" w:rsidR="00645220" w:rsidP="003D3709" w:rsidRDefault="00645220" w14:paraId="0D7E3C35" w14:textId="77777777">
            <w:pPr>
              <w:widowControl w:val="0"/>
              <w:contextualSpacing/>
              <w:rPr>
                <w:b/>
                <w:sz w:val="22"/>
              </w:rPr>
            </w:pPr>
            <w:r w:rsidRPr="00260518">
              <w:rPr>
                <w:b/>
                <w:sz w:val="22"/>
              </w:rPr>
              <w:t>Total $</w:t>
            </w:r>
          </w:p>
        </w:tc>
      </w:tr>
      <w:tr w:rsidRPr="007F620E" w:rsidR="00645220" w:rsidTr="74F2F876" w14:paraId="34E4C200" w14:textId="77777777">
        <w:trPr>
          <w:trHeight w:val="300"/>
          <w:jc w:val="center"/>
        </w:trPr>
        <w:tc>
          <w:tcPr>
            <w:tcW w:w="1260" w:type="dxa"/>
          </w:tcPr>
          <w:p w:rsidR="00645220" w:rsidP="003D3709" w:rsidRDefault="00645220" w14:paraId="1077E6F6" w14:textId="77777777">
            <w:pPr>
              <w:widowControl w:val="0"/>
              <w:contextualSpacing/>
            </w:pPr>
            <w:r>
              <w:t>Yochanan Zakai (YZZ)</w:t>
            </w:r>
          </w:p>
        </w:tc>
        <w:tc>
          <w:tcPr>
            <w:tcW w:w="847" w:type="dxa"/>
          </w:tcPr>
          <w:p w:rsidR="00645220" w:rsidP="003D3709" w:rsidRDefault="00645220" w14:paraId="62E43026" w14:textId="77777777">
            <w:pPr>
              <w:widowControl w:val="0"/>
              <w:contextualSpacing/>
            </w:pPr>
            <w:r>
              <w:t>2024</w:t>
            </w:r>
          </w:p>
        </w:tc>
        <w:tc>
          <w:tcPr>
            <w:tcW w:w="807" w:type="dxa"/>
            <w:gridSpan w:val="2"/>
          </w:tcPr>
          <w:p w:rsidR="00645220" w:rsidP="003D3709" w:rsidRDefault="005C434E" w14:paraId="67181844" w14:textId="19BE4D9E">
            <w:pPr>
              <w:widowControl w:val="0"/>
              <w:contextualSpacing/>
            </w:pPr>
            <w:r>
              <w:t>4.8</w:t>
            </w:r>
          </w:p>
        </w:tc>
        <w:tc>
          <w:tcPr>
            <w:tcW w:w="717" w:type="dxa"/>
          </w:tcPr>
          <w:p w:rsidR="00645220" w:rsidP="003D3709" w:rsidRDefault="00645220" w14:paraId="2267C937" w14:textId="77777777">
            <w:pPr>
              <w:widowControl w:val="0"/>
              <w:contextualSpacing/>
            </w:pPr>
            <w:r>
              <w:t>$610</w:t>
            </w:r>
          </w:p>
        </w:tc>
        <w:tc>
          <w:tcPr>
            <w:tcW w:w="1324" w:type="dxa"/>
            <w:gridSpan w:val="2"/>
            <w:tcBorders>
              <w:right w:val="single" w:color="auto" w:sz="4" w:space="0"/>
            </w:tcBorders>
          </w:tcPr>
          <w:p w:rsidRPr="00155819" w:rsidR="00645220" w:rsidP="003D3709" w:rsidRDefault="00645220" w14:paraId="029EF4A9" w14:textId="77777777">
            <w:pPr>
              <w:widowControl w:val="0"/>
              <w:contextualSpacing/>
            </w:pPr>
            <w:r>
              <w:t>ALJ -393; Attorney IV</w:t>
            </w:r>
          </w:p>
        </w:tc>
        <w:tc>
          <w:tcPr>
            <w:tcW w:w="1176" w:type="dxa"/>
            <w:gridSpan w:val="2"/>
            <w:tcBorders>
              <w:top w:val="single" w:color="auto" w:sz="4" w:space="0"/>
              <w:left w:val="single" w:color="auto" w:sz="4" w:space="0"/>
              <w:bottom w:val="single" w:color="auto" w:sz="4" w:space="0"/>
              <w:right w:val="single" w:color="auto" w:sz="24" w:space="0"/>
            </w:tcBorders>
          </w:tcPr>
          <w:p w:rsidR="00645220" w:rsidP="003D3709" w:rsidRDefault="00645220" w14:paraId="271CBB48" w14:textId="114AAE83">
            <w:pPr>
              <w:widowControl w:val="0"/>
              <w:contextualSpacing/>
            </w:pPr>
            <w:r>
              <w:t>$</w:t>
            </w:r>
            <w:r w:rsidR="005C434E">
              <w:t>2,928</w:t>
            </w:r>
          </w:p>
        </w:tc>
        <w:tc>
          <w:tcPr>
            <w:tcW w:w="803" w:type="dxa"/>
            <w:tcBorders>
              <w:left w:val="single" w:color="auto" w:sz="4" w:space="0"/>
            </w:tcBorders>
          </w:tcPr>
          <w:p w:rsidRPr="007F620E" w:rsidR="00645220" w:rsidP="003D3709" w:rsidRDefault="6F70CC76" w14:paraId="764A396E" w14:textId="756703EA">
            <w:pPr>
              <w:widowControl w:val="0"/>
              <w:contextualSpacing/>
            </w:pPr>
            <w:r>
              <w:t>4.</w:t>
            </w:r>
            <w:r w:rsidR="17499AF9">
              <w:t>2</w:t>
            </w:r>
          </w:p>
          <w:p w:rsidRPr="007F620E" w:rsidR="00645220" w:rsidP="003D3709" w:rsidRDefault="61F70C97" w14:paraId="1449825E" w14:textId="372805D4">
            <w:pPr>
              <w:widowControl w:val="0"/>
              <w:contextualSpacing/>
            </w:pPr>
            <w:r>
              <w:t>[1]</w:t>
            </w:r>
          </w:p>
        </w:tc>
        <w:tc>
          <w:tcPr>
            <w:tcW w:w="1020" w:type="dxa"/>
          </w:tcPr>
          <w:p w:rsidRPr="007F620E" w:rsidR="00645220" w:rsidP="003D3709" w:rsidRDefault="09BE06FA" w14:paraId="2D81D310" w14:textId="0677CE51">
            <w:pPr>
              <w:widowControl w:val="0"/>
              <w:contextualSpacing/>
            </w:pPr>
            <w:r>
              <w:t>$610</w:t>
            </w:r>
          </w:p>
          <w:p w:rsidRPr="007F620E" w:rsidR="00645220" w:rsidP="003D3709" w:rsidRDefault="7F7E41A9" w14:paraId="631B0605" w14:textId="66F21844">
            <w:pPr>
              <w:widowControl w:val="0"/>
              <w:contextualSpacing/>
            </w:pPr>
            <w:r>
              <w:t>[</w:t>
            </w:r>
            <w:r w:rsidR="14B141BB">
              <w:t>2</w:t>
            </w:r>
            <w:r w:rsidR="5C9134CF">
              <w:t>,5</w:t>
            </w:r>
            <w:r>
              <w:t>]</w:t>
            </w:r>
          </w:p>
        </w:tc>
        <w:tc>
          <w:tcPr>
            <w:tcW w:w="1514" w:type="dxa"/>
          </w:tcPr>
          <w:p w:rsidR="63E4D106" w:rsidP="003D3709" w:rsidRDefault="173E9A96" w14:paraId="4D75D4AB" w14:textId="359165FC">
            <w:pPr>
              <w:widowControl w:val="0"/>
              <w:contextualSpacing/>
            </w:pPr>
            <w:r>
              <w:t>$2,</w:t>
            </w:r>
            <w:r w:rsidR="52B203A3">
              <w:t>562</w:t>
            </w:r>
            <w:r w:rsidR="4FB9D7F5">
              <w:t>.00</w:t>
            </w:r>
          </w:p>
        </w:tc>
      </w:tr>
      <w:tr w:rsidRPr="007F620E" w:rsidR="00645220" w:rsidTr="74F2F876" w14:paraId="50A76B57" w14:textId="77777777">
        <w:trPr>
          <w:trHeight w:val="300"/>
          <w:jc w:val="center"/>
        </w:trPr>
        <w:tc>
          <w:tcPr>
            <w:tcW w:w="1260" w:type="dxa"/>
          </w:tcPr>
          <w:p w:rsidR="00645220" w:rsidP="003D3709" w:rsidRDefault="00645220" w14:paraId="46F35437" w14:textId="77777777">
            <w:pPr>
              <w:widowControl w:val="0"/>
              <w:contextualSpacing/>
            </w:pPr>
            <w:r>
              <w:t>Orran Balagopalan (OGB)</w:t>
            </w:r>
          </w:p>
        </w:tc>
        <w:tc>
          <w:tcPr>
            <w:tcW w:w="847" w:type="dxa"/>
          </w:tcPr>
          <w:p w:rsidR="00645220" w:rsidP="003D3709" w:rsidRDefault="00645220" w14:paraId="7FF29021" w14:textId="77777777">
            <w:pPr>
              <w:widowControl w:val="0"/>
              <w:contextualSpacing/>
            </w:pPr>
            <w:r>
              <w:t>2024</w:t>
            </w:r>
          </w:p>
        </w:tc>
        <w:tc>
          <w:tcPr>
            <w:tcW w:w="807" w:type="dxa"/>
            <w:gridSpan w:val="2"/>
          </w:tcPr>
          <w:p w:rsidR="00645220" w:rsidP="003D3709" w:rsidRDefault="005C434E" w14:paraId="17902D23" w14:textId="54F5D3B5">
            <w:pPr>
              <w:widowControl w:val="0"/>
              <w:contextualSpacing/>
            </w:pPr>
            <w:r>
              <w:t>18.4</w:t>
            </w:r>
          </w:p>
        </w:tc>
        <w:tc>
          <w:tcPr>
            <w:tcW w:w="717" w:type="dxa"/>
          </w:tcPr>
          <w:p w:rsidR="00645220" w:rsidP="003D3709" w:rsidRDefault="00645220" w14:paraId="112067F7" w14:textId="77777777">
            <w:pPr>
              <w:widowControl w:val="0"/>
              <w:contextualSpacing/>
            </w:pPr>
            <w:r>
              <w:t>$330</w:t>
            </w:r>
          </w:p>
        </w:tc>
        <w:tc>
          <w:tcPr>
            <w:tcW w:w="1324" w:type="dxa"/>
            <w:gridSpan w:val="2"/>
            <w:tcBorders>
              <w:right w:val="single" w:color="auto" w:sz="4" w:space="0"/>
            </w:tcBorders>
          </w:tcPr>
          <w:p w:rsidRPr="00155819" w:rsidR="00645220" w:rsidP="003D3709" w:rsidRDefault="00645220" w14:paraId="234136D0" w14:textId="77777777">
            <w:pPr>
              <w:widowControl w:val="0"/>
              <w:contextualSpacing/>
            </w:pPr>
            <w:r w:rsidRPr="00377C74">
              <w:t xml:space="preserve">2023 </w:t>
            </w:r>
            <w:r>
              <w:t>rate plus 5% step increase per D.07-01-009 and escalation</w:t>
            </w:r>
          </w:p>
        </w:tc>
        <w:tc>
          <w:tcPr>
            <w:tcW w:w="1176" w:type="dxa"/>
            <w:gridSpan w:val="2"/>
            <w:tcBorders>
              <w:top w:val="single" w:color="auto" w:sz="4" w:space="0"/>
              <w:left w:val="single" w:color="auto" w:sz="4" w:space="0"/>
              <w:bottom w:val="single" w:color="auto" w:sz="4" w:space="0"/>
              <w:right w:val="single" w:color="auto" w:sz="24" w:space="0"/>
            </w:tcBorders>
          </w:tcPr>
          <w:p w:rsidR="00645220" w:rsidP="003D3709" w:rsidRDefault="00645220" w14:paraId="17E0995D" w14:textId="367BF40A">
            <w:pPr>
              <w:widowControl w:val="0"/>
              <w:contextualSpacing/>
            </w:pPr>
            <w:r>
              <w:t>$</w:t>
            </w:r>
            <w:r w:rsidR="005C434E">
              <w:t>6,072</w:t>
            </w:r>
          </w:p>
        </w:tc>
        <w:tc>
          <w:tcPr>
            <w:tcW w:w="803" w:type="dxa"/>
            <w:tcBorders>
              <w:left w:val="single" w:color="auto" w:sz="4" w:space="0"/>
            </w:tcBorders>
          </w:tcPr>
          <w:p w:rsidRPr="007F620E" w:rsidR="00645220" w:rsidP="003D3709" w:rsidRDefault="3AAA422E" w14:paraId="1E68496C" w14:textId="18CDA11E">
            <w:pPr>
              <w:widowControl w:val="0"/>
              <w:contextualSpacing/>
            </w:pPr>
            <w:r>
              <w:t>18.4</w:t>
            </w:r>
          </w:p>
        </w:tc>
        <w:tc>
          <w:tcPr>
            <w:tcW w:w="1020" w:type="dxa"/>
          </w:tcPr>
          <w:p w:rsidRPr="007F620E" w:rsidR="00645220" w:rsidP="003D3709" w:rsidRDefault="2CA265D2" w14:paraId="4E9DC9EC" w14:textId="18A32526">
            <w:pPr>
              <w:widowControl w:val="0"/>
              <w:contextualSpacing/>
            </w:pPr>
            <w:r>
              <w:t>$330</w:t>
            </w:r>
          </w:p>
          <w:p w:rsidRPr="007F620E" w:rsidR="00645220" w:rsidP="003D3709" w:rsidRDefault="7607894C" w14:paraId="21D57666" w14:textId="07044254">
            <w:pPr>
              <w:widowControl w:val="0"/>
              <w:contextualSpacing/>
            </w:pPr>
            <w:r>
              <w:t>[</w:t>
            </w:r>
            <w:r w:rsidR="1BEAAE0E">
              <w:t>3</w:t>
            </w:r>
            <w:r w:rsidR="67BFC1F3">
              <w:t>,5</w:t>
            </w:r>
            <w:r>
              <w:t>]</w:t>
            </w:r>
          </w:p>
        </w:tc>
        <w:tc>
          <w:tcPr>
            <w:tcW w:w="1514" w:type="dxa"/>
          </w:tcPr>
          <w:p w:rsidR="63E4D106" w:rsidP="003D3709" w:rsidRDefault="173E9A96" w14:paraId="78B2CA9C" w14:textId="6ACF7C74">
            <w:pPr>
              <w:widowControl w:val="0"/>
              <w:contextualSpacing/>
            </w:pPr>
            <w:r>
              <w:t>$6,072</w:t>
            </w:r>
            <w:r w:rsidR="5EE2B000">
              <w:t>.00</w:t>
            </w:r>
          </w:p>
        </w:tc>
      </w:tr>
      <w:tr w:rsidRPr="007F620E" w:rsidR="00645220" w:rsidTr="74F2F876" w14:paraId="2995812F" w14:textId="77777777">
        <w:trPr>
          <w:trHeight w:val="300"/>
          <w:jc w:val="center"/>
        </w:trPr>
        <w:tc>
          <w:tcPr>
            <w:tcW w:w="1260" w:type="dxa"/>
          </w:tcPr>
          <w:p w:rsidR="00645220" w:rsidP="003D3709" w:rsidRDefault="00645220" w14:paraId="0FB5CBC2" w14:textId="77777777">
            <w:pPr>
              <w:widowControl w:val="0"/>
              <w:contextualSpacing/>
            </w:pPr>
            <w:r>
              <w:t>Michael Colvin (MRC)</w:t>
            </w:r>
          </w:p>
        </w:tc>
        <w:tc>
          <w:tcPr>
            <w:tcW w:w="847" w:type="dxa"/>
          </w:tcPr>
          <w:p w:rsidR="00645220" w:rsidP="003D3709" w:rsidRDefault="00645220" w14:paraId="4C569CEE" w14:textId="77777777">
            <w:pPr>
              <w:widowControl w:val="0"/>
              <w:contextualSpacing/>
            </w:pPr>
            <w:r>
              <w:t>2024</w:t>
            </w:r>
          </w:p>
        </w:tc>
        <w:tc>
          <w:tcPr>
            <w:tcW w:w="807" w:type="dxa"/>
            <w:gridSpan w:val="2"/>
          </w:tcPr>
          <w:p w:rsidR="00645220" w:rsidP="003D3709" w:rsidRDefault="00732C4D" w14:paraId="31CF2CEE" w14:textId="533E1EAA">
            <w:pPr>
              <w:widowControl w:val="0"/>
              <w:contextualSpacing/>
            </w:pPr>
            <w:r>
              <w:t>9.5</w:t>
            </w:r>
          </w:p>
        </w:tc>
        <w:tc>
          <w:tcPr>
            <w:tcW w:w="717" w:type="dxa"/>
          </w:tcPr>
          <w:p w:rsidR="00645220" w:rsidP="003D3709" w:rsidRDefault="00645220" w14:paraId="73FB7176" w14:textId="77777777">
            <w:pPr>
              <w:widowControl w:val="0"/>
              <w:contextualSpacing/>
            </w:pPr>
            <w:r>
              <w:t>$655</w:t>
            </w:r>
          </w:p>
        </w:tc>
        <w:tc>
          <w:tcPr>
            <w:tcW w:w="1324" w:type="dxa"/>
            <w:gridSpan w:val="2"/>
            <w:tcBorders>
              <w:right w:val="single" w:color="auto" w:sz="4" w:space="0"/>
            </w:tcBorders>
          </w:tcPr>
          <w:p w:rsidRPr="00155819" w:rsidR="00645220" w:rsidP="003D3709" w:rsidRDefault="00645220" w14:paraId="103CB541" w14:textId="77777777">
            <w:pPr>
              <w:widowControl w:val="0"/>
              <w:contextualSpacing/>
            </w:pPr>
            <w:r>
              <w:t>Requested 2023 rate plus 5% step increase per D.07-01-009 and escalation</w:t>
            </w:r>
          </w:p>
        </w:tc>
        <w:tc>
          <w:tcPr>
            <w:tcW w:w="1176" w:type="dxa"/>
            <w:gridSpan w:val="2"/>
            <w:tcBorders>
              <w:top w:val="single" w:color="auto" w:sz="4" w:space="0"/>
              <w:left w:val="single" w:color="auto" w:sz="4" w:space="0"/>
              <w:bottom w:val="single" w:color="auto" w:sz="4" w:space="0"/>
              <w:right w:val="single" w:color="auto" w:sz="24" w:space="0"/>
            </w:tcBorders>
          </w:tcPr>
          <w:p w:rsidR="00645220" w:rsidP="003D3709" w:rsidRDefault="00645220" w14:paraId="04023BFC" w14:textId="6663023A">
            <w:pPr>
              <w:widowControl w:val="0"/>
              <w:contextualSpacing/>
            </w:pPr>
            <w:r>
              <w:t>$</w:t>
            </w:r>
            <w:r w:rsidR="00732C4D">
              <w:t>6,223</w:t>
            </w:r>
            <w:r w:rsidRPr="3E76C407">
              <w:rPr>
                <w:vertAlign w:val="superscript"/>
              </w:rPr>
              <w:footnoteReference w:id="5"/>
            </w:r>
          </w:p>
        </w:tc>
        <w:tc>
          <w:tcPr>
            <w:tcW w:w="803" w:type="dxa"/>
            <w:tcBorders>
              <w:left w:val="single" w:color="auto" w:sz="4" w:space="0"/>
            </w:tcBorders>
          </w:tcPr>
          <w:p w:rsidRPr="007F620E" w:rsidR="00645220" w:rsidP="003D3709" w:rsidRDefault="2028D469" w14:paraId="64C3DCF4" w14:textId="5137623C">
            <w:pPr>
              <w:widowControl w:val="0"/>
              <w:contextualSpacing/>
            </w:pPr>
            <w:r>
              <w:t>9.5</w:t>
            </w:r>
          </w:p>
        </w:tc>
        <w:tc>
          <w:tcPr>
            <w:tcW w:w="1020" w:type="dxa"/>
          </w:tcPr>
          <w:p w:rsidRPr="007F620E" w:rsidR="00645220" w:rsidP="003D3709" w:rsidRDefault="3DBF0F8E" w14:paraId="7EB1D9EF" w14:textId="68F2FAF8">
            <w:pPr>
              <w:widowControl w:val="0"/>
              <w:contextualSpacing/>
            </w:pPr>
            <w:r>
              <w:t>$</w:t>
            </w:r>
            <w:r w:rsidR="31C87D8E">
              <w:t>595</w:t>
            </w:r>
          </w:p>
          <w:p w:rsidRPr="007F620E" w:rsidR="00645220" w:rsidP="003D3709" w:rsidRDefault="73CE4DC3" w14:paraId="49007580" w14:textId="6FB3A260">
            <w:pPr>
              <w:widowControl w:val="0"/>
              <w:contextualSpacing/>
            </w:pPr>
            <w:r>
              <w:t>[</w:t>
            </w:r>
            <w:r w:rsidR="6CB670E6">
              <w:t>4</w:t>
            </w:r>
            <w:r>
              <w:t>]</w:t>
            </w:r>
          </w:p>
        </w:tc>
        <w:tc>
          <w:tcPr>
            <w:tcW w:w="1514" w:type="dxa"/>
          </w:tcPr>
          <w:p w:rsidRPr="007F620E" w:rsidR="00645220" w:rsidP="003D3709" w:rsidRDefault="601F0447" w14:paraId="31A888D1" w14:textId="468D7FD0">
            <w:pPr>
              <w:widowControl w:val="0"/>
              <w:contextualSpacing/>
            </w:pPr>
            <w:r>
              <w:t>$5,</w:t>
            </w:r>
            <w:r w:rsidR="13F6FEF9">
              <w:t>652</w:t>
            </w:r>
            <w:r>
              <w:t>.50</w:t>
            </w:r>
          </w:p>
        </w:tc>
      </w:tr>
      <w:tr w:rsidRPr="007F620E" w:rsidR="00645220" w:rsidTr="74F2F876" w14:paraId="4A288C24" w14:textId="77777777">
        <w:trPr>
          <w:trHeight w:val="300"/>
          <w:jc w:val="center"/>
        </w:trPr>
        <w:tc>
          <w:tcPr>
            <w:tcW w:w="6131" w:type="dxa"/>
            <w:gridSpan w:val="9"/>
            <w:tcBorders>
              <w:bottom w:val="single" w:color="auto" w:sz="4" w:space="0"/>
              <w:right w:val="single" w:color="auto" w:sz="24" w:space="0"/>
            </w:tcBorders>
            <w:vAlign w:val="bottom"/>
          </w:tcPr>
          <w:p w:rsidRPr="00374FD1" w:rsidR="00645220" w:rsidP="003D3709" w:rsidRDefault="00645220" w14:paraId="6789B7F2" w14:textId="10CCFD05">
            <w:pPr>
              <w:widowControl w:val="0"/>
              <w:contextualSpacing/>
              <w:jc w:val="right"/>
              <w:rPr>
                <w:b/>
                <w:bCs/>
                <w:i/>
                <w:iCs/>
              </w:rPr>
            </w:pPr>
            <w:r w:rsidRPr="1F222C3D">
              <w:rPr>
                <w:b/>
                <w:bCs/>
                <w:i/>
                <w:iCs/>
              </w:rPr>
              <w:t xml:space="preserve">Subtotal: $ </w:t>
            </w:r>
            <w:r w:rsidRPr="1F222C3D" w:rsidR="00732C4D">
              <w:rPr>
                <w:b/>
                <w:bCs/>
                <w:i/>
                <w:iCs/>
              </w:rPr>
              <w:t>14,857</w:t>
            </w:r>
            <w:r w:rsidRPr="1F222C3D">
              <w:rPr>
                <w:b/>
                <w:bCs/>
                <w:i/>
                <w:iCs/>
                <w:vertAlign w:val="superscript"/>
              </w:rPr>
              <w:footnoteReference w:id="6"/>
            </w:r>
          </w:p>
        </w:tc>
        <w:tc>
          <w:tcPr>
            <w:tcW w:w="3337" w:type="dxa"/>
            <w:gridSpan w:val="3"/>
            <w:tcBorders>
              <w:left w:val="single" w:color="auto" w:sz="24" w:space="0"/>
              <w:bottom w:val="single" w:color="auto" w:sz="4" w:space="0"/>
            </w:tcBorders>
            <w:vAlign w:val="bottom"/>
          </w:tcPr>
          <w:p w:rsidRPr="007F620E" w:rsidR="00645220" w:rsidP="003D3709" w:rsidRDefault="00645220" w14:paraId="2962B0E2" w14:textId="24E1529D">
            <w:pPr>
              <w:widowControl w:val="0"/>
              <w:contextualSpacing/>
              <w:jc w:val="right"/>
              <w:rPr>
                <w:b/>
                <w:bCs/>
                <w:i/>
                <w:iCs/>
              </w:rPr>
            </w:pPr>
            <w:r w:rsidRPr="512F9659">
              <w:rPr>
                <w:b/>
                <w:bCs/>
                <w:i/>
                <w:iCs/>
              </w:rPr>
              <w:t>Subtotal: $</w:t>
            </w:r>
            <w:r w:rsidRPr="512F9659" w:rsidR="72F98AD8">
              <w:rPr>
                <w:b/>
                <w:bCs/>
                <w:i/>
                <w:iCs/>
              </w:rPr>
              <w:t>14,</w:t>
            </w:r>
            <w:r w:rsidRPr="512F9659" w:rsidR="035EEF4F">
              <w:rPr>
                <w:b/>
                <w:bCs/>
                <w:i/>
                <w:iCs/>
              </w:rPr>
              <w:t>286</w:t>
            </w:r>
            <w:r w:rsidRPr="512F9659" w:rsidR="72F98AD8">
              <w:rPr>
                <w:b/>
                <w:bCs/>
                <w:i/>
                <w:iCs/>
              </w:rPr>
              <w:t>.50</w:t>
            </w:r>
          </w:p>
        </w:tc>
      </w:tr>
      <w:tr w:rsidRPr="007F620E" w:rsidR="00645220" w:rsidTr="74F2F876" w14:paraId="0671A118" w14:textId="77777777">
        <w:trPr>
          <w:trHeight w:val="300"/>
          <w:jc w:val="center"/>
        </w:trPr>
        <w:tc>
          <w:tcPr>
            <w:tcW w:w="9468"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645220" w:rsidP="003D3709" w:rsidRDefault="00645220" w14:paraId="2ADD4A21" w14:textId="77777777">
            <w:pPr>
              <w:widowControl w:val="0"/>
              <w:contextualSpacing/>
              <w:jc w:val="center"/>
            </w:pPr>
            <w:r w:rsidRPr="007F620E">
              <w:rPr>
                <w:b/>
              </w:rPr>
              <w:t xml:space="preserve">INTERVENOR COMPENSATION CLAIM </w:t>
            </w:r>
            <w:proofErr w:type="gramStart"/>
            <w:r w:rsidRPr="007F620E">
              <w:rPr>
                <w:b/>
              </w:rPr>
              <w:t xml:space="preserve">PREPARATION </w:t>
            </w:r>
            <w:r w:rsidRPr="007F620E">
              <w:rPr>
                <w:b/>
                <w:smallCaps/>
              </w:rPr>
              <w:t xml:space="preserve"> *</w:t>
            </w:r>
            <w:proofErr w:type="gramEnd"/>
            <w:r w:rsidRPr="007F620E">
              <w:rPr>
                <w:b/>
                <w:smallCaps/>
              </w:rPr>
              <w:t>*</w:t>
            </w:r>
          </w:p>
        </w:tc>
      </w:tr>
      <w:tr w:rsidRPr="00260518" w:rsidR="00645220" w:rsidTr="74F2F876" w14:paraId="19344F0F" w14:textId="77777777">
        <w:trPr>
          <w:trHeight w:val="300"/>
          <w:jc w:val="center"/>
        </w:trPr>
        <w:tc>
          <w:tcPr>
            <w:tcW w:w="1260" w:type="dxa"/>
            <w:tcBorders>
              <w:top w:val="single" w:color="auto" w:sz="4" w:space="0"/>
              <w:bottom w:val="single" w:color="auto" w:sz="4" w:space="0"/>
            </w:tcBorders>
            <w:vAlign w:val="bottom"/>
          </w:tcPr>
          <w:p w:rsidRPr="00260518" w:rsidR="00645220" w:rsidP="003D3709" w:rsidRDefault="00645220" w14:paraId="503DC5AC" w14:textId="77777777">
            <w:pPr>
              <w:widowControl w:val="0"/>
              <w:contextualSpacing/>
              <w:rPr>
                <w:b/>
                <w:sz w:val="22"/>
              </w:rPr>
            </w:pPr>
            <w:r w:rsidRPr="00260518">
              <w:rPr>
                <w:b/>
                <w:sz w:val="22"/>
              </w:rPr>
              <w:t>Item</w:t>
            </w:r>
          </w:p>
        </w:tc>
        <w:tc>
          <w:tcPr>
            <w:tcW w:w="847" w:type="dxa"/>
            <w:tcBorders>
              <w:top w:val="single" w:color="auto" w:sz="4" w:space="0"/>
              <w:bottom w:val="single" w:color="auto" w:sz="4" w:space="0"/>
            </w:tcBorders>
            <w:vAlign w:val="bottom"/>
          </w:tcPr>
          <w:p w:rsidRPr="00260518" w:rsidR="00645220" w:rsidP="003D3709" w:rsidRDefault="00645220" w14:paraId="6CD53AE9" w14:textId="77777777">
            <w:pPr>
              <w:widowControl w:val="0"/>
              <w:contextualSpacing/>
              <w:rPr>
                <w:b/>
                <w:sz w:val="22"/>
              </w:rPr>
            </w:pPr>
            <w:r w:rsidRPr="00260518">
              <w:rPr>
                <w:b/>
                <w:sz w:val="22"/>
              </w:rPr>
              <w:t>Year</w:t>
            </w:r>
          </w:p>
        </w:tc>
        <w:tc>
          <w:tcPr>
            <w:tcW w:w="807" w:type="dxa"/>
            <w:gridSpan w:val="2"/>
            <w:tcBorders>
              <w:top w:val="single" w:color="auto" w:sz="4" w:space="0"/>
              <w:bottom w:val="single" w:color="auto" w:sz="4" w:space="0"/>
            </w:tcBorders>
            <w:vAlign w:val="bottom"/>
          </w:tcPr>
          <w:p w:rsidRPr="00260518" w:rsidR="00645220" w:rsidP="003D3709" w:rsidRDefault="00645220" w14:paraId="4B41FE45" w14:textId="77777777">
            <w:pPr>
              <w:widowControl w:val="0"/>
              <w:contextualSpacing/>
              <w:rPr>
                <w:b/>
                <w:sz w:val="22"/>
              </w:rPr>
            </w:pPr>
            <w:r w:rsidRPr="00260518">
              <w:rPr>
                <w:b/>
                <w:sz w:val="22"/>
              </w:rPr>
              <w:t>Hours</w:t>
            </w:r>
          </w:p>
        </w:tc>
        <w:tc>
          <w:tcPr>
            <w:tcW w:w="717" w:type="dxa"/>
            <w:tcBorders>
              <w:top w:val="single" w:color="auto" w:sz="4" w:space="0"/>
              <w:bottom w:val="single" w:color="auto" w:sz="4" w:space="0"/>
            </w:tcBorders>
            <w:vAlign w:val="bottom"/>
          </w:tcPr>
          <w:p w:rsidRPr="00260518" w:rsidR="00645220" w:rsidP="003D3709" w:rsidRDefault="00645220" w14:paraId="3DC48032" w14:textId="77777777">
            <w:pPr>
              <w:widowControl w:val="0"/>
              <w:contextualSpacing/>
              <w:rPr>
                <w:b/>
                <w:sz w:val="22"/>
              </w:rPr>
            </w:pPr>
            <w:r w:rsidRPr="00260518">
              <w:rPr>
                <w:b/>
                <w:sz w:val="22"/>
              </w:rPr>
              <w:t>Rate $</w:t>
            </w:r>
          </w:p>
        </w:tc>
        <w:tc>
          <w:tcPr>
            <w:tcW w:w="1324" w:type="dxa"/>
            <w:gridSpan w:val="2"/>
            <w:tcBorders>
              <w:top w:val="single" w:color="auto" w:sz="4" w:space="0"/>
              <w:bottom w:val="single" w:color="auto" w:sz="4" w:space="0"/>
              <w:right w:val="single" w:color="auto" w:sz="4" w:space="0"/>
            </w:tcBorders>
            <w:vAlign w:val="bottom"/>
          </w:tcPr>
          <w:p w:rsidRPr="00260518" w:rsidR="00645220" w:rsidP="003D3709" w:rsidRDefault="00645220" w14:paraId="3676E3EB" w14:textId="77777777">
            <w:pPr>
              <w:widowControl w:val="0"/>
              <w:contextualSpacing/>
              <w:rPr>
                <w:b/>
                <w:sz w:val="22"/>
              </w:rPr>
            </w:pPr>
            <w:r w:rsidRPr="00260518">
              <w:rPr>
                <w:b/>
                <w:sz w:val="22"/>
              </w:rPr>
              <w:t>Basis for Rate*</w:t>
            </w:r>
          </w:p>
        </w:tc>
        <w:tc>
          <w:tcPr>
            <w:tcW w:w="1176" w:type="dxa"/>
            <w:gridSpan w:val="2"/>
            <w:tcBorders>
              <w:top w:val="single" w:color="auto" w:sz="4" w:space="0"/>
              <w:left w:val="single" w:color="auto" w:sz="4" w:space="0"/>
              <w:bottom w:val="single" w:color="auto" w:sz="4" w:space="0"/>
              <w:right w:val="single" w:color="auto" w:sz="24" w:space="0"/>
            </w:tcBorders>
            <w:vAlign w:val="bottom"/>
          </w:tcPr>
          <w:p w:rsidRPr="00260518" w:rsidR="00645220" w:rsidP="003D3709" w:rsidRDefault="00645220" w14:paraId="0A127B7A" w14:textId="77777777">
            <w:pPr>
              <w:widowControl w:val="0"/>
              <w:contextualSpacing/>
              <w:rPr>
                <w:b/>
                <w:sz w:val="22"/>
              </w:rPr>
            </w:pPr>
            <w:r w:rsidRPr="00260518">
              <w:rPr>
                <w:b/>
                <w:sz w:val="22"/>
              </w:rPr>
              <w:t>Total $</w:t>
            </w:r>
          </w:p>
        </w:tc>
        <w:tc>
          <w:tcPr>
            <w:tcW w:w="803" w:type="dxa"/>
            <w:tcBorders>
              <w:top w:val="single" w:color="auto" w:sz="4" w:space="0"/>
              <w:left w:val="single" w:color="auto" w:sz="4" w:space="0"/>
            </w:tcBorders>
            <w:vAlign w:val="bottom"/>
          </w:tcPr>
          <w:p w:rsidRPr="00260518" w:rsidR="00645220" w:rsidP="003D3709" w:rsidRDefault="00645220" w14:paraId="0217A747" w14:textId="77777777">
            <w:pPr>
              <w:widowControl w:val="0"/>
              <w:contextualSpacing/>
              <w:rPr>
                <w:b/>
                <w:sz w:val="22"/>
              </w:rPr>
            </w:pPr>
            <w:r w:rsidRPr="00260518">
              <w:rPr>
                <w:b/>
                <w:sz w:val="22"/>
              </w:rPr>
              <w:t>Hours</w:t>
            </w:r>
          </w:p>
        </w:tc>
        <w:tc>
          <w:tcPr>
            <w:tcW w:w="1020" w:type="dxa"/>
            <w:tcBorders>
              <w:top w:val="single" w:color="auto" w:sz="4" w:space="0"/>
            </w:tcBorders>
            <w:vAlign w:val="bottom"/>
          </w:tcPr>
          <w:p w:rsidRPr="00260518" w:rsidR="00645220" w:rsidP="003D3709" w:rsidRDefault="00645220" w14:paraId="60790BDC" w14:textId="77777777">
            <w:pPr>
              <w:widowControl w:val="0"/>
              <w:contextualSpacing/>
              <w:rPr>
                <w:b/>
                <w:sz w:val="22"/>
              </w:rPr>
            </w:pPr>
            <w:r w:rsidRPr="00260518">
              <w:rPr>
                <w:b/>
                <w:sz w:val="22"/>
              </w:rPr>
              <w:t xml:space="preserve">Rate </w:t>
            </w:r>
            <w:r>
              <w:rPr>
                <w:b/>
                <w:sz w:val="22"/>
              </w:rPr>
              <w:t>$</w:t>
            </w:r>
          </w:p>
        </w:tc>
        <w:tc>
          <w:tcPr>
            <w:tcW w:w="1514" w:type="dxa"/>
            <w:tcBorders>
              <w:top w:val="single" w:color="auto" w:sz="4" w:space="0"/>
            </w:tcBorders>
            <w:vAlign w:val="bottom"/>
          </w:tcPr>
          <w:p w:rsidRPr="00260518" w:rsidR="00645220" w:rsidP="003D3709" w:rsidRDefault="00645220" w14:paraId="1EC8D230" w14:textId="77777777">
            <w:pPr>
              <w:widowControl w:val="0"/>
              <w:contextualSpacing/>
              <w:rPr>
                <w:b/>
                <w:sz w:val="22"/>
              </w:rPr>
            </w:pPr>
            <w:r w:rsidRPr="00260518">
              <w:rPr>
                <w:b/>
                <w:sz w:val="22"/>
              </w:rPr>
              <w:t>Total $</w:t>
            </w:r>
          </w:p>
        </w:tc>
      </w:tr>
      <w:tr w:rsidRPr="007F620E" w:rsidR="00645220" w:rsidTr="74F2F876" w14:paraId="0D8ECE74" w14:textId="77777777">
        <w:trPr>
          <w:trHeight w:val="300"/>
          <w:jc w:val="center"/>
        </w:trPr>
        <w:tc>
          <w:tcPr>
            <w:tcW w:w="1260" w:type="dxa"/>
          </w:tcPr>
          <w:p w:rsidRPr="007F620E" w:rsidR="00645220" w:rsidP="003D3709" w:rsidRDefault="00645220" w14:paraId="06C9C134" w14:textId="77777777">
            <w:pPr>
              <w:widowControl w:val="0"/>
              <w:contextualSpacing/>
            </w:pPr>
            <w:r>
              <w:t>Yochanan Zakai</w:t>
            </w:r>
          </w:p>
        </w:tc>
        <w:tc>
          <w:tcPr>
            <w:tcW w:w="847" w:type="dxa"/>
          </w:tcPr>
          <w:p w:rsidRPr="007F620E" w:rsidR="00645220" w:rsidP="003D3709" w:rsidRDefault="00645220" w14:paraId="050597B3" w14:textId="77777777">
            <w:pPr>
              <w:widowControl w:val="0"/>
              <w:contextualSpacing/>
            </w:pPr>
            <w:r>
              <w:t>2024</w:t>
            </w:r>
          </w:p>
        </w:tc>
        <w:tc>
          <w:tcPr>
            <w:tcW w:w="807" w:type="dxa"/>
            <w:gridSpan w:val="2"/>
          </w:tcPr>
          <w:p w:rsidRPr="007F620E" w:rsidR="00645220" w:rsidP="003D3709" w:rsidRDefault="007B3ECE" w14:paraId="42995D28" w14:textId="622A8CD7">
            <w:pPr>
              <w:widowControl w:val="0"/>
              <w:contextualSpacing/>
            </w:pPr>
            <w:r>
              <w:t>1</w:t>
            </w:r>
          </w:p>
        </w:tc>
        <w:tc>
          <w:tcPr>
            <w:tcW w:w="717" w:type="dxa"/>
          </w:tcPr>
          <w:p w:rsidRPr="007F620E" w:rsidR="00645220" w:rsidP="003D3709" w:rsidRDefault="00645220" w14:paraId="1097AB0A" w14:textId="77777777">
            <w:pPr>
              <w:widowControl w:val="0"/>
              <w:contextualSpacing/>
            </w:pPr>
            <w:r>
              <w:t>$305</w:t>
            </w:r>
          </w:p>
        </w:tc>
        <w:tc>
          <w:tcPr>
            <w:tcW w:w="1324" w:type="dxa"/>
            <w:gridSpan w:val="2"/>
            <w:tcBorders>
              <w:right w:val="single" w:color="auto" w:sz="4" w:space="0"/>
            </w:tcBorders>
          </w:tcPr>
          <w:p w:rsidRPr="007F620E" w:rsidR="00645220" w:rsidP="003D3709" w:rsidRDefault="00645220" w14:paraId="25895A81" w14:textId="77777777">
            <w:pPr>
              <w:widowControl w:val="0"/>
              <w:contextualSpacing/>
            </w:pPr>
            <w:proofErr w:type="gramStart"/>
            <w:r>
              <w:t>Half</w:t>
            </w:r>
            <w:proofErr w:type="gramEnd"/>
            <w:r>
              <w:t xml:space="preserve"> 2024 rate</w:t>
            </w:r>
          </w:p>
        </w:tc>
        <w:tc>
          <w:tcPr>
            <w:tcW w:w="1176" w:type="dxa"/>
            <w:gridSpan w:val="2"/>
            <w:tcBorders>
              <w:top w:val="single" w:color="auto" w:sz="4" w:space="0"/>
              <w:left w:val="single" w:color="auto" w:sz="4" w:space="0"/>
              <w:bottom w:val="single" w:color="auto" w:sz="4" w:space="0"/>
              <w:right w:val="single" w:color="auto" w:sz="24" w:space="0"/>
            </w:tcBorders>
          </w:tcPr>
          <w:p w:rsidRPr="007F620E" w:rsidR="00645220" w:rsidP="003D3709" w:rsidRDefault="00645220" w14:paraId="2161BF5D" w14:textId="0E4DD109">
            <w:pPr>
              <w:widowControl w:val="0"/>
              <w:contextualSpacing/>
            </w:pPr>
            <w:r>
              <w:t>$</w:t>
            </w:r>
            <w:r w:rsidR="007B3ECE">
              <w:t>305</w:t>
            </w:r>
          </w:p>
        </w:tc>
        <w:tc>
          <w:tcPr>
            <w:tcW w:w="803" w:type="dxa"/>
            <w:tcBorders>
              <w:left w:val="single" w:color="auto" w:sz="4" w:space="0"/>
              <w:right w:val="single" w:color="auto" w:sz="4" w:space="0"/>
            </w:tcBorders>
          </w:tcPr>
          <w:p w:rsidR="63E4D106" w:rsidP="003D3709" w:rsidRDefault="63E4D106" w14:paraId="7D61338C" w14:textId="622A8CD7">
            <w:pPr>
              <w:widowControl w:val="0"/>
              <w:contextualSpacing/>
            </w:pPr>
            <w:r>
              <w:t>1</w:t>
            </w:r>
          </w:p>
        </w:tc>
        <w:tc>
          <w:tcPr>
            <w:tcW w:w="1020" w:type="dxa"/>
            <w:tcBorders>
              <w:left w:val="single" w:color="auto" w:sz="4" w:space="0"/>
            </w:tcBorders>
          </w:tcPr>
          <w:p w:rsidR="63E4D106" w:rsidP="003D3709" w:rsidRDefault="63E4D106" w14:paraId="3F29B5CC" w14:textId="77777777">
            <w:pPr>
              <w:widowControl w:val="0"/>
              <w:contextualSpacing/>
            </w:pPr>
            <w:r>
              <w:t>$305</w:t>
            </w:r>
          </w:p>
        </w:tc>
        <w:tc>
          <w:tcPr>
            <w:tcW w:w="1514" w:type="dxa"/>
          </w:tcPr>
          <w:p w:rsidR="63E4D106" w:rsidP="003D3709" w:rsidRDefault="173E9A96" w14:paraId="4CBD181C" w14:textId="3902A207">
            <w:pPr>
              <w:widowControl w:val="0"/>
              <w:contextualSpacing/>
            </w:pPr>
            <w:r>
              <w:t>$305</w:t>
            </w:r>
            <w:r w:rsidR="41BD9EAD">
              <w:t>.00</w:t>
            </w:r>
          </w:p>
        </w:tc>
      </w:tr>
      <w:tr w:rsidRPr="007F620E" w:rsidR="00645220" w:rsidTr="74F2F876" w14:paraId="2A038A17" w14:textId="77777777">
        <w:trPr>
          <w:trHeight w:val="300"/>
          <w:jc w:val="center"/>
        </w:trPr>
        <w:tc>
          <w:tcPr>
            <w:tcW w:w="1260" w:type="dxa"/>
          </w:tcPr>
          <w:p w:rsidR="00645220" w:rsidP="003D3709" w:rsidRDefault="00645220" w14:paraId="3A92DE48" w14:textId="77777777">
            <w:pPr>
              <w:widowControl w:val="0"/>
              <w:contextualSpacing/>
            </w:pPr>
            <w:r>
              <w:t>Orran Balagopalan</w:t>
            </w:r>
          </w:p>
        </w:tc>
        <w:tc>
          <w:tcPr>
            <w:tcW w:w="847" w:type="dxa"/>
          </w:tcPr>
          <w:p w:rsidRPr="007F620E" w:rsidR="00645220" w:rsidP="003D3709" w:rsidRDefault="00645220" w14:paraId="2F663517" w14:textId="77777777">
            <w:pPr>
              <w:widowControl w:val="0"/>
              <w:contextualSpacing/>
            </w:pPr>
            <w:r>
              <w:t>2024</w:t>
            </w:r>
          </w:p>
        </w:tc>
        <w:tc>
          <w:tcPr>
            <w:tcW w:w="807" w:type="dxa"/>
            <w:gridSpan w:val="2"/>
          </w:tcPr>
          <w:p w:rsidRPr="007F620E" w:rsidR="00645220" w:rsidP="003D3709" w:rsidRDefault="007B3ECE" w14:paraId="7F0F9163" w14:textId="6BF533F6">
            <w:pPr>
              <w:widowControl w:val="0"/>
              <w:contextualSpacing/>
            </w:pPr>
            <w:r>
              <w:t>4.4</w:t>
            </w:r>
          </w:p>
        </w:tc>
        <w:tc>
          <w:tcPr>
            <w:tcW w:w="717" w:type="dxa"/>
          </w:tcPr>
          <w:p w:rsidRPr="007F620E" w:rsidR="00645220" w:rsidP="003D3709" w:rsidRDefault="00645220" w14:paraId="13498199" w14:textId="77777777">
            <w:pPr>
              <w:widowControl w:val="0"/>
              <w:contextualSpacing/>
            </w:pPr>
            <w:r w:rsidRPr="0068036F">
              <w:t>$</w:t>
            </w:r>
            <w:r>
              <w:t>165</w:t>
            </w:r>
          </w:p>
        </w:tc>
        <w:tc>
          <w:tcPr>
            <w:tcW w:w="1324" w:type="dxa"/>
            <w:gridSpan w:val="2"/>
            <w:tcBorders>
              <w:right w:val="single" w:color="auto" w:sz="4" w:space="0"/>
            </w:tcBorders>
          </w:tcPr>
          <w:p w:rsidRPr="007F620E" w:rsidR="00645220" w:rsidP="003D3709" w:rsidRDefault="00645220" w14:paraId="05FD7D2A" w14:textId="77777777">
            <w:pPr>
              <w:widowControl w:val="0"/>
              <w:contextualSpacing/>
            </w:pPr>
            <w:proofErr w:type="gramStart"/>
            <w:r>
              <w:t>Half</w:t>
            </w:r>
            <w:proofErr w:type="gramEnd"/>
            <w:r>
              <w:t xml:space="preserve"> 2024 rate</w:t>
            </w:r>
          </w:p>
        </w:tc>
        <w:tc>
          <w:tcPr>
            <w:tcW w:w="1176" w:type="dxa"/>
            <w:gridSpan w:val="2"/>
            <w:tcBorders>
              <w:top w:val="single" w:color="auto" w:sz="4" w:space="0"/>
              <w:left w:val="single" w:color="auto" w:sz="4" w:space="0"/>
              <w:bottom w:val="single" w:color="auto" w:sz="4" w:space="0"/>
              <w:right w:val="single" w:color="auto" w:sz="24" w:space="0"/>
            </w:tcBorders>
          </w:tcPr>
          <w:p w:rsidRPr="007F620E" w:rsidR="00645220" w:rsidP="003D3709" w:rsidRDefault="00645220" w14:paraId="68B758AC" w14:textId="5AA264F8">
            <w:pPr>
              <w:widowControl w:val="0"/>
              <w:contextualSpacing/>
            </w:pPr>
            <w:r>
              <w:t>$</w:t>
            </w:r>
            <w:r w:rsidR="007B3ECE">
              <w:t>726</w:t>
            </w:r>
          </w:p>
        </w:tc>
        <w:tc>
          <w:tcPr>
            <w:tcW w:w="803" w:type="dxa"/>
            <w:tcBorders>
              <w:left w:val="single" w:color="auto" w:sz="4" w:space="0"/>
              <w:right w:val="single" w:color="auto" w:sz="4" w:space="0"/>
            </w:tcBorders>
          </w:tcPr>
          <w:p w:rsidR="63E4D106" w:rsidP="003D3709" w:rsidRDefault="63E4D106" w14:paraId="6D9C8631" w14:textId="6BF533F6">
            <w:pPr>
              <w:widowControl w:val="0"/>
              <w:contextualSpacing/>
            </w:pPr>
            <w:r>
              <w:t>4.4</w:t>
            </w:r>
          </w:p>
        </w:tc>
        <w:tc>
          <w:tcPr>
            <w:tcW w:w="1020" w:type="dxa"/>
            <w:tcBorders>
              <w:left w:val="single" w:color="auto" w:sz="4" w:space="0"/>
            </w:tcBorders>
          </w:tcPr>
          <w:p w:rsidR="63E4D106" w:rsidP="003D3709" w:rsidRDefault="63E4D106" w14:paraId="590096FA" w14:textId="77777777">
            <w:pPr>
              <w:widowControl w:val="0"/>
              <w:contextualSpacing/>
            </w:pPr>
            <w:r>
              <w:t>$165</w:t>
            </w:r>
          </w:p>
        </w:tc>
        <w:tc>
          <w:tcPr>
            <w:tcW w:w="1514" w:type="dxa"/>
          </w:tcPr>
          <w:p w:rsidR="63E4D106" w:rsidP="003D3709" w:rsidRDefault="173E9A96" w14:paraId="17630041" w14:textId="317DE2BF">
            <w:pPr>
              <w:widowControl w:val="0"/>
              <w:contextualSpacing/>
            </w:pPr>
            <w:r>
              <w:t>$726</w:t>
            </w:r>
            <w:r w:rsidR="02037C8C">
              <w:t>.00</w:t>
            </w:r>
          </w:p>
        </w:tc>
      </w:tr>
      <w:tr w:rsidRPr="007F620E" w:rsidR="00645220" w:rsidTr="74F2F876" w14:paraId="56AFE1A5" w14:textId="77777777">
        <w:trPr>
          <w:trHeight w:val="300"/>
          <w:jc w:val="center"/>
        </w:trPr>
        <w:tc>
          <w:tcPr>
            <w:tcW w:w="1260" w:type="dxa"/>
          </w:tcPr>
          <w:p w:rsidR="00645220" w:rsidP="003D3709" w:rsidRDefault="00645220" w14:paraId="64D565BA" w14:textId="77777777">
            <w:pPr>
              <w:widowControl w:val="0"/>
              <w:contextualSpacing/>
            </w:pPr>
            <w:r>
              <w:t>Michael Colvin</w:t>
            </w:r>
          </w:p>
        </w:tc>
        <w:tc>
          <w:tcPr>
            <w:tcW w:w="847" w:type="dxa"/>
          </w:tcPr>
          <w:p w:rsidR="00645220" w:rsidP="003D3709" w:rsidRDefault="00645220" w14:paraId="69AC7473" w14:textId="77777777">
            <w:pPr>
              <w:widowControl w:val="0"/>
              <w:contextualSpacing/>
            </w:pPr>
            <w:r>
              <w:t>2024</w:t>
            </w:r>
          </w:p>
        </w:tc>
        <w:tc>
          <w:tcPr>
            <w:tcW w:w="807" w:type="dxa"/>
            <w:gridSpan w:val="2"/>
          </w:tcPr>
          <w:p w:rsidR="00645220" w:rsidP="003D3709" w:rsidRDefault="00732C4D" w14:paraId="17FC3E7D" w14:textId="5B2A9FD2">
            <w:pPr>
              <w:widowControl w:val="0"/>
              <w:contextualSpacing/>
            </w:pPr>
            <w:r w:rsidRPr="00B81897">
              <w:t>0.5</w:t>
            </w:r>
          </w:p>
        </w:tc>
        <w:tc>
          <w:tcPr>
            <w:tcW w:w="717" w:type="dxa"/>
          </w:tcPr>
          <w:p w:rsidRPr="0068036F" w:rsidR="00645220" w:rsidP="003D3709" w:rsidRDefault="00645220" w14:paraId="42F60BAA" w14:textId="77777777">
            <w:pPr>
              <w:widowControl w:val="0"/>
              <w:contextualSpacing/>
            </w:pPr>
            <w:r>
              <w:t>$330</w:t>
            </w:r>
          </w:p>
        </w:tc>
        <w:tc>
          <w:tcPr>
            <w:tcW w:w="1324" w:type="dxa"/>
            <w:gridSpan w:val="2"/>
            <w:tcBorders>
              <w:right w:val="single" w:color="auto" w:sz="4" w:space="0"/>
            </w:tcBorders>
          </w:tcPr>
          <w:p w:rsidR="00645220" w:rsidP="003D3709" w:rsidRDefault="00645220" w14:paraId="742A52D2" w14:textId="77777777">
            <w:pPr>
              <w:widowControl w:val="0"/>
              <w:contextualSpacing/>
            </w:pPr>
            <w:proofErr w:type="gramStart"/>
            <w:r>
              <w:t>Half</w:t>
            </w:r>
            <w:proofErr w:type="gramEnd"/>
            <w:r>
              <w:t xml:space="preserve"> 2024 rate</w:t>
            </w:r>
          </w:p>
        </w:tc>
        <w:tc>
          <w:tcPr>
            <w:tcW w:w="1176" w:type="dxa"/>
            <w:gridSpan w:val="2"/>
            <w:tcBorders>
              <w:top w:val="single" w:color="auto" w:sz="4" w:space="0"/>
              <w:left w:val="single" w:color="auto" w:sz="4" w:space="0"/>
              <w:bottom w:val="single" w:color="auto" w:sz="4" w:space="0"/>
              <w:right w:val="single" w:color="auto" w:sz="24" w:space="0"/>
            </w:tcBorders>
          </w:tcPr>
          <w:p w:rsidR="00645220" w:rsidP="003D3709" w:rsidRDefault="00645220" w14:paraId="16B828DE" w14:textId="1126EB26">
            <w:pPr>
              <w:widowControl w:val="0"/>
              <w:contextualSpacing/>
            </w:pPr>
            <w:r>
              <w:t>$</w:t>
            </w:r>
            <w:r w:rsidRPr="00B81897" w:rsidR="00732C4D">
              <w:t>165</w:t>
            </w:r>
          </w:p>
        </w:tc>
        <w:tc>
          <w:tcPr>
            <w:tcW w:w="803" w:type="dxa"/>
            <w:tcBorders>
              <w:left w:val="single" w:color="auto" w:sz="4" w:space="0"/>
              <w:right w:val="single" w:color="auto" w:sz="4" w:space="0"/>
            </w:tcBorders>
          </w:tcPr>
          <w:p w:rsidR="63E4D106" w:rsidP="003D3709" w:rsidRDefault="63E4D106" w14:paraId="66E9F080" w14:textId="5B2A9FD2">
            <w:pPr>
              <w:widowControl w:val="0"/>
              <w:contextualSpacing/>
            </w:pPr>
            <w:r>
              <w:t>0.5</w:t>
            </w:r>
          </w:p>
        </w:tc>
        <w:tc>
          <w:tcPr>
            <w:tcW w:w="1020" w:type="dxa"/>
            <w:tcBorders>
              <w:left w:val="single" w:color="auto" w:sz="4" w:space="0"/>
            </w:tcBorders>
          </w:tcPr>
          <w:p w:rsidR="63E4D106" w:rsidP="003D3709" w:rsidRDefault="173E9A96" w14:paraId="55EC30B9" w14:textId="77777777">
            <w:pPr>
              <w:widowControl w:val="0"/>
              <w:contextualSpacing/>
            </w:pPr>
            <w:r>
              <w:t>$</w:t>
            </w:r>
            <w:r w:rsidR="655FAFCA">
              <w:t>2</w:t>
            </w:r>
            <w:r w:rsidR="1A6D534C">
              <w:t>97</w:t>
            </w:r>
            <w:r w:rsidR="655FAFCA">
              <w:t>.50</w:t>
            </w:r>
          </w:p>
          <w:p w:rsidR="00940298" w:rsidP="00940298" w:rsidRDefault="00940298" w14:paraId="198C528D" w14:textId="047E0564">
            <w:pPr>
              <w:widowControl w:val="0"/>
              <w:contextualSpacing/>
              <w:jc w:val="center"/>
            </w:pPr>
            <w:r>
              <w:t>[4]</w:t>
            </w:r>
          </w:p>
        </w:tc>
        <w:tc>
          <w:tcPr>
            <w:tcW w:w="1514" w:type="dxa"/>
          </w:tcPr>
          <w:p w:rsidRPr="007F620E" w:rsidR="00645220" w:rsidP="003D3709" w:rsidRDefault="292A466F" w14:paraId="2046AAF4" w14:textId="20912950">
            <w:pPr>
              <w:widowControl w:val="0"/>
              <w:contextualSpacing/>
            </w:pPr>
            <w:r>
              <w:t>$1</w:t>
            </w:r>
            <w:r w:rsidR="1B30D072">
              <w:t>48.75</w:t>
            </w:r>
          </w:p>
          <w:p w:rsidRPr="007F620E" w:rsidR="00645220" w:rsidP="003D3709" w:rsidRDefault="00645220" w14:paraId="77E63C9A" w14:textId="276DDADB">
            <w:pPr>
              <w:widowControl w:val="0"/>
              <w:contextualSpacing/>
            </w:pPr>
          </w:p>
        </w:tc>
      </w:tr>
      <w:tr w:rsidRPr="007F620E" w:rsidR="00645220" w:rsidTr="74F2F876" w14:paraId="2648FA4A" w14:textId="77777777">
        <w:trPr>
          <w:trHeight w:val="300"/>
          <w:jc w:val="center"/>
        </w:trPr>
        <w:tc>
          <w:tcPr>
            <w:tcW w:w="6131" w:type="dxa"/>
            <w:gridSpan w:val="9"/>
            <w:tcBorders>
              <w:bottom w:val="single" w:color="auto" w:sz="4" w:space="0"/>
              <w:right w:val="single" w:color="auto" w:sz="24" w:space="0"/>
            </w:tcBorders>
            <w:vAlign w:val="bottom"/>
          </w:tcPr>
          <w:p w:rsidRPr="00FC65F3" w:rsidR="00645220" w:rsidP="003D3709" w:rsidRDefault="00645220" w14:paraId="347060F7" w14:textId="04F772BE">
            <w:pPr>
              <w:widowControl w:val="0"/>
              <w:contextualSpacing/>
              <w:jc w:val="right"/>
              <w:rPr>
                <w:b/>
                <w:iCs/>
              </w:rPr>
            </w:pPr>
            <w:r w:rsidRPr="007F620E">
              <w:rPr>
                <w:b/>
                <w:i/>
              </w:rPr>
              <w:t xml:space="preserve">Subtotal: </w:t>
            </w:r>
            <w:r w:rsidR="00732C4D">
              <w:rPr>
                <w:b/>
                <w:i/>
              </w:rPr>
              <w:t>$1,196</w:t>
            </w:r>
          </w:p>
        </w:tc>
        <w:tc>
          <w:tcPr>
            <w:tcW w:w="3337" w:type="dxa"/>
            <w:gridSpan w:val="3"/>
            <w:tcBorders>
              <w:left w:val="single" w:color="auto" w:sz="24" w:space="0"/>
              <w:bottom w:val="single" w:color="auto" w:sz="4" w:space="0"/>
            </w:tcBorders>
            <w:vAlign w:val="bottom"/>
          </w:tcPr>
          <w:p w:rsidRPr="00374FD1" w:rsidR="00645220" w:rsidP="003D3709" w:rsidRDefault="00645220" w14:paraId="5644BE65" w14:textId="351DF646">
            <w:pPr>
              <w:widowControl w:val="0"/>
              <w:contextualSpacing/>
              <w:jc w:val="right"/>
              <w:rPr>
                <w:b/>
                <w:bCs/>
                <w:i/>
                <w:iCs/>
              </w:rPr>
            </w:pPr>
            <w:r w:rsidRPr="512F9659">
              <w:rPr>
                <w:b/>
                <w:bCs/>
                <w:i/>
                <w:iCs/>
              </w:rPr>
              <w:t>Subtotal: $</w:t>
            </w:r>
            <w:r w:rsidRPr="512F9659" w:rsidR="427331FD">
              <w:rPr>
                <w:b/>
                <w:bCs/>
                <w:i/>
                <w:iCs/>
              </w:rPr>
              <w:t>1,1</w:t>
            </w:r>
            <w:r w:rsidRPr="512F9659" w:rsidR="50430E09">
              <w:rPr>
                <w:b/>
                <w:bCs/>
                <w:i/>
                <w:iCs/>
              </w:rPr>
              <w:t>79</w:t>
            </w:r>
            <w:r w:rsidRPr="512F9659" w:rsidR="427331FD">
              <w:rPr>
                <w:b/>
                <w:bCs/>
                <w:i/>
                <w:iCs/>
              </w:rPr>
              <w:t>.</w:t>
            </w:r>
            <w:r w:rsidRPr="512F9659" w:rsidR="7374742A">
              <w:rPr>
                <w:b/>
                <w:bCs/>
                <w:i/>
                <w:iCs/>
              </w:rPr>
              <w:t>7</w:t>
            </w:r>
            <w:r w:rsidRPr="512F9659" w:rsidR="427331FD">
              <w:rPr>
                <w:b/>
                <w:bCs/>
                <w:i/>
                <w:iCs/>
              </w:rPr>
              <w:t>5</w:t>
            </w:r>
          </w:p>
        </w:tc>
      </w:tr>
      <w:tr w:rsidRPr="007F620E" w:rsidR="00645220" w:rsidTr="74F2F876" w14:paraId="2AFB2333" w14:textId="77777777">
        <w:trPr>
          <w:trHeight w:val="300"/>
          <w:jc w:val="center"/>
        </w:trPr>
        <w:tc>
          <w:tcPr>
            <w:tcW w:w="6131" w:type="dxa"/>
            <w:gridSpan w:val="9"/>
            <w:tcBorders>
              <w:top w:val="single" w:color="auto" w:sz="4" w:space="0"/>
              <w:bottom w:val="single" w:color="auto" w:sz="4" w:space="0"/>
              <w:right w:val="single" w:color="auto" w:sz="24" w:space="0"/>
            </w:tcBorders>
            <w:shd w:val="clear" w:color="auto" w:fill="E6E6E6"/>
            <w:vAlign w:val="bottom"/>
          </w:tcPr>
          <w:p w:rsidRPr="00FE3BAE" w:rsidR="00645220" w:rsidP="003D3709" w:rsidRDefault="00645220" w14:paraId="399CAE31" w14:textId="64E228A1">
            <w:pPr>
              <w:widowControl w:val="0"/>
              <w:contextualSpacing/>
              <w:jc w:val="right"/>
              <w:rPr>
                <w:b/>
                <w:bCs/>
              </w:rPr>
            </w:pPr>
            <w:r w:rsidRPr="1F222C3D">
              <w:rPr>
                <w:b/>
                <w:bCs/>
                <w:i/>
                <w:iCs/>
              </w:rPr>
              <w:lastRenderedPageBreak/>
              <w:t xml:space="preserve">TOTAL REQUEST: $ </w:t>
            </w:r>
            <w:r w:rsidRPr="1F222C3D" w:rsidR="1C634E7E">
              <w:rPr>
                <w:b/>
                <w:bCs/>
                <w:i/>
                <w:iCs/>
              </w:rPr>
              <w:t>16,053.00</w:t>
            </w:r>
            <w:r w:rsidRPr="038E2143">
              <w:rPr>
                <w:b/>
                <w:bCs/>
                <w:vertAlign w:val="superscript"/>
              </w:rPr>
              <w:footnoteReference w:id="7"/>
            </w:r>
          </w:p>
        </w:tc>
        <w:tc>
          <w:tcPr>
            <w:tcW w:w="3337" w:type="dxa"/>
            <w:gridSpan w:val="3"/>
            <w:tcBorders>
              <w:left w:val="single" w:color="auto" w:sz="24" w:space="0"/>
            </w:tcBorders>
            <w:shd w:val="clear" w:color="auto" w:fill="E6E6E6"/>
            <w:vAlign w:val="bottom"/>
          </w:tcPr>
          <w:p w:rsidRPr="00FE3BAE" w:rsidR="00645220" w:rsidP="003D3709" w:rsidRDefault="00645220" w14:paraId="4AD365F4" w14:textId="1EE96B3F">
            <w:pPr>
              <w:widowControl w:val="0"/>
              <w:contextualSpacing/>
              <w:jc w:val="right"/>
              <w:rPr>
                <w:b/>
                <w:bCs/>
              </w:rPr>
            </w:pPr>
            <w:r w:rsidRPr="512F9659">
              <w:rPr>
                <w:b/>
                <w:bCs/>
                <w:i/>
                <w:iCs/>
              </w:rPr>
              <w:t>TOTAL AWARD: $</w:t>
            </w:r>
            <w:r w:rsidRPr="512F9659" w:rsidR="4D6E41CC">
              <w:rPr>
                <w:b/>
                <w:bCs/>
                <w:i/>
                <w:iCs/>
              </w:rPr>
              <w:t>15,</w:t>
            </w:r>
            <w:r w:rsidRPr="512F9659" w:rsidR="1138ED63">
              <w:rPr>
                <w:b/>
                <w:bCs/>
                <w:i/>
                <w:iCs/>
              </w:rPr>
              <w:t>466</w:t>
            </w:r>
            <w:r w:rsidRPr="512F9659" w:rsidR="4D6E41CC">
              <w:rPr>
                <w:b/>
                <w:bCs/>
                <w:i/>
                <w:iCs/>
              </w:rPr>
              <w:t>.</w:t>
            </w:r>
            <w:r w:rsidRPr="512F9659" w:rsidR="3EBB98C6">
              <w:rPr>
                <w:b/>
                <w:bCs/>
                <w:i/>
                <w:iCs/>
              </w:rPr>
              <w:t>2</w:t>
            </w:r>
            <w:r w:rsidRPr="512F9659" w:rsidR="4D6E41CC">
              <w:rPr>
                <w:b/>
                <w:bCs/>
                <w:i/>
                <w:iCs/>
              </w:rPr>
              <w:t>5</w:t>
            </w:r>
          </w:p>
        </w:tc>
      </w:tr>
      <w:tr w:rsidRPr="007F620E" w:rsidR="00645220" w:rsidTr="74F2F876" w14:paraId="18A221E4" w14:textId="77777777">
        <w:trPr>
          <w:trHeight w:val="300"/>
          <w:jc w:val="center"/>
        </w:trPr>
        <w:tc>
          <w:tcPr>
            <w:tcW w:w="9468" w:type="dxa"/>
            <w:gridSpan w:val="12"/>
            <w:tcBorders>
              <w:top w:val="single" w:color="auto" w:sz="4" w:space="0"/>
              <w:bottom w:val="single" w:color="auto" w:sz="4" w:space="0"/>
            </w:tcBorders>
          </w:tcPr>
          <w:p w:rsidRPr="007F620E" w:rsidR="00645220" w:rsidP="003D3709" w:rsidRDefault="00645220" w14:paraId="7F822208" w14:textId="43A6C176">
            <w:pPr>
              <w:widowControl w:val="0"/>
              <w:contextualSpacing/>
            </w:pPr>
            <w:r w:rsidRPr="007F620E">
              <w:t xml:space="preserve"> *We remind all intervenors that Commission staff may audit </w:t>
            </w:r>
            <w:r>
              <w:t>the records and books of the intervenors to the extent necessary to verify the basis for the award (§1804(d)).  I</w:t>
            </w:r>
            <w:r w:rsidRPr="007F620E">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645220" w:rsidP="003D3709" w:rsidRDefault="00645220" w14:paraId="3E608A30" w14:textId="77777777">
            <w:pPr>
              <w:widowControl w:val="0"/>
              <w:contextualSpacing/>
            </w:pPr>
            <w:r w:rsidRPr="007F620E">
              <w:t xml:space="preserve">**Travel and Reasonable Claim preparation time </w:t>
            </w:r>
            <w:r>
              <w:t xml:space="preserve">are </w:t>
            </w:r>
            <w:r w:rsidRPr="007F620E">
              <w:t>typically compensated at ½ of preparer’s normal hourly rate</w:t>
            </w:r>
            <w:r w:rsidRPr="007F620E" w:rsidDel="00D075B1">
              <w:t xml:space="preserve"> </w:t>
            </w:r>
          </w:p>
        </w:tc>
      </w:tr>
      <w:tr w:rsidRPr="007F620E" w:rsidR="00645220" w:rsidTr="74F2F876" w14:paraId="19C1A53E" w14:textId="77777777">
        <w:trPr>
          <w:trHeight w:val="300"/>
          <w:jc w:val="center"/>
        </w:trPr>
        <w:tc>
          <w:tcPr>
            <w:tcW w:w="9468"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645220" w:rsidP="003D3709" w:rsidRDefault="00645220" w14:paraId="1EFAE220" w14:textId="77777777">
            <w:pPr>
              <w:widowControl w:val="0"/>
              <w:contextualSpacing/>
              <w:jc w:val="center"/>
              <w:rPr>
                <w:b/>
                <w:smallCaps/>
              </w:rPr>
            </w:pPr>
            <w:r w:rsidRPr="007F620E">
              <w:rPr>
                <w:b/>
                <w:smallCaps/>
              </w:rPr>
              <w:t>ATTORNEY INFORMATION</w:t>
            </w:r>
          </w:p>
        </w:tc>
      </w:tr>
      <w:tr w:rsidRPr="00C16981" w:rsidR="00645220" w:rsidTr="74F2F876" w14:paraId="25362D1B" w14:textId="77777777">
        <w:trPr>
          <w:trHeight w:val="173"/>
          <w:jc w:val="center"/>
        </w:trPr>
        <w:tc>
          <w:tcPr>
            <w:tcW w:w="2464" w:type="dxa"/>
            <w:gridSpan w:val="3"/>
            <w:tcBorders>
              <w:top w:val="single" w:color="auto" w:sz="4" w:space="0"/>
              <w:bottom w:val="single" w:color="auto" w:sz="4" w:space="0"/>
            </w:tcBorders>
            <w:shd w:val="clear" w:color="auto" w:fill="FFFFFF" w:themeFill="background1"/>
            <w:vAlign w:val="bottom"/>
          </w:tcPr>
          <w:p w:rsidRPr="00C16981" w:rsidR="00645220" w:rsidP="003D3709" w:rsidRDefault="00645220" w14:paraId="34ECF72B" w14:textId="77777777">
            <w:pPr>
              <w:widowControl w:val="0"/>
              <w:contextualSpacing/>
              <w:jc w:val="center"/>
              <w:rPr>
                <w:b/>
                <w:sz w:val="22"/>
              </w:rPr>
            </w:pPr>
            <w:r w:rsidRPr="00C16981">
              <w:rPr>
                <w:b/>
                <w:sz w:val="22"/>
              </w:rPr>
              <w:t>Attorney</w:t>
            </w:r>
          </w:p>
        </w:tc>
        <w:tc>
          <w:tcPr>
            <w:tcW w:w="1571" w:type="dxa"/>
            <w:gridSpan w:val="3"/>
            <w:tcBorders>
              <w:top w:val="single" w:color="auto" w:sz="4" w:space="0"/>
              <w:bottom w:val="single" w:color="auto" w:sz="4" w:space="0"/>
            </w:tcBorders>
            <w:shd w:val="clear" w:color="auto" w:fill="FFFFFF" w:themeFill="background1"/>
            <w:vAlign w:val="bottom"/>
          </w:tcPr>
          <w:p w:rsidRPr="00C16981" w:rsidR="00645220" w:rsidP="003D3709" w:rsidRDefault="00645220" w14:paraId="01D2F694" w14:textId="77777777">
            <w:pPr>
              <w:widowControl w:val="0"/>
              <w:contextualSpacing/>
              <w:jc w:val="center"/>
              <w:rPr>
                <w:b/>
                <w:sz w:val="22"/>
              </w:rPr>
            </w:pPr>
            <w:r w:rsidRPr="3E76C407">
              <w:rPr>
                <w:b/>
                <w:bCs/>
                <w:sz w:val="22"/>
              </w:rPr>
              <w:t>Date Admitted to CA BAR</w:t>
            </w:r>
            <w:r w:rsidRPr="3E76C407">
              <w:rPr>
                <w:rStyle w:val="FootnoteReference"/>
                <w:b/>
                <w:bCs/>
                <w:sz w:val="22"/>
              </w:rPr>
              <w:footnoteReference w:id="8"/>
            </w:r>
          </w:p>
        </w:tc>
        <w:tc>
          <w:tcPr>
            <w:tcW w:w="1844" w:type="dxa"/>
            <w:gridSpan w:val="2"/>
            <w:tcBorders>
              <w:top w:val="single" w:color="auto" w:sz="4" w:space="0"/>
              <w:bottom w:val="single" w:color="auto" w:sz="4" w:space="0"/>
            </w:tcBorders>
            <w:shd w:val="clear" w:color="auto" w:fill="FFFFFF" w:themeFill="background1"/>
            <w:vAlign w:val="bottom"/>
          </w:tcPr>
          <w:p w:rsidRPr="00C16981" w:rsidR="00645220" w:rsidP="003D3709" w:rsidRDefault="00645220" w14:paraId="154A49F6" w14:textId="77777777">
            <w:pPr>
              <w:widowControl w:val="0"/>
              <w:contextualSpacing/>
              <w:jc w:val="center"/>
              <w:rPr>
                <w:b/>
                <w:sz w:val="22"/>
              </w:rPr>
            </w:pPr>
            <w:r w:rsidRPr="00C16981">
              <w:rPr>
                <w:b/>
                <w:sz w:val="22"/>
              </w:rPr>
              <w:t>Member Number</w:t>
            </w:r>
          </w:p>
        </w:tc>
        <w:tc>
          <w:tcPr>
            <w:tcW w:w="3589" w:type="dxa"/>
            <w:gridSpan w:val="4"/>
            <w:tcBorders>
              <w:top w:val="single" w:color="auto" w:sz="4" w:space="0"/>
              <w:bottom w:val="single" w:color="auto" w:sz="4" w:space="0"/>
            </w:tcBorders>
            <w:shd w:val="clear" w:color="auto" w:fill="FFFFFF" w:themeFill="background1"/>
            <w:vAlign w:val="bottom"/>
          </w:tcPr>
          <w:p w:rsidRPr="00C16981" w:rsidR="00645220" w:rsidP="003D3709" w:rsidRDefault="00645220" w14:paraId="5E040CB4" w14:textId="77777777">
            <w:pPr>
              <w:widowControl w:val="0"/>
              <w:contextualSpacing/>
              <w:jc w:val="center"/>
              <w:rPr>
                <w:b/>
                <w:sz w:val="22"/>
              </w:rPr>
            </w:pPr>
            <w:r w:rsidRPr="00C16981">
              <w:rPr>
                <w:b/>
                <w:sz w:val="22"/>
              </w:rPr>
              <w:t>Actions Affecting Eligibility (Yes/No?)</w:t>
            </w:r>
          </w:p>
          <w:p w:rsidRPr="00C16981" w:rsidR="00645220" w:rsidP="003D3709" w:rsidRDefault="00645220" w14:paraId="5C6837EB" w14:textId="77777777">
            <w:pPr>
              <w:widowControl w:val="0"/>
              <w:contextualSpacing/>
              <w:jc w:val="center"/>
              <w:rPr>
                <w:b/>
                <w:sz w:val="22"/>
              </w:rPr>
            </w:pPr>
            <w:r w:rsidRPr="00C16981">
              <w:rPr>
                <w:b/>
                <w:sz w:val="22"/>
              </w:rPr>
              <w:t>If “Yes”, attach explanation</w:t>
            </w:r>
          </w:p>
        </w:tc>
      </w:tr>
      <w:tr w:rsidRPr="007F620E" w:rsidR="00645220" w:rsidTr="74F2F876" w14:paraId="2B6DA6ED" w14:textId="77777777">
        <w:trPr>
          <w:trHeight w:val="172"/>
          <w:jc w:val="center"/>
        </w:trPr>
        <w:tc>
          <w:tcPr>
            <w:tcW w:w="2464" w:type="dxa"/>
            <w:gridSpan w:val="3"/>
            <w:tcBorders>
              <w:top w:val="single" w:color="auto" w:sz="4" w:space="0"/>
              <w:bottom w:val="single" w:color="auto" w:sz="4" w:space="0"/>
            </w:tcBorders>
          </w:tcPr>
          <w:p w:rsidRPr="007F620E" w:rsidR="00645220" w:rsidP="003D3709" w:rsidRDefault="00645220" w14:paraId="2A6D2C84" w14:textId="77777777">
            <w:pPr>
              <w:widowControl w:val="0"/>
              <w:contextualSpacing/>
              <w:jc w:val="center"/>
            </w:pPr>
            <w:r>
              <w:t>Yochanan Zakai</w:t>
            </w:r>
          </w:p>
        </w:tc>
        <w:tc>
          <w:tcPr>
            <w:tcW w:w="1571" w:type="dxa"/>
            <w:gridSpan w:val="3"/>
            <w:tcBorders>
              <w:top w:val="single" w:color="auto" w:sz="4" w:space="0"/>
              <w:bottom w:val="single" w:color="auto" w:sz="4" w:space="0"/>
            </w:tcBorders>
          </w:tcPr>
          <w:p w:rsidRPr="007F620E" w:rsidR="00645220" w:rsidP="003D3709" w:rsidRDefault="00645220" w14:paraId="39519746" w14:textId="77777777">
            <w:pPr>
              <w:widowControl w:val="0"/>
              <w:contextualSpacing/>
              <w:jc w:val="center"/>
            </w:pPr>
            <w:r w:rsidRPr="007161BF">
              <w:t>Admitted to Oregon State Bar in 2013</w:t>
            </w:r>
          </w:p>
        </w:tc>
        <w:tc>
          <w:tcPr>
            <w:tcW w:w="1844" w:type="dxa"/>
            <w:gridSpan w:val="2"/>
            <w:tcBorders>
              <w:top w:val="single" w:color="auto" w:sz="4" w:space="0"/>
              <w:bottom w:val="single" w:color="auto" w:sz="4" w:space="0"/>
            </w:tcBorders>
          </w:tcPr>
          <w:p w:rsidRPr="007F620E" w:rsidR="00645220" w:rsidP="003D3709" w:rsidRDefault="00645220" w14:paraId="0A2531AC" w14:textId="77777777">
            <w:pPr>
              <w:widowControl w:val="0"/>
              <w:contextualSpacing/>
              <w:jc w:val="center"/>
            </w:pPr>
            <w:r w:rsidRPr="00222CAF">
              <w:t>Oregon State Bar Member No. 130369</w:t>
            </w:r>
          </w:p>
        </w:tc>
        <w:tc>
          <w:tcPr>
            <w:tcW w:w="3589" w:type="dxa"/>
            <w:gridSpan w:val="4"/>
            <w:tcBorders>
              <w:top w:val="single" w:color="auto" w:sz="4" w:space="0"/>
              <w:bottom w:val="single" w:color="auto" w:sz="4" w:space="0"/>
            </w:tcBorders>
          </w:tcPr>
          <w:p w:rsidRPr="007F620E" w:rsidR="00645220" w:rsidP="003D3709" w:rsidRDefault="00645220" w14:paraId="4FEF53C6" w14:textId="77777777">
            <w:pPr>
              <w:widowControl w:val="0"/>
              <w:contextualSpacing/>
              <w:jc w:val="center"/>
            </w:pPr>
            <w:r>
              <w:t>No</w:t>
            </w:r>
          </w:p>
        </w:tc>
      </w:tr>
      <w:tr w:rsidRPr="007F620E" w:rsidR="00645220" w:rsidTr="74F2F876" w14:paraId="008330C3" w14:textId="77777777">
        <w:trPr>
          <w:trHeight w:val="172"/>
          <w:jc w:val="center"/>
        </w:trPr>
        <w:tc>
          <w:tcPr>
            <w:tcW w:w="2464" w:type="dxa"/>
            <w:gridSpan w:val="3"/>
            <w:tcBorders>
              <w:top w:val="single" w:color="auto" w:sz="4" w:space="0"/>
              <w:bottom w:val="single" w:color="auto" w:sz="4" w:space="0"/>
            </w:tcBorders>
          </w:tcPr>
          <w:p w:rsidRPr="007F620E" w:rsidR="00645220" w:rsidP="003D3709" w:rsidRDefault="00645220" w14:paraId="28A99D54" w14:textId="77777777">
            <w:pPr>
              <w:widowControl w:val="0"/>
              <w:contextualSpacing/>
              <w:jc w:val="center"/>
            </w:pPr>
            <w:r>
              <w:t>Orran Balagopalan</w:t>
            </w:r>
          </w:p>
        </w:tc>
        <w:tc>
          <w:tcPr>
            <w:tcW w:w="1571" w:type="dxa"/>
            <w:gridSpan w:val="3"/>
            <w:tcBorders>
              <w:top w:val="single" w:color="auto" w:sz="4" w:space="0"/>
              <w:bottom w:val="single" w:color="auto" w:sz="4" w:space="0"/>
            </w:tcBorders>
          </w:tcPr>
          <w:p w:rsidRPr="007F620E" w:rsidR="00645220" w:rsidP="003D3709" w:rsidRDefault="00645220" w14:paraId="0E056115" w14:textId="77777777">
            <w:pPr>
              <w:widowControl w:val="0"/>
              <w:contextualSpacing/>
              <w:jc w:val="center"/>
            </w:pPr>
            <w:r>
              <w:t>December 1, 2021</w:t>
            </w:r>
          </w:p>
        </w:tc>
        <w:tc>
          <w:tcPr>
            <w:tcW w:w="1844" w:type="dxa"/>
            <w:gridSpan w:val="2"/>
            <w:tcBorders>
              <w:top w:val="single" w:color="auto" w:sz="4" w:space="0"/>
              <w:bottom w:val="single" w:color="auto" w:sz="4" w:space="0"/>
            </w:tcBorders>
          </w:tcPr>
          <w:p w:rsidRPr="007F620E" w:rsidR="00645220" w:rsidP="003D3709" w:rsidRDefault="00645220" w14:paraId="7F6A13A1" w14:textId="77777777">
            <w:pPr>
              <w:widowControl w:val="0"/>
              <w:contextualSpacing/>
              <w:jc w:val="center"/>
            </w:pPr>
            <w:r>
              <w:t>341508</w:t>
            </w:r>
          </w:p>
        </w:tc>
        <w:tc>
          <w:tcPr>
            <w:tcW w:w="3589" w:type="dxa"/>
            <w:gridSpan w:val="4"/>
            <w:tcBorders>
              <w:top w:val="single" w:color="auto" w:sz="4" w:space="0"/>
              <w:bottom w:val="single" w:color="auto" w:sz="4" w:space="0"/>
            </w:tcBorders>
          </w:tcPr>
          <w:p w:rsidRPr="007F620E" w:rsidR="00645220" w:rsidP="003D3709" w:rsidRDefault="00645220" w14:paraId="237FFFC0" w14:textId="77777777">
            <w:pPr>
              <w:widowControl w:val="0"/>
              <w:contextualSpacing/>
              <w:jc w:val="center"/>
            </w:pPr>
            <w:r>
              <w:t>No</w:t>
            </w:r>
          </w:p>
        </w:tc>
      </w:tr>
    </w:tbl>
    <w:p w:rsidRPr="00981BCA" w:rsidR="00981BCA" w:rsidP="003D3709" w:rsidRDefault="00981BCA" w14:paraId="222E9B04" w14:textId="77777777">
      <w:pPr>
        <w:pStyle w:val="ListParagraph"/>
        <w:keepNext/>
        <w:ind w:left="360"/>
        <w:rPr>
          <w:b/>
          <w:bCs/>
          <w:szCs w:val="24"/>
        </w:rPr>
      </w:pPr>
    </w:p>
    <w:p w:rsidRPr="00084FF0" w:rsidR="00645220" w:rsidP="003D3709" w:rsidRDefault="00645220" w14:paraId="43F24B4F" w14:textId="56CD6F2B">
      <w:pPr>
        <w:pStyle w:val="ListParagraph"/>
        <w:keepNext/>
        <w:numPr>
          <w:ilvl w:val="0"/>
          <w:numId w:val="1"/>
        </w:numPr>
        <w:rPr>
          <w:b/>
          <w:bCs/>
          <w:szCs w:val="24"/>
        </w:rPr>
      </w:pPr>
      <w:r w:rsidRPr="2320ED69">
        <w:rPr>
          <w:b/>
          <w:bCs/>
        </w:rPr>
        <w:t>Attachments Documenting Specific Claim and Comments on Part III</w:t>
      </w:r>
      <w:r w:rsidR="00084FF0">
        <w:rPr>
          <w:rStyle w:val="FootnoteReference"/>
          <w:b/>
          <w:bCs/>
        </w:rPr>
        <w:footnoteReference w:id="9"/>
      </w:r>
      <w:r w:rsidRPr="2320ED69">
        <w:rPr>
          <w:b/>
          <w:bCs/>
        </w:rPr>
        <w:t>:</w:t>
      </w:r>
    </w:p>
    <w:p w:rsidR="00084FF0" w:rsidP="003D3709" w:rsidRDefault="00084FF0" w14:paraId="293F1926" w14:textId="77777777">
      <w:pPr>
        <w:pStyle w:val="ListParagraph"/>
        <w:keepNext/>
        <w:ind w:left="360"/>
        <w:rPr>
          <w:b/>
          <w:bCs/>
          <w:szCs w:val="24"/>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F620E" w:rsidR="00645220" w:rsidTr="1F222C3D" w14:paraId="6E6C9455" w14:textId="77777777">
        <w:trPr>
          <w:tblHeader/>
        </w:trPr>
        <w:tc>
          <w:tcPr>
            <w:tcW w:w="1795" w:type="dxa"/>
            <w:shd w:val="clear" w:color="auto" w:fill="D9D9D9" w:themeFill="background1" w:themeFillShade="D9"/>
            <w:vAlign w:val="bottom"/>
          </w:tcPr>
          <w:p w:rsidRPr="007F620E" w:rsidR="00645220" w:rsidP="003D3709" w:rsidRDefault="00645220" w14:paraId="4A45FBC1" w14:textId="77777777">
            <w:pPr>
              <w:widowControl w:val="0"/>
              <w:contextualSpacing/>
              <w:jc w:val="center"/>
              <w:rPr>
                <w:b/>
              </w:rPr>
            </w:pPr>
            <w:r w:rsidRPr="007F620E">
              <w:rPr>
                <w:b/>
              </w:rPr>
              <w:t xml:space="preserve">Attachment or </w:t>
            </w:r>
            <w:proofErr w:type="gramStart"/>
            <w:r w:rsidRPr="007F620E">
              <w:rPr>
                <w:b/>
              </w:rPr>
              <w:t>Comment  #</w:t>
            </w:r>
            <w:proofErr w:type="gramEnd"/>
          </w:p>
        </w:tc>
        <w:tc>
          <w:tcPr>
            <w:tcW w:w="7565" w:type="dxa"/>
            <w:tcBorders>
              <w:bottom w:val="single" w:color="auto" w:sz="4" w:space="0"/>
            </w:tcBorders>
            <w:shd w:val="clear" w:color="auto" w:fill="D9D9D9" w:themeFill="background1" w:themeFillShade="D9"/>
            <w:vAlign w:val="bottom"/>
          </w:tcPr>
          <w:p w:rsidRPr="007F620E" w:rsidR="00645220" w:rsidP="003D3709" w:rsidRDefault="00645220" w14:paraId="79D7FF5D" w14:textId="77777777">
            <w:pPr>
              <w:widowControl w:val="0"/>
              <w:contextualSpacing/>
              <w:jc w:val="center"/>
              <w:rPr>
                <w:b/>
              </w:rPr>
            </w:pPr>
            <w:r w:rsidRPr="007F620E">
              <w:rPr>
                <w:b/>
              </w:rPr>
              <w:t>Description/Comment</w:t>
            </w:r>
          </w:p>
        </w:tc>
      </w:tr>
      <w:tr w:rsidRPr="007F620E" w:rsidR="00645220" w:rsidTr="1F222C3D" w14:paraId="7D4FAFF3" w14:textId="77777777">
        <w:tc>
          <w:tcPr>
            <w:tcW w:w="1795" w:type="dxa"/>
            <w:tcBorders>
              <w:bottom w:val="single" w:color="auto" w:sz="4" w:space="0"/>
            </w:tcBorders>
          </w:tcPr>
          <w:p w:rsidRPr="007F620E" w:rsidR="00645220" w:rsidP="003D3709" w:rsidRDefault="00645220" w14:paraId="56838354" w14:textId="77777777">
            <w:pPr>
              <w:widowControl w:val="0"/>
              <w:contextualSpacing/>
            </w:pPr>
            <w:r w:rsidRPr="007F620E">
              <w:t>1</w:t>
            </w:r>
          </w:p>
        </w:tc>
        <w:tc>
          <w:tcPr>
            <w:tcW w:w="7565" w:type="dxa"/>
            <w:tcBorders>
              <w:bottom w:val="single" w:color="auto" w:sz="4" w:space="0"/>
            </w:tcBorders>
          </w:tcPr>
          <w:p w:rsidRPr="001C0DD1" w:rsidR="00645220" w:rsidP="003D3709" w:rsidRDefault="00645220" w14:paraId="0E521080" w14:textId="77777777">
            <w:pPr>
              <w:widowControl w:val="0"/>
              <w:contextualSpacing/>
            </w:pPr>
            <w:r w:rsidRPr="001C0DD1">
              <w:t>Certificate of Service</w:t>
            </w:r>
          </w:p>
        </w:tc>
      </w:tr>
      <w:tr w:rsidRPr="007F620E" w:rsidR="00645220" w:rsidTr="1F222C3D" w14:paraId="60FC2738" w14:textId="77777777">
        <w:tc>
          <w:tcPr>
            <w:tcW w:w="1795" w:type="dxa"/>
          </w:tcPr>
          <w:p w:rsidRPr="007F620E" w:rsidR="00645220" w:rsidP="003D3709" w:rsidRDefault="00645220" w14:paraId="751DF8FB" w14:textId="77777777">
            <w:pPr>
              <w:widowControl w:val="0"/>
              <w:contextualSpacing/>
            </w:pPr>
            <w:r>
              <w:t>2</w:t>
            </w:r>
          </w:p>
        </w:tc>
        <w:tc>
          <w:tcPr>
            <w:tcW w:w="7565" w:type="dxa"/>
          </w:tcPr>
          <w:p w:rsidRPr="009C78AB" w:rsidR="00645220" w:rsidP="003D3709" w:rsidRDefault="00645220" w14:paraId="19E5B131" w14:textId="77777777">
            <w:pPr>
              <w:widowControl w:val="0"/>
              <w:contextualSpacing/>
              <w:rPr>
                <w:b/>
                <w:bCs/>
              </w:rPr>
            </w:pPr>
            <w:r w:rsidRPr="009C78AB">
              <w:rPr>
                <w:b/>
                <w:bCs/>
              </w:rPr>
              <w:t>Biography of Expert and Attorneys</w:t>
            </w:r>
          </w:p>
          <w:p w:rsidR="00645220" w:rsidP="003D3709" w:rsidRDefault="00645220" w14:paraId="1BCB6FF5" w14:textId="77777777">
            <w:pPr>
              <w:widowControl w:val="0"/>
              <w:contextualSpacing/>
              <w:rPr>
                <w:sz w:val="22"/>
                <w:u w:val="single"/>
              </w:rPr>
            </w:pPr>
          </w:p>
          <w:p w:rsidR="00645220" w:rsidP="003D3709" w:rsidRDefault="00645220" w14:paraId="6692C499" w14:textId="77777777">
            <w:pPr>
              <w:widowControl w:val="0"/>
              <w:contextualSpacing/>
            </w:pPr>
            <w:r>
              <w:rPr>
                <w:b/>
                <w:bCs/>
              </w:rPr>
              <w:t>Yochanan Zakai</w:t>
            </w:r>
            <w:r>
              <w:t xml:space="preserve"> is a partner at Shute, Mihaly, and Weinberger. He graduated from the University of Oregon School of Law in 2012 and then worked as a policy advisor for the Washington State Utilities and Transportation Commission for four years. He was admitted to the Oregon State Bar in 2013. His relevant experience includes clerkships with the Hawaii Public Utilities Commission, Oregon’s utility ratepayer advocate, and the Bonneville Power Administration, as well as an externship with a wind turbine manufacturer and two years representing a municipal electric </w:t>
            </w:r>
            <w:r>
              <w:lastRenderedPageBreak/>
              <w:t>utility.</w:t>
            </w:r>
          </w:p>
          <w:p w:rsidR="00645220" w:rsidP="003D3709" w:rsidRDefault="00645220" w14:paraId="278CFD12" w14:textId="77777777">
            <w:pPr>
              <w:widowControl w:val="0"/>
              <w:contextualSpacing/>
            </w:pPr>
          </w:p>
          <w:p w:rsidR="00645220" w:rsidP="003D3709" w:rsidRDefault="00645220" w14:paraId="66D56D0F" w14:textId="77777777">
            <w:pPr>
              <w:widowControl w:val="0"/>
              <w:contextualSpacing/>
            </w:pPr>
            <w:r>
              <w:t xml:space="preserve">Mr. Zakai has a national practice of administrative law focused on utility regulation. Mr. Zakai has represented clients in various CPUC proceedings including R.19-01-006 (wildfire cost recovery, representing Protect Our Communities Foundation or PCF), R.17-06-026 (power cost indifference recovery adjustment, representing PCF), R.17-07-007 </w:t>
            </w:r>
            <w:bookmarkStart w:name="_Hlk157718929" w:id="0"/>
            <w:r>
              <w:t>(interconnection of distributed energy resources, representing the Interstate Renewable Energy Council)</w:t>
            </w:r>
            <w:bookmarkEnd w:id="0"/>
            <w:r>
              <w:t>, R.16-02-007 &amp; R.20-05-003 (integrated resource planning, representing EDF), and R.14-08-013 &amp; R.21-06-017 (distribution resource planning, representing the Interstate Renewable Energy Council). He has also appeared representing clients before the Bonneville Power Administration, California Independent System Operator, Colorado Public Utilities Commission, Massachusetts Department of Public Utilities, Michigan Public Service Commission, Minnesota Public Utilities Commission, and Washington State Utilities and Transportation Commission.</w:t>
            </w:r>
          </w:p>
          <w:p w:rsidR="00645220" w:rsidP="003D3709" w:rsidRDefault="00645220" w14:paraId="24C5CA44" w14:textId="77777777">
            <w:pPr>
              <w:widowControl w:val="0"/>
              <w:contextualSpacing/>
            </w:pPr>
          </w:p>
          <w:p w:rsidR="00645220" w:rsidP="003D3709" w:rsidRDefault="00645220" w14:paraId="52ED692B" w14:textId="77777777">
            <w:pPr>
              <w:widowControl w:val="0"/>
              <w:contextualSpacing/>
              <w:rPr>
                <w:vertAlign w:val="superscript"/>
              </w:rPr>
            </w:pPr>
            <w:r>
              <w:t>Resolution ALJ-393 reaffirmed that, as a matter of policy, lawyers “</w:t>
            </w:r>
            <w:proofErr w:type="spellStart"/>
            <w:r>
              <w:t>licens</w:t>
            </w:r>
            <w:proofErr w:type="spellEnd"/>
            <w:r>
              <w:t>[ed] by any jurisdiction within the United States” are eligible for compensation at attorney rates.</w:t>
            </w:r>
            <w:r>
              <w:rPr>
                <w:vertAlign w:val="superscript"/>
              </w:rPr>
              <w:footnoteReference w:customMarkFollows="1" w:id="10"/>
              <w:t>[1]</w:t>
            </w:r>
            <w:r>
              <w:t xml:space="preserve"> Although Draft Resolution ALJ-393 originally proposed requiring attorneys to be licensed in California, the final version removed this requirement in response to comments from TURN emphasizing that attorneys like Mr. Zakai with a national practice bring “unique value to the Commission’s proceedings because of their national perspective.”</w:t>
            </w:r>
            <w:r>
              <w:rPr>
                <w:vertAlign w:val="superscript"/>
              </w:rPr>
              <w:footnoteReference w:customMarkFollows="1" w:id="11"/>
              <w:t>[2]</w:t>
            </w:r>
          </w:p>
          <w:p w:rsidR="00645220" w:rsidP="003D3709" w:rsidRDefault="00645220" w14:paraId="78E887FC" w14:textId="77777777">
            <w:pPr>
              <w:widowControl w:val="0"/>
              <w:contextualSpacing/>
            </w:pPr>
          </w:p>
          <w:p w:rsidR="00645220" w:rsidP="003D3709" w:rsidRDefault="00645220" w14:paraId="0BB5C7EF" w14:textId="77777777">
            <w:pPr>
              <w:widowControl w:val="0"/>
              <w:contextualSpacing/>
            </w:pPr>
            <w:r>
              <w:t xml:space="preserve">EDF requests a rate of $610 for Mr. Zakai’s work in 2024. For work in 2024, Mr. Zakai is classified as an Attorney IV in the Hourly Rate Chart in Resolution ALJ-393. Level IV Attorneys are eligible for rates ranging from </w:t>
            </w:r>
            <w:r>
              <w:lastRenderedPageBreak/>
              <w:t>$440-$680, with a median of $560. A rate of $610 is equivalent to the 2023 rate Mr. Zakai requested in prior Intervenor Compensation Requests, in addition to the 5% step increase per D.07-01-009 and the 2024 escalation rate (</w:t>
            </w:r>
            <w:proofErr w:type="spellStart"/>
            <w:r>
              <w:t>a.k.a</w:t>
            </w:r>
            <w:proofErr w:type="spellEnd"/>
            <w:r>
              <w:t xml:space="preserve"> COLA) of 4.07%. Considering Mr. Zakai’s national perspective and specialized experience, this rate is reasonable. </w:t>
            </w:r>
          </w:p>
          <w:p w:rsidR="00645220" w:rsidP="003D3709" w:rsidRDefault="00645220" w14:paraId="57C3D930" w14:textId="77777777">
            <w:pPr>
              <w:widowControl w:val="0"/>
              <w:contextualSpacing/>
            </w:pPr>
          </w:p>
          <w:p w:rsidR="00645220" w:rsidP="003D3709" w:rsidRDefault="00645220" w14:paraId="0F6FFD94" w14:textId="77777777">
            <w:pPr>
              <w:widowControl w:val="0"/>
              <w:contextualSpacing/>
            </w:pPr>
            <w:r>
              <w:rPr>
                <w:b/>
                <w:bCs/>
              </w:rPr>
              <w:t xml:space="preserve">Orran Balagopalan </w:t>
            </w:r>
            <w:r>
              <w:t>joined Shute, Mihaly &amp; Weinberger LLP as an associate in 2021. He represents public agencies, tribes, community groups, and nonprofit organizations on a broad range of environmental, energy, land use, and local government issues. Mr. Balagopalan advises clients on non-litigation matters and represents them in litigation at the trial level. Mr. Balagopalan has represented clients in public utility proceedings both in, and out of, California, in addition to representing clients across the nation on clean energy interconnection rules.</w:t>
            </w:r>
          </w:p>
          <w:p w:rsidR="00645220" w:rsidP="003D3709" w:rsidRDefault="00645220" w14:paraId="565FC2E6" w14:textId="77777777">
            <w:pPr>
              <w:widowControl w:val="0"/>
              <w:contextualSpacing/>
            </w:pPr>
          </w:p>
          <w:p w:rsidR="00645220" w:rsidP="003D3709" w:rsidRDefault="00645220" w14:paraId="32C4CADF" w14:textId="77777777">
            <w:pPr>
              <w:widowControl w:val="0"/>
              <w:contextualSpacing/>
            </w:pPr>
            <w:r>
              <w:t>Mr. Balagopalan graduated from the University of California, Los Angeles School of Law in 2021. During law school, he clerked at the California Coastal Commission and Earthjustice. Prior to attending law school, Mr. Balagopalan interned at the Orange County Public Defender’s Office, the Legal Aid Foundation of Los Angeles, and the congressional office of California’s 31s District.</w:t>
            </w:r>
          </w:p>
          <w:p w:rsidR="00645220" w:rsidP="003D3709" w:rsidRDefault="00645220" w14:paraId="42A79445" w14:textId="77777777">
            <w:pPr>
              <w:widowControl w:val="0"/>
              <w:contextualSpacing/>
            </w:pPr>
          </w:p>
          <w:p w:rsidR="00645220" w:rsidP="003D3709" w:rsidRDefault="00645220" w14:paraId="5C14EB27" w14:textId="77777777">
            <w:pPr>
              <w:widowControl w:val="0"/>
              <w:contextualSpacing/>
            </w:pPr>
            <w:r>
              <w:t>EDF requests a rate of $330 for Mr. Balagopalan’s work in 2024. For work in 2024, Mr. Balagopalan is classified as a level II Attorney in the Hourly Rate Chart in Resolution ALJ-393. Level II Attorneys, with 2-5 years’ experience, are eligible for rates ranging from $240 to $430, with a median of $330. A rate of $330 is equivalent to the 2023 rate Mr. Balagopalan requested in prior Intervenor Compensation Requests, in addition to the 5% step increase per D.07-01-009 and the 2024 escalation rate (</w:t>
            </w:r>
            <w:proofErr w:type="spellStart"/>
            <w:r>
              <w:t>a.k.a</w:t>
            </w:r>
            <w:proofErr w:type="spellEnd"/>
            <w:r>
              <w:t xml:space="preserve"> COLA) of 4.07%. Considering his experience this rate is reasonable.</w:t>
            </w:r>
          </w:p>
          <w:p w:rsidRPr="00DB3B77" w:rsidR="00645220" w:rsidP="003D3709" w:rsidRDefault="00645220" w14:paraId="298E1B93" w14:textId="77777777">
            <w:pPr>
              <w:widowControl w:val="0"/>
              <w:contextualSpacing/>
            </w:pPr>
          </w:p>
          <w:p w:rsidR="00645220" w:rsidP="003D3709" w:rsidRDefault="00645220" w14:paraId="4BC4992A" w14:textId="77777777">
            <w:pPr>
              <w:widowControl w:val="0"/>
              <w:contextualSpacing/>
            </w:pPr>
            <w:r>
              <w:rPr>
                <w:b/>
                <w:bCs/>
              </w:rPr>
              <w:t xml:space="preserve">Michael Colvin </w:t>
            </w:r>
            <w:r>
              <w:t xml:space="preserve">is the Director, Regulatory and Legislative Affairs, California Energy Program, Environmental Defense Fund. He has a Bachelor of Science and </w:t>
            </w:r>
            <w:proofErr w:type="gramStart"/>
            <w:r>
              <w:t>Master’s degree in Public Policy</w:t>
            </w:r>
            <w:proofErr w:type="gramEnd"/>
            <w:r>
              <w:t xml:space="preserve">, both from the University of California, Berkeley. His relevant experience includes a decade of work at the California Public Utilities Commission (from 2008-2018) both as staff and as policy advisors to former Commissioners Ferron and Sandoval. In addition to his work before the CPUC, Mr. Colvin is also an active participant </w:t>
            </w:r>
            <w:proofErr w:type="gramStart"/>
            <w:r>
              <w:t>at</w:t>
            </w:r>
            <w:proofErr w:type="gramEnd"/>
            <w:r>
              <w:t xml:space="preserve"> the California legislature, California Air Resources Board, California Energy Commission, and the California Independent System Operator. </w:t>
            </w:r>
          </w:p>
          <w:p w:rsidR="00645220" w:rsidP="003D3709" w:rsidRDefault="00645220" w14:paraId="5034B407" w14:textId="77777777">
            <w:pPr>
              <w:widowControl w:val="0"/>
              <w:contextualSpacing/>
            </w:pPr>
          </w:p>
          <w:p w:rsidR="00645220" w:rsidP="003D3709" w:rsidRDefault="00645220" w14:paraId="10EB4D3C" w14:textId="77777777">
            <w:pPr>
              <w:widowControl w:val="0"/>
              <w:contextualSpacing/>
            </w:pPr>
            <w:r>
              <w:lastRenderedPageBreak/>
              <w:t xml:space="preserve">Mr. Colvin has appeared before the Commission as a policy expert and advocate in several proceedings, including Rulemaking 19-01-011 (Building Decarbonization), R.13-02-008 (Biomethane Procurement Standards), Rulemaking 18-12-006 (Transportation Electrification Framework), R.20-01-007 (long term gas planning docket), R.20-08-022 (Clean Energy Financing). Mr. Colvin also appears before the Commission in a variety of </w:t>
            </w:r>
            <w:proofErr w:type="gramStart"/>
            <w:r>
              <w:t>utility specific</w:t>
            </w:r>
            <w:proofErr w:type="gramEnd"/>
            <w:r>
              <w:t xml:space="preserve"> matters, including Applications 19-02-006 (Voluntary RNG tariff), A.20-10-011 (PG&amp;E’s dynamic rate for commercial electric vehicles) and A. 19-07-006 (SD&amp;GE electric vehicle dynamic rate design). </w:t>
            </w:r>
          </w:p>
          <w:p w:rsidR="00645220" w:rsidP="003D3709" w:rsidRDefault="00645220" w14:paraId="2DFE9E5C" w14:textId="77777777">
            <w:pPr>
              <w:widowControl w:val="0"/>
              <w:contextualSpacing/>
            </w:pPr>
          </w:p>
          <w:p w:rsidRPr="00A57427" w:rsidR="00645220" w:rsidP="003D3709" w:rsidRDefault="00645220" w14:paraId="1C0E05AB" w14:textId="77777777">
            <w:pPr>
              <w:widowControl w:val="0"/>
              <w:contextualSpacing/>
            </w:pPr>
            <w:r>
              <w:t>EDF requests a rate of $655 for Mr. Colvin’s work in 2024. Mr. Colvin is classified as a Public Policy Analyst V in the Hourly Rate Chart in Resolution ALJ-393. Level V Public Policy Analysts are eligible for rates ranging from $540-$920, with a median of $700</w:t>
            </w:r>
            <w:proofErr w:type="gramStart"/>
            <w:r>
              <w:t>. .</w:t>
            </w:r>
            <w:proofErr w:type="gramEnd"/>
            <w:r>
              <w:t xml:space="preserve"> A rate of $330 is equivalent to the 2023 rate Mr. Colvin requested in prior Intervenor Compensation Requests, in addition to the 5% step increase per D.07-01-009 and the 2024 escalation rate (</w:t>
            </w:r>
            <w:proofErr w:type="spellStart"/>
            <w:r>
              <w:t>a.k.a</w:t>
            </w:r>
            <w:proofErr w:type="spellEnd"/>
            <w:r>
              <w:t xml:space="preserve"> COLA) of 4.07%. Considering Mr. Colvin’s extensive and specialized experience in energy policy, this rate is reasonable</w:t>
            </w:r>
          </w:p>
        </w:tc>
      </w:tr>
      <w:tr w:rsidRPr="007F620E" w:rsidR="00645220" w:rsidTr="1F222C3D" w14:paraId="013B71B0" w14:textId="77777777">
        <w:tc>
          <w:tcPr>
            <w:tcW w:w="1795" w:type="dxa"/>
          </w:tcPr>
          <w:p w:rsidR="00645220" w:rsidP="003D3709" w:rsidRDefault="00645220" w14:paraId="44796EBA" w14:textId="77777777">
            <w:pPr>
              <w:widowControl w:val="0"/>
              <w:contextualSpacing/>
            </w:pPr>
            <w:r>
              <w:lastRenderedPageBreak/>
              <w:t>3</w:t>
            </w:r>
          </w:p>
        </w:tc>
        <w:tc>
          <w:tcPr>
            <w:tcW w:w="7565" w:type="dxa"/>
          </w:tcPr>
          <w:p w:rsidRPr="009C78AB" w:rsidR="00645220" w:rsidP="003D3709" w:rsidRDefault="00645220" w14:paraId="0199B82E" w14:textId="77777777">
            <w:pPr>
              <w:widowControl w:val="0"/>
              <w:contextualSpacing/>
            </w:pPr>
            <w:r w:rsidRPr="009C78AB">
              <w:t>Timesheet with hourly</w:t>
            </w:r>
            <w:r>
              <w:t xml:space="preserve"> information</w:t>
            </w:r>
          </w:p>
        </w:tc>
      </w:tr>
    </w:tbl>
    <w:p w:rsidRPr="003D3709" w:rsidR="00645220" w:rsidP="00084FF0" w:rsidRDefault="00645220" w14:paraId="60853086" w14:textId="6765C1A8">
      <w:pPr>
        <w:pStyle w:val="ListParagraph"/>
        <w:keepNext/>
        <w:numPr>
          <w:ilvl w:val="0"/>
          <w:numId w:val="1"/>
        </w:numPr>
        <w:rPr>
          <w:b/>
          <w:bCs/>
          <w:i/>
          <w:iCs/>
          <w:szCs w:val="24"/>
          <w:u w:val="single"/>
        </w:rPr>
      </w:pPr>
      <w:r w:rsidRPr="2320ED69">
        <w:rPr>
          <w:b/>
          <w:bCs/>
        </w:rPr>
        <w:t xml:space="preserve">CPUC Comments, Disallowances, and Adjustments </w:t>
      </w:r>
    </w:p>
    <w:p w:rsidRPr="003D3709" w:rsidR="00981BCA" w:rsidP="003D3709" w:rsidRDefault="00981BCA" w14:paraId="36170394" w14:textId="77777777">
      <w:pPr>
        <w:keepNext/>
        <w:rPr>
          <w:b/>
          <w:bCs/>
          <w:i/>
          <w:iCs/>
          <w:szCs w:val="24"/>
          <w:u w:val="single"/>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03"/>
        <w:gridCol w:w="7757"/>
      </w:tblGrid>
      <w:tr w:rsidRPr="007F620E" w:rsidR="00645220" w:rsidTr="003D3709" w14:paraId="4A567F32" w14:textId="77777777">
        <w:trPr>
          <w:tblHeader/>
        </w:trPr>
        <w:tc>
          <w:tcPr>
            <w:tcW w:w="1548" w:type="dxa"/>
            <w:shd w:val="clear" w:color="auto" w:fill="D9D9D9" w:themeFill="background1" w:themeFillShade="D9"/>
          </w:tcPr>
          <w:p w:rsidRPr="007F620E" w:rsidR="00645220" w:rsidP="003D3709" w:rsidRDefault="00645220" w14:paraId="70A363DF" w14:textId="77777777">
            <w:pPr>
              <w:widowControl w:val="0"/>
              <w:contextualSpacing/>
              <w:jc w:val="center"/>
              <w:rPr>
                <w:b/>
              </w:rPr>
            </w:pPr>
            <w:r w:rsidRPr="007F620E">
              <w:rPr>
                <w:b/>
              </w:rPr>
              <w:t>Item</w:t>
            </w:r>
          </w:p>
        </w:tc>
        <w:tc>
          <w:tcPr>
            <w:tcW w:w="8010" w:type="dxa"/>
            <w:shd w:val="clear" w:color="auto" w:fill="D9D9D9" w:themeFill="background1" w:themeFillShade="D9"/>
          </w:tcPr>
          <w:p w:rsidRPr="007F620E" w:rsidR="00645220" w:rsidP="003D3709" w:rsidRDefault="00645220" w14:paraId="473B55C7" w14:textId="77777777">
            <w:pPr>
              <w:widowControl w:val="0"/>
              <w:contextualSpacing/>
              <w:jc w:val="center"/>
              <w:rPr>
                <w:b/>
              </w:rPr>
            </w:pPr>
            <w:r w:rsidRPr="007F620E">
              <w:rPr>
                <w:b/>
              </w:rPr>
              <w:t>Reason</w:t>
            </w:r>
          </w:p>
        </w:tc>
      </w:tr>
      <w:tr w:rsidR="512F9659" w:rsidTr="74F2F876" w14:paraId="675062EF" w14:textId="77777777">
        <w:trPr>
          <w:trHeight w:val="300"/>
        </w:trPr>
        <w:tc>
          <w:tcPr>
            <w:tcW w:w="1529" w:type="dxa"/>
          </w:tcPr>
          <w:p w:rsidR="68EAC6B7" w:rsidP="003D3709" w:rsidRDefault="68EAC6B7" w14:paraId="5384E12E" w14:textId="59C2FDF7">
            <w:pPr>
              <w:contextualSpacing/>
              <w:rPr>
                <w:rFonts w:eastAsia="Times New Roman"/>
                <w:color w:val="000000" w:themeColor="text1"/>
                <w:szCs w:val="24"/>
              </w:rPr>
            </w:pPr>
            <w:r w:rsidRPr="512F9659">
              <w:rPr>
                <w:rFonts w:eastAsia="Times New Roman"/>
                <w:color w:val="000000" w:themeColor="text1"/>
                <w:szCs w:val="24"/>
              </w:rPr>
              <w:t>[1]</w:t>
            </w:r>
          </w:p>
          <w:p w:rsidR="3A6C1383" w:rsidP="003D3709" w:rsidRDefault="3A6C1383" w14:paraId="2499CF52" w14:textId="3C5293CA">
            <w:pPr>
              <w:contextualSpacing/>
              <w:rPr>
                <w:rFonts w:eastAsia="Times New Roman"/>
                <w:szCs w:val="24"/>
              </w:rPr>
            </w:pPr>
            <w:r w:rsidRPr="512F9659">
              <w:rPr>
                <w:rFonts w:eastAsia="Times New Roman"/>
                <w:color w:val="000000" w:themeColor="text1"/>
                <w:szCs w:val="24"/>
              </w:rPr>
              <w:t>Yochanan Zakai Hour</w:t>
            </w:r>
            <w:r w:rsidR="004F2367">
              <w:rPr>
                <w:rFonts w:eastAsia="Times New Roman"/>
                <w:color w:val="000000" w:themeColor="text1"/>
                <w:szCs w:val="24"/>
              </w:rPr>
              <w:t>s</w:t>
            </w:r>
          </w:p>
        </w:tc>
        <w:tc>
          <w:tcPr>
            <w:tcW w:w="7831" w:type="dxa"/>
          </w:tcPr>
          <w:p w:rsidR="68EAC6B7" w:rsidP="003D3709" w:rsidRDefault="68EAC6B7" w14:paraId="3D938DE6" w14:textId="629C52DD">
            <w:pPr>
              <w:contextualSpacing/>
              <w:rPr>
                <w:rFonts w:eastAsia="Times New Roman"/>
                <w:color w:val="000000" w:themeColor="text1"/>
                <w:szCs w:val="24"/>
              </w:rPr>
            </w:pPr>
            <w:r w:rsidRPr="512F9659">
              <w:rPr>
                <w:rFonts w:eastAsia="Times New Roman"/>
                <w:color w:val="000000" w:themeColor="text1"/>
                <w:szCs w:val="24"/>
              </w:rPr>
              <w:t xml:space="preserve">According to </w:t>
            </w:r>
            <w:r w:rsidR="00551011">
              <w:rPr>
                <w:rFonts w:eastAsia="Times New Roman"/>
                <w:color w:val="000000" w:themeColor="text1"/>
                <w:szCs w:val="24"/>
              </w:rPr>
              <w:t>the t</w:t>
            </w:r>
            <w:r w:rsidRPr="512F9659">
              <w:rPr>
                <w:rFonts w:eastAsia="Times New Roman"/>
                <w:color w:val="000000" w:themeColor="text1"/>
                <w:szCs w:val="24"/>
              </w:rPr>
              <w:t xml:space="preserve">imesheets provided by EDF, the total number of hours registered for Yochanan Zakai </w:t>
            </w:r>
            <w:r w:rsidR="00923267">
              <w:rPr>
                <w:rFonts w:eastAsia="Times New Roman"/>
                <w:color w:val="000000" w:themeColor="text1"/>
                <w:szCs w:val="24"/>
              </w:rPr>
              <w:t>was</w:t>
            </w:r>
            <w:r w:rsidRPr="512F9659" w:rsidR="00923267">
              <w:rPr>
                <w:rFonts w:eastAsia="Times New Roman"/>
                <w:color w:val="000000" w:themeColor="text1"/>
                <w:szCs w:val="24"/>
              </w:rPr>
              <w:t xml:space="preserve"> </w:t>
            </w:r>
            <w:r w:rsidRPr="512F9659">
              <w:rPr>
                <w:rFonts w:eastAsia="Times New Roman"/>
                <w:color w:val="000000" w:themeColor="text1"/>
                <w:szCs w:val="24"/>
              </w:rPr>
              <w:t>4.2 hours. Ho</w:t>
            </w:r>
            <w:r w:rsidRPr="512F9659" w:rsidR="058C36DE">
              <w:rPr>
                <w:rFonts w:eastAsia="Times New Roman"/>
                <w:color w:val="000000" w:themeColor="text1"/>
                <w:szCs w:val="24"/>
              </w:rPr>
              <w:t xml:space="preserve">wever, 4.8 hours were </w:t>
            </w:r>
            <w:r w:rsidR="00DF00DB">
              <w:rPr>
                <w:rFonts w:eastAsia="Times New Roman"/>
                <w:color w:val="000000" w:themeColor="text1"/>
                <w:szCs w:val="24"/>
              </w:rPr>
              <w:t>claimed</w:t>
            </w:r>
            <w:r w:rsidR="00481F59">
              <w:rPr>
                <w:rFonts w:eastAsia="Times New Roman"/>
                <w:color w:val="000000" w:themeColor="text1"/>
                <w:szCs w:val="24"/>
              </w:rPr>
              <w:t xml:space="preserve"> </w:t>
            </w:r>
            <w:r w:rsidR="00C41979">
              <w:rPr>
                <w:rFonts w:eastAsia="Times New Roman"/>
                <w:color w:val="000000" w:themeColor="text1"/>
                <w:szCs w:val="24"/>
              </w:rPr>
              <w:t>i</w:t>
            </w:r>
            <w:r w:rsidRPr="00481F59" w:rsidR="00481F59">
              <w:rPr>
                <w:rFonts w:eastAsia="Times New Roman"/>
                <w:color w:val="000000" w:themeColor="text1"/>
                <w:szCs w:val="24"/>
              </w:rPr>
              <w:t xml:space="preserve">n </w:t>
            </w:r>
            <w:proofErr w:type="gramStart"/>
            <w:r w:rsidRPr="00481F59" w:rsidR="00481F59">
              <w:rPr>
                <w:rFonts w:eastAsia="Times New Roman"/>
                <w:color w:val="000000" w:themeColor="text1"/>
                <w:szCs w:val="24"/>
              </w:rPr>
              <w:t>the compensation</w:t>
            </w:r>
            <w:proofErr w:type="gramEnd"/>
            <w:r w:rsidRPr="00481F59" w:rsidR="00481F59">
              <w:rPr>
                <w:rFonts w:eastAsia="Times New Roman"/>
                <w:color w:val="000000" w:themeColor="text1"/>
                <w:szCs w:val="24"/>
              </w:rPr>
              <w:t xml:space="preserve"> request</w:t>
            </w:r>
            <w:r w:rsidRPr="512F9659" w:rsidR="058C36DE">
              <w:rPr>
                <w:rFonts w:eastAsia="Times New Roman"/>
                <w:color w:val="000000" w:themeColor="text1"/>
                <w:szCs w:val="24"/>
              </w:rPr>
              <w:t xml:space="preserve">. </w:t>
            </w:r>
            <w:r w:rsidR="00481F59">
              <w:rPr>
                <w:rFonts w:eastAsia="Times New Roman"/>
                <w:color w:val="000000" w:themeColor="text1"/>
                <w:szCs w:val="24"/>
              </w:rPr>
              <w:t>The Commission</w:t>
            </w:r>
            <w:r w:rsidRPr="512F9659" w:rsidR="00481F59">
              <w:rPr>
                <w:rFonts w:eastAsia="Times New Roman"/>
                <w:color w:val="000000" w:themeColor="text1"/>
                <w:szCs w:val="24"/>
              </w:rPr>
              <w:t xml:space="preserve"> </w:t>
            </w:r>
            <w:r w:rsidRPr="512F9659" w:rsidR="630C28A5">
              <w:rPr>
                <w:rFonts w:eastAsia="Times New Roman"/>
                <w:color w:val="000000" w:themeColor="text1"/>
                <w:szCs w:val="24"/>
              </w:rPr>
              <w:t xml:space="preserve">determined </w:t>
            </w:r>
            <w:r w:rsidR="00481F59">
              <w:rPr>
                <w:rFonts w:eastAsia="Times New Roman"/>
                <w:color w:val="000000" w:themeColor="text1"/>
                <w:szCs w:val="24"/>
              </w:rPr>
              <w:t xml:space="preserve">that </w:t>
            </w:r>
            <w:r w:rsidRPr="512F9659" w:rsidR="630C28A5">
              <w:rPr>
                <w:rFonts w:eastAsia="Times New Roman"/>
                <w:color w:val="000000" w:themeColor="text1"/>
                <w:szCs w:val="24"/>
              </w:rPr>
              <w:t xml:space="preserve">this </w:t>
            </w:r>
            <w:r w:rsidR="00481F59">
              <w:rPr>
                <w:rFonts w:eastAsia="Times New Roman"/>
                <w:color w:val="000000" w:themeColor="text1"/>
                <w:szCs w:val="24"/>
              </w:rPr>
              <w:t>discrepancy was a</w:t>
            </w:r>
            <w:r w:rsidRPr="512F9659" w:rsidR="00481F59">
              <w:rPr>
                <w:rFonts w:eastAsia="Times New Roman"/>
                <w:color w:val="000000" w:themeColor="text1"/>
                <w:szCs w:val="24"/>
              </w:rPr>
              <w:t xml:space="preserve"> clerical</w:t>
            </w:r>
            <w:r w:rsidR="00481F59">
              <w:rPr>
                <w:rFonts w:eastAsia="Times New Roman"/>
                <w:color w:val="000000" w:themeColor="text1"/>
                <w:szCs w:val="24"/>
              </w:rPr>
              <w:t xml:space="preserve"> or </w:t>
            </w:r>
            <w:r w:rsidRPr="00C41979" w:rsidR="00C41979">
              <w:rPr>
                <w:rFonts w:eastAsia="Times New Roman"/>
                <w:color w:val="000000" w:themeColor="text1"/>
                <w:szCs w:val="24"/>
              </w:rPr>
              <w:t>typographical</w:t>
            </w:r>
            <w:r w:rsidRPr="512F9659" w:rsidR="00481F59">
              <w:rPr>
                <w:rFonts w:eastAsia="Times New Roman"/>
                <w:color w:val="000000" w:themeColor="text1"/>
                <w:szCs w:val="24"/>
              </w:rPr>
              <w:t xml:space="preserve"> error</w:t>
            </w:r>
            <w:r w:rsidR="00C41979">
              <w:rPr>
                <w:rFonts w:eastAsia="Times New Roman"/>
                <w:color w:val="000000" w:themeColor="text1"/>
                <w:szCs w:val="24"/>
              </w:rPr>
              <w:t xml:space="preserve"> and awarded the hours that aligned with the timesheets</w:t>
            </w:r>
            <w:r w:rsidRPr="512F9659" w:rsidR="350A150A">
              <w:rPr>
                <w:rFonts w:eastAsia="Times New Roman"/>
                <w:color w:val="000000" w:themeColor="text1"/>
                <w:szCs w:val="24"/>
              </w:rPr>
              <w:t>.</w:t>
            </w:r>
          </w:p>
        </w:tc>
      </w:tr>
      <w:tr w:rsidRPr="007F620E" w:rsidR="00645220" w:rsidTr="74F2F876" w14:paraId="6DB4479F" w14:textId="77777777">
        <w:tc>
          <w:tcPr>
            <w:tcW w:w="1548" w:type="dxa"/>
          </w:tcPr>
          <w:p w:rsidRPr="007F620E" w:rsidR="00645220" w:rsidP="003D3709" w:rsidRDefault="38267047" w14:paraId="7ECE977A" w14:textId="7547CB97">
            <w:pPr>
              <w:widowControl w:val="0"/>
              <w:contextualSpacing/>
              <w:rPr>
                <w:rFonts w:eastAsia="Times New Roman"/>
                <w:szCs w:val="24"/>
              </w:rPr>
            </w:pPr>
            <w:r w:rsidRPr="512F9659">
              <w:rPr>
                <w:rFonts w:eastAsia="Times New Roman"/>
                <w:color w:val="000000" w:themeColor="text1"/>
                <w:szCs w:val="24"/>
              </w:rPr>
              <w:t>[</w:t>
            </w:r>
            <w:r w:rsidRPr="512F9659" w:rsidR="58CFA832">
              <w:rPr>
                <w:rFonts w:eastAsia="Times New Roman"/>
                <w:color w:val="000000" w:themeColor="text1"/>
                <w:szCs w:val="24"/>
              </w:rPr>
              <w:t>2</w:t>
            </w:r>
            <w:r w:rsidRPr="512F9659">
              <w:rPr>
                <w:rFonts w:eastAsia="Times New Roman"/>
                <w:color w:val="000000" w:themeColor="text1"/>
                <w:szCs w:val="24"/>
              </w:rPr>
              <w:t>] Yochanan Zakai Hourly Rate</w:t>
            </w:r>
          </w:p>
          <w:p w:rsidRPr="007F620E" w:rsidR="00645220" w:rsidP="003D3709" w:rsidRDefault="00645220" w14:paraId="735A7B13" w14:textId="671425D8">
            <w:pPr>
              <w:widowControl w:val="0"/>
              <w:contextualSpacing/>
            </w:pPr>
          </w:p>
        </w:tc>
        <w:tc>
          <w:tcPr>
            <w:tcW w:w="8010" w:type="dxa"/>
          </w:tcPr>
          <w:p w:rsidRPr="007F620E" w:rsidR="00645220" w:rsidP="003D3709" w:rsidRDefault="0942D4A7" w14:paraId="6A03A46A" w14:textId="2E64380F">
            <w:pPr>
              <w:widowControl w:val="0"/>
              <w:tabs>
                <w:tab w:val="left" w:pos="1440"/>
              </w:tabs>
              <w:contextualSpacing/>
              <w:rPr>
                <w:rFonts w:eastAsia="Times New Roman"/>
                <w:color w:val="000000" w:themeColor="text1"/>
                <w:szCs w:val="24"/>
              </w:rPr>
            </w:pPr>
            <w:r w:rsidRPr="53AB2263">
              <w:rPr>
                <w:rFonts w:eastAsia="Times New Roman"/>
                <w:color w:val="000000" w:themeColor="text1"/>
                <w:szCs w:val="24"/>
              </w:rPr>
              <w:t>Upon further review, the Commission has determined that Yochanan Zakai is a consultant. The Commission requested supplemental documentation to confirm the rate charged by Yochanan Zakai.</w:t>
            </w:r>
          </w:p>
          <w:p w:rsidRPr="007F620E" w:rsidR="00645220" w:rsidP="003D3709" w:rsidRDefault="00645220" w14:paraId="22ED3ED2" w14:textId="35027405">
            <w:pPr>
              <w:widowControl w:val="0"/>
              <w:contextualSpacing/>
              <w:rPr>
                <w:rFonts w:eastAsia="Times New Roman"/>
                <w:color w:val="000000" w:themeColor="text1"/>
                <w:szCs w:val="24"/>
              </w:rPr>
            </w:pPr>
          </w:p>
          <w:p w:rsidRPr="007F620E" w:rsidR="00645220" w:rsidP="003D3709" w:rsidRDefault="6917C3F1" w14:paraId="2934BD84" w14:textId="2598EC9B">
            <w:pPr>
              <w:widowControl w:val="0"/>
              <w:contextualSpacing/>
              <w:rPr>
                <w:rFonts w:eastAsia="Times New Roman"/>
                <w:color w:val="000000" w:themeColor="text1"/>
              </w:rPr>
            </w:pPr>
            <w:r w:rsidRPr="1F222C3D">
              <w:rPr>
                <w:rFonts w:eastAsia="Times New Roman"/>
                <w:color w:val="000000" w:themeColor="text1"/>
              </w:rPr>
              <w:t xml:space="preserve">Pursuant to Commission policy, the rate requested by an intervenor must not exceed the rate billed to that intervenor by any outside consultant it hires, even if the consultant’s billed rate is below the floor for a given experience level.  Per the </w:t>
            </w:r>
            <w:proofErr w:type="spellStart"/>
            <w:r w:rsidRPr="1F222C3D">
              <w:rPr>
                <w:rFonts w:eastAsia="Times New Roman"/>
                <w:color w:val="000000" w:themeColor="text1"/>
              </w:rPr>
              <w:t>IComp</w:t>
            </w:r>
            <w:proofErr w:type="spellEnd"/>
            <w:r w:rsidRPr="1F222C3D">
              <w:rPr>
                <w:rFonts w:eastAsia="Times New Roman"/>
                <w:color w:val="000000" w:themeColor="text1"/>
              </w:rPr>
              <w:t xml:space="preserve"> Program Guide at 24, the Commission may audit the records and books of the intervenors to the extent necessary to verify the basis for the award (§ 1804(d)). EDF has confirmed that Yochanan Zakai serves as a consultant for EDF under contract on a contingency basis, meaning </w:t>
            </w:r>
            <w:r w:rsidRPr="1F222C3D">
              <w:rPr>
                <w:rFonts w:eastAsia="Times New Roman"/>
                <w:color w:val="000000" w:themeColor="text1"/>
              </w:rPr>
              <w:lastRenderedPageBreak/>
              <w:t>Yochanan Zakai has agreed to defer all, or part of his consulting fee contingent upon receipt of this Intervenor Compensation award.</w:t>
            </w:r>
          </w:p>
          <w:p w:rsidRPr="007F620E" w:rsidR="00645220" w:rsidP="003D3709" w:rsidRDefault="00645220" w14:paraId="32CD391A" w14:textId="7A792471">
            <w:pPr>
              <w:widowControl w:val="0"/>
              <w:contextualSpacing/>
              <w:rPr>
                <w:rFonts w:eastAsia="Times New Roman"/>
                <w:color w:val="000000" w:themeColor="text1"/>
                <w:szCs w:val="24"/>
              </w:rPr>
            </w:pPr>
          </w:p>
          <w:p w:rsidRPr="007F620E" w:rsidR="00645220" w:rsidP="003D3709" w:rsidRDefault="0942D4A7" w14:paraId="560EA620" w14:textId="11F23A32">
            <w:pPr>
              <w:widowControl w:val="0"/>
              <w:contextualSpacing/>
              <w:rPr>
                <w:rFonts w:eastAsia="Times New Roman"/>
                <w:color w:val="000000" w:themeColor="text1"/>
                <w:szCs w:val="24"/>
              </w:rPr>
            </w:pPr>
            <w:r w:rsidRPr="53AB2263">
              <w:rPr>
                <w:rFonts w:eastAsia="Times New Roman"/>
                <w:color w:val="000000" w:themeColor="text1"/>
                <w:szCs w:val="24"/>
              </w:rPr>
              <w:t xml:space="preserve">Given this contingency, we utilize the reasonable rates established by Resolution ALJ-393 based on Yochanan Zakai’s experience for work in this proceeding. EDF requested a rate of $610 for 2024 for Yochanan Zakai. Given the 2024 rate range for Attorney IV ($443.01 - $680.49), we find the 2024 hourly rate of $610 to be reasonable and we adopt it here. </w:t>
            </w:r>
          </w:p>
          <w:p w:rsidRPr="007F620E" w:rsidR="00645220" w:rsidP="003D3709" w:rsidRDefault="00645220" w14:paraId="0BFB90E1" w14:textId="08CF5AD9">
            <w:pPr>
              <w:widowControl w:val="0"/>
              <w:contextualSpacing/>
              <w:rPr>
                <w:rFonts w:eastAsia="Times New Roman"/>
                <w:color w:val="000000" w:themeColor="text1"/>
                <w:szCs w:val="24"/>
              </w:rPr>
            </w:pPr>
          </w:p>
          <w:p w:rsidRPr="007F620E" w:rsidR="00645220" w:rsidP="003D3709" w:rsidRDefault="0942D4A7" w14:paraId="0B61B5EA" w14:textId="586B65CE">
            <w:pPr>
              <w:widowControl w:val="0"/>
              <w:shd w:val="clear" w:color="auto" w:fill="FFFFFF" w:themeFill="background1"/>
              <w:contextualSpacing/>
              <w:rPr>
                <w:rFonts w:eastAsia="Times New Roman"/>
                <w:color w:val="000000" w:themeColor="text1"/>
                <w:szCs w:val="24"/>
              </w:rPr>
            </w:pPr>
            <w:r w:rsidRPr="53AB2263">
              <w:rPr>
                <w:rFonts w:eastAsia="Times New Roman"/>
                <w:color w:val="000000" w:themeColor="text1"/>
                <w:szCs w:val="24"/>
              </w:rPr>
              <w:t>The award determined herein for the consultant’s contribution in this proceeding shall be paid in full to the consultant, and no portion of this part of the award shall be kept by the intervenor. Additionally, the rates approved here are specific to work in this proceeding, as they are established in accordance with the Commission’s policy on consultant compensation, and the understanding that the consultant has not billed or collected full compensation for the work performed until final award is given.</w:t>
            </w:r>
          </w:p>
          <w:p w:rsidRPr="007F620E" w:rsidR="00645220" w:rsidP="003D3709" w:rsidRDefault="00645220" w14:paraId="6F8FE520" w14:textId="064BC862">
            <w:pPr>
              <w:widowControl w:val="0"/>
              <w:shd w:val="clear" w:color="auto" w:fill="FFFFFF" w:themeFill="background1"/>
              <w:contextualSpacing/>
              <w:rPr>
                <w:rFonts w:eastAsia="Times New Roman"/>
                <w:color w:val="000000" w:themeColor="text1"/>
                <w:szCs w:val="24"/>
              </w:rPr>
            </w:pPr>
          </w:p>
          <w:p w:rsidRPr="007F620E" w:rsidR="00645220" w:rsidP="003D3709" w:rsidRDefault="0942D4A7" w14:paraId="713086E7" w14:textId="165285FE">
            <w:pPr>
              <w:widowControl w:val="0"/>
              <w:shd w:val="clear" w:color="auto" w:fill="FFFFFF" w:themeFill="background1"/>
              <w:contextualSpacing/>
              <w:rPr>
                <w:rFonts w:eastAsia="Times New Roman"/>
                <w:color w:val="000000" w:themeColor="text1"/>
                <w:szCs w:val="24"/>
              </w:rPr>
            </w:pPr>
            <w:r w:rsidRPr="53AB2263">
              <w:rPr>
                <w:rFonts w:eastAsia="Times New Roman"/>
                <w:color w:val="000000" w:themeColor="text1"/>
                <w:szCs w:val="24"/>
              </w:rPr>
              <w:t xml:space="preserve">We reiterate that it is the responsibility of the intervenor to be forthcoming about engaging consultants and </w:t>
            </w:r>
            <w:r w:rsidRPr="00933F5B">
              <w:rPr>
                <w:rFonts w:eastAsia="Times New Roman"/>
                <w:color w:val="000000" w:themeColor="text1"/>
                <w:szCs w:val="24"/>
              </w:rPr>
              <w:t>the terms of the contract, to</w:t>
            </w:r>
            <w:r w:rsidRPr="53AB2263">
              <w:rPr>
                <w:rFonts w:eastAsia="Times New Roman"/>
                <w:color w:val="000000" w:themeColor="text1"/>
                <w:szCs w:val="24"/>
              </w:rPr>
              <w:t xml:space="preserve"> adhere to the Commission’s policy on compensation for consultant fees, and to provide the appropriate documentation with the </w:t>
            </w:r>
            <w:r w:rsidRPr="53AB2263">
              <w:rPr>
                <w:rFonts w:eastAsia="Times New Roman"/>
                <w:i/>
                <w:iCs/>
                <w:color w:val="000000" w:themeColor="text1"/>
                <w:szCs w:val="24"/>
              </w:rPr>
              <w:t>initial</w:t>
            </w:r>
            <w:r w:rsidRPr="53AB2263">
              <w:rPr>
                <w:rFonts w:eastAsia="Times New Roman"/>
                <w:color w:val="000000" w:themeColor="text1"/>
                <w:szCs w:val="24"/>
              </w:rPr>
              <w:t xml:space="preserve"> claim to ensure efficient </w:t>
            </w:r>
            <w:proofErr w:type="gramStart"/>
            <w:r w:rsidRPr="53AB2263">
              <w:rPr>
                <w:rFonts w:eastAsia="Times New Roman"/>
                <w:color w:val="000000" w:themeColor="text1"/>
                <w:szCs w:val="24"/>
              </w:rPr>
              <w:t>processing, and</w:t>
            </w:r>
            <w:proofErr w:type="gramEnd"/>
            <w:r w:rsidRPr="53AB2263">
              <w:rPr>
                <w:rFonts w:eastAsia="Times New Roman"/>
                <w:color w:val="000000" w:themeColor="text1"/>
                <w:szCs w:val="24"/>
              </w:rPr>
              <w:t xml:space="preserve"> thus avoid the need for the Commission to request supplemental documentation. In this instance, EDF did not provide all the documentation pertaining to the contract terms between EDF and Yochanan Zakai in the initial claim and waited until the Commission requested supplemental documentation.</w:t>
            </w:r>
          </w:p>
        </w:tc>
      </w:tr>
      <w:tr w:rsidR="6E58144D" w:rsidTr="74F2F876" w14:paraId="613CF8AE" w14:textId="77777777">
        <w:trPr>
          <w:trHeight w:val="300"/>
        </w:trPr>
        <w:tc>
          <w:tcPr>
            <w:tcW w:w="1529" w:type="dxa"/>
          </w:tcPr>
          <w:p w:rsidR="7D4C54CE" w:rsidP="003D3709" w:rsidRDefault="7D4C54CE" w14:paraId="2CECB56E" w14:textId="6AFF0589">
            <w:pPr>
              <w:widowControl w:val="0"/>
              <w:contextualSpacing/>
              <w:rPr>
                <w:rFonts w:eastAsia="Times New Roman"/>
                <w:szCs w:val="24"/>
              </w:rPr>
            </w:pPr>
            <w:r w:rsidRPr="512F9659">
              <w:rPr>
                <w:rFonts w:eastAsia="Times New Roman"/>
                <w:color w:val="000000" w:themeColor="text1"/>
                <w:szCs w:val="24"/>
              </w:rPr>
              <w:lastRenderedPageBreak/>
              <w:t>[</w:t>
            </w:r>
            <w:r w:rsidRPr="512F9659" w:rsidR="557D6847">
              <w:rPr>
                <w:rFonts w:eastAsia="Times New Roman"/>
                <w:color w:val="000000" w:themeColor="text1"/>
                <w:szCs w:val="24"/>
              </w:rPr>
              <w:t>3</w:t>
            </w:r>
            <w:r w:rsidRPr="512F9659">
              <w:rPr>
                <w:rFonts w:eastAsia="Times New Roman"/>
                <w:color w:val="000000" w:themeColor="text1"/>
                <w:szCs w:val="24"/>
              </w:rPr>
              <w:t>] Orran Balagopalan Hourly Rate</w:t>
            </w:r>
          </w:p>
          <w:p w:rsidR="6E58144D" w:rsidP="003D3709" w:rsidRDefault="6E58144D" w14:paraId="4CE74D63" w14:textId="3175C7F0">
            <w:pPr>
              <w:contextualSpacing/>
            </w:pPr>
          </w:p>
        </w:tc>
        <w:tc>
          <w:tcPr>
            <w:tcW w:w="7831" w:type="dxa"/>
          </w:tcPr>
          <w:p w:rsidR="6E58144D" w:rsidP="003D3709" w:rsidRDefault="641B92F8" w14:paraId="5F73645B" w14:textId="4C4EEC12">
            <w:pPr>
              <w:widowControl w:val="0"/>
              <w:tabs>
                <w:tab w:val="left" w:pos="1440"/>
              </w:tabs>
              <w:contextualSpacing/>
              <w:rPr>
                <w:rFonts w:eastAsia="Times New Roman"/>
                <w:color w:val="000000" w:themeColor="text1"/>
                <w:szCs w:val="24"/>
              </w:rPr>
            </w:pPr>
            <w:r w:rsidRPr="53AB2263">
              <w:rPr>
                <w:rFonts w:eastAsia="Times New Roman"/>
                <w:color w:val="000000" w:themeColor="text1"/>
                <w:szCs w:val="24"/>
              </w:rPr>
              <w:t>Upon further review, the Commission has determined that Orran Balagopalan is a consultant. The Commission requested supplemental documentation to confirm the rate charged by Orran Balagopalan.</w:t>
            </w:r>
          </w:p>
          <w:p w:rsidR="009743B5" w:rsidP="003D3709" w:rsidRDefault="009743B5" w14:paraId="30C7BD9D" w14:textId="77777777">
            <w:pPr>
              <w:widowControl w:val="0"/>
              <w:tabs>
                <w:tab w:val="left" w:pos="1440"/>
              </w:tabs>
              <w:contextualSpacing/>
              <w:rPr>
                <w:rFonts w:eastAsia="Times New Roman"/>
                <w:color w:val="000000" w:themeColor="text1"/>
                <w:szCs w:val="24"/>
              </w:rPr>
            </w:pPr>
          </w:p>
          <w:p w:rsidR="6E58144D" w:rsidP="003D3709" w:rsidRDefault="29FB25F6" w14:paraId="10949854" w14:textId="014F36BC">
            <w:pPr>
              <w:widowControl w:val="0"/>
              <w:contextualSpacing/>
              <w:rPr>
                <w:rFonts w:eastAsia="Times New Roman"/>
                <w:color w:val="000000" w:themeColor="text1"/>
              </w:rPr>
            </w:pPr>
            <w:r w:rsidRPr="1F222C3D">
              <w:rPr>
                <w:rFonts w:eastAsia="Times New Roman"/>
                <w:color w:val="000000" w:themeColor="text1"/>
              </w:rPr>
              <w:t xml:space="preserve">Pursuant to Commission policy, the rate requested by an intervenor must not exceed the rate billed to that intervenor by any outside consultant it hires, even if the consultant’s billed rate is below the floor for a given experience level.  Per the </w:t>
            </w:r>
            <w:proofErr w:type="spellStart"/>
            <w:r w:rsidRPr="1F222C3D">
              <w:rPr>
                <w:rFonts w:eastAsia="Times New Roman"/>
                <w:color w:val="000000" w:themeColor="text1"/>
              </w:rPr>
              <w:t>IComp</w:t>
            </w:r>
            <w:proofErr w:type="spellEnd"/>
            <w:r w:rsidRPr="1F222C3D">
              <w:rPr>
                <w:rFonts w:eastAsia="Times New Roman"/>
                <w:color w:val="000000" w:themeColor="text1"/>
              </w:rPr>
              <w:t xml:space="preserve"> Program Guide at 24, the Commission may audit the records and books of the intervenors to the extent necessary to verify the basis for the award (§ 1804(d)). EDF has confirmed that Orran Balagopalan serves as a consultant for EDF under contract on a contingency basis, meaning Orran Balagopalan has agreed to defer all, or part of his consulting fee contingent upon receipt of this Intervenor Compensation award.</w:t>
            </w:r>
          </w:p>
          <w:p w:rsidR="6E58144D" w:rsidP="003D3709" w:rsidRDefault="6E58144D" w14:paraId="69ACBAC0" w14:textId="21436261">
            <w:pPr>
              <w:widowControl w:val="0"/>
              <w:contextualSpacing/>
              <w:rPr>
                <w:rFonts w:eastAsia="Times New Roman"/>
                <w:color w:val="000000" w:themeColor="text1"/>
                <w:szCs w:val="24"/>
              </w:rPr>
            </w:pPr>
          </w:p>
          <w:p w:rsidR="6E58144D" w:rsidP="003D3709" w:rsidRDefault="641B92F8" w14:paraId="5F039ECB" w14:textId="60CAC755">
            <w:pPr>
              <w:widowControl w:val="0"/>
              <w:contextualSpacing/>
              <w:rPr>
                <w:rFonts w:eastAsia="Times New Roman"/>
                <w:color w:val="000000" w:themeColor="text1"/>
                <w:szCs w:val="24"/>
              </w:rPr>
            </w:pPr>
            <w:r w:rsidRPr="53AB2263">
              <w:rPr>
                <w:rFonts w:eastAsia="Times New Roman"/>
                <w:color w:val="000000" w:themeColor="text1"/>
                <w:szCs w:val="24"/>
              </w:rPr>
              <w:t xml:space="preserve">Given this contingency, we utilize the reasonable rates established by Resolution ALJ-393 based on Orran Balagopalan’s experience for work in this proceeding. EDF requested a rate of $330 for 2024 for Orran Balagopalan. </w:t>
            </w:r>
            <w:r w:rsidRPr="53AB2263">
              <w:rPr>
                <w:rFonts w:eastAsia="Times New Roman"/>
                <w:color w:val="000000" w:themeColor="text1"/>
                <w:szCs w:val="24"/>
              </w:rPr>
              <w:lastRenderedPageBreak/>
              <w:t xml:space="preserve">Given the 2024 rate range for Attorney II ($252.74 - $441.90), we find the 2024 hourly rate of $330 to be reasonable and we adopt it here. </w:t>
            </w:r>
          </w:p>
          <w:p w:rsidR="009743B5" w:rsidP="003D3709" w:rsidRDefault="009743B5" w14:paraId="3EB33277" w14:textId="77777777">
            <w:pPr>
              <w:widowControl w:val="0"/>
              <w:shd w:val="clear" w:color="auto" w:fill="FFFFFF" w:themeFill="background1"/>
              <w:contextualSpacing/>
              <w:rPr>
                <w:rFonts w:eastAsia="Times New Roman"/>
                <w:color w:val="000000" w:themeColor="text1"/>
                <w:szCs w:val="24"/>
              </w:rPr>
            </w:pPr>
          </w:p>
          <w:p w:rsidR="6E58144D" w:rsidP="003D3709" w:rsidRDefault="641B92F8" w14:paraId="3826B03E" w14:textId="47A276C5">
            <w:pPr>
              <w:widowControl w:val="0"/>
              <w:shd w:val="clear" w:color="auto" w:fill="FFFFFF" w:themeFill="background1"/>
              <w:contextualSpacing/>
              <w:rPr>
                <w:rFonts w:eastAsia="Times New Roman"/>
                <w:color w:val="000000" w:themeColor="text1"/>
                <w:szCs w:val="24"/>
              </w:rPr>
            </w:pPr>
            <w:r w:rsidRPr="53AB2263">
              <w:rPr>
                <w:rFonts w:eastAsia="Times New Roman"/>
                <w:color w:val="000000" w:themeColor="text1"/>
                <w:szCs w:val="24"/>
              </w:rPr>
              <w:t>The award determined herein for the consultant’s contribution in this proceeding shall be paid in full to the consultant, and no portion of this part of the award shall be kept by the intervenor. Additionally, the rates approved here are specific to work in this proceeding, as they are established in accordance with the Commission’s policy on consultant compensation, and the understanding that the consultant has not billed or collected full compensation for the work performed until final award is given.</w:t>
            </w:r>
          </w:p>
          <w:p w:rsidR="6E58144D" w:rsidP="003D3709" w:rsidRDefault="6E58144D" w14:paraId="0EA988C7" w14:textId="72233B00">
            <w:pPr>
              <w:widowControl w:val="0"/>
              <w:shd w:val="clear" w:color="auto" w:fill="FFFFFF" w:themeFill="background1"/>
              <w:contextualSpacing/>
              <w:rPr>
                <w:rFonts w:eastAsia="Times New Roman"/>
                <w:color w:val="000000" w:themeColor="text1"/>
                <w:szCs w:val="24"/>
              </w:rPr>
            </w:pPr>
          </w:p>
          <w:p w:rsidR="6E58144D" w:rsidP="003D3709" w:rsidRDefault="641B92F8" w14:paraId="3926914A" w14:textId="2C9E05A3">
            <w:pPr>
              <w:widowControl w:val="0"/>
              <w:shd w:val="clear" w:color="auto" w:fill="FFFFFF" w:themeFill="background1"/>
              <w:contextualSpacing/>
              <w:rPr>
                <w:rFonts w:eastAsia="Times New Roman"/>
                <w:color w:val="000000" w:themeColor="text1"/>
                <w:szCs w:val="24"/>
              </w:rPr>
            </w:pPr>
            <w:r w:rsidRPr="53AB2263">
              <w:rPr>
                <w:rFonts w:eastAsia="Times New Roman"/>
                <w:color w:val="000000" w:themeColor="text1"/>
                <w:szCs w:val="24"/>
              </w:rPr>
              <w:t xml:space="preserve">We reiterate that it is the responsibility of the intervenor to be forthcoming about engaging consultants and </w:t>
            </w:r>
            <w:r w:rsidRPr="009743B5">
              <w:rPr>
                <w:rFonts w:eastAsia="Times New Roman"/>
                <w:color w:val="000000" w:themeColor="text1"/>
                <w:szCs w:val="24"/>
              </w:rPr>
              <w:t>the terms of the contract</w:t>
            </w:r>
            <w:r w:rsidRPr="53AB2263">
              <w:rPr>
                <w:rFonts w:eastAsia="Times New Roman"/>
                <w:color w:val="000000" w:themeColor="text1"/>
                <w:szCs w:val="24"/>
              </w:rPr>
              <w:t xml:space="preserve">, to adhere to the Commission’s policy on compensation for consultant fees, and to provide the appropriate documentation with the </w:t>
            </w:r>
            <w:r w:rsidRPr="53AB2263">
              <w:rPr>
                <w:rFonts w:eastAsia="Times New Roman"/>
                <w:i/>
                <w:iCs/>
                <w:color w:val="000000" w:themeColor="text1"/>
                <w:szCs w:val="24"/>
              </w:rPr>
              <w:t>initial</w:t>
            </w:r>
            <w:r w:rsidRPr="53AB2263">
              <w:rPr>
                <w:rFonts w:eastAsia="Times New Roman"/>
                <w:color w:val="000000" w:themeColor="text1"/>
                <w:szCs w:val="24"/>
              </w:rPr>
              <w:t xml:space="preserve"> claim to ensure efficient </w:t>
            </w:r>
            <w:proofErr w:type="gramStart"/>
            <w:r w:rsidRPr="53AB2263">
              <w:rPr>
                <w:rFonts w:eastAsia="Times New Roman"/>
                <w:color w:val="000000" w:themeColor="text1"/>
                <w:szCs w:val="24"/>
              </w:rPr>
              <w:t>processing, and</w:t>
            </w:r>
            <w:proofErr w:type="gramEnd"/>
            <w:r w:rsidRPr="53AB2263">
              <w:rPr>
                <w:rFonts w:eastAsia="Times New Roman"/>
                <w:color w:val="000000" w:themeColor="text1"/>
                <w:szCs w:val="24"/>
              </w:rPr>
              <w:t xml:space="preserve"> thus avoid the need for the Commission to request supplemental documentation. In this instance, EDF did not provide all the documentation pertaining to the contract terms between EDF and Orran Balagopalan in the initial claim and waited until the Commission requested supplemental documentation.</w:t>
            </w:r>
          </w:p>
        </w:tc>
      </w:tr>
      <w:tr w:rsidR="6E58144D" w:rsidTr="74F2F876" w14:paraId="5659BDC3" w14:textId="77777777">
        <w:trPr>
          <w:trHeight w:val="300"/>
        </w:trPr>
        <w:tc>
          <w:tcPr>
            <w:tcW w:w="1529" w:type="dxa"/>
          </w:tcPr>
          <w:p w:rsidR="6E58144D" w:rsidP="003D3709" w:rsidRDefault="7D4C54CE" w14:paraId="30824886" w14:textId="59AD6B16">
            <w:pPr>
              <w:contextualSpacing/>
              <w:rPr>
                <w:rFonts w:eastAsia="Times New Roman"/>
                <w:szCs w:val="24"/>
              </w:rPr>
            </w:pPr>
            <w:r w:rsidRPr="512F9659">
              <w:rPr>
                <w:rFonts w:eastAsia="Times New Roman"/>
                <w:color w:val="000000" w:themeColor="text1"/>
                <w:szCs w:val="24"/>
              </w:rPr>
              <w:lastRenderedPageBreak/>
              <w:t>[</w:t>
            </w:r>
            <w:r w:rsidRPr="512F9659" w:rsidR="12E7C512">
              <w:rPr>
                <w:rFonts w:eastAsia="Times New Roman"/>
                <w:color w:val="000000" w:themeColor="text1"/>
                <w:szCs w:val="24"/>
              </w:rPr>
              <w:t>4</w:t>
            </w:r>
            <w:r w:rsidRPr="512F9659">
              <w:rPr>
                <w:rFonts w:eastAsia="Times New Roman"/>
                <w:color w:val="000000" w:themeColor="text1"/>
                <w:szCs w:val="24"/>
              </w:rPr>
              <w:t>] Michael Colvin Hourly Rate</w:t>
            </w:r>
          </w:p>
        </w:tc>
        <w:tc>
          <w:tcPr>
            <w:tcW w:w="7831" w:type="dxa"/>
          </w:tcPr>
          <w:p w:rsidR="358D5696" w:rsidP="003D3709" w:rsidRDefault="358D5696" w14:paraId="500FBDCA" w14:textId="2223DC93">
            <w:pPr>
              <w:widowControl w:val="0"/>
              <w:contextualSpacing/>
              <w:rPr>
                <w:rFonts w:eastAsia="Times New Roman"/>
                <w:color w:val="000000" w:themeColor="text1"/>
                <w:szCs w:val="24"/>
              </w:rPr>
            </w:pPr>
            <w:r w:rsidRPr="74F2F876">
              <w:rPr>
                <w:rFonts w:eastAsia="Times New Roman"/>
                <w:color w:val="000000" w:themeColor="text1"/>
                <w:szCs w:val="24"/>
              </w:rPr>
              <w:t>EDF requests a 2024 rate of $655 for Mr. Colvin as an Expert – Public Policy Analyst – V. EDF justifies this rate by stating that "a rate of $330 is equivalent to the 2023 rate Mr. Colvin requested in prior Intervenor Compensation Requests, in addition to the 5% step increase per D.07-01-009 and the 2024 escalation rate (</w:t>
            </w:r>
            <w:proofErr w:type="spellStart"/>
            <w:r w:rsidRPr="74F2F876">
              <w:rPr>
                <w:rFonts w:eastAsia="Times New Roman"/>
                <w:color w:val="000000" w:themeColor="text1"/>
                <w:szCs w:val="24"/>
              </w:rPr>
              <w:t>a.k.a</w:t>
            </w:r>
            <w:proofErr w:type="spellEnd"/>
            <w:r w:rsidRPr="74F2F876">
              <w:rPr>
                <w:rFonts w:eastAsia="Times New Roman"/>
                <w:color w:val="000000" w:themeColor="text1"/>
                <w:szCs w:val="24"/>
              </w:rPr>
              <w:t xml:space="preserve"> COLA) of 4.07%." </w:t>
            </w:r>
            <w:r w:rsidR="003976C5">
              <w:rPr>
                <w:rFonts w:eastAsia="Times New Roman"/>
                <w:color w:val="000000" w:themeColor="text1"/>
                <w:szCs w:val="24"/>
              </w:rPr>
              <w:t>However,</w:t>
            </w:r>
            <w:r w:rsidR="009743B5">
              <w:rPr>
                <w:rFonts w:eastAsia="Times New Roman"/>
                <w:color w:val="000000" w:themeColor="text1"/>
                <w:szCs w:val="24"/>
              </w:rPr>
              <w:t xml:space="preserve"> we note that</w:t>
            </w:r>
            <w:r w:rsidRPr="74F2F876">
              <w:rPr>
                <w:rFonts w:eastAsia="Times New Roman"/>
                <w:color w:val="000000" w:themeColor="text1"/>
                <w:szCs w:val="24"/>
              </w:rPr>
              <w:t xml:space="preserve"> applying </w:t>
            </w:r>
            <w:r w:rsidR="009743B5">
              <w:rPr>
                <w:rFonts w:eastAsia="Times New Roman"/>
                <w:color w:val="000000" w:themeColor="text1"/>
                <w:szCs w:val="24"/>
              </w:rPr>
              <w:t xml:space="preserve">a </w:t>
            </w:r>
            <w:r w:rsidRPr="74F2F876">
              <w:rPr>
                <w:rFonts w:eastAsia="Times New Roman"/>
                <w:color w:val="000000" w:themeColor="text1"/>
                <w:szCs w:val="24"/>
              </w:rPr>
              <w:t xml:space="preserve">4.07% 2024 escalation factor and </w:t>
            </w:r>
            <w:r w:rsidR="009743B5">
              <w:rPr>
                <w:rFonts w:eastAsia="Times New Roman"/>
                <w:color w:val="000000" w:themeColor="text1"/>
                <w:szCs w:val="24"/>
              </w:rPr>
              <w:t xml:space="preserve">a </w:t>
            </w:r>
            <w:r w:rsidRPr="74F2F876">
              <w:rPr>
                <w:rFonts w:eastAsia="Times New Roman"/>
                <w:color w:val="000000" w:themeColor="text1"/>
                <w:szCs w:val="24"/>
              </w:rPr>
              <w:t xml:space="preserve">5% step increase to $330 does not lead to $655. </w:t>
            </w:r>
          </w:p>
          <w:p w:rsidR="74F2F876" w:rsidP="003D3709" w:rsidRDefault="74F2F876" w14:paraId="3195BD8E" w14:textId="4093E29F">
            <w:pPr>
              <w:widowControl w:val="0"/>
              <w:contextualSpacing/>
              <w:rPr>
                <w:rFonts w:eastAsia="Times New Roman"/>
                <w:color w:val="000000" w:themeColor="text1"/>
                <w:szCs w:val="24"/>
              </w:rPr>
            </w:pPr>
          </w:p>
          <w:p w:rsidR="358D5696" w:rsidP="003D3709" w:rsidRDefault="358D5696" w14:paraId="69DCCE88" w14:textId="243B8EBE">
            <w:pPr>
              <w:widowControl w:val="0"/>
              <w:contextualSpacing/>
              <w:rPr>
                <w:rFonts w:eastAsia="Times New Roman"/>
                <w:color w:val="000000" w:themeColor="text1"/>
                <w:szCs w:val="24"/>
              </w:rPr>
            </w:pPr>
            <w:r w:rsidRPr="74F2F876">
              <w:rPr>
                <w:rFonts w:eastAsia="Times New Roman"/>
                <w:color w:val="000000" w:themeColor="text1"/>
                <w:szCs w:val="24"/>
              </w:rPr>
              <w:t>D.25-08-047 recently verified a 2023 rate of $545 for Michael Colvin as an Expert – Public Policy Analyst – V.</w:t>
            </w:r>
          </w:p>
          <w:p w:rsidR="74F2F876" w:rsidP="003D3709" w:rsidRDefault="74F2F876" w14:paraId="3F3E4FBA" w14:textId="5AE58BE0">
            <w:pPr>
              <w:widowControl w:val="0"/>
              <w:contextualSpacing/>
              <w:rPr>
                <w:rFonts w:eastAsia="Times New Roman"/>
                <w:color w:val="000000" w:themeColor="text1"/>
                <w:szCs w:val="24"/>
              </w:rPr>
            </w:pPr>
          </w:p>
          <w:p w:rsidR="358D5696" w:rsidP="003D3709" w:rsidRDefault="358D5696" w14:paraId="41491FF1" w14:textId="0BDB8ACB">
            <w:pPr>
              <w:widowControl w:val="0"/>
              <w:contextualSpacing/>
              <w:rPr>
                <w:rFonts w:eastAsia="Times New Roman"/>
                <w:color w:val="000000" w:themeColor="text1"/>
                <w:szCs w:val="24"/>
              </w:rPr>
            </w:pPr>
            <w:r w:rsidRPr="74F2F876">
              <w:rPr>
                <w:rFonts w:eastAsia="Times New Roman"/>
                <w:color w:val="000000" w:themeColor="text1"/>
                <w:szCs w:val="24"/>
              </w:rPr>
              <w:t xml:space="preserve">To the 2023 rate of $545, we apply </w:t>
            </w:r>
            <w:r w:rsidR="009743B5">
              <w:rPr>
                <w:rFonts w:eastAsia="Times New Roman"/>
                <w:color w:val="000000" w:themeColor="text1"/>
                <w:szCs w:val="24"/>
              </w:rPr>
              <w:t xml:space="preserve">the </w:t>
            </w:r>
            <w:r w:rsidRPr="74F2F876">
              <w:rPr>
                <w:rFonts w:eastAsia="Times New Roman"/>
                <w:color w:val="000000" w:themeColor="text1"/>
                <w:szCs w:val="24"/>
              </w:rPr>
              <w:t xml:space="preserve">2024 escalation factor </w:t>
            </w:r>
            <w:r w:rsidR="003976C5">
              <w:rPr>
                <w:rFonts w:eastAsia="Times New Roman"/>
                <w:color w:val="000000" w:themeColor="text1"/>
                <w:szCs w:val="24"/>
              </w:rPr>
              <w:t xml:space="preserve">of </w:t>
            </w:r>
            <w:r w:rsidRPr="74F2F876">
              <w:rPr>
                <w:rFonts w:eastAsia="Times New Roman"/>
                <w:color w:val="000000" w:themeColor="text1"/>
                <w:szCs w:val="24"/>
              </w:rPr>
              <w:t xml:space="preserve">4.07% and the first of two </w:t>
            </w:r>
            <w:proofErr w:type="gramStart"/>
            <w:r w:rsidRPr="74F2F876">
              <w:rPr>
                <w:rFonts w:eastAsia="Times New Roman"/>
                <w:color w:val="000000" w:themeColor="text1"/>
                <w:szCs w:val="24"/>
              </w:rPr>
              <w:t>step increases</w:t>
            </w:r>
            <w:proofErr w:type="gramEnd"/>
            <w:r w:rsidRPr="74F2F876">
              <w:rPr>
                <w:rFonts w:eastAsia="Times New Roman"/>
                <w:color w:val="000000" w:themeColor="text1"/>
                <w:szCs w:val="24"/>
              </w:rPr>
              <w:t xml:space="preserve"> for a 2024 rate of $595. We find this rate reasonable and adopt it here.</w:t>
            </w:r>
          </w:p>
        </w:tc>
      </w:tr>
      <w:tr w:rsidR="74F2F876" w:rsidTr="74F2F876" w14:paraId="2497C0B7" w14:textId="77777777">
        <w:trPr>
          <w:trHeight w:val="300"/>
        </w:trPr>
        <w:tc>
          <w:tcPr>
            <w:tcW w:w="1544" w:type="dxa"/>
          </w:tcPr>
          <w:p w:rsidR="74F2F876" w:rsidP="003D3709" w:rsidRDefault="74F2F876" w14:paraId="6DD59A2B" w14:textId="20869A30">
            <w:pPr>
              <w:contextualSpacing/>
              <w:rPr>
                <w:rFonts w:eastAsia="Times New Roman"/>
                <w:color w:val="000000" w:themeColor="text1"/>
                <w:szCs w:val="24"/>
              </w:rPr>
            </w:pPr>
            <w:r w:rsidRPr="74F2F876">
              <w:rPr>
                <w:rFonts w:eastAsia="Times New Roman"/>
                <w:color w:val="000000" w:themeColor="text1"/>
                <w:szCs w:val="24"/>
              </w:rPr>
              <w:t>[</w:t>
            </w:r>
            <w:r w:rsidRPr="74F2F876" w:rsidR="270785B6">
              <w:rPr>
                <w:rFonts w:eastAsia="Times New Roman"/>
                <w:color w:val="000000" w:themeColor="text1"/>
                <w:szCs w:val="24"/>
              </w:rPr>
              <w:t>5</w:t>
            </w:r>
            <w:r w:rsidRPr="74F2F876">
              <w:rPr>
                <w:rFonts w:eastAsia="Times New Roman"/>
                <w:color w:val="000000" w:themeColor="text1"/>
                <w:szCs w:val="24"/>
              </w:rPr>
              <w:t>]</w:t>
            </w:r>
            <w:r w:rsidRPr="74F2F876" w:rsidR="00DE5B47">
              <w:rPr>
                <w:rFonts w:eastAsia="Times New Roman"/>
                <w:color w:val="000000" w:themeColor="text1"/>
                <w:szCs w:val="24"/>
              </w:rPr>
              <w:t xml:space="preserve"> </w:t>
            </w:r>
            <w:r w:rsidR="009D4A37">
              <w:rPr>
                <w:color w:val="000000"/>
              </w:rPr>
              <w:t>Intervenor Responsibility for Transparency and Accuracy in Compensation Requests</w:t>
            </w:r>
          </w:p>
        </w:tc>
        <w:tc>
          <w:tcPr>
            <w:tcW w:w="7816" w:type="dxa"/>
          </w:tcPr>
          <w:p w:rsidRPr="009B03C9" w:rsidR="009D4A37" w:rsidP="009D4A37" w:rsidRDefault="009D4A37" w14:paraId="36B9729C" w14:textId="77777777">
            <w:r w:rsidRPr="009B03C9">
              <w:t xml:space="preserve">The Commission takes this opportunity to remind all intervenors that they bear the burden of providing accurate, complete, and honest information </w:t>
            </w:r>
            <w:proofErr w:type="gramStart"/>
            <w:r w:rsidRPr="009B03C9">
              <w:t>in</w:t>
            </w:r>
            <w:proofErr w:type="gramEnd"/>
            <w:r w:rsidRPr="009B03C9">
              <w:t xml:space="preserve"> all compensation requests. The Commission relies on intervenors' good faith representations, particularly regarding consultant agreements and payments, as it does not have the resources to review every contract or non-standard arrangement in detail.</w:t>
            </w:r>
          </w:p>
          <w:p w:rsidRPr="009B03C9" w:rsidR="009D4A37" w:rsidP="009D4A37" w:rsidRDefault="009D4A37" w14:paraId="036EA2DE" w14:textId="77777777"/>
          <w:p w:rsidRPr="009B03C9" w:rsidR="009D4A37" w:rsidP="009D4A37" w:rsidRDefault="009D4A37" w14:paraId="466ACA1B" w14:textId="77777777">
            <w:r w:rsidRPr="009B03C9">
              <w:lastRenderedPageBreak/>
              <w:t xml:space="preserve">Intervenor compensation is funded by ratepayers, and the Commission takes seriously any effort to mislead or obscure the financial basis for a claim. </w:t>
            </w:r>
            <w:r w:rsidRPr="003C78B4">
              <w:t xml:space="preserve">Although no violation of Rule 1.1 has been found in this instance, </w:t>
            </w:r>
            <w:r>
              <w:t>we remind intervenors that u</w:t>
            </w:r>
            <w:r w:rsidRPr="009B03C9">
              <w:t>nder Rule 1.1, intent to deceive is not required for a violation, misstatements may still be actionable. Dishonest or misleading claims not only risk denial of compensation but may also subject the intervenor to penalties.</w:t>
            </w:r>
          </w:p>
          <w:p w:rsidRPr="009B03C9" w:rsidR="009D4A37" w:rsidP="009D4A37" w:rsidRDefault="009D4A37" w14:paraId="09D85523" w14:textId="77777777"/>
          <w:p w:rsidR="009D4A37" w:rsidP="009D4A37" w:rsidRDefault="009D4A37" w14:paraId="4B46E5B3" w14:textId="77777777">
            <w:r w:rsidRPr="009B03C9">
              <w:t>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w:t>
            </w:r>
            <w:r>
              <w:t>.</w:t>
            </w:r>
            <w:r w:rsidRPr="009B03C9" w:rsidDel="009B03C9">
              <w:t xml:space="preserve"> </w:t>
            </w:r>
          </w:p>
          <w:p w:rsidR="74F2F876" w:rsidP="003D3709" w:rsidRDefault="74F2F876" w14:paraId="789B7A2A" w14:textId="764F8FD2">
            <w:pPr>
              <w:widowControl w:val="0"/>
              <w:contextualSpacing/>
              <w:rPr>
                <w:rFonts w:eastAsia="Times New Roman"/>
                <w:color w:val="000000" w:themeColor="text1"/>
                <w:szCs w:val="24"/>
              </w:rPr>
            </w:pPr>
          </w:p>
        </w:tc>
      </w:tr>
    </w:tbl>
    <w:p w:rsidR="63E4D106" w:rsidP="003D3709" w:rsidRDefault="63E4D106" w14:paraId="22C4A064" w14:textId="3790AD28">
      <w:pPr>
        <w:contextualSpacing/>
      </w:pPr>
    </w:p>
    <w:p w:rsidRPr="007F620E" w:rsidR="00645220" w:rsidP="003D3709" w:rsidRDefault="00645220" w14:paraId="1A672CF6" w14:textId="77777777">
      <w:pPr>
        <w:keepNext/>
        <w:contextualSpacing/>
        <w:jc w:val="center"/>
        <w:rPr>
          <w:b/>
          <w:bCs/>
        </w:rPr>
      </w:pPr>
      <w:r w:rsidRPr="2320ED69">
        <w:rPr>
          <w:b/>
          <w:bCs/>
        </w:rPr>
        <w:t>PART IV</w:t>
      </w:r>
      <w:proofErr w:type="gramStart"/>
      <w:r w:rsidRPr="2320ED69">
        <w:rPr>
          <w:b/>
          <w:bCs/>
        </w:rPr>
        <w:t>:  OPPOSITIONS</w:t>
      </w:r>
      <w:proofErr w:type="gramEnd"/>
      <w:r w:rsidRPr="2320ED69">
        <w:rPr>
          <w:b/>
          <w:bCs/>
        </w:rPr>
        <w:t xml:space="preserve"> AND COMMENTS</w:t>
      </w:r>
    </w:p>
    <w:p w:rsidR="00645220" w:rsidP="003D3709" w:rsidRDefault="00645220" w14:paraId="0334AAE5" w14:textId="77777777">
      <w:pPr>
        <w:keepNext/>
        <w:ind w:firstLine="1267"/>
        <w:contextualSpacing/>
        <w:jc w:val="center"/>
        <w:rPr>
          <w:b/>
          <w:bCs/>
        </w:rPr>
      </w:pPr>
      <w:r w:rsidRPr="2320ED69">
        <w:rPr>
          <w:b/>
          <w:bCs/>
        </w:rPr>
        <w:t>Within 30 days after service of this Claim, Commission Staff</w:t>
      </w:r>
    </w:p>
    <w:p w:rsidR="00645220" w:rsidP="00084FF0" w:rsidRDefault="00645220" w14:paraId="168CB849" w14:textId="77777777">
      <w:pPr>
        <w:keepNext/>
        <w:ind w:left="1267" w:hanging="1267"/>
        <w:contextualSpacing/>
        <w:jc w:val="center"/>
        <w:rPr>
          <w:b/>
          <w:bCs/>
        </w:rPr>
      </w:pPr>
      <w:r w:rsidRPr="2320ED69">
        <w:rPr>
          <w:b/>
          <w:bCs/>
        </w:rPr>
        <w:t xml:space="preserve"> or any other party may file a response to the Claim (</w:t>
      </w:r>
      <w:r w:rsidRPr="2320ED69">
        <w:rPr>
          <w:b/>
          <w:bCs/>
          <w:i/>
          <w:iCs/>
        </w:rPr>
        <w:t>see</w:t>
      </w:r>
      <w:r w:rsidRPr="2320ED69">
        <w:rPr>
          <w:b/>
          <w:bCs/>
        </w:rPr>
        <w:t xml:space="preserve"> § 1804(c))</w:t>
      </w:r>
    </w:p>
    <w:p w:rsidRPr="007F620E" w:rsidR="00084FF0" w:rsidP="003D3709" w:rsidRDefault="00084FF0" w14:paraId="32BA6EA6" w14:textId="77777777">
      <w:pPr>
        <w:keepNext/>
        <w:ind w:left="1267" w:hanging="1267"/>
        <w:contextualSpacing/>
        <w:jc w:val="center"/>
        <w:rPr>
          <w:b/>
          <w:bCs/>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2"/>
        <w:gridCol w:w="2028"/>
      </w:tblGrid>
      <w:tr w:rsidRPr="007F620E" w:rsidR="00645220" w:rsidTr="02C02B7E" w14:paraId="0F4A064F" w14:textId="77777777">
        <w:tc>
          <w:tcPr>
            <w:tcW w:w="7336" w:type="dxa"/>
          </w:tcPr>
          <w:p w:rsidRPr="007F620E" w:rsidR="00645220" w:rsidP="003D3709" w:rsidRDefault="00645220" w14:paraId="2F8678A1" w14:textId="77777777">
            <w:pPr>
              <w:widowControl w:val="0"/>
              <w:contextualSpacing/>
            </w:pPr>
            <w:r w:rsidRPr="007F620E">
              <w:rPr>
                <w:b/>
              </w:rPr>
              <w:t>A.</w:t>
            </w:r>
            <w:r>
              <w:rPr>
                <w:b/>
              </w:rPr>
              <w:tab/>
            </w:r>
            <w:r w:rsidRPr="007F620E">
              <w:rPr>
                <w:b/>
              </w:rPr>
              <w:t>Opposition:  Did any party oppose the Claim?</w:t>
            </w:r>
          </w:p>
        </w:tc>
        <w:tc>
          <w:tcPr>
            <w:tcW w:w="2024" w:type="dxa"/>
          </w:tcPr>
          <w:p w:rsidRPr="007F620E" w:rsidR="00645220" w:rsidP="003D3709" w:rsidRDefault="7F648FCA" w14:paraId="54CE7421" w14:textId="76CBACEA">
            <w:pPr>
              <w:widowControl w:val="0"/>
              <w:contextualSpacing/>
            </w:pPr>
            <w:r>
              <w:t>No</w:t>
            </w:r>
          </w:p>
        </w:tc>
      </w:tr>
      <w:tr w:rsidRPr="007F620E" w:rsidR="00645220" w:rsidTr="02C02B7E" w14:paraId="6DD4C308" w14:textId="77777777">
        <w:tc>
          <w:tcPr>
            <w:tcW w:w="7488" w:type="dxa"/>
          </w:tcPr>
          <w:p w:rsidRPr="007F620E" w:rsidR="00645220" w:rsidP="003D3709" w:rsidRDefault="00645220" w14:paraId="555CA450" w14:textId="77777777">
            <w:pPr>
              <w:widowControl w:val="0"/>
              <w:contextualSpacing/>
            </w:pPr>
            <w:r w:rsidRPr="007F620E">
              <w:rPr>
                <w:b/>
              </w:rPr>
              <w:t>B.</w:t>
            </w:r>
            <w:r>
              <w:rPr>
                <w:b/>
              </w:rPr>
              <w:tab/>
            </w:r>
            <w:r w:rsidRPr="007F620E">
              <w:rPr>
                <w:b/>
              </w:rPr>
              <w:t>Comment Period</w:t>
            </w:r>
            <w:proofErr w:type="gramStart"/>
            <w:r w:rsidRPr="007F620E">
              <w:rPr>
                <w:b/>
              </w:rPr>
              <w:t>:  Was</w:t>
            </w:r>
            <w:proofErr w:type="gramEnd"/>
            <w:r w:rsidRPr="007F620E">
              <w:rPr>
                <w:b/>
              </w:rPr>
              <w:t xml:space="preserve"> the 30-day comment period waived (</w:t>
            </w:r>
            <w:r w:rsidRPr="007F620E">
              <w:rPr>
                <w:b/>
                <w:i/>
              </w:rPr>
              <w:t>see</w:t>
            </w:r>
            <w:r>
              <w:rPr>
                <w:b/>
              </w:rPr>
              <w:t> </w:t>
            </w:r>
            <w:r w:rsidRPr="007F620E">
              <w:rPr>
                <w:b/>
              </w:rPr>
              <w:t>Rule 14.6(c)(6))?</w:t>
            </w:r>
          </w:p>
        </w:tc>
        <w:tc>
          <w:tcPr>
            <w:tcW w:w="2070" w:type="dxa"/>
          </w:tcPr>
          <w:p w:rsidRPr="007F620E" w:rsidR="00645220" w:rsidP="003D3709" w:rsidRDefault="41C4B12A" w14:paraId="5E1885E0" w14:textId="20109C65">
            <w:pPr>
              <w:widowControl w:val="0"/>
              <w:contextualSpacing/>
            </w:pPr>
            <w:r>
              <w:t>Yes</w:t>
            </w:r>
          </w:p>
        </w:tc>
      </w:tr>
    </w:tbl>
    <w:p w:rsidRPr="007F620E" w:rsidR="00645220" w:rsidP="003D3709" w:rsidRDefault="00645220" w14:paraId="164AEFE3" w14:textId="0EF68797">
      <w:pPr>
        <w:widowControl w:val="0"/>
        <w:contextualSpacing/>
      </w:pPr>
    </w:p>
    <w:p w:rsidRPr="003B6A1B" w:rsidR="00645220" w:rsidP="003D3709" w:rsidRDefault="00645220" w14:paraId="6E9AB200" w14:textId="23DEF46B">
      <w:pPr>
        <w:widowControl w:val="0"/>
        <w:contextualSpacing/>
        <w:rPr>
          <w:b/>
          <w:bCs/>
          <w:u w:val="single"/>
        </w:rPr>
      </w:pPr>
    </w:p>
    <w:p w:rsidR="00645220" w:rsidP="00084FF0" w:rsidRDefault="00645220" w14:paraId="5B8FCEF2" w14:textId="1B7E4AD0">
      <w:pPr>
        <w:keepNext/>
        <w:contextualSpacing/>
        <w:jc w:val="center"/>
        <w:rPr>
          <w:b/>
          <w:bCs/>
          <w:u w:val="single"/>
        </w:rPr>
      </w:pPr>
      <w:r w:rsidRPr="63E4D106">
        <w:rPr>
          <w:b/>
          <w:bCs/>
          <w:u w:val="single"/>
        </w:rPr>
        <w:t>FINDINGS OF FACT</w:t>
      </w:r>
    </w:p>
    <w:p w:rsidRPr="007F620E" w:rsidR="00084FF0" w:rsidP="003D3709" w:rsidRDefault="00084FF0" w14:paraId="71299F3B" w14:textId="77777777">
      <w:pPr>
        <w:keepNext/>
        <w:contextualSpacing/>
        <w:jc w:val="center"/>
        <w:rPr>
          <w:b/>
          <w:bCs/>
          <w:szCs w:val="24"/>
        </w:rPr>
      </w:pPr>
    </w:p>
    <w:p w:rsidR="00645220" w:rsidP="00FB069F" w:rsidRDefault="00B763A6" w14:paraId="6DEEB0F8" w14:textId="0DADC021">
      <w:pPr>
        <w:pStyle w:val="ListParagraph"/>
        <w:keepNext/>
        <w:numPr>
          <w:ilvl w:val="0"/>
          <w:numId w:val="18"/>
        </w:numPr>
        <w:ind w:hanging="540"/>
      </w:pPr>
      <w:r>
        <w:t xml:space="preserve">Environmental Defense Fund </w:t>
      </w:r>
      <w:r w:rsidRPr="007F620E" w:rsidR="00645220">
        <w:t xml:space="preserve">has made a substantial contribution to </w:t>
      </w:r>
      <w:r w:rsidRPr="007F620E" w:rsidR="3B626179">
        <w:t>D.</w:t>
      </w:r>
      <w:r w:rsidR="3B626179">
        <w:t>24-09-006.</w:t>
      </w:r>
    </w:p>
    <w:p w:rsidRPr="00FB069F" w:rsidR="00FB069F" w:rsidP="00FB069F" w:rsidRDefault="00FB069F" w14:paraId="09F4C171" w14:textId="77777777">
      <w:pPr>
        <w:keepNext/>
        <w:rPr>
          <w:b/>
          <w:bCs/>
          <w:szCs w:val="24"/>
        </w:rPr>
      </w:pPr>
    </w:p>
    <w:p w:rsidRPr="007F620E" w:rsidR="00645220" w:rsidP="003D3709" w:rsidRDefault="5742ED72" w14:paraId="2D6883F7" w14:textId="15C5E5BF">
      <w:pPr>
        <w:ind w:left="547" w:hanging="547"/>
        <w:contextualSpacing/>
      </w:pPr>
      <w:r>
        <w:t xml:space="preserve">2.      </w:t>
      </w:r>
      <w:r w:rsidR="00645220">
        <w:t>The requested hourly rates for</w:t>
      </w:r>
      <w:r w:rsidR="00B763A6">
        <w:t xml:space="preserve"> Environmental Defense Fund</w:t>
      </w:r>
      <w:r w:rsidR="00645220">
        <w:t>’s representatives are comparable to market rates paid to experts and advocates having comparable training and experience and offering similar services</w:t>
      </w:r>
      <w:r w:rsidRPr="512F9659" w:rsidR="5592691B">
        <w:rPr>
          <w:rFonts w:eastAsia="Times New Roman"/>
          <w:szCs w:val="24"/>
        </w:rPr>
        <w:t>, and/or reflect the actual rates billed to, and paid by the intervenor, for consultant services rendered.</w:t>
      </w:r>
    </w:p>
    <w:p w:rsidR="63E4D106" w:rsidP="003D3709" w:rsidRDefault="63E4D106" w14:paraId="18FEDC9C" w14:textId="621D021D">
      <w:pPr>
        <w:pStyle w:val="ListParagraph"/>
        <w:ind w:left="547" w:hanging="547"/>
      </w:pPr>
    </w:p>
    <w:p w:rsidRPr="007F620E" w:rsidR="00645220" w:rsidP="003D3709" w:rsidRDefault="25400D3C" w14:paraId="1D9B6630" w14:textId="2E54A83F">
      <w:pPr>
        <w:pStyle w:val="ListParagraph"/>
        <w:ind w:left="547" w:hanging="547"/>
      </w:pPr>
      <w:r>
        <w:t xml:space="preserve">3.      </w:t>
      </w:r>
      <w:r w:rsidR="00645220">
        <w:t xml:space="preserve">The </w:t>
      </w:r>
      <w:proofErr w:type="gramStart"/>
      <w:r w:rsidR="00645220">
        <w:t>claimed costs and expenses</w:t>
      </w:r>
      <w:proofErr w:type="gramEnd"/>
      <w:r w:rsidR="20E0617B">
        <w:t>, as adjusted herein,</w:t>
      </w:r>
      <w:r w:rsidR="00645220">
        <w:t xml:space="preserve"> are reasonable and commensurate with the work performed. </w:t>
      </w:r>
    </w:p>
    <w:p w:rsidR="63E4D106" w:rsidP="003D3709" w:rsidRDefault="63E4D106" w14:paraId="140BBC3F" w14:textId="109E8BAD">
      <w:pPr>
        <w:pStyle w:val="ListParagraph"/>
        <w:ind w:left="547" w:hanging="547"/>
      </w:pPr>
    </w:p>
    <w:p w:rsidR="00645220" w:rsidP="00084FF0" w:rsidRDefault="46D81DEF" w14:paraId="6DABEF8A" w14:textId="205914EF">
      <w:pPr>
        <w:pStyle w:val="ListParagraph"/>
        <w:ind w:left="547" w:hanging="547"/>
      </w:pPr>
      <w:r>
        <w:t xml:space="preserve">4.      </w:t>
      </w:r>
      <w:r w:rsidR="00645220">
        <w:t xml:space="preserve">The total of reasonable compensation is </w:t>
      </w:r>
      <w:r w:rsidR="26F2D6E0">
        <w:t>$</w:t>
      </w:r>
      <w:r w:rsidR="64C2AF49">
        <w:t>15,466.25</w:t>
      </w:r>
      <w:r w:rsidR="00645220">
        <w:t>.</w:t>
      </w:r>
    </w:p>
    <w:p w:rsidRPr="007F620E" w:rsidR="00084FF0" w:rsidP="003D3709" w:rsidRDefault="00084FF0" w14:paraId="36231260" w14:textId="77777777">
      <w:pPr>
        <w:pStyle w:val="ListParagraph"/>
        <w:ind w:left="547" w:hanging="547"/>
      </w:pPr>
    </w:p>
    <w:p w:rsidR="00645220" w:rsidP="00084FF0" w:rsidRDefault="00645220" w14:paraId="7811727F" w14:textId="77777777">
      <w:pPr>
        <w:keepNext/>
        <w:contextualSpacing/>
        <w:jc w:val="center"/>
        <w:rPr>
          <w:b/>
          <w:bCs/>
          <w:u w:val="single"/>
        </w:rPr>
      </w:pPr>
      <w:r w:rsidRPr="2320ED69">
        <w:rPr>
          <w:b/>
          <w:bCs/>
          <w:u w:val="single"/>
        </w:rPr>
        <w:lastRenderedPageBreak/>
        <w:t>CONCLUSION OF LAW</w:t>
      </w:r>
    </w:p>
    <w:p w:rsidRPr="007F620E" w:rsidR="00084FF0" w:rsidP="003D3709" w:rsidRDefault="00084FF0" w14:paraId="75107C21" w14:textId="77777777">
      <w:pPr>
        <w:keepNext/>
        <w:contextualSpacing/>
        <w:jc w:val="center"/>
        <w:rPr>
          <w:b/>
          <w:bCs/>
          <w:u w:val="single"/>
        </w:rPr>
      </w:pPr>
    </w:p>
    <w:p w:rsidRPr="007F620E" w:rsidR="00645220" w:rsidP="003D3709" w:rsidRDefault="00645220" w14:paraId="50626B98" w14:textId="0E82DA38">
      <w:pPr>
        <w:pStyle w:val="ListParagraph"/>
        <w:numPr>
          <w:ilvl w:val="0"/>
          <w:numId w:val="5"/>
        </w:numPr>
        <w:ind w:left="547" w:hanging="547"/>
        <w:rPr>
          <w:szCs w:val="24"/>
        </w:rPr>
      </w:pPr>
      <w:r>
        <w:t>The Claim, with any adjustment set forth above, satisfies all requirements of Pub. Util. Code §§ 1801-1812.</w:t>
      </w:r>
    </w:p>
    <w:p w:rsidR="00645220" w:rsidP="00084FF0" w:rsidRDefault="00645220" w14:paraId="6AC690FD" w14:textId="77777777">
      <w:pPr>
        <w:keepNext/>
        <w:contextualSpacing/>
        <w:jc w:val="center"/>
        <w:rPr>
          <w:b/>
          <w:bCs/>
          <w:u w:val="single"/>
        </w:rPr>
      </w:pPr>
      <w:r w:rsidRPr="2320ED69">
        <w:rPr>
          <w:b/>
          <w:bCs/>
          <w:u w:val="single"/>
        </w:rPr>
        <w:t>ORDER</w:t>
      </w:r>
    </w:p>
    <w:p w:rsidRPr="007F620E" w:rsidR="00084FF0" w:rsidP="003D3709" w:rsidRDefault="00084FF0" w14:paraId="6329C25B" w14:textId="77777777">
      <w:pPr>
        <w:keepNext/>
        <w:contextualSpacing/>
        <w:jc w:val="center"/>
        <w:rPr>
          <w:b/>
          <w:bCs/>
          <w:u w:val="single"/>
        </w:rPr>
      </w:pPr>
    </w:p>
    <w:p w:rsidRPr="007F620E" w:rsidR="00645220" w:rsidP="003D3709" w:rsidRDefault="00B763A6" w14:paraId="5EB533E4" w14:textId="3B37ADB6">
      <w:pPr>
        <w:pStyle w:val="ListParagraph"/>
        <w:keepNext/>
        <w:numPr>
          <w:ilvl w:val="0"/>
          <w:numId w:val="4"/>
        </w:numPr>
        <w:ind w:left="547" w:hanging="547"/>
        <w:rPr>
          <w:szCs w:val="24"/>
        </w:rPr>
      </w:pPr>
      <w:r>
        <w:t xml:space="preserve">Environmental Defense Fund </w:t>
      </w:r>
      <w:r w:rsidR="00645220">
        <w:t xml:space="preserve">is awarded </w:t>
      </w:r>
      <w:r w:rsidR="7924E3DB">
        <w:t>$</w:t>
      </w:r>
      <w:r w:rsidR="64C2AF49">
        <w:t>15,466.25</w:t>
      </w:r>
      <w:r w:rsidR="00645220">
        <w:t>.</w:t>
      </w:r>
    </w:p>
    <w:p w:rsidR="63E4D106" w:rsidP="003D3709" w:rsidRDefault="63E4D106" w14:paraId="58D63F33" w14:textId="231A4F1C">
      <w:pPr>
        <w:pStyle w:val="ListParagraph"/>
        <w:keepNext/>
        <w:ind w:left="547" w:hanging="547"/>
        <w:rPr>
          <w:szCs w:val="24"/>
        </w:rPr>
      </w:pPr>
    </w:p>
    <w:p w:rsidR="00645220" w:rsidP="003D3709" w:rsidRDefault="58E59520" w14:paraId="1DD4FD1D" w14:textId="785F37D0">
      <w:pPr>
        <w:pStyle w:val="ListParagraph"/>
        <w:keepNext/>
        <w:numPr>
          <w:ilvl w:val="0"/>
          <w:numId w:val="4"/>
        </w:numPr>
        <w:ind w:left="547" w:hanging="547"/>
      </w:pPr>
      <w:r>
        <w:t>W</w:t>
      </w:r>
      <w:r w:rsidR="00645220">
        <w:t xml:space="preserve">ithin 30 days of the effective date of this decision, </w:t>
      </w:r>
      <w:r w:rsidRPr="63E4D106" w:rsidR="41EB6C4B">
        <w:rPr>
          <w:rFonts w:eastAsia="Times New Roman"/>
          <w:color w:val="000000" w:themeColor="text1"/>
          <w:szCs w:val="24"/>
        </w:rPr>
        <w:t>Pacific Gas and Electric Company, San Diego Gas &amp; Electric Company, Southern California Edison Company.</w:t>
      </w:r>
    </w:p>
    <w:p w:rsidR="00645220" w:rsidP="003D3709" w:rsidRDefault="3BED431A" w14:paraId="6894A6F0" w14:textId="62A54653">
      <w:pPr>
        <w:pStyle w:val="ListParagraph"/>
        <w:keepNext/>
        <w:ind w:left="547" w:hanging="547"/>
        <w:rPr>
          <w:szCs w:val="24"/>
        </w:rPr>
      </w:pPr>
      <w:r w:rsidRPr="00831652">
        <w:t xml:space="preserve">         </w:t>
      </w:r>
      <w:r w:rsidRPr="00831652" w:rsidR="00645220">
        <w:t>shall</w:t>
      </w:r>
      <w:r w:rsidR="00645220">
        <w:t xml:space="preserve"> pay </w:t>
      </w:r>
      <w:r w:rsidR="00B763A6">
        <w:t xml:space="preserve">Environmental Defense Fund </w:t>
      </w:r>
      <w:r w:rsidR="00645220">
        <w:t xml:space="preserve">their respective shares of the award, based on their California-jurisdictional </w:t>
      </w:r>
      <w:r w:rsidR="5DF543E9">
        <w:t>Gas</w:t>
      </w:r>
      <w:r w:rsidR="00645220">
        <w:t xml:space="preserve"> revenues for the </w:t>
      </w:r>
      <w:r w:rsidR="421438BF">
        <w:t>2024</w:t>
      </w:r>
      <w:r w:rsidR="00645220">
        <w:t xml:space="preserve"> calendar year, </w:t>
      </w:r>
      <w:r w:rsidRPr="0055228B" w:rsidR="00645220">
        <w:t xml:space="preserve">to reflect the year in which the proceeding was primarily litigated.  If such data </w:t>
      </w:r>
      <w:proofErr w:type="gramStart"/>
      <w:r w:rsidR="00645220">
        <w:t>are</w:t>
      </w:r>
      <w:proofErr w:type="gramEnd"/>
      <w:r w:rsidRPr="0055228B" w:rsidR="00645220">
        <w:t xml:space="preserve"> unavailable, the most recent </w:t>
      </w:r>
      <w:r w:rsidRPr="0055228B" w:rsidR="1C57F7B6">
        <w:t>gas</w:t>
      </w:r>
      <w:r w:rsidRPr="0055228B" w:rsidR="00645220">
        <w:t xml:space="preserve"> revenue data shall be used.</w:t>
      </w:r>
      <w:r w:rsidRPr="007F620E" w:rsidR="00645220">
        <w:t xml:space="preserve"> Payment of the award </w:t>
      </w:r>
      <w:r w:rsidRPr="00831652" w:rsidR="00645220">
        <w:t>shall</w:t>
      </w:r>
      <w:r w:rsidRPr="007F620E" w:rsidR="00645220">
        <w:t xml:space="preserve"> include compound interest at the rate earned on prime, three-month non-financial commercial paper as reported in Federal Reserve Statistical Release H.15, beginning </w:t>
      </w:r>
      <w:r w:rsidRPr="007F620E" w:rsidR="276BC425">
        <w:t>January 29, 2025</w:t>
      </w:r>
      <w:r w:rsidRPr="007F620E" w:rsidR="00645220">
        <w:t>, the 75</w:t>
      </w:r>
      <w:r w:rsidRPr="007F620E" w:rsidR="00645220">
        <w:rPr>
          <w:vertAlign w:val="superscript"/>
        </w:rPr>
        <w:t>th</w:t>
      </w:r>
      <w:r w:rsidRPr="007F620E" w:rsidR="00645220">
        <w:t xml:space="preserve"> day after the filing of</w:t>
      </w:r>
      <w:r w:rsidRPr="00B763A6" w:rsidR="00B763A6">
        <w:t xml:space="preserve"> </w:t>
      </w:r>
      <w:r w:rsidR="00B763A6">
        <w:t>Environmental Defense Fund</w:t>
      </w:r>
      <w:r w:rsidRPr="003B6A1B" w:rsidR="00645220">
        <w:t>’s</w:t>
      </w:r>
      <w:r w:rsidRPr="2320ED69" w:rsidR="00645220">
        <w:rPr>
          <w:b/>
          <w:bCs/>
        </w:rPr>
        <w:t xml:space="preserve"> </w:t>
      </w:r>
      <w:r w:rsidRPr="007F620E" w:rsidR="00645220">
        <w:t>request, and continuing until full payment is made.</w:t>
      </w:r>
    </w:p>
    <w:p w:rsidR="63E4D106" w:rsidP="003D3709" w:rsidRDefault="63E4D106" w14:paraId="69D0CB1B" w14:textId="7FE3E0BA">
      <w:pPr>
        <w:pStyle w:val="ListParagraph"/>
        <w:keepNext/>
        <w:ind w:left="547" w:hanging="547"/>
      </w:pPr>
    </w:p>
    <w:p w:rsidR="00B763A6" w:rsidP="0075099C" w:rsidRDefault="00645220" w14:paraId="46378707" w14:textId="146AD4BA">
      <w:pPr>
        <w:pStyle w:val="ListParagraph"/>
        <w:keepNext/>
        <w:keepLines/>
        <w:numPr>
          <w:ilvl w:val="0"/>
          <w:numId w:val="4"/>
        </w:numPr>
        <w:ind w:left="547" w:hanging="547"/>
      </w:pPr>
      <w:r>
        <w:t>The comment period for today’s decision is waived.</w:t>
      </w:r>
    </w:p>
    <w:p w:rsidR="0075099C" w:rsidP="0075099C" w:rsidRDefault="0075099C" w14:paraId="138EFBAD" w14:textId="77777777">
      <w:pPr>
        <w:keepNext/>
        <w:keepLines/>
      </w:pPr>
    </w:p>
    <w:p w:rsidR="00B763A6" w:rsidP="0075099C" w:rsidRDefault="00645220" w14:paraId="584DF13F" w14:textId="105AC3A8">
      <w:pPr>
        <w:pStyle w:val="ListParagraph"/>
        <w:keepNext/>
        <w:keepLines/>
        <w:ind w:left="547"/>
      </w:pPr>
      <w:r>
        <w:t>This decision is effective today.</w:t>
      </w:r>
    </w:p>
    <w:p w:rsidR="0075099C" w:rsidP="0075099C" w:rsidRDefault="0075099C" w14:paraId="6517EC07" w14:textId="77777777">
      <w:pPr>
        <w:pStyle w:val="ListParagraph"/>
        <w:keepNext/>
        <w:keepLines/>
        <w:ind w:left="547"/>
      </w:pPr>
    </w:p>
    <w:p w:rsidRPr="007F620E" w:rsidR="00645220" w:rsidP="003D3709" w:rsidRDefault="00645220" w14:paraId="40A497BF" w14:textId="2419A499">
      <w:pPr>
        <w:pStyle w:val="ListParagraph"/>
        <w:keepNext/>
        <w:keepLines/>
        <w:ind w:left="547"/>
      </w:pPr>
      <w:r>
        <w:t xml:space="preserve">Dated </w:t>
      </w:r>
      <w:r w:rsidR="0091075D">
        <w:t>December</w:t>
      </w:r>
      <w:r w:rsidR="00FB069F">
        <w:t xml:space="preserve"> 4, 2025</w:t>
      </w:r>
      <w:r>
        <w:t>, at San Francisco, California.</w:t>
      </w:r>
    </w:p>
    <w:p w:rsidR="00645220" w:rsidP="003D3709" w:rsidRDefault="00645220" w14:paraId="055E5C9F" w14:textId="77777777">
      <w:pPr>
        <w:keepNext/>
        <w:ind w:left="547" w:hanging="547"/>
        <w:contextualSpacing/>
        <w:rPr>
          <w:szCs w:val="24"/>
        </w:rPr>
      </w:pPr>
    </w:p>
    <w:p w:rsidRPr="00FB069F" w:rsidR="009372D5" w:rsidP="003D3709" w:rsidRDefault="009372D5" w14:paraId="7432C2F8" w14:textId="77777777">
      <w:pPr>
        <w:keepNext/>
        <w:ind w:left="547" w:hanging="547"/>
        <w:contextualSpacing/>
        <w:rPr>
          <w:szCs w:val="24"/>
        </w:rPr>
      </w:pPr>
    </w:p>
    <w:p w:rsidRPr="00FB069F" w:rsidR="00FB069F" w:rsidP="00FB069F" w:rsidRDefault="00FB069F" w14:paraId="5FE42751" w14:textId="77777777">
      <w:pPr>
        <w:keepNext/>
        <w:keepLines/>
        <w:suppressAutoHyphens w:val="0"/>
        <w:autoSpaceDE w:val="0"/>
        <w:autoSpaceDN w:val="0"/>
        <w:adjustRightInd w:val="0"/>
        <w:ind w:left="4320"/>
        <w:jc w:val="both"/>
        <w:rPr>
          <w:rFonts w:eastAsia="Calibri"/>
          <w:kern w:val="0"/>
          <w:szCs w:val="24"/>
          <w14:ligatures w14:val="none"/>
        </w:rPr>
      </w:pPr>
      <w:r w:rsidRPr="00FB069F">
        <w:rPr>
          <w:rFonts w:eastAsia="Calibri"/>
          <w:kern w:val="0"/>
          <w:szCs w:val="24"/>
          <w14:ligatures w14:val="none"/>
        </w:rPr>
        <w:t>ALICE REYNOLDS</w:t>
      </w:r>
    </w:p>
    <w:p w:rsidRPr="00FB069F" w:rsidR="00FB069F" w:rsidP="00FB069F" w:rsidRDefault="00FB069F" w14:paraId="4EC52DE2" w14:textId="77777777">
      <w:pPr>
        <w:keepNext/>
        <w:keepLines/>
        <w:suppressAutoHyphens w:val="0"/>
        <w:autoSpaceDE w:val="0"/>
        <w:autoSpaceDN w:val="0"/>
        <w:adjustRightInd w:val="0"/>
        <w:ind w:firstLine="720"/>
        <w:jc w:val="both"/>
        <w:rPr>
          <w:rFonts w:eastAsia="Calibri"/>
          <w:kern w:val="0"/>
          <w:szCs w:val="24"/>
          <w14:ligatures w14:val="none"/>
        </w:rPr>
      </w:pPr>
      <w:r w:rsidRPr="00FB069F">
        <w:rPr>
          <w:rFonts w:eastAsia="Calibri"/>
          <w:kern w:val="0"/>
          <w:szCs w:val="24"/>
          <w14:ligatures w14:val="none"/>
        </w:rPr>
        <w:tab/>
      </w:r>
      <w:r w:rsidRPr="00FB069F">
        <w:rPr>
          <w:rFonts w:eastAsia="Calibri"/>
          <w:kern w:val="0"/>
          <w:szCs w:val="24"/>
          <w14:ligatures w14:val="none"/>
        </w:rPr>
        <w:tab/>
      </w:r>
      <w:r w:rsidRPr="00FB069F">
        <w:rPr>
          <w:rFonts w:eastAsia="Calibri"/>
          <w:kern w:val="0"/>
          <w:szCs w:val="24"/>
          <w14:ligatures w14:val="none"/>
        </w:rPr>
        <w:tab/>
      </w:r>
      <w:r w:rsidRPr="00FB069F">
        <w:rPr>
          <w:rFonts w:eastAsia="Calibri"/>
          <w:kern w:val="0"/>
          <w:szCs w:val="24"/>
          <w14:ligatures w14:val="none"/>
        </w:rPr>
        <w:tab/>
      </w:r>
      <w:r w:rsidRPr="00FB069F">
        <w:rPr>
          <w:rFonts w:eastAsia="Calibri"/>
          <w:kern w:val="0"/>
          <w:szCs w:val="24"/>
          <w14:ligatures w14:val="none"/>
        </w:rPr>
        <w:tab/>
        <w:t xml:space="preserve">                       President</w:t>
      </w:r>
    </w:p>
    <w:p w:rsidRPr="00FB069F" w:rsidR="00FB069F" w:rsidP="00FB069F" w:rsidRDefault="00FB069F" w14:paraId="7D7E20AC" w14:textId="77777777">
      <w:pPr>
        <w:suppressAutoHyphens w:val="0"/>
        <w:autoSpaceDE w:val="0"/>
        <w:autoSpaceDN w:val="0"/>
        <w:adjustRightInd w:val="0"/>
        <w:ind w:left="3600" w:firstLine="720"/>
        <w:jc w:val="both"/>
        <w:rPr>
          <w:rFonts w:eastAsia="Calibri"/>
          <w:kern w:val="0"/>
          <w:szCs w:val="24"/>
          <w14:ligatures w14:val="none"/>
        </w:rPr>
      </w:pPr>
      <w:r w:rsidRPr="00FB069F">
        <w:rPr>
          <w:rFonts w:eastAsia="Calibri"/>
          <w:kern w:val="0"/>
          <w:szCs w:val="24"/>
          <w14:ligatures w14:val="none"/>
        </w:rPr>
        <w:t>DARCIE L. HOUCK</w:t>
      </w:r>
    </w:p>
    <w:p w:rsidRPr="00FB069F" w:rsidR="00FB069F" w:rsidP="00FB069F" w:rsidRDefault="00FB069F" w14:paraId="6AB86410" w14:textId="77777777">
      <w:pPr>
        <w:suppressAutoHyphens w:val="0"/>
        <w:autoSpaceDE w:val="0"/>
        <w:autoSpaceDN w:val="0"/>
        <w:adjustRightInd w:val="0"/>
        <w:ind w:left="3600" w:firstLine="720"/>
        <w:jc w:val="both"/>
        <w:rPr>
          <w:rFonts w:eastAsia="Calibri"/>
          <w:kern w:val="0"/>
          <w:szCs w:val="24"/>
          <w14:ligatures w14:val="none"/>
        </w:rPr>
      </w:pPr>
      <w:r w:rsidRPr="00FB069F">
        <w:rPr>
          <w:rFonts w:eastAsia="Calibri"/>
          <w:kern w:val="0"/>
          <w:szCs w:val="24"/>
          <w14:ligatures w14:val="none"/>
        </w:rPr>
        <w:t>JOHN REYNOLDS</w:t>
      </w:r>
    </w:p>
    <w:p w:rsidRPr="00FB069F" w:rsidR="00FB069F" w:rsidP="00FB069F" w:rsidRDefault="00FB069F" w14:paraId="3EE3A423" w14:textId="77777777">
      <w:pPr>
        <w:suppressAutoHyphens w:val="0"/>
        <w:autoSpaceDE w:val="0"/>
        <w:autoSpaceDN w:val="0"/>
        <w:adjustRightInd w:val="0"/>
        <w:ind w:left="3600" w:firstLine="720"/>
        <w:jc w:val="both"/>
        <w:rPr>
          <w:rFonts w:eastAsia="Times New Roman"/>
          <w:color w:val="000000"/>
          <w:kern w:val="0"/>
          <w:szCs w:val="24"/>
          <w14:ligatures w14:val="none"/>
        </w:rPr>
      </w:pPr>
      <w:r w:rsidRPr="00FB069F">
        <w:rPr>
          <w:rFonts w:eastAsia="Times New Roman"/>
          <w:color w:val="000000"/>
          <w:kern w:val="0"/>
          <w:szCs w:val="24"/>
          <w14:ligatures w14:val="none"/>
        </w:rPr>
        <w:t>KAREN DOUGLAS</w:t>
      </w:r>
    </w:p>
    <w:p w:rsidRPr="00FB069F" w:rsidR="00FB069F" w:rsidP="00FB069F" w:rsidRDefault="00FB069F" w14:paraId="3E1CA2E3" w14:textId="77777777">
      <w:pPr>
        <w:keepNext/>
        <w:keepLines/>
        <w:suppressAutoHyphens w:val="0"/>
        <w:autoSpaceDE w:val="0"/>
        <w:autoSpaceDN w:val="0"/>
        <w:adjustRightInd w:val="0"/>
        <w:ind w:left="4320" w:firstLine="720"/>
        <w:jc w:val="both"/>
        <w:rPr>
          <w:rFonts w:eastAsia="Calibri"/>
          <w:kern w:val="0"/>
          <w:szCs w:val="24"/>
          <w14:ligatures w14:val="none"/>
        </w:rPr>
      </w:pPr>
      <w:r w:rsidRPr="00FB069F">
        <w:rPr>
          <w:rFonts w:eastAsia="Calibri"/>
          <w:kern w:val="0"/>
          <w:szCs w:val="24"/>
          <w14:ligatures w14:val="none"/>
        </w:rPr>
        <w:t xml:space="preserve">            Commissioners</w:t>
      </w:r>
    </w:p>
    <w:p w:rsidRPr="00FB069F" w:rsidR="00FB069F" w:rsidP="00FB069F" w:rsidRDefault="00FB069F" w14:paraId="6BA1C5F0" w14:textId="77777777">
      <w:pPr>
        <w:keepNext/>
        <w:keepLines/>
        <w:suppressAutoHyphens w:val="0"/>
        <w:spacing w:line="360" w:lineRule="auto"/>
        <w:ind w:firstLine="720"/>
        <w:rPr>
          <w:rFonts w:eastAsia="Calibri"/>
          <w:kern w:val="0"/>
          <w:szCs w:val="24"/>
          <w14:ligatures w14:val="none"/>
        </w:rPr>
      </w:pPr>
    </w:p>
    <w:p w:rsidRPr="00FB069F" w:rsidR="00FB069F" w:rsidP="00FB069F" w:rsidRDefault="00FB069F" w14:paraId="38338279" w14:textId="77777777">
      <w:pPr>
        <w:keepNext/>
        <w:keepLines/>
        <w:suppressAutoHyphens w:val="0"/>
        <w:autoSpaceDE w:val="0"/>
        <w:autoSpaceDN w:val="0"/>
        <w:adjustRightInd w:val="0"/>
        <w:ind w:left="4380"/>
        <w:rPr>
          <w:rFonts w:eastAsia="Calibri"/>
          <w:kern w:val="0"/>
          <w:szCs w:val="24"/>
          <w14:ligatures w14:val="none"/>
        </w:rPr>
      </w:pPr>
      <w:r w:rsidRPr="00FB069F">
        <w:rPr>
          <w:rFonts w:eastAsia="Calibri"/>
          <w:kern w:val="0"/>
          <w:szCs w:val="24"/>
          <w14:ligatures w14:val="none"/>
        </w:rPr>
        <w:t>Commissioner Matthew Baker recused himself from this agenda item and was not part of the quorum in its consideration.</w:t>
      </w:r>
    </w:p>
    <w:p w:rsidRPr="007F620E" w:rsidR="00FB069F" w:rsidP="003D3709" w:rsidRDefault="00FB069F" w14:paraId="2D15668E" w14:textId="77777777">
      <w:pPr>
        <w:keepNext/>
        <w:ind w:left="547" w:hanging="547"/>
        <w:contextualSpacing/>
      </w:pPr>
    </w:p>
    <w:p w:rsidR="00645220" w:rsidP="003D3709" w:rsidRDefault="00645220" w14:paraId="1013F843" w14:textId="77777777">
      <w:pPr>
        <w:keepNext/>
        <w:ind w:left="547" w:hanging="547"/>
        <w:contextualSpacing/>
      </w:pPr>
    </w:p>
    <w:p w:rsidR="00645220" w:rsidP="003D3709" w:rsidRDefault="00645220" w14:paraId="6927D42A" w14:textId="77777777">
      <w:pPr>
        <w:widowControl w:val="0"/>
        <w:contextualSpacing/>
        <w:sectPr w:rsidR="00645220" w:rsidSect="009372D5">
          <w:headerReference w:type="default" r:id="rId8"/>
          <w:footerReference w:type="default" r:id="rId9"/>
          <w:footerReference w:type="first" r:id="rId10"/>
          <w:pgSz w:w="12240" w:h="15840"/>
          <w:pgMar w:top="1800" w:right="1440" w:bottom="1440" w:left="1440" w:header="720" w:footer="720" w:gutter="0"/>
          <w:pgNumType w:fmt="numberInDash" w:start="1"/>
          <w:cols w:space="720"/>
          <w:titlePg/>
          <w:docGrid w:linePitch="360"/>
        </w:sectPr>
      </w:pPr>
    </w:p>
    <w:p w:rsidRPr="00B803D5" w:rsidR="00645220" w:rsidP="003D3709" w:rsidRDefault="00645220" w14:paraId="38034772" w14:textId="77777777">
      <w:pPr>
        <w:widowControl w:val="0"/>
        <w:contextualSpacing/>
        <w:jc w:val="center"/>
        <w:rPr>
          <w:b/>
          <w:szCs w:val="26"/>
        </w:rPr>
      </w:pPr>
      <w:r w:rsidRPr="00B803D5">
        <w:rPr>
          <w:b/>
          <w:szCs w:val="26"/>
        </w:rPr>
        <w:lastRenderedPageBreak/>
        <w:t>APPENDIX</w:t>
      </w:r>
    </w:p>
    <w:p w:rsidR="00645220" w:rsidP="00084FF0" w:rsidRDefault="00645220" w14:paraId="70D8A160" w14:textId="77777777">
      <w:pPr>
        <w:widowControl w:val="0"/>
        <w:contextualSpacing/>
        <w:jc w:val="center"/>
        <w:rPr>
          <w:b/>
          <w:bCs/>
          <w:sz w:val="28"/>
          <w:szCs w:val="28"/>
        </w:rPr>
      </w:pPr>
      <w:r w:rsidRPr="00F7579D">
        <w:rPr>
          <w:b/>
          <w:bCs/>
          <w:sz w:val="28"/>
          <w:szCs w:val="28"/>
        </w:rPr>
        <w:t>Compensation Decision Summary Information</w:t>
      </w:r>
    </w:p>
    <w:p w:rsidRPr="00F7579D" w:rsidR="00084FF0" w:rsidP="003D3709" w:rsidRDefault="00084FF0" w14:paraId="31172200" w14:textId="77777777">
      <w:pPr>
        <w:widowControl w:val="0"/>
        <w:contextualSpacing/>
        <w:jc w:val="center"/>
        <w:rPr>
          <w:b/>
          <w:bCs/>
        </w:rPr>
      </w:pP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645220" w:rsidTr="74F2F876" w14:paraId="39EFFAA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645220" w:rsidP="003D3709" w:rsidRDefault="00645220" w14:paraId="41B3CC39" w14:textId="77777777">
            <w:pPr>
              <w:widowControl w:val="0"/>
              <w:contextualSpacing/>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645220" w:rsidP="003D3709" w:rsidRDefault="0075099C" w14:paraId="29AE735C" w14:textId="57B2061E">
            <w:pPr>
              <w:widowControl w:val="0"/>
              <w:contextualSpacing/>
            </w:pPr>
            <w:r>
              <w:t>D2512013</w:t>
            </w:r>
          </w:p>
        </w:tc>
        <w:tc>
          <w:tcPr>
            <w:tcW w:w="2475" w:type="dxa"/>
            <w:tcBorders>
              <w:top w:val="single" w:color="auto" w:sz="4" w:space="0"/>
              <w:left w:val="single" w:color="auto" w:sz="4" w:space="0"/>
              <w:bottom w:val="single" w:color="auto" w:sz="4" w:space="0"/>
              <w:right w:val="single" w:color="auto" w:sz="4" w:space="0"/>
            </w:tcBorders>
            <w:hideMark/>
          </w:tcPr>
          <w:p w:rsidRPr="006B0BC7" w:rsidR="00645220" w:rsidP="003D3709" w:rsidRDefault="00645220" w14:paraId="248C634B" w14:textId="77777777">
            <w:pPr>
              <w:widowControl w:val="0"/>
              <w:contextualSpacing/>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645220" w:rsidP="003D3709" w:rsidRDefault="76B2A71A" w14:paraId="38CA0A0A" w14:textId="595BF57D">
            <w:pPr>
              <w:widowControl w:val="0"/>
              <w:contextualSpacing/>
            </w:pPr>
            <w:r>
              <w:t>No</w:t>
            </w:r>
          </w:p>
        </w:tc>
      </w:tr>
      <w:tr w:rsidRPr="00B803D5" w:rsidR="00645220" w:rsidTr="74F2F876" w14:paraId="40C73ABC"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645220" w:rsidP="003D3709" w:rsidRDefault="00645220" w14:paraId="466F840D" w14:textId="77777777">
            <w:pPr>
              <w:widowControl w:val="0"/>
              <w:contextualSpacing/>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645220" w:rsidP="003D3709" w:rsidRDefault="00645220" w14:paraId="3F29C715" w14:textId="1ABE7398">
            <w:pPr>
              <w:widowControl w:val="0"/>
              <w:contextualSpacing/>
            </w:pPr>
            <w:r>
              <w:t>D2409006</w:t>
            </w:r>
          </w:p>
        </w:tc>
      </w:tr>
      <w:tr w:rsidRPr="00B803D5" w:rsidR="00645220" w:rsidTr="74F2F876" w14:paraId="188DA55E"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645220" w:rsidP="003D3709" w:rsidRDefault="00645220" w14:paraId="36250A6D" w14:textId="77777777">
            <w:pPr>
              <w:widowControl w:val="0"/>
              <w:contextualSpacing/>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645220" w:rsidP="003D3709" w:rsidRDefault="00645220" w14:paraId="460DC00E" w14:textId="2A2433C5">
            <w:pPr>
              <w:widowControl w:val="0"/>
              <w:contextualSpacing/>
            </w:pPr>
            <w:r>
              <w:t>R2005003</w:t>
            </w:r>
          </w:p>
        </w:tc>
      </w:tr>
      <w:tr w:rsidRPr="00B803D5" w:rsidR="00645220" w:rsidTr="74F2F876" w14:paraId="451D2D87"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645220" w:rsidP="003D3709" w:rsidRDefault="00645220" w14:paraId="0D0DB72E" w14:textId="77777777">
            <w:pPr>
              <w:widowControl w:val="0"/>
              <w:contextualSpacing/>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645220" w:rsidP="003D3709" w:rsidRDefault="2C50B1B4" w14:paraId="623923BE" w14:textId="5761B40F">
            <w:pPr>
              <w:widowControl w:val="0"/>
              <w:contextualSpacing/>
            </w:pPr>
            <w:r>
              <w:t xml:space="preserve">ALJ </w:t>
            </w:r>
            <w:r w:rsidR="01A5F0F6">
              <w:t>Julie A. Fitch</w:t>
            </w:r>
            <w:r w:rsidR="00084FF0">
              <w:t xml:space="preserve"> and</w:t>
            </w:r>
            <w:r w:rsidR="45952BB4">
              <w:t xml:space="preserve"> ALJ Colin Rizzo</w:t>
            </w:r>
          </w:p>
        </w:tc>
      </w:tr>
      <w:tr w:rsidRPr="00B803D5" w:rsidR="00645220" w:rsidTr="74F2F876" w14:paraId="7E7F356E"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645220" w:rsidP="003D3709" w:rsidRDefault="00645220" w14:paraId="0B687767" w14:textId="77777777">
            <w:pPr>
              <w:widowControl w:val="0"/>
              <w:contextualSpacing/>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645220" w:rsidP="003D3709" w:rsidRDefault="7CC471C6" w14:paraId="41B95859" w14:textId="3A8C1647">
            <w:pPr>
              <w:widowControl w:val="0"/>
              <w:contextualSpacing/>
              <w:rPr>
                <w:rFonts w:eastAsia="Times New Roman"/>
                <w:szCs w:val="24"/>
              </w:rPr>
            </w:pPr>
            <w:r w:rsidRPr="63E4D106">
              <w:rPr>
                <w:rFonts w:eastAsia="Times New Roman"/>
                <w:color w:val="000000" w:themeColor="text1"/>
                <w:szCs w:val="24"/>
              </w:rPr>
              <w:t>Pacific Gas and Electric Company, San Diego Gas &amp; Electric Company, Southern California Edison Company.</w:t>
            </w:r>
          </w:p>
        </w:tc>
      </w:tr>
    </w:tbl>
    <w:p w:rsidR="63E4D106" w:rsidP="003D3709" w:rsidRDefault="63E4D106" w14:paraId="5F225400" w14:textId="791A1433">
      <w:pPr>
        <w:widowControl w:val="0"/>
        <w:contextualSpacing/>
        <w:jc w:val="center"/>
        <w:rPr>
          <w:b/>
          <w:bCs/>
          <w:sz w:val="28"/>
          <w:szCs w:val="28"/>
        </w:rPr>
      </w:pPr>
    </w:p>
    <w:p w:rsidRPr="00B803D5" w:rsidR="00645220" w:rsidP="003D3709" w:rsidRDefault="00645220" w14:paraId="7131BAC3" w14:textId="77777777">
      <w:pPr>
        <w:widowControl w:val="0"/>
        <w:contextualSpacing/>
        <w:jc w:val="center"/>
        <w:rPr>
          <w:b/>
          <w:bCs/>
          <w:sz w:val="28"/>
          <w:szCs w:val="28"/>
        </w:rPr>
      </w:pPr>
      <w:r w:rsidRPr="63E4D106">
        <w:rPr>
          <w:b/>
          <w:bCs/>
          <w:sz w:val="28"/>
          <w:szCs w:val="28"/>
        </w:rPr>
        <w:t>Intervenor Information</w:t>
      </w:r>
    </w:p>
    <w:p w:rsidR="63E4D106" w:rsidP="003D3709" w:rsidRDefault="63E4D106" w14:paraId="1D96C466" w14:textId="768D0BAF">
      <w:pPr>
        <w:widowControl w:val="0"/>
        <w:contextualSpacing/>
        <w:jc w:val="center"/>
        <w:rPr>
          <w:b/>
          <w:bCs/>
          <w:sz w:val="28"/>
          <w:szCs w:val="28"/>
        </w:rPr>
      </w:pP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6"/>
        <w:gridCol w:w="1460"/>
        <w:gridCol w:w="1420"/>
        <w:gridCol w:w="1588"/>
        <w:gridCol w:w="1405"/>
        <w:gridCol w:w="2501"/>
      </w:tblGrid>
      <w:tr w:rsidRPr="00B803D5" w:rsidR="00645220" w:rsidTr="1F222C3D" w14:paraId="2A0FDF63"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B803D5" w:rsidR="00645220" w:rsidP="003D3709" w:rsidRDefault="00645220" w14:paraId="1BD6CA25" w14:textId="77777777">
            <w:pPr>
              <w:widowControl w:val="0"/>
              <w:contextualSpacing/>
              <w:jc w:val="center"/>
              <w:rPr>
                <w:b/>
                <w:bCs/>
              </w:rPr>
            </w:pPr>
            <w:r w:rsidRPr="00B803D5">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00645220" w:rsidP="003D3709" w:rsidRDefault="00645220" w14:paraId="1A15B84C" w14:textId="77777777">
            <w:pPr>
              <w:widowControl w:val="0"/>
              <w:contextualSpacing/>
              <w:jc w:val="center"/>
              <w:rPr>
                <w:b/>
                <w:bCs/>
              </w:rPr>
            </w:pPr>
            <w:r w:rsidRPr="00B803D5">
              <w:rPr>
                <w:b/>
                <w:bCs/>
              </w:rPr>
              <w:t>Date</w:t>
            </w:r>
          </w:p>
          <w:p w:rsidRPr="00B803D5" w:rsidR="00645220" w:rsidP="003D3709" w:rsidRDefault="00645220" w14:paraId="4E4C00B1" w14:textId="77777777">
            <w:pPr>
              <w:widowControl w:val="0"/>
              <w:contextualSpacing/>
              <w:jc w:val="center"/>
              <w:rPr>
                <w:b/>
                <w:bCs/>
              </w:rPr>
            </w:pPr>
            <w:r w:rsidRPr="00B803D5">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B803D5" w:rsidR="00645220" w:rsidP="003D3709" w:rsidRDefault="00645220" w14:paraId="54C37246" w14:textId="77777777">
            <w:pPr>
              <w:widowControl w:val="0"/>
              <w:contextualSpacing/>
              <w:jc w:val="center"/>
              <w:rPr>
                <w:b/>
                <w:bCs/>
              </w:rPr>
            </w:pPr>
            <w:r w:rsidRPr="00B803D5">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B803D5" w:rsidR="00645220" w:rsidP="003D3709" w:rsidRDefault="00645220" w14:paraId="6903B773" w14:textId="77777777">
            <w:pPr>
              <w:widowControl w:val="0"/>
              <w:contextualSpacing/>
              <w:jc w:val="center"/>
              <w:rPr>
                <w:b/>
                <w:bCs/>
              </w:rPr>
            </w:pPr>
            <w:r w:rsidRPr="00B803D5">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B803D5" w:rsidR="00645220" w:rsidP="003D3709" w:rsidRDefault="00645220" w14:paraId="4EA1B6AE" w14:textId="77777777">
            <w:pPr>
              <w:widowControl w:val="0"/>
              <w:contextualSpacing/>
              <w:jc w:val="center"/>
              <w:rPr>
                <w:b/>
                <w:bCs/>
              </w:rPr>
            </w:pPr>
            <w:r w:rsidRPr="00B803D5">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B803D5" w:rsidR="00645220" w:rsidP="003D3709" w:rsidRDefault="00645220" w14:paraId="2CEA0D60" w14:textId="77777777">
            <w:pPr>
              <w:widowControl w:val="0"/>
              <w:contextualSpacing/>
              <w:jc w:val="center"/>
              <w:rPr>
                <w:b/>
                <w:bCs/>
              </w:rPr>
            </w:pPr>
            <w:r w:rsidRPr="00B803D5">
              <w:rPr>
                <w:b/>
                <w:bCs/>
              </w:rPr>
              <w:t>Reason Change/Disallowance</w:t>
            </w:r>
          </w:p>
        </w:tc>
      </w:tr>
      <w:tr w:rsidRPr="00B803D5" w:rsidR="00645220" w:rsidTr="1F222C3D" w14:paraId="04538356" w14:textId="77777777">
        <w:trPr>
          <w:trHeight w:val="1282"/>
          <w:jc w:val="center"/>
        </w:trPr>
        <w:tc>
          <w:tcPr>
            <w:tcW w:w="2043" w:type="dxa"/>
            <w:tcBorders>
              <w:top w:val="single" w:color="auto" w:sz="4" w:space="0"/>
              <w:left w:val="single" w:color="auto" w:sz="4" w:space="0"/>
              <w:bottom w:val="single" w:color="auto" w:sz="4" w:space="0"/>
              <w:right w:val="single" w:color="auto" w:sz="4" w:space="0"/>
            </w:tcBorders>
            <w:hideMark/>
          </w:tcPr>
          <w:p w:rsidRPr="00B803D5" w:rsidR="00645220" w:rsidP="003D3709" w:rsidRDefault="00B763A6" w14:paraId="3DF9A5B1" w14:textId="4FD32C3C">
            <w:pPr>
              <w:widowControl w:val="0"/>
              <w:contextualSpacing/>
              <w:jc w:val="center"/>
              <w:rPr>
                <w:b/>
                <w:bCs/>
              </w:rPr>
            </w:pPr>
            <w:r>
              <w:t>Environmental Defense Fund</w:t>
            </w:r>
          </w:p>
        </w:tc>
        <w:tc>
          <w:tcPr>
            <w:tcW w:w="1444" w:type="dxa"/>
            <w:tcBorders>
              <w:top w:val="single" w:color="auto" w:sz="4" w:space="0"/>
              <w:left w:val="single" w:color="auto" w:sz="4" w:space="0"/>
              <w:bottom w:val="single" w:color="auto" w:sz="4" w:space="0"/>
              <w:right w:val="single" w:color="auto" w:sz="4" w:space="0"/>
            </w:tcBorders>
            <w:hideMark/>
          </w:tcPr>
          <w:p w:rsidRPr="00B803D5" w:rsidR="00645220" w:rsidP="003D3709" w:rsidRDefault="00B20A44" w14:paraId="2D565124" w14:textId="706EEECB">
            <w:pPr>
              <w:widowControl w:val="0"/>
              <w:contextualSpacing/>
              <w:jc w:val="center"/>
            </w:pPr>
            <w:r w:rsidRPr="00B20A44">
              <w:t>November 15,</w:t>
            </w:r>
            <w:r w:rsidR="00645220">
              <w:t xml:space="preserve"> 2024</w:t>
            </w:r>
          </w:p>
        </w:tc>
        <w:tc>
          <w:tcPr>
            <w:tcW w:w="1405" w:type="dxa"/>
            <w:tcBorders>
              <w:top w:val="single" w:color="auto" w:sz="4" w:space="0"/>
              <w:left w:val="single" w:color="auto" w:sz="4" w:space="0"/>
              <w:bottom w:val="single" w:color="auto" w:sz="4" w:space="0"/>
              <w:right w:val="single" w:color="auto" w:sz="4" w:space="0"/>
            </w:tcBorders>
            <w:hideMark/>
          </w:tcPr>
          <w:p w:rsidRPr="00B803D5" w:rsidR="00645220" w:rsidP="003D3709" w:rsidRDefault="00645220" w14:paraId="6373A3C0" w14:textId="16405F09">
            <w:pPr>
              <w:widowControl w:val="0"/>
              <w:contextualSpacing/>
              <w:jc w:val="center"/>
            </w:pPr>
            <w:r>
              <w:t>$</w:t>
            </w:r>
            <w:r w:rsidR="70A88032">
              <w:t>16,053</w:t>
            </w:r>
            <w:r w:rsidR="66B30AFE">
              <w:t>.00</w:t>
            </w:r>
            <w:bookmarkStart w:name="_Ref207792808" w:id="1"/>
            <w:r w:rsidRPr="3E76C407">
              <w:rPr>
                <w:vertAlign w:val="superscript"/>
              </w:rPr>
              <w:footnoteReference w:id="12"/>
            </w:r>
            <w:bookmarkEnd w:id="1"/>
          </w:p>
        </w:tc>
        <w:tc>
          <w:tcPr>
            <w:tcW w:w="1571" w:type="dxa"/>
            <w:tcBorders>
              <w:top w:val="single" w:color="auto" w:sz="4" w:space="0"/>
              <w:left w:val="single" w:color="auto" w:sz="4" w:space="0"/>
              <w:bottom w:val="single" w:color="auto" w:sz="4" w:space="0"/>
              <w:right w:val="single" w:color="auto" w:sz="4" w:space="0"/>
            </w:tcBorders>
            <w:hideMark/>
          </w:tcPr>
          <w:p w:rsidRPr="00B803D5" w:rsidR="00645220" w:rsidP="003D3709" w:rsidRDefault="0B497FC5" w14:paraId="665DD623" w14:textId="103B5854">
            <w:pPr>
              <w:widowControl w:val="0"/>
              <w:contextualSpacing/>
              <w:jc w:val="center"/>
            </w:pPr>
            <w:r>
              <w:t>$</w:t>
            </w:r>
            <w:r w:rsidR="64C2AF49">
              <w:t>15,466.25</w:t>
            </w:r>
          </w:p>
        </w:tc>
        <w:tc>
          <w:tcPr>
            <w:tcW w:w="1390" w:type="dxa"/>
            <w:tcBorders>
              <w:top w:val="single" w:color="auto" w:sz="4" w:space="0"/>
              <w:left w:val="single" w:color="auto" w:sz="4" w:space="0"/>
              <w:bottom w:val="single" w:color="auto" w:sz="4" w:space="0"/>
              <w:right w:val="single" w:color="auto" w:sz="4" w:space="0"/>
            </w:tcBorders>
            <w:hideMark/>
          </w:tcPr>
          <w:p w:rsidRPr="00B803D5" w:rsidR="00645220" w:rsidP="003D3709" w:rsidRDefault="00645220" w14:paraId="38ECF14E" w14:textId="77777777">
            <w:pPr>
              <w:widowControl w:val="0"/>
              <w:contextualSpacing/>
              <w:jc w:val="center"/>
            </w:pPr>
            <w:r w:rsidRPr="00B803D5">
              <w:t>N/A</w:t>
            </w:r>
          </w:p>
        </w:tc>
        <w:tc>
          <w:tcPr>
            <w:tcW w:w="2474" w:type="dxa"/>
            <w:tcBorders>
              <w:top w:val="single" w:color="auto" w:sz="4" w:space="0"/>
              <w:left w:val="single" w:color="auto" w:sz="4" w:space="0"/>
              <w:bottom w:val="single" w:color="auto" w:sz="4" w:space="0"/>
              <w:right w:val="single" w:color="auto" w:sz="4" w:space="0"/>
            </w:tcBorders>
            <w:hideMark/>
          </w:tcPr>
          <w:p w:rsidRPr="00B803D5" w:rsidR="00645220" w:rsidP="003D3709" w:rsidRDefault="59A9D2F5" w14:paraId="74F20916" w14:textId="4C2E9DEC">
            <w:pPr>
              <w:widowControl w:val="0"/>
              <w:contextualSpacing/>
              <w:jc w:val="center"/>
              <w:rPr>
                <w:rFonts w:eastAsia="Times New Roman"/>
                <w:szCs w:val="24"/>
              </w:rPr>
            </w:pPr>
            <w:r w:rsidRPr="003D3709">
              <w:rPr>
                <w:rFonts w:eastAsia="Times New Roman"/>
                <w:i/>
                <w:iCs/>
                <w:color w:val="000000" w:themeColor="text1"/>
                <w:szCs w:val="24"/>
              </w:rPr>
              <w:t>See</w:t>
            </w:r>
            <w:r w:rsidRPr="63E4D106">
              <w:rPr>
                <w:rFonts w:eastAsia="Times New Roman"/>
                <w:color w:val="000000" w:themeColor="text1"/>
                <w:szCs w:val="24"/>
              </w:rPr>
              <w:t xml:space="preserve"> Part III.D CPUC Comments, Disallowances, and Adjustments</w:t>
            </w:r>
          </w:p>
        </w:tc>
      </w:tr>
    </w:tbl>
    <w:p w:rsidR="63E4D106" w:rsidP="003D3709" w:rsidRDefault="63E4D106" w14:paraId="4FBC644A" w14:textId="45AE6DC8">
      <w:pPr>
        <w:widowControl w:val="0"/>
        <w:contextualSpacing/>
        <w:jc w:val="center"/>
        <w:rPr>
          <w:b/>
          <w:bCs/>
          <w:sz w:val="28"/>
          <w:szCs w:val="28"/>
        </w:rPr>
      </w:pPr>
    </w:p>
    <w:p w:rsidRPr="00B803D5" w:rsidR="00645220" w:rsidP="003D3709" w:rsidRDefault="00645220" w14:paraId="12E234EA" w14:textId="77777777">
      <w:pPr>
        <w:widowControl w:val="0"/>
        <w:contextualSpacing/>
        <w:jc w:val="center"/>
        <w:rPr>
          <w:b/>
          <w:bCs/>
          <w:sz w:val="28"/>
          <w:szCs w:val="28"/>
        </w:rPr>
      </w:pPr>
      <w:r w:rsidRPr="63E4D106">
        <w:rPr>
          <w:b/>
          <w:bCs/>
          <w:sz w:val="28"/>
          <w:szCs w:val="28"/>
        </w:rPr>
        <w:t>Hourly Fee Information</w:t>
      </w:r>
    </w:p>
    <w:p w:rsidR="63E4D106" w:rsidP="003D3709" w:rsidRDefault="63E4D106" w14:paraId="51C09F23" w14:textId="5B0EBB4E">
      <w:pPr>
        <w:widowControl w:val="0"/>
        <w:contextualSpacing/>
        <w:jc w:val="center"/>
        <w:rPr>
          <w:b/>
          <w:bCs/>
          <w:sz w:val="28"/>
          <w:szCs w:val="28"/>
        </w:rPr>
      </w:pP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645220" w:rsidTr="512F9659" w14:paraId="75B556E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645220" w:rsidP="003D3709" w:rsidRDefault="00645220" w14:paraId="0B14B11B" w14:textId="77777777">
            <w:pPr>
              <w:widowControl w:val="0"/>
              <w:contextualSpacing/>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645220" w:rsidP="003D3709" w:rsidRDefault="00645220" w14:paraId="33DAFFD9" w14:textId="77777777">
            <w:pPr>
              <w:widowControl w:val="0"/>
              <w:contextualSpacing/>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645220" w:rsidP="003D3709" w:rsidRDefault="00645220" w14:paraId="7395F3A8" w14:textId="77777777">
            <w:pPr>
              <w:widowControl w:val="0"/>
              <w:contextualSpacing/>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645220" w:rsidP="003D3709" w:rsidRDefault="00645220" w14:paraId="5AB16D57" w14:textId="77777777">
            <w:pPr>
              <w:widowControl w:val="0"/>
              <w:contextualSpacing/>
              <w:jc w:val="center"/>
              <w:rPr>
                <w:b/>
                <w:bCs/>
              </w:rPr>
            </w:pPr>
            <w:r w:rsidRPr="00B803D5">
              <w:rPr>
                <w:b/>
                <w:bCs/>
              </w:rPr>
              <w:t>Hourly</w:t>
            </w:r>
          </w:p>
          <w:p w:rsidRPr="00B803D5" w:rsidR="00645220" w:rsidP="003D3709" w:rsidRDefault="00645220" w14:paraId="63BC7F71" w14:textId="77777777">
            <w:pPr>
              <w:widowControl w:val="0"/>
              <w:contextualSpacing/>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645220" w:rsidP="003D3709" w:rsidRDefault="00645220" w14:paraId="5171EDEA" w14:textId="77777777">
            <w:pPr>
              <w:widowControl w:val="0"/>
              <w:contextualSpacing/>
              <w:jc w:val="center"/>
              <w:rPr>
                <w:b/>
                <w:bCs/>
              </w:rPr>
            </w:pPr>
            <w:r w:rsidRPr="00B803D5">
              <w:rPr>
                <w:b/>
                <w:bCs/>
              </w:rPr>
              <w:t>Year Hourly</w:t>
            </w:r>
          </w:p>
          <w:p w:rsidRPr="00B803D5" w:rsidR="00645220" w:rsidP="003D3709" w:rsidRDefault="00645220" w14:paraId="1AC0F803" w14:textId="77777777">
            <w:pPr>
              <w:widowControl w:val="0"/>
              <w:contextualSpacing/>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645220" w:rsidP="003D3709" w:rsidRDefault="00645220" w14:paraId="77F741EF" w14:textId="77777777">
            <w:pPr>
              <w:widowControl w:val="0"/>
              <w:contextualSpacing/>
              <w:jc w:val="center"/>
              <w:rPr>
                <w:b/>
                <w:bCs/>
              </w:rPr>
            </w:pPr>
            <w:r w:rsidRPr="00B803D5">
              <w:rPr>
                <w:b/>
                <w:bCs/>
              </w:rPr>
              <w:t>Hourly</w:t>
            </w:r>
          </w:p>
          <w:p w:rsidRPr="00B803D5" w:rsidR="00645220" w:rsidP="003D3709" w:rsidRDefault="00645220" w14:paraId="63A96C87" w14:textId="77777777">
            <w:pPr>
              <w:widowControl w:val="0"/>
              <w:contextualSpacing/>
              <w:jc w:val="center"/>
              <w:rPr>
                <w:b/>
                <w:bCs/>
              </w:rPr>
            </w:pPr>
            <w:r w:rsidRPr="00B803D5">
              <w:rPr>
                <w:b/>
                <w:bCs/>
              </w:rPr>
              <w:t>Fee Adopted</w:t>
            </w:r>
          </w:p>
        </w:tc>
      </w:tr>
      <w:tr w:rsidRPr="00B803D5" w:rsidR="00645220" w:rsidTr="512F9659" w14:paraId="7CF869AD"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B763A6" w:rsidR="00645220" w:rsidP="003D3709" w:rsidRDefault="00B763A6" w14:paraId="0BF16D86" w14:textId="654A1DD5">
            <w:pPr>
              <w:widowControl w:val="0"/>
              <w:contextualSpacing/>
              <w:jc w:val="center"/>
              <w:rPr>
                <w:shd w:val="clear" w:color="auto" w:fill="CCFFCC"/>
              </w:rPr>
            </w:pPr>
            <w:r>
              <w:t>Michael</w:t>
            </w:r>
          </w:p>
        </w:tc>
        <w:tc>
          <w:tcPr>
            <w:tcW w:w="1725" w:type="dxa"/>
            <w:tcBorders>
              <w:top w:val="single" w:color="auto" w:sz="4" w:space="0"/>
              <w:left w:val="single" w:color="auto" w:sz="4" w:space="0"/>
              <w:bottom w:val="single" w:color="auto" w:sz="4" w:space="0"/>
              <w:right w:val="single" w:color="auto" w:sz="4" w:space="0"/>
            </w:tcBorders>
          </w:tcPr>
          <w:p w:rsidRPr="00B763A6" w:rsidR="00645220" w:rsidP="003D3709" w:rsidRDefault="00B763A6" w14:paraId="480368A6" w14:textId="3BEC9043">
            <w:pPr>
              <w:widowControl w:val="0"/>
              <w:contextualSpacing/>
              <w:jc w:val="center"/>
              <w:rPr>
                <w:shd w:val="clear" w:color="auto" w:fill="CCFFCC"/>
              </w:rPr>
            </w:pPr>
            <w:r>
              <w:t>Colvin</w:t>
            </w:r>
          </w:p>
        </w:tc>
        <w:tc>
          <w:tcPr>
            <w:tcW w:w="2088" w:type="dxa"/>
            <w:tcBorders>
              <w:top w:val="single" w:color="auto" w:sz="4" w:space="0"/>
              <w:left w:val="single" w:color="auto" w:sz="4" w:space="0"/>
              <w:bottom w:val="single" w:color="auto" w:sz="4" w:space="0"/>
              <w:right w:val="single" w:color="auto" w:sz="4" w:space="0"/>
            </w:tcBorders>
          </w:tcPr>
          <w:p w:rsidRPr="00B763A6" w:rsidR="00645220" w:rsidP="003D3709" w:rsidRDefault="00B763A6" w14:paraId="45D28045" w14:textId="3CD869E6">
            <w:pPr>
              <w:widowControl w:val="0"/>
              <w:contextualSpacing/>
              <w:jc w:val="center"/>
              <w:rPr>
                <w:shd w:val="clear" w:color="auto" w:fill="CCFFCC"/>
              </w:rPr>
            </w:pPr>
            <w:r>
              <w:t>Expert</w:t>
            </w:r>
          </w:p>
        </w:tc>
        <w:tc>
          <w:tcPr>
            <w:tcW w:w="1748" w:type="dxa"/>
            <w:tcBorders>
              <w:top w:val="single" w:color="auto" w:sz="4" w:space="0"/>
              <w:left w:val="single" w:color="auto" w:sz="4" w:space="0"/>
              <w:bottom w:val="single" w:color="auto" w:sz="4" w:space="0"/>
              <w:right w:val="single" w:color="auto" w:sz="4" w:space="0"/>
            </w:tcBorders>
          </w:tcPr>
          <w:p w:rsidR="00645220" w:rsidP="003D3709" w:rsidRDefault="00645220" w14:paraId="378FBA59" w14:textId="77777777">
            <w:pPr>
              <w:widowControl w:val="0"/>
              <w:contextualSpacing/>
              <w:jc w:val="center"/>
            </w:pPr>
            <w:r>
              <w:t>$655</w:t>
            </w:r>
          </w:p>
        </w:tc>
        <w:tc>
          <w:tcPr>
            <w:tcW w:w="1725" w:type="dxa"/>
            <w:tcBorders>
              <w:top w:val="single" w:color="auto" w:sz="4" w:space="0"/>
              <w:left w:val="single" w:color="auto" w:sz="4" w:space="0"/>
              <w:bottom w:val="single" w:color="auto" w:sz="4" w:space="0"/>
              <w:right w:val="single" w:color="auto" w:sz="4" w:space="0"/>
            </w:tcBorders>
          </w:tcPr>
          <w:p w:rsidR="00645220" w:rsidP="003D3709" w:rsidRDefault="00645220" w14:paraId="1FECB5A9" w14:textId="77777777">
            <w:pPr>
              <w:widowControl w:val="0"/>
              <w:contextualSpacing/>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645220" w:rsidP="003D3709" w:rsidRDefault="4732AC9E" w14:paraId="5701D941" w14:textId="3D612EFC">
            <w:pPr>
              <w:widowControl w:val="0"/>
              <w:contextualSpacing/>
              <w:jc w:val="center"/>
            </w:pPr>
            <w:r>
              <w:t>$</w:t>
            </w:r>
            <w:r w:rsidR="51E2881F">
              <w:t>595</w:t>
            </w:r>
          </w:p>
        </w:tc>
      </w:tr>
      <w:tr w:rsidRPr="00B803D5" w:rsidR="00645220" w:rsidTr="512F9659" w14:paraId="00EB23AD"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B763A6" w:rsidR="00645220" w:rsidP="003D3709" w:rsidRDefault="00B763A6" w14:paraId="60FB1499" w14:textId="5075CE41">
            <w:pPr>
              <w:widowControl w:val="0"/>
              <w:contextualSpacing/>
              <w:jc w:val="center"/>
              <w:rPr>
                <w:shd w:val="clear" w:color="auto" w:fill="CCFFCC"/>
              </w:rPr>
            </w:pPr>
            <w:r>
              <w:t>Yochanan</w:t>
            </w:r>
          </w:p>
        </w:tc>
        <w:tc>
          <w:tcPr>
            <w:tcW w:w="1725" w:type="dxa"/>
            <w:tcBorders>
              <w:top w:val="single" w:color="auto" w:sz="4" w:space="0"/>
              <w:left w:val="single" w:color="auto" w:sz="4" w:space="0"/>
              <w:bottom w:val="single" w:color="auto" w:sz="4" w:space="0"/>
              <w:right w:val="single" w:color="auto" w:sz="4" w:space="0"/>
            </w:tcBorders>
          </w:tcPr>
          <w:p w:rsidRPr="00B763A6" w:rsidR="00645220" w:rsidP="003D3709" w:rsidRDefault="00B763A6" w14:paraId="1B520A13" w14:textId="3FD8E069">
            <w:pPr>
              <w:widowControl w:val="0"/>
              <w:contextualSpacing/>
              <w:jc w:val="center"/>
              <w:rPr>
                <w:shd w:val="clear" w:color="auto" w:fill="CCFFCC"/>
              </w:rPr>
            </w:pPr>
            <w:r>
              <w:t>Zakai</w:t>
            </w:r>
          </w:p>
        </w:tc>
        <w:tc>
          <w:tcPr>
            <w:tcW w:w="2088" w:type="dxa"/>
            <w:tcBorders>
              <w:top w:val="single" w:color="auto" w:sz="4" w:space="0"/>
              <w:left w:val="single" w:color="auto" w:sz="4" w:space="0"/>
              <w:bottom w:val="single" w:color="auto" w:sz="4" w:space="0"/>
              <w:right w:val="single" w:color="auto" w:sz="4" w:space="0"/>
            </w:tcBorders>
          </w:tcPr>
          <w:p w:rsidRPr="00B763A6" w:rsidR="00645220" w:rsidP="003D3709" w:rsidRDefault="00B763A6" w14:paraId="3559423C" w14:textId="4C61DC5A">
            <w:pPr>
              <w:widowControl w:val="0"/>
              <w:contextualSpacing/>
              <w:jc w:val="center"/>
              <w:rPr>
                <w:shd w:val="clear" w:color="auto" w:fill="CCFFCC"/>
              </w:rPr>
            </w:pPr>
            <w:r>
              <w:t>Attorney</w:t>
            </w:r>
            <w:bookmarkStart w:name="_Ref207792058" w:id="2"/>
            <w:r w:rsidR="00084FF0">
              <w:rPr>
                <w:rStyle w:val="FootnoteReference"/>
              </w:rPr>
              <w:footnoteReference w:id="13"/>
            </w:r>
            <w:bookmarkEnd w:id="2"/>
          </w:p>
        </w:tc>
        <w:tc>
          <w:tcPr>
            <w:tcW w:w="1748" w:type="dxa"/>
            <w:tcBorders>
              <w:top w:val="single" w:color="auto" w:sz="4" w:space="0"/>
              <w:left w:val="single" w:color="auto" w:sz="4" w:space="0"/>
              <w:bottom w:val="single" w:color="auto" w:sz="4" w:space="0"/>
              <w:right w:val="single" w:color="auto" w:sz="4" w:space="0"/>
            </w:tcBorders>
          </w:tcPr>
          <w:p w:rsidRPr="00B803D5" w:rsidR="00645220" w:rsidP="003D3709" w:rsidRDefault="35F6F4BB" w14:paraId="3C4ECEA4" w14:textId="056F95C5">
            <w:pPr>
              <w:widowControl w:val="0"/>
              <w:contextualSpacing/>
              <w:jc w:val="center"/>
            </w:pPr>
            <w:r>
              <w:t>$610</w:t>
            </w:r>
          </w:p>
        </w:tc>
        <w:tc>
          <w:tcPr>
            <w:tcW w:w="1725" w:type="dxa"/>
            <w:tcBorders>
              <w:top w:val="single" w:color="auto" w:sz="4" w:space="0"/>
              <w:left w:val="single" w:color="auto" w:sz="4" w:space="0"/>
              <w:bottom w:val="single" w:color="auto" w:sz="4" w:space="0"/>
              <w:right w:val="single" w:color="auto" w:sz="4" w:space="0"/>
            </w:tcBorders>
          </w:tcPr>
          <w:p w:rsidRPr="00B803D5" w:rsidR="00645220" w:rsidP="003D3709" w:rsidRDefault="00645220" w14:paraId="365A3110" w14:textId="1115EB8A">
            <w:pPr>
              <w:widowControl w:val="0"/>
              <w:contextualSpacing/>
              <w:jc w:val="center"/>
            </w:pPr>
            <w:r>
              <w:t>202</w:t>
            </w:r>
            <w:r w:rsidR="35F6F4BB">
              <w:t>4</w:t>
            </w:r>
          </w:p>
        </w:tc>
        <w:tc>
          <w:tcPr>
            <w:tcW w:w="1634" w:type="dxa"/>
            <w:tcBorders>
              <w:top w:val="single" w:color="auto" w:sz="4" w:space="0"/>
              <w:left w:val="single" w:color="auto" w:sz="4" w:space="0"/>
              <w:bottom w:val="single" w:color="auto" w:sz="4" w:space="0"/>
              <w:right w:val="single" w:color="auto" w:sz="4" w:space="0"/>
            </w:tcBorders>
          </w:tcPr>
          <w:p w:rsidRPr="00B803D5" w:rsidR="00645220" w:rsidP="003D3709" w:rsidRDefault="5F1ABF96" w14:paraId="3D18F13A" w14:textId="02A7F0B9">
            <w:pPr>
              <w:widowControl w:val="0"/>
              <w:contextualSpacing/>
              <w:jc w:val="center"/>
            </w:pPr>
            <w:r>
              <w:t>$610</w:t>
            </w:r>
          </w:p>
        </w:tc>
      </w:tr>
      <w:tr w:rsidRPr="00B803D5" w:rsidR="00B763A6" w:rsidTr="512F9659" w14:paraId="3DD7CEE7"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B763A6" w:rsidR="00B763A6" w:rsidP="003D3709" w:rsidRDefault="00B763A6" w14:paraId="57C46303" w14:textId="0BF86662">
            <w:pPr>
              <w:widowControl w:val="0"/>
              <w:contextualSpacing/>
              <w:jc w:val="center"/>
              <w:rPr>
                <w:shd w:val="clear" w:color="auto" w:fill="CCFFCC"/>
              </w:rPr>
            </w:pPr>
            <w:r>
              <w:t>Orran</w:t>
            </w:r>
          </w:p>
        </w:tc>
        <w:tc>
          <w:tcPr>
            <w:tcW w:w="1725" w:type="dxa"/>
            <w:tcBorders>
              <w:top w:val="single" w:color="auto" w:sz="4" w:space="0"/>
              <w:left w:val="single" w:color="auto" w:sz="4" w:space="0"/>
              <w:bottom w:val="single" w:color="auto" w:sz="4" w:space="0"/>
              <w:right w:val="single" w:color="auto" w:sz="4" w:space="0"/>
            </w:tcBorders>
          </w:tcPr>
          <w:p w:rsidRPr="00B763A6" w:rsidR="00B763A6" w:rsidP="003D3709" w:rsidRDefault="00B763A6" w14:paraId="241748A7" w14:textId="29AF2166">
            <w:pPr>
              <w:widowControl w:val="0"/>
              <w:contextualSpacing/>
              <w:jc w:val="center"/>
              <w:rPr>
                <w:shd w:val="clear" w:color="auto" w:fill="CCFFCC"/>
              </w:rPr>
            </w:pPr>
            <w:r>
              <w:t>Balagopalan</w:t>
            </w:r>
          </w:p>
        </w:tc>
        <w:tc>
          <w:tcPr>
            <w:tcW w:w="2088" w:type="dxa"/>
            <w:tcBorders>
              <w:top w:val="single" w:color="auto" w:sz="4" w:space="0"/>
              <w:left w:val="single" w:color="auto" w:sz="4" w:space="0"/>
              <w:bottom w:val="single" w:color="auto" w:sz="4" w:space="0"/>
              <w:right w:val="single" w:color="auto" w:sz="4" w:space="0"/>
            </w:tcBorders>
          </w:tcPr>
          <w:p w:rsidRPr="00B763A6" w:rsidR="00B763A6" w:rsidP="003D3709" w:rsidRDefault="00B763A6" w14:paraId="2C4AF673" w14:textId="67F1391F">
            <w:pPr>
              <w:widowControl w:val="0"/>
              <w:contextualSpacing/>
              <w:jc w:val="center"/>
              <w:rPr>
                <w:shd w:val="clear" w:color="auto" w:fill="CCFFCC"/>
              </w:rPr>
            </w:pPr>
            <w:r>
              <w:t>Attorney</w:t>
            </w:r>
            <w:r w:rsidR="00E5460D">
              <w:fldChar w:fldCharType="begin"/>
            </w:r>
            <w:r w:rsidR="00E5460D">
              <w:instrText xml:space="preserve"> NOTEREF _Ref207792058 \f \h </w:instrText>
            </w:r>
            <w:r w:rsidR="00E5460D">
              <w:fldChar w:fldCharType="separate"/>
            </w:r>
            <w:r w:rsidRPr="00E5460D" w:rsidR="00E5460D">
              <w:rPr>
                <w:rStyle w:val="FootnoteReference"/>
              </w:rPr>
              <w:t>10</w:t>
            </w:r>
            <w:r w:rsidR="00E5460D">
              <w:fldChar w:fldCharType="end"/>
            </w:r>
          </w:p>
        </w:tc>
        <w:tc>
          <w:tcPr>
            <w:tcW w:w="1748" w:type="dxa"/>
            <w:tcBorders>
              <w:top w:val="single" w:color="auto" w:sz="4" w:space="0"/>
              <w:left w:val="single" w:color="auto" w:sz="4" w:space="0"/>
              <w:bottom w:val="single" w:color="auto" w:sz="4" w:space="0"/>
              <w:right w:val="single" w:color="auto" w:sz="4" w:space="0"/>
            </w:tcBorders>
          </w:tcPr>
          <w:p w:rsidRPr="00B803D5" w:rsidR="00B763A6" w:rsidP="003D3709" w:rsidRDefault="00B763A6" w14:paraId="52DD7411" w14:textId="77777777">
            <w:pPr>
              <w:widowControl w:val="0"/>
              <w:contextualSpacing/>
              <w:jc w:val="center"/>
            </w:pPr>
            <w:r>
              <w:t>$330</w:t>
            </w:r>
          </w:p>
        </w:tc>
        <w:tc>
          <w:tcPr>
            <w:tcW w:w="1725" w:type="dxa"/>
            <w:tcBorders>
              <w:top w:val="single" w:color="auto" w:sz="4" w:space="0"/>
              <w:left w:val="single" w:color="auto" w:sz="4" w:space="0"/>
              <w:bottom w:val="single" w:color="auto" w:sz="4" w:space="0"/>
              <w:right w:val="single" w:color="auto" w:sz="4" w:space="0"/>
            </w:tcBorders>
          </w:tcPr>
          <w:p w:rsidRPr="00B803D5" w:rsidR="00B763A6" w:rsidP="003D3709" w:rsidRDefault="00B763A6" w14:paraId="14BA854C" w14:textId="77777777">
            <w:pPr>
              <w:widowControl w:val="0"/>
              <w:contextualSpacing/>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B763A6" w:rsidP="003D3709" w:rsidRDefault="00B763A6" w14:paraId="52987546" w14:textId="5A2AA5BA">
            <w:pPr>
              <w:widowControl w:val="0"/>
              <w:contextualSpacing/>
              <w:jc w:val="center"/>
            </w:pPr>
            <w:r>
              <w:t>$330</w:t>
            </w:r>
          </w:p>
        </w:tc>
      </w:tr>
    </w:tbl>
    <w:p w:rsidR="00645220" w:rsidP="003D3709" w:rsidRDefault="00645220" w14:paraId="7839F82F" w14:textId="77777777">
      <w:pPr>
        <w:widowControl w:val="0"/>
        <w:contextualSpacing/>
        <w:rPr>
          <w:b/>
        </w:rPr>
      </w:pPr>
    </w:p>
    <w:p w:rsidR="00645220" w:rsidP="003D3709" w:rsidRDefault="00645220" w14:paraId="62F329F1" w14:textId="77777777">
      <w:pPr>
        <w:widowControl w:val="0"/>
        <w:contextualSpacing/>
        <w:rPr>
          <w:b/>
        </w:rPr>
      </w:pPr>
    </w:p>
    <w:p w:rsidR="00645220" w:rsidP="003D3709" w:rsidRDefault="00645220" w14:paraId="259D00F5" w14:textId="77777777">
      <w:pPr>
        <w:widowControl w:val="0"/>
        <w:contextualSpacing/>
        <w:rPr>
          <w:b/>
        </w:rPr>
      </w:pPr>
    </w:p>
    <w:p w:rsidR="00645220" w:rsidP="003D3709" w:rsidRDefault="00645220" w14:paraId="133A7AE4" w14:textId="77777777">
      <w:pPr>
        <w:widowControl w:val="0"/>
        <w:contextualSpacing/>
        <w:jc w:val="center"/>
        <w:rPr>
          <w:b/>
        </w:rPr>
      </w:pPr>
      <w:r w:rsidRPr="00B803D5">
        <w:rPr>
          <w:b/>
        </w:rPr>
        <w:t xml:space="preserve">(END OF </w:t>
      </w:r>
      <w:r w:rsidRPr="00B803D5">
        <w:rPr>
          <w:b/>
          <w:szCs w:val="26"/>
        </w:rPr>
        <w:t>APPENDIX</w:t>
      </w:r>
      <w:r w:rsidRPr="00B803D5">
        <w:rPr>
          <w:b/>
        </w:rPr>
        <w:t>)</w:t>
      </w:r>
    </w:p>
    <w:p w:rsidRPr="00A6363D" w:rsidR="00645220" w:rsidP="003D3709" w:rsidRDefault="00645220" w14:paraId="45894608" w14:textId="77777777">
      <w:pPr>
        <w:widowControl w:val="0"/>
        <w:contextualSpacing/>
        <w:rPr>
          <w:noProof/>
          <w:spacing w:val="-2"/>
          <w:sz w:val="16"/>
        </w:rPr>
      </w:pPr>
    </w:p>
    <w:p w:rsidRPr="00DB3B77" w:rsidR="00645220" w:rsidP="003D3709" w:rsidRDefault="00645220" w14:paraId="3E508C81" w14:textId="77777777">
      <w:pPr>
        <w:pStyle w:val="Normal0"/>
        <w:widowControl w:val="0"/>
        <w:contextualSpacing/>
        <w:rPr>
          <w:bCs/>
          <w:iCs/>
          <w:noProof/>
          <w:spacing w:val="-2"/>
          <w:szCs w:val="32"/>
        </w:rPr>
      </w:pPr>
    </w:p>
    <w:p w:rsidRPr="00B6688F" w:rsidR="00645220" w:rsidP="003D3709" w:rsidRDefault="00645220" w14:paraId="332B0469" w14:textId="77777777">
      <w:pPr>
        <w:pStyle w:val="Normal0"/>
        <w:widowControl w:val="0"/>
        <w:contextualSpacing/>
        <w:rPr>
          <w:noProof/>
          <w:spacing w:val="-2"/>
          <w:sz w:val="16"/>
        </w:rPr>
      </w:pPr>
    </w:p>
    <w:p w:rsidRPr="00B7141B" w:rsidR="00645220" w:rsidP="003D3709" w:rsidRDefault="00645220" w14:paraId="1454F7EE" w14:textId="3C3C2BA9">
      <w:pPr>
        <w:pStyle w:val="Normal0"/>
        <w:contextualSpacing/>
      </w:pPr>
    </w:p>
    <w:p w:rsidRPr="00B7141B" w:rsidR="00645220" w:rsidP="003D3709" w:rsidRDefault="00645220" w14:paraId="1AB81964" w14:textId="77777777">
      <w:pPr>
        <w:pStyle w:val="Normal0"/>
        <w:contextualSpacing/>
      </w:pPr>
    </w:p>
    <w:p w:rsidRPr="00B7141B" w:rsidR="00FC3907" w:rsidP="003D3709" w:rsidRDefault="00FC3907" w14:paraId="0D4DB375" w14:textId="77777777">
      <w:pPr>
        <w:pStyle w:val="Normal0"/>
        <w:contextualSpacing/>
      </w:pPr>
    </w:p>
    <w:sectPr w:rsidRPr="00B7141B" w:rsidR="00FC3907">
      <w:headerReference w:type="even"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CF298" w14:textId="77777777" w:rsidR="00640E75" w:rsidRDefault="00640E75" w:rsidP="00FC3907">
      <w:r>
        <w:separator/>
      </w:r>
    </w:p>
  </w:endnote>
  <w:endnote w:type="continuationSeparator" w:id="0">
    <w:p w14:paraId="1CD356FF" w14:textId="77777777" w:rsidR="00640E75" w:rsidRDefault="00640E75" w:rsidP="00FC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3797063B" w14:textId="77777777" w:rsidR="00645220" w:rsidRDefault="00645220" w:rsidP="00880855">
        <w:pPr>
          <w:pStyle w:val="Footer"/>
          <w:jc w:val="center"/>
        </w:pPr>
        <w:r>
          <w:fldChar w:fldCharType="begin"/>
        </w:r>
        <w:r>
          <w:instrText xml:space="preserve"> PAGE   \* MERGEFORMAT </w:instrText>
        </w:r>
        <w:r>
          <w:fldChar w:fldCharType="separate"/>
        </w:r>
        <w:r>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0266" w14:textId="3171B626" w:rsidR="00645220" w:rsidRDefault="001068B3" w:rsidP="00066FF5">
    <w:pPr>
      <w:pStyle w:val="Footer"/>
    </w:pPr>
    <w:r w:rsidRPr="001068B3">
      <w:rPr>
        <w:sz w:val="16"/>
        <w:szCs w:val="16"/>
      </w:rPr>
      <w:t>589953377</w:t>
    </w:r>
    <w:r w:rsidR="00066FF5">
      <w:tab/>
    </w:r>
    <w:sdt>
      <w:sdtPr>
        <w:id w:val="66549329"/>
        <w:docPartObj>
          <w:docPartGallery w:val="Page Numbers (Bottom of Page)"/>
          <w:docPartUnique/>
        </w:docPartObj>
      </w:sdtPr>
      <w:sdtEndPr>
        <w:rPr>
          <w:noProof/>
        </w:rPr>
      </w:sdtEndPr>
      <w:sdtContent>
        <w:r w:rsidR="00645220">
          <w:fldChar w:fldCharType="begin"/>
        </w:r>
        <w:r w:rsidR="00645220">
          <w:instrText xml:space="preserve"> PAGE   \* MERGEFORMAT </w:instrText>
        </w:r>
        <w:r w:rsidR="00645220">
          <w:fldChar w:fldCharType="separate"/>
        </w:r>
        <w:r w:rsidR="00645220">
          <w:rPr>
            <w:noProof/>
          </w:rPr>
          <w:t>- 1 -</w:t>
        </w:r>
        <w:r w:rsidR="0064522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8D52" w14:textId="77777777" w:rsidR="002653BE" w:rsidRDefault="002653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1DF6" w14:textId="77777777" w:rsidR="002653BE" w:rsidRDefault="002653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83F1" w14:textId="77777777" w:rsidR="002653BE" w:rsidRDefault="00265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FAAA9" w14:textId="77777777" w:rsidR="00640E75" w:rsidRDefault="00640E75" w:rsidP="00FC3907">
      <w:r>
        <w:separator/>
      </w:r>
    </w:p>
  </w:footnote>
  <w:footnote w:type="continuationSeparator" w:id="0">
    <w:p w14:paraId="58E8F673" w14:textId="77777777" w:rsidR="00640E75" w:rsidRDefault="00640E75" w:rsidP="00FC3907">
      <w:r>
        <w:continuationSeparator/>
      </w:r>
    </w:p>
  </w:footnote>
  <w:footnote w:type="continuationNotice" w:id="1">
    <w:p w14:paraId="44C26E88" w14:textId="77777777" w:rsidR="00640E75" w:rsidRDefault="00640E75">
      <w:r w:rsidRPr="002653BE">
        <w:t xml:space="preserve">(footnote </w:t>
      </w:r>
      <w:proofErr w:type="gramStart"/>
      <w:r w:rsidRPr="002653BE">
        <w:t>continued on</w:t>
      </w:r>
      <w:proofErr w:type="gramEnd"/>
      <w:r w:rsidRPr="002653BE">
        <w:t xml:space="preserve"> next page)</w:t>
      </w:r>
    </w:p>
  </w:footnote>
  <w:footnote w:id="2">
    <w:p w14:paraId="23D0D4F0" w14:textId="34608549" w:rsidR="1F222C3D" w:rsidRDefault="1F222C3D" w:rsidP="1F222C3D">
      <w:pPr>
        <w:pStyle w:val="FootnoteText"/>
        <w:rPr>
          <w:rFonts w:eastAsia="Times New Roman"/>
          <w:color w:val="000000" w:themeColor="text1"/>
          <w:szCs w:val="24"/>
        </w:rPr>
      </w:pPr>
      <w:r>
        <w:footnoteRef/>
      </w:r>
      <w:r>
        <w:t xml:space="preserve"> </w:t>
      </w:r>
      <w:r w:rsidRPr="1F222C3D">
        <w:rPr>
          <w:rFonts w:eastAsia="Times New Roman"/>
          <w:color w:val="000000" w:themeColor="text1"/>
          <w:szCs w:val="24"/>
        </w:rPr>
        <w:t>Arithmetic error detailed in footnotes 4-6. Corrected total: $16,418.50.</w:t>
      </w:r>
    </w:p>
  </w:footnote>
  <w:footnote w:id="3">
    <w:p w14:paraId="3D8412D8" w14:textId="6B3034CB" w:rsidR="00C57D18" w:rsidRPr="003D3709" w:rsidRDefault="00C57D18">
      <w:pPr>
        <w:pStyle w:val="FootnoteText"/>
        <w:rPr>
          <w:lang w:val="en-ZW"/>
        </w:rPr>
      </w:pPr>
      <w:r>
        <w:rPr>
          <w:rStyle w:val="FootnoteReference"/>
        </w:rPr>
        <w:footnoteRef/>
      </w:r>
      <w:r>
        <w:t xml:space="preserve"> </w:t>
      </w:r>
      <w:r w:rsidR="00145FBE">
        <w:rPr>
          <w:lang w:val="en-ZW"/>
        </w:rPr>
        <w:t>Admin</w:t>
      </w:r>
      <w:r w:rsidR="003C762B">
        <w:rPr>
          <w:lang w:val="en-ZW"/>
        </w:rPr>
        <w:t>istrative Law Judge (ALJ) Colin Rizzo was co-</w:t>
      </w:r>
      <w:r w:rsidR="003D3709">
        <w:rPr>
          <w:lang w:val="en-ZW"/>
        </w:rPr>
        <w:t>assigned</w:t>
      </w:r>
      <w:r w:rsidR="003C762B">
        <w:rPr>
          <w:lang w:val="en-ZW"/>
        </w:rPr>
        <w:t xml:space="preserve"> on March 19, 2025.</w:t>
      </w:r>
    </w:p>
  </w:footnote>
  <w:footnote w:id="4">
    <w:p w14:paraId="10DB1982" w14:textId="77777777" w:rsidR="00645220" w:rsidRDefault="00645220" w:rsidP="00645220">
      <w:pPr>
        <w:pStyle w:val="FootnoteText"/>
      </w:pPr>
      <w:r>
        <w:rPr>
          <w:rStyle w:val="FootnoteReference"/>
        </w:rPr>
        <w:footnoteRef/>
      </w:r>
      <w:r>
        <w:t xml:space="preserve"> All statutory references are to California Public Utilities Code unless indicated otherwise.</w:t>
      </w:r>
    </w:p>
  </w:footnote>
  <w:footnote w:id="5">
    <w:p w14:paraId="02127E69" w14:textId="7EAFF3D0" w:rsidR="3E76C407" w:rsidRDefault="3E76C407" w:rsidP="003D3709">
      <w:pPr>
        <w:pStyle w:val="FootnoteText"/>
      </w:pPr>
      <w:r>
        <w:footnoteRef/>
      </w:r>
      <w:r w:rsidR="1F222C3D">
        <w:t xml:space="preserve"> </w:t>
      </w:r>
      <w:r w:rsidR="1F222C3D" w:rsidRPr="1F222C3D">
        <w:rPr>
          <w:rFonts w:eastAsia="Times New Roman"/>
          <w:color w:val="000000" w:themeColor="text1"/>
          <w:szCs w:val="24"/>
        </w:rPr>
        <w:t>Rounding error. 9.5 x $655 = $6</w:t>
      </w:r>
      <w:r w:rsidR="1F222C3D">
        <w:t>,222.50</w:t>
      </w:r>
    </w:p>
  </w:footnote>
  <w:footnote w:id="6">
    <w:p w14:paraId="276FC64F" w14:textId="54D1C9A5" w:rsidR="3E76C407" w:rsidRDefault="3E76C407" w:rsidP="3E76C407">
      <w:pPr>
        <w:pStyle w:val="FootnoteText"/>
      </w:pPr>
      <w:r>
        <w:footnoteRef/>
      </w:r>
      <w:r w:rsidR="038E2143">
        <w:t xml:space="preserve"> </w:t>
      </w:r>
      <w:r w:rsidR="038E2143" w:rsidRPr="038E2143">
        <w:rPr>
          <w:rFonts w:eastAsia="Times New Roman"/>
          <w:color w:val="000000" w:themeColor="text1"/>
          <w:szCs w:val="24"/>
        </w:rPr>
        <w:t>Rounding error carried over from Michael Colvin’s 2024 total. Corrected total: $1</w:t>
      </w:r>
      <w:r w:rsidR="038E2143">
        <w:t>5,222.50</w:t>
      </w:r>
    </w:p>
  </w:footnote>
  <w:footnote w:id="7">
    <w:p w14:paraId="2A9ACF75" w14:textId="4E09BA2F" w:rsidR="3E76C407" w:rsidRDefault="3E76C407" w:rsidP="003D3709">
      <w:pPr>
        <w:pStyle w:val="FootnoteText"/>
        <w:rPr>
          <w:rFonts w:eastAsia="Times New Roman"/>
          <w:color w:val="000000" w:themeColor="text1"/>
          <w:szCs w:val="24"/>
        </w:rPr>
      </w:pPr>
      <w:r>
        <w:footnoteRef/>
      </w:r>
      <w:r w:rsidR="1F222C3D">
        <w:t xml:space="preserve"> Arithmetic </w:t>
      </w:r>
      <w:r w:rsidR="1F222C3D" w:rsidRPr="1F222C3D">
        <w:rPr>
          <w:rFonts w:eastAsia="Times New Roman"/>
          <w:color w:val="000000" w:themeColor="text1"/>
          <w:szCs w:val="24"/>
        </w:rPr>
        <w:t>error carried over from Michael Colvin’s 2024 total. Corrected total: $16,418.50</w:t>
      </w:r>
    </w:p>
  </w:footnote>
  <w:footnote w:id="8">
    <w:p w14:paraId="61A0DCA1" w14:textId="77777777" w:rsidR="00645220" w:rsidRPr="00DE3A5D" w:rsidRDefault="00645220" w:rsidP="00645220">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Pr="00A86489">
          <w:rPr>
            <w:rStyle w:val="Hyperlink"/>
            <w:szCs w:val="22"/>
          </w:rPr>
          <w:t>http://members.calbar.ca.gov/fal/MemberSearch/QuickSearch</w:t>
        </w:r>
      </w:hyperlink>
      <w:r>
        <w:rPr>
          <w:color w:val="000000"/>
        </w:rPr>
        <w:t>.</w:t>
      </w:r>
    </w:p>
  </w:footnote>
  <w:footnote w:id="9">
    <w:p w14:paraId="4FF7450A" w14:textId="0381C3F2" w:rsidR="00084FF0" w:rsidRPr="003D3709" w:rsidRDefault="00084FF0">
      <w:pPr>
        <w:pStyle w:val="FootnoteText"/>
        <w:rPr>
          <w:lang w:val="en-ZW"/>
        </w:rPr>
      </w:pPr>
      <w:r>
        <w:rPr>
          <w:rStyle w:val="FootnoteReference"/>
        </w:rPr>
        <w:footnoteRef/>
      </w:r>
      <w:r>
        <w:t xml:space="preserve"> </w:t>
      </w:r>
      <w:r>
        <w:rPr>
          <w:lang w:val="en-ZW"/>
        </w:rPr>
        <w:t>Attachments not included in the final decision.</w:t>
      </w:r>
    </w:p>
  </w:footnote>
  <w:footnote w:id="10">
    <w:p w14:paraId="733CF89B" w14:textId="77777777" w:rsidR="00645220" w:rsidRDefault="00645220" w:rsidP="00645220">
      <w:pPr>
        <w:pStyle w:val="FootnoteText"/>
        <w:rPr>
          <w:rFonts w:eastAsiaTheme="minorHAnsi"/>
          <w:szCs w:val="22"/>
        </w:rPr>
      </w:pPr>
      <w:r>
        <w:rPr>
          <w:rStyle w:val="FootnoteReference"/>
        </w:rPr>
        <w:t>[1]</w:t>
      </w:r>
      <w:r>
        <w:t xml:space="preserve"> Resolution ALJ-393 at 6 (Dec. 17, 2020) (“We have modified the definition [in the hourly rate chart] of labor roles for Legal Directors and Attorneys to include ‘licensing by any jurisdiction within the United States.’”). The hourly rate chart posted on the Commission’s intervenor compensation website has not been updated to reflect this modification. </w:t>
      </w:r>
    </w:p>
  </w:footnote>
  <w:footnote w:id="11">
    <w:p w14:paraId="051A56A3" w14:textId="77777777" w:rsidR="00645220" w:rsidRDefault="00645220" w:rsidP="00645220">
      <w:pPr>
        <w:pStyle w:val="FootnoteText"/>
      </w:pPr>
      <w:r>
        <w:rPr>
          <w:rStyle w:val="FootnoteReference"/>
        </w:rPr>
        <w:t>[2]</w:t>
      </w:r>
      <w:r>
        <w:t xml:space="preserve"> TURN Reply Comments on Draft Resolution ALJ-393 at 2 (Dec. 11, 2020) (“the Commission has never required that attorneys be members of the California Bar to be compensated on the attorney hourly rate scale, </w:t>
      </w:r>
      <w:proofErr w:type="gramStart"/>
      <w:r>
        <w:t>as long as</w:t>
      </w:r>
      <w:proofErr w:type="gramEnd"/>
      <w:r>
        <w:t xml:space="preserve"> they are licensed by another jurisdiction within the United States. Restricting the Attorney and Legal Director Labor Roles to attorneys licensed by the California Bar would be a major change of practice for intervenors with a national presence, who bring unique value to the Commission’s proceedings because of their national perspective.”). </w:t>
      </w:r>
    </w:p>
  </w:footnote>
  <w:footnote w:id="12">
    <w:p w14:paraId="7AEDB82C" w14:textId="074E9A4D" w:rsidR="3E76C407" w:rsidRDefault="00E5460D" w:rsidP="003D3709">
      <w:pPr>
        <w:pStyle w:val="FootnoteText"/>
        <w:rPr>
          <w:rFonts w:eastAsia="Times New Roman"/>
          <w:color w:val="000000" w:themeColor="text1"/>
          <w:szCs w:val="24"/>
        </w:rPr>
      </w:pPr>
      <w:r>
        <w:fldChar w:fldCharType="begin"/>
      </w:r>
      <w:r>
        <w:instrText xml:space="preserve"> NOTEREF _Ref207792808 \f \h </w:instrText>
      </w:r>
      <w:r>
        <w:fldChar w:fldCharType="separate"/>
      </w:r>
      <w:r w:rsidRPr="00E5460D">
        <w:rPr>
          <w:rStyle w:val="FootnoteReference"/>
        </w:rPr>
        <w:t>9</w:t>
      </w:r>
      <w:r>
        <w:fldChar w:fldCharType="end"/>
      </w:r>
      <w:r w:rsidR="1F222C3D">
        <w:t>Arithmetic error explained in footnotes 4-6. Corrected total:</w:t>
      </w:r>
      <w:r w:rsidR="1F222C3D" w:rsidRPr="1F222C3D">
        <w:rPr>
          <w:rFonts w:eastAsia="Times New Roman"/>
          <w:color w:val="000000" w:themeColor="text1"/>
          <w:szCs w:val="24"/>
        </w:rPr>
        <w:t xml:space="preserve"> $16,418.50.</w:t>
      </w:r>
    </w:p>
  </w:footnote>
  <w:footnote w:id="13">
    <w:p w14:paraId="614F5770" w14:textId="7092D649" w:rsidR="00084FF0" w:rsidRPr="003D3709" w:rsidRDefault="00084FF0">
      <w:pPr>
        <w:pStyle w:val="FootnoteText"/>
        <w:rPr>
          <w:lang w:val="en-ZW"/>
        </w:rPr>
      </w:pPr>
      <w:r>
        <w:rPr>
          <w:rStyle w:val="FootnoteReference"/>
        </w:rPr>
        <w:footnoteRef/>
      </w:r>
      <w:r>
        <w:t xml:space="preserve"> </w:t>
      </w:r>
      <w:r>
        <w:rPr>
          <w:lang w:val="en-ZW"/>
        </w:rPr>
        <w:t>Consultant to EDF.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3F18" w14:textId="61C6BDA7" w:rsidR="00645220" w:rsidRDefault="00066FF5">
    <w:pPr>
      <w:pStyle w:val="Header"/>
    </w:pPr>
    <w:r>
      <w:t>R.20-05-003 ALJ/JF2/CR2/hma</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1B41" w14:textId="77777777" w:rsidR="002653BE" w:rsidRPr="002653BE" w:rsidRDefault="00265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E0BC" w14:textId="77777777" w:rsidR="002653BE" w:rsidRDefault="00265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15:restartNumberingAfterBreak="0">
    <w:nsid w:val="0C26A1FE"/>
    <w:multiLevelType w:val="hybridMultilevel"/>
    <w:tmpl w:val="0EE02814"/>
    <w:lvl w:ilvl="0" w:tplc="DC425D6E">
      <w:start w:val="1"/>
      <w:numFmt w:val="upperLetter"/>
      <w:lvlText w:val="%1."/>
      <w:lvlJc w:val="left"/>
      <w:pPr>
        <w:ind w:left="360" w:hanging="360"/>
      </w:pPr>
      <w:rPr>
        <w:i w:val="0"/>
        <w:iCs w:val="0"/>
      </w:rPr>
    </w:lvl>
    <w:lvl w:ilvl="1" w:tplc="189EAA2E">
      <w:start w:val="1"/>
      <w:numFmt w:val="lowerLetter"/>
      <w:lvlText w:val="%2."/>
      <w:lvlJc w:val="left"/>
      <w:pPr>
        <w:ind w:left="1440" w:hanging="360"/>
      </w:pPr>
    </w:lvl>
    <w:lvl w:ilvl="2" w:tplc="384ACE02">
      <w:start w:val="1"/>
      <w:numFmt w:val="lowerRoman"/>
      <w:lvlText w:val="%3."/>
      <w:lvlJc w:val="right"/>
      <w:pPr>
        <w:ind w:left="2160" w:hanging="180"/>
      </w:pPr>
    </w:lvl>
    <w:lvl w:ilvl="3" w:tplc="B98CBB2A">
      <w:start w:val="1"/>
      <w:numFmt w:val="decimal"/>
      <w:lvlText w:val="%4."/>
      <w:lvlJc w:val="left"/>
      <w:pPr>
        <w:ind w:left="2880" w:hanging="360"/>
      </w:pPr>
    </w:lvl>
    <w:lvl w:ilvl="4" w:tplc="B36A6E32">
      <w:start w:val="1"/>
      <w:numFmt w:val="lowerLetter"/>
      <w:lvlText w:val="%5."/>
      <w:lvlJc w:val="left"/>
      <w:pPr>
        <w:ind w:left="3600" w:hanging="360"/>
      </w:pPr>
    </w:lvl>
    <w:lvl w:ilvl="5" w:tplc="13EA6D58">
      <w:start w:val="1"/>
      <w:numFmt w:val="lowerRoman"/>
      <w:lvlText w:val="%6."/>
      <w:lvlJc w:val="right"/>
      <w:pPr>
        <w:ind w:left="4320" w:hanging="180"/>
      </w:pPr>
    </w:lvl>
    <w:lvl w:ilvl="6" w:tplc="500E95A6">
      <w:start w:val="1"/>
      <w:numFmt w:val="decimal"/>
      <w:lvlText w:val="%7."/>
      <w:lvlJc w:val="left"/>
      <w:pPr>
        <w:ind w:left="5040" w:hanging="360"/>
      </w:pPr>
    </w:lvl>
    <w:lvl w:ilvl="7" w:tplc="81D669E6">
      <w:start w:val="1"/>
      <w:numFmt w:val="lowerLetter"/>
      <w:lvlText w:val="%8."/>
      <w:lvlJc w:val="left"/>
      <w:pPr>
        <w:ind w:left="5760" w:hanging="360"/>
      </w:pPr>
    </w:lvl>
    <w:lvl w:ilvl="8" w:tplc="F92A5A02">
      <w:start w:val="1"/>
      <w:numFmt w:val="lowerRoman"/>
      <w:lvlText w:val="%9."/>
      <w:lvlJc w:val="right"/>
      <w:pPr>
        <w:ind w:left="6480" w:hanging="180"/>
      </w:pPr>
    </w:lvl>
  </w:abstractNum>
  <w:abstractNum w:abstractNumId="6" w15:restartNumberingAfterBreak="0">
    <w:nsid w:val="140EAE79"/>
    <w:multiLevelType w:val="hybridMultilevel"/>
    <w:tmpl w:val="DAEC3DE6"/>
    <w:lvl w:ilvl="0" w:tplc="2CE6D5EC">
      <w:start w:val="1"/>
      <w:numFmt w:val="decimal"/>
      <w:lvlText w:val="%1."/>
      <w:lvlJc w:val="left"/>
      <w:pPr>
        <w:ind w:left="720" w:hanging="360"/>
      </w:pPr>
    </w:lvl>
    <w:lvl w:ilvl="1" w:tplc="3668A534">
      <w:start w:val="1"/>
      <w:numFmt w:val="lowerLetter"/>
      <w:lvlText w:val="%2."/>
      <w:lvlJc w:val="left"/>
      <w:pPr>
        <w:ind w:left="1440" w:hanging="360"/>
      </w:pPr>
    </w:lvl>
    <w:lvl w:ilvl="2" w:tplc="51E2B8B0">
      <w:start w:val="1"/>
      <w:numFmt w:val="lowerRoman"/>
      <w:lvlText w:val="%3."/>
      <w:lvlJc w:val="right"/>
      <w:pPr>
        <w:ind w:left="2160" w:hanging="180"/>
      </w:pPr>
    </w:lvl>
    <w:lvl w:ilvl="3" w:tplc="B1049654">
      <w:start w:val="1"/>
      <w:numFmt w:val="decimal"/>
      <w:lvlText w:val="%4."/>
      <w:lvlJc w:val="left"/>
      <w:pPr>
        <w:ind w:left="2880" w:hanging="360"/>
      </w:pPr>
    </w:lvl>
    <w:lvl w:ilvl="4" w:tplc="9A72888C">
      <w:start w:val="1"/>
      <w:numFmt w:val="lowerLetter"/>
      <w:lvlText w:val="%5."/>
      <w:lvlJc w:val="left"/>
      <w:pPr>
        <w:ind w:left="3600" w:hanging="360"/>
      </w:pPr>
    </w:lvl>
    <w:lvl w:ilvl="5" w:tplc="C570E842">
      <w:start w:val="1"/>
      <w:numFmt w:val="lowerRoman"/>
      <w:lvlText w:val="%6."/>
      <w:lvlJc w:val="right"/>
      <w:pPr>
        <w:ind w:left="4320" w:hanging="180"/>
      </w:pPr>
    </w:lvl>
    <w:lvl w:ilvl="6" w:tplc="BAC81C8A">
      <w:start w:val="1"/>
      <w:numFmt w:val="decimal"/>
      <w:lvlText w:val="%7."/>
      <w:lvlJc w:val="left"/>
      <w:pPr>
        <w:ind w:left="5040" w:hanging="360"/>
      </w:pPr>
    </w:lvl>
    <w:lvl w:ilvl="7" w:tplc="5AD4CF02">
      <w:start w:val="1"/>
      <w:numFmt w:val="lowerLetter"/>
      <w:lvlText w:val="%8."/>
      <w:lvlJc w:val="left"/>
      <w:pPr>
        <w:ind w:left="5760" w:hanging="360"/>
      </w:pPr>
    </w:lvl>
    <w:lvl w:ilvl="8" w:tplc="0FC09314">
      <w:start w:val="1"/>
      <w:numFmt w:val="lowerRoman"/>
      <w:lvlText w:val="%9."/>
      <w:lvlJc w:val="right"/>
      <w:pPr>
        <w:ind w:left="6480" w:hanging="180"/>
      </w:pPr>
    </w:lvl>
  </w:abstractNum>
  <w:abstractNum w:abstractNumId="7" w15:restartNumberingAfterBreak="0">
    <w:nsid w:val="37394403"/>
    <w:multiLevelType w:val="hybridMultilevel"/>
    <w:tmpl w:val="EA9C2A94"/>
    <w:lvl w:ilvl="0" w:tplc="E6246F80">
      <w:start w:val="1"/>
      <w:numFmt w:val="bullet"/>
      <w:lvlRestart w:val="0"/>
      <w:pStyle w:val="Bullets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4201B3"/>
    <w:multiLevelType w:val="hybridMultilevel"/>
    <w:tmpl w:val="F252D448"/>
    <w:lvl w:ilvl="0" w:tplc="58505A94">
      <w:start w:val="1"/>
      <w:numFmt w:val="upperLetter"/>
      <w:lvlText w:val="%1."/>
      <w:lvlJc w:val="left"/>
      <w:pPr>
        <w:ind w:left="720" w:hanging="360"/>
      </w:pPr>
    </w:lvl>
    <w:lvl w:ilvl="1" w:tplc="41061572">
      <w:start w:val="1"/>
      <w:numFmt w:val="lowerLetter"/>
      <w:lvlText w:val="%2."/>
      <w:lvlJc w:val="left"/>
      <w:pPr>
        <w:ind w:left="1440" w:hanging="360"/>
      </w:pPr>
    </w:lvl>
    <w:lvl w:ilvl="2" w:tplc="30E66160">
      <w:start w:val="1"/>
      <w:numFmt w:val="lowerRoman"/>
      <w:lvlText w:val="%3."/>
      <w:lvlJc w:val="right"/>
      <w:pPr>
        <w:ind w:left="2160" w:hanging="180"/>
      </w:pPr>
    </w:lvl>
    <w:lvl w:ilvl="3" w:tplc="1F0C5240">
      <w:start w:val="1"/>
      <w:numFmt w:val="decimal"/>
      <w:lvlText w:val="%4."/>
      <w:lvlJc w:val="left"/>
      <w:pPr>
        <w:ind w:left="2880" w:hanging="360"/>
      </w:pPr>
    </w:lvl>
    <w:lvl w:ilvl="4" w:tplc="B180207A">
      <w:start w:val="1"/>
      <w:numFmt w:val="lowerLetter"/>
      <w:lvlText w:val="%5."/>
      <w:lvlJc w:val="left"/>
      <w:pPr>
        <w:ind w:left="3600" w:hanging="360"/>
      </w:pPr>
    </w:lvl>
    <w:lvl w:ilvl="5" w:tplc="2EB65C18">
      <w:start w:val="1"/>
      <w:numFmt w:val="lowerRoman"/>
      <w:lvlText w:val="%6."/>
      <w:lvlJc w:val="right"/>
      <w:pPr>
        <w:ind w:left="4320" w:hanging="180"/>
      </w:pPr>
    </w:lvl>
    <w:lvl w:ilvl="6" w:tplc="7218A4F2">
      <w:start w:val="1"/>
      <w:numFmt w:val="decimal"/>
      <w:lvlText w:val="%7."/>
      <w:lvlJc w:val="left"/>
      <w:pPr>
        <w:ind w:left="5040" w:hanging="360"/>
      </w:pPr>
    </w:lvl>
    <w:lvl w:ilvl="7" w:tplc="6EF4F8BA">
      <w:start w:val="1"/>
      <w:numFmt w:val="lowerLetter"/>
      <w:lvlText w:val="%8."/>
      <w:lvlJc w:val="left"/>
      <w:pPr>
        <w:ind w:left="5760" w:hanging="360"/>
      </w:pPr>
    </w:lvl>
    <w:lvl w:ilvl="8" w:tplc="964679DA">
      <w:start w:val="1"/>
      <w:numFmt w:val="lowerRoman"/>
      <w:lvlText w:val="%9."/>
      <w:lvlJc w:val="right"/>
      <w:pPr>
        <w:ind w:left="6480" w:hanging="180"/>
      </w:pPr>
    </w:lvl>
  </w:abstractNum>
  <w:abstractNum w:abstractNumId="9" w15:restartNumberingAfterBreak="0">
    <w:nsid w:val="4C50DA0F"/>
    <w:multiLevelType w:val="hybridMultilevel"/>
    <w:tmpl w:val="A756F9FC"/>
    <w:lvl w:ilvl="0" w:tplc="E6C00E5A">
      <w:start w:val="1"/>
      <w:numFmt w:val="decimal"/>
      <w:lvlText w:val="%1."/>
      <w:lvlJc w:val="left"/>
      <w:pPr>
        <w:ind w:left="720" w:hanging="360"/>
      </w:pPr>
    </w:lvl>
    <w:lvl w:ilvl="1" w:tplc="17F21E0E">
      <w:start w:val="1"/>
      <w:numFmt w:val="lowerLetter"/>
      <w:lvlText w:val="%2."/>
      <w:lvlJc w:val="left"/>
      <w:pPr>
        <w:ind w:left="1440" w:hanging="360"/>
      </w:pPr>
    </w:lvl>
    <w:lvl w:ilvl="2" w:tplc="54BC1BF0">
      <w:start w:val="1"/>
      <w:numFmt w:val="lowerRoman"/>
      <w:lvlText w:val="%3."/>
      <w:lvlJc w:val="right"/>
      <w:pPr>
        <w:ind w:left="2160" w:hanging="180"/>
      </w:pPr>
    </w:lvl>
    <w:lvl w:ilvl="3" w:tplc="4FDCFCCA">
      <w:start w:val="1"/>
      <w:numFmt w:val="decimal"/>
      <w:lvlText w:val="%4."/>
      <w:lvlJc w:val="left"/>
      <w:pPr>
        <w:ind w:left="2880" w:hanging="360"/>
      </w:pPr>
    </w:lvl>
    <w:lvl w:ilvl="4" w:tplc="55728FFC">
      <w:start w:val="1"/>
      <w:numFmt w:val="lowerLetter"/>
      <w:lvlText w:val="%5."/>
      <w:lvlJc w:val="left"/>
      <w:pPr>
        <w:ind w:left="3600" w:hanging="360"/>
      </w:pPr>
    </w:lvl>
    <w:lvl w:ilvl="5" w:tplc="5972F086">
      <w:start w:val="1"/>
      <w:numFmt w:val="lowerRoman"/>
      <w:lvlText w:val="%6."/>
      <w:lvlJc w:val="right"/>
      <w:pPr>
        <w:ind w:left="4320" w:hanging="180"/>
      </w:pPr>
    </w:lvl>
    <w:lvl w:ilvl="6" w:tplc="EC1A2F6E">
      <w:start w:val="1"/>
      <w:numFmt w:val="decimal"/>
      <w:lvlText w:val="%7."/>
      <w:lvlJc w:val="left"/>
      <w:pPr>
        <w:ind w:left="5040" w:hanging="360"/>
      </w:pPr>
    </w:lvl>
    <w:lvl w:ilvl="7" w:tplc="FAB6A91E">
      <w:start w:val="1"/>
      <w:numFmt w:val="lowerLetter"/>
      <w:lvlText w:val="%8."/>
      <w:lvlJc w:val="left"/>
      <w:pPr>
        <w:ind w:left="5760" w:hanging="360"/>
      </w:pPr>
    </w:lvl>
    <w:lvl w:ilvl="8" w:tplc="72D86118">
      <w:start w:val="1"/>
      <w:numFmt w:val="lowerRoman"/>
      <w:lvlText w:val="%9."/>
      <w:lvlJc w:val="right"/>
      <w:pPr>
        <w:ind w:left="6480" w:hanging="180"/>
      </w:pPr>
    </w:lvl>
  </w:abstractNum>
  <w:abstractNum w:abstractNumId="10" w15:restartNumberingAfterBreak="0">
    <w:nsid w:val="55D74BD6"/>
    <w:multiLevelType w:val="hybridMultilevel"/>
    <w:tmpl w:val="5658F4D2"/>
    <w:lvl w:ilvl="0" w:tplc="DF6CC2AC">
      <w:start w:val="1"/>
      <w:numFmt w:val="decimal"/>
      <w:lvlText w:val="%1."/>
      <w:lvlJc w:val="left"/>
      <w:pPr>
        <w:ind w:left="720" w:hanging="360"/>
      </w:pPr>
    </w:lvl>
    <w:lvl w:ilvl="1" w:tplc="F63276A8">
      <w:start w:val="1"/>
      <w:numFmt w:val="lowerLetter"/>
      <w:lvlText w:val="%2."/>
      <w:lvlJc w:val="left"/>
      <w:pPr>
        <w:ind w:left="1440" w:hanging="360"/>
      </w:pPr>
    </w:lvl>
    <w:lvl w:ilvl="2" w:tplc="769A6136">
      <w:start w:val="1"/>
      <w:numFmt w:val="lowerRoman"/>
      <w:lvlText w:val="%3."/>
      <w:lvlJc w:val="right"/>
      <w:pPr>
        <w:ind w:left="2160" w:hanging="180"/>
      </w:pPr>
    </w:lvl>
    <w:lvl w:ilvl="3" w:tplc="E03E6384">
      <w:start w:val="1"/>
      <w:numFmt w:val="decimal"/>
      <w:lvlText w:val="%4."/>
      <w:lvlJc w:val="left"/>
      <w:pPr>
        <w:ind w:left="2880" w:hanging="360"/>
      </w:pPr>
    </w:lvl>
    <w:lvl w:ilvl="4" w:tplc="1766F80C">
      <w:start w:val="1"/>
      <w:numFmt w:val="lowerLetter"/>
      <w:lvlText w:val="%5."/>
      <w:lvlJc w:val="left"/>
      <w:pPr>
        <w:ind w:left="3600" w:hanging="360"/>
      </w:pPr>
    </w:lvl>
    <w:lvl w:ilvl="5" w:tplc="8AD80740">
      <w:start w:val="1"/>
      <w:numFmt w:val="lowerRoman"/>
      <w:lvlText w:val="%6."/>
      <w:lvlJc w:val="right"/>
      <w:pPr>
        <w:ind w:left="4320" w:hanging="180"/>
      </w:pPr>
    </w:lvl>
    <w:lvl w:ilvl="6" w:tplc="60729152">
      <w:start w:val="1"/>
      <w:numFmt w:val="decimal"/>
      <w:lvlText w:val="%7."/>
      <w:lvlJc w:val="left"/>
      <w:pPr>
        <w:ind w:left="5040" w:hanging="360"/>
      </w:pPr>
    </w:lvl>
    <w:lvl w:ilvl="7" w:tplc="7EB45B52">
      <w:start w:val="1"/>
      <w:numFmt w:val="lowerLetter"/>
      <w:lvlText w:val="%8."/>
      <w:lvlJc w:val="left"/>
      <w:pPr>
        <w:ind w:left="5760" w:hanging="360"/>
      </w:pPr>
    </w:lvl>
    <w:lvl w:ilvl="8" w:tplc="F478454C">
      <w:start w:val="1"/>
      <w:numFmt w:val="lowerRoman"/>
      <w:lvlText w:val="%9."/>
      <w:lvlJc w:val="right"/>
      <w:pPr>
        <w:ind w:left="6480" w:hanging="180"/>
      </w:pPr>
    </w:lvl>
  </w:abstractNum>
  <w:abstractNum w:abstractNumId="11" w15:restartNumberingAfterBreak="0">
    <w:nsid w:val="6789A5F0"/>
    <w:multiLevelType w:val="hybridMultilevel"/>
    <w:tmpl w:val="DE587D80"/>
    <w:lvl w:ilvl="0" w:tplc="F3489700">
      <w:start w:val="1"/>
      <w:numFmt w:val="upperLetter"/>
      <w:lvlText w:val="%1."/>
      <w:lvlJc w:val="left"/>
      <w:pPr>
        <w:ind w:left="360" w:hanging="360"/>
      </w:pPr>
      <w:rPr>
        <w:b/>
        <w:bCs/>
      </w:rPr>
    </w:lvl>
    <w:lvl w:ilvl="1" w:tplc="10C6FBB4">
      <w:start w:val="1"/>
      <w:numFmt w:val="lowerLetter"/>
      <w:lvlText w:val="%2."/>
      <w:lvlJc w:val="left"/>
      <w:pPr>
        <w:ind w:left="1440" w:hanging="360"/>
      </w:pPr>
    </w:lvl>
    <w:lvl w:ilvl="2" w:tplc="DC52B0A8">
      <w:start w:val="1"/>
      <w:numFmt w:val="lowerRoman"/>
      <w:lvlText w:val="%3."/>
      <w:lvlJc w:val="right"/>
      <w:pPr>
        <w:ind w:left="2160" w:hanging="180"/>
      </w:pPr>
    </w:lvl>
    <w:lvl w:ilvl="3" w:tplc="A4783E56">
      <w:start w:val="1"/>
      <w:numFmt w:val="decimal"/>
      <w:lvlText w:val="%4."/>
      <w:lvlJc w:val="left"/>
      <w:pPr>
        <w:ind w:left="2880" w:hanging="360"/>
      </w:pPr>
    </w:lvl>
    <w:lvl w:ilvl="4" w:tplc="F0CAFECA">
      <w:start w:val="1"/>
      <w:numFmt w:val="lowerLetter"/>
      <w:lvlText w:val="%5."/>
      <w:lvlJc w:val="left"/>
      <w:pPr>
        <w:ind w:left="3600" w:hanging="360"/>
      </w:pPr>
    </w:lvl>
    <w:lvl w:ilvl="5" w:tplc="339C4E4A">
      <w:start w:val="1"/>
      <w:numFmt w:val="lowerRoman"/>
      <w:lvlText w:val="%6."/>
      <w:lvlJc w:val="right"/>
      <w:pPr>
        <w:ind w:left="4320" w:hanging="180"/>
      </w:pPr>
    </w:lvl>
    <w:lvl w:ilvl="6" w:tplc="FDAA16D4">
      <w:start w:val="1"/>
      <w:numFmt w:val="decimal"/>
      <w:lvlText w:val="%7."/>
      <w:lvlJc w:val="left"/>
      <w:pPr>
        <w:ind w:left="5040" w:hanging="360"/>
      </w:pPr>
    </w:lvl>
    <w:lvl w:ilvl="7" w:tplc="0E54042E">
      <w:start w:val="1"/>
      <w:numFmt w:val="lowerLetter"/>
      <w:lvlText w:val="%8."/>
      <w:lvlJc w:val="left"/>
      <w:pPr>
        <w:ind w:left="5760" w:hanging="360"/>
      </w:pPr>
    </w:lvl>
    <w:lvl w:ilvl="8" w:tplc="B782881C">
      <w:start w:val="1"/>
      <w:numFmt w:val="lowerRoman"/>
      <w:lvlText w:val="%9."/>
      <w:lvlJc w:val="right"/>
      <w:pPr>
        <w:ind w:left="6480" w:hanging="180"/>
      </w:pPr>
    </w:lvl>
  </w:abstractNum>
  <w:abstractNum w:abstractNumId="12" w15:restartNumberingAfterBreak="0">
    <w:nsid w:val="6F8F0A10"/>
    <w:multiLevelType w:val="hybridMultilevel"/>
    <w:tmpl w:val="9CF6F9B8"/>
    <w:lvl w:ilvl="0" w:tplc="FB9078D2">
      <w:start w:val="1"/>
      <w:numFmt w:val="decimal"/>
      <w:lvlText w:val="%1."/>
      <w:lvlJc w:val="left"/>
      <w:pPr>
        <w:ind w:left="540" w:hanging="48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500076975">
    <w:abstractNumId w:val="5"/>
  </w:num>
  <w:num w:numId="2" w16cid:durableId="663047443">
    <w:abstractNumId w:val="11"/>
  </w:num>
  <w:num w:numId="3" w16cid:durableId="2078934967">
    <w:abstractNumId w:val="8"/>
  </w:num>
  <w:num w:numId="4" w16cid:durableId="820582018">
    <w:abstractNumId w:val="6"/>
  </w:num>
  <w:num w:numId="5" w16cid:durableId="173040509">
    <w:abstractNumId w:val="9"/>
  </w:num>
  <w:num w:numId="6" w16cid:durableId="373429252">
    <w:abstractNumId w:val="10"/>
  </w:num>
  <w:num w:numId="7" w16cid:durableId="329406369">
    <w:abstractNumId w:val="7"/>
  </w:num>
  <w:num w:numId="8" w16cid:durableId="2042321745">
    <w:abstractNumId w:val="4"/>
  </w:num>
  <w:num w:numId="9" w16cid:durableId="1074088628">
    <w:abstractNumId w:val="4"/>
  </w:num>
  <w:num w:numId="10" w16cid:durableId="375086863">
    <w:abstractNumId w:val="3"/>
  </w:num>
  <w:num w:numId="11" w16cid:durableId="39979784">
    <w:abstractNumId w:val="3"/>
  </w:num>
  <w:num w:numId="12" w16cid:durableId="252714249">
    <w:abstractNumId w:val="2"/>
  </w:num>
  <w:num w:numId="13" w16cid:durableId="1422530835">
    <w:abstractNumId w:val="2"/>
  </w:num>
  <w:num w:numId="14" w16cid:durableId="1658996160">
    <w:abstractNumId w:val="1"/>
  </w:num>
  <w:num w:numId="15" w16cid:durableId="593242852">
    <w:abstractNumId w:val="1"/>
  </w:num>
  <w:num w:numId="16" w16cid:durableId="547226713">
    <w:abstractNumId w:val="0"/>
  </w:num>
  <w:num w:numId="17" w16cid:durableId="651561214">
    <w:abstractNumId w:val="0"/>
  </w:num>
  <w:num w:numId="18" w16cid:durableId="19061398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lickAndTypeStyle w:val="Normal0"/>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20"/>
    <w:rsid w:val="00001C9D"/>
    <w:rsid w:val="000143A2"/>
    <w:rsid w:val="00017254"/>
    <w:rsid w:val="000376CE"/>
    <w:rsid w:val="000379F7"/>
    <w:rsid w:val="00040913"/>
    <w:rsid w:val="000413A0"/>
    <w:rsid w:val="000577C7"/>
    <w:rsid w:val="00063A3A"/>
    <w:rsid w:val="00066FF5"/>
    <w:rsid w:val="0006E299"/>
    <w:rsid w:val="000755C1"/>
    <w:rsid w:val="00077BD8"/>
    <w:rsid w:val="00083481"/>
    <w:rsid w:val="00084FF0"/>
    <w:rsid w:val="0009585C"/>
    <w:rsid w:val="00095F9B"/>
    <w:rsid w:val="00096B9C"/>
    <w:rsid w:val="000A132A"/>
    <w:rsid w:val="000A590C"/>
    <w:rsid w:val="000A70C3"/>
    <w:rsid w:val="000B092A"/>
    <w:rsid w:val="000D0E3A"/>
    <w:rsid w:val="000D5570"/>
    <w:rsid w:val="000E6B09"/>
    <w:rsid w:val="000F0A46"/>
    <w:rsid w:val="000F261A"/>
    <w:rsid w:val="000F30CA"/>
    <w:rsid w:val="000F44F6"/>
    <w:rsid w:val="000F710F"/>
    <w:rsid w:val="000F7910"/>
    <w:rsid w:val="001068B3"/>
    <w:rsid w:val="0011047F"/>
    <w:rsid w:val="00123136"/>
    <w:rsid w:val="0012FEAF"/>
    <w:rsid w:val="0013047E"/>
    <w:rsid w:val="00137065"/>
    <w:rsid w:val="00143327"/>
    <w:rsid w:val="00145FBE"/>
    <w:rsid w:val="001479B1"/>
    <w:rsid w:val="00151EC6"/>
    <w:rsid w:val="00156EA7"/>
    <w:rsid w:val="00160B84"/>
    <w:rsid w:val="0016387C"/>
    <w:rsid w:val="00164B98"/>
    <w:rsid w:val="0016532F"/>
    <w:rsid w:val="00167A30"/>
    <w:rsid w:val="00174788"/>
    <w:rsid w:val="0018025F"/>
    <w:rsid w:val="00184139"/>
    <w:rsid w:val="00195D4D"/>
    <w:rsid w:val="001C1EE3"/>
    <w:rsid w:val="001C3978"/>
    <w:rsid w:val="001C589A"/>
    <w:rsid w:val="001E3916"/>
    <w:rsid w:val="002033B2"/>
    <w:rsid w:val="0020733D"/>
    <w:rsid w:val="002107F0"/>
    <w:rsid w:val="00211FB6"/>
    <w:rsid w:val="0021369D"/>
    <w:rsid w:val="00226FEC"/>
    <w:rsid w:val="002433C3"/>
    <w:rsid w:val="00246025"/>
    <w:rsid w:val="002653BE"/>
    <w:rsid w:val="00267C51"/>
    <w:rsid w:val="00280B93"/>
    <w:rsid w:val="00282D21"/>
    <w:rsid w:val="00284A5E"/>
    <w:rsid w:val="00293206"/>
    <w:rsid w:val="002A7657"/>
    <w:rsid w:val="002D2DF3"/>
    <w:rsid w:val="002D6031"/>
    <w:rsid w:val="002D6A81"/>
    <w:rsid w:val="002E5B46"/>
    <w:rsid w:val="002F7C67"/>
    <w:rsid w:val="00305489"/>
    <w:rsid w:val="00306B03"/>
    <w:rsid w:val="00321AC6"/>
    <w:rsid w:val="003233D7"/>
    <w:rsid w:val="003234E0"/>
    <w:rsid w:val="00324F1D"/>
    <w:rsid w:val="0032707C"/>
    <w:rsid w:val="003347A7"/>
    <w:rsid w:val="00363573"/>
    <w:rsid w:val="00363AE7"/>
    <w:rsid w:val="00367B06"/>
    <w:rsid w:val="003804C0"/>
    <w:rsid w:val="00385E10"/>
    <w:rsid w:val="003879B9"/>
    <w:rsid w:val="003915B0"/>
    <w:rsid w:val="00391809"/>
    <w:rsid w:val="003976C5"/>
    <w:rsid w:val="003A4844"/>
    <w:rsid w:val="003A631F"/>
    <w:rsid w:val="003C2E71"/>
    <w:rsid w:val="003C762B"/>
    <w:rsid w:val="003D0CE2"/>
    <w:rsid w:val="003D3709"/>
    <w:rsid w:val="003D4480"/>
    <w:rsid w:val="003E2711"/>
    <w:rsid w:val="003E6E0C"/>
    <w:rsid w:val="003F7B66"/>
    <w:rsid w:val="00415660"/>
    <w:rsid w:val="00415A69"/>
    <w:rsid w:val="00424AC9"/>
    <w:rsid w:val="00430011"/>
    <w:rsid w:val="004347FA"/>
    <w:rsid w:val="004363A6"/>
    <w:rsid w:val="00443C38"/>
    <w:rsid w:val="00455739"/>
    <w:rsid w:val="004565BD"/>
    <w:rsid w:val="00457AA9"/>
    <w:rsid w:val="00460133"/>
    <w:rsid w:val="00461E51"/>
    <w:rsid w:val="00466333"/>
    <w:rsid w:val="00472B26"/>
    <w:rsid w:val="0048139A"/>
    <w:rsid w:val="00481F59"/>
    <w:rsid w:val="004824E2"/>
    <w:rsid w:val="00490A75"/>
    <w:rsid w:val="004955B0"/>
    <w:rsid w:val="004A3EBE"/>
    <w:rsid w:val="004B20F5"/>
    <w:rsid w:val="004C1EE4"/>
    <w:rsid w:val="004D4604"/>
    <w:rsid w:val="004E3582"/>
    <w:rsid w:val="004E3CBB"/>
    <w:rsid w:val="004F2367"/>
    <w:rsid w:val="004F53EB"/>
    <w:rsid w:val="005130E3"/>
    <w:rsid w:val="0052005A"/>
    <w:rsid w:val="00523469"/>
    <w:rsid w:val="00526B28"/>
    <w:rsid w:val="005342BD"/>
    <w:rsid w:val="005351CB"/>
    <w:rsid w:val="00535D2A"/>
    <w:rsid w:val="00536354"/>
    <w:rsid w:val="00551011"/>
    <w:rsid w:val="00551264"/>
    <w:rsid w:val="00554732"/>
    <w:rsid w:val="00557E6B"/>
    <w:rsid w:val="005614BB"/>
    <w:rsid w:val="00564128"/>
    <w:rsid w:val="005676B8"/>
    <w:rsid w:val="00573A5C"/>
    <w:rsid w:val="00591AEC"/>
    <w:rsid w:val="005A0A48"/>
    <w:rsid w:val="005A2157"/>
    <w:rsid w:val="005A6BFA"/>
    <w:rsid w:val="005B408D"/>
    <w:rsid w:val="005C0425"/>
    <w:rsid w:val="005C1564"/>
    <w:rsid w:val="005C434E"/>
    <w:rsid w:val="005E06B3"/>
    <w:rsid w:val="005E3F0A"/>
    <w:rsid w:val="005F01CB"/>
    <w:rsid w:val="005F3316"/>
    <w:rsid w:val="005F5A4D"/>
    <w:rsid w:val="0060463A"/>
    <w:rsid w:val="0061672C"/>
    <w:rsid w:val="00617A0A"/>
    <w:rsid w:val="00621D2B"/>
    <w:rsid w:val="00624409"/>
    <w:rsid w:val="006261F0"/>
    <w:rsid w:val="00630860"/>
    <w:rsid w:val="00640E75"/>
    <w:rsid w:val="00643E60"/>
    <w:rsid w:val="00645006"/>
    <w:rsid w:val="00645220"/>
    <w:rsid w:val="00654576"/>
    <w:rsid w:val="00660AC5"/>
    <w:rsid w:val="00662E7C"/>
    <w:rsid w:val="006728D3"/>
    <w:rsid w:val="006740F7"/>
    <w:rsid w:val="006818AE"/>
    <w:rsid w:val="00685AAF"/>
    <w:rsid w:val="00695431"/>
    <w:rsid w:val="0069687A"/>
    <w:rsid w:val="0069796F"/>
    <w:rsid w:val="006A0245"/>
    <w:rsid w:val="006B088B"/>
    <w:rsid w:val="006B1E98"/>
    <w:rsid w:val="006B54F8"/>
    <w:rsid w:val="006D3595"/>
    <w:rsid w:val="006E07C5"/>
    <w:rsid w:val="006E2DEE"/>
    <w:rsid w:val="006E544D"/>
    <w:rsid w:val="006E5941"/>
    <w:rsid w:val="00700E92"/>
    <w:rsid w:val="00701F82"/>
    <w:rsid w:val="00706FF5"/>
    <w:rsid w:val="007217B6"/>
    <w:rsid w:val="00726D35"/>
    <w:rsid w:val="007307C7"/>
    <w:rsid w:val="007312AA"/>
    <w:rsid w:val="00732C4D"/>
    <w:rsid w:val="0073390E"/>
    <w:rsid w:val="007366AF"/>
    <w:rsid w:val="00737933"/>
    <w:rsid w:val="00737AB9"/>
    <w:rsid w:val="007405D2"/>
    <w:rsid w:val="0075099C"/>
    <w:rsid w:val="007519A6"/>
    <w:rsid w:val="00752B2D"/>
    <w:rsid w:val="00755CA0"/>
    <w:rsid w:val="00770E00"/>
    <w:rsid w:val="007752D1"/>
    <w:rsid w:val="00775851"/>
    <w:rsid w:val="00781F1A"/>
    <w:rsid w:val="00784DE2"/>
    <w:rsid w:val="007A0E9B"/>
    <w:rsid w:val="007A7F92"/>
    <w:rsid w:val="007B25B0"/>
    <w:rsid w:val="007B3ECE"/>
    <w:rsid w:val="007B7327"/>
    <w:rsid w:val="007C67D4"/>
    <w:rsid w:val="007D02D3"/>
    <w:rsid w:val="007D29DB"/>
    <w:rsid w:val="007E1D59"/>
    <w:rsid w:val="007E4701"/>
    <w:rsid w:val="007F3DC8"/>
    <w:rsid w:val="008073B2"/>
    <w:rsid w:val="00810B4D"/>
    <w:rsid w:val="008152CF"/>
    <w:rsid w:val="00817307"/>
    <w:rsid w:val="00830ED8"/>
    <w:rsid w:val="00833B17"/>
    <w:rsid w:val="00835AD6"/>
    <w:rsid w:val="008502DA"/>
    <w:rsid w:val="00850A44"/>
    <w:rsid w:val="00862476"/>
    <w:rsid w:val="00870BED"/>
    <w:rsid w:val="008A0B96"/>
    <w:rsid w:val="008A156E"/>
    <w:rsid w:val="008A2D8F"/>
    <w:rsid w:val="008B0925"/>
    <w:rsid w:val="008B560E"/>
    <w:rsid w:val="008B730B"/>
    <w:rsid w:val="008D12CD"/>
    <w:rsid w:val="008D242C"/>
    <w:rsid w:val="008D55D6"/>
    <w:rsid w:val="008D663E"/>
    <w:rsid w:val="008D6D64"/>
    <w:rsid w:val="008E1CAE"/>
    <w:rsid w:val="008F0CE2"/>
    <w:rsid w:val="008F5484"/>
    <w:rsid w:val="0090421C"/>
    <w:rsid w:val="00907FA5"/>
    <w:rsid w:val="0091075D"/>
    <w:rsid w:val="00912BAC"/>
    <w:rsid w:val="00923267"/>
    <w:rsid w:val="00923DFB"/>
    <w:rsid w:val="00933F5B"/>
    <w:rsid w:val="009372D5"/>
    <w:rsid w:val="00940298"/>
    <w:rsid w:val="00940E79"/>
    <w:rsid w:val="009510E8"/>
    <w:rsid w:val="0095534A"/>
    <w:rsid w:val="0096204A"/>
    <w:rsid w:val="00962304"/>
    <w:rsid w:val="00962BE3"/>
    <w:rsid w:val="00963F06"/>
    <w:rsid w:val="00967261"/>
    <w:rsid w:val="009743B5"/>
    <w:rsid w:val="009775E1"/>
    <w:rsid w:val="009816CA"/>
    <w:rsid w:val="00981BCA"/>
    <w:rsid w:val="00982B4E"/>
    <w:rsid w:val="009854C4"/>
    <w:rsid w:val="00990EAA"/>
    <w:rsid w:val="009A1C5C"/>
    <w:rsid w:val="009A42F6"/>
    <w:rsid w:val="009A6C21"/>
    <w:rsid w:val="009B1678"/>
    <w:rsid w:val="009B5150"/>
    <w:rsid w:val="009C4D2A"/>
    <w:rsid w:val="009D427B"/>
    <w:rsid w:val="009D4A37"/>
    <w:rsid w:val="009D6C26"/>
    <w:rsid w:val="009F2011"/>
    <w:rsid w:val="009F4F41"/>
    <w:rsid w:val="009F694C"/>
    <w:rsid w:val="00A15392"/>
    <w:rsid w:val="00A268EF"/>
    <w:rsid w:val="00A369D7"/>
    <w:rsid w:val="00A61461"/>
    <w:rsid w:val="00A61DAA"/>
    <w:rsid w:val="00A7204A"/>
    <w:rsid w:val="00A75CB6"/>
    <w:rsid w:val="00A81B08"/>
    <w:rsid w:val="00A83291"/>
    <w:rsid w:val="00AB0B14"/>
    <w:rsid w:val="00AB708D"/>
    <w:rsid w:val="00AC3EDD"/>
    <w:rsid w:val="00AC5141"/>
    <w:rsid w:val="00AC6B50"/>
    <w:rsid w:val="00AD5AE0"/>
    <w:rsid w:val="00AE4128"/>
    <w:rsid w:val="00AF39F3"/>
    <w:rsid w:val="00B07FE5"/>
    <w:rsid w:val="00B1312E"/>
    <w:rsid w:val="00B20A44"/>
    <w:rsid w:val="00B24778"/>
    <w:rsid w:val="00B2713B"/>
    <w:rsid w:val="00B3442C"/>
    <w:rsid w:val="00B36427"/>
    <w:rsid w:val="00B44352"/>
    <w:rsid w:val="00B5130A"/>
    <w:rsid w:val="00B575C2"/>
    <w:rsid w:val="00B7141B"/>
    <w:rsid w:val="00B763A6"/>
    <w:rsid w:val="00B81897"/>
    <w:rsid w:val="00B96B79"/>
    <w:rsid w:val="00B9EB62"/>
    <w:rsid w:val="00BA056A"/>
    <w:rsid w:val="00BB0192"/>
    <w:rsid w:val="00BB2371"/>
    <w:rsid w:val="00BC6D2F"/>
    <w:rsid w:val="00BD65DF"/>
    <w:rsid w:val="00BDA990"/>
    <w:rsid w:val="00BE44C8"/>
    <w:rsid w:val="00BE5ECB"/>
    <w:rsid w:val="00BF1386"/>
    <w:rsid w:val="00C036DF"/>
    <w:rsid w:val="00C04F63"/>
    <w:rsid w:val="00C13976"/>
    <w:rsid w:val="00C21664"/>
    <w:rsid w:val="00C25368"/>
    <w:rsid w:val="00C3035A"/>
    <w:rsid w:val="00C33AB4"/>
    <w:rsid w:val="00C41979"/>
    <w:rsid w:val="00C42489"/>
    <w:rsid w:val="00C50F8C"/>
    <w:rsid w:val="00C52B06"/>
    <w:rsid w:val="00C57D18"/>
    <w:rsid w:val="00C64F2B"/>
    <w:rsid w:val="00C65BB5"/>
    <w:rsid w:val="00C71516"/>
    <w:rsid w:val="00C82AB8"/>
    <w:rsid w:val="00C90855"/>
    <w:rsid w:val="00C9605B"/>
    <w:rsid w:val="00CA2339"/>
    <w:rsid w:val="00CB18D4"/>
    <w:rsid w:val="00CC11B1"/>
    <w:rsid w:val="00CC2690"/>
    <w:rsid w:val="00CE236C"/>
    <w:rsid w:val="00CE3549"/>
    <w:rsid w:val="00CE482D"/>
    <w:rsid w:val="00CE4C08"/>
    <w:rsid w:val="00CE5688"/>
    <w:rsid w:val="00CE7D6C"/>
    <w:rsid w:val="00CF6EF5"/>
    <w:rsid w:val="00D01C38"/>
    <w:rsid w:val="00D0762A"/>
    <w:rsid w:val="00D16A14"/>
    <w:rsid w:val="00D2520D"/>
    <w:rsid w:val="00D332CB"/>
    <w:rsid w:val="00D334FB"/>
    <w:rsid w:val="00D33F63"/>
    <w:rsid w:val="00D35F50"/>
    <w:rsid w:val="00D37878"/>
    <w:rsid w:val="00D4493C"/>
    <w:rsid w:val="00D45D7F"/>
    <w:rsid w:val="00D52787"/>
    <w:rsid w:val="00D60B0D"/>
    <w:rsid w:val="00D7233F"/>
    <w:rsid w:val="00D7490B"/>
    <w:rsid w:val="00D82C4F"/>
    <w:rsid w:val="00D85D37"/>
    <w:rsid w:val="00D87D63"/>
    <w:rsid w:val="00D97070"/>
    <w:rsid w:val="00DA3010"/>
    <w:rsid w:val="00DA4FC1"/>
    <w:rsid w:val="00DC1EC5"/>
    <w:rsid w:val="00DC4C29"/>
    <w:rsid w:val="00DC55DB"/>
    <w:rsid w:val="00DC7FAE"/>
    <w:rsid w:val="00DC7FB7"/>
    <w:rsid w:val="00DE5B47"/>
    <w:rsid w:val="00DF00DB"/>
    <w:rsid w:val="00DF5392"/>
    <w:rsid w:val="00E02A55"/>
    <w:rsid w:val="00E13446"/>
    <w:rsid w:val="00E14429"/>
    <w:rsid w:val="00E253DD"/>
    <w:rsid w:val="00E27550"/>
    <w:rsid w:val="00E34F37"/>
    <w:rsid w:val="00E5460D"/>
    <w:rsid w:val="00E60543"/>
    <w:rsid w:val="00E6125F"/>
    <w:rsid w:val="00E67AB7"/>
    <w:rsid w:val="00E70BB8"/>
    <w:rsid w:val="00E727A4"/>
    <w:rsid w:val="00E81F69"/>
    <w:rsid w:val="00E908E7"/>
    <w:rsid w:val="00E9130E"/>
    <w:rsid w:val="00E93287"/>
    <w:rsid w:val="00EA05AE"/>
    <w:rsid w:val="00EC7E54"/>
    <w:rsid w:val="00EE1E94"/>
    <w:rsid w:val="00EE49D0"/>
    <w:rsid w:val="00F166D4"/>
    <w:rsid w:val="00F34262"/>
    <w:rsid w:val="00F45027"/>
    <w:rsid w:val="00F45D0D"/>
    <w:rsid w:val="00F47C88"/>
    <w:rsid w:val="00F524DE"/>
    <w:rsid w:val="00F7134A"/>
    <w:rsid w:val="00F74496"/>
    <w:rsid w:val="00F749AA"/>
    <w:rsid w:val="00F774CC"/>
    <w:rsid w:val="00F80E45"/>
    <w:rsid w:val="00F91523"/>
    <w:rsid w:val="00F94BBC"/>
    <w:rsid w:val="00F95B5F"/>
    <w:rsid w:val="00FA481C"/>
    <w:rsid w:val="00FB069F"/>
    <w:rsid w:val="00FB3011"/>
    <w:rsid w:val="00FB3C3D"/>
    <w:rsid w:val="00FB52F8"/>
    <w:rsid w:val="00FC3907"/>
    <w:rsid w:val="00FC4A9B"/>
    <w:rsid w:val="00FD60A2"/>
    <w:rsid w:val="00FE0EF7"/>
    <w:rsid w:val="00FF1FA4"/>
    <w:rsid w:val="00FF624E"/>
    <w:rsid w:val="01201E6D"/>
    <w:rsid w:val="015C97A6"/>
    <w:rsid w:val="01762278"/>
    <w:rsid w:val="01A5F0F6"/>
    <w:rsid w:val="02020051"/>
    <w:rsid w:val="02037C8C"/>
    <w:rsid w:val="021B42B0"/>
    <w:rsid w:val="02C02B7E"/>
    <w:rsid w:val="035EEF4F"/>
    <w:rsid w:val="038E2143"/>
    <w:rsid w:val="049FA69F"/>
    <w:rsid w:val="04A64C56"/>
    <w:rsid w:val="04F38498"/>
    <w:rsid w:val="057D76C7"/>
    <w:rsid w:val="058C36DE"/>
    <w:rsid w:val="05A9C29C"/>
    <w:rsid w:val="05AF85D1"/>
    <w:rsid w:val="0629C358"/>
    <w:rsid w:val="06DD77D9"/>
    <w:rsid w:val="07251D13"/>
    <w:rsid w:val="077DD56D"/>
    <w:rsid w:val="07DB4A47"/>
    <w:rsid w:val="089B0FBE"/>
    <w:rsid w:val="0942D4A7"/>
    <w:rsid w:val="09BE06FA"/>
    <w:rsid w:val="0A2CFF14"/>
    <w:rsid w:val="0B497FC5"/>
    <w:rsid w:val="0B4A114D"/>
    <w:rsid w:val="0BAD90CD"/>
    <w:rsid w:val="0BBEE243"/>
    <w:rsid w:val="0C41F478"/>
    <w:rsid w:val="0C54585C"/>
    <w:rsid w:val="0CCE1920"/>
    <w:rsid w:val="0CDCEFFC"/>
    <w:rsid w:val="0CFCBABD"/>
    <w:rsid w:val="0D0D3FB1"/>
    <w:rsid w:val="0DA3D122"/>
    <w:rsid w:val="0DC3C24D"/>
    <w:rsid w:val="0E1D9640"/>
    <w:rsid w:val="0E4124EA"/>
    <w:rsid w:val="0F0919A9"/>
    <w:rsid w:val="0FEDBEE5"/>
    <w:rsid w:val="11278CFE"/>
    <w:rsid w:val="1138ED63"/>
    <w:rsid w:val="1144826F"/>
    <w:rsid w:val="125EA5FB"/>
    <w:rsid w:val="12E7C512"/>
    <w:rsid w:val="13B6B622"/>
    <w:rsid w:val="13B9BBA2"/>
    <w:rsid w:val="13BD2F91"/>
    <w:rsid w:val="13C6AE78"/>
    <w:rsid w:val="13D78AE8"/>
    <w:rsid w:val="13F6FEF9"/>
    <w:rsid w:val="13FFA819"/>
    <w:rsid w:val="142534A4"/>
    <w:rsid w:val="148281F0"/>
    <w:rsid w:val="14B141BB"/>
    <w:rsid w:val="15737466"/>
    <w:rsid w:val="15E5F1E3"/>
    <w:rsid w:val="16271F0C"/>
    <w:rsid w:val="16FD846B"/>
    <w:rsid w:val="173E9A96"/>
    <w:rsid w:val="17499AF9"/>
    <w:rsid w:val="179C006D"/>
    <w:rsid w:val="17ADA484"/>
    <w:rsid w:val="18BA7E20"/>
    <w:rsid w:val="18D34572"/>
    <w:rsid w:val="18E757C6"/>
    <w:rsid w:val="19210A3A"/>
    <w:rsid w:val="19B49D11"/>
    <w:rsid w:val="1A353B89"/>
    <w:rsid w:val="1A6B2B4C"/>
    <w:rsid w:val="1A6D534C"/>
    <w:rsid w:val="1AE62F47"/>
    <w:rsid w:val="1B30D072"/>
    <w:rsid w:val="1BEAAE0E"/>
    <w:rsid w:val="1C0F7DCD"/>
    <w:rsid w:val="1C57F7B6"/>
    <w:rsid w:val="1C634E7E"/>
    <w:rsid w:val="1CC76FEB"/>
    <w:rsid w:val="1D2F74BB"/>
    <w:rsid w:val="1DE4AD7A"/>
    <w:rsid w:val="1E292C94"/>
    <w:rsid w:val="1E722DFC"/>
    <w:rsid w:val="1F222C3D"/>
    <w:rsid w:val="1F277B3A"/>
    <w:rsid w:val="1F56A8C6"/>
    <w:rsid w:val="1F87A763"/>
    <w:rsid w:val="201C3C25"/>
    <w:rsid w:val="2028D469"/>
    <w:rsid w:val="20409D52"/>
    <w:rsid w:val="20E0617B"/>
    <w:rsid w:val="214ADE59"/>
    <w:rsid w:val="2218030A"/>
    <w:rsid w:val="22AF977B"/>
    <w:rsid w:val="22F07B44"/>
    <w:rsid w:val="2320ED69"/>
    <w:rsid w:val="23781058"/>
    <w:rsid w:val="23A1DEBA"/>
    <w:rsid w:val="25400D3C"/>
    <w:rsid w:val="258BC005"/>
    <w:rsid w:val="25F367B3"/>
    <w:rsid w:val="25FFB4C1"/>
    <w:rsid w:val="26390870"/>
    <w:rsid w:val="26F2D6E0"/>
    <w:rsid w:val="270785B6"/>
    <w:rsid w:val="276BC425"/>
    <w:rsid w:val="27E93BA5"/>
    <w:rsid w:val="284842F4"/>
    <w:rsid w:val="2879B79D"/>
    <w:rsid w:val="29005C47"/>
    <w:rsid w:val="292A466F"/>
    <w:rsid w:val="29526508"/>
    <w:rsid w:val="29B24D40"/>
    <w:rsid w:val="29FB25F6"/>
    <w:rsid w:val="2A4DC039"/>
    <w:rsid w:val="2BD32F91"/>
    <w:rsid w:val="2C26AE37"/>
    <w:rsid w:val="2C50B1B4"/>
    <w:rsid w:val="2C734550"/>
    <w:rsid w:val="2CA265D2"/>
    <w:rsid w:val="2CB86397"/>
    <w:rsid w:val="2CC1DB22"/>
    <w:rsid w:val="2D1DB9BD"/>
    <w:rsid w:val="2E60B4F3"/>
    <w:rsid w:val="2F4248D8"/>
    <w:rsid w:val="317DD177"/>
    <w:rsid w:val="31C87D8E"/>
    <w:rsid w:val="329721D9"/>
    <w:rsid w:val="32E43A55"/>
    <w:rsid w:val="32FCD6B0"/>
    <w:rsid w:val="339E387D"/>
    <w:rsid w:val="34D0A2B0"/>
    <w:rsid w:val="350A150A"/>
    <w:rsid w:val="3549BD73"/>
    <w:rsid w:val="358D5696"/>
    <w:rsid w:val="3595BA25"/>
    <w:rsid w:val="35EBD2E6"/>
    <w:rsid w:val="35ED3EDA"/>
    <w:rsid w:val="35F6F4BB"/>
    <w:rsid w:val="373B9EC5"/>
    <w:rsid w:val="37727C3E"/>
    <w:rsid w:val="38267047"/>
    <w:rsid w:val="3995846B"/>
    <w:rsid w:val="3996156A"/>
    <w:rsid w:val="3A0310FC"/>
    <w:rsid w:val="3A173C03"/>
    <w:rsid w:val="3A49C873"/>
    <w:rsid w:val="3A6C1383"/>
    <w:rsid w:val="3AAA422E"/>
    <w:rsid w:val="3AD5CF86"/>
    <w:rsid w:val="3ADFCE3D"/>
    <w:rsid w:val="3B5EBCD6"/>
    <w:rsid w:val="3B626179"/>
    <w:rsid w:val="3BA5D58E"/>
    <w:rsid w:val="3BED431A"/>
    <w:rsid w:val="3C70B822"/>
    <w:rsid w:val="3D3EAF48"/>
    <w:rsid w:val="3D88DE64"/>
    <w:rsid w:val="3DBF0F8E"/>
    <w:rsid w:val="3E45DF75"/>
    <w:rsid w:val="3E76C407"/>
    <w:rsid w:val="3EBB98C6"/>
    <w:rsid w:val="3ECE283E"/>
    <w:rsid w:val="3FDEC40E"/>
    <w:rsid w:val="401F2997"/>
    <w:rsid w:val="404871C7"/>
    <w:rsid w:val="405F62FE"/>
    <w:rsid w:val="41596184"/>
    <w:rsid w:val="41AB7E1A"/>
    <w:rsid w:val="41BD9EAD"/>
    <w:rsid w:val="41C4B12A"/>
    <w:rsid w:val="41EB6C4B"/>
    <w:rsid w:val="421438BF"/>
    <w:rsid w:val="427331FD"/>
    <w:rsid w:val="42DA2264"/>
    <w:rsid w:val="432217DB"/>
    <w:rsid w:val="435DB896"/>
    <w:rsid w:val="44C622D9"/>
    <w:rsid w:val="45062242"/>
    <w:rsid w:val="454A6562"/>
    <w:rsid w:val="45672174"/>
    <w:rsid w:val="458F9B20"/>
    <w:rsid w:val="45952BB4"/>
    <w:rsid w:val="45D97816"/>
    <w:rsid w:val="45E5D1EE"/>
    <w:rsid w:val="4635E4C2"/>
    <w:rsid w:val="463FC09B"/>
    <w:rsid w:val="468ADBC8"/>
    <w:rsid w:val="468C1B97"/>
    <w:rsid w:val="46D81DEF"/>
    <w:rsid w:val="4732AC9E"/>
    <w:rsid w:val="47AFAE88"/>
    <w:rsid w:val="4804BE6F"/>
    <w:rsid w:val="48540E24"/>
    <w:rsid w:val="48EFE0AC"/>
    <w:rsid w:val="49A1B63F"/>
    <w:rsid w:val="4A19125A"/>
    <w:rsid w:val="4A2A19D7"/>
    <w:rsid w:val="4A4DCDD3"/>
    <w:rsid w:val="4AF94AE3"/>
    <w:rsid w:val="4B455AFC"/>
    <w:rsid w:val="4B77A932"/>
    <w:rsid w:val="4B9D74BF"/>
    <w:rsid w:val="4C7201F2"/>
    <w:rsid w:val="4D6E41CC"/>
    <w:rsid w:val="4DA4B654"/>
    <w:rsid w:val="4E1FAB72"/>
    <w:rsid w:val="4E2999B2"/>
    <w:rsid w:val="4FB9D7F5"/>
    <w:rsid w:val="50430E09"/>
    <w:rsid w:val="5064E299"/>
    <w:rsid w:val="50B7B14D"/>
    <w:rsid w:val="50FC3EFF"/>
    <w:rsid w:val="512F9659"/>
    <w:rsid w:val="51860E52"/>
    <w:rsid w:val="51B2972B"/>
    <w:rsid w:val="51E2881F"/>
    <w:rsid w:val="52239F9D"/>
    <w:rsid w:val="5264DBFF"/>
    <w:rsid w:val="5292B806"/>
    <w:rsid w:val="52B203A3"/>
    <w:rsid w:val="534D64B5"/>
    <w:rsid w:val="53676E9B"/>
    <w:rsid w:val="53AB2263"/>
    <w:rsid w:val="54CA66CB"/>
    <w:rsid w:val="556E07B5"/>
    <w:rsid w:val="557D6847"/>
    <w:rsid w:val="5592691B"/>
    <w:rsid w:val="5599E093"/>
    <w:rsid w:val="55E07F94"/>
    <w:rsid w:val="560C597F"/>
    <w:rsid w:val="5639C909"/>
    <w:rsid w:val="5742ED72"/>
    <w:rsid w:val="574664E2"/>
    <w:rsid w:val="580EA901"/>
    <w:rsid w:val="586CB143"/>
    <w:rsid w:val="58CFA832"/>
    <w:rsid w:val="58D63086"/>
    <w:rsid w:val="58DBBB25"/>
    <w:rsid w:val="58E59520"/>
    <w:rsid w:val="5972F854"/>
    <w:rsid w:val="59A9D2F5"/>
    <w:rsid w:val="59BEA512"/>
    <w:rsid w:val="59CE0079"/>
    <w:rsid w:val="5A5EB34C"/>
    <w:rsid w:val="5AC7A4BC"/>
    <w:rsid w:val="5ADF0E75"/>
    <w:rsid w:val="5AE9B33A"/>
    <w:rsid w:val="5AF87FBC"/>
    <w:rsid w:val="5BEBD70B"/>
    <w:rsid w:val="5C9134CF"/>
    <w:rsid w:val="5CE237E7"/>
    <w:rsid w:val="5D85DC46"/>
    <w:rsid w:val="5D9E855B"/>
    <w:rsid w:val="5DF543E9"/>
    <w:rsid w:val="5E3D5A8C"/>
    <w:rsid w:val="5E81201E"/>
    <w:rsid w:val="5EC12827"/>
    <w:rsid w:val="5EE2B000"/>
    <w:rsid w:val="5F1ABF96"/>
    <w:rsid w:val="5F6396C2"/>
    <w:rsid w:val="5F8C1860"/>
    <w:rsid w:val="601F0447"/>
    <w:rsid w:val="60E714E2"/>
    <w:rsid w:val="60ED1959"/>
    <w:rsid w:val="61B7C9A8"/>
    <w:rsid w:val="61EBCC0A"/>
    <w:rsid w:val="61F70C97"/>
    <w:rsid w:val="622B7680"/>
    <w:rsid w:val="62A245A7"/>
    <w:rsid w:val="630C28A5"/>
    <w:rsid w:val="6359909C"/>
    <w:rsid w:val="638AEE49"/>
    <w:rsid w:val="63D07C81"/>
    <w:rsid w:val="63E4D106"/>
    <w:rsid w:val="641B92F8"/>
    <w:rsid w:val="64C2AF49"/>
    <w:rsid w:val="65111FD6"/>
    <w:rsid w:val="655FAFCA"/>
    <w:rsid w:val="65735593"/>
    <w:rsid w:val="66135891"/>
    <w:rsid w:val="662D0D3D"/>
    <w:rsid w:val="66B30AFE"/>
    <w:rsid w:val="67046A6B"/>
    <w:rsid w:val="67BFC1F3"/>
    <w:rsid w:val="68EAC6B7"/>
    <w:rsid w:val="6917C3F1"/>
    <w:rsid w:val="69306967"/>
    <w:rsid w:val="69C85662"/>
    <w:rsid w:val="6A8D98E0"/>
    <w:rsid w:val="6B151B7E"/>
    <w:rsid w:val="6C5E9A1F"/>
    <w:rsid w:val="6C746120"/>
    <w:rsid w:val="6CB670E6"/>
    <w:rsid w:val="6CBA07EF"/>
    <w:rsid w:val="6D9EDF31"/>
    <w:rsid w:val="6DDC6C6B"/>
    <w:rsid w:val="6DE4D2D8"/>
    <w:rsid w:val="6E1CCAA3"/>
    <w:rsid w:val="6E58144D"/>
    <w:rsid w:val="6E5A72C1"/>
    <w:rsid w:val="6E966B09"/>
    <w:rsid w:val="6EDBF8C3"/>
    <w:rsid w:val="6F5F9323"/>
    <w:rsid w:val="6F70CC76"/>
    <w:rsid w:val="702F2D21"/>
    <w:rsid w:val="70A88032"/>
    <w:rsid w:val="70EC24BD"/>
    <w:rsid w:val="7113C923"/>
    <w:rsid w:val="714942B6"/>
    <w:rsid w:val="71D1B6EB"/>
    <w:rsid w:val="722F8448"/>
    <w:rsid w:val="72F98AD8"/>
    <w:rsid w:val="7300BF0D"/>
    <w:rsid w:val="7354F22E"/>
    <w:rsid w:val="7374742A"/>
    <w:rsid w:val="73CE4DC3"/>
    <w:rsid w:val="7409EECE"/>
    <w:rsid w:val="74321F16"/>
    <w:rsid w:val="744CF11D"/>
    <w:rsid w:val="749DADD4"/>
    <w:rsid w:val="74B5809C"/>
    <w:rsid w:val="74E58AB7"/>
    <w:rsid w:val="74F2F876"/>
    <w:rsid w:val="756D32AA"/>
    <w:rsid w:val="75A088C0"/>
    <w:rsid w:val="7607894C"/>
    <w:rsid w:val="7641CDAB"/>
    <w:rsid w:val="76660F71"/>
    <w:rsid w:val="76B2A71A"/>
    <w:rsid w:val="78B99AD3"/>
    <w:rsid w:val="7913A136"/>
    <w:rsid w:val="7919BFF0"/>
    <w:rsid w:val="7924E3DB"/>
    <w:rsid w:val="79F793F3"/>
    <w:rsid w:val="79FDC4D0"/>
    <w:rsid w:val="7B5C8F0F"/>
    <w:rsid w:val="7BC382F1"/>
    <w:rsid w:val="7BC4FB61"/>
    <w:rsid w:val="7C34712E"/>
    <w:rsid w:val="7C8348C1"/>
    <w:rsid w:val="7CC471C6"/>
    <w:rsid w:val="7D4C54CE"/>
    <w:rsid w:val="7D686D3C"/>
    <w:rsid w:val="7E027B91"/>
    <w:rsid w:val="7ED7E18D"/>
    <w:rsid w:val="7EEBF204"/>
    <w:rsid w:val="7EF7122B"/>
    <w:rsid w:val="7F372F34"/>
    <w:rsid w:val="7F648FCA"/>
    <w:rsid w:val="7F7E41A9"/>
    <w:rsid w:val="7FD8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D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45"/>
    <w:pPr>
      <w:suppressAutoHyphens/>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3390E"/>
    <w:pPr>
      <w:suppressAutoHyphens/>
      <w:spacing w:after="0" w:line="240" w:lineRule="auto"/>
    </w:pPr>
    <w:rPr>
      <w:rFonts w:ascii="Times New Roman" w:eastAsia="SimSun" w:hAnsi="Times New Roman" w:cs="Times New Roman"/>
      <w:sz w:val="24"/>
      <w:szCs w:val="20"/>
    </w:rPr>
  </w:style>
  <w:style w:type="paragraph" w:customStyle="1" w:styleId="10sp0">
    <w:name w:val="_1.0sp 0&quot;"/>
    <w:basedOn w:val="Normal0"/>
    <w:rsid w:val="0073390E"/>
    <w:pPr>
      <w:spacing w:after="240"/>
    </w:pPr>
  </w:style>
  <w:style w:type="paragraph" w:customStyle="1" w:styleId="10sp0nospaceafter">
    <w:name w:val="_1.0sp 0&quot; (no space after)"/>
    <w:basedOn w:val="Normal0"/>
    <w:rsid w:val="0073390E"/>
  </w:style>
  <w:style w:type="paragraph" w:customStyle="1" w:styleId="10sp05">
    <w:name w:val="_1.0sp 0.5&quot;"/>
    <w:basedOn w:val="Normal0"/>
    <w:rsid w:val="0073390E"/>
    <w:pPr>
      <w:spacing w:after="240"/>
      <w:ind w:firstLine="720"/>
    </w:pPr>
  </w:style>
  <w:style w:type="paragraph" w:customStyle="1" w:styleId="10sp1">
    <w:name w:val="_1.0sp 1&quot;"/>
    <w:basedOn w:val="Normal0"/>
    <w:rsid w:val="0073390E"/>
    <w:pPr>
      <w:spacing w:after="240"/>
      <w:ind w:firstLine="1440"/>
    </w:pPr>
  </w:style>
  <w:style w:type="paragraph" w:customStyle="1" w:styleId="10sp15">
    <w:name w:val="_1.0sp 1.5&quot;"/>
    <w:basedOn w:val="Normal0"/>
    <w:rsid w:val="0073390E"/>
    <w:pPr>
      <w:spacing w:after="240"/>
      <w:ind w:firstLine="2160"/>
    </w:pPr>
  </w:style>
  <w:style w:type="paragraph" w:customStyle="1" w:styleId="10sp2">
    <w:name w:val="_1.0sp 2&quot;"/>
    <w:basedOn w:val="Normal0"/>
    <w:qFormat/>
    <w:rsid w:val="0073390E"/>
    <w:pPr>
      <w:spacing w:after="240"/>
      <w:ind w:firstLine="2880"/>
    </w:pPr>
  </w:style>
  <w:style w:type="paragraph" w:customStyle="1" w:styleId="10spCentered">
    <w:name w:val="_1.0sp Centered"/>
    <w:basedOn w:val="Normal0"/>
    <w:rsid w:val="0073390E"/>
    <w:pPr>
      <w:spacing w:after="240"/>
      <w:jc w:val="center"/>
    </w:pPr>
  </w:style>
  <w:style w:type="paragraph" w:customStyle="1" w:styleId="10spCenterednospaceafter">
    <w:name w:val="_1.0sp Centered (no space after)"/>
    <w:basedOn w:val="Normal0"/>
    <w:rsid w:val="0073390E"/>
    <w:pPr>
      <w:jc w:val="center"/>
    </w:pPr>
  </w:style>
  <w:style w:type="paragraph" w:customStyle="1" w:styleId="10spHanging05">
    <w:name w:val="_1.0sp Hanging 0.5&quot;"/>
    <w:basedOn w:val="Normal0"/>
    <w:rsid w:val="0073390E"/>
    <w:pPr>
      <w:spacing w:after="240"/>
      <w:ind w:left="720" w:hanging="720"/>
    </w:pPr>
  </w:style>
  <w:style w:type="paragraph" w:customStyle="1" w:styleId="10spHanging05nospaceafter">
    <w:name w:val="_1.0sp Hanging 0.5&quot; (no space after)"/>
    <w:basedOn w:val="Normal0"/>
    <w:rsid w:val="0073390E"/>
    <w:pPr>
      <w:ind w:left="720" w:hanging="720"/>
    </w:pPr>
  </w:style>
  <w:style w:type="paragraph" w:customStyle="1" w:styleId="10spHanging1">
    <w:name w:val="_1.0sp Hanging 1&quot;"/>
    <w:basedOn w:val="Normal0"/>
    <w:rsid w:val="0073390E"/>
    <w:pPr>
      <w:spacing w:after="240"/>
      <w:ind w:left="1440" w:hanging="720"/>
    </w:pPr>
  </w:style>
  <w:style w:type="paragraph" w:customStyle="1" w:styleId="10spHanging15">
    <w:name w:val="_1.0sp Hanging 1.5&quot;"/>
    <w:basedOn w:val="Normal0"/>
    <w:rsid w:val="0073390E"/>
    <w:pPr>
      <w:spacing w:after="240"/>
      <w:ind w:left="2160" w:hanging="720"/>
    </w:pPr>
  </w:style>
  <w:style w:type="paragraph" w:customStyle="1" w:styleId="10spHanging2">
    <w:name w:val="_1.0sp Hanging 2&quot;"/>
    <w:basedOn w:val="Normal0"/>
    <w:qFormat/>
    <w:rsid w:val="0073390E"/>
    <w:pPr>
      <w:spacing w:after="240"/>
      <w:ind w:left="2880" w:hanging="720"/>
    </w:pPr>
  </w:style>
  <w:style w:type="paragraph" w:customStyle="1" w:styleId="10spLeftInd05">
    <w:name w:val="_1.0sp Left Ind 0.5&quot;"/>
    <w:basedOn w:val="Normal0"/>
    <w:rsid w:val="0073390E"/>
    <w:pPr>
      <w:spacing w:after="240"/>
      <w:ind w:left="720"/>
    </w:pPr>
  </w:style>
  <w:style w:type="paragraph" w:customStyle="1" w:styleId="10spLeftInd05nospaceafter">
    <w:name w:val="_1.0sp Left Ind 0.5&quot; (no space after)"/>
    <w:basedOn w:val="Normal0"/>
    <w:rsid w:val="0073390E"/>
    <w:pPr>
      <w:ind w:left="720"/>
    </w:pPr>
  </w:style>
  <w:style w:type="paragraph" w:customStyle="1" w:styleId="10spLeftInd1">
    <w:name w:val="_1.0sp Left Ind 1&quot;"/>
    <w:basedOn w:val="Normal0"/>
    <w:rsid w:val="0073390E"/>
    <w:pPr>
      <w:spacing w:after="240"/>
      <w:ind w:left="1440"/>
    </w:pPr>
  </w:style>
  <w:style w:type="paragraph" w:customStyle="1" w:styleId="10spLeftInd15">
    <w:name w:val="_1.0sp Left Ind 1.5&quot;"/>
    <w:basedOn w:val="Normal0"/>
    <w:rsid w:val="0073390E"/>
    <w:pPr>
      <w:spacing w:after="240"/>
      <w:ind w:left="2160"/>
    </w:pPr>
  </w:style>
  <w:style w:type="paragraph" w:customStyle="1" w:styleId="10spLeftInd2">
    <w:name w:val="_1.0sp Left Ind 2&quot;"/>
    <w:basedOn w:val="Normal0"/>
    <w:rsid w:val="0073390E"/>
    <w:pPr>
      <w:spacing w:after="240"/>
      <w:ind w:left="2880"/>
    </w:pPr>
  </w:style>
  <w:style w:type="paragraph" w:customStyle="1" w:styleId="10spLeft-Right05">
    <w:name w:val="_1.0sp Left-Right 0.5&quot;"/>
    <w:basedOn w:val="Normal0"/>
    <w:rsid w:val="0073390E"/>
    <w:pPr>
      <w:spacing w:after="240"/>
      <w:ind w:left="720" w:right="720"/>
    </w:pPr>
  </w:style>
  <w:style w:type="paragraph" w:customStyle="1" w:styleId="10spLeft-Right1">
    <w:name w:val="_1.0sp Left-Right 1&quot;"/>
    <w:basedOn w:val="Normal0"/>
    <w:rsid w:val="0073390E"/>
    <w:pPr>
      <w:spacing w:after="240"/>
      <w:ind w:left="1440" w:right="1440"/>
    </w:pPr>
  </w:style>
  <w:style w:type="paragraph" w:customStyle="1" w:styleId="10spLeft-Right15">
    <w:name w:val="_1.0sp Left-Right 1.5&quot;"/>
    <w:basedOn w:val="Normal0"/>
    <w:rsid w:val="0073390E"/>
    <w:pPr>
      <w:spacing w:after="240"/>
      <w:ind w:left="2160" w:right="2160"/>
    </w:pPr>
  </w:style>
  <w:style w:type="paragraph" w:customStyle="1" w:styleId="10spLeft-Right2">
    <w:name w:val="_1.0sp Left-Right 2&quot;"/>
    <w:basedOn w:val="Normal0"/>
    <w:qFormat/>
    <w:rsid w:val="0073390E"/>
    <w:pPr>
      <w:spacing w:after="240"/>
      <w:ind w:left="2880" w:right="2880"/>
    </w:pPr>
  </w:style>
  <w:style w:type="paragraph" w:customStyle="1" w:styleId="10spRightAligned">
    <w:name w:val="_1.0sp Right Aligned"/>
    <w:basedOn w:val="Normal0"/>
    <w:rsid w:val="0073390E"/>
    <w:pPr>
      <w:spacing w:after="240"/>
      <w:jc w:val="right"/>
    </w:pPr>
  </w:style>
  <w:style w:type="paragraph" w:customStyle="1" w:styleId="15sp0">
    <w:name w:val="_1.5sp 0&quot;"/>
    <w:basedOn w:val="Normal0"/>
    <w:rsid w:val="0073390E"/>
    <w:pPr>
      <w:spacing w:line="360" w:lineRule="auto"/>
    </w:pPr>
  </w:style>
  <w:style w:type="paragraph" w:customStyle="1" w:styleId="15sp05">
    <w:name w:val="_1.5sp 0.5&quot;"/>
    <w:basedOn w:val="Normal0"/>
    <w:rsid w:val="0073390E"/>
    <w:pPr>
      <w:spacing w:line="360" w:lineRule="auto"/>
      <w:ind w:firstLine="720"/>
    </w:pPr>
  </w:style>
  <w:style w:type="paragraph" w:customStyle="1" w:styleId="15sp1">
    <w:name w:val="_1.5sp 1&quot;"/>
    <w:basedOn w:val="Normal0"/>
    <w:rsid w:val="0073390E"/>
    <w:pPr>
      <w:spacing w:line="360" w:lineRule="auto"/>
      <w:ind w:firstLine="1440"/>
    </w:pPr>
  </w:style>
  <w:style w:type="paragraph" w:customStyle="1" w:styleId="15sp15">
    <w:name w:val="_1.5sp 1.5&quot;"/>
    <w:basedOn w:val="Normal0"/>
    <w:rsid w:val="0073390E"/>
    <w:pPr>
      <w:spacing w:line="360" w:lineRule="auto"/>
      <w:ind w:firstLine="2160"/>
    </w:pPr>
  </w:style>
  <w:style w:type="paragraph" w:customStyle="1" w:styleId="15sp2">
    <w:name w:val="_1.5sp 2&quot;"/>
    <w:basedOn w:val="Normal0"/>
    <w:qFormat/>
    <w:rsid w:val="0073390E"/>
    <w:pPr>
      <w:spacing w:line="360" w:lineRule="auto"/>
      <w:ind w:firstLine="2880"/>
    </w:pPr>
  </w:style>
  <w:style w:type="paragraph" w:customStyle="1" w:styleId="15spCentered">
    <w:name w:val="_1.5sp Centered"/>
    <w:basedOn w:val="Normal0"/>
    <w:rsid w:val="0073390E"/>
    <w:pPr>
      <w:spacing w:line="360" w:lineRule="auto"/>
      <w:jc w:val="center"/>
    </w:pPr>
  </w:style>
  <w:style w:type="paragraph" w:customStyle="1" w:styleId="15spHanging05">
    <w:name w:val="_1.5sp Hanging 0.5&quot;"/>
    <w:basedOn w:val="Normal0"/>
    <w:rsid w:val="0073390E"/>
    <w:pPr>
      <w:spacing w:line="360" w:lineRule="auto"/>
      <w:ind w:left="720" w:hanging="720"/>
    </w:pPr>
  </w:style>
  <w:style w:type="paragraph" w:customStyle="1" w:styleId="15spHanging1">
    <w:name w:val="_1.5sp Hanging 1&quot;"/>
    <w:basedOn w:val="Normal0"/>
    <w:rsid w:val="0073390E"/>
    <w:pPr>
      <w:spacing w:line="360" w:lineRule="auto"/>
      <w:ind w:left="1440" w:hanging="720"/>
    </w:pPr>
  </w:style>
  <w:style w:type="paragraph" w:customStyle="1" w:styleId="15spHanging15">
    <w:name w:val="_1.5sp Hanging 1.5&quot;"/>
    <w:basedOn w:val="Normal0"/>
    <w:rsid w:val="0073390E"/>
    <w:pPr>
      <w:spacing w:line="360" w:lineRule="auto"/>
      <w:ind w:left="2160" w:hanging="720"/>
    </w:pPr>
  </w:style>
  <w:style w:type="paragraph" w:customStyle="1" w:styleId="15spHanging2">
    <w:name w:val="_1.5sp Hanging 2&quot;"/>
    <w:basedOn w:val="Normal0"/>
    <w:qFormat/>
    <w:rsid w:val="0073390E"/>
    <w:pPr>
      <w:spacing w:line="360" w:lineRule="auto"/>
      <w:ind w:left="2880" w:hanging="720"/>
    </w:pPr>
  </w:style>
  <w:style w:type="paragraph" w:customStyle="1" w:styleId="15spLeftInd05">
    <w:name w:val="_1.5sp Left Ind 0.5&quot;"/>
    <w:basedOn w:val="Normal0"/>
    <w:rsid w:val="0073390E"/>
    <w:pPr>
      <w:spacing w:line="360" w:lineRule="auto"/>
      <w:ind w:left="720"/>
    </w:pPr>
  </w:style>
  <w:style w:type="paragraph" w:customStyle="1" w:styleId="15spLeftInd1">
    <w:name w:val="_1.5sp Left Ind 1&quot;"/>
    <w:basedOn w:val="Normal0"/>
    <w:rsid w:val="0073390E"/>
    <w:pPr>
      <w:spacing w:line="360" w:lineRule="auto"/>
      <w:ind w:left="1440"/>
    </w:pPr>
  </w:style>
  <w:style w:type="paragraph" w:customStyle="1" w:styleId="15spLeftInd15">
    <w:name w:val="_1.5sp Left Ind 1.5&quot;"/>
    <w:basedOn w:val="Normal0"/>
    <w:rsid w:val="0073390E"/>
    <w:pPr>
      <w:spacing w:line="360" w:lineRule="auto"/>
      <w:ind w:left="2160"/>
    </w:pPr>
  </w:style>
  <w:style w:type="paragraph" w:customStyle="1" w:styleId="15spLeftInd2">
    <w:name w:val="_1.5sp Left Ind 2&quot;"/>
    <w:basedOn w:val="Normal0"/>
    <w:rsid w:val="0073390E"/>
    <w:pPr>
      <w:spacing w:line="360" w:lineRule="auto"/>
      <w:ind w:left="2880"/>
    </w:pPr>
  </w:style>
  <w:style w:type="paragraph" w:customStyle="1" w:styleId="15spLeft-Right05">
    <w:name w:val="_1.5sp Left-Right 0.5&quot;"/>
    <w:basedOn w:val="Normal0"/>
    <w:rsid w:val="0073390E"/>
    <w:pPr>
      <w:spacing w:line="360" w:lineRule="auto"/>
      <w:ind w:left="720" w:right="720"/>
    </w:pPr>
  </w:style>
  <w:style w:type="paragraph" w:customStyle="1" w:styleId="15spLeft-Right1">
    <w:name w:val="_1.5sp Left-Right 1&quot;"/>
    <w:basedOn w:val="Normal0"/>
    <w:rsid w:val="0073390E"/>
    <w:pPr>
      <w:spacing w:line="360" w:lineRule="auto"/>
      <w:ind w:left="1440" w:right="1440"/>
    </w:pPr>
  </w:style>
  <w:style w:type="paragraph" w:customStyle="1" w:styleId="15spLeft-Right15">
    <w:name w:val="_1.5sp Left-Right 1.5&quot;"/>
    <w:basedOn w:val="Normal0"/>
    <w:rsid w:val="0073390E"/>
    <w:pPr>
      <w:spacing w:line="360" w:lineRule="auto"/>
      <w:ind w:left="2160" w:right="2160"/>
    </w:pPr>
  </w:style>
  <w:style w:type="paragraph" w:customStyle="1" w:styleId="15spLeft-Right2">
    <w:name w:val="_1.5sp Left-Right 2&quot;"/>
    <w:basedOn w:val="Normal0"/>
    <w:qFormat/>
    <w:rsid w:val="0073390E"/>
    <w:pPr>
      <w:spacing w:line="360" w:lineRule="auto"/>
      <w:ind w:left="2880" w:right="2880"/>
    </w:pPr>
  </w:style>
  <w:style w:type="paragraph" w:customStyle="1" w:styleId="15spRightAligned">
    <w:name w:val="_1.5sp Right Aligned"/>
    <w:basedOn w:val="Normal0"/>
    <w:rsid w:val="0073390E"/>
    <w:pPr>
      <w:spacing w:line="360" w:lineRule="auto"/>
      <w:jc w:val="right"/>
    </w:pPr>
  </w:style>
  <w:style w:type="paragraph" w:customStyle="1" w:styleId="20sp0">
    <w:name w:val="_2.0sp 0&quot;"/>
    <w:basedOn w:val="Normal0"/>
    <w:rsid w:val="0073390E"/>
    <w:pPr>
      <w:spacing w:line="480" w:lineRule="auto"/>
    </w:pPr>
  </w:style>
  <w:style w:type="paragraph" w:customStyle="1" w:styleId="20sp05">
    <w:name w:val="_2.0sp 0.5&quot;"/>
    <w:basedOn w:val="Normal0"/>
    <w:rsid w:val="0073390E"/>
    <w:pPr>
      <w:spacing w:line="480" w:lineRule="auto"/>
      <w:ind w:firstLine="720"/>
    </w:pPr>
  </w:style>
  <w:style w:type="paragraph" w:customStyle="1" w:styleId="20sp1">
    <w:name w:val="_2.0sp 1&quot;"/>
    <w:basedOn w:val="Normal0"/>
    <w:rsid w:val="0073390E"/>
    <w:pPr>
      <w:spacing w:line="480" w:lineRule="auto"/>
      <w:ind w:firstLine="1440"/>
    </w:pPr>
  </w:style>
  <w:style w:type="paragraph" w:customStyle="1" w:styleId="20sp15">
    <w:name w:val="_2.0sp 1.5&quot;"/>
    <w:basedOn w:val="Normal0"/>
    <w:rsid w:val="0073390E"/>
    <w:pPr>
      <w:spacing w:line="480" w:lineRule="auto"/>
      <w:ind w:firstLine="2160"/>
    </w:pPr>
  </w:style>
  <w:style w:type="paragraph" w:customStyle="1" w:styleId="20sp2">
    <w:name w:val="_2.0sp 2&quot;"/>
    <w:basedOn w:val="Normal0"/>
    <w:qFormat/>
    <w:rsid w:val="0073390E"/>
    <w:pPr>
      <w:spacing w:line="480" w:lineRule="auto"/>
      <w:ind w:firstLine="2880"/>
    </w:pPr>
  </w:style>
  <w:style w:type="paragraph" w:customStyle="1" w:styleId="20spCentered">
    <w:name w:val="_2.0sp Centered"/>
    <w:basedOn w:val="Normal0"/>
    <w:rsid w:val="0073390E"/>
    <w:pPr>
      <w:spacing w:line="480" w:lineRule="auto"/>
      <w:jc w:val="center"/>
    </w:pPr>
  </w:style>
  <w:style w:type="paragraph" w:customStyle="1" w:styleId="20spHanging05">
    <w:name w:val="_2.0sp Hanging 0.5&quot;"/>
    <w:basedOn w:val="Normal0"/>
    <w:rsid w:val="0073390E"/>
    <w:pPr>
      <w:spacing w:line="480" w:lineRule="auto"/>
      <w:ind w:left="720" w:hanging="720"/>
    </w:pPr>
  </w:style>
  <w:style w:type="paragraph" w:customStyle="1" w:styleId="20spHanging1">
    <w:name w:val="_2.0sp Hanging 1&quot;"/>
    <w:basedOn w:val="Normal0"/>
    <w:rsid w:val="0073390E"/>
    <w:pPr>
      <w:spacing w:line="480" w:lineRule="auto"/>
      <w:ind w:left="1440" w:hanging="720"/>
    </w:pPr>
  </w:style>
  <w:style w:type="paragraph" w:customStyle="1" w:styleId="20spHanging15">
    <w:name w:val="_2.0sp Hanging 1.5&quot;"/>
    <w:basedOn w:val="Normal0"/>
    <w:rsid w:val="0073390E"/>
    <w:pPr>
      <w:spacing w:line="480" w:lineRule="auto"/>
      <w:ind w:left="2160" w:hanging="720"/>
    </w:pPr>
  </w:style>
  <w:style w:type="paragraph" w:customStyle="1" w:styleId="20spHanging2">
    <w:name w:val="_2.0sp Hanging 2&quot;"/>
    <w:basedOn w:val="Normal0"/>
    <w:qFormat/>
    <w:rsid w:val="0073390E"/>
    <w:pPr>
      <w:spacing w:line="480" w:lineRule="auto"/>
      <w:ind w:left="2880" w:hanging="720"/>
    </w:pPr>
  </w:style>
  <w:style w:type="paragraph" w:customStyle="1" w:styleId="20spLeftInd05">
    <w:name w:val="_2.0sp Left Ind 0.5&quot;"/>
    <w:basedOn w:val="Normal0"/>
    <w:rsid w:val="0073390E"/>
    <w:pPr>
      <w:spacing w:line="480" w:lineRule="auto"/>
      <w:ind w:left="720"/>
    </w:pPr>
  </w:style>
  <w:style w:type="paragraph" w:customStyle="1" w:styleId="20spLeftInd1">
    <w:name w:val="_2.0sp Left Ind 1&quot;"/>
    <w:basedOn w:val="Normal0"/>
    <w:rsid w:val="0073390E"/>
    <w:pPr>
      <w:spacing w:line="480" w:lineRule="auto"/>
      <w:ind w:left="1440"/>
    </w:pPr>
  </w:style>
  <w:style w:type="paragraph" w:customStyle="1" w:styleId="20spLeftInd15">
    <w:name w:val="_2.0sp Left Ind 1.5&quot;"/>
    <w:basedOn w:val="Normal0"/>
    <w:rsid w:val="0073390E"/>
    <w:pPr>
      <w:spacing w:line="480" w:lineRule="auto"/>
      <w:ind w:left="2160"/>
    </w:pPr>
  </w:style>
  <w:style w:type="paragraph" w:customStyle="1" w:styleId="20spLeftInd2">
    <w:name w:val="_2.0sp Left Ind 2&quot;"/>
    <w:basedOn w:val="Normal0"/>
    <w:rsid w:val="0073390E"/>
    <w:pPr>
      <w:spacing w:line="480" w:lineRule="auto"/>
      <w:ind w:left="2880"/>
    </w:pPr>
  </w:style>
  <w:style w:type="paragraph" w:customStyle="1" w:styleId="20spLeft-Right05">
    <w:name w:val="_2.0sp Left-Right 0.5&quot;"/>
    <w:basedOn w:val="Normal0"/>
    <w:rsid w:val="0073390E"/>
    <w:pPr>
      <w:spacing w:line="480" w:lineRule="auto"/>
      <w:ind w:left="720" w:right="720"/>
    </w:pPr>
  </w:style>
  <w:style w:type="paragraph" w:customStyle="1" w:styleId="20spLeft-Right1">
    <w:name w:val="_2.0sp Left-Right 1&quot;"/>
    <w:basedOn w:val="Normal0"/>
    <w:rsid w:val="0073390E"/>
    <w:pPr>
      <w:spacing w:line="480" w:lineRule="auto"/>
      <w:ind w:left="1440" w:right="1440"/>
    </w:pPr>
  </w:style>
  <w:style w:type="paragraph" w:customStyle="1" w:styleId="20spLeft-Right15">
    <w:name w:val="_2.0sp Left-Right 1.5&quot;"/>
    <w:basedOn w:val="Normal0"/>
    <w:rsid w:val="0073390E"/>
    <w:pPr>
      <w:spacing w:line="480" w:lineRule="auto"/>
      <w:ind w:left="2160" w:right="2160"/>
    </w:pPr>
  </w:style>
  <w:style w:type="paragraph" w:customStyle="1" w:styleId="20spLeft-Right2">
    <w:name w:val="_2.0sp Left-Right 2&quot;"/>
    <w:basedOn w:val="Normal0"/>
    <w:qFormat/>
    <w:rsid w:val="0073390E"/>
    <w:pPr>
      <w:spacing w:line="480" w:lineRule="auto"/>
      <w:ind w:left="2880" w:right="2880"/>
    </w:pPr>
  </w:style>
  <w:style w:type="paragraph" w:customStyle="1" w:styleId="20spRightAligned">
    <w:name w:val="_2.0sp Right Aligned"/>
    <w:basedOn w:val="Normal0"/>
    <w:rsid w:val="0073390E"/>
    <w:pPr>
      <w:spacing w:line="480" w:lineRule="auto"/>
      <w:jc w:val="right"/>
    </w:pPr>
  </w:style>
  <w:style w:type="paragraph" w:customStyle="1" w:styleId="Bullets0">
    <w:name w:val="_Bullets 0&quot;"/>
    <w:basedOn w:val="Normal0"/>
    <w:rsid w:val="0073390E"/>
    <w:pPr>
      <w:numPr>
        <w:numId w:val="7"/>
      </w:numPr>
      <w:spacing w:after="240"/>
    </w:pPr>
  </w:style>
  <w:style w:type="paragraph" w:customStyle="1" w:styleId="Bullets05">
    <w:name w:val="_Bullets 0.5&quot;"/>
    <w:basedOn w:val="Bullets0"/>
    <w:rsid w:val="0073390E"/>
    <w:pPr>
      <w:numPr>
        <w:numId w:val="0"/>
      </w:numPr>
    </w:pPr>
  </w:style>
  <w:style w:type="paragraph" w:customStyle="1" w:styleId="Bullets1">
    <w:name w:val="_Bullets 1&quot;"/>
    <w:basedOn w:val="Bullets0"/>
    <w:rsid w:val="0073390E"/>
    <w:pPr>
      <w:numPr>
        <w:numId w:val="0"/>
      </w:numPr>
    </w:pPr>
  </w:style>
  <w:style w:type="paragraph" w:customStyle="1" w:styleId="Bullets15">
    <w:name w:val="_Bullets 1.5&quot;"/>
    <w:basedOn w:val="Bullets0"/>
    <w:rsid w:val="0073390E"/>
    <w:pPr>
      <w:numPr>
        <w:numId w:val="0"/>
      </w:numPr>
    </w:pPr>
  </w:style>
  <w:style w:type="paragraph" w:customStyle="1" w:styleId="Bullets2">
    <w:name w:val="_Bullets 2&quot;"/>
    <w:basedOn w:val="Bullets0"/>
    <w:rsid w:val="0073390E"/>
    <w:pPr>
      <w:numPr>
        <w:numId w:val="0"/>
      </w:numPr>
    </w:pPr>
  </w:style>
  <w:style w:type="paragraph" w:customStyle="1" w:styleId="CustomHeading1">
    <w:name w:val="_Custom Heading 1"/>
    <w:basedOn w:val="Normal0"/>
    <w:rsid w:val="0073390E"/>
    <w:pPr>
      <w:keepNext/>
      <w:keepLines/>
      <w:spacing w:after="240"/>
      <w:jc w:val="center"/>
    </w:pPr>
  </w:style>
  <w:style w:type="paragraph" w:customStyle="1" w:styleId="CustomHeading2">
    <w:name w:val="_Custom Heading 2"/>
    <w:basedOn w:val="Normal0"/>
    <w:rsid w:val="0073390E"/>
    <w:pPr>
      <w:keepNext/>
      <w:keepLines/>
      <w:spacing w:after="240"/>
      <w:jc w:val="center"/>
    </w:pPr>
  </w:style>
  <w:style w:type="paragraph" w:customStyle="1" w:styleId="CustomHeading3">
    <w:name w:val="_Custom Heading 3"/>
    <w:basedOn w:val="Normal0"/>
    <w:rsid w:val="0073390E"/>
    <w:pPr>
      <w:keepNext/>
      <w:keepLines/>
      <w:spacing w:after="240"/>
      <w:jc w:val="center"/>
    </w:pPr>
  </w:style>
  <w:style w:type="paragraph" w:customStyle="1" w:styleId="CustomHeading4">
    <w:name w:val="_Custom Heading 4"/>
    <w:basedOn w:val="Normal0"/>
    <w:rsid w:val="0073390E"/>
    <w:pPr>
      <w:keepNext/>
      <w:keepLines/>
      <w:spacing w:after="240"/>
      <w:jc w:val="center"/>
    </w:pPr>
  </w:style>
  <w:style w:type="paragraph" w:customStyle="1" w:styleId="CustomHeading5">
    <w:name w:val="_Custom Heading 5"/>
    <w:basedOn w:val="Normal0"/>
    <w:rsid w:val="0073390E"/>
    <w:pPr>
      <w:keepNext/>
      <w:keepLines/>
      <w:spacing w:after="240"/>
      <w:jc w:val="center"/>
    </w:pPr>
  </w:style>
  <w:style w:type="paragraph" w:customStyle="1" w:styleId="CustomHeading6">
    <w:name w:val="_Custom Heading 6"/>
    <w:basedOn w:val="Normal0"/>
    <w:rsid w:val="0073390E"/>
    <w:pPr>
      <w:keepNext/>
      <w:keepLines/>
      <w:spacing w:after="240"/>
      <w:jc w:val="center"/>
    </w:pPr>
  </w:style>
  <w:style w:type="paragraph" w:customStyle="1" w:styleId="CustomParagraph1">
    <w:name w:val="_Custom Paragraph 1"/>
    <w:basedOn w:val="Normal0"/>
    <w:rsid w:val="0073390E"/>
    <w:pPr>
      <w:spacing w:after="240"/>
    </w:pPr>
  </w:style>
  <w:style w:type="paragraph" w:customStyle="1" w:styleId="CustomParagraph2">
    <w:name w:val="_Custom Paragraph 2"/>
    <w:basedOn w:val="Normal0"/>
    <w:rsid w:val="0073390E"/>
    <w:pPr>
      <w:spacing w:after="240"/>
    </w:pPr>
  </w:style>
  <w:style w:type="paragraph" w:customStyle="1" w:styleId="CustomParagraph3">
    <w:name w:val="_Custom Paragraph 3"/>
    <w:basedOn w:val="Normal0"/>
    <w:rsid w:val="0073390E"/>
    <w:pPr>
      <w:spacing w:after="240"/>
    </w:pPr>
  </w:style>
  <w:style w:type="paragraph" w:customStyle="1" w:styleId="CustomParagraph4">
    <w:name w:val="_Custom Paragraph 4"/>
    <w:basedOn w:val="Normal0"/>
    <w:rsid w:val="0073390E"/>
    <w:pPr>
      <w:spacing w:after="240"/>
    </w:pPr>
  </w:style>
  <w:style w:type="paragraph" w:customStyle="1" w:styleId="CustomParagraph5">
    <w:name w:val="_Custom Paragraph 5"/>
    <w:basedOn w:val="Normal0"/>
    <w:rsid w:val="0073390E"/>
    <w:pPr>
      <w:spacing w:after="240"/>
    </w:pPr>
  </w:style>
  <w:style w:type="paragraph" w:customStyle="1" w:styleId="CustomParagraph6">
    <w:name w:val="_Custom Paragraph 6"/>
    <w:basedOn w:val="Normal0"/>
    <w:rsid w:val="0073390E"/>
    <w:pPr>
      <w:spacing w:after="240"/>
    </w:pPr>
  </w:style>
  <w:style w:type="paragraph" w:customStyle="1" w:styleId="HdgCenter">
    <w:name w:val="_Hdg Center"/>
    <w:basedOn w:val="Normal0"/>
    <w:rsid w:val="0073390E"/>
    <w:pPr>
      <w:keepNext/>
      <w:keepLines/>
      <w:spacing w:after="240"/>
      <w:jc w:val="center"/>
    </w:pPr>
  </w:style>
  <w:style w:type="paragraph" w:customStyle="1" w:styleId="HdgCenterBold">
    <w:name w:val="_Hdg Center Bold"/>
    <w:basedOn w:val="Normal0"/>
    <w:rsid w:val="0073390E"/>
    <w:pPr>
      <w:keepNext/>
      <w:keepLines/>
      <w:spacing w:after="240"/>
      <w:jc w:val="center"/>
    </w:pPr>
    <w:rPr>
      <w:b/>
    </w:rPr>
  </w:style>
  <w:style w:type="paragraph" w:customStyle="1" w:styleId="HdgCenterBold-Italic">
    <w:name w:val="_Hdg Center Bold-Italic"/>
    <w:basedOn w:val="Normal0"/>
    <w:rsid w:val="0073390E"/>
    <w:pPr>
      <w:keepNext/>
      <w:keepLines/>
      <w:spacing w:after="240"/>
      <w:jc w:val="center"/>
    </w:pPr>
    <w:rPr>
      <w:b/>
      <w:i/>
    </w:rPr>
  </w:style>
  <w:style w:type="paragraph" w:customStyle="1" w:styleId="HdgCenterBold-Und">
    <w:name w:val="_Hdg Center Bold-Und"/>
    <w:basedOn w:val="Normal0"/>
    <w:rsid w:val="0073390E"/>
    <w:pPr>
      <w:keepNext/>
      <w:keepLines/>
      <w:spacing w:after="240"/>
      <w:jc w:val="center"/>
    </w:pPr>
    <w:rPr>
      <w:b/>
      <w:u w:val="single"/>
    </w:rPr>
  </w:style>
  <w:style w:type="paragraph" w:customStyle="1" w:styleId="HdgCenterBold-Und-Italic">
    <w:name w:val="_Hdg Center Bold-Und-Italic"/>
    <w:basedOn w:val="Normal0"/>
    <w:rsid w:val="0073390E"/>
    <w:pPr>
      <w:keepNext/>
      <w:keepLines/>
      <w:spacing w:after="240"/>
      <w:jc w:val="center"/>
    </w:pPr>
    <w:rPr>
      <w:b/>
      <w:i/>
      <w:u w:val="single"/>
    </w:rPr>
  </w:style>
  <w:style w:type="paragraph" w:customStyle="1" w:styleId="HdgCenterItalic">
    <w:name w:val="_Hdg Center Italic"/>
    <w:basedOn w:val="Normal0"/>
    <w:rsid w:val="0073390E"/>
    <w:pPr>
      <w:keepNext/>
      <w:keepLines/>
      <w:spacing w:after="240"/>
      <w:jc w:val="center"/>
    </w:pPr>
    <w:rPr>
      <w:i/>
    </w:rPr>
  </w:style>
  <w:style w:type="paragraph" w:customStyle="1" w:styleId="HdgCenterUnd">
    <w:name w:val="_Hdg Center Und"/>
    <w:basedOn w:val="Normal0"/>
    <w:rsid w:val="0073390E"/>
    <w:pPr>
      <w:keepNext/>
      <w:keepLines/>
      <w:spacing w:after="240"/>
      <w:jc w:val="center"/>
    </w:pPr>
    <w:rPr>
      <w:u w:val="single"/>
    </w:rPr>
  </w:style>
  <w:style w:type="paragraph" w:customStyle="1" w:styleId="HdgLeft">
    <w:name w:val="_Hdg Left"/>
    <w:basedOn w:val="Normal0"/>
    <w:rsid w:val="0073390E"/>
    <w:pPr>
      <w:keepNext/>
      <w:keepLines/>
      <w:spacing w:after="240"/>
    </w:pPr>
  </w:style>
  <w:style w:type="paragraph" w:customStyle="1" w:styleId="HdgLeftBold">
    <w:name w:val="_Hdg Left Bold"/>
    <w:basedOn w:val="Normal0"/>
    <w:rsid w:val="0073390E"/>
    <w:pPr>
      <w:keepNext/>
      <w:keepLines/>
      <w:spacing w:after="240"/>
    </w:pPr>
    <w:rPr>
      <w:b/>
    </w:rPr>
  </w:style>
  <w:style w:type="paragraph" w:customStyle="1" w:styleId="HdgLeftBold-Italic">
    <w:name w:val="_Hdg Left Bold-Italic"/>
    <w:basedOn w:val="Normal0"/>
    <w:rsid w:val="0073390E"/>
    <w:pPr>
      <w:keepNext/>
      <w:keepLines/>
      <w:spacing w:after="240"/>
    </w:pPr>
    <w:rPr>
      <w:b/>
      <w:i/>
    </w:rPr>
  </w:style>
  <w:style w:type="paragraph" w:customStyle="1" w:styleId="HdgLeftBold-Und">
    <w:name w:val="_Hdg Left Bold-Und"/>
    <w:basedOn w:val="Normal0"/>
    <w:rsid w:val="0073390E"/>
    <w:pPr>
      <w:keepNext/>
      <w:keepLines/>
      <w:spacing w:after="240"/>
    </w:pPr>
    <w:rPr>
      <w:b/>
      <w:u w:val="single"/>
    </w:rPr>
  </w:style>
  <w:style w:type="paragraph" w:customStyle="1" w:styleId="HdgLeftBold-Und-Italic">
    <w:name w:val="_Hdg Left Bold-Und-Italic"/>
    <w:basedOn w:val="Normal0"/>
    <w:rsid w:val="0073390E"/>
    <w:pPr>
      <w:keepNext/>
      <w:keepLines/>
      <w:spacing w:after="240"/>
    </w:pPr>
    <w:rPr>
      <w:b/>
      <w:i/>
      <w:u w:val="single"/>
    </w:rPr>
  </w:style>
  <w:style w:type="paragraph" w:customStyle="1" w:styleId="HdgLeftItalic">
    <w:name w:val="_Hdg Left Italic"/>
    <w:basedOn w:val="Normal0"/>
    <w:rsid w:val="0073390E"/>
    <w:pPr>
      <w:keepNext/>
      <w:keepLines/>
      <w:spacing w:after="240"/>
    </w:pPr>
    <w:rPr>
      <w:i/>
    </w:rPr>
  </w:style>
  <w:style w:type="paragraph" w:customStyle="1" w:styleId="HdgLeftUnd">
    <w:name w:val="_Hdg Left Und"/>
    <w:basedOn w:val="Normal0"/>
    <w:rsid w:val="0073390E"/>
    <w:pPr>
      <w:keepNext/>
      <w:keepLines/>
      <w:spacing w:after="240"/>
    </w:pPr>
    <w:rPr>
      <w:u w:val="single"/>
    </w:rPr>
  </w:style>
  <w:style w:type="paragraph" w:customStyle="1" w:styleId="HdgRight">
    <w:name w:val="_Hdg Right"/>
    <w:basedOn w:val="Normal0"/>
    <w:rsid w:val="0073390E"/>
    <w:pPr>
      <w:keepNext/>
      <w:keepLines/>
      <w:spacing w:after="240"/>
      <w:jc w:val="right"/>
    </w:pPr>
  </w:style>
  <w:style w:type="paragraph" w:customStyle="1" w:styleId="HdgRightBold">
    <w:name w:val="_Hdg Right Bold"/>
    <w:basedOn w:val="Normal0"/>
    <w:rsid w:val="0073390E"/>
    <w:pPr>
      <w:keepNext/>
      <w:keepLines/>
      <w:spacing w:after="240"/>
      <w:jc w:val="right"/>
    </w:pPr>
    <w:rPr>
      <w:b/>
    </w:rPr>
  </w:style>
  <w:style w:type="paragraph" w:customStyle="1" w:styleId="HdgRightBold-Italic">
    <w:name w:val="_Hdg Right Bold-Italic"/>
    <w:basedOn w:val="Normal0"/>
    <w:rsid w:val="0073390E"/>
    <w:pPr>
      <w:keepNext/>
      <w:keepLines/>
      <w:spacing w:after="240"/>
      <w:jc w:val="right"/>
    </w:pPr>
    <w:rPr>
      <w:b/>
      <w:i/>
    </w:rPr>
  </w:style>
  <w:style w:type="paragraph" w:customStyle="1" w:styleId="HdgRightBold-Und">
    <w:name w:val="_Hdg Right Bold-Und"/>
    <w:basedOn w:val="Normal0"/>
    <w:rsid w:val="0073390E"/>
    <w:pPr>
      <w:keepNext/>
      <w:keepLines/>
      <w:spacing w:after="240"/>
      <w:jc w:val="right"/>
    </w:pPr>
    <w:rPr>
      <w:b/>
      <w:u w:val="single"/>
    </w:rPr>
  </w:style>
  <w:style w:type="paragraph" w:customStyle="1" w:styleId="HdgRightBold-Und-Italic">
    <w:name w:val="_Hdg Right Bold-Und-Italic"/>
    <w:basedOn w:val="Normal0"/>
    <w:rsid w:val="0073390E"/>
    <w:pPr>
      <w:keepNext/>
      <w:keepLines/>
      <w:spacing w:after="240"/>
      <w:jc w:val="right"/>
    </w:pPr>
    <w:rPr>
      <w:b/>
      <w:i/>
      <w:u w:val="single"/>
    </w:rPr>
  </w:style>
  <w:style w:type="paragraph" w:customStyle="1" w:styleId="HdgRightItalic">
    <w:name w:val="_Hdg Right Italic"/>
    <w:basedOn w:val="Normal0"/>
    <w:rsid w:val="0073390E"/>
    <w:pPr>
      <w:keepNext/>
      <w:keepLines/>
      <w:spacing w:after="240"/>
      <w:jc w:val="right"/>
    </w:pPr>
    <w:rPr>
      <w:i/>
    </w:rPr>
  </w:style>
  <w:style w:type="paragraph" w:customStyle="1" w:styleId="HdgRightUnd">
    <w:name w:val="_Hdg Right Und"/>
    <w:basedOn w:val="Normal0"/>
    <w:rsid w:val="0073390E"/>
    <w:pPr>
      <w:keepNext/>
      <w:keepLines/>
      <w:spacing w:after="240"/>
      <w:jc w:val="right"/>
    </w:pPr>
    <w:rPr>
      <w:u w:val="single"/>
    </w:rPr>
  </w:style>
  <w:style w:type="paragraph" w:customStyle="1" w:styleId="Index">
    <w:name w:val="_Index"/>
    <w:basedOn w:val="Normal0"/>
    <w:rsid w:val="0073390E"/>
    <w:pPr>
      <w:tabs>
        <w:tab w:val="right" w:pos="9360"/>
      </w:tabs>
    </w:pPr>
  </w:style>
  <w:style w:type="paragraph" w:customStyle="1" w:styleId="IndexDotLeaders">
    <w:name w:val="_Index Dot Leaders"/>
    <w:basedOn w:val="Normal0"/>
    <w:rsid w:val="0073390E"/>
    <w:pPr>
      <w:tabs>
        <w:tab w:val="right" w:leader="dot" w:pos="8928"/>
        <w:tab w:val="right" w:pos="9360"/>
      </w:tabs>
    </w:pPr>
  </w:style>
  <w:style w:type="paragraph" w:customStyle="1" w:styleId="Non-NumberedHdg1">
    <w:name w:val="_Non-Numbered Hdg 1"/>
    <w:basedOn w:val="Normal0"/>
    <w:rsid w:val="0073390E"/>
    <w:pPr>
      <w:keepNext/>
      <w:keepLines/>
      <w:spacing w:after="240"/>
      <w:jc w:val="center"/>
      <w:outlineLvl w:val="0"/>
    </w:pPr>
    <w:rPr>
      <w:b/>
      <w:u w:val="single"/>
    </w:rPr>
  </w:style>
  <w:style w:type="paragraph" w:customStyle="1" w:styleId="Non-NumberedHdg2">
    <w:name w:val="_Non-Numbered Hdg 2"/>
    <w:basedOn w:val="Normal0"/>
    <w:rsid w:val="0073390E"/>
    <w:pPr>
      <w:keepNext/>
      <w:keepLines/>
      <w:spacing w:after="240"/>
      <w:outlineLvl w:val="1"/>
    </w:pPr>
    <w:rPr>
      <w:b/>
      <w:u w:val="single"/>
    </w:rPr>
  </w:style>
  <w:style w:type="paragraph" w:customStyle="1" w:styleId="Non-NumberedHdg3">
    <w:name w:val="_Non-Numbered Hdg 3"/>
    <w:basedOn w:val="Normal0"/>
    <w:rsid w:val="0073390E"/>
    <w:pPr>
      <w:keepNext/>
      <w:keepLines/>
      <w:spacing w:after="240"/>
      <w:ind w:left="720"/>
      <w:outlineLvl w:val="2"/>
    </w:pPr>
    <w:rPr>
      <w:u w:val="single"/>
    </w:rPr>
  </w:style>
  <w:style w:type="paragraph" w:customStyle="1" w:styleId="TableCentered">
    <w:name w:val="_Table Centered"/>
    <w:basedOn w:val="Normal0"/>
    <w:rsid w:val="0073390E"/>
    <w:pPr>
      <w:jc w:val="center"/>
    </w:pPr>
  </w:style>
  <w:style w:type="paragraph" w:customStyle="1" w:styleId="TableDecimalAlign">
    <w:name w:val="_Table Decimal Align"/>
    <w:basedOn w:val="Normal0"/>
    <w:rsid w:val="0073390E"/>
    <w:pPr>
      <w:tabs>
        <w:tab w:val="decimal" w:pos="1080"/>
      </w:tabs>
    </w:pPr>
  </w:style>
  <w:style w:type="paragraph" w:customStyle="1" w:styleId="TableDotLeader">
    <w:name w:val="_Table Dot Leader"/>
    <w:basedOn w:val="Normal0"/>
    <w:rsid w:val="0073390E"/>
    <w:pPr>
      <w:tabs>
        <w:tab w:val="right" w:leader="dot" w:pos="2160"/>
      </w:tabs>
    </w:pPr>
  </w:style>
  <w:style w:type="paragraph" w:customStyle="1" w:styleId="TableHeadingCentered">
    <w:name w:val="_Table Heading Centered"/>
    <w:basedOn w:val="Normal0"/>
    <w:rsid w:val="0073390E"/>
    <w:pPr>
      <w:keepNext/>
      <w:keepLines/>
      <w:jc w:val="center"/>
    </w:pPr>
    <w:rPr>
      <w:b/>
    </w:rPr>
  </w:style>
  <w:style w:type="paragraph" w:customStyle="1" w:styleId="TableHeadingLeft">
    <w:name w:val="_Table Heading Left"/>
    <w:basedOn w:val="Normal0"/>
    <w:rsid w:val="0073390E"/>
    <w:pPr>
      <w:keepNext/>
      <w:keepLines/>
    </w:pPr>
    <w:rPr>
      <w:b/>
    </w:rPr>
  </w:style>
  <w:style w:type="paragraph" w:customStyle="1" w:styleId="TableHeadingRight">
    <w:name w:val="_Table Heading Right"/>
    <w:basedOn w:val="Normal0"/>
    <w:rsid w:val="0073390E"/>
    <w:pPr>
      <w:keepNext/>
      <w:keepLines/>
      <w:jc w:val="right"/>
    </w:pPr>
    <w:rPr>
      <w:b/>
    </w:rPr>
  </w:style>
  <w:style w:type="paragraph" w:customStyle="1" w:styleId="TableLeftAlign">
    <w:name w:val="_Table Left Align"/>
    <w:basedOn w:val="Normal0"/>
    <w:rsid w:val="0073390E"/>
  </w:style>
  <w:style w:type="paragraph" w:customStyle="1" w:styleId="TableRightAlign">
    <w:name w:val="_Table Right Align"/>
    <w:basedOn w:val="Normal0"/>
    <w:rsid w:val="0073390E"/>
    <w:pPr>
      <w:jc w:val="right"/>
    </w:pPr>
  </w:style>
  <w:style w:type="paragraph" w:styleId="FootnoteText">
    <w:name w:val="footnote text"/>
    <w:basedOn w:val="Normal0"/>
    <w:link w:val="FootnoteTextChar"/>
    <w:uiPriority w:val="99"/>
    <w:rsid w:val="0073390E"/>
    <w:pPr>
      <w:spacing w:after="120"/>
    </w:pPr>
  </w:style>
  <w:style w:type="character" w:customStyle="1" w:styleId="FootnoteTextChar">
    <w:name w:val="Footnote Text Char"/>
    <w:basedOn w:val="DefaultParagraphFont"/>
    <w:link w:val="FootnoteText"/>
    <w:uiPriority w:val="99"/>
    <w:rsid w:val="0073390E"/>
    <w:rPr>
      <w:rFonts w:ascii="Times New Roman" w:eastAsia="SimSun" w:hAnsi="Times New Roman" w:cs="Times New Roman"/>
      <w:sz w:val="24"/>
      <w:szCs w:val="20"/>
    </w:rPr>
  </w:style>
  <w:style w:type="paragraph" w:styleId="ListBullet">
    <w:name w:val="List Bullet"/>
    <w:basedOn w:val="Normal"/>
    <w:rsid w:val="0073390E"/>
    <w:pPr>
      <w:numPr>
        <w:numId w:val="9"/>
      </w:numPr>
      <w:spacing w:after="240"/>
    </w:pPr>
    <w:rPr>
      <w:rFonts w:eastAsia="SimSun"/>
      <w:szCs w:val="24"/>
      <w:lang w:eastAsia="zh-CN"/>
    </w:rPr>
  </w:style>
  <w:style w:type="paragraph" w:styleId="ListBullet2">
    <w:name w:val="List Bullet 2"/>
    <w:basedOn w:val="Normal"/>
    <w:rsid w:val="0073390E"/>
    <w:pPr>
      <w:numPr>
        <w:numId w:val="11"/>
      </w:numPr>
      <w:spacing w:after="240"/>
    </w:pPr>
    <w:rPr>
      <w:rFonts w:eastAsia="SimSun"/>
      <w:szCs w:val="24"/>
      <w:lang w:eastAsia="zh-CN"/>
    </w:rPr>
  </w:style>
  <w:style w:type="paragraph" w:styleId="ListBullet3">
    <w:name w:val="List Bullet 3"/>
    <w:basedOn w:val="Normal"/>
    <w:rsid w:val="0073390E"/>
    <w:pPr>
      <w:numPr>
        <w:numId w:val="13"/>
      </w:numPr>
      <w:spacing w:after="240"/>
    </w:pPr>
    <w:rPr>
      <w:rFonts w:eastAsia="SimSun"/>
      <w:szCs w:val="24"/>
      <w:lang w:eastAsia="zh-CN"/>
    </w:rPr>
  </w:style>
  <w:style w:type="paragraph" w:styleId="ListBullet4">
    <w:name w:val="List Bullet 4"/>
    <w:basedOn w:val="Normal"/>
    <w:rsid w:val="0073390E"/>
    <w:pPr>
      <w:numPr>
        <w:numId w:val="15"/>
      </w:numPr>
      <w:spacing w:after="240"/>
    </w:pPr>
    <w:rPr>
      <w:rFonts w:eastAsia="SimSun"/>
      <w:szCs w:val="24"/>
      <w:lang w:eastAsia="zh-CN"/>
    </w:rPr>
  </w:style>
  <w:style w:type="paragraph" w:styleId="ListBullet5">
    <w:name w:val="List Bullet 5"/>
    <w:basedOn w:val="Normal"/>
    <w:rsid w:val="0073390E"/>
    <w:pPr>
      <w:numPr>
        <w:numId w:val="17"/>
      </w:numPr>
      <w:spacing w:after="240"/>
    </w:pPr>
    <w:rPr>
      <w:rFonts w:eastAsia="SimSun"/>
      <w:szCs w:val="24"/>
      <w:lang w:eastAsia="zh-CN"/>
    </w:rPr>
  </w:style>
  <w:style w:type="table" w:styleId="TableGrid">
    <w:name w:val="Table Grid"/>
    <w:basedOn w:val="TableNormal"/>
    <w:rsid w:val="00443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o,fr,o1,o2,o3,o4,o5,o6,o11,o21,o7,Style 3,Style 21,Style 12"/>
    <w:basedOn w:val="DefaultParagraphFont"/>
    <w:uiPriority w:val="99"/>
    <w:unhideWhenUsed/>
    <w:rsid w:val="00FC3907"/>
    <w:rPr>
      <w:vertAlign w:val="superscript"/>
    </w:rPr>
  </w:style>
  <w:style w:type="paragraph" w:styleId="Header">
    <w:name w:val="header"/>
    <w:basedOn w:val="Normal"/>
    <w:link w:val="HeaderChar"/>
    <w:uiPriority w:val="99"/>
    <w:unhideWhenUsed/>
    <w:rsid w:val="00B7141B"/>
    <w:pPr>
      <w:tabs>
        <w:tab w:val="center" w:pos="4680"/>
        <w:tab w:val="right" w:pos="9360"/>
      </w:tabs>
    </w:pPr>
  </w:style>
  <w:style w:type="character" w:customStyle="1" w:styleId="HeaderChar">
    <w:name w:val="Header Char"/>
    <w:basedOn w:val="DefaultParagraphFont"/>
    <w:link w:val="Header"/>
    <w:uiPriority w:val="99"/>
    <w:rsid w:val="00B7141B"/>
    <w:rPr>
      <w:rFonts w:ascii="Times New Roman" w:hAnsi="Times New Roman" w:cs="Times New Roman"/>
      <w:sz w:val="24"/>
    </w:rPr>
  </w:style>
  <w:style w:type="paragraph" w:styleId="Footer">
    <w:name w:val="footer"/>
    <w:basedOn w:val="Normal"/>
    <w:link w:val="FooterChar"/>
    <w:uiPriority w:val="99"/>
    <w:unhideWhenUsed/>
    <w:rsid w:val="00B7141B"/>
    <w:pPr>
      <w:tabs>
        <w:tab w:val="center" w:pos="4680"/>
        <w:tab w:val="right" w:pos="9360"/>
      </w:tabs>
    </w:pPr>
  </w:style>
  <w:style w:type="character" w:customStyle="1" w:styleId="FooterChar">
    <w:name w:val="Footer Char"/>
    <w:basedOn w:val="DefaultParagraphFont"/>
    <w:link w:val="Footer"/>
    <w:uiPriority w:val="99"/>
    <w:rsid w:val="00B7141B"/>
    <w:rPr>
      <w:rFonts w:ascii="Times New Roman" w:hAnsi="Times New Roman" w:cs="Times New Roman"/>
      <w:sz w:val="24"/>
    </w:rPr>
  </w:style>
  <w:style w:type="paragraph" w:customStyle="1" w:styleId="Default">
    <w:name w:val="Default"/>
    <w:rsid w:val="00645220"/>
    <w:pPr>
      <w:autoSpaceDE w:val="0"/>
      <w:autoSpaceDN w:val="0"/>
      <w:adjustRightInd w:val="0"/>
      <w:spacing w:after="0" w:line="240" w:lineRule="auto"/>
    </w:pPr>
    <w:rPr>
      <w:rFonts w:ascii="Book Antiqua" w:hAnsi="Book Antiqua" w:cs="Book Antiqua"/>
      <w:color w:val="000000"/>
      <w:kern w:val="0"/>
      <w:sz w:val="24"/>
      <w:szCs w:val="24"/>
    </w:rPr>
  </w:style>
  <w:style w:type="character" w:styleId="Hyperlink">
    <w:name w:val="Hyperlink"/>
    <w:rsid w:val="00645220"/>
    <w:rPr>
      <w:color w:val="3754D4"/>
      <w:u w:val="single"/>
    </w:rPr>
  </w:style>
  <w:style w:type="character" w:styleId="CommentReference">
    <w:name w:val="annotation reference"/>
    <w:basedOn w:val="DefaultParagraphFont"/>
    <w:uiPriority w:val="99"/>
    <w:semiHidden/>
    <w:unhideWhenUsed/>
    <w:rsid w:val="00645220"/>
    <w:rPr>
      <w:sz w:val="16"/>
      <w:szCs w:val="16"/>
    </w:rPr>
  </w:style>
  <w:style w:type="paragraph" w:styleId="CommentText">
    <w:name w:val="annotation text"/>
    <w:basedOn w:val="Normal"/>
    <w:link w:val="CommentTextChar"/>
    <w:uiPriority w:val="99"/>
    <w:unhideWhenUsed/>
    <w:rsid w:val="00645220"/>
    <w:rPr>
      <w:sz w:val="20"/>
      <w:szCs w:val="20"/>
    </w:rPr>
  </w:style>
  <w:style w:type="character" w:customStyle="1" w:styleId="CommentTextChar">
    <w:name w:val="Comment Text Char"/>
    <w:basedOn w:val="DefaultParagraphFont"/>
    <w:link w:val="CommentText"/>
    <w:uiPriority w:val="99"/>
    <w:rsid w:val="00645220"/>
    <w:rPr>
      <w:rFonts w:ascii="Times New Roman" w:hAnsi="Times New Roman" w:cs="Times New Roman"/>
      <w:sz w:val="20"/>
      <w:szCs w:val="20"/>
    </w:rPr>
  </w:style>
  <w:style w:type="paragraph" w:styleId="Revision">
    <w:name w:val="Revision"/>
    <w:hidden/>
    <w:uiPriority w:val="99"/>
    <w:semiHidden/>
    <w:rsid w:val="00732C4D"/>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D60B0D"/>
    <w:rPr>
      <w:b/>
      <w:bCs/>
    </w:rPr>
  </w:style>
  <w:style w:type="character" w:customStyle="1" w:styleId="CommentSubjectChar">
    <w:name w:val="Comment Subject Char"/>
    <w:basedOn w:val="CommentTextChar"/>
    <w:link w:val="CommentSubject"/>
    <w:uiPriority w:val="99"/>
    <w:semiHidden/>
    <w:rsid w:val="00D60B0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78A6F-2AF5-4364-9845-FD7D86EF3734}">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24</ap:Pages>
  <ap:Words>5535</ap:Words>
  <ap:Characters>31551</ap:Characters>
  <ap:Application>Microsoft Office Word</ap:Application>
  <ap:DocSecurity>0</ap:DocSecurity>
  <ap:Lines>262</ap:Lines>
  <ap:Paragraphs>74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37012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2025-12-09T13:01:02Z</dcterms:created>
  <dcterms:modified xsi:type="dcterms:W3CDTF">2025-12-09T13:01:02Z</dcterms:modified>
</cp:coreProperties>
</file>