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C91466" w:rsidP="00997905" w:rsidRDefault="00C47899" w14:paraId="1116D1A4" w14:textId="360F5ACB">
      <w:pPr>
        <w:tabs>
          <w:tab w:val="center" w:pos="4680"/>
          <w:tab w:val="right" w:pos="9360"/>
        </w:tabs>
        <w:spacing w:line="240" w:lineRule="auto"/>
        <w:ind w:firstLine="0"/>
        <w:rPr>
          <w:b/>
        </w:rPr>
      </w:pPr>
      <w:r>
        <w:t>ALJ/MPO</w:t>
      </w:r>
      <w:r w:rsidR="00DA7B5D">
        <w:t>/</w:t>
      </w:r>
      <w:r w:rsidR="00231A2D">
        <w:t>cg7</w:t>
      </w:r>
      <w:r w:rsidR="007E0FEE">
        <w:tab/>
      </w:r>
      <w:r w:rsidR="00997905">
        <w:tab/>
      </w:r>
      <w:r w:rsidRPr="00997905" w:rsidR="00997905">
        <w:rPr>
          <w:rFonts w:cs="Arial"/>
          <w:b/>
          <w:szCs w:val="26"/>
        </w:rPr>
        <w:t>Date of issuance 12/05/2025</w:t>
      </w:r>
    </w:p>
    <w:p w:rsidR="00DA7B5D" w:rsidP="008F0116" w:rsidRDefault="00DA7B5D" w14:paraId="5D82AD69" w14:textId="77777777">
      <w:pPr>
        <w:ind w:firstLine="0"/>
      </w:pPr>
    </w:p>
    <w:p w:rsidR="008869F0" w:rsidP="008F0116" w:rsidRDefault="008869F0" w14:paraId="09932B26" w14:textId="77777777">
      <w:pPr>
        <w:ind w:firstLine="0"/>
      </w:pPr>
    </w:p>
    <w:p w:rsidRPr="00EE3060" w:rsidR="00DA7B5D" w:rsidP="0098655A" w:rsidRDefault="00DA7B5D" w14:paraId="79438B3A" w14:textId="66AC759A">
      <w:pPr>
        <w:ind w:left="1080" w:hanging="1080"/>
      </w:pPr>
      <w:r>
        <w:t xml:space="preserve">Decision </w:t>
      </w:r>
      <w:r w:rsidR="005D1593">
        <w:t>25-12-005</w:t>
      </w:r>
      <w:r w:rsidR="008869F0">
        <w:t xml:space="preserve"> </w:t>
      </w:r>
      <w:r w:rsidRPr="002819B6" w:rsidR="008869F0">
        <w:t>December 4, 2025</w:t>
      </w:r>
    </w:p>
    <w:p w:rsidR="00DA7B5D" w:rsidP="00231A2D" w:rsidRDefault="00DA7B5D" w14:paraId="2F413A77" w14:textId="77777777">
      <w:pPr>
        <w:spacing w:line="240" w:lineRule="auto"/>
        <w:ind w:firstLine="0"/>
        <w:rPr>
          <w:u w:val="single"/>
        </w:rPr>
      </w:pPr>
    </w:p>
    <w:p w:rsidR="00DA7B5D" w:rsidP="00BB0243" w:rsidRDefault="00DA7B5D" w14:paraId="746CAD9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84C42D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6B3E4462"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067684" w14:paraId="70ACE295" w14:textId="76A3C78A">
            <w:pPr>
              <w:spacing w:line="240" w:lineRule="auto"/>
              <w:ind w:firstLine="0"/>
              <w:rPr>
                <w:rFonts w:cs="Arial"/>
                <w:szCs w:val="26"/>
              </w:rPr>
            </w:pPr>
            <w:r w:rsidRPr="005B3794">
              <w:t>Order Instituting Rulemaking</w:t>
            </w:r>
            <w:r>
              <w:t xml:space="preserve"> Regarding Transportation Electrification Policy and Infrastructure.</w:t>
            </w:r>
          </w:p>
        </w:tc>
        <w:tc>
          <w:tcPr>
            <w:tcW w:w="5040" w:type="dxa"/>
            <w:tcBorders>
              <w:top w:val="nil"/>
              <w:left w:val="single" w:color="auto" w:sz="4" w:space="0"/>
              <w:bottom w:val="nil"/>
              <w:right w:val="nil"/>
            </w:tcBorders>
            <w:vAlign w:val="center"/>
          </w:tcPr>
          <w:p w:rsidRPr="00DA7B5D" w:rsidR="00DA7B5D" w:rsidP="00412C83" w:rsidRDefault="00067684" w14:paraId="337D5BFA" w14:textId="7F86B621">
            <w:pPr>
              <w:spacing w:line="240" w:lineRule="auto"/>
              <w:ind w:firstLine="0"/>
              <w:jc w:val="center"/>
              <w:rPr>
                <w:rFonts w:cs="Arial"/>
                <w:szCs w:val="26"/>
              </w:rPr>
            </w:pPr>
            <w:r>
              <w:rPr>
                <w:rFonts w:cs="Arial"/>
                <w:szCs w:val="26"/>
              </w:rPr>
              <w:t>Rulemaking 23-12-008</w:t>
            </w:r>
          </w:p>
        </w:tc>
      </w:tr>
    </w:tbl>
    <w:p w:rsidR="00DA7B5D" w:rsidP="008F0116" w:rsidRDefault="00DA7B5D" w14:paraId="4ED25724" w14:textId="77777777">
      <w:pPr>
        <w:spacing w:line="240" w:lineRule="auto"/>
        <w:ind w:firstLine="0"/>
        <w:rPr>
          <w:rFonts w:ascii="Arial" w:hAnsi="Arial" w:cs="Arial"/>
          <w:sz w:val="24"/>
          <w:szCs w:val="24"/>
        </w:rPr>
      </w:pPr>
    </w:p>
    <w:p w:rsidR="00DA7B5D" w:rsidP="008F0116" w:rsidRDefault="00DA7B5D" w14:paraId="7665DD83" w14:textId="77777777">
      <w:pPr>
        <w:spacing w:line="240" w:lineRule="auto"/>
        <w:ind w:firstLine="0"/>
        <w:rPr>
          <w:rFonts w:ascii="Arial" w:hAnsi="Arial" w:cs="Arial"/>
          <w:sz w:val="24"/>
          <w:szCs w:val="24"/>
        </w:rPr>
      </w:pPr>
    </w:p>
    <w:p w:rsidR="0098655A" w:rsidP="00334E51" w:rsidRDefault="00334E51" w14:paraId="34AF7276" w14:textId="3FE603C5">
      <w:pPr>
        <w:pStyle w:val="Dummy"/>
        <w:jc w:val="center"/>
        <w:rPr>
          <w:caps/>
        </w:rPr>
      </w:pPr>
      <w:bookmarkStart w:name="_Toc208230307" w:id="0"/>
      <w:r w:rsidRPr="00334E51">
        <w:rPr>
          <w:caps/>
        </w:rPr>
        <w:t xml:space="preserve">Decision </w:t>
      </w:r>
      <w:r w:rsidR="00E9754F">
        <w:rPr>
          <w:caps/>
        </w:rPr>
        <w:t xml:space="preserve">Adopting revised </w:t>
      </w:r>
      <w:r w:rsidR="00495B44">
        <w:rPr>
          <w:caps/>
        </w:rPr>
        <w:t>data g</w:t>
      </w:r>
      <w:r w:rsidR="00A2477C">
        <w:rPr>
          <w:caps/>
        </w:rPr>
        <w:t>a</w:t>
      </w:r>
      <w:r w:rsidR="00495B44">
        <w:rPr>
          <w:caps/>
        </w:rPr>
        <w:t xml:space="preserve">thering and </w:t>
      </w:r>
      <w:r w:rsidR="00D85E8E">
        <w:rPr>
          <w:caps/>
        </w:rPr>
        <w:t>Reporting</w:t>
      </w:r>
      <w:r w:rsidR="00E9754F">
        <w:rPr>
          <w:caps/>
        </w:rPr>
        <w:t xml:space="preserve"> requirements for Transportation Electrification</w:t>
      </w:r>
      <w:r w:rsidRPr="00334E51" w:rsidR="00E9754F">
        <w:rPr>
          <w:caps/>
        </w:rPr>
        <w:t xml:space="preserve"> </w:t>
      </w:r>
      <w:r w:rsidRPr="00334E51">
        <w:rPr>
          <w:caps/>
        </w:rPr>
        <w:t>Program</w:t>
      </w:r>
      <w:r w:rsidR="00E9754F">
        <w:rPr>
          <w:caps/>
        </w:rPr>
        <w:t>s</w:t>
      </w:r>
      <w:r w:rsidRPr="00334E51">
        <w:rPr>
          <w:caps/>
        </w:rPr>
        <w:t xml:space="preserve"> and Providing Clarification on Programs </w:t>
      </w:r>
      <w:r w:rsidR="00981B7C">
        <w:rPr>
          <w:caps/>
        </w:rPr>
        <w:t>Adopted</w:t>
      </w:r>
      <w:r w:rsidRPr="00334E51">
        <w:rPr>
          <w:caps/>
        </w:rPr>
        <w:t xml:space="preserve"> </w:t>
      </w:r>
      <w:r w:rsidR="00793F6E">
        <w:rPr>
          <w:caps/>
        </w:rPr>
        <w:t>IN</w:t>
      </w:r>
      <w:r w:rsidR="00231A2D">
        <w:rPr>
          <w:caps/>
        </w:rPr>
        <w:br/>
      </w:r>
      <w:r w:rsidRPr="00334E51">
        <w:rPr>
          <w:caps/>
        </w:rPr>
        <w:t>Decision 22-11-040</w:t>
      </w:r>
      <w:bookmarkEnd w:id="0"/>
    </w:p>
    <w:p w:rsidR="005A148C" w:rsidP="00231A2D" w:rsidRDefault="005A148C" w14:paraId="49C6E212" w14:textId="77777777">
      <w:pPr>
        <w:pStyle w:val="Dummy"/>
        <w:ind w:firstLine="720"/>
      </w:pPr>
      <w:bookmarkStart w:name="_Toc8123714" w:id="1"/>
      <w:bookmarkStart w:name="_Toc208230308" w:id="2"/>
      <w:r>
        <w:t>Summary</w:t>
      </w:r>
      <w:bookmarkEnd w:id="1"/>
      <w:bookmarkEnd w:id="2"/>
    </w:p>
    <w:p w:rsidR="00334E51" w:rsidP="00D95D9F" w:rsidRDefault="00E9754F" w14:paraId="101911B6" w14:textId="7571629A">
      <w:pPr>
        <w:pStyle w:val="Standard"/>
      </w:pPr>
      <w:r>
        <w:t>This decision adopts revised transportation electrification data gathering and reporting requirements.</w:t>
      </w:r>
      <w:r w:rsidR="00F10F33">
        <w:t xml:space="preserve"> </w:t>
      </w:r>
      <w:r>
        <w:t xml:space="preserve"> </w:t>
      </w:r>
      <w:r w:rsidR="00334E51">
        <w:t xml:space="preserve">This decision </w:t>
      </w:r>
      <w:r>
        <w:t xml:space="preserve">also </w:t>
      </w:r>
      <w:r w:rsidR="00334E51">
        <w:t xml:space="preserve">continues </w:t>
      </w:r>
      <w:r w:rsidR="00194D52">
        <w:t xml:space="preserve">the </w:t>
      </w:r>
      <w:r w:rsidR="00334E51">
        <w:t xml:space="preserve">implementation of the Technical Assistance Program with a budget of $36 million over three years and delinks </w:t>
      </w:r>
      <w:r w:rsidR="00466EB8">
        <w:t>this</w:t>
      </w:r>
      <w:r w:rsidR="00A23682">
        <w:t xml:space="preserve"> program</w:t>
      </w:r>
      <w:r w:rsidR="00334E51">
        <w:t xml:space="preserve"> from the </w:t>
      </w:r>
      <w:r w:rsidR="002678ED">
        <w:t xml:space="preserve">Funding Cycle One Behind-the-Meter </w:t>
      </w:r>
      <w:r w:rsidR="00334E51">
        <w:t>Rebate Program</w:t>
      </w:r>
      <w:r>
        <w:t>.</w:t>
      </w:r>
      <w:r w:rsidR="00793F6E">
        <w:t xml:space="preserve">  Lastly, this decision provides clarification regarding other programs approved in Decision 22-11-040</w:t>
      </w:r>
      <w:r w:rsidR="00A23682">
        <w:t xml:space="preserve"> and </w:t>
      </w:r>
      <w:r w:rsidR="00590EF6">
        <w:t xml:space="preserve">the </w:t>
      </w:r>
      <w:r w:rsidRPr="00A2477C" w:rsidR="00A23682">
        <w:t>Funding Cycle Zero deadline</w:t>
      </w:r>
      <w:r w:rsidRPr="00A2477C" w:rsidR="00334E51">
        <w:t>.</w:t>
      </w:r>
      <w:r w:rsidR="005A148C">
        <w:t xml:space="preserve"> </w:t>
      </w:r>
      <w:r w:rsidR="00573AB1">
        <w:t xml:space="preserve"> The </w:t>
      </w:r>
      <w:r w:rsidR="00123FCB">
        <w:t xml:space="preserve">Funding Cycle One Behind-the-Meter Rebate Program </w:t>
      </w:r>
      <w:r w:rsidR="00573AB1">
        <w:t>remains paused.</w:t>
      </w:r>
    </w:p>
    <w:p w:rsidR="00B20771" w:rsidP="00D95D9F" w:rsidRDefault="00B20771" w14:paraId="71883FB6" w14:textId="1EFBA3DC">
      <w:pPr>
        <w:pStyle w:val="Standard"/>
      </w:pPr>
      <w:r>
        <w:t>This proceeding remains open.</w:t>
      </w:r>
    </w:p>
    <w:p w:rsidR="00EE3060" w:rsidP="00223507" w:rsidRDefault="002C7FE9" w14:paraId="795EBDAA" w14:textId="461BE4E6">
      <w:pPr>
        <w:pStyle w:val="Heading1"/>
        <w:numPr>
          <w:ilvl w:val="0"/>
          <w:numId w:val="1"/>
        </w:numPr>
      </w:pPr>
      <w:bookmarkStart w:name="_Toc8123715" w:id="3"/>
      <w:bookmarkStart w:name="_Toc208230309" w:id="4"/>
      <w:r w:rsidRPr="00121089">
        <w:t>Background</w:t>
      </w:r>
      <w:bookmarkEnd w:id="3"/>
      <w:bookmarkEnd w:id="4"/>
    </w:p>
    <w:p w:rsidR="00D0068B" w:rsidP="005D5D98" w:rsidRDefault="00254008" w14:paraId="5BE9BC72" w14:textId="1CCAAD73">
      <w:pPr>
        <w:pStyle w:val="Standard"/>
        <w:widowControl w:val="0"/>
      </w:pPr>
      <w:r>
        <w:t>Rulemaking (</w:t>
      </w:r>
      <w:r w:rsidRPr="00254008">
        <w:t>R.</w:t>
      </w:r>
      <w:r>
        <w:t xml:space="preserve">) </w:t>
      </w:r>
      <w:r w:rsidRPr="00254008">
        <w:t xml:space="preserve">18-12-006 was initiated </w:t>
      </w:r>
      <w:r>
        <w:t xml:space="preserve">to </w:t>
      </w:r>
      <w:r w:rsidRPr="00254008">
        <w:t xml:space="preserve">further the Commission’s implementation and administration of transportation electrification </w:t>
      </w:r>
      <w:r w:rsidR="00334E51">
        <w:t xml:space="preserve">(TE) </w:t>
      </w:r>
      <w:r w:rsidRPr="00254008">
        <w:t>programs, tariffs, and policies for California</w:t>
      </w:r>
      <w:r>
        <w:t xml:space="preserve">.  </w:t>
      </w:r>
      <w:r w:rsidR="00515DE6">
        <w:t>As part of this effort, the Commission issued Decision (</w:t>
      </w:r>
      <w:r w:rsidR="00D0068B">
        <w:t>D.</w:t>
      </w:r>
      <w:r w:rsidR="00515DE6">
        <w:t xml:space="preserve">) </w:t>
      </w:r>
      <w:r w:rsidR="00D0068B">
        <w:t xml:space="preserve">22-11-040, </w:t>
      </w:r>
      <w:r w:rsidR="00515DE6">
        <w:t xml:space="preserve">which </w:t>
      </w:r>
      <w:r w:rsidR="00D0068B">
        <w:t xml:space="preserve">adopted a long-term </w:t>
      </w:r>
      <w:r w:rsidR="00E8136E">
        <w:t>TE</w:t>
      </w:r>
      <w:r w:rsidR="00D0068B">
        <w:t xml:space="preserve"> </w:t>
      </w:r>
      <w:proofErr w:type="spellStart"/>
      <w:r w:rsidR="00D0068B">
        <w:t>polic</w:t>
      </w:r>
      <w:proofErr w:type="spellEnd"/>
      <w:r w:rsidR="00D0068B">
        <w:t xml:space="preserve"> </w:t>
      </w:r>
      <w:r w:rsidR="00D0068B">
        <w:lastRenderedPageBreak/>
        <w:t xml:space="preserve">framework that included </w:t>
      </w:r>
      <w:r w:rsidRPr="0000718F" w:rsidR="00D0068B">
        <w:t>a charge on electricity bills for</w:t>
      </w:r>
      <w:r w:rsidR="00D0068B">
        <w:t xml:space="preserve"> a five-year, third-party administered statewide transportation electrification infrastructure rebate program.  </w:t>
      </w:r>
      <w:r w:rsidR="00515DE6">
        <w:t xml:space="preserve">The </w:t>
      </w:r>
      <w:r w:rsidR="00123FCB">
        <w:t xml:space="preserve">Funding Cycle One Behind-the-Meter (FC1 BTM) Rebate Program </w:t>
      </w:r>
      <w:r w:rsidR="00515DE6">
        <w:t xml:space="preserve">adopted </w:t>
      </w:r>
      <w:proofErr w:type="gramStart"/>
      <w:r w:rsidR="00515DE6">
        <w:t>in</w:t>
      </w:r>
      <w:proofErr w:type="gramEnd"/>
      <w:r w:rsidR="00515DE6">
        <w:t xml:space="preserve"> </w:t>
      </w:r>
      <w:r w:rsidR="005D5D98">
        <w:t>D.</w:t>
      </w:r>
      <w:r w:rsidR="00515DE6">
        <w:t xml:space="preserve">22-11-040 </w:t>
      </w:r>
      <w:r w:rsidR="00D0068B">
        <w:t xml:space="preserve">consists of $600 million over the first three years, and a total of $1 billion over five years.  </w:t>
      </w:r>
      <w:r w:rsidR="009A0D98">
        <w:t xml:space="preserve">The </w:t>
      </w:r>
      <w:r w:rsidR="00A23682">
        <w:t xml:space="preserve">Technical Assistance </w:t>
      </w:r>
      <w:r w:rsidR="009A0D98">
        <w:t xml:space="preserve">(TA) </w:t>
      </w:r>
      <w:r w:rsidR="00A23682">
        <w:t>Program was allocated</w:t>
      </w:r>
      <w:r w:rsidR="009A0D98">
        <w:t xml:space="preserve"> six percent of the utilized portion of the </w:t>
      </w:r>
      <w:r w:rsidR="00495B44">
        <w:t>adopted</w:t>
      </w:r>
      <w:r w:rsidR="009A0D98">
        <w:t xml:space="preserve"> FC1 </w:t>
      </w:r>
      <w:r w:rsidR="00123FCB">
        <w:t xml:space="preserve">BTM Rebate Program </w:t>
      </w:r>
      <w:r w:rsidR="009A0D98">
        <w:t xml:space="preserve">budget of $600 million, or </w:t>
      </w:r>
      <w:r w:rsidR="00E9754F">
        <w:t>$36 million</w:t>
      </w:r>
      <w:r w:rsidR="009A0D98">
        <w:t>, whichever is lower</w:t>
      </w:r>
      <w:r w:rsidR="00E9754F">
        <w:t>.</w:t>
      </w:r>
      <w:r w:rsidR="00354839">
        <w:t xml:space="preserve">  D.22-11-040 also adopted data </w:t>
      </w:r>
      <w:r w:rsidR="00495B44">
        <w:t xml:space="preserve">gathering and reporting </w:t>
      </w:r>
      <w:r w:rsidR="00354839">
        <w:t>requirements for TE program that</w:t>
      </w:r>
      <w:r w:rsidR="00495B44">
        <w:t xml:space="preserve"> </w:t>
      </w:r>
      <w:proofErr w:type="gramStart"/>
      <w:r w:rsidR="00354839">
        <w:t>built</w:t>
      </w:r>
      <w:proofErr w:type="gramEnd"/>
      <w:r w:rsidR="00354839">
        <w:t xml:space="preserve"> upon previously </w:t>
      </w:r>
      <w:r w:rsidR="00495B44">
        <w:t>adopted</w:t>
      </w:r>
      <w:r w:rsidR="00354839">
        <w:t xml:space="preserve"> requirements.</w:t>
      </w:r>
    </w:p>
    <w:p w:rsidRPr="00A23682" w:rsidR="00354839" w:rsidP="00A23682" w:rsidRDefault="00193597" w14:paraId="0A06E8CE" w14:textId="6F5AE304">
      <w:pPr>
        <w:pStyle w:val="Standard"/>
        <w:widowControl w:val="0"/>
        <w:rPr>
          <w:color w:val="000000" w:themeColor="text1"/>
          <w:szCs w:val="26"/>
        </w:rPr>
      </w:pPr>
      <w:r>
        <w:t xml:space="preserve">The Commission issued a new Order Instituting Rulemaking regarding TE policy and infrastructure on December 20, 2023.  </w:t>
      </w:r>
      <w:r w:rsidRPr="003B1C13" w:rsidR="00354839">
        <w:rPr>
          <w:color w:val="000000" w:themeColor="text1"/>
          <w:szCs w:val="26"/>
        </w:rPr>
        <w:t>On December 27, 2023, the Commission issued a ruling seeking comment from interested part</w:t>
      </w:r>
      <w:r w:rsidR="00495B44">
        <w:rPr>
          <w:color w:val="000000" w:themeColor="text1"/>
          <w:szCs w:val="26"/>
        </w:rPr>
        <w:t>i</w:t>
      </w:r>
      <w:r w:rsidRPr="003B1C13" w:rsidR="00354839">
        <w:rPr>
          <w:color w:val="000000" w:themeColor="text1"/>
          <w:szCs w:val="26"/>
        </w:rPr>
        <w:t>es on the Data Assessment Analysis</w:t>
      </w:r>
      <w:r w:rsidR="00495B44">
        <w:rPr>
          <w:color w:val="000000" w:themeColor="text1"/>
          <w:szCs w:val="26"/>
        </w:rPr>
        <w:t xml:space="preserve"> submitted by the investor-owned utilities</w:t>
      </w:r>
      <w:r w:rsidRPr="003B1C13" w:rsidR="00354839">
        <w:rPr>
          <w:color w:val="000000" w:themeColor="text1"/>
          <w:szCs w:val="26"/>
        </w:rPr>
        <w:t xml:space="preserve">.  </w:t>
      </w:r>
      <w:r w:rsidR="00354839">
        <w:rPr>
          <w:color w:val="000000" w:themeColor="text1"/>
          <w:szCs w:val="26"/>
        </w:rPr>
        <w:t>T</w:t>
      </w:r>
      <w:r w:rsidR="00354839">
        <w:t xml:space="preserve">he </w:t>
      </w:r>
      <w:r w:rsidRPr="00A945F7" w:rsidR="00354839">
        <w:t xml:space="preserve">Public Advocates Office at the California Public Utilities </w:t>
      </w:r>
      <w:r w:rsidRPr="00A945F7" w:rsidR="00354839">
        <w:rPr>
          <w:rFonts w:eastAsia="Book Antiqua" w:cs="Book Antiqua"/>
        </w:rPr>
        <w:t>Commission</w:t>
      </w:r>
      <w:r w:rsidRPr="00A945F7" w:rsidR="00354839">
        <w:t xml:space="preserve"> (Cal Advocates)</w:t>
      </w:r>
      <w:r w:rsidRPr="003B1C13" w:rsidR="00354839">
        <w:rPr>
          <w:color w:val="000000" w:themeColor="text1"/>
          <w:szCs w:val="26"/>
        </w:rPr>
        <w:t xml:space="preserve">, </w:t>
      </w:r>
      <w:r w:rsidR="00354839">
        <w:t xml:space="preserve">the </w:t>
      </w:r>
      <w:r w:rsidRPr="00A945F7" w:rsidR="00354839">
        <w:t>California</w:t>
      </w:r>
      <w:r w:rsidR="00354839">
        <w:t xml:space="preserve"> </w:t>
      </w:r>
      <w:proofErr w:type="gramStart"/>
      <w:r w:rsidRPr="00A945F7" w:rsidR="00354839">
        <w:t>Large Energy</w:t>
      </w:r>
      <w:proofErr w:type="gramEnd"/>
      <w:r w:rsidRPr="00A945F7" w:rsidR="00354839">
        <w:t xml:space="preserve"> Consumers Association (CLECA)</w:t>
      </w:r>
      <w:r w:rsidR="00354839">
        <w:t xml:space="preserve"> </w:t>
      </w:r>
      <w:r w:rsidRPr="003B1C13" w:rsidR="00354839">
        <w:rPr>
          <w:color w:val="000000" w:themeColor="text1"/>
          <w:szCs w:val="26"/>
        </w:rPr>
        <w:t xml:space="preserve">and the </w:t>
      </w:r>
      <w:r w:rsidRPr="00A945F7" w:rsidR="00354839">
        <w:t>Joint Community Choice Aggregators (Joint CCAs),</w:t>
      </w:r>
      <w:r w:rsidRPr="00A945F7" w:rsidR="00354839">
        <w:rPr>
          <w:rStyle w:val="FootnoteReference"/>
        </w:rPr>
        <w:footnoteReference w:id="2"/>
      </w:r>
      <w:r w:rsidRPr="00A945F7" w:rsidR="00354839">
        <w:t xml:space="preserve"> </w:t>
      </w:r>
      <w:r w:rsidRPr="003B1C13" w:rsidR="00354839">
        <w:rPr>
          <w:color w:val="000000" w:themeColor="text1"/>
          <w:szCs w:val="26"/>
        </w:rPr>
        <w:t xml:space="preserve">filed opening comments on the analysis on February 2, 2024.  </w:t>
      </w:r>
      <w:r w:rsidRPr="00A945F7" w:rsidR="00354839">
        <w:t>Pacific Gas and Electric (PG&amp;E),</w:t>
      </w:r>
      <w:r w:rsidR="00354839">
        <w:t xml:space="preserve"> </w:t>
      </w:r>
      <w:r w:rsidRPr="00A945F7" w:rsidR="00354839">
        <w:t>San Diego Gas &amp; Electric (SDG&amp;E), Small Business Utility Advocates (SBUA), Southern California Edison Company (SCE)</w:t>
      </w:r>
      <w:r w:rsidR="00354839">
        <w:t xml:space="preserve"> </w:t>
      </w:r>
      <w:r w:rsidRPr="003B1C13" w:rsidR="00354839">
        <w:rPr>
          <w:color w:val="000000" w:themeColor="text1"/>
          <w:szCs w:val="26"/>
        </w:rPr>
        <w:t xml:space="preserve">and </w:t>
      </w:r>
      <w:r w:rsidR="00354839">
        <w:t xml:space="preserve">the </w:t>
      </w:r>
      <w:r w:rsidRPr="00A945F7" w:rsidR="00354839">
        <w:t xml:space="preserve">Vehicle-Grid Integration Council </w:t>
      </w:r>
      <w:r w:rsidR="00466EB8">
        <w:t xml:space="preserve">(VGIC) </w:t>
      </w:r>
      <w:r w:rsidRPr="003B1C13" w:rsidR="00354839">
        <w:rPr>
          <w:color w:val="000000" w:themeColor="text1"/>
          <w:szCs w:val="26"/>
        </w:rPr>
        <w:t>filed reply comments on February 16, 2024.</w:t>
      </w:r>
      <w:r w:rsidRPr="003B1C13" w:rsidR="00354839">
        <w:rPr>
          <w:rStyle w:val="FootnoteReference"/>
          <w:color w:val="000000" w:themeColor="text1"/>
          <w:szCs w:val="26"/>
        </w:rPr>
        <w:footnoteReference w:id="3"/>
      </w:r>
    </w:p>
    <w:p w:rsidR="005D5D98" w:rsidP="00515DE6" w:rsidRDefault="00D0068B" w14:paraId="3D9E2A5A" w14:textId="542061D8">
      <w:pPr>
        <w:pStyle w:val="Standard"/>
      </w:pPr>
      <w:r>
        <w:t xml:space="preserve">On </w:t>
      </w:r>
      <w:r w:rsidR="00223507">
        <w:t>April 12, 2024</w:t>
      </w:r>
      <w:r>
        <w:t xml:space="preserve">, a </w:t>
      </w:r>
      <w:r w:rsidR="00223507">
        <w:t xml:space="preserve">scoping memo </w:t>
      </w:r>
      <w:r>
        <w:t xml:space="preserve">was issued that </w:t>
      </w:r>
      <w:r w:rsidR="00223507">
        <w:t xml:space="preserve">established the issues within the scope of R.23-12-008.  </w:t>
      </w:r>
    </w:p>
    <w:p w:rsidR="00515DE6" w:rsidP="00193597" w:rsidRDefault="00D0068B" w14:paraId="719BA0EF" w14:textId="6A0F5F3E">
      <w:pPr>
        <w:pStyle w:val="Standard"/>
        <w:widowControl w:val="0"/>
      </w:pPr>
      <w:r>
        <w:lastRenderedPageBreak/>
        <w:t xml:space="preserve">A ruling issued on June 3, </w:t>
      </w:r>
      <w:proofErr w:type="gramStart"/>
      <w:r>
        <w:t>2024</w:t>
      </w:r>
      <w:proofErr w:type="gramEnd"/>
      <w:r>
        <w:t xml:space="preserve"> </w:t>
      </w:r>
      <w:r w:rsidR="00223507">
        <w:t>establishe</w:t>
      </w:r>
      <w:r>
        <w:t xml:space="preserve">d </w:t>
      </w:r>
      <w:r w:rsidR="00223507">
        <w:t>Track 1 of the rulemaking</w:t>
      </w:r>
      <w:r>
        <w:t xml:space="preserve"> to </w:t>
      </w:r>
      <w:r w:rsidR="00223507">
        <w:t>consider any issues related to D</w:t>
      </w:r>
      <w:r w:rsidR="005D5D98">
        <w:t>.</w:t>
      </w:r>
      <w:r w:rsidR="00223507">
        <w:t>22-11-040</w:t>
      </w:r>
      <w:r w:rsidR="00515DE6">
        <w:t xml:space="preserve"> </w:t>
      </w:r>
      <w:r w:rsidR="005D5D98">
        <w:t xml:space="preserve">(June 3 Ruling).  </w:t>
      </w:r>
      <w:r w:rsidR="00E8136E">
        <w:t xml:space="preserve">The June 3 Ruling determined that implementation of the </w:t>
      </w:r>
      <w:r w:rsidR="00123FCB">
        <w:t xml:space="preserve">FC1 BTM Rebate </w:t>
      </w:r>
      <w:r w:rsidR="00E8136E">
        <w:t>and LITE p</w:t>
      </w:r>
      <w:r w:rsidRPr="00223507" w:rsidR="00DA4F46">
        <w:t>rogram</w:t>
      </w:r>
      <w:r w:rsidR="00E8136E">
        <w:t>s</w:t>
      </w:r>
      <w:r w:rsidRPr="00223507" w:rsidR="00DA4F46">
        <w:t xml:space="preserve"> </w:t>
      </w:r>
      <w:r w:rsidR="00E8136E">
        <w:t xml:space="preserve">would be paused pending the completion of the assessment. </w:t>
      </w:r>
      <w:r w:rsidR="00A23682">
        <w:t xml:space="preserve"> </w:t>
      </w:r>
      <w:r w:rsidR="00193597">
        <w:t xml:space="preserve">The June 3 Ruling sought, in part, comment as to whether </w:t>
      </w:r>
      <w:r w:rsidRPr="00133EC3" w:rsidR="00193597">
        <w:rPr>
          <w:rFonts w:cs="Calibri"/>
        </w:rPr>
        <w:t>a pause of the</w:t>
      </w:r>
      <w:r w:rsidR="00123FCB">
        <w:rPr>
          <w:rFonts w:cs="Calibri"/>
        </w:rPr>
        <w:t>se</w:t>
      </w:r>
      <w:r w:rsidRPr="00133EC3" w:rsidR="00193597">
        <w:rPr>
          <w:rFonts w:cs="Calibri"/>
        </w:rPr>
        <w:t xml:space="preserve"> programs require</w:t>
      </w:r>
      <w:r w:rsidR="00193597">
        <w:rPr>
          <w:rFonts w:cs="Calibri"/>
        </w:rPr>
        <w:t>d</w:t>
      </w:r>
      <w:r w:rsidRPr="00133EC3" w:rsidR="00193597">
        <w:rPr>
          <w:rFonts w:cs="Calibri"/>
        </w:rPr>
        <w:t xml:space="preserve"> any clarification regarding the directions, approved budgets, or other aspects of the implementation of D.22-11-040</w:t>
      </w:r>
      <w:r w:rsidR="00193597">
        <w:rPr>
          <w:rFonts w:cs="Calibri"/>
        </w:rPr>
        <w:t>.</w:t>
      </w:r>
      <w:r w:rsidR="00193597">
        <w:t xml:space="preserve">  </w:t>
      </w:r>
      <w:r w:rsidR="00E8136E">
        <w:t xml:space="preserve">The June 3 Ruling also indicated that </w:t>
      </w:r>
      <w:r w:rsidR="00515DE6">
        <w:t xml:space="preserve">other </w:t>
      </w:r>
      <w:r w:rsidR="000B1332">
        <w:t>programs approved in</w:t>
      </w:r>
      <w:r w:rsidR="00515DE6">
        <w:t xml:space="preserve"> D.22-11-040, such as the </w:t>
      </w:r>
      <w:r w:rsidR="00123FCB">
        <w:t>TA</w:t>
      </w:r>
      <w:r w:rsidR="00515DE6">
        <w:t xml:space="preserve"> Program and Data Assessment</w:t>
      </w:r>
      <w:r w:rsidR="000B1332">
        <w:t>, would not be reassessed</w:t>
      </w:r>
      <w:r w:rsidR="00A55C7B">
        <w:t>.</w:t>
      </w:r>
    </w:p>
    <w:p w:rsidR="0066691B" w:rsidP="0066691B" w:rsidRDefault="0066691B" w14:paraId="7AA86655" w14:textId="566149FD">
      <w:pPr>
        <w:pStyle w:val="Standard"/>
      </w:pPr>
      <w:r w:rsidRPr="00A945F7">
        <w:t xml:space="preserve">On July 2, 2024, the following parties filed opening comments in response to the ruling: </w:t>
      </w:r>
      <w:bookmarkStart w:name="_Hlk188462136" w:id="5"/>
      <w:proofErr w:type="spellStart"/>
      <w:r w:rsidRPr="00A945F7">
        <w:t>Acterra</w:t>
      </w:r>
      <w:proofErr w:type="spellEnd"/>
      <w:r w:rsidRPr="00A945F7">
        <w:t>: Action for a Healthy Planet (</w:t>
      </w:r>
      <w:proofErr w:type="spellStart"/>
      <w:r w:rsidRPr="00A945F7">
        <w:t>Acterra</w:t>
      </w:r>
      <w:proofErr w:type="spellEnd"/>
      <w:r w:rsidRPr="00A945F7">
        <w:t xml:space="preserve">), </w:t>
      </w:r>
      <w:r w:rsidRPr="00A945F7" w:rsidR="00E677D0">
        <w:t xml:space="preserve">Advanced Energy United (United), </w:t>
      </w:r>
      <w:r w:rsidRPr="00A945F7" w:rsidR="0015482A">
        <w:t>Association of Bay Area Governments and the County of Ventura</w:t>
      </w:r>
      <w:r w:rsidR="00E8136E">
        <w:t xml:space="preserve"> (County of Ventura)</w:t>
      </w:r>
      <w:r w:rsidRPr="00A945F7" w:rsidR="0015482A">
        <w:t>,</w:t>
      </w:r>
      <w:r w:rsidRPr="00A945F7" w:rsidR="0015482A">
        <w:rPr>
          <w:rStyle w:val="FootnoteReference"/>
        </w:rPr>
        <w:footnoteReference w:id="4"/>
      </w:r>
      <w:r w:rsidRPr="00A945F7" w:rsidR="0015482A">
        <w:t xml:space="preserve"> </w:t>
      </w:r>
      <w:r w:rsidRPr="00090DCB" w:rsidR="00090DCB">
        <w:t>the California Association of Small and Multi-Jurisdictional Utilities (CASMU)</w:t>
      </w:r>
      <w:r w:rsidRPr="00A945F7" w:rsidR="00090DCB">
        <w:rPr>
          <w:rStyle w:val="FootnoteReference"/>
        </w:rPr>
        <w:footnoteReference w:id="5"/>
      </w:r>
      <w:r w:rsidR="00090DCB">
        <w:t xml:space="preserve">, </w:t>
      </w:r>
      <w:r w:rsidRPr="00A945F7" w:rsidR="003355DE">
        <w:t xml:space="preserve">CLECA, </w:t>
      </w:r>
      <w:r w:rsidRPr="00A945F7" w:rsidR="00C6622E">
        <w:t xml:space="preserve">CALSTART, Inc. (CALSTART), </w:t>
      </w:r>
      <w:r w:rsidR="00E8136E">
        <w:t xml:space="preserve">the </w:t>
      </w:r>
      <w:r w:rsidRPr="00A945F7" w:rsidR="0015482A">
        <w:t>Center for Accessible Technology (</w:t>
      </w:r>
      <w:proofErr w:type="spellStart"/>
      <w:r w:rsidRPr="00A945F7" w:rsidR="0015482A">
        <w:t>CforAT</w:t>
      </w:r>
      <w:proofErr w:type="spellEnd"/>
      <w:r w:rsidRPr="00A945F7" w:rsidR="0015482A">
        <w:t xml:space="preserve">), </w:t>
      </w:r>
      <w:r w:rsidR="00E8136E">
        <w:t xml:space="preserve">the </w:t>
      </w:r>
      <w:r w:rsidRPr="00A945F7" w:rsidR="0015482A">
        <w:t xml:space="preserve">Center for Sustainable Energy (CSE), </w:t>
      </w:r>
      <w:r w:rsidRPr="00A945F7">
        <w:t xml:space="preserve">ChargePoint, Inc. (ChargePoint), </w:t>
      </w:r>
      <w:r w:rsidRPr="00A945F7" w:rsidR="003355DE">
        <w:t xml:space="preserve">Clean Energy, </w:t>
      </w:r>
      <w:r w:rsidR="00990A15">
        <w:t xml:space="preserve">the </w:t>
      </w:r>
      <w:r w:rsidRPr="00A945F7" w:rsidR="00F82D3E">
        <w:t>Clean Coalition</w:t>
      </w:r>
      <w:r w:rsidRPr="00A945F7">
        <w:t xml:space="preserve">, </w:t>
      </w:r>
      <w:r w:rsidR="00990A15">
        <w:t xml:space="preserve">the </w:t>
      </w:r>
      <w:r w:rsidRPr="00A945F7" w:rsidR="00F82D3E">
        <w:t xml:space="preserve">County of Los Angeles, </w:t>
      </w:r>
      <w:r w:rsidR="00990A15">
        <w:t xml:space="preserve">the </w:t>
      </w:r>
      <w:r w:rsidRPr="00A945F7">
        <w:t xml:space="preserve">Green Power Institute (GPI), </w:t>
      </w:r>
      <w:r w:rsidRPr="00A945F7" w:rsidR="00883BEC">
        <w:t xml:space="preserve">GRID Alternatives (GRID), </w:t>
      </w:r>
      <w:r w:rsidR="00990A15">
        <w:t xml:space="preserve">the </w:t>
      </w:r>
      <w:r w:rsidRPr="00A945F7" w:rsidR="00883BEC">
        <w:t xml:space="preserve">Joint CCAs, </w:t>
      </w:r>
      <w:r w:rsidR="00990A15">
        <w:t xml:space="preserve">the </w:t>
      </w:r>
      <w:r w:rsidRPr="00A945F7">
        <w:t>Joint Commenters,</w:t>
      </w:r>
      <w:r w:rsidRPr="00A945F7">
        <w:rPr>
          <w:vertAlign w:val="superscript"/>
        </w:rPr>
        <w:footnoteReference w:id="6"/>
      </w:r>
      <w:r w:rsidRPr="00A945F7">
        <w:t xml:space="preserve"> </w:t>
      </w:r>
      <w:r w:rsidR="00990A15">
        <w:t xml:space="preserve">the </w:t>
      </w:r>
      <w:r w:rsidRPr="00A945F7" w:rsidR="00A945F7">
        <w:t>Natural Resources (NRDC) and Environmental Defense Fund</w:t>
      </w:r>
      <w:r w:rsidR="00E95210">
        <w:t xml:space="preserve"> (EDF)</w:t>
      </w:r>
      <w:r w:rsidRPr="00A945F7">
        <w:t>,</w:t>
      </w:r>
      <w:r w:rsidRPr="00A945F7">
        <w:rPr>
          <w:vertAlign w:val="superscript"/>
        </w:rPr>
        <w:footnoteReference w:id="7"/>
      </w:r>
      <w:r w:rsidRPr="00A945F7">
        <w:t xml:space="preserve"> PG&amp;E,</w:t>
      </w:r>
      <w:r w:rsidR="004F7E60">
        <w:t xml:space="preserve"> </w:t>
      </w:r>
      <w:proofErr w:type="spellStart"/>
      <w:r w:rsidR="004F7E60">
        <w:t>PearlX</w:t>
      </w:r>
      <w:proofErr w:type="spellEnd"/>
      <w:r w:rsidR="004F7E60">
        <w:t xml:space="preserve"> Infrastructure LLC </w:t>
      </w:r>
      <w:r w:rsidR="004F7E60">
        <w:lastRenderedPageBreak/>
        <w:t>(</w:t>
      </w:r>
      <w:proofErr w:type="spellStart"/>
      <w:r w:rsidR="004F7E60">
        <w:t>PearlX</w:t>
      </w:r>
      <w:proofErr w:type="spellEnd"/>
      <w:r w:rsidR="004F7E60">
        <w:t xml:space="preserve">), </w:t>
      </w:r>
      <w:proofErr w:type="spellStart"/>
      <w:r w:rsidRPr="00A945F7" w:rsidR="0015482A">
        <w:t>PowerFlex</w:t>
      </w:r>
      <w:proofErr w:type="spellEnd"/>
      <w:r w:rsidRPr="00A945F7" w:rsidR="0015482A">
        <w:t xml:space="preserve"> Inc. (</w:t>
      </w:r>
      <w:proofErr w:type="spellStart"/>
      <w:r w:rsidRPr="00A945F7" w:rsidR="0015482A">
        <w:t>PowerFlex</w:t>
      </w:r>
      <w:proofErr w:type="spellEnd"/>
      <w:r w:rsidRPr="00A945F7" w:rsidR="0015482A">
        <w:t xml:space="preserve">), </w:t>
      </w:r>
      <w:r w:rsidRPr="00A945F7" w:rsidR="00372F00">
        <w:t xml:space="preserve">Powering America’s Commercial Transportation (PACT), </w:t>
      </w:r>
      <w:r w:rsidRPr="00A945F7" w:rsidR="003355DE">
        <w:t xml:space="preserve">Cal Advocates, SDG&amp;E, </w:t>
      </w:r>
      <w:r w:rsidRPr="00A945F7">
        <w:t xml:space="preserve">SBUA, SCE, the Utility Reform Network (TURN), Utility Consumers’ Action Network (UCAN), VGIC, </w:t>
      </w:r>
      <w:proofErr w:type="spellStart"/>
      <w:r w:rsidRPr="00A945F7" w:rsidR="00C6622E">
        <w:t>Voltera</w:t>
      </w:r>
      <w:proofErr w:type="spellEnd"/>
      <w:r w:rsidRPr="00A945F7" w:rsidR="00C6622E">
        <w:t xml:space="preserve"> Power LLC (</w:t>
      </w:r>
      <w:proofErr w:type="spellStart"/>
      <w:r w:rsidRPr="00A945F7" w:rsidR="00C6622E">
        <w:t>Voltera</w:t>
      </w:r>
      <w:proofErr w:type="spellEnd"/>
      <w:r w:rsidRPr="00A945F7" w:rsidR="00C6622E">
        <w:t xml:space="preserve">) and </w:t>
      </w:r>
      <w:r w:rsidRPr="00A945F7">
        <w:t>Vote</w:t>
      </w:r>
      <w:r w:rsidRPr="00A945F7" w:rsidR="0015482A">
        <w:t xml:space="preserve"> </w:t>
      </w:r>
      <w:r w:rsidRPr="00A945F7">
        <w:t>Solar.</w:t>
      </w:r>
      <w:r w:rsidRPr="00C80F07">
        <w:t xml:space="preserve"> </w:t>
      </w:r>
    </w:p>
    <w:bookmarkEnd w:id="5"/>
    <w:p w:rsidR="0066691B" w:rsidP="006E6574" w:rsidRDefault="0066691B" w14:paraId="55E1E968" w14:textId="54410337">
      <w:pPr>
        <w:pStyle w:val="Standard"/>
      </w:pPr>
      <w:r w:rsidRPr="00C80F07">
        <w:t xml:space="preserve">On </w:t>
      </w:r>
      <w:r w:rsidR="004F7E60">
        <w:t>July 18</w:t>
      </w:r>
      <w:r w:rsidRPr="00C80F07">
        <w:t>, 20</w:t>
      </w:r>
      <w:r w:rsidR="004F7E60">
        <w:t>24</w:t>
      </w:r>
      <w:r w:rsidRPr="00C80F07">
        <w:t>, the following parties filed reply comments</w:t>
      </w:r>
      <w:r w:rsidR="004F7E60">
        <w:t xml:space="preserve">: </w:t>
      </w:r>
      <w:proofErr w:type="spellStart"/>
      <w:r w:rsidRPr="00A945F7" w:rsidR="004F7E60">
        <w:t>Acterra</w:t>
      </w:r>
      <w:proofErr w:type="spellEnd"/>
      <w:r w:rsidRPr="00A945F7" w:rsidR="004F7E60">
        <w:t xml:space="preserve">, </w:t>
      </w:r>
      <w:r w:rsidR="0047625E">
        <w:t>County of Ventura</w:t>
      </w:r>
      <w:r w:rsidRPr="00A945F7" w:rsidR="004F7E60">
        <w:t xml:space="preserve">, CLECA, CALSTART, CSE, ChargePoint, </w:t>
      </w:r>
      <w:r w:rsidR="0047625E">
        <w:t xml:space="preserve">the </w:t>
      </w:r>
      <w:r w:rsidRPr="00A945F7" w:rsidR="004F7E60">
        <w:t xml:space="preserve">Clean Coalition, </w:t>
      </w:r>
      <w:r w:rsidR="00F04D33">
        <w:t xml:space="preserve">EV Realty, Ford Motor Company (Ford), </w:t>
      </w:r>
      <w:r w:rsidRPr="00A945F7" w:rsidR="004F7E60">
        <w:t xml:space="preserve">GPI, GRID, </w:t>
      </w:r>
      <w:r w:rsidR="0047625E">
        <w:t xml:space="preserve">the </w:t>
      </w:r>
      <w:r w:rsidRPr="00A945F7" w:rsidR="004F7E60">
        <w:t>Joint CCAs, PG&amp;E,</w:t>
      </w:r>
      <w:r w:rsidR="004F7E60">
        <w:t xml:space="preserve"> </w:t>
      </w:r>
      <w:proofErr w:type="spellStart"/>
      <w:r w:rsidR="004F7E60">
        <w:t>PearlX</w:t>
      </w:r>
      <w:proofErr w:type="spellEnd"/>
      <w:r w:rsidR="004F7E60">
        <w:t xml:space="preserve">, </w:t>
      </w:r>
      <w:r w:rsidRPr="00A945F7" w:rsidR="004F7E60">
        <w:t xml:space="preserve">PACT, </w:t>
      </w:r>
      <w:r w:rsidRPr="00942BB6" w:rsidR="00942BB6">
        <w:t>Pilot Travel Centers LLC (PTC)</w:t>
      </w:r>
      <w:r w:rsidR="00942BB6">
        <w:t xml:space="preserve">, </w:t>
      </w:r>
      <w:r w:rsidRPr="00A945F7" w:rsidR="004F7E60">
        <w:t>Cal Advocates, SDG&amp;E, SBUA, SCE, TURN, UCAN, VGIC,</w:t>
      </w:r>
      <w:r w:rsidR="00F04D33">
        <w:t xml:space="preserve"> </w:t>
      </w:r>
      <w:proofErr w:type="spellStart"/>
      <w:r w:rsidRPr="00A945F7" w:rsidR="004F7E60">
        <w:t>Voltera</w:t>
      </w:r>
      <w:proofErr w:type="spellEnd"/>
      <w:r w:rsidR="00F04D33">
        <w:t xml:space="preserve"> and Weave Grid, Inc. (Weave Grid).</w:t>
      </w:r>
    </w:p>
    <w:p w:rsidR="005A148C" w:rsidP="0066691B" w:rsidRDefault="005939A5" w14:paraId="659A5709" w14:textId="5B211F39">
      <w:pPr>
        <w:pStyle w:val="Heading1"/>
        <w:numPr>
          <w:ilvl w:val="0"/>
          <w:numId w:val="1"/>
        </w:numPr>
      </w:pPr>
      <w:bookmarkStart w:name="_Toc8123719" w:id="6"/>
      <w:bookmarkStart w:name="_Toc208230310" w:id="7"/>
      <w:r>
        <w:t xml:space="preserve">Issues Before the </w:t>
      </w:r>
      <w:bookmarkEnd w:id="6"/>
      <w:r w:rsidR="008A08BF">
        <w:t>Commission</w:t>
      </w:r>
      <w:bookmarkEnd w:id="7"/>
    </w:p>
    <w:p w:rsidR="005204F7" w:rsidP="00573AB1" w:rsidRDefault="0047625E" w14:paraId="2C79EACC" w14:textId="77777777">
      <w:pPr>
        <w:pStyle w:val="Standard"/>
        <w:widowControl w:val="0"/>
      </w:pPr>
      <w:r>
        <w:t xml:space="preserve">The </w:t>
      </w:r>
      <w:r w:rsidR="005204F7">
        <w:t>issues before the Commission are:</w:t>
      </w:r>
    </w:p>
    <w:p w:rsidR="00292125" w:rsidP="00292125" w:rsidRDefault="005204F7" w14:paraId="0124183C" w14:textId="7E6BDE9A">
      <w:pPr>
        <w:pStyle w:val="Standard"/>
        <w:widowControl w:val="0"/>
        <w:numPr>
          <w:ilvl w:val="0"/>
          <w:numId w:val="45"/>
        </w:numPr>
        <w:tabs>
          <w:tab w:val="left" w:pos="8640"/>
        </w:tabs>
        <w:ind w:left="1080" w:right="720"/>
      </w:pPr>
      <w:r>
        <w:t xml:space="preserve">Whether to revise </w:t>
      </w:r>
      <w:r w:rsidR="00A23682">
        <w:t>TE</w:t>
      </w:r>
      <w:r>
        <w:t xml:space="preserve"> data gathering and reporting requirements;</w:t>
      </w:r>
      <w:r w:rsidR="00C52281">
        <w:t xml:space="preserve"> and</w:t>
      </w:r>
    </w:p>
    <w:p w:rsidR="005D5D98" w:rsidP="00292125" w:rsidRDefault="005204F7" w14:paraId="1517405D" w14:textId="4EDCA148">
      <w:pPr>
        <w:pStyle w:val="Standard"/>
        <w:widowControl w:val="0"/>
        <w:numPr>
          <w:ilvl w:val="0"/>
          <w:numId w:val="45"/>
        </w:numPr>
        <w:tabs>
          <w:tab w:val="left" w:pos="8640"/>
        </w:tabs>
        <w:ind w:left="1080" w:right="720"/>
      </w:pPr>
      <w:r>
        <w:t>W</w:t>
      </w:r>
      <w:r w:rsidR="00573AB1">
        <w:t xml:space="preserve">hether </w:t>
      </w:r>
      <w:r w:rsidRPr="00292125" w:rsidR="005D5D98">
        <w:rPr>
          <w:rFonts w:cs="Calibri"/>
        </w:rPr>
        <w:t xml:space="preserve">a pause of the </w:t>
      </w:r>
      <w:r w:rsidR="00123FCB">
        <w:t xml:space="preserve">FC1 BTM Rebate </w:t>
      </w:r>
      <w:r w:rsidRPr="00292125" w:rsidR="005D5D98">
        <w:rPr>
          <w:rFonts w:cs="Calibri"/>
        </w:rPr>
        <w:t>and LITE programs require</w:t>
      </w:r>
      <w:r w:rsidRPr="00292125" w:rsidR="00E9754F">
        <w:rPr>
          <w:rFonts w:cs="Calibri"/>
        </w:rPr>
        <w:t>s</w:t>
      </w:r>
      <w:r w:rsidRPr="00292125" w:rsidR="005D5D98">
        <w:rPr>
          <w:rFonts w:cs="Calibri"/>
        </w:rPr>
        <w:t xml:space="preserve"> any clarifications regarding the directions, approved budgets, or other aspects of the implementation of D.22-11-040</w:t>
      </w:r>
      <w:r w:rsidRPr="00292125" w:rsidR="00573AB1">
        <w:rPr>
          <w:rFonts w:cs="Calibri"/>
        </w:rPr>
        <w:t>.</w:t>
      </w:r>
    </w:p>
    <w:p w:rsidR="005939A5" w:rsidP="0066691B" w:rsidRDefault="005939A5" w14:paraId="30BE2599" w14:textId="02AFF47F">
      <w:pPr>
        <w:pStyle w:val="Heading1"/>
        <w:numPr>
          <w:ilvl w:val="0"/>
          <w:numId w:val="1"/>
        </w:numPr>
      </w:pPr>
      <w:bookmarkStart w:name="_Toc8123720" w:id="8"/>
      <w:bookmarkStart w:name="_Toc208230311" w:id="9"/>
      <w:r>
        <w:t>Discussion</w:t>
      </w:r>
      <w:bookmarkEnd w:id="8"/>
      <w:bookmarkEnd w:id="9"/>
    </w:p>
    <w:p w:rsidR="00E9754F" w:rsidP="00577658" w:rsidRDefault="00E9754F" w14:paraId="57833655" w14:textId="495D5300">
      <w:pPr>
        <w:pStyle w:val="Heading3"/>
        <w:numPr>
          <w:ilvl w:val="1"/>
          <w:numId w:val="1"/>
        </w:numPr>
        <w:ind w:hanging="360"/>
      </w:pPr>
      <w:bookmarkStart w:name="_Toc208230312" w:id="10"/>
      <w:r>
        <w:t xml:space="preserve">Data </w:t>
      </w:r>
      <w:bookmarkEnd w:id="10"/>
      <w:r w:rsidR="00495B44">
        <w:t>Gathering and Reporting Requirements</w:t>
      </w:r>
    </w:p>
    <w:p w:rsidR="00E9754F" w:rsidP="00E9754F" w:rsidRDefault="00E9754F" w14:paraId="5FC84F64" w14:textId="7EACC1CA">
      <w:pPr>
        <w:pStyle w:val="Standard"/>
        <w:rPr>
          <w:color w:val="000000" w:themeColor="text1"/>
          <w:szCs w:val="26"/>
        </w:rPr>
      </w:pPr>
      <w:r>
        <w:t>D.</w:t>
      </w:r>
      <w:r w:rsidRPr="003B1C13">
        <w:rPr>
          <w:color w:val="000000" w:themeColor="text1"/>
          <w:szCs w:val="26"/>
        </w:rPr>
        <w:t xml:space="preserve">22-11-040 adopted a </w:t>
      </w:r>
      <w:r w:rsidR="00495B44">
        <w:rPr>
          <w:color w:val="000000" w:themeColor="text1"/>
          <w:szCs w:val="26"/>
        </w:rPr>
        <w:t>data gathering and reporting</w:t>
      </w:r>
      <w:r w:rsidRPr="003B1C13">
        <w:rPr>
          <w:color w:val="000000" w:themeColor="text1"/>
          <w:szCs w:val="26"/>
        </w:rPr>
        <w:t xml:space="preserve"> structure intended to capture all </w:t>
      </w:r>
      <w:r w:rsidR="005204F7">
        <w:rPr>
          <w:color w:val="000000" w:themeColor="text1"/>
          <w:szCs w:val="26"/>
        </w:rPr>
        <w:t>investor-owned utili</w:t>
      </w:r>
      <w:r w:rsidR="00F55B4B">
        <w:rPr>
          <w:color w:val="000000" w:themeColor="text1"/>
          <w:szCs w:val="26"/>
        </w:rPr>
        <w:t>ty (IOU)</w:t>
      </w:r>
      <w:r w:rsidRPr="003B1C13">
        <w:rPr>
          <w:color w:val="000000" w:themeColor="text1"/>
          <w:szCs w:val="26"/>
        </w:rPr>
        <w:t xml:space="preserve"> TE data, including an inventory of all TE data that the IOUs are required to report.  The objective of the </w:t>
      </w:r>
      <w:r w:rsidR="00495B44">
        <w:rPr>
          <w:color w:val="000000" w:themeColor="text1"/>
          <w:szCs w:val="26"/>
        </w:rPr>
        <w:t>data gathering and reporting</w:t>
      </w:r>
      <w:r w:rsidRPr="003B1C13" w:rsidR="00495B44">
        <w:rPr>
          <w:color w:val="000000" w:themeColor="text1"/>
          <w:szCs w:val="26"/>
        </w:rPr>
        <w:t xml:space="preserve"> </w:t>
      </w:r>
      <w:r w:rsidRPr="003B1C13">
        <w:rPr>
          <w:color w:val="000000" w:themeColor="text1"/>
          <w:szCs w:val="26"/>
        </w:rPr>
        <w:t xml:space="preserve">structure was to streamline existing reporting requirements, minimize unnecessary or duplicative reports, and inform </w:t>
      </w:r>
      <w:r w:rsidR="00123FCB">
        <w:rPr>
          <w:color w:val="000000" w:themeColor="text1"/>
          <w:szCs w:val="26"/>
        </w:rPr>
        <w:t>FC1</w:t>
      </w:r>
      <w:r>
        <w:rPr>
          <w:color w:val="000000" w:themeColor="text1"/>
          <w:szCs w:val="26"/>
        </w:rPr>
        <w:t xml:space="preserve"> </w:t>
      </w:r>
      <w:r w:rsidRPr="003B1C13">
        <w:rPr>
          <w:color w:val="000000" w:themeColor="text1"/>
          <w:szCs w:val="26"/>
        </w:rPr>
        <w:t>reporting requirements since various</w:t>
      </w:r>
      <w:r w:rsidRPr="003B1C13">
        <w:rPr>
          <w:b/>
          <w:bCs/>
          <w:color w:val="000000" w:themeColor="text1"/>
          <w:szCs w:val="26"/>
        </w:rPr>
        <w:t xml:space="preserve"> </w:t>
      </w:r>
      <w:r w:rsidRPr="003B1C13">
        <w:rPr>
          <w:color w:val="000000" w:themeColor="text1"/>
          <w:szCs w:val="26"/>
        </w:rPr>
        <w:t xml:space="preserve">decisions and rulings have required some form of data gathering and reporting for TE issues.  </w:t>
      </w:r>
    </w:p>
    <w:p w:rsidR="00E9754F" w:rsidP="00E9754F" w:rsidRDefault="00E9754F" w14:paraId="229A9A7A" w14:textId="247AF234">
      <w:pPr>
        <w:pStyle w:val="Standard"/>
      </w:pPr>
      <w:r>
        <w:rPr>
          <w:color w:val="000000" w:themeColor="text1"/>
          <w:szCs w:val="26"/>
        </w:rPr>
        <w:lastRenderedPageBreak/>
        <w:t xml:space="preserve">On </w:t>
      </w:r>
      <w:r w:rsidRPr="003B1C13">
        <w:rPr>
          <w:color w:val="000000" w:themeColor="text1"/>
          <w:szCs w:val="26"/>
        </w:rPr>
        <w:t xml:space="preserve">July 31, 2023, the </w:t>
      </w:r>
      <w:r w:rsidRPr="005204F7" w:rsidR="00F55B4B">
        <w:rPr>
          <w:color w:val="000000" w:themeColor="text1"/>
          <w:szCs w:val="26"/>
        </w:rPr>
        <w:t>Bear Valley Electric Service Inc., Liberty Utilities (</w:t>
      </w:r>
      <w:proofErr w:type="spellStart"/>
      <w:r w:rsidRPr="005204F7" w:rsidR="00F55B4B">
        <w:rPr>
          <w:color w:val="000000" w:themeColor="text1"/>
          <w:szCs w:val="26"/>
        </w:rPr>
        <w:t>CalPeco</w:t>
      </w:r>
      <w:proofErr w:type="spellEnd"/>
      <w:r w:rsidRPr="005204F7" w:rsidR="00F55B4B">
        <w:rPr>
          <w:color w:val="000000" w:themeColor="text1"/>
          <w:szCs w:val="26"/>
        </w:rPr>
        <w:t xml:space="preserve"> Electric) LLC, and PacifiCorp d/b/a Pacific Power</w:t>
      </w:r>
      <w:r w:rsidR="00F55B4B">
        <w:rPr>
          <w:color w:val="000000" w:themeColor="text1"/>
          <w:szCs w:val="26"/>
        </w:rPr>
        <w:t>,</w:t>
      </w:r>
      <w:r w:rsidRPr="005204F7" w:rsidR="00F55B4B">
        <w:rPr>
          <w:color w:val="000000" w:themeColor="text1"/>
          <w:szCs w:val="26"/>
        </w:rPr>
        <w:t xml:space="preserve"> </w:t>
      </w:r>
      <w:r w:rsidR="00F55B4B">
        <w:rPr>
          <w:color w:val="000000" w:themeColor="text1"/>
          <w:szCs w:val="26"/>
        </w:rPr>
        <w:t>PG&amp;E, SDG&amp;E, SCE</w:t>
      </w:r>
      <w:r w:rsidRPr="005204F7" w:rsidR="005204F7">
        <w:rPr>
          <w:color w:val="000000" w:themeColor="text1"/>
          <w:szCs w:val="26"/>
        </w:rPr>
        <w:t>, (collectively, “</w:t>
      </w:r>
      <w:r w:rsidR="00A23682">
        <w:rPr>
          <w:color w:val="000000" w:themeColor="text1"/>
          <w:szCs w:val="26"/>
        </w:rPr>
        <w:t xml:space="preserve">the </w:t>
      </w:r>
      <w:r w:rsidRPr="005204F7" w:rsidR="005204F7">
        <w:rPr>
          <w:color w:val="000000" w:themeColor="text1"/>
          <w:szCs w:val="26"/>
        </w:rPr>
        <w:t>Joint IOUs”)</w:t>
      </w:r>
      <w:r w:rsidR="005204F7">
        <w:rPr>
          <w:color w:val="000000" w:themeColor="text1"/>
          <w:szCs w:val="26"/>
        </w:rPr>
        <w:t xml:space="preserve"> </w:t>
      </w:r>
      <w:r w:rsidRPr="003B1C13">
        <w:rPr>
          <w:color w:val="000000" w:themeColor="text1"/>
          <w:szCs w:val="26"/>
        </w:rPr>
        <w:t xml:space="preserve">submitted a draft joint Data Assessment Analysis to Energy Division.  On November 22, 2023, after initial feedback, the </w:t>
      </w:r>
      <w:r w:rsidR="000436A9">
        <w:rPr>
          <w:color w:val="000000" w:themeColor="text1"/>
          <w:szCs w:val="26"/>
        </w:rPr>
        <w:t xml:space="preserve">Joint </w:t>
      </w:r>
      <w:r w:rsidRPr="003B1C13">
        <w:rPr>
          <w:color w:val="000000" w:themeColor="text1"/>
          <w:szCs w:val="26"/>
        </w:rPr>
        <w:t>IOUs updated their analysis and submitted a revised draft to Energy Division.  On December 27, 2023, the Commission issued a ruling seeking comment from interested part</w:t>
      </w:r>
      <w:r w:rsidR="00A23682">
        <w:rPr>
          <w:color w:val="000000" w:themeColor="text1"/>
          <w:szCs w:val="26"/>
        </w:rPr>
        <w:t>i</w:t>
      </w:r>
      <w:r w:rsidRPr="003B1C13">
        <w:rPr>
          <w:color w:val="000000" w:themeColor="text1"/>
          <w:szCs w:val="26"/>
        </w:rPr>
        <w:t>es on the Data Assessment Analysis.  Cal Advocates, CLECA and the Joint CCAs filed opening comments on February 2, 2024.  PG&amp;E, SCE, SDG&amp;E, SBUA and VGIC filed reply comments on February 16, 2024.</w:t>
      </w:r>
      <w:r w:rsidRPr="003B1C13">
        <w:rPr>
          <w:rStyle w:val="FootnoteReference"/>
          <w:color w:val="000000" w:themeColor="text1"/>
          <w:szCs w:val="26"/>
        </w:rPr>
        <w:footnoteReference w:id="8"/>
      </w:r>
      <w:r w:rsidRPr="003B1C13">
        <w:rPr>
          <w:color w:val="000000" w:themeColor="text1"/>
          <w:szCs w:val="26"/>
        </w:rPr>
        <w:t xml:space="preserve">  We address the recommendations for changes to the TE </w:t>
      </w:r>
      <w:r w:rsidR="008C1DED">
        <w:rPr>
          <w:color w:val="000000" w:themeColor="text1"/>
          <w:szCs w:val="26"/>
        </w:rPr>
        <w:t>data gathering and reporting</w:t>
      </w:r>
      <w:r w:rsidRPr="003B1C13" w:rsidR="008C1DED">
        <w:rPr>
          <w:color w:val="000000" w:themeColor="text1"/>
          <w:szCs w:val="26"/>
        </w:rPr>
        <w:t xml:space="preserve"> structure </w:t>
      </w:r>
      <w:r w:rsidRPr="003B1C13">
        <w:rPr>
          <w:color w:val="000000" w:themeColor="text1"/>
          <w:szCs w:val="26"/>
        </w:rPr>
        <w:t>below.</w:t>
      </w:r>
    </w:p>
    <w:p w:rsidRPr="00361300" w:rsidR="00E9754F" w:rsidP="00577658" w:rsidRDefault="00E9754F" w14:paraId="20250A6C" w14:textId="77777777">
      <w:pPr>
        <w:pStyle w:val="Heading1"/>
        <w:numPr>
          <w:ilvl w:val="2"/>
          <w:numId w:val="1"/>
        </w:numPr>
        <w:tabs>
          <w:tab w:val="clear" w:pos="1656"/>
          <w:tab w:val="num" w:pos="1710"/>
        </w:tabs>
        <w:rPr>
          <w:bCs/>
        </w:rPr>
      </w:pPr>
      <w:bookmarkStart w:name="_Toc208230313" w:id="11"/>
      <w:r w:rsidRPr="00361300">
        <w:rPr>
          <w:bCs/>
        </w:rPr>
        <w:t>Annual TE Programs and Initiatives Compliance Report</w:t>
      </w:r>
      <w:bookmarkEnd w:id="11"/>
      <w:r w:rsidRPr="00361300">
        <w:rPr>
          <w:bCs/>
        </w:rPr>
        <w:t xml:space="preserve"> </w:t>
      </w:r>
    </w:p>
    <w:p w:rsidRPr="00361300" w:rsidR="00E9754F" w:rsidP="00E9754F" w:rsidRDefault="00E9754F" w14:paraId="480D8B61" w14:textId="5841F182">
      <w:pPr>
        <w:pStyle w:val="Standard"/>
      </w:pPr>
      <w:r w:rsidRPr="00361300">
        <w:t>Several</w:t>
      </w:r>
      <w:r w:rsidRPr="00361300">
        <w:rPr>
          <w:b/>
          <w:bCs/>
        </w:rPr>
        <w:t xml:space="preserve"> </w:t>
      </w:r>
      <w:r w:rsidRPr="00361300">
        <w:t>decisions and rulings have required some form of data gathering and reporting for TE issues.</w:t>
      </w:r>
      <w:r w:rsidRPr="00361300">
        <w:rPr>
          <w:vertAlign w:val="superscript"/>
        </w:rPr>
        <w:footnoteReference w:id="9"/>
      </w:r>
      <w:r w:rsidRPr="00361300">
        <w:t xml:space="preserve">  The </w:t>
      </w:r>
      <w:r w:rsidR="00936107">
        <w:t xml:space="preserve">Joint </w:t>
      </w:r>
      <w:r w:rsidRPr="00361300">
        <w:t>IOU Data Assessment Analysis recommend</w:t>
      </w:r>
      <w:r w:rsidR="002754F0">
        <w:t>s</w:t>
      </w:r>
      <w:r w:rsidRPr="00361300">
        <w:t xml:space="preserve"> consolidat</w:t>
      </w:r>
      <w:r w:rsidR="00936107">
        <w:t>ion of</w:t>
      </w:r>
      <w:r w:rsidRPr="00361300">
        <w:t xml:space="preserve"> the SB 350 Report, VGI Report, and other IOU-specific program reporting into a single, comprehensive Annual TE Programs and Initiatives Compliance Report that would be due yearly on June 30</w:t>
      </w:r>
      <w:r w:rsidRPr="00361300">
        <w:rPr>
          <w:vertAlign w:val="superscript"/>
        </w:rPr>
        <w:t>th</w:t>
      </w:r>
      <w:r w:rsidRPr="00361300">
        <w:t>.</w:t>
      </w:r>
      <w:r w:rsidRPr="00361300">
        <w:rPr>
          <w:vertAlign w:val="superscript"/>
        </w:rPr>
        <w:footnoteReference w:id="10"/>
      </w:r>
      <w:r w:rsidRPr="00361300">
        <w:t xml:space="preserve">  The Joint IOUs assert that utilizing one consolidated, comprehensive report will eliminate unnecessary and overlapping requirements, while ensuring that reporting meets the Commission’s goals with maximum efficiency.</w:t>
      </w:r>
      <w:r w:rsidRPr="00361300">
        <w:rPr>
          <w:vertAlign w:val="superscript"/>
        </w:rPr>
        <w:footnoteReference w:id="11"/>
      </w:r>
      <w:r w:rsidRPr="00361300">
        <w:t xml:space="preserve">  In line with the </w:t>
      </w:r>
      <w:r w:rsidR="000208F5">
        <w:t>comprehensive</w:t>
      </w:r>
      <w:r w:rsidRPr="00361300">
        <w:t xml:space="preserve"> yearly report, the Joint IOUs also request changing the </w:t>
      </w:r>
      <w:r w:rsidRPr="00361300">
        <w:lastRenderedPageBreak/>
        <w:t>reporting cadence for IOU programs</w:t>
      </w:r>
      <w:r w:rsidRPr="00361300">
        <w:rPr>
          <w:vertAlign w:val="superscript"/>
        </w:rPr>
        <w:footnoteReference w:id="12"/>
      </w:r>
      <w:r w:rsidRPr="00361300">
        <w:t xml:space="preserve"> to once per year to align with other SB 350 TE program reporting cadences.  Cal Advocates supports the IOUs’ streamlining and consolidation proposal.</w:t>
      </w:r>
      <w:r w:rsidRPr="00361300">
        <w:rPr>
          <w:vertAlign w:val="superscript"/>
        </w:rPr>
        <w:footnoteReference w:id="13"/>
      </w:r>
      <w:r w:rsidRPr="00361300">
        <w:t xml:space="preserve">  No party opposed the IOU’s proposal.</w:t>
      </w:r>
    </w:p>
    <w:p w:rsidRPr="00361300" w:rsidR="00E9754F" w:rsidP="00E9754F" w:rsidRDefault="00E9754F" w14:paraId="4AA8E047" w14:textId="0137DE34">
      <w:pPr>
        <w:pStyle w:val="Standard"/>
      </w:pPr>
      <w:r w:rsidRPr="00361300">
        <w:t>We find the consolidation proposal is reasonable.  It will streamline and increase the efficiency of data reporting for TE.  We find that the comprehensive Annual TE Programs and Initiatives Compliance Report should consolidate: (1) SB 350 Report, (2) VGI Report, (3) EV Cost and Load Report and (4) elements of the quarterly Energy Division data request.</w:t>
      </w:r>
      <w:r w:rsidRPr="00361300">
        <w:rPr>
          <w:vertAlign w:val="superscript"/>
        </w:rPr>
        <w:footnoteReference w:id="14"/>
      </w:r>
      <w:r w:rsidRPr="00361300">
        <w:t xml:space="preserve">  This comprehensive report will replace all previous TE data reports</w:t>
      </w:r>
      <w:r w:rsidR="00B854AF">
        <w:t xml:space="preserve">. </w:t>
      </w:r>
      <w:r w:rsidRPr="00361300">
        <w:t xml:space="preserve"> </w:t>
      </w:r>
      <w:r w:rsidRPr="00B854AF" w:rsidR="00B854AF">
        <w:t xml:space="preserve">For the first year of implementation, the report will be due on September 30, </w:t>
      </w:r>
      <w:proofErr w:type="gramStart"/>
      <w:r w:rsidRPr="00B854AF" w:rsidR="00B854AF">
        <w:t>2026</w:t>
      </w:r>
      <w:proofErr w:type="gramEnd"/>
      <w:r w:rsidRPr="00B854AF" w:rsidR="00B854AF">
        <w:t xml:space="preserve"> to allow for sufficient time to finalize and implement these reporting changes. </w:t>
      </w:r>
      <w:r w:rsidR="00B854AF">
        <w:t xml:space="preserve"> </w:t>
      </w:r>
      <w:r w:rsidRPr="00B854AF" w:rsidR="00B854AF">
        <w:t>For 2027 and subsequent years, the report will be due on June 30</w:t>
      </w:r>
      <w:r w:rsidRPr="00B854AF" w:rsidR="00B854AF">
        <w:rPr>
          <w:vertAlign w:val="superscript"/>
        </w:rPr>
        <w:t>th</w:t>
      </w:r>
      <w:r w:rsidRPr="00B854AF" w:rsidR="00B854AF">
        <w:t>.</w:t>
      </w:r>
      <w:r w:rsidR="00B854AF">
        <w:t xml:space="preserve"> </w:t>
      </w:r>
      <w:r w:rsidR="00EA09ED">
        <w:t xml:space="preserve"> </w:t>
      </w:r>
      <w:r w:rsidR="009645DE">
        <w:t>This reflects a</w:t>
      </w:r>
      <w:r w:rsidRPr="00361300">
        <w:t xml:space="preserve"> change </w:t>
      </w:r>
      <w:r w:rsidR="009645DE">
        <w:t xml:space="preserve">of </w:t>
      </w:r>
      <w:r w:rsidRPr="00361300">
        <w:t xml:space="preserve">the reporting cadence for </w:t>
      </w:r>
      <w:r w:rsidR="009645DE">
        <w:t xml:space="preserve">the </w:t>
      </w:r>
      <w:r w:rsidRPr="00361300">
        <w:t>IOU programs</w:t>
      </w:r>
      <w:r w:rsidRPr="00361300">
        <w:rPr>
          <w:vertAlign w:val="superscript"/>
        </w:rPr>
        <w:footnoteReference w:id="15"/>
      </w:r>
      <w:r w:rsidRPr="00361300">
        <w:t xml:space="preserve"> to once per year.  </w:t>
      </w:r>
      <w:r w:rsidRPr="00EA09ED" w:rsidR="00D57C2B">
        <w:t>The reporting period shall address the prior calendar year from January 1- December 31.</w:t>
      </w:r>
      <w:r w:rsidR="00D57C2B">
        <w:t xml:space="preserve"> </w:t>
      </w:r>
      <w:r w:rsidRPr="00EA09ED" w:rsidR="00D57C2B">
        <w:t> </w:t>
      </w:r>
      <w:r w:rsidRPr="00361300">
        <w:t xml:space="preserve">The IOUs shall </w:t>
      </w:r>
      <w:r w:rsidR="00600B59">
        <w:t xml:space="preserve">file and </w:t>
      </w:r>
      <w:r w:rsidRPr="00361300">
        <w:t xml:space="preserve">serve a public version of the Annual TE Programs and Initiatives Compliance Report to the service </w:t>
      </w:r>
      <w:r w:rsidRPr="005A1BD3">
        <w:t>list</w:t>
      </w:r>
      <w:r w:rsidRPr="005A1BD3" w:rsidR="00EE68A7">
        <w:t xml:space="preserve"> of this proceeding</w:t>
      </w:r>
      <w:r w:rsidRPr="005A1BD3" w:rsidR="001872D8">
        <w:t xml:space="preserve"> and any future successor proceeding on transportation electrification</w:t>
      </w:r>
      <w:r w:rsidRPr="005A1BD3">
        <w:t>.</w:t>
      </w:r>
      <w:r w:rsidR="00321201">
        <w:t xml:space="preserve">  </w:t>
      </w:r>
    </w:p>
    <w:p w:rsidR="00E9754F" w:rsidP="00E9754F" w:rsidRDefault="00E9754F" w14:paraId="4BB0EE0A" w14:textId="0CB4AE9E">
      <w:pPr>
        <w:pStyle w:val="Standard"/>
      </w:pPr>
      <w:r w:rsidRPr="00361300">
        <w:t>We direct Energy Division staff to work with the IOUs to finalize a template for the comprehensive Annual TE Programs and Initiatives Compliance Report that will be posted on the Commission’s website and served to the service list upon completion.  The IOUs must receive staff approval by May 30</w:t>
      </w:r>
      <w:r w:rsidRPr="00361300">
        <w:rPr>
          <w:vertAlign w:val="superscript"/>
        </w:rPr>
        <w:t>th</w:t>
      </w:r>
      <w:r w:rsidRPr="00361300">
        <w:t xml:space="preserve"> for the </w:t>
      </w:r>
      <w:r w:rsidRPr="00361300">
        <w:lastRenderedPageBreak/>
        <w:t xml:space="preserve">Annual TE Programs and Initiatives Compliance Report.  If changes to the template are needed in the future, Energy Division will consult with the IOUs and stakeholders and notify the service list of any changes before updating the template.  </w:t>
      </w:r>
      <w:r w:rsidRPr="007A6662" w:rsidR="007A6662">
        <w:t xml:space="preserve">During the template finalization process, we direct the </w:t>
      </w:r>
      <w:r w:rsidR="00F32434">
        <w:t xml:space="preserve">Small and Multi-Jurisdictional Utilities </w:t>
      </w:r>
      <w:r w:rsidRPr="007A6662" w:rsidR="007A6662">
        <w:t>to work with Energy Division staff to identify which fields in the reporting template are relevant for their reporting, recognizing that they are not required to file the SB 350 Report, the VGI Report, and the EV Cost and Load report. </w:t>
      </w:r>
    </w:p>
    <w:p w:rsidR="00D74BCF" w:rsidP="00E9754F" w:rsidRDefault="00D74BCF" w14:paraId="7FD6E416" w14:textId="522DE7BD">
      <w:pPr>
        <w:pStyle w:val="Standard"/>
      </w:pPr>
      <w:r>
        <w:t>Additionally, d</w:t>
      </w:r>
      <w:r w:rsidRPr="00D74BCF">
        <w:t xml:space="preserve">uring the process of template finalization, Energy Division staff and IOU staff, in consultation with stakeholders, shall consider whether data points that are reported in the Biannual Energization Report and the Load and Cost Report can be removed from the </w:t>
      </w:r>
      <w:r w:rsidRPr="00361300">
        <w:t xml:space="preserve">Annual TE Programs and Initiatives Compliance Report </w:t>
      </w:r>
      <w:r w:rsidRPr="00D74BCF">
        <w:t xml:space="preserve">template. </w:t>
      </w:r>
      <w:r>
        <w:t xml:space="preserve"> </w:t>
      </w:r>
      <w:r w:rsidRPr="00D74BCF">
        <w:t>This process shall seek to minimize duplicative approaches to tracking the same data points, but there may be a need for data points to be reported in both proceedings.</w:t>
      </w:r>
    </w:p>
    <w:p w:rsidRPr="00361300" w:rsidR="00C11EEE" w:rsidP="00E9754F" w:rsidRDefault="00C11EEE" w14:paraId="44CABA53" w14:textId="10AE4A63">
      <w:pPr>
        <w:pStyle w:val="Standard"/>
      </w:pPr>
      <w:r w:rsidRPr="005A1BD3">
        <w:t xml:space="preserve">Energy Division shall provide 120 </w:t>
      </w:r>
      <w:proofErr w:type="gramStart"/>
      <w:r w:rsidRPr="005A1BD3">
        <w:t>days</w:t>
      </w:r>
      <w:proofErr w:type="gramEnd"/>
      <w:r w:rsidRPr="005A1BD3">
        <w:t xml:space="preserve"> advanced notice prior to the reporting deadline for any future changes adopted for the template.</w:t>
      </w:r>
      <w:r w:rsidRPr="00C11EEE">
        <w:t> </w:t>
      </w:r>
    </w:p>
    <w:p w:rsidR="00E9754F" w:rsidP="00577658" w:rsidRDefault="00E9754F" w14:paraId="5DA8E533" w14:textId="77777777">
      <w:pPr>
        <w:pStyle w:val="Heading1"/>
        <w:numPr>
          <w:ilvl w:val="2"/>
          <w:numId w:val="1"/>
        </w:numPr>
        <w:tabs>
          <w:tab w:val="clear" w:pos="1656"/>
          <w:tab w:val="num" w:pos="1710"/>
        </w:tabs>
      </w:pPr>
      <w:bookmarkStart w:name="_Toc208230314" w:id="12"/>
      <w:r>
        <w:t>VGI</w:t>
      </w:r>
      <w:bookmarkEnd w:id="12"/>
    </w:p>
    <w:p w:rsidRPr="00BC0EAC" w:rsidR="00E9754F" w:rsidP="00E9754F" w:rsidRDefault="00E9754F" w14:paraId="336DC120" w14:textId="0BFCFCDD">
      <w:pPr>
        <w:rPr>
          <w:szCs w:val="26"/>
        </w:rPr>
      </w:pPr>
      <w:r w:rsidRPr="00BC0EAC">
        <w:rPr>
          <w:szCs w:val="26"/>
        </w:rPr>
        <w:t xml:space="preserve">The </w:t>
      </w:r>
      <w:r w:rsidR="004E476C">
        <w:rPr>
          <w:szCs w:val="26"/>
        </w:rPr>
        <w:t xml:space="preserve">Joint </w:t>
      </w:r>
      <w:r w:rsidRPr="00BC0EAC">
        <w:rPr>
          <w:szCs w:val="26"/>
        </w:rPr>
        <w:t xml:space="preserve">IOU Data Assessment Analysis also proposes several changes to VGI reporting, including: (1) reducing VGI Report submittal to once per year; (2) eliminating the </w:t>
      </w:r>
      <w:proofErr w:type="spellStart"/>
      <w:r w:rsidRPr="00BC0EAC">
        <w:rPr>
          <w:szCs w:val="26"/>
        </w:rPr>
        <w:t>stocktake</w:t>
      </w:r>
      <w:proofErr w:type="spellEnd"/>
      <w:r w:rsidRPr="00BC0EAC">
        <w:rPr>
          <w:szCs w:val="26"/>
        </w:rPr>
        <w:t xml:space="preserve"> requirement and (3) revising the VGI Report template.  </w:t>
      </w:r>
    </w:p>
    <w:p w:rsidRPr="00BC0EAC" w:rsidR="00E9754F" w:rsidP="00E9754F" w:rsidRDefault="00E9754F" w14:paraId="1496BC2C" w14:textId="0054844B">
      <w:pPr>
        <w:rPr>
          <w:szCs w:val="26"/>
        </w:rPr>
      </w:pPr>
      <w:r w:rsidRPr="00BC0EAC">
        <w:rPr>
          <w:szCs w:val="26"/>
        </w:rPr>
        <w:t xml:space="preserve">First, the </w:t>
      </w:r>
      <w:r w:rsidR="004E476C">
        <w:rPr>
          <w:szCs w:val="26"/>
        </w:rPr>
        <w:t xml:space="preserve">Joint </w:t>
      </w:r>
      <w:r w:rsidRPr="00BC0EAC">
        <w:rPr>
          <w:szCs w:val="26"/>
        </w:rPr>
        <w:t xml:space="preserve">IOU Data Assessment Analysis recommends reducing the VGI Report to once a year.  No party opposes this change.  We find it is reasonable to reduce the frequency of the VGI Report to once a year as it will streamline and increase the efficiency of the reporting process.  The IOUs shall </w:t>
      </w:r>
      <w:r w:rsidRPr="00BC0EAC">
        <w:rPr>
          <w:szCs w:val="26"/>
        </w:rPr>
        <w:lastRenderedPageBreak/>
        <w:t>submit the VGI Report as part of the Annual TE Programs and Initiatives Compliance Report on June 30</w:t>
      </w:r>
      <w:r w:rsidRPr="00BC0EAC">
        <w:rPr>
          <w:szCs w:val="26"/>
          <w:vertAlign w:val="superscript"/>
        </w:rPr>
        <w:t>th</w:t>
      </w:r>
      <w:r w:rsidRPr="00BC0EAC">
        <w:rPr>
          <w:szCs w:val="26"/>
        </w:rPr>
        <w:t>.</w:t>
      </w:r>
    </w:p>
    <w:p w:rsidRPr="00BC0EAC" w:rsidR="00E9754F" w:rsidP="00E9754F" w:rsidRDefault="00E9754F" w14:paraId="75BDABC3" w14:textId="77777777">
      <w:pPr>
        <w:rPr>
          <w:szCs w:val="26"/>
        </w:rPr>
      </w:pPr>
      <w:r w:rsidRPr="00BC0EAC">
        <w:rPr>
          <w:szCs w:val="26"/>
        </w:rPr>
        <w:t xml:space="preserve">Second, the IOU Data Assessment Analysis recommends the elimination of the </w:t>
      </w:r>
      <w:proofErr w:type="spellStart"/>
      <w:r w:rsidRPr="00BC0EAC">
        <w:rPr>
          <w:szCs w:val="26"/>
        </w:rPr>
        <w:t>stocktake</w:t>
      </w:r>
      <w:proofErr w:type="spellEnd"/>
      <w:r w:rsidRPr="00BC0EAC">
        <w:rPr>
          <w:szCs w:val="26"/>
        </w:rPr>
        <w:t xml:space="preserve"> requirement from the VGI Report.  D.20-12-029 directed SCE, SDG&amp;E, and PG&amp;E to provide a joint annual </w:t>
      </w:r>
      <w:proofErr w:type="spellStart"/>
      <w:r w:rsidRPr="00BC0EAC">
        <w:rPr>
          <w:szCs w:val="26"/>
        </w:rPr>
        <w:t>stocktake</w:t>
      </w:r>
      <w:proofErr w:type="spellEnd"/>
      <w:r w:rsidRPr="00BC0EAC">
        <w:rPr>
          <w:szCs w:val="26"/>
        </w:rPr>
        <w:t xml:space="preserve"> of actions outside of those ordered by that decision that will facilitate VGI strategies.</w:t>
      </w:r>
      <w:r w:rsidRPr="00BC0EAC">
        <w:rPr>
          <w:szCs w:val="26"/>
          <w:vertAlign w:val="superscript"/>
        </w:rPr>
        <w:footnoteReference w:id="16"/>
      </w:r>
      <w:r w:rsidRPr="00BC0EAC">
        <w:rPr>
          <w:szCs w:val="26"/>
        </w:rPr>
        <w:t xml:space="preserve">  The annual </w:t>
      </w:r>
      <w:proofErr w:type="spellStart"/>
      <w:r w:rsidRPr="00BC0EAC">
        <w:rPr>
          <w:szCs w:val="26"/>
        </w:rPr>
        <w:t>stocktake</w:t>
      </w:r>
      <w:proofErr w:type="spellEnd"/>
      <w:r w:rsidRPr="00BC0EAC">
        <w:rPr>
          <w:szCs w:val="26"/>
        </w:rPr>
        <w:t xml:space="preserve"> report addresses actions under the jurisdiction of the Commission as well as actions by other agencies and organizations that would help realize the VGI strategy adopted by D.20-12-029. </w:t>
      </w:r>
    </w:p>
    <w:p w:rsidRPr="00BC0EAC" w:rsidR="00E9754F" w:rsidP="00E9754F" w:rsidRDefault="00E9754F" w14:paraId="0873587F" w14:textId="26455DA8">
      <w:pPr>
        <w:rPr>
          <w:szCs w:val="26"/>
        </w:rPr>
      </w:pPr>
      <w:r w:rsidRPr="00BC0EAC">
        <w:rPr>
          <w:szCs w:val="26"/>
        </w:rPr>
        <w:t xml:space="preserve">The Joint IOUs </w:t>
      </w:r>
      <w:proofErr w:type="gramStart"/>
      <w:r w:rsidRPr="00BC0EAC">
        <w:rPr>
          <w:szCs w:val="26"/>
        </w:rPr>
        <w:t>state</w:t>
      </w:r>
      <w:proofErr w:type="gramEnd"/>
      <w:r w:rsidRPr="00BC0EAC">
        <w:rPr>
          <w:szCs w:val="26"/>
        </w:rPr>
        <w:t xml:space="preserve"> that the original intent of the </w:t>
      </w:r>
      <w:proofErr w:type="spellStart"/>
      <w:r w:rsidRPr="00BC0EAC">
        <w:rPr>
          <w:szCs w:val="26"/>
        </w:rPr>
        <w:t>stocktake</w:t>
      </w:r>
      <w:proofErr w:type="spellEnd"/>
      <w:r w:rsidRPr="00BC0EAC">
        <w:rPr>
          <w:szCs w:val="26"/>
        </w:rPr>
        <w:t xml:space="preserve"> requirement was to provide the Commission and stakeholders with an understanding of the current breadth of TE programs to maximize </w:t>
      </w:r>
      <w:r>
        <w:rPr>
          <w:szCs w:val="26"/>
        </w:rPr>
        <w:t xml:space="preserve">the </w:t>
      </w:r>
      <w:r w:rsidRPr="00BC0EAC">
        <w:rPr>
          <w:szCs w:val="26"/>
        </w:rPr>
        <w:t>administrative efficiency of any new programs.  The</w:t>
      </w:r>
      <w:r w:rsidR="004E476C">
        <w:rPr>
          <w:szCs w:val="26"/>
        </w:rPr>
        <w:t xml:space="preserve">y </w:t>
      </w:r>
      <w:r w:rsidRPr="00BC0EAC">
        <w:rPr>
          <w:szCs w:val="26"/>
        </w:rPr>
        <w:t xml:space="preserve">assert that due to the rapid expansion of TE and VGI related efforts nationwide, the ability of the </w:t>
      </w:r>
      <w:proofErr w:type="spellStart"/>
      <w:r w:rsidRPr="00BC0EAC">
        <w:rPr>
          <w:szCs w:val="26"/>
        </w:rPr>
        <w:t>stocktake</w:t>
      </w:r>
      <w:proofErr w:type="spellEnd"/>
      <w:r w:rsidRPr="00BC0EAC">
        <w:rPr>
          <w:szCs w:val="26"/>
        </w:rPr>
        <w:t xml:space="preserve"> to provide its intended intent is diminished.  The</w:t>
      </w:r>
      <w:r w:rsidR="004E476C">
        <w:rPr>
          <w:szCs w:val="26"/>
        </w:rPr>
        <w:t xml:space="preserve"> Joint IOUs</w:t>
      </w:r>
      <w:r w:rsidRPr="00BC0EAC">
        <w:rPr>
          <w:szCs w:val="26"/>
        </w:rPr>
        <w:t xml:space="preserve"> indicate that </w:t>
      </w:r>
      <w:r>
        <w:rPr>
          <w:szCs w:val="26"/>
        </w:rPr>
        <w:t xml:space="preserve">the </w:t>
      </w:r>
      <w:proofErr w:type="spellStart"/>
      <w:r w:rsidRPr="00BC0EAC">
        <w:rPr>
          <w:szCs w:val="26"/>
        </w:rPr>
        <w:t>stocktake</w:t>
      </w:r>
      <w:proofErr w:type="spellEnd"/>
      <w:r w:rsidRPr="00BC0EAC">
        <w:rPr>
          <w:szCs w:val="26"/>
        </w:rPr>
        <w:t xml:space="preserve"> requirement should be eliminated since other third parties are better positioned to conduct the </w:t>
      </w:r>
      <w:proofErr w:type="spellStart"/>
      <w:r w:rsidRPr="00BC0EAC">
        <w:rPr>
          <w:szCs w:val="26"/>
        </w:rPr>
        <w:t>stocktake</w:t>
      </w:r>
      <w:proofErr w:type="spellEnd"/>
      <w:r w:rsidRPr="00BC0EAC">
        <w:rPr>
          <w:szCs w:val="26"/>
        </w:rPr>
        <w:t>, if necessary.</w:t>
      </w:r>
      <w:r w:rsidRPr="00BC0EAC">
        <w:rPr>
          <w:szCs w:val="26"/>
          <w:vertAlign w:val="superscript"/>
        </w:rPr>
        <w:footnoteReference w:id="17"/>
      </w:r>
    </w:p>
    <w:p w:rsidRPr="00BC0EAC" w:rsidR="00E9754F" w:rsidP="00E9754F" w:rsidRDefault="00E9754F" w14:paraId="4C16AEF7" w14:textId="5678AD83">
      <w:pPr>
        <w:rPr>
          <w:szCs w:val="26"/>
        </w:rPr>
      </w:pPr>
      <w:r w:rsidRPr="00BC0EAC">
        <w:rPr>
          <w:szCs w:val="26"/>
        </w:rPr>
        <w:t xml:space="preserve">CLECA contends that the Commission should preserve the </w:t>
      </w:r>
      <w:proofErr w:type="spellStart"/>
      <w:r w:rsidRPr="00BC0EAC">
        <w:rPr>
          <w:szCs w:val="26"/>
        </w:rPr>
        <w:t>stocktake</w:t>
      </w:r>
      <w:proofErr w:type="spellEnd"/>
      <w:r w:rsidRPr="00BC0EAC">
        <w:rPr>
          <w:szCs w:val="26"/>
        </w:rPr>
        <w:t xml:space="preserve"> and expand the stocktaking reporting requirements to include an annual </w:t>
      </w:r>
      <w:proofErr w:type="spellStart"/>
      <w:r w:rsidRPr="00BC0EAC">
        <w:rPr>
          <w:szCs w:val="26"/>
        </w:rPr>
        <w:t>stocktake</w:t>
      </w:r>
      <w:proofErr w:type="spellEnd"/>
      <w:r w:rsidRPr="00BC0EAC">
        <w:rPr>
          <w:szCs w:val="26"/>
        </w:rPr>
        <w:t xml:space="preserve"> addressing affordability concerns.</w:t>
      </w:r>
      <w:r w:rsidRPr="00BC0EAC">
        <w:rPr>
          <w:szCs w:val="26"/>
          <w:vertAlign w:val="superscript"/>
        </w:rPr>
        <w:footnoteReference w:id="18"/>
      </w:r>
      <w:r w:rsidRPr="00BC0EAC">
        <w:rPr>
          <w:szCs w:val="26"/>
        </w:rPr>
        <w:t xml:space="preserve">  They argue that the rapid expansion of VGI efforts and the persistent affordability issues support the preservation of the </w:t>
      </w:r>
      <w:proofErr w:type="spellStart"/>
      <w:r w:rsidRPr="00BC0EAC">
        <w:rPr>
          <w:szCs w:val="26"/>
        </w:rPr>
        <w:t>stocktake</w:t>
      </w:r>
      <w:proofErr w:type="spellEnd"/>
      <w:r w:rsidRPr="00BC0EAC">
        <w:rPr>
          <w:szCs w:val="26"/>
        </w:rPr>
        <w:t>.</w:t>
      </w:r>
      <w:r w:rsidRPr="00BC0EAC">
        <w:rPr>
          <w:szCs w:val="26"/>
          <w:vertAlign w:val="superscript"/>
        </w:rPr>
        <w:footnoteReference w:id="19"/>
      </w:r>
      <w:r w:rsidRPr="00BC0EAC">
        <w:rPr>
          <w:szCs w:val="26"/>
        </w:rPr>
        <w:t xml:space="preserve">  In response to CLECA’s comments, the IOUs argue that expanding </w:t>
      </w:r>
      <w:r w:rsidRPr="00BC0EAC">
        <w:rPr>
          <w:szCs w:val="26"/>
        </w:rPr>
        <w:lastRenderedPageBreak/>
        <w:t xml:space="preserve">the VGI </w:t>
      </w:r>
      <w:proofErr w:type="spellStart"/>
      <w:r w:rsidRPr="00BC0EAC">
        <w:rPr>
          <w:szCs w:val="26"/>
        </w:rPr>
        <w:t>stocktake</w:t>
      </w:r>
      <w:proofErr w:type="spellEnd"/>
      <w:r w:rsidRPr="00BC0EAC">
        <w:rPr>
          <w:szCs w:val="26"/>
        </w:rPr>
        <w:t xml:space="preserve"> report is not the most efficient approach to evaluate affordability and that existing reporting will serve as more effective sources.</w:t>
      </w:r>
      <w:r w:rsidRPr="00BC0EAC">
        <w:rPr>
          <w:szCs w:val="26"/>
          <w:vertAlign w:val="superscript"/>
        </w:rPr>
        <w:footnoteReference w:id="20"/>
      </w:r>
    </w:p>
    <w:p w:rsidRPr="00BC0EAC" w:rsidR="00E9754F" w:rsidP="00E9754F" w:rsidRDefault="00E9754F" w14:paraId="1D4327BA" w14:textId="77777777">
      <w:pPr>
        <w:rPr>
          <w:szCs w:val="26"/>
        </w:rPr>
      </w:pPr>
      <w:r w:rsidRPr="00BC0EAC">
        <w:rPr>
          <w:szCs w:val="26"/>
        </w:rPr>
        <w:t xml:space="preserve">VGIC also opposes eliminating the </w:t>
      </w:r>
      <w:proofErr w:type="spellStart"/>
      <w:r w:rsidRPr="00BC0EAC">
        <w:rPr>
          <w:szCs w:val="26"/>
        </w:rPr>
        <w:t>stocktake</w:t>
      </w:r>
      <w:proofErr w:type="spellEnd"/>
      <w:r w:rsidRPr="00BC0EAC">
        <w:rPr>
          <w:szCs w:val="26"/>
        </w:rPr>
        <w:t xml:space="preserve"> requirement, contending that it helps to ensure utility pilots are not duplicative of existing pilots or that re-piloting of proven technology occurs.</w:t>
      </w:r>
      <w:r w:rsidRPr="00BC0EAC">
        <w:rPr>
          <w:szCs w:val="26"/>
          <w:vertAlign w:val="superscript"/>
        </w:rPr>
        <w:footnoteReference w:id="21"/>
      </w:r>
      <w:r w:rsidRPr="00BC0EAC">
        <w:rPr>
          <w:szCs w:val="26"/>
        </w:rPr>
        <w:t xml:space="preserve">  VGIC asserts that the </w:t>
      </w:r>
      <w:proofErr w:type="spellStart"/>
      <w:r w:rsidRPr="00BC0EAC">
        <w:rPr>
          <w:szCs w:val="26"/>
        </w:rPr>
        <w:t>stocktake</w:t>
      </w:r>
      <w:proofErr w:type="spellEnd"/>
      <w:r w:rsidRPr="00BC0EAC">
        <w:rPr>
          <w:szCs w:val="26"/>
        </w:rPr>
        <w:t xml:space="preserve"> serves as a “repository of information that can reveal gaps in programs or pilots, thereby providing a key input into the ideation of new VGI programs, rates, pilots, or related initiatives.”</w:t>
      </w:r>
      <w:r w:rsidRPr="00BC0EAC">
        <w:rPr>
          <w:szCs w:val="26"/>
          <w:vertAlign w:val="superscript"/>
        </w:rPr>
        <w:footnoteReference w:id="22"/>
      </w:r>
    </w:p>
    <w:p w:rsidRPr="00BC0EAC" w:rsidR="00E9754F" w:rsidP="00E9754F" w:rsidRDefault="00E9754F" w14:paraId="3457D6EC" w14:textId="0C561565">
      <w:pPr>
        <w:rPr>
          <w:szCs w:val="26"/>
        </w:rPr>
      </w:pPr>
      <w:r w:rsidRPr="00BC0EAC">
        <w:rPr>
          <w:szCs w:val="26"/>
        </w:rPr>
        <w:t xml:space="preserve">We agree that given the rapid expansion of TE and VGI related efforts nationwide, there are third parties that are better suited to conduct the </w:t>
      </w:r>
      <w:proofErr w:type="spellStart"/>
      <w:r w:rsidRPr="00BC0EAC">
        <w:rPr>
          <w:szCs w:val="26"/>
        </w:rPr>
        <w:t>stocktake</w:t>
      </w:r>
      <w:proofErr w:type="spellEnd"/>
      <w:r w:rsidRPr="00BC0EAC">
        <w:rPr>
          <w:szCs w:val="26"/>
        </w:rPr>
        <w:t xml:space="preserve"> report in the future.  An expanded </w:t>
      </w:r>
      <w:proofErr w:type="spellStart"/>
      <w:r w:rsidRPr="00BC0EAC">
        <w:rPr>
          <w:szCs w:val="26"/>
        </w:rPr>
        <w:t>stocktake</w:t>
      </w:r>
      <w:proofErr w:type="spellEnd"/>
      <w:r w:rsidRPr="00BC0EAC">
        <w:rPr>
          <w:szCs w:val="26"/>
        </w:rPr>
        <w:t xml:space="preserve"> is not necessary to ensure </w:t>
      </w:r>
      <w:r>
        <w:rPr>
          <w:szCs w:val="26"/>
        </w:rPr>
        <w:t xml:space="preserve">the appropriate authorization of </w:t>
      </w:r>
      <w:r w:rsidRPr="00BC0EAC">
        <w:rPr>
          <w:szCs w:val="26"/>
        </w:rPr>
        <w:t xml:space="preserve">additional ratepayer dollars, and stakeholders can utilize the TE Compliance and Initiatives Report to evaluate affordability moving forward.  Therefore, we find that the annual VGI </w:t>
      </w:r>
      <w:proofErr w:type="spellStart"/>
      <w:r w:rsidRPr="00BC0EAC">
        <w:rPr>
          <w:szCs w:val="26"/>
        </w:rPr>
        <w:t>stocktake</w:t>
      </w:r>
      <w:proofErr w:type="spellEnd"/>
      <w:r w:rsidRPr="00BC0EAC">
        <w:rPr>
          <w:szCs w:val="26"/>
        </w:rPr>
        <w:t xml:space="preserve"> requirement should be eliminated.  If it becomes necessary in the future, the Commission can revisit the need for a </w:t>
      </w:r>
      <w:proofErr w:type="spellStart"/>
      <w:r w:rsidRPr="00BC0EAC">
        <w:rPr>
          <w:szCs w:val="26"/>
        </w:rPr>
        <w:t>stocktake</w:t>
      </w:r>
      <w:proofErr w:type="spellEnd"/>
      <w:r w:rsidRPr="00BC0EAC">
        <w:rPr>
          <w:szCs w:val="26"/>
        </w:rPr>
        <w:t xml:space="preserve"> and the appropriate methodology.  </w:t>
      </w:r>
    </w:p>
    <w:p w:rsidRPr="00BC0EAC" w:rsidR="00E9754F" w:rsidP="00E9754F" w:rsidRDefault="004E476C" w14:paraId="28DCF919" w14:textId="17BD0D9D">
      <w:pPr>
        <w:rPr>
          <w:szCs w:val="26"/>
        </w:rPr>
      </w:pPr>
      <w:r>
        <w:rPr>
          <w:szCs w:val="26"/>
        </w:rPr>
        <w:t>Third</w:t>
      </w:r>
      <w:r w:rsidRPr="00BC0EAC" w:rsidR="00E9754F">
        <w:rPr>
          <w:szCs w:val="26"/>
        </w:rPr>
        <w:t xml:space="preserve">, the </w:t>
      </w:r>
      <w:r>
        <w:rPr>
          <w:szCs w:val="26"/>
        </w:rPr>
        <w:t xml:space="preserve">Joint </w:t>
      </w:r>
      <w:r w:rsidRPr="00BC0EAC" w:rsidR="00E9754F">
        <w:rPr>
          <w:szCs w:val="26"/>
        </w:rPr>
        <w:t>IOU Data Assessment Analysis recommends changes to the reporting requirements for VGI.  D.20-12-029 directed the Joint IOUs to report on numerous categories of VGI activities.</w:t>
      </w:r>
      <w:r w:rsidRPr="00BC0EAC" w:rsidR="00E9754F">
        <w:rPr>
          <w:szCs w:val="26"/>
          <w:vertAlign w:val="superscript"/>
        </w:rPr>
        <w:footnoteReference w:id="23"/>
      </w:r>
      <w:r w:rsidRPr="00BC0EAC" w:rsidR="00E9754F">
        <w:rPr>
          <w:szCs w:val="26"/>
        </w:rPr>
        <w:t xml:space="preserve">  The Joint IOUs assert that the current reporting requirements are redundant and request information that is unnecessary.  They contend that the VGI reporting structure should move away </w:t>
      </w:r>
      <w:r w:rsidRPr="00BC0EAC" w:rsidR="00E9754F">
        <w:rPr>
          <w:szCs w:val="26"/>
        </w:rPr>
        <w:lastRenderedPageBreak/>
        <w:t>from numerous detailed questions towards fewer, broader questions.</w:t>
      </w:r>
      <w:r w:rsidRPr="00BC0EAC" w:rsidR="00E9754F">
        <w:rPr>
          <w:szCs w:val="26"/>
          <w:vertAlign w:val="superscript"/>
        </w:rPr>
        <w:footnoteReference w:id="24"/>
      </w:r>
      <w:r w:rsidRPr="00BC0EAC" w:rsidR="00E9754F">
        <w:rPr>
          <w:szCs w:val="26"/>
        </w:rPr>
        <w:t xml:space="preserve">  VGIC opposes this change, arguing that the Joint IOUs “offer no justification for why their reporting should move away from numerous, detailed questions toward fewer, broader questions.”</w:t>
      </w:r>
      <w:r w:rsidRPr="00BC0EAC" w:rsidR="00E9754F">
        <w:rPr>
          <w:szCs w:val="26"/>
          <w:vertAlign w:val="superscript"/>
        </w:rPr>
        <w:footnoteReference w:id="25"/>
      </w:r>
      <w:r w:rsidRPr="00BC0EAC" w:rsidR="00E9754F">
        <w:rPr>
          <w:szCs w:val="26"/>
        </w:rPr>
        <w:t xml:space="preserve">  VGIC recommends that the IOUs </w:t>
      </w:r>
      <w:r>
        <w:rPr>
          <w:szCs w:val="26"/>
        </w:rPr>
        <w:t xml:space="preserve">should </w:t>
      </w:r>
      <w:r w:rsidRPr="00BC0EAC" w:rsidR="00E9754F">
        <w:rPr>
          <w:szCs w:val="26"/>
        </w:rPr>
        <w:t>indicate the specific questions that should be retained, modified, or eliminated, and allow parties to respond.</w:t>
      </w:r>
    </w:p>
    <w:p w:rsidR="00E9754F" w:rsidP="00E9754F" w:rsidRDefault="00E9754F" w14:paraId="404CF3FF" w14:textId="392A6275">
      <w:pPr>
        <w:rPr>
          <w:szCs w:val="26"/>
        </w:rPr>
      </w:pPr>
      <w:r w:rsidRPr="00BC0EAC">
        <w:rPr>
          <w:szCs w:val="26"/>
        </w:rPr>
        <w:t>We find that it is appropriate to revisit the reporting requirements for VGI.  However, we do not have sufficient details to make any determination in this decision.  We direct Energy Division to work with the IOUs and stakeholders to determine what questions in VGI reporting remain relevant</w:t>
      </w:r>
      <w:r w:rsidR="00466EB8">
        <w:rPr>
          <w:szCs w:val="26"/>
        </w:rPr>
        <w:t xml:space="preserve">.  </w:t>
      </w:r>
      <w:r w:rsidRPr="00297E7D" w:rsidR="00466EB8">
        <w:rPr>
          <w:szCs w:val="26"/>
        </w:rPr>
        <w:t xml:space="preserve">This consultation should occur as part of the upcoming annual VGI Forum ordered </w:t>
      </w:r>
      <w:proofErr w:type="gramStart"/>
      <w:r w:rsidRPr="00297E7D" w:rsidR="00466EB8">
        <w:rPr>
          <w:szCs w:val="26"/>
        </w:rPr>
        <w:t>in</w:t>
      </w:r>
      <w:proofErr w:type="gramEnd"/>
      <w:r w:rsidRPr="00297E7D" w:rsidR="00466EB8">
        <w:rPr>
          <w:szCs w:val="26"/>
        </w:rPr>
        <w:t xml:space="preserve"> D.22-11-040.  </w:t>
      </w:r>
      <w:proofErr w:type="gramStart"/>
      <w:r w:rsidRPr="00297E7D" w:rsidR="00466EB8">
        <w:rPr>
          <w:szCs w:val="26"/>
        </w:rPr>
        <w:t>In order to</w:t>
      </w:r>
      <w:proofErr w:type="gramEnd"/>
      <w:r w:rsidRPr="00297E7D" w:rsidR="00466EB8">
        <w:rPr>
          <w:szCs w:val="26"/>
        </w:rPr>
        <w:t xml:space="preserve"> provide sufficient time for this consultation, we move the VGI Forum to </w:t>
      </w:r>
      <w:r w:rsidR="00B64034">
        <w:rPr>
          <w:szCs w:val="26"/>
        </w:rPr>
        <w:t xml:space="preserve">the </w:t>
      </w:r>
      <w:r w:rsidR="00E8632D">
        <w:rPr>
          <w:szCs w:val="26"/>
        </w:rPr>
        <w:t>first quarter (</w:t>
      </w:r>
      <w:r w:rsidRPr="00297E7D" w:rsidR="00466EB8">
        <w:rPr>
          <w:szCs w:val="26"/>
        </w:rPr>
        <w:t>Q1</w:t>
      </w:r>
      <w:r w:rsidR="00E8632D">
        <w:rPr>
          <w:szCs w:val="26"/>
        </w:rPr>
        <w:t>)</w:t>
      </w:r>
      <w:r w:rsidRPr="00297E7D" w:rsidR="00466EB8">
        <w:rPr>
          <w:szCs w:val="26"/>
        </w:rPr>
        <w:t xml:space="preserve"> of 2026.  Subsequent annual VGI Forums shall also occur in Q1 of each year.  Any changed VGI </w:t>
      </w:r>
      <w:r w:rsidRPr="00297E7D">
        <w:rPr>
          <w:szCs w:val="26"/>
        </w:rPr>
        <w:t>reporting requirement</w:t>
      </w:r>
      <w:r w:rsidRPr="00297E7D" w:rsidR="00466EB8">
        <w:rPr>
          <w:szCs w:val="26"/>
        </w:rPr>
        <w:t xml:space="preserve"> shall be reflected in t</w:t>
      </w:r>
      <w:r w:rsidRPr="00297E7D">
        <w:rPr>
          <w:szCs w:val="26"/>
        </w:rPr>
        <w:t>he TE Compliance and Initiatives Report template.</w:t>
      </w:r>
    </w:p>
    <w:p w:rsidRPr="00361300" w:rsidR="005A7828" w:rsidP="00E9754F" w:rsidRDefault="005A7828" w14:paraId="1DD57F46" w14:textId="499AE383">
      <w:pPr>
        <w:rPr>
          <w:szCs w:val="26"/>
        </w:rPr>
      </w:pPr>
      <w:r w:rsidRPr="005A7828">
        <w:rPr>
          <w:szCs w:val="26"/>
        </w:rPr>
        <w:t>Reporting requirements established for CCAs by D.20-12-029 are waived until the new data template has been developed.</w:t>
      </w:r>
      <w:r w:rsidR="007C35C6">
        <w:rPr>
          <w:rStyle w:val="FootnoteReference"/>
          <w:szCs w:val="26"/>
        </w:rPr>
        <w:footnoteReference w:id="26"/>
      </w:r>
      <w:r w:rsidRPr="005A7828">
        <w:rPr>
          <w:szCs w:val="26"/>
        </w:rPr>
        <w:t xml:space="preserve"> </w:t>
      </w:r>
      <w:r w:rsidR="007C35C6">
        <w:rPr>
          <w:szCs w:val="26"/>
        </w:rPr>
        <w:t xml:space="preserve"> </w:t>
      </w:r>
      <w:r w:rsidRPr="005A7828">
        <w:rPr>
          <w:szCs w:val="26"/>
        </w:rPr>
        <w:t>During the process of developing the template, the CCAs shall coordinate with E</w:t>
      </w:r>
      <w:r w:rsidR="007C35C6">
        <w:rPr>
          <w:szCs w:val="26"/>
        </w:rPr>
        <w:t xml:space="preserve">nergy </w:t>
      </w:r>
      <w:r w:rsidRPr="005A7828">
        <w:rPr>
          <w:szCs w:val="26"/>
        </w:rPr>
        <w:t>D</w:t>
      </w:r>
      <w:r w:rsidR="007C35C6">
        <w:rPr>
          <w:szCs w:val="26"/>
        </w:rPr>
        <w:t>ivision</w:t>
      </w:r>
      <w:r w:rsidRPr="005A7828">
        <w:rPr>
          <w:szCs w:val="26"/>
        </w:rPr>
        <w:t xml:space="preserve"> to suggest any modifications needed to the template. </w:t>
      </w:r>
      <w:r w:rsidR="007C35C6">
        <w:rPr>
          <w:szCs w:val="26"/>
        </w:rPr>
        <w:t xml:space="preserve"> </w:t>
      </w:r>
      <w:r w:rsidRPr="005A7828">
        <w:rPr>
          <w:szCs w:val="26"/>
        </w:rPr>
        <w:t>Small CCAs, defined as serving less than 700 gigawatt-hours (GWh) of annual electrical demand, shall be exempt from any reporting requirements other than activity-based metrics.</w:t>
      </w:r>
    </w:p>
    <w:p w:rsidR="00E9754F" w:rsidP="00E9754F" w:rsidRDefault="00E9754F" w14:paraId="63395527" w14:textId="77777777">
      <w:pPr>
        <w:pStyle w:val="Heading1"/>
        <w:numPr>
          <w:ilvl w:val="2"/>
          <w:numId w:val="1"/>
        </w:numPr>
      </w:pPr>
      <w:bookmarkStart w:name="_Toc208230315" w:id="13"/>
      <w:r>
        <w:rPr>
          <w:rFonts w:cs="Arial"/>
          <w:color w:val="000000" w:themeColor="text1"/>
          <w:szCs w:val="26"/>
        </w:rPr>
        <w:lastRenderedPageBreak/>
        <w:t>T</w:t>
      </w:r>
      <w:r w:rsidRPr="00361300">
        <w:rPr>
          <w:rFonts w:cs="Arial"/>
          <w:color w:val="000000" w:themeColor="text1"/>
          <w:szCs w:val="26"/>
        </w:rPr>
        <w:t>he EV Cost and Load Report Filing Requirement</w:t>
      </w:r>
      <w:bookmarkEnd w:id="13"/>
    </w:p>
    <w:p w:rsidRPr="00361300" w:rsidR="00E9754F" w:rsidP="00E9754F" w:rsidRDefault="00E9754F" w14:paraId="29849901" w14:textId="70ADFB8A">
      <w:pPr>
        <w:rPr>
          <w:color w:val="000000" w:themeColor="text1"/>
          <w:szCs w:val="26"/>
        </w:rPr>
      </w:pPr>
      <w:r w:rsidRPr="00361300">
        <w:rPr>
          <w:color w:val="000000" w:themeColor="text1"/>
          <w:szCs w:val="26"/>
        </w:rPr>
        <w:t>D.11-07-029 ordered PG&amp;E, SCE and SDG&amp;E complete specific EV load research and file the results in an annual EV Cost and Load Research Report.</w:t>
      </w:r>
      <w:r w:rsidRPr="00361300">
        <w:rPr>
          <w:color w:val="000000" w:themeColor="text1"/>
          <w:szCs w:val="26"/>
          <w:vertAlign w:val="superscript"/>
        </w:rPr>
        <w:footnoteReference w:id="27"/>
      </w:r>
      <w:r w:rsidRPr="00361300">
        <w:rPr>
          <w:color w:val="000000" w:themeColor="text1"/>
          <w:szCs w:val="26"/>
        </w:rPr>
        <w:t xml:space="preserve">  The Commission has extended this requirement several times.</w:t>
      </w:r>
      <w:r w:rsidRPr="00361300">
        <w:rPr>
          <w:color w:val="000000" w:themeColor="text1"/>
          <w:szCs w:val="26"/>
          <w:vertAlign w:val="superscript"/>
        </w:rPr>
        <w:footnoteReference w:id="28"/>
      </w:r>
      <w:r w:rsidRPr="00361300">
        <w:rPr>
          <w:color w:val="000000" w:themeColor="text1"/>
          <w:szCs w:val="26"/>
        </w:rPr>
        <w:t xml:space="preserve">  The Joint IOUs </w:t>
      </w:r>
      <w:r w:rsidR="004E476C">
        <w:rPr>
          <w:color w:val="000000" w:themeColor="text1"/>
          <w:szCs w:val="26"/>
        </w:rPr>
        <w:t xml:space="preserve">Data Assessment </w:t>
      </w:r>
      <w:r w:rsidRPr="00BC0EAC" w:rsidR="004E476C">
        <w:rPr>
          <w:szCs w:val="26"/>
        </w:rPr>
        <w:t xml:space="preserve">Analysis </w:t>
      </w:r>
      <w:r w:rsidRPr="00361300">
        <w:rPr>
          <w:color w:val="000000" w:themeColor="text1"/>
          <w:szCs w:val="26"/>
        </w:rPr>
        <w:t>recommend</w:t>
      </w:r>
      <w:r w:rsidR="004E476C">
        <w:rPr>
          <w:color w:val="000000" w:themeColor="text1"/>
          <w:szCs w:val="26"/>
        </w:rPr>
        <w:t>s</w:t>
      </w:r>
      <w:r w:rsidRPr="00361300">
        <w:rPr>
          <w:color w:val="000000" w:themeColor="text1"/>
          <w:szCs w:val="26"/>
        </w:rPr>
        <w:t xml:space="preserve"> eliminating the requirement to file the EV Cost and Load Report with the docket office and instead submit it as a compliance report to Energy Division and serve on the service list.</w:t>
      </w:r>
      <w:r w:rsidRPr="00361300">
        <w:rPr>
          <w:color w:val="000000" w:themeColor="text1"/>
          <w:szCs w:val="26"/>
          <w:vertAlign w:val="superscript"/>
        </w:rPr>
        <w:footnoteReference w:id="29"/>
      </w:r>
      <w:r w:rsidRPr="00361300">
        <w:rPr>
          <w:color w:val="000000" w:themeColor="text1"/>
          <w:szCs w:val="26"/>
        </w:rPr>
        <w:t xml:space="preserve">  No Party opposes this recommendation. </w:t>
      </w:r>
    </w:p>
    <w:p w:rsidRPr="00361300" w:rsidR="00E9754F" w:rsidP="00E9754F" w:rsidRDefault="00E9754F" w14:paraId="5EEE7B0D" w14:textId="045C1B44">
      <w:r w:rsidRPr="00361300">
        <w:rPr>
          <w:color w:val="000000" w:themeColor="text1"/>
          <w:szCs w:val="26"/>
        </w:rPr>
        <w:t xml:space="preserve">We find that the proposal to eliminate the filing requirement for the EV Cost and Load Report is reasonable.  The </w:t>
      </w:r>
      <w:r w:rsidR="003E69A3">
        <w:rPr>
          <w:color w:val="000000" w:themeColor="text1"/>
          <w:szCs w:val="26"/>
        </w:rPr>
        <w:t xml:space="preserve">contents of the </w:t>
      </w:r>
      <w:r w:rsidRPr="00361300">
        <w:rPr>
          <w:color w:val="000000" w:themeColor="text1"/>
          <w:szCs w:val="26"/>
        </w:rPr>
        <w:t xml:space="preserve">EV Cost and Load Report shall be </w:t>
      </w:r>
      <w:r w:rsidRPr="24D896AD" w:rsidR="00392F21">
        <w:rPr>
          <w:color w:val="000000" w:themeColor="text1"/>
        </w:rPr>
        <w:t xml:space="preserve">consolidated into the Annual TE Programs and Initiatives Report </w:t>
      </w:r>
      <w:r w:rsidR="00392F21">
        <w:rPr>
          <w:color w:val="000000" w:themeColor="text1"/>
        </w:rPr>
        <w:t xml:space="preserve">and </w:t>
      </w:r>
      <w:r w:rsidRPr="00361300">
        <w:rPr>
          <w:color w:val="000000" w:themeColor="text1"/>
          <w:szCs w:val="26"/>
        </w:rPr>
        <w:t xml:space="preserve">submitted as a compliance report to Energy Division at </w:t>
      </w:r>
      <w:hyperlink w:history="1" r:id="rId11">
        <w:r w:rsidRPr="00361300">
          <w:rPr>
            <w:rStyle w:val="Hyperlink"/>
            <w:szCs w:val="26"/>
          </w:rPr>
          <w:t>energydivisioncentralfiles@cpuc.ca.gov</w:t>
        </w:r>
      </w:hyperlink>
      <w:r w:rsidRPr="00361300">
        <w:rPr>
          <w:color w:val="000000" w:themeColor="text1"/>
          <w:szCs w:val="26"/>
        </w:rPr>
        <w:t xml:space="preserve"> and served on the service list of this proceeding. </w:t>
      </w:r>
    </w:p>
    <w:p w:rsidR="00E9754F" w:rsidP="00E9754F" w:rsidRDefault="00E9754F" w14:paraId="7DF38AB2" w14:textId="335C870D">
      <w:pPr>
        <w:pStyle w:val="Heading1"/>
        <w:numPr>
          <w:ilvl w:val="2"/>
          <w:numId w:val="1"/>
        </w:numPr>
      </w:pPr>
      <w:bookmarkStart w:name="_Toc208230316" w:id="14"/>
      <w:r>
        <w:t xml:space="preserve">Other Data </w:t>
      </w:r>
      <w:r w:rsidR="00495B44">
        <w:t>Gathering and Reporting</w:t>
      </w:r>
      <w:r>
        <w:t xml:space="preserve"> Requests</w:t>
      </w:r>
      <w:bookmarkEnd w:id="14"/>
    </w:p>
    <w:p w:rsidRPr="00361300" w:rsidR="00E9754F" w:rsidP="00E9754F" w:rsidRDefault="00E9754F" w14:paraId="031CBADD" w14:textId="257AA4EC">
      <w:pPr>
        <w:pStyle w:val="Standard"/>
      </w:pPr>
      <w:r w:rsidRPr="00361300">
        <w:t>Cal Advocates commented that a IOU public presentation should accompany the submission of the IOUs’ proposed Annual TE Programs and Initiatives Compliance Report.</w:t>
      </w:r>
      <w:r>
        <w:rPr>
          <w:rStyle w:val="FootnoteReference"/>
          <w:color w:val="000000" w:themeColor="text1"/>
          <w:szCs w:val="26"/>
        </w:rPr>
        <w:footnoteReference w:id="30"/>
      </w:r>
      <w:r w:rsidRPr="00361300">
        <w:t xml:space="preserve">  The IOUs state that this presentation should be included in the Annual Roundtable and existing Program Advisory Council </w:t>
      </w:r>
      <w:r w:rsidRPr="00361300">
        <w:lastRenderedPageBreak/>
        <w:t>(PAC) meetings.</w:t>
      </w:r>
      <w:r>
        <w:rPr>
          <w:rStyle w:val="FootnoteReference"/>
          <w:color w:val="000000" w:themeColor="text1"/>
          <w:szCs w:val="26"/>
        </w:rPr>
        <w:footnoteReference w:id="31"/>
      </w:r>
      <w:r w:rsidRPr="00361300">
        <w:t xml:space="preserve">  We find it is appropriate to incorporate a presentation on the Annual TE Programs and Initiatives Report into the existing PAC meetings.  We also direct the IOUs to email the PAC slides to the service list and post them on their respective websites. </w:t>
      </w:r>
    </w:p>
    <w:p w:rsidRPr="00361300" w:rsidR="00E9754F" w:rsidP="00E9754F" w:rsidRDefault="00E9754F" w14:paraId="00396EDB" w14:textId="5865D329">
      <w:pPr>
        <w:pStyle w:val="Standard"/>
      </w:pPr>
      <w:r w:rsidRPr="00361300">
        <w:t>Cal Advocates also recommends that the Commission require that: (1) all IOUs send a public version of their TE quarterly reports to the service lists in all Commission TE proceedings and (2) the TE quarterly reports include additional specified columns.</w:t>
      </w:r>
      <w:r>
        <w:rPr>
          <w:rStyle w:val="FootnoteReference"/>
          <w:color w:val="000000" w:themeColor="text1"/>
          <w:szCs w:val="26"/>
        </w:rPr>
        <w:footnoteReference w:id="32"/>
      </w:r>
      <w:r w:rsidRPr="00361300">
        <w:t xml:space="preserve">  The Joint IOUs agree with serving a public version on TE service lists, but oppose the addition of columns, arguing that this request is beyond the scope and purpose of the Data Assessment Analysis.</w:t>
      </w:r>
      <w:r>
        <w:rPr>
          <w:rStyle w:val="FootnoteReference"/>
          <w:color w:val="000000" w:themeColor="text1"/>
          <w:szCs w:val="26"/>
        </w:rPr>
        <w:footnoteReference w:id="33"/>
      </w:r>
      <w:r w:rsidRPr="00361300">
        <w:t xml:space="preserve">  We find the recommendation for service of a public version of the TE quarterly reports</w:t>
      </w:r>
      <w:r w:rsidR="008D76D5">
        <w:t xml:space="preserve"> is</w:t>
      </w:r>
      <w:r w:rsidRPr="00361300">
        <w:t xml:space="preserve"> reasonable and order the IOUs to do so moving forward.  We decline to require the addition of columns to the TE quarterly reports </w:t>
      </w:r>
      <w:proofErr w:type="gramStart"/>
      <w:r w:rsidRPr="00361300">
        <w:t>at this time</w:t>
      </w:r>
      <w:proofErr w:type="gramEnd"/>
      <w:r w:rsidRPr="00361300">
        <w:t xml:space="preserve">.  However, we direct Energy Division to work with Cal Advocates and other stakeholders to incorporate relevant program information into the TE Compliance and Initiatives Report template. </w:t>
      </w:r>
      <w:r w:rsidR="00145393">
        <w:t xml:space="preserve"> </w:t>
      </w:r>
      <w:r w:rsidRPr="00145393" w:rsidR="00145393">
        <w:t xml:space="preserve">The quarterly reports shall continue to be required for the IOUs through the end of active program enrollment, Q4 2026. </w:t>
      </w:r>
      <w:r w:rsidR="00145393">
        <w:t xml:space="preserve"> </w:t>
      </w:r>
      <w:r w:rsidRPr="00145393" w:rsidR="00145393">
        <w:t>As this reporting constitutes a standing data request, Energy Division staff may request this information in later years if needed.  </w:t>
      </w:r>
    </w:p>
    <w:p w:rsidRPr="00881F6C" w:rsidR="00881F6C" w:rsidP="00A56675" w:rsidRDefault="007304F8" w14:paraId="5EBC257F" w14:textId="52383460">
      <w:pPr>
        <w:pStyle w:val="Heading3"/>
        <w:numPr>
          <w:ilvl w:val="1"/>
          <w:numId w:val="1"/>
        </w:numPr>
        <w:ind w:hanging="360"/>
      </w:pPr>
      <w:bookmarkStart w:name="_Toc208230317" w:id="15"/>
      <w:r>
        <w:t xml:space="preserve">Technical Assistance </w:t>
      </w:r>
      <w:r w:rsidR="003D1DF4">
        <w:t>Program</w:t>
      </w:r>
      <w:bookmarkEnd w:id="15"/>
    </w:p>
    <w:p w:rsidR="00ED31B7" w:rsidP="007E633A" w:rsidRDefault="003D103C" w14:paraId="543FE0D3" w14:textId="153291A3">
      <w:pPr>
        <w:pStyle w:val="Standard"/>
      </w:pPr>
      <w:r>
        <w:t xml:space="preserve">Several parties </w:t>
      </w:r>
      <w:r w:rsidR="00CC0AB3">
        <w:t xml:space="preserve">submitted </w:t>
      </w:r>
      <w:r>
        <w:t>commen</w:t>
      </w:r>
      <w:r w:rsidR="00CC0AB3">
        <w:t xml:space="preserve">ts </w:t>
      </w:r>
      <w:r>
        <w:t xml:space="preserve">on </w:t>
      </w:r>
      <w:r w:rsidR="00520AF4">
        <w:t xml:space="preserve">clarifications regarding the </w:t>
      </w:r>
      <w:r>
        <w:t xml:space="preserve">Technical Assistance </w:t>
      </w:r>
      <w:r w:rsidR="00CC0AB3">
        <w:t xml:space="preserve">(TA) </w:t>
      </w:r>
      <w:r>
        <w:t xml:space="preserve">Program.  </w:t>
      </w:r>
      <w:r w:rsidR="00090DCB">
        <w:t xml:space="preserve">CASMU, </w:t>
      </w:r>
      <w:r w:rsidR="007E633A">
        <w:t xml:space="preserve">PG&amp;E, </w:t>
      </w:r>
      <w:r>
        <w:t>SDG&amp;E</w:t>
      </w:r>
      <w:r w:rsidR="00CC0AB3">
        <w:t xml:space="preserve"> and </w:t>
      </w:r>
      <w:r>
        <w:t xml:space="preserve">SCE indicated </w:t>
      </w:r>
      <w:r>
        <w:lastRenderedPageBreak/>
        <w:t>that t</w:t>
      </w:r>
      <w:r w:rsidRPr="003D103C">
        <w:t xml:space="preserve">he Commission should set </w:t>
      </w:r>
      <w:r>
        <w:t xml:space="preserve">a </w:t>
      </w:r>
      <w:r w:rsidRPr="003D103C">
        <w:t xml:space="preserve">TA </w:t>
      </w:r>
      <w:r>
        <w:t xml:space="preserve">Program </w:t>
      </w:r>
      <w:r w:rsidRPr="003D103C">
        <w:t xml:space="preserve">statewide budget </w:t>
      </w:r>
      <w:r>
        <w:t>at</w:t>
      </w:r>
      <w:r w:rsidRPr="003D103C">
        <w:t xml:space="preserve"> $36 million </w:t>
      </w:r>
      <w:r>
        <w:t>and cl</w:t>
      </w:r>
      <w:r w:rsidRPr="003D103C">
        <w:t xml:space="preserve">arify that the TA </w:t>
      </w:r>
      <w:r>
        <w:t>P</w:t>
      </w:r>
      <w:r w:rsidRPr="003D103C">
        <w:t xml:space="preserve">rogram is </w:t>
      </w:r>
      <w:r>
        <w:t xml:space="preserve">separate from </w:t>
      </w:r>
      <w:r w:rsidRPr="003D103C">
        <w:t xml:space="preserve">the </w:t>
      </w:r>
      <w:r w:rsidR="00590EF6">
        <w:t>FC1 BTM Rebate Program</w:t>
      </w:r>
      <w:r w:rsidRPr="003D103C" w:rsidR="00590EF6">
        <w:t xml:space="preserve"> </w:t>
      </w:r>
      <w:r w:rsidRPr="003D103C">
        <w:t xml:space="preserve">by removing requirements that link the two </w:t>
      </w:r>
      <w:r>
        <w:t>programs</w:t>
      </w:r>
      <w:r w:rsidRPr="003D103C">
        <w:t>.</w:t>
      </w:r>
      <w:r>
        <w:rPr>
          <w:rStyle w:val="FootnoteReference"/>
        </w:rPr>
        <w:footnoteReference w:id="34"/>
      </w:r>
      <w:r w:rsidR="007E633A">
        <w:t xml:space="preserve">  PG&amp;E </w:t>
      </w:r>
      <w:r w:rsidR="00ED31B7">
        <w:t xml:space="preserve">and SCE </w:t>
      </w:r>
      <w:r w:rsidR="007E633A">
        <w:t xml:space="preserve">also </w:t>
      </w:r>
      <w:r w:rsidR="00ED31B7">
        <w:t>recommended</w:t>
      </w:r>
      <w:r w:rsidR="007E633A">
        <w:t xml:space="preserve"> that the Commission decouple </w:t>
      </w:r>
      <w:r w:rsidRPr="007E633A" w:rsidR="007E633A">
        <w:t xml:space="preserve">the TA Rulebook </w:t>
      </w:r>
      <w:r w:rsidR="007E633A">
        <w:t xml:space="preserve">from the </w:t>
      </w:r>
      <w:r w:rsidR="004F5FE0">
        <w:t xml:space="preserve">FC1 </w:t>
      </w:r>
      <w:r w:rsidRPr="007E633A" w:rsidR="007E633A">
        <w:t>Program Handbook</w:t>
      </w:r>
      <w:r w:rsidR="007E633A">
        <w:t xml:space="preserve"> so that the IOUs can </w:t>
      </w:r>
      <w:r w:rsidRPr="007E633A" w:rsidR="007E633A">
        <w:t xml:space="preserve">submit the draft </w:t>
      </w:r>
      <w:r w:rsidR="007E633A">
        <w:t>TA</w:t>
      </w:r>
      <w:r w:rsidRPr="007E633A" w:rsidR="007E633A">
        <w:t xml:space="preserve"> Rulebook and Workshop </w:t>
      </w:r>
      <w:r w:rsidR="00CC0AB3">
        <w:t>R</w:t>
      </w:r>
      <w:r w:rsidRPr="007E633A" w:rsidR="007E633A">
        <w:t>eport as standalone items</w:t>
      </w:r>
      <w:r w:rsidR="007E633A">
        <w:t>.</w:t>
      </w:r>
      <w:r w:rsidR="007E633A">
        <w:rPr>
          <w:rStyle w:val="FootnoteReference"/>
        </w:rPr>
        <w:footnoteReference w:id="35"/>
      </w:r>
    </w:p>
    <w:p w:rsidR="007E633A" w:rsidP="007E633A" w:rsidRDefault="005B02F5" w14:paraId="3BF6F59C" w14:textId="04846884">
      <w:pPr>
        <w:pStyle w:val="Standard"/>
      </w:pPr>
      <w:r w:rsidRPr="00ED31B7">
        <w:t>CALSTART</w:t>
      </w:r>
      <w:r>
        <w:t xml:space="preserve"> and CSE recommend reallocation of </w:t>
      </w:r>
      <w:r w:rsidR="00C2056F">
        <w:t xml:space="preserve">the </w:t>
      </w:r>
      <w:r>
        <w:t xml:space="preserve">TA Program budget </w:t>
      </w:r>
      <w:r w:rsidR="00C2056F">
        <w:t>for</w:t>
      </w:r>
      <w:r>
        <w:t xml:space="preserve"> other </w:t>
      </w:r>
      <w:r w:rsidR="00090DCB">
        <w:t>purposes</w:t>
      </w:r>
      <w:r w:rsidR="00C2056F">
        <w:t>,</w:t>
      </w:r>
      <w:r w:rsidR="00090DCB">
        <w:t xml:space="preserve"> including</w:t>
      </w:r>
      <w:r>
        <w:t xml:space="preserve"> e</w:t>
      </w:r>
      <w:r w:rsidRPr="005B02F5">
        <w:t>nergization barriers</w:t>
      </w:r>
      <w:r>
        <w:t>.</w:t>
      </w:r>
      <w:r>
        <w:rPr>
          <w:rStyle w:val="FootnoteReference"/>
        </w:rPr>
        <w:footnoteReference w:id="36"/>
      </w:r>
      <w:r w:rsidR="00090DCB">
        <w:t xml:space="preserve">  </w:t>
      </w:r>
      <w:r w:rsidR="00ED31B7">
        <w:t>SDG&amp;E and SCE assert that the</w:t>
      </w:r>
      <w:r w:rsidRPr="00ED31B7" w:rsidR="00ED31B7">
        <w:t xml:space="preserve"> Commission reject </w:t>
      </w:r>
      <w:r w:rsidR="00ED31B7">
        <w:t>the</w:t>
      </w:r>
      <w:r w:rsidR="00CC0AB3">
        <w:t>se reallocation</w:t>
      </w:r>
      <w:r w:rsidR="00ED31B7">
        <w:t xml:space="preserve"> proposals, arguing that</w:t>
      </w:r>
      <w:r w:rsidR="00BD14B9">
        <w:t xml:space="preserve"> </w:t>
      </w:r>
      <w:r w:rsidR="00ED31B7">
        <w:t xml:space="preserve">D.22-11-040 </w:t>
      </w:r>
      <w:r w:rsidRPr="00ED31B7" w:rsidR="00ED31B7">
        <w:t xml:space="preserve">intended </w:t>
      </w:r>
      <w:r w:rsidR="00BD14B9">
        <w:t xml:space="preserve">the program to </w:t>
      </w:r>
      <w:r w:rsidRPr="00ED31B7" w:rsidR="00ED31B7">
        <w:t xml:space="preserve">provide a broad </w:t>
      </w:r>
      <w:r w:rsidR="00BD14B9">
        <w:t xml:space="preserve">and flexible </w:t>
      </w:r>
      <w:r w:rsidRPr="00ED31B7" w:rsidR="00ED31B7">
        <w:t>range of services to</w:t>
      </w:r>
      <w:r w:rsidR="00BD14B9">
        <w:t xml:space="preserve"> better serve</w:t>
      </w:r>
      <w:r w:rsidRPr="00ED31B7" w:rsidR="00ED31B7">
        <w:t xml:space="preserve"> customers</w:t>
      </w:r>
      <w:r w:rsidR="00BD14B9">
        <w:t>.</w:t>
      </w:r>
      <w:r w:rsidR="00BD14B9">
        <w:rPr>
          <w:rStyle w:val="FootnoteReference"/>
        </w:rPr>
        <w:footnoteReference w:id="37"/>
      </w:r>
      <w:r w:rsidRPr="00ED31B7" w:rsidR="00ED31B7">
        <w:t xml:space="preserve"> </w:t>
      </w:r>
      <w:r w:rsidRPr="007E633A" w:rsidR="007E633A">
        <w:t xml:space="preserve"> </w:t>
      </w:r>
    </w:p>
    <w:p w:rsidR="00163AE1" w:rsidP="00C2056F" w:rsidRDefault="00C2056F" w14:paraId="190EC560" w14:textId="58CBB0B3">
      <w:pPr>
        <w:pStyle w:val="Standard"/>
        <w:rPr>
          <w:lang w:val="en-ZW"/>
        </w:rPr>
      </w:pPr>
      <w:r w:rsidRPr="00C2056F">
        <w:t xml:space="preserve">Although implementation of the </w:t>
      </w:r>
      <w:r w:rsidR="00590EF6">
        <w:t>FC1 BTM Rebate Program</w:t>
      </w:r>
      <w:r w:rsidRPr="00C2056F" w:rsidR="00590EF6">
        <w:t xml:space="preserve"> </w:t>
      </w:r>
      <w:r w:rsidRPr="00C2056F">
        <w:t xml:space="preserve">is </w:t>
      </w:r>
      <w:r w:rsidR="0010177A">
        <w:t>paused</w:t>
      </w:r>
      <w:r w:rsidRPr="00C2056F">
        <w:t xml:space="preserve">, we find that continuation of the TA Program is reasonable.  </w:t>
      </w:r>
      <w:r w:rsidR="0010177A">
        <w:t>W</w:t>
      </w:r>
      <w:r w:rsidRPr="00C2056F">
        <w:t xml:space="preserve">e agree that there is potential to use the TA budget to test concepts that could streamline energization.  The purposes identified in D.22-11-040 are broad, </w:t>
      </w:r>
      <w:r>
        <w:t xml:space="preserve">therefore, </w:t>
      </w:r>
      <w:r w:rsidRPr="00C2056F">
        <w:t xml:space="preserve">we </w:t>
      </w:r>
      <w:r>
        <w:t xml:space="preserve">find it is appropriate to grant the </w:t>
      </w:r>
      <w:r w:rsidRPr="00C2056F">
        <w:t xml:space="preserve">IOUs discretion to narrow the scope of the TA services from those envisioned in D.22-11-040 if this allows them to better tailor services to support timely energization. </w:t>
      </w:r>
      <w:r>
        <w:t xml:space="preserve"> </w:t>
      </w:r>
      <w:r w:rsidRPr="00C2056F">
        <w:t xml:space="preserve">Due to ongoing </w:t>
      </w:r>
      <w:r w:rsidRPr="00C2056F">
        <w:rPr>
          <w:lang w:val="en-ZW"/>
        </w:rPr>
        <w:t xml:space="preserve">needs related to timely </w:t>
      </w:r>
      <w:r w:rsidRPr="00C2056F">
        <w:rPr>
          <w:lang w:val="en-ZW"/>
        </w:rPr>
        <w:lastRenderedPageBreak/>
        <w:t>energization, the IOUs should ensure that the program design and objectives are aligned with supporting customer’s energization requests as much as possible.</w:t>
      </w:r>
      <w:r w:rsidRPr="00C2056F">
        <w:rPr>
          <w:rStyle w:val="FootnoteReference"/>
          <w:lang w:val="en-ZW"/>
        </w:rPr>
        <w:footnoteReference w:id="38"/>
      </w:r>
      <w:r>
        <w:rPr>
          <w:lang w:val="en-ZW"/>
        </w:rPr>
        <w:t xml:space="preserve">  </w:t>
      </w:r>
    </w:p>
    <w:p w:rsidRPr="00163AE1" w:rsidR="00090DCB" w:rsidP="00163AE1" w:rsidRDefault="00C2056F" w14:paraId="07487205" w14:textId="3A7106B1">
      <w:pPr>
        <w:pStyle w:val="Standard"/>
        <w:rPr>
          <w:lang w:val="en-ZW"/>
        </w:rPr>
      </w:pPr>
      <w:r>
        <w:rPr>
          <w:lang w:val="en-ZW"/>
        </w:rPr>
        <w:t xml:space="preserve">We find it is appropriate for the </w:t>
      </w:r>
      <w:r w:rsidRPr="00D360CF">
        <w:rPr>
          <w:lang w:val="en-ZW"/>
        </w:rPr>
        <w:t>IOUs</w:t>
      </w:r>
      <w:r>
        <w:rPr>
          <w:lang w:val="en-ZW"/>
        </w:rPr>
        <w:t xml:space="preserve"> to continue the TA Program and adopt a program budget of $36 million over </w:t>
      </w:r>
      <w:r w:rsidRPr="00D066A4">
        <w:rPr>
          <w:lang w:val="en-ZW"/>
        </w:rPr>
        <w:t>three years.</w:t>
      </w:r>
      <w:r w:rsidR="00F06E39">
        <w:rPr>
          <w:lang w:val="en-ZW"/>
        </w:rPr>
        <w:t xml:space="preserve"> </w:t>
      </w:r>
      <w:r w:rsidRPr="007304F8">
        <w:rPr>
          <w:lang w:val="en-ZW"/>
        </w:rPr>
        <w:t xml:space="preserve"> </w:t>
      </w:r>
      <w:r w:rsidRPr="00C07607" w:rsidR="00F06E39">
        <w:t>The three-year period for the program will begin 90 days after the Commission’s approval of the Program Handbook.</w:t>
      </w:r>
      <w:r w:rsidRPr="00556AC9" w:rsidR="00F06E39">
        <w:t> </w:t>
      </w:r>
      <w:r w:rsidR="00F06E39">
        <w:t xml:space="preserve"> </w:t>
      </w:r>
      <w:r>
        <w:rPr>
          <w:lang w:val="en-ZW"/>
        </w:rPr>
        <w:t xml:space="preserve">The TA Program budget will be stand alone and we remove the previous requirement to link TA </w:t>
      </w:r>
      <w:r w:rsidR="00590EF6">
        <w:rPr>
          <w:lang w:val="en-ZW"/>
        </w:rPr>
        <w:t>to the</w:t>
      </w:r>
      <w:r>
        <w:rPr>
          <w:lang w:val="en-ZW"/>
        </w:rPr>
        <w:t xml:space="preserve"> </w:t>
      </w:r>
      <w:r w:rsidR="00590EF6">
        <w:t>FC1 BTM Rebate Program</w:t>
      </w:r>
      <w:r w:rsidR="00590EF6">
        <w:rPr>
          <w:lang w:val="en-ZW"/>
        </w:rPr>
        <w:t xml:space="preserve"> </w:t>
      </w:r>
      <w:r>
        <w:rPr>
          <w:lang w:val="en-ZW"/>
        </w:rPr>
        <w:t xml:space="preserve">budgets.  </w:t>
      </w:r>
      <w:r w:rsidR="007304F8">
        <w:rPr>
          <w:lang w:val="en-ZW"/>
        </w:rPr>
        <w:t xml:space="preserve">Consistent with </w:t>
      </w:r>
      <w:r w:rsidRPr="007304F8" w:rsidR="007304F8">
        <w:rPr>
          <w:szCs w:val="26"/>
          <w:lang w:val="en-ZW"/>
        </w:rPr>
        <w:t xml:space="preserve">D.22-11-040, the TA </w:t>
      </w:r>
      <w:r w:rsidR="00D360CF">
        <w:rPr>
          <w:szCs w:val="26"/>
          <w:lang w:val="en-ZW"/>
        </w:rPr>
        <w:t>P</w:t>
      </w:r>
      <w:r w:rsidRPr="007304F8" w:rsidR="007304F8">
        <w:rPr>
          <w:szCs w:val="26"/>
          <w:lang w:val="en-ZW"/>
        </w:rPr>
        <w:t xml:space="preserve">rogram </w:t>
      </w:r>
      <w:r w:rsidR="007304F8">
        <w:rPr>
          <w:szCs w:val="26"/>
          <w:lang w:val="en-ZW"/>
        </w:rPr>
        <w:t xml:space="preserve">budget </w:t>
      </w:r>
      <w:r w:rsidRPr="007304F8" w:rsidR="007304F8">
        <w:rPr>
          <w:szCs w:val="26"/>
          <w:lang w:val="en-ZW"/>
        </w:rPr>
        <w:t xml:space="preserve">will have </w:t>
      </w:r>
      <w:r w:rsidRPr="007304F8" w:rsidR="007304F8">
        <w:rPr>
          <w:rFonts w:cs="Times New Roman"/>
          <w:szCs w:val="26"/>
          <w:lang w:val="en-ZW"/>
        </w:rPr>
        <w:t xml:space="preserve">a six percent </w:t>
      </w:r>
      <w:r w:rsidR="0023345D">
        <w:rPr>
          <w:rFonts w:cs="Times New Roman"/>
          <w:szCs w:val="26"/>
          <w:lang w:val="en-ZW"/>
        </w:rPr>
        <w:t>marketing, education and outreach (</w:t>
      </w:r>
      <w:r w:rsidRPr="007304F8" w:rsidR="007304F8">
        <w:rPr>
          <w:rFonts w:cs="Times New Roman"/>
          <w:szCs w:val="26"/>
          <w:lang w:val="en-ZW"/>
        </w:rPr>
        <w:t>ME&amp;O</w:t>
      </w:r>
      <w:r w:rsidR="0023345D">
        <w:rPr>
          <w:rFonts w:cs="Times New Roman"/>
          <w:szCs w:val="26"/>
          <w:lang w:val="en-ZW"/>
        </w:rPr>
        <w:t>)</w:t>
      </w:r>
      <w:r w:rsidRPr="007304F8" w:rsidR="007304F8">
        <w:rPr>
          <w:rFonts w:cs="Times New Roman"/>
          <w:szCs w:val="26"/>
          <w:lang w:val="en-ZW"/>
        </w:rPr>
        <w:t xml:space="preserve"> cap.  The ME&amp;O budget is designated exclusively to inform customers about the TA </w:t>
      </w:r>
      <w:r w:rsidR="00D360CF">
        <w:rPr>
          <w:rFonts w:cs="Times New Roman"/>
          <w:szCs w:val="26"/>
          <w:lang w:val="en-ZW"/>
        </w:rPr>
        <w:t>P</w:t>
      </w:r>
      <w:r w:rsidRPr="007304F8" w:rsidR="007304F8">
        <w:rPr>
          <w:rFonts w:cs="Times New Roman"/>
          <w:szCs w:val="26"/>
          <w:lang w:val="en-ZW"/>
        </w:rPr>
        <w:t xml:space="preserve">rogram and will run concurrently with the TA </w:t>
      </w:r>
      <w:r w:rsidR="00D360CF">
        <w:rPr>
          <w:rFonts w:cs="Times New Roman"/>
          <w:szCs w:val="26"/>
          <w:lang w:val="en-ZW"/>
        </w:rPr>
        <w:t>P</w:t>
      </w:r>
      <w:r w:rsidRPr="007304F8" w:rsidR="007304F8">
        <w:rPr>
          <w:rFonts w:cs="Times New Roman"/>
          <w:szCs w:val="26"/>
          <w:lang w:val="en-ZW"/>
        </w:rPr>
        <w:t xml:space="preserve">rogram.  </w:t>
      </w:r>
      <w:r w:rsidR="008D3050">
        <w:rPr>
          <w:rFonts w:cs="Times New Roman"/>
          <w:szCs w:val="26"/>
          <w:lang w:val="en-ZW"/>
        </w:rPr>
        <w:t>T</w:t>
      </w:r>
      <w:r w:rsidR="00D40438">
        <w:rPr>
          <w:rFonts w:cs="Times New Roman"/>
          <w:szCs w:val="26"/>
          <w:lang w:val="en-ZW"/>
        </w:rPr>
        <w:t xml:space="preserve">he </w:t>
      </w:r>
      <w:r w:rsidR="00881F6C">
        <w:rPr>
          <w:rFonts w:cs="Times New Roman"/>
          <w:szCs w:val="26"/>
          <w:lang w:val="en-ZW"/>
        </w:rPr>
        <w:t>IOU</w:t>
      </w:r>
      <w:r w:rsidRPr="007304F8" w:rsidR="007304F8">
        <w:rPr>
          <w:rFonts w:cs="Times New Roman"/>
          <w:szCs w:val="26"/>
          <w:lang w:val="en-ZW"/>
        </w:rPr>
        <w:t xml:space="preserve"> </w:t>
      </w:r>
      <w:r w:rsidR="00B36ED6">
        <w:rPr>
          <w:rFonts w:cs="Times New Roman"/>
          <w:szCs w:val="26"/>
          <w:lang w:val="en-ZW"/>
        </w:rPr>
        <w:t>allocation</w:t>
      </w:r>
      <w:r w:rsidRPr="007304F8" w:rsidR="00B36ED6">
        <w:rPr>
          <w:rFonts w:cs="Times New Roman"/>
          <w:szCs w:val="26"/>
          <w:lang w:val="en-ZW"/>
        </w:rPr>
        <w:t xml:space="preserve"> </w:t>
      </w:r>
      <w:r w:rsidRPr="007304F8" w:rsidR="007304F8">
        <w:rPr>
          <w:rFonts w:cs="Times New Roman"/>
          <w:szCs w:val="26"/>
          <w:lang w:val="en-ZW"/>
        </w:rPr>
        <w:t>will be based on percent of electricity sales</w:t>
      </w:r>
      <w:r w:rsidR="007304F8">
        <w:rPr>
          <w:rFonts w:cs="Times New Roman"/>
          <w:szCs w:val="26"/>
          <w:lang w:val="en-ZW"/>
        </w:rPr>
        <w:t xml:space="preserve">. </w:t>
      </w:r>
      <w:r w:rsidRPr="007304F8" w:rsidR="007304F8">
        <w:rPr>
          <w:rFonts w:cs="Times New Roman"/>
          <w:szCs w:val="26"/>
          <w:lang w:val="en-ZW"/>
        </w:rPr>
        <w:t xml:space="preserve"> The large </w:t>
      </w:r>
      <w:r w:rsidR="00881F6C">
        <w:rPr>
          <w:rFonts w:cs="Times New Roman"/>
          <w:szCs w:val="26"/>
          <w:lang w:val="en-ZW"/>
        </w:rPr>
        <w:t>IOUs</w:t>
      </w:r>
      <w:r w:rsidRPr="007304F8" w:rsidR="007304F8">
        <w:rPr>
          <w:rFonts w:cs="Times New Roman"/>
          <w:szCs w:val="26"/>
          <w:lang w:val="en-ZW"/>
        </w:rPr>
        <w:t xml:space="preserve"> shall choose one utility as the program administrator</w:t>
      </w:r>
      <w:r w:rsidR="00556AC9">
        <w:rPr>
          <w:rFonts w:cs="Times New Roman"/>
          <w:szCs w:val="26"/>
          <w:lang w:val="en-ZW"/>
        </w:rPr>
        <w:t xml:space="preserve"> </w:t>
      </w:r>
      <w:r w:rsidRPr="000A1B1B" w:rsidR="00556AC9">
        <w:rPr>
          <w:rFonts w:cs="Times New Roman"/>
          <w:szCs w:val="26"/>
        </w:rPr>
        <w:t xml:space="preserve">for the purpose of coordinating the submittal of the TA handbook </w:t>
      </w:r>
      <w:r w:rsidR="001872D8">
        <w:rPr>
          <w:rFonts w:cs="Times New Roman"/>
          <w:szCs w:val="26"/>
        </w:rPr>
        <w:t xml:space="preserve">Tier 3 </w:t>
      </w:r>
      <w:r w:rsidRPr="000A1B1B" w:rsidR="00556AC9">
        <w:rPr>
          <w:rFonts w:cs="Times New Roman"/>
          <w:szCs w:val="26"/>
        </w:rPr>
        <w:t>advice letter</w:t>
      </w:r>
      <w:r w:rsidRPr="00556AC9" w:rsidR="00556AC9">
        <w:rPr>
          <w:rFonts w:cs="Times New Roman"/>
          <w:szCs w:val="26"/>
        </w:rPr>
        <w:t xml:space="preserve">.  </w:t>
      </w:r>
      <w:r w:rsidRPr="000A1B1B" w:rsidR="00556AC9">
        <w:rPr>
          <w:rFonts w:cs="Times New Roman"/>
          <w:szCs w:val="26"/>
        </w:rPr>
        <w:t>All IOUs shall implement the TA programs for their own territories</w:t>
      </w:r>
      <w:r w:rsidRPr="00556AC9" w:rsidR="007304F8">
        <w:rPr>
          <w:rFonts w:cs="Times New Roman"/>
          <w:szCs w:val="26"/>
          <w:lang w:val="en-ZW"/>
        </w:rPr>
        <w:t>.</w:t>
      </w:r>
      <w:r w:rsidR="00090DCB">
        <w:rPr>
          <w:rFonts w:cs="Times New Roman"/>
          <w:szCs w:val="26"/>
          <w:lang w:val="en-ZW"/>
        </w:rPr>
        <w:t xml:space="preserve"> </w:t>
      </w:r>
      <w:r w:rsidR="008D3050">
        <w:rPr>
          <w:rFonts w:cs="Times New Roman"/>
          <w:szCs w:val="26"/>
          <w:lang w:val="en-ZW"/>
        </w:rPr>
        <w:t xml:space="preserve"> </w:t>
      </w:r>
      <w:r w:rsidRPr="5C933942" w:rsidR="008D3050">
        <w:rPr>
          <w:rFonts w:cs="Times New Roman"/>
        </w:rPr>
        <w:t>Energy Division staff shall evaluate the TA Program to assess the IOUs’ progress toward targets adopted in the TA Program Handbook, reasonableness of expenditures, and effectiveness of program design in meeting program objectives</w:t>
      </w:r>
    </w:p>
    <w:p w:rsidRPr="00163AE1" w:rsidR="00090DCB" w:rsidP="00163AE1" w:rsidRDefault="00E70FB1" w14:paraId="41DF6186" w14:textId="01FB4046">
      <w:pPr>
        <w:pStyle w:val="Standard"/>
        <w:rPr>
          <w:lang w:val="en-ZW"/>
        </w:rPr>
      </w:pPr>
      <w:r>
        <w:rPr>
          <w:rFonts w:cs="Times New Roman"/>
          <w:szCs w:val="26"/>
          <w:lang w:val="en-ZW"/>
        </w:rPr>
        <w:t xml:space="preserve">Due to the pause of the </w:t>
      </w:r>
      <w:r w:rsidR="00590EF6">
        <w:t>FC1 BTM Rebate Program</w:t>
      </w:r>
      <w:r>
        <w:rPr>
          <w:rFonts w:cs="Times New Roman"/>
          <w:szCs w:val="26"/>
          <w:lang w:val="en-ZW"/>
        </w:rPr>
        <w:t xml:space="preserve">, we </w:t>
      </w:r>
      <w:r w:rsidR="00534280">
        <w:rPr>
          <w:rFonts w:cs="Times New Roman"/>
          <w:szCs w:val="26"/>
          <w:lang w:val="en-ZW"/>
        </w:rPr>
        <w:t xml:space="preserve">find it is appropriate to limit the scope of the </w:t>
      </w:r>
      <w:r w:rsidR="00881F6C">
        <w:rPr>
          <w:rFonts w:cs="Times New Roman"/>
          <w:szCs w:val="26"/>
          <w:lang w:val="en-ZW"/>
        </w:rPr>
        <w:t>P</w:t>
      </w:r>
      <w:r w:rsidR="00534280">
        <w:rPr>
          <w:rFonts w:cs="Times New Roman"/>
          <w:szCs w:val="26"/>
          <w:lang w:val="en-ZW"/>
        </w:rPr>
        <w:t xml:space="preserve">rogram </w:t>
      </w:r>
      <w:r w:rsidR="00881F6C">
        <w:rPr>
          <w:rFonts w:cs="Times New Roman"/>
          <w:szCs w:val="26"/>
          <w:lang w:val="en-ZW"/>
        </w:rPr>
        <w:t>H</w:t>
      </w:r>
      <w:r w:rsidR="00534280">
        <w:rPr>
          <w:rFonts w:cs="Times New Roman"/>
          <w:szCs w:val="26"/>
          <w:lang w:val="en-ZW"/>
        </w:rPr>
        <w:t xml:space="preserve">andbook to the </w:t>
      </w:r>
      <w:r w:rsidR="00881F6C">
        <w:rPr>
          <w:rFonts w:cs="Times New Roman"/>
          <w:szCs w:val="26"/>
          <w:lang w:val="en-ZW"/>
        </w:rPr>
        <w:t>TA</w:t>
      </w:r>
      <w:r w:rsidR="00534280">
        <w:rPr>
          <w:rFonts w:cs="Times New Roman"/>
          <w:szCs w:val="26"/>
          <w:lang w:val="en-ZW"/>
        </w:rPr>
        <w:t xml:space="preserve"> </w:t>
      </w:r>
      <w:r w:rsidR="00090DCB">
        <w:rPr>
          <w:rFonts w:cs="Times New Roman"/>
          <w:szCs w:val="26"/>
          <w:lang w:val="en-ZW"/>
        </w:rPr>
        <w:t>P</w:t>
      </w:r>
      <w:r w:rsidR="00534280">
        <w:rPr>
          <w:rFonts w:cs="Times New Roman"/>
          <w:szCs w:val="26"/>
          <w:lang w:val="en-ZW"/>
        </w:rPr>
        <w:t xml:space="preserve">rogram.  The </w:t>
      </w:r>
      <w:r w:rsidR="00090DCB">
        <w:rPr>
          <w:rFonts w:cs="Times New Roman"/>
          <w:szCs w:val="26"/>
          <w:lang w:val="en-ZW"/>
        </w:rPr>
        <w:t>IOUs</w:t>
      </w:r>
      <w:r w:rsidR="00534280">
        <w:rPr>
          <w:rFonts w:cs="Times New Roman"/>
          <w:szCs w:val="26"/>
          <w:lang w:val="en-ZW"/>
        </w:rPr>
        <w:t xml:space="preserve"> </w:t>
      </w:r>
      <w:r w:rsidR="00D360CF">
        <w:rPr>
          <w:rFonts w:cs="Times New Roman"/>
          <w:szCs w:val="26"/>
          <w:lang w:val="en-ZW"/>
        </w:rPr>
        <w:t xml:space="preserve">shall </w:t>
      </w:r>
      <w:r w:rsidR="00534280">
        <w:rPr>
          <w:rFonts w:cs="Times New Roman"/>
          <w:szCs w:val="26"/>
          <w:lang w:val="en-ZW"/>
        </w:rPr>
        <w:t xml:space="preserve">continue to be </w:t>
      </w:r>
      <w:r w:rsidRPr="00236F25">
        <w:rPr>
          <w:lang w:val="en-ZW"/>
        </w:rPr>
        <w:t>responsible for developing the handbook</w:t>
      </w:r>
      <w:r w:rsidR="00534280">
        <w:rPr>
          <w:lang w:val="en-ZW"/>
        </w:rPr>
        <w:t xml:space="preserve"> and shall </w:t>
      </w:r>
      <w:r w:rsidRPr="00457583" w:rsidR="00534280">
        <w:t xml:space="preserve">hold a workshop </w:t>
      </w:r>
      <w:r w:rsidRPr="00534280" w:rsidR="00534280">
        <w:rPr>
          <w:lang w:val="en-ZW"/>
        </w:rPr>
        <w:t xml:space="preserve">for handbook comments within </w:t>
      </w:r>
      <w:r w:rsidRPr="00E242E6" w:rsidR="00534280">
        <w:rPr>
          <w:lang w:val="en-ZW"/>
        </w:rPr>
        <w:t>60</w:t>
      </w:r>
      <w:r w:rsidRPr="00534280" w:rsidR="00534280">
        <w:rPr>
          <w:lang w:val="en-ZW"/>
        </w:rPr>
        <w:t xml:space="preserve"> days </w:t>
      </w:r>
      <w:r w:rsidR="00534280">
        <w:rPr>
          <w:lang w:val="en-ZW"/>
        </w:rPr>
        <w:t xml:space="preserve">of the effective date of this decision.  </w:t>
      </w:r>
      <w:r w:rsidRPr="00534280" w:rsidR="00534280">
        <w:rPr>
          <w:rFonts w:cs="Times New Roman"/>
          <w:szCs w:val="26"/>
          <w:lang w:val="en-ZW"/>
        </w:rPr>
        <w:t xml:space="preserve">The </w:t>
      </w:r>
      <w:r w:rsidR="00FB13F6">
        <w:rPr>
          <w:rFonts w:cs="Times New Roman"/>
          <w:szCs w:val="26"/>
          <w:lang w:val="en-ZW"/>
        </w:rPr>
        <w:t>P</w:t>
      </w:r>
      <w:r w:rsidRPr="00534280" w:rsidR="00534280">
        <w:rPr>
          <w:rFonts w:cs="Times New Roman"/>
          <w:szCs w:val="26"/>
          <w:lang w:val="en-ZW"/>
        </w:rPr>
        <w:t xml:space="preserve">rogram </w:t>
      </w:r>
      <w:r w:rsidR="00FB13F6">
        <w:rPr>
          <w:rFonts w:cs="Times New Roman"/>
          <w:szCs w:val="26"/>
          <w:lang w:val="en-ZW"/>
        </w:rPr>
        <w:t>H</w:t>
      </w:r>
      <w:r w:rsidRPr="00534280" w:rsidR="00534280">
        <w:rPr>
          <w:rFonts w:cs="Times New Roman"/>
          <w:szCs w:val="26"/>
          <w:lang w:val="en-ZW"/>
        </w:rPr>
        <w:t xml:space="preserve">andbook should establish the timeline for the </w:t>
      </w:r>
      <w:r w:rsidR="00D360CF">
        <w:rPr>
          <w:rFonts w:cs="Times New Roman"/>
          <w:szCs w:val="26"/>
          <w:lang w:val="en-ZW"/>
        </w:rPr>
        <w:t>TA P</w:t>
      </w:r>
      <w:r w:rsidRPr="00534280" w:rsidR="00534280">
        <w:rPr>
          <w:rFonts w:cs="Times New Roman"/>
          <w:szCs w:val="26"/>
          <w:lang w:val="en-ZW"/>
        </w:rPr>
        <w:t xml:space="preserve">rogram launch. </w:t>
      </w:r>
      <w:r w:rsidR="00090DCB">
        <w:rPr>
          <w:rFonts w:cs="Times New Roman"/>
          <w:szCs w:val="26"/>
          <w:lang w:val="en-ZW"/>
        </w:rPr>
        <w:t xml:space="preserve"> </w:t>
      </w:r>
      <w:r w:rsidR="00534280">
        <w:rPr>
          <w:rFonts w:cs="Times New Roman"/>
          <w:szCs w:val="26"/>
          <w:lang w:val="en-ZW"/>
        </w:rPr>
        <w:t>Additionally, t</w:t>
      </w:r>
      <w:r w:rsidRPr="00534280" w:rsidR="00534280">
        <w:rPr>
          <w:szCs w:val="26"/>
          <w:lang w:val="en-ZW"/>
        </w:rPr>
        <w:t xml:space="preserve">he </w:t>
      </w:r>
      <w:r w:rsidR="00D360CF">
        <w:rPr>
          <w:szCs w:val="26"/>
          <w:lang w:val="en-ZW"/>
        </w:rPr>
        <w:t>P</w:t>
      </w:r>
      <w:r w:rsidRPr="00534280" w:rsidR="00534280">
        <w:rPr>
          <w:szCs w:val="26"/>
          <w:lang w:val="en-ZW"/>
        </w:rPr>
        <w:t xml:space="preserve">rogram </w:t>
      </w:r>
      <w:r w:rsidR="007540A4">
        <w:rPr>
          <w:szCs w:val="26"/>
          <w:lang w:val="en-ZW"/>
        </w:rPr>
        <w:t>H</w:t>
      </w:r>
      <w:r w:rsidRPr="00534280" w:rsidR="00534280">
        <w:rPr>
          <w:szCs w:val="26"/>
          <w:lang w:val="en-ZW"/>
        </w:rPr>
        <w:t xml:space="preserve">andbook should </w:t>
      </w:r>
      <w:r w:rsidR="00534280">
        <w:rPr>
          <w:szCs w:val="26"/>
          <w:lang w:val="en-ZW"/>
        </w:rPr>
        <w:t>indicate</w:t>
      </w:r>
      <w:r w:rsidRPr="00534280" w:rsidR="00534280">
        <w:rPr>
          <w:szCs w:val="26"/>
          <w:lang w:val="en-ZW"/>
        </w:rPr>
        <w:t xml:space="preserve"> how the </w:t>
      </w:r>
      <w:r w:rsidRPr="00534280" w:rsidR="00534280">
        <w:rPr>
          <w:szCs w:val="26"/>
          <w:lang w:val="en-ZW"/>
        </w:rPr>
        <w:lastRenderedPageBreak/>
        <w:t xml:space="preserve">ME&amp;O </w:t>
      </w:r>
      <w:r w:rsidRPr="008C2DD3" w:rsidR="00534280">
        <w:rPr>
          <w:szCs w:val="26"/>
          <w:lang w:val="en-ZW"/>
        </w:rPr>
        <w:t xml:space="preserve">budget will be used to attract customer participation in the TA </w:t>
      </w:r>
      <w:r w:rsidR="00090DCB">
        <w:rPr>
          <w:szCs w:val="26"/>
          <w:lang w:val="en-ZW"/>
        </w:rPr>
        <w:t>P</w:t>
      </w:r>
      <w:r w:rsidRPr="008C2DD3" w:rsidR="00534280">
        <w:rPr>
          <w:szCs w:val="26"/>
          <w:lang w:val="en-ZW"/>
        </w:rPr>
        <w:t xml:space="preserve">rogram, including: (1) </w:t>
      </w:r>
      <w:r w:rsidR="00583556">
        <w:rPr>
          <w:szCs w:val="26"/>
        </w:rPr>
        <w:t xml:space="preserve">proposals for </w:t>
      </w:r>
      <w:r w:rsidRPr="008C2DD3" w:rsidR="00534280">
        <w:rPr>
          <w:szCs w:val="26"/>
        </w:rPr>
        <w:t>develop</w:t>
      </w:r>
      <w:r w:rsidR="008D76D5">
        <w:rPr>
          <w:szCs w:val="26"/>
        </w:rPr>
        <w:t>ment</w:t>
      </w:r>
      <w:r w:rsidRPr="008C2DD3" w:rsidR="00534280">
        <w:rPr>
          <w:szCs w:val="26"/>
        </w:rPr>
        <w:t xml:space="preserve"> and manage</w:t>
      </w:r>
      <w:r w:rsidR="008D76D5">
        <w:rPr>
          <w:szCs w:val="26"/>
        </w:rPr>
        <w:t>ment of</w:t>
      </w:r>
      <w:r w:rsidRPr="008C2DD3" w:rsidR="00534280">
        <w:rPr>
          <w:szCs w:val="26"/>
        </w:rPr>
        <w:t xml:space="preserve"> the ME&amp;O plan; (2) </w:t>
      </w:r>
      <w:r w:rsidR="00293947">
        <w:rPr>
          <w:szCs w:val="26"/>
        </w:rPr>
        <w:t xml:space="preserve">proposals </w:t>
      </w:r>
      <w:r w:rsidR="00583556">
        <w:rPr>
          <w:szCs w:val="26"/>
        </w:rPr>
        <w:t>for</w:t>
      </w:r>
      <w:r w:rsidRPr="008C2DD3" w:rsidR="00534280">
        <w:rPr>
          <w:szCs w:val="26"/>
        </w:rPr>
        <w:t xml:space="preserve"> develop</w:t>
      </w:r>
      <w:r w:rsidR="00B428C8">
        <w:rPr>
          <w:szCs w:val="26"/>
        </w:rPr>
        <w:t xml:space="preserve">ment of </w:t>
      </w:r>
      <w:r w:rsidRPr="008C2DD3" w:rsidR="00534280">
        <w:rPr>
          <w:szCs w:val="26"/>
        </w:rPr>
        <w:t xml:space="preserve">outreach materials and efforts; (3) a detailed budget that provides a clear breakdown </w:t>
      </w:r>
      <w:r w:rsidRPr="008C2DD3" w:rsidR="008C2DD3">
        <w:rPr>
          <w:szCs w:val="26"/>
        </w:rPr>
        <w:t>of the</w:t>
      </w:r>
      <w:r w:rsidRPr="008C2DD3" w:rsidR="00534280">
        <w:rPr>
          <w:szCs w:val="26"/>
        </w:rPr>
        <w:t xml:space="preserve"> proposed ME&amp;O efforts;</w:t>
      </w:r>
      <w:r w:rsidRPr="008C2DD3" w:rsidR="008C2DD3">
        <w:rPr>
          <w:szCs w:val="26"/>
        </w:rPr>
        <w:t xml:space="preserve"> (4) the p</w:t>
      </w:r>
      <w:r w:rsidRPr="008C2DD3" w:rsidR="00534280">
        <w:rPr>
          <w:szCs w:val="26"/>
        </w:rPr>
        <w:t xml:space="preserve">lanned data collection strategies to track TA </w:t>
      </w:r>
      <w:r w:rsidR="007A7ACD">
        <w:rPr>
          <w:szCs w:val="26"/>
        </w:rPr>
        <w:t>P</w:t>
      </w:r>
      <w:r w:rsidRPr="008C2DD3" w:rsidR="00534280">
        <w:rPr>
          <w:szCs w:val="26"/>
        </w:rPr>
        <w:t xml:space="preserve">rogram impact; </w:t>
      </w:r>
      <w:r w:rsidRPr="008C2DD3" w:rsidR="008C2DD3">
        <w:rPr>
          <w:szCs w:val="26"/>
        </w:rPr>
        <w:t>and (5) a</w:t>
      </w:r>
      <w:r w:rsidRPr="008C2DD3" w:rsidR="00534280">
        <w:rPr>
          <w:szCs w:val="26"/>
        </w:rPr>
        <w:t xml:space="preserve">ny additional efforts needed to ensure customers are aware of TA </w:t>
      </w:r>
      <w:r w:rsidR="00D360CF">
        <w:rPr>
          <w:szCs w:val="26"/>
        </w:rPr>
        <w:t>P</w:t>
      </w:r>
      <w:r w:rsidRPr="008C2DD3" w:rsidR="008C2DD3">
        <w:rPr>
          <w:szCs w:val="26"/>
        </w:rPr>
        <w:t xml:space="preserve">rogram </w:t>
      </w:r>
      <w:r w:rsidRPr="008C2DD3" w:rsidR="00534280">
        <w:rPr>
          <w:szCs w:val="26"/>
        </w:rPr>
        <w:t>offerings</w:t>
      </w:r>
      <w:r w:rsidRPr="008C2DD3" w:rsidR="008C2DD3">
        <w:rPr>
          <w:szCs w:val="26"/>
        </w:rPr>
        <w:t xml:space="preserve">.  </w:t>
      </w:r>
    </w:p>
    <w:p w:rsidR="003D1DF4" w:rsidP="003D1DF4" w:rsidRDefault="008C2DD3" w14:paraId="75FF1BA4" w14:textId="4AC355A7">
      <w:pPr>
        <w:pStyle w:val="Standard"/>
        <w:rPr>
          <w:rFonts w:cs="Times New Roman"/>
          <w:szCs w:val="26"/>
          <w:lang w:val="en-ZW"/>
        </w:rPr>
      </w:pPr>
      <w:r w:rsidRPr="008C2DD3">
        <w:rPr>
          <w:szCs w:val="26"/>
        </w:rPr>
        <w:t xml:space="preserve">The </w:t>
      </w:r>
      <w:r w:rsidRPr="008C2DD3" w:rsidR="00E70FB1">
        <w:rPr>
          <w:rFonts w:cs="Times New Roman"/>
          <w:szCs w:val="26"/>
          <w:lang w:val="en-ZW"/>
        </w:rPr>
        <w:t xml:space="preserve">TA </w:t>
      </w:r>
      <w:r w:rsidR="007A7ACD">
        <w:rPr>
          <w:rFonts w:cs="Times New Roman"/>
          <w:szCs w:val="26"/>
          <w:lang w:val="en-ZW"/>
        </w:rPr>
        <w:t>P</w:t>
      </w:r>
      <w:r w:rsidRPr="008C2DD3" w:rsidR="00E70FB1">
        <w:rPr>
          <w:rFonts w:cs="Times New Roman"/>
          <w:szCs w:val="26"/>
          <w:lang w:val="en-ZW"/>
        </w:rPr>
        <w:t xml:space="preserve">rogram </w:t>
      </w:r>
      <w:r w:rsidR="00D360CF">
        <w:rPr>
          <w:rFonts w:cs="Times New Roman"/>
          <w:szCs w:val="26"/>
          <w:lang w:val="en-ZW"/>
        </w:rPr>
        <w:t>H</w:t>
      </w:r>
      <w:r w:rsidRPr="008C2DD3" w:rsidR="00E70FB1">
        <w:rPr>
          <w:rFonts w:cs="Times New Roman"/>
          <w:szCs w:val="26"/>
          <w:lang w:val="en-ZW"/>
        </w:rPr>
        <w:t>andbook s</w:t>
      </w:r>
      <w:r w:rsidRPr="008C2DD3">
        <w:rPr>
          <w:rFonts w:cs="Times New Roman"/>
          <w:szCs w:val="26"/>
          <w:lang w:val="en-ZW"/>
        </w:rPr>
        <w:t>hall</w:t>
      </w:r>
      <w:r w:rsidRPr="008C2DD3" w:rsidR="00E70FB1">
        <w:rPr>
          <w:rFonts w:cs="Times New Roman"/>
          <w:szCs w:val="26"/>
          <w:lang w:val="en-ZW"/>
        </w:rPr>
        <w:t xml:space="preserve"> be submitted </w:t>
      </w:r>
      <w:r w:rsidRPr="008D3050" w:rsidR="00E70FB1">
        <w:rPr>
          <w:rFonts w:cs="Times New Roman"/>
          <w:szCs w:val="26"/>
          <w:lang w:val="en-ZW"/>
        </w:rPr>
        <w:t>via Tier 3 Advice Letter</w:t>
      </w:r>
      <w:r w:rsidRPr="008D3050">
        <w:rPr>
          <w:rFonts w:cs="Times New Roman"/>
          <w:szCs w:val="26"/>
          <w:lang w:val="en-ZW"/>
        </w:rPr>
        <w:t xml:space="preserve"> within 120 </w:t>
      </w:r>
      <w:r w:rsidRPr="008D3050" w:rsidR="00090DCB">
        <w:rPr>
          <w:rFonts w:cs="Times New Roman"/>
          <w:szCs w:val="26"/>
          <w:lang w:val="en-ZW"/>
        </w:rPr>
        <w:t xml:space="preserve">days </w:t>
      </w:r>
      <w:r w:rsidRPr="008D3050">
        <w:rPr>
          <w:rFonts w:cs="Times New Roman"/>
          <w:szCs w:val="26"/>
          <w:lang w:val="en-ZW"/>
        </w:rPr>
        <w:t>of the effective</w:t>
      </w:r>
      <w:r w:rsidRPr="008C2DD3">
        <w:rPr>
          <w:rFonts w:cs="Times New Roman"/>
          <w:szCs w:val="26"/>
          <w:lang w:val="en-ZW"/>
        </w:rPr>
        <w:t xml:space="preserve"> date of this decision.  The </w:t>
      </w:r>
      <w:r w:rsidR="00D360CF">
        <w:rPr>
          <w:rFonts w:cs="Times New Roman"/>
          <w:szCs w:val="26"/>
          <w:lang w:val="en-ZW"/>
        </w:rPr>
        <w:t>IOUs</w:t>
      </w:r>
      <w:r w:rsidRPr="008C2DD3" w:rsidR="00E70FB1">
        <w:rPr>
          <w:rFonts w:cs="Times New Roman"/>
          <w:szCs w:val="26"/>
          <w:lang w:val="en-ZW"/>
        </w:rPr>
        <w:t xml:space="preserve"> </w:t>
      </w:r>
      <w:r w:rsidRPr="008C2DD3">
        <w:rPr>
          <w:rFonts w:cs="Times New Roman"/>
          <w:szCs w:val="26"/>
          <w:lang w:val="en-ZW"/>
        </w:rPr>
        <w:t>may</w:t>
      </w:r>
      <w:r w:rsidRPr="008C2DD3" w:rsidR="00E70FB1">
        <w:rPr>
          <w:rFonts w:cs="Times New Roman"/>
          <w:szCs w:val="26"/>
          <w:lang w:val="en-ZW"/>
        </w:rPr>
        <w:t xml:space="preserve"> propose changes to the TA </w:t>
      </w:r>
      <w:r w:rsidR="00D360CF">
        <w:rPr>
          <w:rFonts w:cs="Times New Roman"/>
          <w:szCs w:val="26"/>
          <w:lang w:val="en-ZW"/>
        </w:rPr>
        <w:t>P</w:t>
      </w:r>
      <w:r w:rsidRPr="008C2DD3" w:rsidR="00E70FB1">
        <w:rPr>
          <w:rFonts w:cs="Times New Roman"/>
          <w:szCs w:val="26"/>
          <w:lang w:val="en-ZW"/>
        </w:rPr>
        <w:t xml:space="preserve">rogram </w:t>
      </w:r>
      <w:r w:rsidR="00D360CF">
        <w:rPr>
          <w:rFonts w:cs="Times New Roman"/>
          <w:szCs w:val="26"/>
          <w:lang w:val="en-ZW"/>
        </w:rPr>
        <w:t>H</w:t>
      </w:r>
      <w:r w:rsidRPr="008C2DD3">
        <w:rPr>
          <w:rFonts w:cs="Times New Roman"/>
          <w:szCs w:val="26"/>
          <w:lang w:val="en-ZW"/>
        </w:rPr>
        <w:t xml:space="preserve">andbook </w:t>
      </w:r>
      <w:r w:rsidRPr="008C2DD3" w:rsidR="00E70FB1">
        <w:rPr>
          <w:rFonts w:cs="Times New Roman"/>
          <w:szCs w:val="26"/>
          <w:lang w:val="en-ZW"/>
        </w:rPr>
        <w:t xml:space="preserve">on an annual basis via Tier 2 AL letter in </w:t>
      </w:r>
      <w:r w:rsidRPr="008C2DD3">
        <w:rPr>
          <w:rFonts w:cs="Times New Roman"/>
          <w:szCs w:val="26"/>
          <w:lang w:val="en-ZW"/>
        </w:rPr>
        <w:t xml:space="preserve">the third quarter of each </w:t>
      </w:r>
      <w:r w:rsidRPr="008C2DD3" w:rsidR="00E70FB1">
        <w:rPr>
          <w:rFonts w:cs="Times New Roman"/>
          <w:szCs w:val="26"/>
          <w:lang w:val="en-ZW"/>
        </w:rPr>
        <w:t>year</w:t>
      </w:r>
      <w:r w:rsidRPr="008C2DD3">
        <w:rPr>
          <w:rFonts w:cs="Times New Roman"/>
          <w:szCs w:val="26"/>
          <w:lang w:val="en-ZW"/>
        </w:rPr>
        <w:t xml:space="preserve">, with </w:t>
      </w:r>
      <w:r w:rsidRPr="008C2DD3" w:rsidR="00E70FB1">
        <w:rPr>
          <w:rFonts w:cs="Times New Roman"/>
          <w:szCs w:val="26"/>
          <w:lang w:val="en-ZW"/>
        </w:rPr>
        <w:t xml:space="preserve">accepted changes </w:t>
      </w:r>
      <w:r w:rsidRPr="008C2DD3">
        <w:rPr>
          <w:rFonts w:cs="Times New Roman"/>
          <w:szCs w:val="26"/>
          <w:lang w:val="en-ZW"/>
        </w:rPr>
        <w:t>coming</w:t>
      </w:r>
      <w:r w:rsidRPr="008C2DD3" w:rsidR="00E70FB1">
        <w:rPr>
          <w:rFonts w:cs="Times New Roman"/>
          <w:szCs w:val="26"/>
          <w:lang w:val="en-ZW"/>
        </w:rPr>
        <w:t xml:space="preserve"> into effect 30 days after Commission disposition</w:t>
      </w:r>
      <w:r w:rsidRPr="008C2DD3">
        <w:rPr>
          <w:rFonts w:cs="Times New Roman"/>
          <w:szCs w:val="26"/>
          <w:lang w:val="en-ZW"/>
        </w:rPr>
        <w:t xml:space="preserve"> of the advice letter</w:t>
      </w:r>
      <w:r w:rsidRPr="008C2DD3" w:rsidR="00E70FB1">
        <w:rPr>
          <w:rFonts w:cs="Times New Roman"/>
          <w:szCs w:val="26"/>
          <w:lang w:val="en-ZW"/>
        </w:rPr>
        <w:t>.</w:t>
      </w:r>
      <w:r w:rsidR="00E70FB1">
        <w:rPr>
          <w:rFonts w:ascii="Times New Roman" w:hAnsi="Times New Roman" w:cs="Times New Roman"/>
          <w:sz w:val="24"/>
          <w:szCs w:val="24"/>
          <w:lang w:val="en-ZW"/>
        </w:rPr>
        <w:t xml:space="preserve"> </w:t>
      </w:r>
      <w:r w:rsidR="003D1DF4">
        <w:rPr>
          <w:rFonts w:cs="Times New Roman"/>
          <w:szCs w:val="26"/>
          <w:lang w:val="en-ZW"/>
        </w:rPr>
        <w:t xml:space="preserve"> </w:t>
      </w:r>
    </w:p>
    <w:p w:rsidRPr="00BD33E5" w:rsidR="003D1DF4" w:rsidP="008C2DD3" w:rsidRDefault="003D1DF4" w14:paraId="606D227E" w14:textId="5E6C3F13">
      <w:pPr>
        <w:pStyle w:val="Standard"/>
        <w:rPr>
          <w:rFonts w:ascii="Times New Roman" w:hAnsi="Times New Roman" w:cs="Times New Roman"/>
          <w:sz w:val="24"/>
          <w:szCs w:val="24"/>
        </w:rPr>
      </w:pPr>
      <w:r>
        <w:rPr>
          <w:rFonts w:cs="Times New Roman"/>
          <w:szCs w:val="26"/>
          <w:lang w:val="en-ZW"/>
        </w:rPr>
        <w:t xml:space="preserve">The Commission </w:t>
      </w:r>
      <w:r w:rsidRPr="00B20771">
        <w:rPr>
          <w:rFonts w:cs="Times New Roman"/>
          <w:szCs w:val="26"/>
          <w:lang w:val="en-ZW"/>
        </w:rPr>
        <w:t xml:space="preserve">may consider </w:t>
      </w:r>
      <w:r w:rsidR="00583556">
        <w:rPr>
          <w:rFonts w:cs="Times New Roman"/>
          <w:szCs w:val="26"/>
          <w:lang w:val="en-ZW"/>
        </w:rPr>
        <w:t xml:space="preserve">an </w:t>
      </w:r>
      <w:r w:rsidRPr="00B20771">
        <w:rPr>
          <w:rFonts w:cs="Times New Roman"/>
          <w:szCs w:val="26"/>
          <w:lang w:val="en-ZW"/>
        </w:rPr>
        <w:t xml:space="preserve">extension of </w:t>
      </w:r>
      <w:r w:rsidR="000E2AF5">
        <w:rPr>
          <w:rFonts w:cs="Times New Roman"/>
          <w:szCs w:val="26"/>
          <w:lang w:val="en-ZW"/>
        </w:rPr>
        <w:t xml:space="preserve">the </w:t>
      </w:r>
      <w:r w:rsidRPr="00B20771">
        <w:rPr>
          <w:rFonts w:cs="Times New Roman"/>
          <w:szCs w:val="26"/>
          <w:lang w:val="en-ZW"/>
        </w:rPr>
        <w:t xml:space="preserve">TA </w:t>
      </w:r>
      <w:r w:rsidR="00090DCB">
        <w:rPr>
          <w:rFonts w:cs="Times New Roman"/>
          <w:szCs w:val="26"/>
          <w:lang w:val="en-ZW"/>
        </w:rPr>
        <w:t>P</w:t>
      </w:r>
      <w:r w:rsidRPr="00B20771">
        <w:rPr>
          <w:rFonts w:cs="Times New Roman"/>
          <w:szCs w:val="26"/>
          <w:lang w:val="en-ZW"/>
        </w:rPr>
        <w:t xml:space="preserve">rogram </w:t>
      </w:r>
      <w:r w:rsidR="001824D2">
        <w:rPr>
          <w:rFonts w:cs="Times New Roman"/>
          <w:szCs w:val="26"/>
          <w:lang w:val="en-ZW"/>
        </w:rPr>
        <w:t>in the future.</w:t>
      </w:r>
    </w:p>
    <w:p w:rsidR="00E9754F" w:rsidP="00A56675" w:rsidRDefault="00E9754F" w14:paraId="55EF4C26" w14:textId="7CEAA233">
      <w:pPr>
        <w:pStyle w:val="Heading3"/>
        <w:numPr>
          <w:ilvl w:val="1"/>
          <w:numId w:val="1"/>
        </w:numPr>
        <w:ind w:hanging="360"/>
      </w:pPr>
      <w:bookmarkStart w:name="_Toc208230318" w:id="16"/>
      <w:r>
        <w:t xml:space="preserve">Guidance on Incurred </w:t>
      </w:r>
      <w:r w:rsidR="00E86681">
        <w:t xml:space="preserve">Implementation </w:t>
      </w:r>
      <w:r>
        <w:t>Costs</w:t>
      </w:r>
      <w:bookmarkEnd w:id="16"/>
    </w:p>
    <w:p w:rsidR="00E9754F" w:rsidP="00E9754F" w:rsidRDefault="00E9754F" w14:paraId="584926E5" w14:textId="192E39EF">
      <w:pPr>
        <w:pStyle w:val="Standard"/>
      </w:pPr>
      <w:r>
        <w:t xml:space="preserve">Several parties requested guidance as to cost recovery for </w:t>
      </w:r>
      <w:r w:rsidRPr="00DC3D1A">
        <w:t xml:space="preserve">costs </w:t>
      </w:r>
      <w:r>
        <w:t xml:space="preserve">they </w:t>
      </w:r>
      <w:r w:rsidRPr="00DC3D1A">
        <w:t xml:space="preserve">incurred in </w:t>
      </w:r>
      <w:r>
        <w:t>implementing</w:t>
      </w:r>
      <w:r w:rsidRPr="00DC3D1A">
        <w:t xml:space="preserve"> the paused </w:t>
      </w:r>
      <w:r w:rsidR="00590EF6">
        <w:t>FC1</w:t>
      </w:r>
      <w:r>
        <w:t xml:space="preserve"> programs.</w:t>
      </w:r>
      <w:r>
        <w:rPr>
          <w:rStyle w:val="FootnoteReference"/>
        </w:rPr>
        <w:footnoteReference w:id="39"/>
      </w:r>
      <w:r>
        <w:t xml:space="preserve">  </w:t>
      </w:r>
      <w:r w:rsidR="001824D2">
        <w:t xml:space="preserve">SDG&amp;E and SCE </w:t>
      </w:r>
      <w:r w:rsidRPr="00DC3D1A">
        <w:t>request that the Commission reassess</w:t>
      </w:r>
      <w:r>
        <w:t xml:space="preserve"> the</w:t>
      </w:r>
      <w:r w:rsidRPr="00DC3D1A">
        <w:t xml:space="preserve"> cost recovery</w:t>
      </w:r>
      <w:r>
        <w:t xml:space="preserve"> for these implementation costs</w:t>
      </w:r>
      <w:r w:rsidRPr="00DC3D1A">
        <w:t>.</w:t>
      </w:r>
      <w:r>
        <w:rPr>
          <w:rStyle w:val="FootnoteReference"/>
        </w:rPr>
        <w:footnoteReference w:id="40"/>
      </w:r>
      <w:r w:rsidR="001824D2">
        <w:t xml:space="preserve"> </w:t>
      </w:r>
      <w:r w:rsidR="00163AE1">
        <w:t xml:space="preserve"> </w:t>
      </w:r>
      <w:r w:rsidR="001824D2">
        <w:t>No party opposes this request.</w:t>
      </w:r>
    </w:p>
    <w:p w:rsidRPr="00AB65AA" w:rsidR="00334CF4" w:rsidP="00334CF4" w:rsidRDefault="00E9754F" w14:paraId="575515DC" w14:textId="1D1A79D6">
      <w:pPr>
        <w:pStyle w:val="Standard"/>
      </w:pPr>
      <w:r>
        <w:t xml:space="preserve">Since we </w:t>
      </w:r>
      <w:r w:rsidR="00590EF6">
        <w:t>have paused</w:t>
      </w:r>
      <w:r>
        <w:t xml:space="preserve"> implementation of the </w:t>
      </w:r>
      <w:r w:rsidR="00590EF6">
        <w:t>FC1 BTM Rebate Program</w:t>
      </w:r>
      <w:r>
        <w:t xml:space="preserve">, we confirm that the </w:t>
      </w:r>
      <w:r w:rsidRPr="00AB65AA">
        <w:rPr>
          <w:lang w:val="en-ZW"/>
        </w:rPr>
        <w:t>Program Administrator should pause development of the program and</w:t>
      </w:r>
      <w:r>
        <w:rPr>
          <w:lang w:val="en-ZW"/>
        </w:rPr>
        <w:t xml:space="preserve"> additional</w:t>
      </w:r>
      <w:r w:rsidRPr="00AB65AA">
        <w:rPr>
          <w:lang w:val="en-ZW"/>
        </w:rPr>
        <w:t xml:space="preserve"> expenditures.</w:t>
      </w:r>
      <w:r>
        <w:rPr>
          <w:lang w:val="en-ZW"/>
        </w:rPr>
        <w:t xml:space="preserve">  We do not impose any additional cost </w:t>
      </w:r>
      <w:r>
        <w:rPr>
          <w:lang w:val="en-ZW"/>
        </w:rPr>
        <w:lastRenderedPageBreak/>
        <w:t xml:space="preserve">recovery requirements for the implementation costs incurred by the IOUs.  The </w:t>
      </w:r>
      <w:r w:rsidRPr="00AB65AA">
        <w:rPr>
          <w:lang w:val="en-ZW"/>
        </w:rPr>
        <w:t xml:space="preserve">IOUs </w:t>
      </w:r>
      <w:r>
        <w:rPr>
          <w:lang w:val="en-ZW"/>
        </w:rPr>
        <w:t xml:space="preserve">are authorized </w:t>
      </w:r>
      <w:r w:rsidRPr="00AB65AA">
        <w:rPr>
          <w:lang w:val="en-ZW"/>
        </w:rPr>
        <w:t xml:space="preserve">to recover </w:t>
      </w:r>
      <w:r>
        <w:rPr>
          <w:lang w:val="en-ZW"/>
        </w:rPr>
        <w:t xml:space="preserve">implementation </w:t>
      </w:r>
      <w:r w:rsidRPr="00AB65AA">
        <w:rPr>
          <w:lang w:val="en-ZW"/>
        </w:rPr>
        <w:t xml:space="preserve">costs incurred prior to the pause </w:t>
      </w:r>
      <w:r>
        <w:rPr>
          <w:lang w:val="en-ZW"/>
        </w:rPr>
        <w:t>with a c</w:t>
      </w:r>
      <w:proofErr w:type="spellStart"/>
      <w:r w:rsidRPr="00AB65AA">
        <w:t>ut</w:t>
      </w:r>
      <w:proofErr w:type="spellEnd"/>
      <w:r w:rsidRPr="00AB65AA">
        <w:t xml:space="preserve">-off date </w:t>
      </w:r>
      <w:r>
        <w:t>of</w:t>
      </w:r>
      <w:r w:rsidRPr="00AB65AA">
        <w:t xml:space="preserve"> </w:t>
      </w:r>
      <w:r>
        <w:t>30</w:t>
      </w:r>
      <w:r w:rsidRPr="00AB65AA">
        <w:rPr>
          <w:i/>
          <w:iCs/>
        </w:rPr>
        <w:t xml:space="preserve"> </w:t>
      </w:r>
      <w:r w:rsidRPr="00AB65AA">
        <w:t>days following the stop work order received by SCE</w:t>
      </w:r>
      <w:r>
        <w:t>.  The IOUs should record the i</w:t>
      </w:r>
      <w:r w:rsidRPr="00AB65AA">
        <w:t xml:space="preserve">mplementation costs up to the cut-off date in each </w:t>
      </w:r>
      <w:r>
        <w:t>of their</w:t>
      </w:r>
      <w:r w:rsidRPr="00AB65AA">
        <w:t xml:space="preserve"> </w:t>
      </w:r>
      <w:r w:rsidR="00590EF6">
        <w:t>FC1</w:t>
      </w:r>
      <w:r w:rsidRPr="00AB65AA">
        <w:t xml:space="preserve"> balancing accounts or </w:t>
      </w:r>
      <w:proofErr w:type="gramStart"/>
      <w:r w:rsidRPr="00AB65AA">
        <w:t>subaccount</w:t>
      </w:r>
      <w:proofErr w:type="gramEnd"/>
      <w:r w:rsidRPr="00AB65AA">
        <w:t xml:space="preserve"> within each IOU’s TE Balancing Account. </w:t>
      </w:r>
      <w:r>
        <w:t xml:space="preserve"> </w:t>
      </w:r>
      <w:r w:rsidRPr="00AB65AA" w:rsidR="0000179B">
        <w:t> </w:t>
      </w:r>
      <w:r w:rsidRPr="00334CF4" w:rsidR="0000179B">
        <w:t xml:space="preserve">SCE may transfer the balance associated with the implementation costs incurred prior to the pause of the FC1 programs in its Transportation Electrification Funding Program Balancing Account (TEFPBA) to the distribution sub-account of SCE’s </w:t>
      </w:r>
      <w:proofErr w:type="gramStart"/>
      <w:r w:rsidRPr="00334CF4" w:rsidR="0000179B">
        <w:t>Base Revenue</w:t>
      </w:r>
      <w:proofErr w:type="gramEnd"/>
      <w:r w:rsidRPr="00334CF4" w:rsidR="0000179B">
        <w:t xml:space="preserve"> Requirement Balancing Account (BRRBA) for recovery through customers distribution rates.</w:t>
      </w:r>
      <w:r w:rsidR="0000179B">
        <w:t xml:space="preserve">  </w:t>
      </w:r>
      <w:r w:rsidRPr="00AB65AA">
        <w:t xml:space="preserve">Account balances </w:t>
      </w:r>
      <w:r w:rsidRPr="00AB65AA">
        <w:rPr>
          <w:lang w:val="en-ZW"/>
        </w:rPr>
        <w:t xml:space="preserve">will be addressed during the Annual Electric Regulatory Account Balance Update filing, and </w:t>
      </w:r>
      <w:r w:rsidRPr="006D7CD7">
        <w:rPr>
          <w:lang w:val="en-ZW"/>
        </w:rPr>
        <w:t>termination</w:t>
      </w:r>
      <w:r w:rsidRPr="00AB65AA">
        <w:rPr>
          <w:lang w:val="en-ZW"/>
        </w:rPr>
        <w:t xml:space="preserve"> can be addressed in the next applicable </w:t>
      </w:r>
      <w:r>
        <w:rPr>
          <w:lang w:val="en-ZW"/>
        </w:rPr>
        <w:t xml:space="preserve">general rate case proceeding </w:t>
      </w:r>
      <w:r w:rsidRPr="00AB65AA">
        <w:rPr>
          <w:lang w:val="en-ZW"/>
        </w:rPr>
        <w:t>or another proceeding. </w:t>
      </w:r>
    </w:p>
    <w:p w:rsidRPr="00410377" w:rsidR="008D3050" w:rsidP="00A56675" w:rsidRDefault="008D3050" w14:paraId="5879CC6A" w14:textId="5C50398C">
      <w:pPr>
        <w:pStyle w:val="Heading3"/>
        <w:numPr>
          <w:ilvl w:val="1"/>
          <w:numId w:val="1"/>
        </w:numPr>
        <w:ind w:hanging="360"/>
      </w:pPr>
      <w:bookmarkStart w:name="_Toc208230319" w:id="17"/>
      <w:r w:rsidRPr="00410377">
        <w:t>Funding Cycle Zero</w:t>
      </w:r>
      <w:bookmarkEnd w:id="17"/>
    </w:p>
    <w:p w:rsidR="00410377" w:rsidP="003D3A48" w:rsidRDefault="00125D4B" w14:paraId="60BBCCC4" w14:textId="7E7D1591">
      <w:pPr>
        <w:pStyle w:val="Standard"/>
      </w:pPr>
      <w:proofErr w:type="spellStart"/>
      <w:r w:rsidRPr="00410377">
        <w:t>Voltera</w:t>
      </w:r>
      <w:proofErr w:type="spellEnd"/>
      <w:r w:rsidRPr="00410377">
        <w:t xml:space="preserve">, PACT, and EV Realty </w:t>
      </w:r>
      <w:r w:rsidRPr="00410377" w:rsidR="000842D3">
        <w:t xml:space="preserve">propose modifications to the FC0 programs, </w:t>
      </w:r>
      <w:r w:rsidRPr="00410377" w:rsidR="00AB06B4">
        <w:t>rais</w:t>
      </w:r>
      <w:r w:rsidRPr="00410377" w:rsidR="000842D3">
        <w:t>ing</w:t>
      </w:r>
      <w:r w:rsidRPr="00410377" w:rsidR="00AB06B4">
        <w:t xml:space="preserve"> concerns </w:t>
      </w:r>
      <w:r w:rsidRPr="00410377">
        <w:t>in reply comments that requiring a vehicle purchase for every port deployed in the FC0 medium- and heavy-duty (MDHD) programs is inefficient and creates barriers to participation of charging infrastructure-as-a-service providers.</w:t>
      </w:r>
      <w:r w:rsidRPr="00410377">
        <w:rPr>
          <w:rStyle w:val="FootnoteReference"/>
        </w:rPr>
        <w:footnoteReference w:id="41"/>
      </w:r>
      <w:r w:rsidRPr="00410377">
        <w:t xml:space="preserve">  </w:t>
      </w:r>
      <w:r w:rsidRPr="00410377" w:rsidR="00A656E9">
        <w:t>We agree and</w:t>
      </w:r>
      <w:r w:rsidRPr="00410377">
        <w:t xml:space="preserve"> adopt </w:t>
      </w:r>
      <w:proofErr w:type="spellStart"/>
      <w:r w:rsidRPr="00410377">
        <w:t>Voltera’s</w:t>
      </w:r>
      <w:proofErr w:type="spellEnd"/>
      <w:r w:rsidRPr="00410377">
        <w:t xml:space="preserve"> recommendation to remove the vehicle purchase requirement for the FC0 MDHD programs</w:t>
      </w:r>
      <w:r w:rsidR="004118FE">
        <w:t xml:space="preserve"> going forward.  These programs </w:t>
      </w:r>
      <w:proofErr w:type="gramStart"/>
      <w:r w:rsidR="004118FE">
        <w:t>include</w:t>
      </w:r>
      <w:r w:rsidRPr="00410377">
        <w:t>:</w:t>
      </w:r>
      <w:proofErr w:type="gramEnd"/>
      <w:r w:rsidRPr="00410377">
        <w:t xml:space="preserve"> PG&amp;E’s EV Fleet program, SCE’s Charge Ready Transport program, and SDG&amp;E’s Power Your Drive for Fleets program.  </w:t>
      </w:r>
    </w:p>
    <w:p w:rsidR="00125D4B" w:rsidP="003D3A48" w:rsidRDefault="00125D4B" w14:paraId="132D8C66" w14:textId="361863DC">
      <w:pPr>
        <w:pStyle w:val="Standard"/>
      </w:pPr>
      <w:r w:rsidRPr="00410377">
        <w:t xml:space="preserve">While these business models were not envisioned when the FC0 MDHD programs were authorized by Commission, these charging-as-a-service </w:t>
      </w:r>
      <w:r w:rsidRPr="00410377">
        <w:lastRenderedPageBreak/>
        <w:t xml:space="preserve">providers develop sites that are intended to serve multiple fleets and have high utilization.  Therefore, we find this modification aligns with the goal of preventing stranded assets that motivated the Commission’s original two vehicle purchase </w:t>
      </w:r>
      <w:proofErr w:type="gramStart"/>
      <w:r w:rsidRPr="00410377">
        <w:t>requirement</w:t>
      </w:r>
      <w:proofErr w:type="gramEnd"/>
      <w:r w:rsidRPr="00410377">
        <w:t>.  Also, the IOUs will still be required to meet the FC0 program site and vehicle per se reasonableness metrics established in D.18-05-040 and D.19-08-026, which provide additional ratepayer protections</w:t>
      </w:r>
      <w:r w:rsidRPr="00410377" w:rsidR="00410377">
        <w:t>.</w:t>
      </w:r>
    </w:p>
    <w:p w:rsidRPr="00410377" w:rsidR="00E36DB0" w:rsidP="003D3A48" w:rsidRDefault="003E5A2E" w14:paraId="4A333FDB" w14:textId="2EA90C99">
      <w:pPr>
        <w:pStyle w:val="Standard"/>
      </w:pPr>
      <w:proofErr w:type="gramStart"/>
      <w:r>
        <w:t>For the purpose of</w:t>
      </w:r>
      <w:proofErr w:type="gramEnd"/>
      <w:r>
        <w:t xml:space="preserve"> tracking progress towards </w:t>
      </w:r>
      <w:r w:rsidRPr="00C07607">
        <w:rPr>
          <w:i/>
          <w:iCs/>
        </w:rPr>
        <w:t>per se</w:t>
      </w:r>
      <w:r>
        <w:t xml:space="preserve"> reasonableness metrics, f</w:t>
      </w:r>
      <w:r w:rsidR="001872D8">
        <w:t xml:space="preserve">or sites where customers are purchasing vehicles, IOUs shall attribute vehicles electrified according to existing rules and </w:t>
      </w:r>
      <w:r>
        <w:t>practices</w:t>
      </w:r>
      <w:r w:rsidR="001872D8">
        <w:t xml:space="preserve">. </w:t>
      </w:r>
      <w:r w:rsidR="000A23A9">
        <w:t xml:space="preserve"> </w:t>
      </w:r>
      <w:proofErr w:type="gramStart"/>
      <w:r w:rsidRPr="00E36DB0" w:rsidR="00E36DB0">
        <w:t>For</w:t>
      </w:r>
      <w:r w:rsidR="001872D8">
        <w:t xml:space="preserve"> </w:t>
      </w:r>
      <w:r>
        <w:t>the purpose of</w:t>
      </w:r>
      <w:proofErr w:type="gramEnd"/>
      <w:r>
        <w:t xml:space="preserve"> attributing vehicles electrified at </w:t>
      </w:r>
      <w:r w:rsidR="001872D8">
        <w:t>charging-as-a-service</w:t>
      </w:r>
      <w:r w:rsidRPr="00E36DB0" w:rsidR="00E36DB0">
        <w:t xml:space="preserve"> sites where customers are not directly purchasing vehicles, the IOUs shall consult with their </w:t>
      </w:r>
      <w:r w:rsidR="00E36DB0">
        <w:t>t</w:t>
      </w:r>
      <w:r w:rsidRPr="00E36DB0" w:rsidR="00E36DB0">
        <w:t>hird-</w:t>
      </w:r>
      <w:r w:rsidR="00E36DB0">
        <w:t>p</w:t>
      </w:r>
      <w:r w:rsidRPr="00E36DB0" w:rsidR="00E36DB0">
        <w:t>arty evaluator and Program Advisory Councils (PACs) to determine an appropriate vehicle-per-port ratio.</w:t>
      </w:r>
      <w:r w:rsidR="00E36DB0">
        <w:t xml:space="preserve">  The</w:t>
      </w:r>
      <w:r w:rsidRPr="00E36DB0" w:rsidR="00E36DB0">
        <w:t xml:space="preserve"> IOUs shall file a Tier 1 AL letter documenting this ratio with the Commission within 30 days of presenting this information at their next PAC meeting following the issuance of this </w:t>
      </w:r>
      <w:r w:rsidR="00E36DB0">
        <w:t>d</w:t>
      </w:r>
      <w:r w:rsidRPr="00E36DB0" w:rsidR="00E36DB0">
        <w:t>ecision. </w:t>
      </w:r>
    </w:p>
    <w:p w:rsidRPr="00410377" w:rsidR="003D3A48" w:rsidP="003D3A48" w:rsidRDefault="007100F5" w14:paraId="365909EA" w14:textId="43582374">
      <w:pPr>
        <w:pStyle w:val="Standard"/>
      </w:pPr>
      <w:r w:rsidRPr="00410377">
        <w:t xml:space="preserve">FC0 programs are currently authorized to continue until December 31, 2026. </w:t>
      </w:r>
      <w:r>
        <w:t xml:space="preserve"> </w:t>
      </w:r>
      <w:r w:rsidRPr="00410377" w:rsidR="00924ACC">
        <w:t xml:space="preserve">SDG&amp;E and SCE </w:t>
      </w:r>
      <w:r w:rsidRPr="00410377" w:rsidR="008D3050">
        <w:t xml:space="preserve">propose </w:t>
      </w:r>
      <w:r w:rsidRPr="00410377" w:rsidR="008B5234">
        <w:t>extensions</w:t>
      </w:r>
      <w:r w:rsidRPr="00410377" w:rsidR="008D3050">
        <w:t xml:space="preserve"> to the Funding Cycle Zero </w:t>
      </w:r>
      <w:r w:rsidRPr="00410377" w:rsidR="00590EF6">
        <w:t xml:space="preserve">(FC0) </w:t>
      </w:r>
      <w:r w:rsidRPr="00410377" w:rsidR="008D3050">
        <w:t xml:space="preserve">programs </w:t>
      </w:r>
      <w:r w:rsidRPr="00410377" w:rsidR="004D1BAB">
        <w:t xml:space="preserve">beyond December 31, </w:t>
      </w:r>
      <w:proofErr w:type="gramStart"/>
      <w:r w:rsidRPr="00410377" w:rsidR="004D1BAB">
        <w:t>2026</w:t>
      </w:r>
      <w:proofErr w:type="gramEnd"/>
      <w:r w:rsidRPr="00410377" w:rsidR="008D3050">
        <w:t xml:space="preserve"> </w:t>
      </w:r>
      <w:r w:rsidRPr="00410377" w:rsidR="00AF25AE">
        <w:t>if</w:t>
      </w:r>
      <w:r w:rsidRPr="00410377" w:rsidR="008D3050">
        <w:t xml:space="preserve"> </w:t>
      </w:r>
      <w:r w:rsidRPr="00410377" w:rsidR="00590EF6">
        <w:t>FC1</w:t>
      </w:r>
      <w:r w:rsidRPr="00410377" w:rsidR="008D3050">
        <w:t xml:space="preserve"> is paused.  SCE </w:t>
      </w:r>
      <w:r w:rsidRPr="00410377" w:rsidR="00924ACC">
        <w:t>asserts</w:t>
      </w:r>
      <w:r w:rsidRPr="00410377" w:rsidR="008D3050">
        <w:t xml:space="preserve"> that the Commission should extend the grace period for </w:t>
      </w:r>
      <w:r w:rsidRPr="00410377" w:rsidR="00590EF6">
        <w:t>FC0</w:t>
      </w:r>
      <w:r w:rsidRPr="00410377" w:rsidR="009933EE">
        <w:t xml:space="preserve"> </w:t>
      </w:r>
      <w:r w:rsidRPr="00410377" w:rsidR="008D3050">
        <w:t xml:space="preserve">programs until funding is exhausted.  SDG&amp;E similarly </w:t>
      </w:r>
      <w:r w:rsidRPr="00410377" w:rsidR="00924ACC">
        <w:t>indicates</w:t>
      </w:r>
      <w:r w:rsidRPr="00410377" w:rsidR="008D3050">
        <w:t xml:space="preserve"> that the </w:t>
      </w:r>
      <w:r w:rsidRPr="00410377" w:rsidR="00590EF6">
        <w:t>FC0</w:t>
      </w:r>
      <w:r w:rsidRPr="00410377" w:rsidR="009933EE">
        <w:t xml:space="preserve"> </w:t>
      </w:r>
      <w:r w:rsidRPr="00410377" w:rsidR="008D3050">
        <w:t xml:space="preserve">programs should be allowed to continue via a blanket extension or by request under the Commission’s Rules of Practice and Procedure. </w:t>
      </w:r>
      <w:r w:rsidRPr="00410377" w:rsidR="003D3A48">
        <w:t xml:space="preserve"> </w:t>
      </w:r>
      <w:r w:rsidRPr="00410377" w:rsidR="00924ACC">
        <w:t xml:space="preserve">Cal Advocates and TURN </w:t>
      </w:r>
      <w:r w:rsidRPr="00410377" w:rsidR="00FA6B1C">
        <w:t xml:space="preserve">oppose any extension of the deadlines for the </w:t>
      </w:r>
      <w:r w:rsidRPr="00410377" w:rsidR="00590EF6">
        <w:t>FC0</w:t>
      </w:r>
      <w:r w:rsidRPr="00410377" w:rsidR="00FA6B1C">
        <w:t xml:space="preserve"> programs.</w:t>
      </w:r>
      <w:r w:rsidRPr="00410377" w:rsidR="00FA6B1C">
        <w:rPr>
          <w:rStyle w:val="FootnoteReference"/>
        </w:rPr>
        <w:footnoteReference w:id="42"/>
      </w:r>
      <w:r w:rsidRPr="00410377" w:rsidR="003D3A48">
        <w:t xml:space="preserve"> </w:t>
      </w:r>
    </w:p>
    <w:p w:rsidR="00630069" w:rsidP="00410377" w:rsidRDefault="003D3A48" w14:paraId="4DEAF60F" w14:textId="4EF0A2C5">
      <w:pPr>
        <w:pStyle w:val="Standard"/>
      </w:pPr>
      <w:r w:rsidRPr="00410377">
        <w:lastRenderedPageBreak/>
        <w:t xml:space="preserve">We decline to </w:t>
      </w:r>
      <w:r w:rsidRPr="00410377" w:rsidR="000E2AF5">
        <w:t>extend the grace period for the FC0 programs</w:t>
      </w:r>
      <w:r w:rsidRPr="00410377">
        <w:t xml:space="preserve">.  As noted by TURN and Cal Advocates, the uptake for the </w:t>
      </w:r>
      <w:r w:rsidRPr="00410377" w:rsidR="000E2AF5">
        <w:t>FC0</w:t>
      </w:r>
      <w:r w:rsidRPr="00410377">
        <w:t xml:space="preserve"> programs has been slow.  We do not see the merit in making ratepayer funding available for additional time if there has not been sufficient customer interest to date.  </w:t>
      </w:r>
      <w:r w:rsidRPr="00410377" w:rsidR="002666B0">
        <w:t xml:space="preserve">Additionally, </w:t>
      </w:r>
      <w:r w:rsidRPr="00410377" w:rsidR="00E5720E">
        <w:t xml:space="preserve">there are existing </w:t>
      </w:r>
      <w:r w:rsidRPr="00410377" w:rsidR="002666B0">
        <w:t>non-ratepayer funded programs that incentivize the same infrastructure</w:t>
      </w:r>
      <w:r w:rsidRPr="00410377" w:rsidR="00891C69">
        <w:t>, including the Energy Infrastructure Incentives for Zero-Emission Commercial Vehicles (</w:t>
      </w:r>
      <w:proofErr w:type="spellStart"/>
      <w:r w:rsidRPr="00410377" w:rsidR="00891C69">
        <w:t>EnergIIZE</w:t>
      </w:r>
      <w:proofErr w:type="spellEnd"/>
      <w:r w:rsidRPr="00410377" w:rsidR="00891C69">
        <w:t xml:space="preserve"> Commercial Vehicles),</w:t>
      </w:r>
      <w:r w:rsidRPr="00410377" w:rsidR="002666B0">
        <w:t xml:space="preserve"> </w:t>
      </w:r>
      <w:r w:rsidRPr="00410377" w:rsidR="00891C69">
        <w:rPr>
          <w:szCs w:val="26"/>
        </w:rPr>
        <w:t>California Electric Vehicle Infrastructure Project (</w:t>
      </w:r>
      <w:proofErr w:type="spellStart"/>
      <w:r w:rsidRPr="00410377" w:rsidR="00891C69">
        <w:rPr>
          <w:szCs w:val="26"/>
        </w:rPr>
        <w:t>CALeVIP</w:t>
      </w:r>
      <w:proofErr w:type="spellEnd"/>
      <w:r w:rsidRPr="00410377" w:rsidR="00891C69">
        <w:rPr>
          <w:szCs w:val="26"/>
        </w:rPr>
        <w:t>),</w:t>
      </w:r>
      <w:r w:rsidRPr="00410377" w:rsidR="002666B0">
        <w:t xml:space="preserve"> </w:t>
      </w:r>
      <w:r w:rsidRPr="00410377" w:rsidR="00891C69">
        <w:t xml:space="preserve">and </w:t>
      </w:r>
      <w:r w:rsidRPr="00410377" w:rsidR="00891C69">
        <w:rPr>
          <w:szCs w:val="26"/>
        </w:rPr>
        <w:t>National Electric Vehicle Infrastructure (NEVI) Program</w:t>
      </w:r>
      <w:r w:rsidRPr="00410377" w:rsidR="002666B0">
        <w:t>)</w:t>
      </w:r>
      <w:r w:rsidRPr="00410377" w:rsidR="00891C69">
        <w:t xml:space="preserve">. </w:t>
      </w:r>
      <w:r w:rsidRPr="00410377" w:rsidR="00C848C6">
        <w:t xml:space="preserve"> The u</w:t>
      </w:r>
      <w:r w:rsidRPr="00410377" w:rsidR="00E5720E">
        <w:t xml:space="preserve">tilization of those programs after 2026 will </w:t>
      </w:r>
      <w:r w:rsidRPr="00410377" w:rsidR="00891C69">
        <w:t xml:space="preserve">also </w:t>
      </w:r>
      <w:r w:rsidRPr="00410377" w:rsidR="00E5720E">
        <w:t>address ongoing affordability issues.</w:t>
      </w:r>
      <w:r w:rsidRPr="00410377" w:rsidR="002666B0">
        <w:t xml:space="preserve"> </w:t>
      </w:r>
      <w:r w:rsidRPr="00410377" w:rsidR="00E5720E">
        <w:t xml:space="preserve"> Therefore, the </w:t>
      </w:r>
      <w:r w:rsidRPr="00410377" w:rsidR="000E2AF5">
        <w:t>FC0</w:t>
      </w:r>
      <w:r w:rsidRPr="00410377">
        <w:t xml:space="preserve"> programs should end </w:t>
      </w:r>
      <w:r w:rsidR="00757C25">
        <w:t>acc</w:t>
      </w:r>
      <w:r w:rsidR="00D46726">
        <w:t>eptance</w:t>
      </w:r>
      <w:r w:rsidRPr="00410377" w:rsidR="00757C25">
        <w:t xml:space="preserve"> </w:t>
      </w:r>
      <w:r w:rsidRPr="00410377">
        <w:t>of new customer</w:t>
      </w:r>
      <w:r w:rsidR="00D46726">
        <w:t xml:space="preserve"> agreements</w:t>
      </w:r>
      <w:r w:rsidR="009A2035">
        <w:t xml:space="preserve"> for any FC0 program</w:t>
      </w:r>
      <w:r w:rsidRPr="00410377">
        <w:t xml:space="preserve">s by December 31, 2026. </w:t>
      </w:r>
    </w:p>
    <w:p w:rsidR="00603238" w:rsidP="00E44B98" w:rsidRDefault="00603238" w14:paraId="58F46103" w14:textId="4D6A49B5">
      <w:pPr>
        <w:pStyle w:val="Heading1"/>
        <w:numPr>
          <w:ilvl w:val="0"/>
          <w:numId w:val="1"/>
        </w:numPr>
      </w:pPr>
      <w:bookmarkStart w:name="_Toc208230320" w:id="18"/>
      <w:bookmarkStart w:name="_Toc8123721" w:id="19"/>
      <w:r>
        <w:t>Summary of Public Comment</w:t>
      </w:r>
      <w:bookmarkEnd w:id="18"/>
    </w:p>
    <w:p w:rsidRPr="00603238" w:rsidR="00603238" w:rsidP="00603238" w:rsidRDefault="00730C7F" w14:paraId="09EFCAF7" w14:textId="25D4B696">
      <w:pPr>
        <w:pStyle w:val="Standard"/>
      </w:pPr>
      <w:r w:rsidRPr="00730C7F">
        <w:t xml:space="preserve">Rule 1.18 allows any member of the public to submit written comment in any Commission proceeding using the “Public Comment” tab of the online Docket Card for that proceeding on the Commission’s website.  </w:t>
      </w:r>
      <w:r w:rsidR="00825409">
        <w:t xml:space="preserve">Two substantive comments were submitted </w:t>
      </w:r>
      <w:r w:rsidR="00E47950">
        <w:t>that</w:t>
      </w:r>
      <w:r w:rsidR="00825409">
        <w:t xml:space="preserve"> urge the Commission to end the pause of the </w:t>
      </w:r>
      <w:r w:rsidR="00590EF6">
        <w:t>FC1 BTM Rebate Program</w:t>
      </w:r>
      <w:r>
        <w:rPr>
          <w:szCs w:val="26"/>
        </w:rPr>
        <w:t>.</w:t>
      </w:r>
      <w:r>
        <w:t xml:space="preserve"> </w:t>
      </w:r>
    </w:p>
    <w:p w:rsidR="005939A5" w:rsidP="0066691B" w:rsidRDefault="005939A5" w14:paraId="3C9DBBF6" w14:textId="77777777">
      <w:pPr>
        <w:pStyle w:val="Heading1"/>
        <w:numPr>
          <w:ilvl w:val="0"/>
          <w:numId w:val="1"/>
        </w:numPr>
      </w:pPr>
      <w:bookmarkStart w:name="_Toc8123723" w:id="20"/>
      <w:bookmarkStart w:name="_Toc208230321" w:id="21"/>
      <w:bookmarkEnd w:id="19"/>
      <w:r>
        <w:t>Comments on Proposed Decision</w:t>
      </w:r>
      <w:bookmarkEnd w:id="20"/>
      <w:bookmarkEnd w:id="21"/>
    </w:p>
    <w:p w:rsidR="005939A5" w:rsidP="005C58FA" w:rsidRDefault="005C58FA" w14:paraId="6A18D4BF" w14:textId="07F16F00">
      <w:pPr>
        <w:pStyle w:val="Standard"/>
      </w:pPr>
      <w:r w:rsidRPr="005059FA">
        <w:t xml:space="preserve">The proposed decision of </w:t>
      </w:r>
      <w:r w:rsidRPr="005059FA" w:rsidR="005059FA">
        <w:t>President Reynolds</w:t>
      </w:r>
      <w:r>
        <w:t xml:space="preserve"> in this matter was mailed to the parties in accordance with Section 311 of the Public Utilities Code and comments were allowed under Rule 14.3 of the Commission’s Rules of Practice and Procedure.  Comments were filed on </w:t>
      </w:r>
      <w:r w:rsidR="009B2BD6">
        <w:t>November 17, 2025</w:t>
      </w:r>
      <w:r w:rsidR="00195191">
        <w:t xml:space="preserve"> by </w:t>
      </w:r>
      <w:r w:rsidRPr="003B0950" w:rsidR="003B0950">
        <w:t>Alliance for Transportation Electrification (ATE)</w:t>
      </w:r>
      <w:r w:rsidR="00905B8F">
        <w:t>,</w:t>
      </w:r>
      <w:r w:rsidRPr="003B0950" w:rsidR="003B0950">
        <w:t xml:space="preserve"> </w:t>
      </w:r>
      <w:r w:rsidR="00195191">
        <w:t>CASMU, CSE, Joint CCAs,</w:t>
      </w:r>
      <w:r w:rsidR="002A416E">
        <w:t xml:space="preserve"> </w:t>
      </w:r>
      <w:r w:rsidR="000966F3">
        <w:t xml:space="preserve">Joint Commenters, </w:t>
      </w:r>
      <w:r w:rsidR="002A416E">
        <w:t>PG&amp;E,</w:t>
      </w:r>
      <w:r w:rsidR="00195191">
        <w:t xml:space="preserve"> SBUA</w:t>
      </w:r>
      <w:r w:rsidR="00487315">
        <w:t>, SCE</w:t>
      </w:r>
      <w:r w:rsidR="009627B5">
        <w:t>,</w:t>
      </w:r>
      <w:r w:rsidR="00195191">
        <w:t xml:space="preserve"> </w:t>
      </w:r>
      <w:r w:rsidR="00487315">
        <w:t>SDG&amp;E</w:t>
      </w:r>
      <w:r w:rsidR="009627B5">
        <w:t xml:space="preserve"> and </w:t>
      </w:r>
      <w:proofErr w:type="spellStart"/>
      <w:r w:rsidR="009627B5">
        <w:t>UCAN</w:t>
      </w:r>
      <w:r w:rsidR="00626957">
        <w:t>.R</w:t>
      </w:r>
      <w:r>
        <w:t>eply</w:t>
      </w:r>
      <w:proofErr w:type="spellEnd"/>
      <w:r>
        <w:t xml:space="preserve"> comments were filed </w:t>
      </w:r>
      <w:r w:rsidR="00626957">
        <w:t xml:space="preserve">by CALSTART </w:t>
      </w:r>
      <w:r w:rsidR="00962C3D">
        <w:t xml:space="preserve">and </w:t>
      </w:r>
      <w:proofErr w:type="spellStart"/>
      <w:r w:rsidR="00962C3D">
        <w:t>Voltera</w:t>
      </w:r>
      <w:proofErr w:type="spellEnd"/>
      <w:r w:rsidR="00962C3D">
        <w:t xml:space="preserve"> on </w:t>
      </w:r>
      <w:r w:rsidR="009B2BD6">
        <w:t>November 21, 2025</w:t>
      </w:r>
      <w:r w:rsidR="00962C3D">
        <w:t xml:space="preserve"> </w:t>
      </w:r>
      <w:r w:rsidR="00626957">
        <w:t xml:space="preserve">and </w:t>
      </w:r>
      <w:r w:rsidR="00384177">
        <w:t xml:space="preserve">by </w:t>
      </w:r>
      <w:proofErr w:type="spellStart"/>
      <w:r w:rsidR="00384177">
        <w:t>Acterra</w:t>
      </w:r>
      <w:proofErr w:type="spellEnd"/>
      <w:r w:rsidR="00384177">
        <w:t xml:space="preserve">, ATE, Cal </w:t>
      </w:r>
      <w:r w:rsidR="00384177">
        <w:lastRenderedPageBreak/>
        <w:t xml:space="preserve">Advocates, CSE, PG&amp;E, SCE, SDG&amp;E and VGIC </w:t>
      </w:r>
      <w:r w:rsidR="009B2BD6">
        <w:t>on November 24, 2025</w:t>
      </w:r>
      <w:r>
        <w:t>.</w:t>
      </w:r>
      <w:r w:rsidRPr="00C878D5" w:rsidR="00C878D5">
        <w:t xml:space="preserve"> </w:t>
      </w:r>
      <w:r w:rsidR="006472AF">
        <w:t xml:space="preserve"> </w:t>
      </w:r>
      <w:r w:rsidRPr="006472AF" w:rsidR="006472AF">
        <w:t xml:space="preserve">We have considered the comments </w:t>
      </w:r>
      <w:r w:rsidR="002A07BD">
        <w:t xml:space="preserve">within the scope of the proposed decision </w:t>
      </w:r>
      <w:r w:rsidRPr="006472AF" w:rsidR="006472AF">
        <w:t>and made modifications as appropriate.</w:t>
      </w:r>
    </w:p>
    <w:p w:rsidR="005939A5" w:rsidP="0066691B" w:rsidRDefault="005939A5" w14:paraId="55A699C6" w14:textId="76A4AB77">
      <w:pPr>
        <w:pStyle w:val="Heading1"/>
        <w:numPr>
          <w:ilvl w:val="0"/>
          <w:numId w:val="1"/>
        </w:numPr>
      </w:pPr>
      <w:bookmarkStart w:name="_Toc8123724" w:id="22"/>
      <w:bookmarkStart w:name="_Toc208230322" w:id="23"/>
      <w:r>
        <w:t>Assignment of Proceeding</w:t>
      </w:r>
      <w:bookmarkEnd w:id="22"/>
      <w:bookmarkEnd w:id="23"/>
    </w:p>
    <w:p w:rsidR="005939A5" w:rsidP="006E6574" w:rsidRDefault="005059FA" w14:paraId="73661A77" w14:textId="627916FE">
      <w:pPr>
        <w:pStyle w:val="Standard"/>
      </w:pPr>
      <w:r>
        <w:t>Alice Reynolds</w:t>
      </w:r>
      <w:r w:rsidR="005939A5">
        <w:t xml:space="preserve"> is the assigned Commissioner and </w:t>
      </w:r>
      <w:r>
        <w:t>Marcelo Lins Poirier and Colin Rizzo are</w:t>
      </w:r>
      <w:r w:rsidR="005939A5">
        <w:t xml:space="preserve"> the assigned Administrative Law Judge</w:t>
      </w:r>
      <w:r>
        <w:t>s</w:t>
      </w:r>
      <w:r w:rsidR="005939A5">
        <w:t xml:space="preserve"> in this proceeding.</w:t>
      </w:r>
    </w:p>
    <w:p w:rsidR="005939A5" w:rsidP="005939A5" w:rsidRDefault="005939A5" w14:paraId="2F1249C2" w14:textId="77777777">
      <w:pPr>
        <w:pStyle w:val="Dummy"/>
      </w:pPr>
      <w:bookmarkStart w:name="_Toc8123725" w:id="24"/>
      <w:bookmarkStart w:name="_Toc208230323" w:id="25"/>
      <w:r>
        <w:t>Findings of Fact</w:t>
      </w:r>
      <w:bookmarkEnd w:id="24"/>
      <w:bookmarkEnd w:id="25"/>
    </w:p>
    <w:p w:rsidR="00FB6241" w:rsidP="001E2A62" w:rsidRDefault="00FB6241" w14:paraId="73955D8F" w14:textId="28E8F2C5">
      <w:pPr>
        <w:pStyle w:val="FoF"/>
      </w:pPr>
      <w:r>
        <w:t xml:space="preserve">The Commission paused the </w:t>
      </w:r>
      <w:r w:rsidR="00590EF6">
        <w:t xml:space="preserve">FC1 BTM Rebate </w:t>
      </w:r>
      <w:r>
        <w:t>and LITE programs on</w:t>
      </w:r>
      <w:r w:rsidR="00A56675">
        <w:br/>
      </w:r>
      <w:r>
        <w:t xml:space="preserve">June 3, </w:t>
      </w:r>
      <w:proofErr w:type="gramStart"/>
      <w:r>
        <w:t>2024</w:t>
      </w:r>
      <w:proofErr w:type="gramEnd"/>
      <w:r>
        <w:t xml:space="preserve"> pending a reassessment of those programs.</w:t>
      </w:r>
    </w:p>
    <w:p w:rsidR="001010BA" w:rsidP="001010BA" w:rsidRDefault="001010BA" w14:paraId="21C89F6A" w14:textId="1E9BD89A">
      <w:pPr>
        <w:pStyle w:val="FoF"/>
      </w:pPr>
      <w:r w:rsidRPr="00361300">
        <w:t xml:space="preserve">The objective of the </w:t>
      </w:r>
      <w:r>
        <w:t>d</w:t>
      </w:r>
      <w:r w:rsidRPr="00361300">
        <w:t xml:space="preserve">ata </w:t>
      </w:r>
      <w:r w:rsidR="005F7C1D">
        <w:t>gathering and reporting</w:t>
      </w:r>
      <w:r w:rsidRPr="00361300">
        <w:t xml:space="preserve"> structure </w:t>
      </w:r>
      <w:r>
        <w:t xml:space="preserve">adopted </w:t>
      </w:r>
      <w:r w:rsidR="00163AE1">
        <w:t>by</w:t>
      </w:r>
      <w:r>
        <w:t xml:space="preserve"> D.22-11-022 </w:t>
      </w:r>
      <w:r w:rsidRPr="00361300">
        <w:t xml:space="preserve">was to streamline existing reporting requirements, minimize unnecessary or duplicative reports, and inform </w:t>
      </w:r>
      <w:r w:rsidR="00590EF6">
        <w:t>FC1 BTM Rebate Program</w:t>
      </w:r>
      <w:r w:rsidRPr="00361300">
        <w:t xml:space="preserve"> reporting requirements since various</w:t>
      </w:r>
      <w:r w:rsidRPr="00361300">
        <w:rPr>
          <w:bCs/>
        </w:rPr>
        <w:t xml:space="preserve"> </w:t>
      </w:r>
      <w:r w:rsidRPr="00361300">
        <w:t xml:space="preserve">decisions and rulings have required some form of data gathering and reporting for TE issues.  </w:t>
      </w:r>
    </w:p>
    <w:p w:rsidR="001010BA" w:rsidP="001010BA" w:rsidRDefault="001010BA" w14:paraId="04644E5D" w14:textId="77777777">
      <w:pPr>
        <w:pStyle w:val="FoF"/>
      </w:pPr>
      <w:r>
        <w:t>Various</w:t>
      </w:r>
      <w:r w:rsidRPr="00361300">
        <w:rPr>
          <w:b/>
          <w:bCs/>
        </w:rPr>
        <w:t xml:space="preserve"> </w:t>
      </w:r>
      <w:r w:rsidRPr="00361300">
        <w:t xml:space="preserve">decisions and rulings </w:t>
      </w:r>
      <w:r>
        <w:t xml:space="preserve">related to TE </w:t>
      </w:r>
      <w:r w:rsidRPr="00361300">
        <w:t>have required some form of data gathering and reporting</w:t>
      </w:r>
      <w:r>
        <w:t>.</w:t>
      </w:r>
    </w:p>
    <w:p w:rsidR="001010BA" w:rsidP="001010BA" w:rsidRDefault="001010BA" w14:paraId="171EEF39" w14:textId="77777777">
      <w:pPr>
        <w:pStyle w:val="FoF"/>
      </w:pPr>
      <w:r>
        <w:t>U</w:t>
      </w:r>
      <w:r w:rsidRPr="00361300">
        <w:t xml:space="preserve">tilizing </w:t>
      </w:r>
      <w:r>
        <w:t>a</w:t>
      </w:r>
      <w:r w:rsidRPr="00361300">
        <w:t xml:space="preserve"> consolidated</w:t>
      </w:r>
      <w:r>
        <w:t xml:space="preserve"> and</w:t>
      </w:r>
      <w:r w:rsidRPr="00361300">
        <w:t xml:space="preserve"> comprehensive </w:t>
      </w:r>
      <w:r>
        <w:t>annual</w:t>
      </w:r>
      <w:r w:rsidRPr="00361300">
        <w:t xml:space="preserve"> report </w:t>
      </w:r>
      <w:r>
        <w:t xml:space="preserve">for TE </w:t>
      </w:r>
      <w:r w:rsidRPr="00361300">
        <w:t>will eliminate unnecessary and overlapping requirements, while ensuring that</w:t>
      </w:r>
      <w:r>
        <w:t xml:space="preserve"> the</w:t>
      </w:r>
      <w:r w:rsidRPr="00361300">
        <w:t xml:space="preserve"> reporting </w:t>
      </w:r>
      <w:r>
        <w:t xml:space="preserve">efficiently </w:t>
      </w:r>
      <w:r w:rsidRPr="00361300">
        <w:t xml:space="preserve">meets the Commission’s </w:t>
      </w:r>
      <w:r>
        <w:t>requirements.</w:t>
      </w:r>
    </w:p>
    <w:p w:rsidRPr="00792A4D" w:rsidR="001010BA" w:rsidP="001010BA" w:rsidRDefault="001010BA" w14:paraId="18CC2258" w14:textId="77777777">
      <w:pPr>
        <w:pStyle w:val="FoF"/>
      </w:pPr>
      <w:r w:rsidRPr="00BC0EAC">
        <w:rPr>
          <w:szCs w:val="26"/>
        </w:rPr>
        <w:t xml:space="preserve">An expanded </w:t>
      </w:r>
      <w:proofErr w:type="spellStart"/>
      <w:r w:rsidRPr="00BC0EAC">
        <w:rPr>
          <w:szCs w:val="26"/>
        </w:rPr>
        <w:t>stocktake</w:t>
      </w:r>
      <w:proofErr w:type="spellEnd"/>
      <w:r w:rsidRPr="00BC0EAC">
        <w:rPr>
          <w:szCs w:val="26"/>
        </w:rPr>
        <w:t xml:space="preserve"> is not necessary to ensure </w:t>
      </w:r>
      <w:r>
        <w:rPr>
          <w:szCs w:val="26"/>
        </w:rPr>
        <w:t xml:space="preserve">the proper authorization of </w:t>
      </w:r>
      <w:r w:rsidRPr="00BC0EAC">
        <w:rPr>
          <w:szCs w:val="26"/>
        </w:rPr>
        <w:t>additional ratepayer dollars</w:t>
      </w:r>
      <w:r>
        <w:rPr>
          <w:szCs w:val="26"/>
        </w:rPr>
        <w:t>.</w:t>
      </w:r>
    </w:p>
    <w:p w:rsidRPr="001E2A62" w:rsidR="001010BA" w:rsidP="001010BA" w:rsidRDefault="001010BA" w14:paraId="6A4E4C21" w14:textId="5D7F7538">
      <w:pPr>
        <w:pStyle w:val="FoF"/>
      </w:pPr>
      <w:r>
        <w:rPr>
          <w:szCs w:val="26"/>
        </w:rPr>
        <w:t>S</w:t>
      </w:r>
      <w:r w:rsidRPr="00BC0EAC">
        <w:rPr>
          <w:szCs w:val="26"/>
        </w:rPr>
        <w:t xml:space="preserve">takeholders can utilize the TE Compliance and Initiatives Report to evaluate affordability moving forward.  </w:t>
      </w:r>
    </w:p>
    <w:p w:rsidR="001010BA" w:rsidP="001010BA" w:rsidRDefault="001010BA" w14:paraId="40DABDDA" w14:textId="2855A72A">
      <w:pPr>
        <w:pStyle w:val="FoF"/>
      </w:pPr>
      <w:r>
        <w:t>D.22-11</w:t>
      </w:r>
      <w:r w:rsidR="00163AE1">
        <w:t>-</w:t>
      </w:r>
      <w:r>
        <w:t xml:space="preserve">022 </w:t>
      </w:r>
      <w:r w:rsidR="00163AE1">
        <w:t xml:space="preserve">authorized </w:t>
      </w:r>
      <w:r>
        <w:t xml:space="preserve">$36 million </w:t>
      </w:r>
      <w:r w:rsidR="00163AE1">
        <w:t xml:space="preserve">for a </w:t>
      </w:r>
      <w:r>
        <w:t xml:space="preserve">TA Program </w:t>
      </w:r>
      <w:r w:rsidR="00163AE1">
        <w:t xml:space="preserve">linked </w:t>
      </w:r>
      <w:r>
        <w:t>to the TE Rebate Program.</w:t>
      </w:r>
    </w:p>
    <w:p w:rsidR="001010BA" w:rsidP="001010BA" w:rsidRDefault="001010BA" w14:paraId="000C0F49" w14:textId="73E56534">
      <w:pPr>
        <w:pStyle w:val="FoF"/>
      </w:pPr>
      <w:r>
        <w:lastRenderedPageBreak/>
        <w:t xml:space="preserve">The TA Program can provide value independent of the </w:t>
      </w:r>
      <w:r w:rsidR="00590EF6">
        <w:t>FC1 BTM Rebate Program</w:t>
      </w:r>
      <w:r>
        <w:t>.</w:t>
      </w:r>
    </w:p>
    <w:p w:rsidRPr="003D3A48" w:rsidR="003D3A48" w:rsidP="001010BA" w:rsidRDefault="001010BA" w14:paraId="328328E8" w14:textId="77777777">
      <w:pPr>
        <w:pStyle w:val="FoF"/>
      </w:pPr>
      <w:r>
        <w:t xml:space="preserve">The IOUs incurred </w:t>
      </w:r>
      <w:r>
        <w:rPr>
          <w:lang w:val="en-ZW"/>
        </w:rPr>
        <w:t xml:space="preserve">implementation </w:t>
      </w:r>
      <w:r w:rsidRPr="00AB65AA">
        <w:rPr>
          <w:lang w:val="en-ZW"/>
        </w:rPr>
        <w:t xml:space="preserve">costs prior to the pause </w:t>
      </w:r>
      <w:r>
        <w:rPr>
          <w:lang w:val="en-ZW"/>
        </w:rPr>
        <w:t>of the programs.</w:t>
      </w:r>
    </w:p>
    <w:p w:rsidRPr="007B5204" w:rsidR="001010BA" w:rsidP="001010BA" w:rsidRDefault="003D3A48" w14:paraId="14F77771" w14:textId="4ABE2562">
      <w:pPr>
        <w:pStyle w:val="FoF"/>
      </w:pPr>
      <w:r>
        <w:t>U</w:t>
      </w:r>
      <w:r w:rsidRPr="008D3050">
        <w:t xml:space="preserve">ptake for the </w:t>
      </w:r>
      <w:r w:rsidR="000E2AF5">
        <w:t>FC0</w:t>
      </w:r>
      <w:r w:rsidRPr="008D3050">
        <w:t xml:space="preserve"> programs has been </w:t>
      </w:r>
      <w:r>
        <w:t>limited.</w:t>
      </w:r>
      <w:r w:rsidR="001010BA">
        <w:rPr>
          <w:lang w:val="en-ZW"/>
        </w:rPr>
        <w:t xml:space="preserve"> </w:t>
      </w:r>
    </w:p>
    <w:p w:rsidRPr="00297E7D" w:rsidR="007B5204" w:rsidP="001010BA" w:rsidRDefault="007B5204" w14:paraId="7D78E533" w14:textId="009BFFB2">
      <w:pPr>
        <w:pStyle w:val="FoF"/>
      </w:pPr>
      <w:r w:rsidRPr="00297E7D">
        <w:t xml:space="preserve">Requiring a </w:t>
      </w:r>
      <w:r w:rsidRPr="00297E7D" w:rsidR="003453B0">
        <w:t xml:space="preserve">vehicle </w:t>
      </w:r>
      <w:r w:rsidRPr="00297E7D">
        <w:t>purchase for every port deployed in the FC0 MDHD programs creates barriers to participation of charging infrastructure-as-a-service providers</w:t>
      </w:r>
      <w:r w:rsidRPr="00297E7D" w:rsidR="00FC6806">
        <w:t>.</w:t>
      </w:r>
    </w:p>
    <w:p w:rsidR="005939A5" w:rsidP="005939A5" w:rsidRDefault="005939A5" w14:paraId="4A76BDE8" w14:textId="77777777">
      <w:pPr>
        <w:pStyle w:val="Dummy"/>
      </w:pPr>
      <w:bookmarkStart w:name="_Toc8123726" w:id="26"/>
      <w:bookmarkStart w:name="_Toc208230324" w:id="27"/>
      <w:r>
        <w:t>Conclusions of Law</w:t>
      </w:r>
      <w:bookmarkEnd w:id="26"/>
      <w:bookmarkEnd w:id="27"/>
    </w:p>
    <w:p w:rsidR="001010BA" w:rsidP="001010BA" w:rsidRDefault="007644BD" w14:paraId="127111B1" w14:textId="47DD7A37">
      <w:pPr>
        <w:pStyle w:val="CoL"/>
      </w:pPr>
      <w:r>
        <w:t xml:space="preserve">Current </w:t>
      </w:r>
      <w:r w:rsidR="001010BA">
        <w:t>TE data gathering and reporting requirements should be streamlined and consolidated.</w:t>
      </w:r>
    </w:p>
    <w:p w:rsidRPr="001E2A62" w:rsidR="001010BA" w:rsidP="001010BA" w:rsidRDefault="001010BA" w14:paraId="16C07B76" w14:textId="6084FB5B">
      <w:pPr>
        <w:pStyle w:val="CoL"/>
      </w:pPr>
      <w:r>
        <w:t xml:space="preserve">The various required TE data reports should be consolidated into a </w:t>
      </w:r>
      <w:r w:rsidRPr="00361300">
        <w:t xml:space="preserve">comprehensive </w:t>
      </w:r>
      <w:r>
        <w:t xml:space="preserve">annual </w:t>
      </w:r>
      <w:r w:rsidRPr="00361300">
        <w:t>report</w:t>
      </w:r>
      <w:r w:rsidR="00A04CF6">
        <w:t xml:space="preserve">.  </w:t>
      </w:r>
      <w:r w:rsidRPr="00B854AF" w:rsidR="00676E0E">
        <w:t xml:space="preserve">For the first year of implementation, the report </w:t>
      </w:r>
      <w:r w:rsidR="00676E0E">
        <w:t>should</w:t>
      </w:r>
      <w:r w:rsidRPr="00B854AF" w:rsidR="00676E0E">
        <w:t xml:space="preserve"> be due on September 30, </w:t>
      </w:r>
      <w:proofErr w:type="gramStart"/>
      <w:r w:rsidRPr="00B854AF" w:rsidR="00676E0E">
        <w:t>2026</w:t>
      </w:r>
      <w:proofErr w:type="gramEnd"/>
      <w:r w:rsidRPr="00B854AF" w:rsidR="00676E0E">
        <w:t xml:space="preserve"> to allow for sufficient time to finalize and implement these reporting changes. </w:t>
      </w:r>
      <w:r w:rsidR="00676E0E">
        <w:t xml:space="preserve"> </w:t>
      </w:r>
      <w:r w:rsidRPr="00B854AF" w:rsidR="00676E0E">
        <w:t xml:space="preserve">For 2027 and subsequent years, the report </w:t>
      </w:r>
      <w:r w:rsidR="00676E0E">
        <w:t>should</w:t>
      </w:r>
      <w:r w:rsidRPr="00B854AF" w:rsidR="00676E0E">
        <w:t xml:space="preserve"> be due on June 30</w:t>
      </w:r>
      <w:r w:rsidRPr="00B854AF" w:rsidR="00676E0E">
        <w:rPr>
          <w:vertAlign w:val="superscript"/>
        </w:rPr>
        <w:t>th</w:t>
      </w:r>
      <w:r w:rsidRPr="00B854AF" w:rsidR="00676E0E">
        <w:t>.</w:t>
      </w:r>
      <w:r w:rsidR="00676E0E">
        <w:t xml:space="preserve">  </w:t>
      </w:r>
    </w:p>
    <w:p w:rsidRPr="00E00A08" w:rsidR="001010BA" w:rsidP="001010BA" w:rsidRDefault="001010BA" w14:paraId="714D0E45" w14:textId="77777777">
      <w:pPr>
        <w:pStyle w:val="CoL"/>
      </w:pPr>
      <w:r>
        <w:t xml:space="preserve"> </w:t>
      </w:r>
      <w:r>
        <w:rPr>
          <w:szCs w:val="26"/>
        </w:rPr>
        <w:t>The</w:t>
      </w:r>
      <w:r w:rsidRPr="00BC0EAC">
        <w:rPr>
          <w:szCs w:val="26"/>
        </w:rPr>
        <w:t xml:space="preserve"> annual VGI </w:t>
      </w:r>
      <w:proofErr w:type="spellStart"/>
      <w:r w:rsidRPr="00BC0EAC">
        <w:rPr>
          <w:szCs w:val="26"/>
        </w:rPr>
        <w:t>stocktake</w:t>
      </w:r>
      <w:proofErr w:type="spellEnd"/>
      <w:r w:rsidRPr="00BC0EAC">
        <w:rPr>
          <w:szCs w:val="26"/>
        </w:rPr>
        <w:t xml:space="preserve"> requirement should be eliminated.  </w:t>
      </w:r>
    </w:p>
    <w:p w:rsidRPr="003A6242" w:rsidR="003A6242" w:rsidP="003A6242" w:rsidRDefault="00E00A08" w14:paraId="17B2DBFE" w14:textId="77777777">
      <w:pPr>
        <w:pStyle w:val="CoL"/>
      </w:pPr>
      <w:r>
        <w:rPr>
          <w:szCs w:val="26"/>
        </w:rPr>
        <w:t xml:space="preserve">The </w:t>
      </w:r>
      <w:r w:rsidR="00C02BC7">
        <w:rPr>
          <w:szCs w:val="26"/>
        </w:rPr>
        <w:t xml:space="preserve">date of the </w:t>
      </w:r>
      <w:r>
        <w:rPr>
          <w:szCs w:val="26"/>
        </w:rPr>
        <w:t xml:space="preserve">annual VGI </w:t>
      </w:r>
      <w:r w:rsidR="00C02BC7">
        <w:rPr>
          <w:szCs w:val="26"/>
        </w:rPr>
        <w:t>F</w:t>
      </w:r>
      <w:r>
        <w:rPr>
          <w:szCs w:val="26"/>
        </w:rPr>
        <w:t xml:space="preserve">orum </w:t>
      </w:r>
      <w:r w:rsidR="00C02BC7">
        <w:rPr>
          <w:szCs w:val="26"/>
        </w:rPr>
        <w:t xml:space="preserve">should be shifted to </w:t>
      </w:r>
      <w:proofErr w:type="gramStart"/>
      <w:r w:rsidR="00C02BC7">
        <w:rPr>
          <w:szCs w:val="26"/>
        </w:rPr>
        <w:t>Q1 of</w:t>
      </w:r>
      <w:proofErr w:type="gramEnd"/>
      <w:r w:rsidR="00C02BC7">
        <w:rPr>
          <w:szCs w:val="26"/>
        </w:rPr>
        <w:t xml:space="preserve"> each year.</w:t>
      </w:r>
    </w:p>
    <w:p w:rsidRPr="00981EAB" w:rsidR="003A6242" w:rsidP="007B6666" w:rsidRDefault="003A6242" w14:paraId="52E442DB" w14:textId="15326866">
      <w:pPr>
        <w:pStyle w:val="CoL"/>
      </w:pPr>
      <w:r>
        <w:rPr>
          <w:szCs w:val="26"/>
        </w:rPr>
        <w:t>The r</w:t>
      </w:r>
      <w:r w:rsidRPr="005A7828">
        <w:rPr>
          <w:szCs w:val="26"/>
        </w:rPr>
        <w:t xml:space="preserve">eporting requirements established for CCAs by D.20-12-029 are waived until the new </w:t>
      </w:r>
      <w:r w:rsidRPr="003A6242">
        <w:rPr>
          <w:szCs w:val="26"/>
        </w:rPr>
        <w:t xml:space="preserve">TE Compliance and Initiatives Report </w:t>
      </w:r>
      <w:r w:rsidRPr="005A7828">
        <w:rPr>
          <w:szCs w:val="26"/>
        </w:rPr>
        <w:t xml:space="preserve">template has been developed. </w:t>
      </w:r>
      <w:r>
        <w:rPr>
          <w:szCs w:val="26"/>
        </w:rPr>
        <w:t xml:space="preserve"> </w:t>
      </w:r>
    </w:p>
    <w:p w:rsidR="00B210E0" w:rsidP="001E2A62" w:rsidRDefault="00B210E0" w14:paraId="181A0D8B" w14:textId="24AB63E9">
      <w:pPr>
        <w:pStyle w:val="CoL"/>
      </w:pPr>
      <w:r>
        <w:t>The TA Program should continue with a budget of $36 million over three years.</w:t>
      </w:r>
      <w:r w:rsidR="00626956">
        <w:t xml:space="preserve">  </w:t>
      </w:r>
      <w:r w:rsidRPr="00AA1AD2" w:rsidR="00626956">
        <w:t xml:space="preserve">The three-year period for the program </w:t>
      </w:r>
      <w:r w:rsidR="00626956">
        <w:t>should</w:t>
      </w:r>
      <w:r w:rsidRPr="00AA1AD2" w:rsidR="00626956">
        <w:t xml:space="preserve"> begin 90 days after the Commission’s approval of the Program Handbook.</w:t>
      </w:r>
    </w:p>
    <w:p w:rsidRPr="001E2A62" w:rsidR="00B210E0" w:rsidP="001E2A62" w:rsidRDefault="00B210E0" w14:paraId="4B4444FF" w14:textId="4C30BD14">
      <w:pPr>
        <w:pStyle w:val="CoL"/>
      </w:pPr>
      <w:r>
        <w:lastRenderedPageBreak/>
        <w:t xml:space="preserve">The TA Program should be delinked from the </w:t>
      </w:r>
      <w:r w:rsidR="00063A7A">
        <w:t xml:space="preserve">FC1 BTM Rebate Program </w:t>
      </w:r>
      <w:r>
        <w:t>and other programs approved in D.22-11-040 and have a standalone Program Handbook.</w:t>
      </w:r>
    </w:p>
    <w:p w:rsidR="007644BD" w:rsidP="007644BD" w:rsidRDefault="001010BA" w14:paraId="0911F7D5" w14:textId="084C17B3">
      <w:pPr>
        <w:pStyle w:val="CoL"/>
      </w:pPr>
      <w:r>
        <w:t xml:space="preserve">The IOUs should be able to recover </w:t>
      </w:r>
      <w:r w:rsidR="00063A7A">
        <w:t xml:space="preserve">FC1 </w:t>
      </w:r>
      <w:r>
        <w:rPr>
          <w:lang w:val="en-ZW"/>
        </w:rPr>
        <w:t xml:space="preserve">implementation </w:t>
      </w:r>
      <w:r w:rsidRPr="00AB65AA">
        <w:rPr>
          <w:lang w:val="en-ZW"/>
        </w:rPr>
        <w:t xml:space="preserve">costs incurred prior to the </w:t>
      </w:r>
      <w:proofErr w:type="gramStart"/>
      <w:r w:rsidRPr="00AB65AA">
        <w:rPr>
          <w:lang w:val="en-ZW"/>
        </w:rPr>
        <w:t>pause</w:t>
      </w:r>
      <w:proofErr w:type="gramEnd"/>
      <w:r w:rsidRPr="00AB65AA">
        <w:rPr>
          <w:lang w:val="en-ZW"/>
        </w:rPr>
        <w:t xml:space="preserve"> </w:t>
      </w:r>
      <w:r>
        <w:rPr>
          <w:lang w:val="en-ZW"/>
        </w:rPr>
        <w:t>with a c</w:t>
      </w:r>
      <w:proofErr w:type="spellStart"/>
      <w:r w:rsidRPr="00AB65AA">
        <w:t>ut</w:t>
      </w:r>
      <w:proofErr w:type="spellEnd"/>
      <w:r w:rsidRPr="00AB65AA">
        <w:t xml:space="preserve">-off date </w:t>
      </w:r>
      <w:r>
        <w:t>of</w:t>
      </w:r>
      <w:r w:rsidRPr="00AB65AA">
        <w:t xml:space="preserve"> </w:t>
      </w:r>
      <w:r>
        <w:t>30</w:t>
      </w:r>
      <w:r w:rsidRPr="00AB65AA">
        <w:rPr>
          <w:i/>
          <w:iCs/>
        </w:rPr>
        <w:t xml:space="preserve"> </w:t>
      </w:r>
      <w:r w:rsidRPr="00AB65AA">
        <w:t>days following the stop work order received by SCE</w:t>
      </w:r>
      <w:r>
        <w:t xml:space="preserve">. </w:t>
      </w:r>
    </w:p>
    <w:p w:rsidRPr="00297E7D" w:rsidR="00B655D0" w:rsidP="00B655D0" w:rsidRDefault="00B655D0" w14:paraId="073288D3" w14:textId="3E76C9C2">
      <w:pPr>
        <w:pStyle w:val="CoL"/>
      </w:pPr>
      <w:r w:rsidRPr="00297E7D">
        <w:t>The requirement for vehicle purchases for the FC0 MDHD programs should be removed</w:t>
      </w:r>
      <w:r w:rsidR="008402C9">
        <w:t xml:space="preserve"> on a going forward basis</w:t>
      </w:r>
      <w:r w:rsidRPr="00297E7D">
        <w:t>.</w:t>
      </w:r>
    </w:p>
    <w:p w:rsidR="003D3A48" w:rsidP="007644BD" w:rsidRDefault="00867918" w14:paraId="5E0A3D1D" w14:textId="1DDA1DA0">
      <w:pPr>
        <w:pStyle w:val="CoL"/>
      </w:pPr>
      <w:r>
        <w:t xml:space="preserve">The </w:t>
      </w:r>
      <w:r w:rsidR="000E2AF5">
        <w:t>FC0</w:t>
      </w:r>
      <w:r w:rsidRPr="008D3050" w:rsidR="003D3A48">
        <w:t xml:space="preserve"> </w:t>
      </w:r>
      <w:proofErr w:type="gramStart"/>
      <w:r w:rsidRPr="008D3050" w:rsidR="003D3A48">
        <w:t>programs</w:t>
      </w:r>
      <w:proofErr w:type="gramEnd"/>
      <w:r w:rsidRPr="008D3050" w:rsidR="003D3A48">
        <w:t xml:space="preserve"> should end </w:t>
      </w:r>
      <w:r w:rsidR="00CC6DCC">
        <w:t>acceptance</w:t>
      </w:r>
      <w:r w:rsidRPr="008D3050" w:rsidR="00CC6DCC">
        <w:t xml:space="preserve"> </w:t>
      </w:r>
      <w:r w:rsidRPr="008D3050" w:rsidR="003D3A48">
        <w:t>of new customer</w:t>
      </w:r>
      <w:r w:rsidR="00CC6DCC">
        <w:t xml:space="preserve"> agreement</w:t>
      </w:r>
      <w:r w:rsidRPr="008D3050" w:rsidR="003D3A48">
        <w:t xml:space="preserve"> by December 31, 2026</w:t>
      </w:r>
      <w:r w:rsidR="003D3A48">
        <w:t>.</w:t>
      </w:r>
    </w:p>
    <w:p w:rsidR="00BB0243" w:rsidP="000A6E05" w:rsidRDefault="005939A5" w14:paraId="55920CA0" w14:textId="77777777">
      <w:pPr>
        <w:pStyle w:val="Mainex"/>
      </w:pPr>
      <w:bookmarkStart w:name="_Toc208230325" w:id="28"/>
      <w:r>
        <w:t>O</w:t>
      </w:r>
      <w:r w:rsidR="00722850">
        <w:t>RDER</w:t>
      </w:r>
      <w:bookmarkEnd w:id="28"/>
    </w:p>
    <w:p w:rsidR="00BB0243" w:rsidP="000A6E05" w:rsidRDefault="00BB0243" w14:paraId="5EFB2CAA" w14:textId="77777777">
      <w:pPr>
        <w:keepNext/>
      </w:pPr>
      <w:r w:rsidRPr="00BB0243">
        <w:rPr>
          <w:b/>
        </w:rPr>
        <w:t>IT IS ORDERED</w:t>
      </w:r>
      <w:r>
        <w:t xml:space="preserve"> that:</w:t>
      </w:r>
    </w:p>
    <w:p w:rsidR="003B4A1A" w:rsidP="003B4A1A" w:rsidRDefault="003B4A1A" w14:paraId="4148703C" w14:textId="15240C29">
      <w:pPr>
        <w:pStyle w:val="OP"/>
      </w:pPr>
      <w:r w:rsidRPr="001C6C58">
        <w:t>Pacific Gas and Electric Company, Southern California Edison Company, San Diego Gas &amp; Electric Company, Liberty Utilities (</w:t>
      </w:r>
      <w:proofErr w:type="spellStart"/>
      <w:r w:rsidRPr="001C6C58">
        <w:t>CalPeco</w:t>
      </w:r>
      <w:proofErr w:type="spellEnd"/>
      <w:r w:rsidRPr="001C6C58">
        <w:t xml:space="preserve"> Electric) LLC, Bear Valley Electric Service Inc., and PacifiCorp d/b/a Pacific Power</w:t>
      </w:r>
      <w:r>
        <w:t xml:space="preserve"> shall implement the revised </w:t>
      </w:r>
      <w:r w:rsidR="00150516">
        <w:t>re</w:t>
      </w:r>
      <w:r w:rsidR="00445DF9">
        <w:t>quirements</w:t>
      </w:r>
      <w:r>
        <w:t xml:space="preserve"> for transportation electrification data gathering and reporting as adopted in this decision.</w:t>
      </w:r>
    </w:p>
    <w:p w:rsidR="003B4A1A" w:rsidP="003B4A1A" w:rsidRDefault="003B4A1A" w14:paraId="7753EE14" w14:textId="77777777">
      <w:pPr>
        <w:pStyle w:val="OP"/>
      </w:pPr>
      <w:r w:rsidRPr="001C6C58">
        <w:t>Pacific Gas and Electric Company, Southern California Edison Company, San Diego Gas &amp; Electric Company, Liberty Utilities (</w:t>
      </w:r>
      <w:proofErr w:type="spellStart"/>
      <w:r w:rsidRPr="001C6C58">
        <w:t>CalPeco</w:t>
      </w:r>
      <w:proofErr w:type="spellEnd"/>
      <w:r w:rsidRPr="001C6C58">
        <w:t xml:space="preserve"> Electric) LLC, </w:t>
      </w:r>
      <w:r w:rsidRPr="00867918">
        <w:t>Bear Valley Electric Service Inc., and PacifiCorp d/b/a Pacific Power shall continue</w:t>
      </w:r>
      <w:r>
        <w:t xml:space="preserve"> implementing the Technical Assistance Program with a budget capped at $36 million over three years.  A Program Handbook specific to the Technical Assistance Program shall be developed, consistent with the guidance in Decision 22-11-040.  The investor-owned utilities shall hold a workshop for the development of the Technical Assistance Program Handbook </w:t>
      </w:r>
      <w:r w:rsidRPr="00534280">
        <w:rPr>
          <w:lang w:val="en-ZW"/>
        </w:rPr>
        <w:t xml:space="preserve">within </w:t>
      </w:r>
      <w:r w:rsidRPr="00123FCB">
        <w:rPr>
          <w:lang w:val="en-ZW"/>
        </w:rPr>
        <w:t>60</w:t>
      </w:r>
      <w:r w:rsidRPr="00534280">
        <w:rPr>
          <w:lang w:val="en-ZW"/>
        </w:rPr>
        <w:t xml:space="preserve"> days </w:t>
      </w:r>
      <w:r>
        <w:rPr>
          <w:lang w:val="en-ZW"/>
        </w:rPr>
        <w:t xml:space="preserve">of the effective date of this decision.  </w:t>
      </w:r>
    </w:p>
    <w:p w:rsidR="001C6C58" w:rsidP="001E2A62" w:rsidRDefault="009E011D" w14:paraId="165B2160" w14:textId="632CB7F9">
      <w:pPr>
        <w:pStyle w:val="OP"/>
      </w:pPr>
      <w:r w:rsidRPr="009E011D">
        <w:lastRenderedPageBreak/>
        <w:t>Pacific Gas and Electric Company, Southern California Edison Company, and San Diego Gas &amp; Electric Company</w:t>
      </w:r>
      <w:r>
        <w:t xml:space="preserve"> shall record the i</w:t>
      </w:r>
      <w:r w:rsidRPr="00AB65AA">
        <w:t xml:space="preserve">mplementation costs up to the cut-off date in each </w:t>
      </w:r>
      <w:r>
        <w:t>of their</w:t>
      </w:r>
      <w:r w:rsidRPr="00AB65AA">
        <w:t xml:space="preserve"> F</w:t>
      </w:r>
      <w:r>
        <w:t xml:space="preserve">unding </w:t>
      </w:r>
      <w:r w:rsidRPr="00AB65AA">
        <w:t>C</w:t>
      </w:r>
      <w:r>
        <w:t xml:space="preserve">ycle </w:t>
      </w:r>
      <w:r w:rsidR="009933EE">
        <w:t>One</w:t>
      </w:r>
      <w:r w:rsidRPr="00AB65AA">
        <w:t xml:space="preserve"> balancing accounts or subaccount within each </w:t>
      </w:r>
      <w:r>
        <w:t>company’s</w:t>
      </w:r>
      <w:r w:rsidRPr="00AB65AA">
        <w:t xml:space="preserve"> </w:t>
      </w:r>
      <w:r>
        <w:t>Transportation Electrification</w:t>
      </w:r>
      <w:r w:rsidRPr="00AB65AA">
        <w:t xml:space="preserve"> Balancing Account. </w:t>
      </w:r>
    </w:p>
    <w:p w:rsidR="00F6397D" w:rsidP="00B3087D" w:rsidRDefault="00E23CBB" w14:paraId="03A55D9F" w14:textId="6B26CB05">
      <w:pPr>
        <w:pStyle w:val="OP"/>
      </w:pPr>
      <w:r w:rsidRPr="001E2A62">
        <w:t xml:space="preserve">Rulemaking </w:t>
      </w:r>
      <w:r w:rsidR="00B20771">
        <w:t>23-12-008</w:t>
      </w:r>
      <w:r w:rsidRPr="001E2A62">
        <w:t xml:space="preserve"> </w:t>
      </w:r>
      <w:r w:rsidR="00B20771">
        <w:t>remains open</w:t>
      </w:r>
      <w:r w:rsidRPr="001E2A62">
        <w:t>.</w:t>
      </w:r>
    </w:p>
    <w:p w:rsidR="008F0116" w:rsidP="008F0116" w:rsidRDefault="008F0116" w14:paraId="7A055A80" w14:textId="77777777">
      <w:r>
        <w:t>This order is effective today.</w:t>
      </w:r>
    </w:p>
    <w:p w:rsidR="00714CF2" w:rsidP="00816E05" w:rsidRDefault="008F0116" w14:paraId="3A6DD41D" w14:textId="6E86E1B9">
      <w:r>
        <w:t xml:space="preserve">Dated </w:t>
      </w:r>
      <w:r w:rsidR="00A56675">
        <w:t xml:space="preserve">December </w:t>
      </w:r>
      <w:r w:rsidR="007E2E78">
        <w:t>5</w:t>
      </w:r>
      <w:r w:rsidR="00A56675">
        <w:t>, 2025</w:t>
      </w:r>
      <w:r>
        <w:t>, at San Francisco, California</w:t>
      </w:r>
      <w:r w:rsidR="007E2E78">
        <w:t>.</w:t>
      </w:r>
    </w:p>
    <w:p w:rsidR="008869F0" w:rsidP="008869F0" w:rsidRDefault="008869F0" w14:paraId="7035C8D9" w14:textId="77777777">
      <w:pPr>
        <w:autoSpaceDE w:val="0"/>
        <w:autoSpaceDN w:val="0"/>
        <w:adjustRightInd w:val="0"/>
        <w:spacing w:line="240" w:lineRule="auto"/>
        <w:ind w:left="4320" w:firstLine="0"/>
        <w:jc w:val="both"/>
        <w:rPr>
          <w:rFonts w:cs="Times New Roman"/>
          <w:szCs w:val="20"/>
        </w:rPr>
      </w:pPr>
    </w:p>
    <w:p w:rsidR="008869F0" w:rsidP="008869F0" w:rsidRDefault="008869F0" w14:paraId="3F26F2D5" w14:textId="77777777">
      <w:pPr>
        <w:autoSpaceDE w:val="0"/>
        <w:autoSpaceDN w:val="0"/>
        <w:adjustRightInd w:val="0"/>
        <w:spacing w:line="240" w:lineRule="auto"/>
        <w:ind w:left="4320" w:firstLine="0"/>
        <w:jc w:val="both"/>
        <w:rPr>
          <w:rFonts w:cs="Times New Roman"/>
          <w:szCs w:val="20"/>
        </w:rPr>
      </w:pPr>
    </w:p>
    <w:p w:rsidRPr="00143BC5" w:rsidR="007E2E78" w:rsidP="008869F0" w:rsidRDefault="007E2E78" w14:paraId="5E15E187" w14:textId="5A6711E9">
      <w:pPr>
        <w:autoSpaceDE w:val="0"/>
        <w:autoSpaceDN w:val="0"/>
        <w:adjustRightInd w:val="0"/>
        <w:spacing w:line="240" w:lineRule="auto"/>
        <w:ind w:left="5040" w:firstLine="0"/>
        <w:jc w:val="both"/>
        <w:rPr>
          <w:rFonts w:cs="Times New Roman"/>
          <w:szCs w:val="20"/>
        </w:rPr>
      </w:pPr>
      <w:r w:rsidRPr="002819B6">
        <w:rPr>
          <w:rFonts w:cs="Times New Roman"/>
          <w:szCs w:val="20"/>
        </w:rPr>
        <w:t>ALICE REYNOLDS</w:t>
      </w:r>
    </w:p>
    <w:p w:rsidRPr="00143BC5" w:rsidR="007E2E78" w:rsidP="008869F0" w:rsidRDefault="007E2E78" w14:paraId="0879EEF5" w14:textId="77777777">
      <w:pPr>
        <w:autoSpaceDE w:val="0"/>
        <w:autoSpaceDN w:val="0"/>
        <w:adjustRightInd w:val="0"/>
        <w:spacing w:line="240" w:lineRule="auto"/>
        <w:ind w:left="720"/>
        <w:jc w:val="both"/>
        <w:rPr>
          <w:rFonts w:cs="Times New Roman"/>
          <w:szCs w:val="20"/>
        </w:rPr>
      </w:pP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t xml:space="preserve">                       President</w:t>
      </w:r>
    </w:p>
    <w:p w:rsidRPr="00143BC5" w:rsidR="007E2E78" w:rsidP="008869F0" w:rsidRDefault="007E2E78" w14:paraId="48D0EA98" w14:textId="77777777">
      <w:pPr>
        <w:autoSpaceDE w:val="0"/>
        <w:autoSpaceDN w:val="0"/>
        <w:adjustRightInd w:val="0"/>
        <w:spacing w:line="240" w:lineRule="auto"/>
        <w:ind w:left="4320"/>
        <w:jc w:val="both"/>
        <w:rPr>
          <w:rFonts w:cs="Times New Roman"/>
          <w:szCs w:val="20"/>
        </w:rPr>
      </w:pPr>
      <w:r w:rsidRPr="00143BC5">
        <w:rPr>
          <w:rFonts w:cs="Times New Roman"/>
          <w:szCs w:val="20"/>
        </w:rPr>
        <w:t>DARCIE L. HOUCK</w:t>
      </w:r>
    </w:p>
    <w:p w:rsidRPr="00143BC5" w:rsidR="007E2E78" w:rsidP="008869F0" w:rsidRDefault="007E2E78" w14:paraId="11C4AEE6" w14:textId="77777777">
      <w:pPr>
        <w:autoSpaceDE w:val="0"/>
        <w:autoSpaceDN w:val="0"/>
        <w:adjustRightInd w:val="0"/>
        <w:spacing w:line="240" w:lineRule="auto"/>
        <w:ind w:left="4320"/>
        <w:jc w:val="both"/>
        <w:rPr>
          <w:rFonts w:cs="Times New Roman"/>
          <w:szCs w:val="20"/>
        </w:rPr>
      </w:pPr>
      <w:r w:rsidRPr="00143BC5">
        <w:rPr>
          <w:rFonts w:cs="Times New Roman"/>
          <w:szCs w:val="20"/>
        </w:rPr>
        <w:t>JOHN REYNOLDS</w:t>
      </w:r>
    </w:p>
    <w:p w:rsidR="007E2E78" w:rsidP="008869F0" w:rsidRDefault="007E2E78" w14:paraId="417673B0" w14:textId="77777777">
      <w:pPr>
        <w:autoSpaceDE w:val="0"/>
        <w:autoSpaceDN w:val="0"/>
        <w:adjustRightInd w:val="0"/>
        <w:spacing w:line="240" w:lineRule="auto"/>
        <w:ind w:left="4320"/>
        <w:jc w:val="both"/>
        <w:rPr>
          <w:rFonts w:eastAsia="Times New Roman" w:cs="Calibri"/>
          <w:color w:val="000000"/>
          <w:szCs w:val="26"/>
        </w:rPr>
      </w:pPr>
      <w:r w:rsidRPr="00143BC5">
        <w:rPr>
          <w:rFonts w:eastAsia="Times New Roman" w:cs="Calibri"/>
          <w:color w:val="000000"/>
          <w:szCs w:val="26"/>
        </w:rPr>
        <w:t>KAREN DOUGLAS</w:t>
      </w:r>
    </w:p>
    <w:p w:rsidRPr="00143BC5" w:rsidR="007E2E78" w:rsidP="008869F0" w:rsidRDefault="007E2E78" w14:paraId="7841015F" w14:textId="77777777">
      <w:pPr>
        <w:autoSpaceDE w:val="0"/>
        <w:autoSpaceDN w:val="0"/>
        <w:adjustRightInd w:val="0"/>
        <w:spacing w:line="240" w:lineRule="auto"/>
        <w:ind w:left="4320"/>
        <w:jc w:val="both"/>
        <w:rPr>
          <w:rFonts w:cs="Times New Roman"/>
          <w:szCs w:val="20"/>
        </w:rPr>
      </w:pPr>
      <w:r>
        <w:rPr>
          <w:rFonts w:eastAsia="Times New Roman" w:cs="Calibri"/>
          <w:color w:val="000000"/>
          <w:szCs w:val="26"/>
        </w:rPr>
        <w:t>MATTHEW BAKER</w:t>
      </w:r>
    </w:p>
    <w:p w:rsidR="007E2E78" w:rsidP="008869F0" w:rsidRDefault="007E2E78" w14:paraId="70DEA2ED" w14:textId="77777777">
      <w:pPr>
        <w:autoSpaceDE w:val="0"/>
        <w:autoSpaceDN w:val="0"/>
        <w:adjustRightInd w:val="0"/>
        <w:spacing w:line="240" w:lineRule="auto"/>
        <w:ind w:left="5040"/>
        <w:jc w:val="both"/>
        <w:rPr>
          <w:rFonts w:cs="Times New Roman"/>
          <w:szCs w:val="20"/>
        </w:rPr>
      </w:pPr>
      <w:r w:rsidRPr="00143BC5">
        <w:rPr>
          <w:rFonts w:cs="Times New Roman"/>
          <w:szCs w:val="20"/>
        </w:rPr>
        <w:t xml:space="preserve">            Commissioners</w:t>
      </w:r>
    </w:p>
    <w:p w:rsidRPr="00714CF2" w:rsidR="007E2E78" w:rsidP="00816E05" w:rsidRDefault="007E2E78" w14:paraId="460A04B9" w14:textId="77777777"/>
    <w:sectPr w:rsidRPr="00714CF2" w:rsidR="007E2E78" w:rsidSect="00D609C9">
      <w:headerReference w:type="default" r:id="rId12"/>
      <w:footerReference w:type="defaul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20E7" w14:textId="77777777" w:rsidR="002B3C8E" w:rsidRDefault="002B3C8E" w:rsidP="0098138E">
      <w:pPr>
        <w:spacing w:line="240" w:lineRule="auto"/>
      </w:pPr>
      <w:r>
        <w:separator/>
      </w:r>
    </w:p>
  </w:endnote>
  <w:endnote w:type="continuationSeparator" w:id="0">
    <w:p w14:paraId="1331476E" w14:textId="77777777" w:rsidR="002B3C8E" w:rsidRDefault="002B3C8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45764"/>
      <w:docPartObj>
        <w:docPartGallery w:val="Page Numbers (Bottom of Page)"/>
        <w:docPartUnique/>
      </w:docPartObj>
    </w:sdtPr>
    <w:sdtEndPr>
      <w:rPr>
        <w:noProof/>
      </w:rPr>
    </w:sdtEndPr>
    <w:sdtContent>
      <w:p w14:paraId="72EA2386" w14:textId="4734E663" w:rsidR="002819B6" w:rsidRDefault="002819B6" w:rsidP="002819B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00839"/>
      <w:docPartObj>
        <w:docPartGallery w:val="Page Numbers (Bottom of Page)"/>
        <w:docPartUnique/>
      </w:docPartObj>
    </w:sdtPr>
    <w:sdtEndPr>
      <w:rPr>
        <w:noProof/>
      </w:rPr>
    </w:sdtEndPr>
    <w:sdtContent>
      <w:p w14:paraId="4297FAC4" w14:textId="6C3534BA" w:rsidR="004A27DC" w:rsidRPr="00BB706A" w:rsidRDefault="00C9690D" w:rsidP="00555A56">
        <w:pPr>
          <w:pStyle w:val="Footer"/>
          <w:ind w:firstLine="0"/>
          <w:rPr>
            <w:sz w:val="16"/>
            <w:szCs w:val="16"/>
          </w:rPr>
        </w:pPr>
        <w:r w:rsidRPr="00C9690D">
          <w:rPr>
            <w:sz w:val="16"/>
            <w:szCs w:val="16"/>
          </w:rPr>
          <w:t>590042662</w:t>
        </w:r>
        <w:r w:rsidR="004A27DC">
          <w:tab/>
        </w:r>
        <w:r w:rsidR="004A27DC">
          <w:fldChar w:fldCharType="begin"/>
        </w:r>
        <w:r w:rsidR="004A27DC">
          <w:instrText xml:space="preserve"> PAGE   \* MERGEFORMAT </w:instrText>
        </w:r>
        <w:r w:rsidR="004A27DC">
          <w:fldChar w:fldCharType="separate"/>
        </w:r>
        <w:r w:rsidR="004A27DC">
          <w:rPr>
            <w:noProof/>
          </w:rPr>
          <w:t>2</w:t>
        </w:r>
        <w:r w:rsidR="004A27D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B2D2" w14:textId="77777777" w:rsidR="002B3C8E" w:rsidRDefault="002B3C8E" w:rsidP="00DF58E7">
      <w:pPr>
        <w:spacing w:line="240" w:lineRule="auto"/>
        <w:ind w:firstLine="0"/>
      </w:pPr>
      <w:r>
        <w:separator/>
      </w:r>
    </w:p>
  </w:footnote>
  <w:footnote w:type="continuationSeparator" w:id="0">
    <w:p w14:paraId="6A8CF8A3" w14:textId="77777777" w:rsidR="002B3C8E" w:rsidRDefault="002B3C8E" w:rsidP="00DF58E7">
      <w:pPr>
        <w:spacing w:line="240" w:lineRule="auto"/>
        <w:ind w:firstLine="0"/>
      </w:pPr>
      <w:r>
        <w:continuationSeparator/>
      </w:r>
    </w:p>
  </w:footnote>
  <w:footnote w:type="continuationNotice" w:id="1">
    <w:p w14:paraId="48E6B456" w14:textId="77777777" w:rsidR="002B3C8E" w:rsidRPr="00DF58E7" w:rsidRDefault="002B3C8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622E43C" w14:textId="77777777" w:rsidR="00354839" w:rsidRPr="00361300" w:rsidRDefault="00354839" w:rsidP="00354839">
      <w:pPr>
        <w:pStyle w:val="FootnoteText"/>
        <w:rPr>
          <w:szCs w:val="22"/>
        </w:rPr>
      </w:pPr>
      <w:r w:rsidRPr="00361300">
        <w:rPr>
          <w:rStyle w:val="FootnoteReference"/>
          <w:szCs w:val="22"/>
        </w:rPr>
        <w:footnoteRef/>
      </w:r>
      <w:r w:rsidRPr="00361300">
        <w:rPr>
          <w:szCs w:val="22"/>
        </w:rPr>
        <w:t xml:space="preserve"> The Joint Community Choice Aggregators are: Ava Community Energy, the City of San José – which operates and administers San José Clean Energy through the City’s Community Energy Department, Clean Power Alliance of Southern California, Marin Clean Energy, Peninsula Clean Energy Authority, San Diego Community Power, and Sonoma Clean Power Authority.</w:t>
      </w:r>
    </w:p>
  </w:footnote>
  <w:footnote w:id="3">
    <w:p w14:paraId="00C05E16" w14:textId="77777777" w:rsidR="00354839" w:rsidRPr="00361300" w:rsidRDefault="00354839" w:rsidP="00354839">
      <w:pPr>
        <w:pStyle w:val="FootnoteText"/>
        <w:rPr>
          <w:szCs w:val="22"/>
        </w:rPr>
      </w:pPr>
      <w:r w:rsidRPr="00361300">
        <w:rPr>
          <w:rStyle w:val="FootnoteReference"/>
          <w:szCs w:val="22"/>
        </w:rPr>
        <w:footnoteRef/>
      </w:r>
      <w:r w:rsidRPr="00361300">
        <w:rPr>
          <w:szCs w:val="22"/>
        </w:rPr>
        <w:t xml:space="preserve"> </w:t>
      </w:r>
      <w:r w:rsidRPr="00361300">
        <w:rPr>
          <w:color w:val="000000" w:themeColor="text1"/>
          <w:szCs w:val="22"/>
        </w:rPr>
        <w:t>PG&amp;E, SCE, SDG&amp;E filed joint comments.</w:t>
      </w:r>
    </w:p>
  </w:footnote>
  <w:footnote w:id="4">
    <w:p w14:paraId="68FB514E" w14:textId="074F7E78" w:rsidR="0015482A" w:rsidRPr="00361300" w:rsidRDefault="0015482A" w:rsidP="005C6149">
      <w:pPr>
        <w:pStyle w:val="FootnoteText"/>
        <w:rPr>
          <w:szCs w:val="22"/>
        </w:rPr>
      </w:pPr>
      <w:r w:rsidRPr="00361300">
        <w:rPr>
          <w:rStyle w:val="FootnoteReference"/>
          <w:szCs w:val="22"/>
        </w:rPr>
        <w:footnoteRef/>
      </w:r>
      <w:r w:rsidRPr="00361300">
        <w:rPr>
          <w:szCs w:val="22"/>
        </w:rPr>
        <w:t xml:space="preserve"> Joint comments </w:t>
      </w:r>
      <w:r w:rsidR="00123FCB">
        <w:rPr>
          <w:szCs w:val="22"/>
        </w:rPr>
        <w:t>of</w:t>
      </w:r>
      <w:r w:rsidRPr="00361300">
        <w:rPr>
          <w:szCs w:val="22"/>
        </w:rPr>
        <w:t xml:space="preserve"> Association of Bay Area Governments on behalf of the Bay Area Regional Energy Network program (BayREN) and the County of Ventura on behalf of the Tri-County Regional Energy Network program (3C-REN).</w:t>
      </w:r>
    </w:p>
  </w:footnote>
  <w:footnote w:id="5">
    <w:p w14:paraId="6CBACCF2" w14:textId="77777777" w:rsidR="00090DCB" w:rsidRPr="00361300" w:rsidRDefault="00090DCB" w:rsidP="005C6149">
      <w:pPr>
        <w:pStyle w:val="FootnoteText"/>
        <w:rPr>
          <w:szCs w:val="22"/>
        </w:rPr>
      </w:pPr>
      <w:r w:rsidRPr="00361300">
        <w:rPr>
          <w:rStyle w:val="FootnoteReference"/>
          <w:szCs w:val="22"/>
        </w:rPr>
        <w:footnoteRef/>
      </w:r>
      <w:r w:rsidRPr="00361300">
        <w:rPr>
          <w:szCs w:val="22"/>
        </w:rPr>
        <w:t xml:space="preserve"> CASMU consists of Bear Valley Electric Service, Inc. (BVES), Liberty Utilities (CalPeco Electric) LLC (Liberty), and PacifiCorp d/b/a Pacific Power (PacifiCorp). </w:t>
      </w:r>
    </w:p>
  </w:footnote>
  <w:footnote w:id="6">
    <w:p w14:paraId="2AB458C7" w14:textId="721FCAAE" w:rsidR="0066691B" w:rsidRPr="00361300" w:rsidRDefault="0066691B" w:rsidP="005C6149">
      <w:pPr>
        <w:pStyle w:val="FootnoteText"/>
        <w:rPr>
          <w:szCs w:val="22"/>
        </w:rPr>
      </w:pPr>
      <w:r w:rsidRPr="00361300">
        <w:rPr>
          <w:rStyle w:val="FootnoteReference"/>
          <w:szCs w:val="22"/>
        </w:rPr>
        <w:footnoteRef/>
      </w:r>
      <w:r w:rsidRPr="00361300">
        <w:rPr>
          <w:szCs w:val="22"/>
        </w:rPr>
        <w:t xml:space="preserve"> </w:t>
      </w:r>
      <w:r w:rsidR="00990A15" w:rsidRPr="00361300">
        <w:rPr>
          <w:szCs w:val="22"/>
        </w:rPr>
        <w:t xml:space="preserve">The </w:t>
      </w:r>
      <w:r w:rsidRPr="00361300">
        <w:rPr>
          <w:szCs w:val="22"/>
        </w:rPr>
        <w:t xml:space="preserve">Joint Commenters consist of </w:t>
      </w:r>
      <w:r w:rsidR="0015482A" w:rsidRPr="00361300">
        <w:rPr>
          <w:szCs w:val="22"/>
        </w:rPr>
        <w:t xml:space="preserve">East Yard Communities for Environmental Justice, Sierra Club, and </w:t>
      </w:r>
      <w:r w:rsidR="00990A15" w:rsidRPr="00361300">
        <w:rPr>
          <w:szCs w:val="22"/>
        </w:rPr>
        <w:t xml:space="preserve">the </w:t>
      </w:r>
      <w:r w:rsidR="0015482A" w:rsidRPr="00361300">
        <w:rPr>
          <w:szCs w:val="22"/>
        </w:rPr>
        <w:t>Union of Concerned Scientists.</w:t>
      </w:r>
    </w:p>
  </w:footnote>
  <w:footnote w:id="7">
    <w:p w14:paraId="23A2DE6A" w14:textId="21E44EC0" w:rsidR="0066691B" w:rsidRPr="00361300" w:rsidRDefault="0066691B" w:rsidP="005C6149">
      <w:pPr>
        <w:autoSpaceDE w:val="0"/>
        <w:autoSpaceDN w:val="0"/>
        <w:adjustRightInd w:val="0"/>
        <w:spacing w:after="120" w:line="240" w:lineRule="auto"/>
        <w:ind w:firstLine="0"/>
        <w:rPr>
          <w:sz w:val="22"/>
        </w:rPr>
      </w:pPr>
      <w:r w:rsidRPr="00361300">
        <w:rPr>
          <w:rStyle w:val="FootnoteReference"/>
          <w:sz w:val="22"/>
        </w:rPr>
        <w:footnoteRef/>
      </w:r>
      <w:r w:rsidRPr="00361300">
        <w:rPr>
          <w:sz w:val="22"/>
        </w:rPr>
        <w:t xml:space="preserve"> </w:t>
      </w:r>
      <w:r w:rsidR="00A945F7" w:rsidRPr="00361300">
        <w:rPr>
          <w:sz w:val="22"/>
        </w:rPr>
        <w:t>NRDC and EDF filed joint comments.</w:t>
      </w:r>
    </w:p>
  </w:footnote>
  <w:footnote w:id="8">
    <w:p w14:paraId="365E6E60" w14:textId="6D1665BA" w:rsidR="00E9754F" w:rsidRPr="00361300" w:rsidRDefault="00E9754F" w:rsidP="00E9754F">
      <w:pPr>
        <w:pStyle w:val="FootnoteText"/>
        <w:rPr>
          <w:szCs w:val="22"/>
        </w:rPr>
      </w:pPr>
      <w:r w:rsidRPr="00361300">
        <w:rPr>
          <w:rStyle w:val="FootnoteReference"/>
          <w:szCs w:val="22"/>
        </w:rPr>
        <w:footnoteRef/>
      </w:r>
      <w:r w:rsidRPr="00361300">
        <w:rPr>
          <w:szCs w:val="22"/>
        </w:rPr>
        <w:t xml:space="preserve"> </w:t>
      </w:r>
      <w:r w:rsidRPr="00361300">
        <w:rPr>
          <w:color w:val="000000" w:themeColor="text1"/>
          <w:szCs w:val="22"/>
        </w:rPr>
        <w:t xml:space="preserve">PG&amp;E, SCE, SDG&amp;E filed joint </w:t>
      </w:r>
      <w:r w:rsidR="00CA0809">
        <w:rPr>
          <w:color w:val="000000" w:themeColor="text1"/>
          <w:szCs w:val="22"/>
        </w:rPr>
        <w:t xml:space="preserve">reply </w:t>
      </w:r>
      <w:r w:rsidRPr="00361300">
        <w:rPr>
          <w:color w:val="000000" w:themeColor="text1"/>
          <w:szCs w:val="22"/>
        </w:rPr>
        <w:t>comments.</w:t>
      </w:r>
    </w:p>
  </w:footnote>
  <w:footnote w:id="9">
    <w:p w14:paraId="5FBD26CB" w14:textId="77777777" w:rsidR="00E9754F" w:rsidRDefault="00E9754F" w:rsidP="00E9754F">
      <w:pPr>
        <w:pStyle w:val="FootnoteText"/>
        <w:rPr>
          <w:szCs w:val="22"/>
        </w:rPr>
      </w:pPr>
      <w:r>
        <w:rPr>
          <w:rStyle w:val="FootnoteReference"/>
          <w:szCs w:val="22"/>
        </w:rPr>
        <w:footnoteRef/>
      </w:r>
      <w:r>
        <w:rPr>
          <w:szCs w:val="22"/>
        </w:rPr>
        <w:t xml:space="preserve"> </w:t>
      </w:r>
      <w:r>
        <w:rPr>
          <w:color w:val="000000" w:themeColor="text1"/>
          <w:szCs w:val="22"/>
        </w:rPr>
        <w:t>D.18-01-024, D.19-11-017, D.18-05-040, D.19-08-026, D.21-04-014, D.20-08-045.</w:t>
      </w:r>
    </w:p>
  </w:footnote>
  <w:footnote w:id="10">
    <w:p w14:paraId="76862617" w14:textId="4BBA64E0" w:rsidR="00E9754F" w:rsidRDefault="00E9754F" w:rsidP="00E9754F">
      <w:pPr>
        <w:pStyle w:val="FootnoteText"/>
        <w:rPr>
          <w:szCs w:val="22"/>
        </w:rPr>
      </w:pPr>
      <w:r>
        <w:rPr>
          <w:rStyle w:val="FootnoteReference"/>
          <w:szCs w:val="22"/>
        </w:rPr>
        <w:footnoteRef/>
      </w:r>
      <w:r>
        <w:rPr>
          <w:szCs w:val="22"/>
        </w:rPr>
        <w:t xml:space="preserve"> Ruling Requesting Comment on the </w:t>
      </w:r>
      <w:r w:rsidR="00CA0809">
        <w:rPr>
          <w:szCs w:val="22"/>
        </w:rPr>
        <w:t xml:space="preserve">Joint </w:t>
      </w:r>
      <w:r>
        <w:rPr>
          <w:szCs w:val="22"/>
        </w:rPr>
        <w:t>IOU Data Assessment Analysis, Attachment 2 at 1.</w:t>
      </w:r>
    </w:p>
  </w:footnote>
  <w:footnote w:id="11">
    <w:p w14:paraId="13703339" w14:textId="77777777" w:rsidR="00E9754F" w:rsidRDefault="00E9754F" w:rsidP="00E9754F">
      <w:pPr>
        <w:pStyle w:val="FootnoteText"/>
        <w:rPr>
          <w:szCs w:val="22"/>
        </w:rPr>
      </w:pPr>
      <w:r>
        <w:rPr>
          <w:rStyle w:val="FootnoteReference"/>
          <w:szCs w:val="22"/>
        </w:rPr>
        <w:footnoteRef/>
      </w:r>
      <w:r>
        <w:rPr>
          <w:szCs w:val="22"/>
        </w:rPr>
        <w:t xml:space="preserve"> </w:t>
      </w:r>
      <w:r w:rsidRPr="00AF25AE">
        <w:rPr>
          <w:i/>
          <w:iCs/>
          <w:szCs w:val="22"/>
        </w:rPr>
        <w:t>Ibid</w:t>
      </w:r>
      <w:r>
        <w:rPr>
          <w:szCs w:val="22"/>
        </w:rPr>
        <w:t>.</w:t>
      </w:r>
    </w:p>
  </w:footnote>
  <w:footnote w:id="12">
    <w:p w14:paraId="5269D6B7" w14:textId="77777777" w:rsidR="00E9754F" w:rsidRDefault="00E9754F" w:rsidP="00E9754F">
      <w:pPr>
        <w:pStyle w:val="FootnoteText"/>
        <w:rPr>
          <w:szCs w:val="22"/>
        </w:rPr>
      </w:pPr>
      <w:r>
        <w:rPr>
          <w:rStyle w:val="FootnoteReference"/>
          <w:szCs w:val="22"/>
        </w:rPr>
        <w:footnoteRef/>
      </w:r>
      <w:r>
        <w:rPr>
          <w:szCs w:val="22"/>
        </w:rPr>
        <w:t xml:space="preserve"> D.21-04-014 (</w:t>
      </w:r>
      <w:r>
        <w:rPr>
          <w:color w:val="000000" w:themeColor="text1"/>
          <w:szCs w:val="22"/>
        </w:rPr>
        <w:t xml:space="preserve">SDG&amp;E’s Power Your Drive Extension); </w:t>
      </w:r>
      <w:r>
        <w:rPr>
          <w:szCs w:val="22"/>
        </w:rPr>
        <w:t>D.20-08-045 (SCE’s Charge Ready 2).</w:t>
      </w:r>
    </w:p>
  </w:footnote>
  <w:footnote w:id="13">
    <w:p w14:paraId="415F0F7C" w14:textId="67FBD69B" w:rsidR="00E9754F" w:rsidRDefault="00E9754F" w:rsidP="00E9754F">
      <w:pPr>
        <w:pStyle w:val="FootnoteText"/>
        <w:rPr>
          <w:szCs w:val="22"/>
        </w:rPr>
      </w:pPr>
      <w:r>
        <w:rPr>
          <w:rStyle w:val="FootnoteReference"/>
          <w:szCs w:val="22"/>
        </w:rPr>
        <w:footnoteRef/>
      </w:r>
      <w:r>
        <w:rPr>
          <w:szCs w:val="22"/>
        </w:rPr>
        <w:t xml:space="preserve"> Cal Advocates Comments on the</w:t>
      </w:r>
      <w:r w:rsidR="00CA0809">
        <w:rPr>
          <w:szCs w:val="22"/>
        </w:rPr>
        <w:t xml:space="preserve"> Joint</w:t>
      </w:r>
      <w:r>
        <w:rPr>
          <w:szCs w:val="22"/>
        </w:rPr>
        <w:t xml:space="preserve"> IOU</w:t>
      </w:r>
      <w:r w:rsidR="00CA0809">
        <w:rPr>
          <w:szCs w:val="22"/>
        </w:rPr>
        <w:t xml:space="preserve"> </w:t>
      </w:r>
      <w:r>
        <w:rPr>
          <w:szCs w:val="22"/>
        </w:rPr>
        <w:t xml:space="preserve">Data Assessment Analysis at 2. </w:t>
      </w:r>
    </w:p>
  </w:footnote>
  <w:footnote w:id="14">
    <w:p w14:paraId="76E1DC30" w14:textId="77777777" w:rsidR="00E9754F" w:rsidRDefault="00E9754F" w:rsidP="00E9754F">
      <w:pPr>
        <w:pStyle w:val="FootnoteText"/>
        <w:rPr>
          <w:szCs w:val="22"/>
        </w:rPr>
      </w:pPr>
      <w:r>
        <w:rPr>
          <w:rStyle w:val="FootnoteReference"/>
          <w:szCs w:val="22"/>
        </w:rPr>
        <w:footnoteRef/>
      </w:r>
      <w:r>
        <w:rPr>
          <w:szCs w:val="22"/>
        </w:rPr>
        <w:t xml:space="preserve"> SB 350 Report include D.21-04-014 at Section 8 (</w:t>
      </w:r>
      <w:r>
        <w:rPr>
          <w:color w:val="000000" w:themeColor="text1"/>
          <w:szCs w:val="22"/>
        </w:rPr>
        <w:t xml:space="preserve">SDG&amp;E’s Power Your Drive Extension); </w:t>
      </w:r>
      <w:r>
        <w:rPr>
          <w:szCs w:val="22"/>
        </w:rPr>
        <w:t>D.20-08-045 at 124 (SCE’s Charge Ready 2).</w:t>
      </w:r>
    </w:p>
  </w:footnote>
  <w:footnote w:id="15">
    <w:p w14:paraId="51C91CF7" w14:textId="77777777" w:rsidR="00E9754F" w:rsidRDefault="00E9754F" w:rsidP="00E9754F">
      <w:pPr>
        <w:pStyle w:val="FootnoteText"/>
        <w:rPr>
          <w:szCs w:val="22"/>
        </w:rPr>
      </w:pPr>
      <w:r>
        <w:rPr>
          <w:rStyle w:val="FootnoteReference"/>
          <w:szCs w:val="22"/>
        </w:rPr>
        <w:footnoteRef/>
      </w:r>
      <w:r>
        <w:rPr>
          <w:szCs w:val="22"/>
        </w:rPr>
        <w:t xml:space="preserve"> D.21-04-014 (</w:t>
      </w:r>
      <w:r>
        <w:rPr>
          <w:color w:val="000000" w:themeColor="text1"/>
          <w:szCs w:val="22"/>
        </w:rPr>
        <w:t xml:space="preserve">SDG&amp;E’s Power Your Drive Extension); </w:t>
      </w:r>
      <w:r>
        <w:rPr>
          <w:szCs w:val="22"/>
        </w:rPr>
        <w:t>D.20-08-045 (SCE’s Charge Ready 2).</w:t>
      </w:r>
    </w:p>
  </w:footnote>
  <w:footnote w:id="16">
    <w:p w14:paraId="2B690F91" w14:textId="77777777" w:rsidR="00E9754F" w:rsidRDefault="00E9754F" w:rsidP="00E9754F">
      <w:pPr>
        <w:pStyle w:val="FootnoteText"/>
        <w:rPr>
          <w:szCs w:val="22"/>
        </w:rPr>
      </w:pPr>
      <w:r>
        <w:rPr>
          <w:rStyle w:val="FootnoteReference"/>
          <w:szCs w:val="22"/>
        </w:rPr>
        <w:footnoteRef/>
      </w:r>
      <w:r>
        <w:rPr>
          <w:szCs w:val="22"/>
        </w:rPr>
        <w:t xml:space="preserve"> </w:t>
      </w:r>
      <w:r>
        <w:rPr>
          <w:color w:val="000000" w:themeColor="text1"/>
          <w:szCs w:val="22"/>
        </w:rPr>
        <w:t>D.20-12-029, Ordering Paragraph 2.</w:t>
      </w:r>
    </w:p>
  </w:footnote>
  <w:footnote w:id="17">
    <w:p w14:paraId="7886ED5D" w14:textId="05AEA038" w:rsidR="00E9754F" w:rsidRDefault="00E9754F" w:rsidP="00E9754F">
      <w:pPr>
        <w:pStyle w:val="FootnoteText"/>
        <w:rPr>
          <w:szCs w:val="22"/>
        </w:rPr>
      </w:pPr>
      <w:r>
        <w:rPr>
          <w:rStyle w:val="FootnoteReference"/>
          <w:szCs w:val="22"/>
        </w:rPr>
        <w:footnoteRef/>
      </w:r>
      <w:r>
        <w:rPr>
          <w:szCs w:val="22"/>
        </w:rPr>
        <w:t xml:space="preserve"> Ruling Requesting Comment on the </w:t>
      </w:r>
      <w:r w:rsidR="00AA3845">
        <w:rPr>
          <w:szCs w:val="22"/>
        </w:rPr>
        <w:t xml:space="preserve">Joint </w:t>
      </w:r>
      <w:r>
        <w:rPr>
          <w:szCs w:val="22"/>
        </w:rPr>
        <w:t>IOU</w:t>
      </w:r>
      <w:r w:rsidR="00AA3845">
        <w:rPr>
          <w:szCs w:val="22"/>
        </w:rPr>
        <w:t xml:space="preserve"> </w:t>
      </w:r>
      <w:r>
        <w:rPr>
          <w:szCs w:val="22"/>
        </w:rPr>
        <w:t>Data Assessment Analysis, Attachment 2 at 2.</w:t>
      </w:r>
    </w:p>
  </w:footnote>
  <w:footnote w:id="18">
    <w:p w14:paraId="6B4CF1C2" w14:textId="554FAC8E" w:rsidR="00E9754F" w:rsidRDefault="00E9754F" w:rsidP="00E9754F">
      <w:pPr>
        <w:pStyle w:val="FootnoteText"/>
        <w:rPr>
          <w:szCs w:val="22"/>
        </w:rPr>
      </w:pPr>
      <w:r>
        <w:rPr>
          <w:rStyle w:val="FootnoteReference"/>
          <w:szCs w:val="22"/>
        </w:rPr>
        <w:footnoteRef/>
      </w:r>
      <w:r>
        <w:rPr>
          <w:szCs w:val="22"/>
        </w:rPr>
        <w:t xml:space="preserve"> CLECA Comments on the </w:t>
      </w:r>
      <w:r w:rsidR="00AA3845">
        <w:rPr>
          <w:szCs w:val="22"/>
        </w:rPr>
        <w:t xml:space="preserve">Joint </w:t>
      </w:r>
      <w:r>
        <w:rPr>
          <w:szCs w:val="22"/>
        </w:rPr>
        <w:t xml:space="preserve">IOU Data Assessment Analysis at 3. </w:t>
      </w:r>
    </w:p>
  </w:footnote>
  <w:footnote w:id="19">
    <w:p w14:paraId="01E38BC1" w14:textId="77777777" w:rsidR="00E9754F" w:rsidRDefault="00E9754F" w:rsidP="00E9754F">
      <w:pPr>
        <w:pStyle w:val="FootnoteText"/>
        <w:rPr>
          <w:szCs w:val="22"/>
        </w:rPr>
      </w:pPr>
      <w:r>
        <w:rPr>
          <w:rStyle w:val="FootnoteReference"/>
          <w:szCs w:val="22"/>
        </w:rPr>
        <w:footnoteRef/>
      </w:r>
      <w:r>
        <w:rPr>
          <w:szCs w:val="22"/>
        </w:rPr>
        <w:t xml:space="preserve"> </w:t>
      </w:r>
      <w:r>
        <w:rPr>
          <w:i/>
          <w:iCs/>
          <w:szCs w:val="22"/>
        </w:rPr>
        <w:t>Id.</w:t>
      </w:r>
      <w:r>
        <w:rPr>
          <w:szCs w:val="22"/>
        </w:rPr>
        <w:t xml:space="preserve"> at 4.</w:t>
      </w:r>
    </w:p>
  </w:footnote>
  <w:footnote w:id="20">
    <w:p w14:paraId="11750A5D" w14:textId="1E75804B" w:rsidR="00E9754F" w:rsidRDefault="00E9754F" w:rsidP="00E9754F">
      <w:pPr>
        <w:pStyle w:val="FootnoteText"/>
        <w:rPr>
          <w:szCs w:val="22"/>
        </w:rPr>
      </w:pPr>
      <w:r>
        <w:rPr>
          <w:rStyle w:val="FootnoteReference"/>
          <w:szCs w:val="22"/>
        </w:rPr>
        <w:footnoteRef/>
      </w:r>
      <w:r>
        <w:rPr>
          <w:szCs w:val="22"/>
        </w:rPr>
        <w:t xml:space="preserve"> </w:t>
      </w:r>
      <w:r w:rsidR="00DB482F">
        <w:rPr>
          <w:szCs w:val="22"/>
        </w:rPr>
        <w:t xml:space="preserve">PG&amp;E, SDG&amp;E and SCE </w:t>
      </w:r>
      <w:r w:rsidR="00520AF4">
        <w:rPr>
          <w:szCs w:val="22"/>
        </w:rPr>
        <w:t xml:space="preserve">Joint </w:t>
      </w:r>
      <w:r>
        <w:rPr>
          <w:szCs w:val="22"/>
        </w:rPr>
        <w:t xml:space="preserve">Reply Comments on the </w:t>
      </w:r>
      <w:r w:rsidR="00DB482F">
        <w:rPr>
          <w:szCs w:val="22"/>
        </w:rPr>
        <w:t xml:space="preserve">Joint </w:t>
      </w:r>
      <w:r>
        <w:rPr>
          <w:szCs w:val="22"/>
        </w:rPr>
        <w:t>IOU Data Assessment Analysis at 4.</w:t>
      </w:r>
    </w:p>
  </w:footnote>
  <w:footnote w:id="21">
    <w:p w14:paraId="521B3B72" w14:textId="76A2A741" w:rsidR="00E9754F" w:rsidRDefault="00E9754F" w:rsidP="00E9754F">
      <w:pPr>
        <w:pStyle w:val="FootnoteText"/>
        <w:rPr>
          <w:szCs w:val="22"/>
        </w:rPr>
      </w:pPr>
      <w:r>
        <w:rPr>
          <w:rStyle w:val="FootnoteReference"/>
          <w:szCs w:val="22"/>
        </w:rPr>
        <w:footnoteRef/>
      </w:r>
      <w:r>
        <w:rPr>
          <w:szCs w:val="22"/>
        </w:rPr>
        <w:t xml:space="preserve"> VGIC Reply Comments on the </w:t>
      </w:r>
      <w:r w:rsidR="00DB482F">
        <w:rPr>
          <w:szCs w:val="22"/>
        </w:rPr>
        <w:t xml:space="preserve">Joint </w:t>
      </w:r>
      <w:r>
        <w:rPr>
          <w:szCs w:val="22"/>
        </w:rPr>
        <w:t>IOU Data Assessment Analysis at 3.</w:t>
      </w:r>
    </w:p>
  </w:footnote>
  <w:footnote w:id="22">
    <w:p w14:paraId="79C474F4" w14:textId="3B18DA9F" w:rsidR="00E9754F" w:rsidRPr="00DB482F" w:rsidRDefault="00E9754F" w:rsidP="00E9754F">
      <w:pPr>
        <w:pStyle w:val="FootnoteText"/>
        <w:rPr>
          <w:szCs w:val="22"/>
        </w:rPr>
      </w:pPr>
      <w:r>
        <w:rPr>
          <w:rStyle w:val="FootnoteReference"/>
          <w:szCs w:val="22"/>
        </w:rPr>
        <w:footnoteRef/>
      </w:r>
      <w:r>
        <w:rPr>
          <w:szCs w:val="22"/>
        </w:rPr>
        <w:t xml:space="preserve"> </w:t>
      </w:r>
      <w:r w:rsidR="00DB482F">
        <w:rPr>
          <w:i/>
          <w:iCs/>
          <w:szCs w:val="22"/>
        </w:rPr>
        <w:t>Ibid</w:t>
      </w:r>
      <w:r w:rsidR="00DB482F">
        <w:rPr>
          <w:szCs w:val="22"/>
        </w:rPr>
        <w:t>.</w:t>
      </w:r>
    </w:p>
  </w:footnote>
  <w:footnote w:id="23">
    <w:p w14:paraId="00C7AE1B" w14:textId="77777777" w:rsidR="00E9754F" w:rsidRDefault="00E9754F" w:rsidP="00E9754F">
      <w:pPr>
        <w:pStyle w:val="FootnoteText"/>
        <w:rPr>
          <w:szCs w:val="22"/>
        </w:rPr>
      </w:pPr>
      <w:r>
        <w:rPr>
          <w:rStyle w:val="FootnoteReference"/>
          <w:szCs w:val="22"/>
        </w:rPr>
        <w:footnoteRef/>
      </w:r>
      <w:r>
        <w:rPr>
          <w:szCs w:val="22"/>
        </w:rPr>
        <w:t xml:space="preserve"> D.20-12-029 at Ordering Paragraph 1.</w:t>
      </w:r>
    </w:p>
  </w:footnote>
  <w:footnote w:id="24">
    <w:p w14:paraId="076EDFDC" w14:textId="6654EF17" w:rsidR="00E9754F" w:rsidRDefault="00E9754F" w:rsidP="00E9754F">
      <w:pPr>
        <w:pStyle w:val="FootnoteText"/>
        <w:rPr>
          <w:szCs w:val="22"/>
        </w:rPr>
      </w:pPr>
      <w:r>
        <w:rPr>
          <w:rStyle w:val="FootnoteReference"/>
          <w:szCs w:val="22"/>
        </w:rPr>
        <w:footnoteRef/>
      </w:r>
      <w:r>
        <w:rPr>
          <w:szCs w:val="22"/>
        </w:rPr>
        <w:t xml:space="preserve"> Ruling Requesting Comment on the </w:t>
      </w:r>
      <w:r w:rsidR="004E476C">
        <w:rPr>
          <w:szCs w:val="22"/>
        </w:rPr>
        <w:t xml:space="preserve">Joint </w:t>
      </w:r>
      <w:r>
        <w:rPr>
          <w:szCs w:val="22"/>
        </w:rPr>
        <w:t>IOU Data Assessment Analysis, Attachment 2 at 2.</w:t>
      </w:r>
    </w:p>
  </w:footnote>
  <w:footnote w:id="25">
    <w:p w14:paraId="438EA82E" w14:textId="63653BE4" w:rsidR="00E9754F" w:rsidRDefault="00E9754F" w:rsidP="00E9754F">
      <w:pPr>
        <w:pStyle w:val="FootnoteText"/>
        <w:rPr>
          <w:szCs w:val="22"/>
        </w:rPr>
      </w:pPr>
      <w:r>
        <w:rPr>
          <w:rStyle w:val="FootnoteReference"/>
          <w:szCs w:val="22"/>
        </w:rPr>
        <w:footnoteRef/>
      </w:r>
      <w:r>
        <w:rPr>
          <w:szCs w:val="22"/>
        </w:rPr>
        <w:t xml:space="preserve"> VGIC Reply Comments on the</w:t>
      </w:r>
      <w:r w:rsidR="004E476C">
        <w:rPr>
          <w:szCs w:val="22"/>
        </w:rPr>
        <w:t xml:space="preserve"> Joint</w:t>
      </w:r>
      <w:r>
        <w:rPr>
          <w:szCs w:val="22"/>
        </w:rPr>
        <w:t xml:space="preserve"> IOU Data Assessment Analysis at 2.</w:t>
      </w:r>
    </w:p>
  </w:footnote>
  <w:footnote w:id="26">
    <w:p w14:paraId="5616E8FD" w14:textId="5411DAB1" w:rsidR="007C35C6" w:rsidRDefault="007C35C6">
      <w:pPr>
        <w:pStyle w:val="FootnoteText"/>
      </w:pPr>
      <w:r>
        <w:rPr>
          <w:rStyle w:val="FootnoteReference"/>
        </w:rPr>
        <w:footnoteRef/>
      </w:r>
      <w:r>
        <w:t xml:space="preserve"> D.20-12-029, </w:t>
      </w:r>
      <w:r w:rsidRPr="005A7828">
        <w:rPr>
          <w:szCs w:val="26"/>
        </w:rPr>
        <w:t>OP 20</w:t>
      </w:r>
      <w:r>
        <w:rPr>
          <w:szCs w:val="26"/>
        </w:rPr>
        <w:t>.</w:t>
      </w:r>
    </w:p>
  </w:footnote>
  <w:footnote w:id="27">
    <w:p w14:paraId="52D6C6F6" w14:textId="77777777" w:rsidR="00E9754F" w:rsidRDefault="00E9754F" w:rsidP="00E9754F">
      <w:pPr>
        <w:pStyle w:val="FootnoteText"/>
        <w:rPr>
          <w:szCs w:val="22"/>
        </w:rPr>
      </w:pPr>
      <w:r>
        <w:rPr>
          <w:rStyle w:val="FootnoteReference"/>
          <w:szCs w:val="22"/>
        </w:rPr>
        <w:footnoteRef/>
      </w:r>
      <w:r>
        <w:rPr>
          <w:szCs w:val="22"/>
        </w:rPr>
        <w:t xml:space="preserve"> </w:t>
      </w:r>
      <w:hyperlink r:id="rId1" w:history="1">
        <w:r w:rsidRPr="00E90ADB">
          <w:rPr>
            <w:rStyle w:val="Hyperlink"/>
            <w:color w:val="000000" w:themeColor="text1"/>
            <w:szCs w:val="22"/>
            <w:u w:val="none"/>
          </w:rPr>
          <w:t>D.11-07-029</w:t>
        </w:r>
      </w:hyperlink>
      <w:r>
        <w:rPr>
          <w:szCs w:val="22"/>
        </w:rPr>
        <w:t xml:space="preserve"> at </w:t>
      </w:r>
      <w:r>
        <w:rPr>
          <w:color w:val="000000" w:themeColor="text1"/>
          <w:szCs w:val="22"/>
        </w:rPr>
        <w:t>Ordering Paragraphs 6 and 7.</w:t>
      </w:r>
    </w:p>
  </w:footnote>
  <w:footnote w:id="28">
    <w:p w14:paraId="149BB039" w14:textId="299CFB40" w:rsidR="00E9754F" w:rsidRDefault="00E9754F" w:rsidP="00E9754F">
      <w:pPr>
        <w:pStyle w:val="FootnoteText"/>
        <w:rPr>
          <w:szCs w:val="22"/>
        </w:rPr>
      </w:pPr>
      <w:r>
        <w:rPr>
          <w:rStyle w:val="FootnoteReference"/>
          <w:szCs w:val="22"/>
        </w:rPr>
        <w:footnoteRef/>
      </w:r>
      <w:r>
        <w:rPr>
          <w:szCs w:val="22"/>
        </w:rPr>
        <w:t xml:space="preserve"> D.11-07-029 at Ordering Paragraph 7; </w:t>
      </w:r>
      <w:r>
        <w:rPr>
          <w:color w:val="000000" w:themeColor="text1"/>
          <w:szCs w:val="22"/>
        </w:rPr>
        <w:t xml:space="preserve">D.13-06-014 at </w:t>
      </w:r>
      <w:r>
        <w:rPr>
          <w:szCs w:val="22"/>
        </w:rPr>
        <w:t xml:space="preserve">Ordering Paragraph </w:t>
      </w:r>
      <w:r>
        <w:rPr>
          <w:color w:val="000000" w:themeColor="text1"/>
          <w:szCs w:val="22"/>
        </w:rPr>
        <w:t xml:space="preserve">7; D.16-06-011 at </w:t>
      </w:r>
      <w:r>
        <w:rPr>
          <w:szCs w:val="22"/>
        </w:rPr>
        <w:t xml:space="preserve">Ordering Paragraph </w:t>
      </w:r>
      <w:r>
        <w:rPr>
          <w:color w:val="000000" w:themeColor="text1"/>
          <w:szCs w:val="22"/>
        </w:rPr>
        <w:t xml:space="preserve">4, R.18-12-006 (Scoping Memo and Ruling at </w:t>
      </w:r>
      <w:r>
        <w:rPr>
          <w:szCs w:val="22"/>
        </w:rPr>
        <w:t>Ordering Paragraph 9; Jan</w:t>
      </w:r>
      <w:r w:rsidR="00590EF6">
        <w:rPr>
          <w:szCs w:val="22"/>
        </w:rPr>
        <w:t>uary</w:t>
      </w:r>
      <w:r>
        <w:rPr>
          <w:szCs w:val="22"/>
        </w:rPr>
        <w:t xml:space="preserve"> 6, 2020 </w:t>
      </w:r>
      <w:r>
        <w:rPr>
          <w:color w:val="000000" w:themeColor="text1"/>
          <w:szCs w:val="22"/>
        </w:rPr>
        <w:t>ALJ Ruling).</w:t>
      </w:r>
    </w:p>
  </w:footnote>
  <w:footnote w:id="29">
    <w:p w14:paraId="33C440EA" w14:textId="0ABE99BE" w:rsidR="00E9754F" w:rsidRDefault="00E9754F" w:rsidP="00E9754F">
      <w:pPr>
        <w:pStyle w:val="FootnoteText"/>
        <w:rPr>
          <w:szCs w:val="22"/>
        </w:rPr>
      </w:pPr>
      <w:r>
        <w:rPr>
          <w:rStyle w:val="FootnoteReference"/>
          <w:szCs w:val="22"/>
        </w:rPr>
        <w:footnoteRef/>
      </w:r>
      <w:r>
        <w:rPr>
          <w:szCs w:val="22"/>
        </w:rPr>
        <w:t xml:space="preserve"> Ruling Requesting Comment on the </w:t>
      </w:r>
      <w:r w:rsidR="004E476C">
        <w:rPr>
          <w:szCs w:val="22"/>
        </w:rPr>
        <w:t xml:space="preserve">Joint </w:t>
      </w:r>
      <w:r>
        <w:rPr>
          <w:szCs w:val="22"/>
        </w:rPr>
        <w:t>IOUs Data Assessment Analysis, Attachment 2 at 2.</w:t>
      </w:r>
    </w:p>
  </w:footnote>
  <w:footnote w:id="30">
    <w:p w14:paraId="0AFB326B" w14:textId="3475154A" w:rsidR="00E9754F" w:rsidRDefault="00E9754F" w:rsidP="00E9754F">
      <w:pPr>
        <w:pStyle w:val="FootnoteText"/>
        <w:rPr>
          <w:szCs w:val="22"/>
        </w:rPr>
      </w:pPr>
      <w:r>
        <w:rPr>
          <w:rStyle w:val="FootnoteReference"/>
          <w:szCs w:val="22"/>
        </w:rPr>
        <w:footnoteRef/>
      </w:r>
      <w:r>
        <w:rPr>
          <w:szCs w:val="22"/>
        </w:rPr>
        <w:t xml:space="preserve"> Cal Advocates Comments on the </w:t>
      </w:r>
      <w:r w:rsidR="004E476C">
        <w:rPr>
          <w:szCs w:val="22"/>
        </w:rPr>
        <w:t xml:space="preserve">Joint </w:t>
      </w:r>
      <w:r>
        <w:rPr>
          <w:szCs w:val="22"/>
        </w:rPr>
        <w:t xml:space="preserve">IOUs Data Assessment Analysis at 4.  </w:t>
      </w:r>
    </w:p>
  </w:footnote>
  <w:footnote w:id="31">
    <w:p w14:paraId="61C9EB71" w14:textId="1CE975DD" w:rsidR="00E9754F" w:rsidRDefault="00E9754F" w:rsidP="00E9754F">
      <w:pPr>
        <w:pStyle w:val="FootnoteText"/>
        <w:rPr>
          <w:szCs w:val="22"/>
        </w:rPr>
      </w:pPr>
      <w:r>
        <w:rPr>
          <w:rStyle w:val="FootnoteReference"/>
          <w:szCs w:val="22"/>
        </w:rPr>
        <w:footnoteRef/>
      </w:r>
      <w:r>
        <w:rPr>
          <w:szCs w:val="22"/>
        </w:rPr>
        <w:t xml:space="preserve"> </w:t>
      </w:r>
      <w:r w:rsidR="004E476C">
        <w:rPr>
          <w:szCs w:val="22"/>
        </w:rPr>
        <w:t xml:space="preserve">PG&amp;E, SDG&amp;E and SCE </w:t>
      </w:r>
      <w:r w:rsidR="00520AF4">
        <w:rPr>
          <w:szCs w:val="22"/>
        </w:rPr>
        <w:t xml:space="preserve">Joint </w:t>
      </w:r>
      <w:r>
        <w:rPr>
          <w:szCs w:val="22"/>
        </w:rPr>
        <w:t>Reply Comments on the</w:t>
      </w:r>
      <w:r w:rsidR="004E476C">
        <w:rPr>
          <w:szCs w:val="22"/>
        </w:rPr>
        <w:t xml:space="preserve"> Joint</w:t>
      </w:r>
      <w:r>
        <w:rPr>
          <w:szCs w:val="22"/>
        </w:rPr>
        <w:t xml:space="preserve"> IOUs’ Data Assessment Analysis at 3.</w:t>
      </w:r>
    </w:p>
  </w:footnote>
  <w:footnote w:id="32">
    <w:p w14:paraId="1A5A2D36" w14:textId="220878BE" w:rsidR="00E9754F" w:rsidRDefault="00E9754F" w:rsidP="00E9754F">
      <w:pPr>
        <w:pStyle w:val="FootnoteText"/>
        <w:rPr>
          <w:szCs w:val="22"/>
        </w:rPr>
      </w:pPr>
      <w:r>
        <w:rPr>
          <w:rStyle w:val="FootnoteReference"/>
          <w:szCs w:val="22"/>
        </w:rPr>
        <w:footnoteRef/>
      </w:r>
      <w:r>
        <w:rPr>
          <w:szCs w:val="22"/>
        </w:rPr>
        <w:t xml:space="preserve"> Cal Advocates Comments on the </w:t>
      </w:r>
      <w:r w:rsidR="004E476C">
        <w:rPr>
          <w:szCs w:val="22"/>
        </w:rPr>
        <w:t xml:space="preserve">Joint </w:t>
      </w:r>
      <w:r>
        <w:rPr>
          <w:szCs w:val="22"/>
        </w:rPr>
        <w:t xml:space="preserve">IOU Data Assessment Analysis at 4.  </w:t>
      </w:r>
    </w:p>
  </w:footnote>
  <w:footnote w:id="33">
    <w:p w14:paraId="10853E52" w14:textId="6674AE34" w:rsidR="00E9754F" w:rsidRDefault="00E9754F" w:rsidP="00E9754F">
      <w:pPr>
        <w:pStyle w:val="FootnoteText"/>
        <w:rPr>
          <w:szCs w:val="22"/>
        </w:rPr>
      </w:pPr>
      <w:r>
        <w:rPr>
          <w:rStyle w:val="FootnoteReference"/>
          <w:szCs w:val="22"/>
        </w:rPr>
        <w:footnoteRef/>
      </w:r>
      <w:r>
        <w:rPr>
          <w:szCs w:val="22"/>
        </w:rPr>
        <w:t xml:space="preserve"> </w:t>
      </w:r>
      <w:r w:rsidR="004E476C">
        <w:rPr>
          <w:szCs w:val="22"/>
        </w:rPr>
        <w:t xml:space="preserve">Joint PG&amp;E, SDG&amp;E and SCE </w:t>
      </w:r>
      <w:r>
        <w:rPr>
          <w:szCs w:val="22"/>
        </w:rPr>
        <w:t xml:space="preserve">Reply Comments on the </w:t>
      </w:r>
      <w:r w:rsidR="004E476C">
        <w:rPr>
          <w:szCs w:val="22"/>
        </w:rPr>
        <w:t xml:space="preserve">Joint </w:t>
      </w:r>
      <w:r>
        <w:rPr>
          <w:szCs w:val="22"/>
        </w:rPr>
        <w:t>IOU Data Assessment Analysis at 2.</w:t>
      </w:r>
    </w:p>
  </w:footnote>
  <w:footnote w:id="34">
    <w:p w14:paraId="6604349E" w14:textId="609B5FD0" w:rsidR="003D103C" w:rsidRPr="00361300" w:rsidRDefault="003D103C" w:rsidP="005C6149">
      <w:pPr>
        <w:pStyle w:val="FootnoteText"/>
        <w:rPr>
          <w:szCs w:val="22"/>
        </w:rPr>
      </w:pPr>
      <w:r w:rsidRPr="00361300">
        <w:rPr>
          <w:rStyle w:val="FootnoteReference"/>
          <w:szCs w:val="22"/>
        </w:rPr>
        <w:footnoteRef/>
      </w:r>
      <w:r w:rsidRPr="00361300">
        <w:rPr>
          <w:szCs w:val="22"/>
        </w:rPr>
        <w:t xml:space="preserve"> </w:t>
      </w:r>
      <w:r w:rsidR="00090DCB" w:rsidRPr="00361300">
        <w:rPr>
          <w:szCs w:val="22"/>
        </w:rPr>
        <w:t xml:space="preserve">CASMU Opening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00090DCB" w:rsidRPr="00361300">
        <w:rPr>
          <w:szCs w:val="22"/>
        </w:rPr>
        <w:t xml:space="preserve">at 11-12; </w:t>
      </w:r>
      <w:r w:rsidR="007E633A" w:rsidRPr="00361300">
        <w:rPr>
          <w:szCs w:val="22"/>
        </w:rPr>
        <w:t xml:space="preserve">PG&amp;E Opening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007E633A" w:rsidRPr="00361300">
        <w:rPr>
          <w:szCs w:val="22"/>
        </w:rPr>
        <w:t xml:space="preserve">at 7-8; </w:t>
      </w:r>
      <w:r w:rsidRPr="00361300">
        <w:rPr>
          <w:szCs w:val="22"/>
        </w:rPr>
        <w:t xml:space="preserve">SDG&amp;E Opening Comments </w:t>
      </w:r>
      <w:r w:rsidR="001171A5" w:rsidRPr="00361300">
        <w:rPr>
          <w:szCs w:val="22"/>
        </w:rPr>
        <w:t xml:space="preserve">on June 3 Ruling </w:t>
      </w:r>
      <w:r w:rsidRPr="00361300">
        <w:rPr>
          <w:szCs w:val="22"/>
        </w:rPr>
        <w:t xml:space="preserve">at </w:t>
      </w:r>
      <w:r w:rsidR="007E633A" w:rsidRPr="00361300">
        <w:rPr>
          <w:szCs w:val="22"/>
        </w:rPr>
        <w:t xml:space="preserve">5; </w:t>
      </w:r>
      <w:r w:rsidRPr="00361300">
        <w:rPr>
          <w:szCs w:val="22"/>
        </w:rPr>
        <w:t>SCE Opening Comments</w:t>
      </w:r>
      <w:r w:rsidR="007E633A" w:rsidRPr="00361300">
        <w:rPr>
          <w:szCs w:val="22"/>
        </w:rPr>
        <w:t xml:space="preserve"> </w:t>
      </w:r>
      <w:r w:rsidR="001171A5" w:rsidRPr="00361300">
        <w:rPr>
          <w:szCs w:val="22"/>
        </w:rPr>
        <w:t xml:space="preserve">on June 3 Ruling </w:t>
      </w:r>
      <w:r w:rsidR="007E633A" w:rsidRPr="00361300">
        <w:rPr>
          <w:szCs w:val="22"/>
        </w:rPr>
        <w:t>at 5.</w:t>
      </w:r>
    </w:p>
  </w:footnote>
  <w:footnote w:id="35">
    <w:p w14:paraId="722B1F76" w14:textId="2BFB1A1D" w:rsidR="007E633A" w:rsidRPr="00361300" w:rsidRDefault="007E633A" w:rsidP="005C6149">
      <w:pPr>
        <w:pStyle w:val="FootnoteText"/>
        <w:rPr>
          <w:szCs w:val="22"/>
        </w:rPr>
      </w:pPr>
      <w:r w:rsidRPr="00361300">
        <w:rPr>
          <w:rStyle w:val="FootnoteReference"/>
          <w:szCs w:val="22"/>
        </w:rPr>
        <w:footnoteRef/>
      </w:r>
      <w:r w:rsidRPr="00361300">
        <w:rPr>
          <w:szCs w:val="22"/>
        </w:rPr>
        <w:t xml:space="preserve"> PG&amp;E Opening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Pr="00361300">
        <w:rPr>
          <w:szCs w:val="22"/>
        </w:rPr>
        <w:t xml:space="preserve">at 7-8; SCE Opening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Pr="00361300">
        <w:rPr>
          <w:szCs w:val="22"/>
        </w:rPr>
        <w:t>at 6.</w:t>
      </w:r>
    </w:p>
  </w:footnote>
  <w:footnote w:id="36">
    <w:p w14:paraId="22D749F3" w14:textId="5A3DB0AA" w:rsidR="005B02F5" w:rsidRPr="00361300" w:rsidRDefault="005B02F5" w:rsidP="005C6149">
      <w:pPr>
        <w:pStyle w:val="FootnoteText"/>
        <w:rPr>
          <w:szCs w:val="22"/>
        </w:rPr>
      </w:pPr>
      <w:r w:rsidRPr="00361300">
        <w:rPr>
          <w:rStyle w:val="FootnoteReference"/>
          <w:szCs w:val="22"/>
        </w:rPr>
        <w:footnoteRef/>
      </w:r>
      <w:r w:rsidRPr="00361300">
        <w:rPr>
          <w:szCs w:val="22"/>
        </w:rPr>
        <w:t xml:space="preserve"> </w:t>
      </w:r>
      <w:r w:rsidR="00C76034" w:rsidRPr="00361300">
        <w:rPr>
          <w:szCs w:val="22"/>
        </w:rPr>
        <w:t xml:space="preserve">CSE Opening Comments </w:t>
      </w:r>
      <w:r w:rsidR="001171A5" w:rsidRPr="00361300">
        <w:rPr>
          <w:szCs w:val="22"/>
        </w:rPr>
        <w:t>on</w:t>
      </w:r>
      <w:r w:rsidR="00D40438" w:rsidRPr="00361300">
        <w:rPr>
          <w:szCs w:val="22"/>
        </w:rPr>
        <w:t xml:space="preserve"> the</w:t>
      </w:r>
      <w:r w:rsidR="001171A5" w:rsidRPr="00361300">
        <w:rPr>
          <w:szCs w:val="22"/>
        </w:rPr>
        <w:t xml:space="preserve"> June 3 Ruling </w:t>
      </w:r>
      <w:r w:rsidR="00C76034" w:rsidRPr="00361300">
        <w:rPr>
          <w:szCs w:val="22"/>
        </w:rPr>
        <w:t xml:space="preserve">at 6; CALSTART Opening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00C76034" w:rsidRPr="00361300">
        <w:rPr>
          <w:szCs w:val="22"/>
        </w:rPr>
        <w:t>at 4-5.</w:t>
      </w:r>
    </w:p>
  </w:footnote>
  <w:footnote w:id="37">
    <w:p w14:paraId="58321076" w14:textId="2F4CBD49" w:rsidR="00BD14B9" w:rsidRPr="00361300" w:rsidRDefault="00BD14B9" w:rsidP="005C6149">
      <w:pPr>
        <w:pStyle w:val="FootnoteText"/>
        <w:rPr>
          <w:szCs w:val="22"/>
        </w:rPr>
      </w:pPr>
      <w:r w:rsidRPr="00361300">
        <w:rPr>
          <w:rStyle w:val="FootnoteReference"/>
          <w:szCs w:val="22"/>
        </w:rPr>
        <w:footnoteRef/>
      </w:r>
      <w:r w:rsidRPr="00361300">
        <w:rPr>
          <w:szCs w:val="22"/>
        </w:rPr>
        <w:t xml:space="preserve"> SDG&amp;E Reply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Pr="00361300">
        <w:rPr>
          <w:szCs w:val="22"/>
        </w:rPr>
        <w:t xml:space="preserve">at 5; SCE Reply Comments </w:t>
      </w:r>
      <w:r w:rsidR="001171A5" w:rsidRPr="00361300">
        <w:rPr>
          <w:szCs w:val="22"/>
        </w:rPr>
        <w:t xml:space="preserve">on </w:t>
      </w:r>
      <w:r w:rsidR="00D40438" w:rsidRPr="00361300">
        <w:rPr>
          <w:szCs w:val="22"/>
        </w:rPr>
        <w:t xml:space="preserve">the </w:t>
      </w:r>
      <w:r w:rsidR="001171A5" w:rsidRPr="00361300">
        <w:rPr>
          <w:szCs w:val="22"/>
        </w:rPr>
        <w:t xml:space="preserve">June 3 Ruling </w:t>
      </w:r>
      <w:r w:rsidRPr="00361300">
        <w:rPr>
          <w:szCs w:val="22"/>
        </w:rPr>
        <w:t>at 11.</w:t>
      </w:r>
    </w:p>
  </w:footnote>
  <w:footnote w:id="38">
    <w:p w14:paraId="2E1A0B3F" w14:textId="77777777" w:rsidR="00C2056F" w:rsidRPr="00361300" w:rsidRDefault="00C2056F" w:rsidP="00C2056F">
      <w:pPr>
        <w:pStyle w:val="FootnoteText"/>
        <w:rPr>
          <w:szCs w:val="22"/>
        </w:rPr>
      </w:pPr>
      <w:r w:rsidRPr="00361300">
        <w:rPr>
          <w:rStyle w:val="FootnoteReference"/>
          <w:szCs w:val="22"/>
        </w:rPr>
        <w:footnoteRef/>
      </w:r>
      <w:r w:rsidRPr="00361300">
        <w:rPr>
          <w:szCs w:val="22"/>
        </w:rPr>
        <w:t xml:space="preserve"> The TA Program continues to be available </w:t>
      </w:r>
      <w:r w:rsidRPr="00361300">
        <w:rPr>
          <w:rFonts w:cs="Times New Roman"/>
          <w:szCs w:val="22"/>
        </w:rPr>
        <w:t>all customers regardless of program, EV rules participation, status as bundled or unbundled customers.</w:t>
      </w:r>
    </w:p>
  </w:footnote>
  <w:footnote w:id="39">
    <w:p w14:paraId="27E45B85" w14:textId="77777777" w:rsidR="00E9754F" w:rsidRPr="00361300" w:rsidRDefault="00E9754F" w:rsidP="00E9754F">
      <w:pPr>
        <w:pStyle w:val="FootnoteText"/>
        <w:rPr>
          <w:szCs w:val="22"/>
        </w:rPr>
      </w:pPr>
      <w:r w:rsidRPr="00361300">
        <w:rPr>
          <w:rStyle w:val="FootnoteReference"/>
          <w:szCs w:val="22"/>
        </w:rPr>
        <w:footnoteRef/>
      </w:r>
      <w:r w:rsidRPr="00361300">
        <w:rPr>
          <w:szCs w:val="22"/>
        </w:rPr>
        <w:t xml:space="preserve"> SDG&amp;E Opening Comments on the June 3 Ruling at 2; SCE Reply Comments on the June 3 Ruling at 5.</w:t>
      </w:r>
    </w:p>
  </w:footnote>
  <w:footnote w:id="40">
    <w:p w14:paraId="7E97C7CB" w14:textId="77777777" w:rsidR="00E9754F" w:rsidRPr="00361300" w:rsidRDefault="00E9754F" w:rsidP="00E9754F">
      <w:pPr>
        <w:pStyle w:val="FootnoteText"/>
        <w:rPr>
          <w:szCs w:val="22"/>
        </w:rPr>
      </w:pPr>
      <w:r w:rsidRPr="00361300">
        <w:rPr>
          <w:rStyle w:val="FootnoteReference"/>
          <w:szCs w:val="22"/>
        </w:rPr>
        <w:footnoteRef/>
      </w:r>
      <w:r w:rsidRPr="00361300">
        <w:rPr>
          <w:szCs w:val="22"/>
        </w:rPr>
        <w:t xml:space="preserve"> CLECA Opening Comments on the June 3 Ruling at 14; Clean Energy Opening Comments on the June 3 Ruling at 10.</w:t>
      </w:r>
    </w:p>
  </w:footnote>
  <w:footnote w:id="41">
    <w:p w14:paraId="6B9B3EC5" w14:textId="77777777" w:rsidR="00125D4B" w:rsidRDefault="00125D4B" w:rsidP="00125D4B">
      <w:pPr>
        <w:pStyle w:val="FootnoteText"/>
      </w:pPr>
      <w:r>
        <w:rPr>
          <w:rStyle w:val="FootnoteReference"/>
        </w:rPr>
        <w:footnoteRef/>
      </w:r>
      <w:r>
        <w:t xml:space="preserve"> Voltera </w:t>
      </w:r>
      <w:r w:rsidRPr="00361300">
        <w:rPr>
          <w:szCs w:val="22"/>
        </w:rPr>
        <w:t>Reply Comments on the June 3 Ruling at</w:t>
      </w:r>
      <w:r>
        <w:rPr>
          <w:szCs w:val="22"/>
        </w:rPr>
        <w:t xml:space="preserve"> 4</w:t>
      </w:r>
      <w:r>
        <w:t xml:space="preserve">;  PACT </w:t>
      </w:r>
      <w:r w:rsidRPr="00361300">
        <w:rPr>
          <w:szCs w:val="22"/>
        </w:rPr>
        <w:t>Reply Comments on the June 3 Ruling at</w:t>
      </w:r>
      <w:r>
        <w:rPr>
          <w:szCs w:val="22"/>
        </w:rPr>
        <w:t xml:space="preserve"> 8</w:t>
      </w:r>
      <w:r>
        <w:t xml:space="preserve">;  and EV Realty </w:t>
      </w:r>
      <w:r w:rsidRPr="00361300">
        <w:rPr>
          <w:szCs w:val="22"/>
        </w:rPr>
        <w:t>Reply Comments on the June 3 Ruling at</w:t>
      </w:r>
      <w:r>
        <w:rPr>
          <w:szCs w:val="22"/>
        </w:rPr>
        <w:t xml:space="preserve"> 5.</w:t>
      </w:r>
    </w:p>
  </w:footnote>
  <w:footnote w:id="42">
    <w:p w14:paraId="3A41B96B" w14:textId="49BD93B0" w:rsidR="00FA6B1C" w:rsidRDefault="00FA6B1C">
      <w:pPr>
        <w:pStyle w:val="FootnoteText"/>
      </w:pPr>
      <w:r>
        <w:rPr>
          <w:rStyle w:val="FootnoteReference"/>
        </w:rPr>
        <w:footnoteRef/>
      </w:r>
      <w:r>
        <w:t xml:space="preserve"> Cal Advocates Opening Comments </w:t>
      </w:r>
      <w:r w:rsidRPr="00361300">
        <w:rPr>
          <w:szCs w:val="22"/>
        </w:rPr>
        <w:t xml:space="preserve">on the June 3 Ruling at </w:t>
      </w:r>
      <w:r>
        <w:rPr>
          <w:szCs w:val="22"/>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8E51" w14:textId="343A83C1" w:rsidR="00C91466" w:rsidRDefault="00C91466" w:rsidP="00C91466">
    <w:pPr>
      <w:pStyle w:val="Header"/>
      <w:tabs>
        <w:tab w:val="clear" w:pos="4680"/>
      </w:tabs>
      <w:ind w:firstLine="0"/>
      <w:rPr>
        <w:b/>
      </w:rPr>
    </w:pPr>
    <w:r>
      <w:t>R.23-12-</w:t>
    </w:r>
    <w:proofErr w:type="gramStart"/>
    <w:r>
      <w:t>008  ALJ</w:t>
    </w:r>
    <w:proofErr w:type="gramEnd"/>
    <w:r>
      <w:t>/MPO/cg7</w:t>
    </w:r>
    <w:r>
      <w:tab/>
    </w:r>
  </w:p>
  <w:p w14:paraId="72419D4D" w14:textId="77777777" w:rsidR="00C91466" w:rsidRDefault="00C91466" w:rsidP="00C91466">
    <w:pPr>
      <w:pStyle w:val="Header"/>
      <w:ind w:firstLine="0"/>
    </w:pPr>
  </w:p>
  <w:p w14:paraId="08BB1670" w14:textId="77777777" w:rsidR="00C91466" w:rsidRDefault="00C91466" w:rsidP="00C9146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B55CF"/>
    <w:multiLevelType w:val="hybridMultilevel"/>
    <w:tmpl w:val="3F94970E"/>
    <w:lvl w:ilvl="0" w:tplc="FFFFFFFF">
      <w:start w:val="1"/>
      <w:numFmt w:val="decimal"/>
      <w:lvlText w:val="%1."/>
      <w:lvlJc w:val="left"/>
      <w:pPr>
        <w:tabs>
          <w:tab w:val="num" w:pos="720"/>
        </w:tabs>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4000D1"/>
    <w:multiLevelType w:val="multilevel"/>
    <w:tmpl w:val="13A02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33A2B"/>
    <w:multiLevelType w:val="multilevel"/>
    <w:tmpl w:val="6AF22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6254BAA"/>
    <w:multiLevelType w:val="multilevel"/>
    <w:tmpl w:val="F226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A591F"/>
    <w:multiLevelType w:val="hybridMultilevel"/>
    <w:tmpl w:val="AB963134"/>
    <w:lvl w:ilvl="0" w:tplc="2548B45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57B5"/>
    <w:multiLevelType w:val="multilevel"/>
    <w:tmpl w:val="E16448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0038F"/>
    <w:multiLevelType w:val="multilevel"/>
    <w:tmpl w:val="3C526EDE"/>
    <w:numStyleLink w:val="Headings"/>
  </w:abstractNum>
  <w:abstractNum w:abstractNumId="11" w15:restartNumberingAfterBreak="0">
    <w:nsid w:val="1E2242C9"/>
    <w:multiLevelType w:val="multilevel"/>
    <w:tmpl w:val="3C526EDE"/>
    <w:numStyleLink w:val="Headings"/>
  </w:abstractNum>
  <w:abstractNum w:abstractNumId="12" w15:restartNumberingAfterBreak="0">
    <w:nsid w:val="21FB58FE"/>
    <w:multiLevelType w:val="multilevel"/>
    <w:tmpl w:val="3C526EDE"/>
    <w:numStyleLink w:val="Headings"/>
  </w:abstractNum>
  <w:abstractNum w:abstractNumId="13" w15:restartNumberingAfterBreak="0">
    <w:nsid w:val="23C14E49"/>
    <w:multiLevelType w:val="multilevel"/>
    <w:tmpl w:val="0E982E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43663A0"/>
    <w:multiLevelType w:val="multilevel"/>
    <w:tmpl w:val="3C526EDE"/>
    <w:numStyleLink w:val="Headings"/>
  </w:abstractNum>
  <w:abstractNum w:abstractNumId="15" w15:restartNumberingAfterBreak="0">
    <w:nsid w:val="28B96C63"/>
    <w:multiLevelType w:val="multilevel"/>
    <w:tmpl w:val="A210B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124D7"/>
    <w:multiLevelType w:val="multilevel"/>
    <w:tmpl w:val="3C526EDE"/>
    <w:numStyleLink w:val="Headings"/>
  </w:abstractNum>
  <w:abstractNum w:abstractNumId="17" w15:restartNumberingAfterBreak="0">
    <w:nsid w:val="2B9A602D"/>
    <w:multiLevelType w:val="hybridMultilevel"/>
    <w:tmpl w:val="EAD0B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03947"/>
    <w:multiLevelType w:val="hybridMultilevel"/>
    <w:tmpl w:val="D2FEF3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6748A6"/>
    <w:multiLevelType w:val="hybridMultilevel"/>
    <w:tmpl w:val="ECD8AC06"/>
    <w:lvl w:ilvl="0" w:tplc="EBB889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2B46AAF"/>
    <w:multiLevelType w:val="hybridMultilevel"/>
    <w:tmpl w:val="F4A867AE"/>
    <w:lvl w:ilvl="0" w:tplc="7EB8E29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34F309A7"/>
    <w:multiLevelType w:val="multilevel"/>
    <w:tmpl w:val="1FB6E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264F40"/>
    <w:multiLevelType w:val="multilevel"/>
    <w:tmpl w:val="C2C23C8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6EF72D8"/>
    <w:multiLevelType w:val="hybridMultilevel"/>
    <w:tmpl w:val="2BDCE9D4"/>
    <w:lvl w:ilvl="0" w:tplc="C344B44E">
      <w:start w:val="1"/>
      <w:numFmt w:val="decimal"/>
      <w:lvlText w:val="%1."/>
      <w:lvlJc w:val="left"/>
      <w:pPr>
        <w:tabs>
          <w:tab w:val="num" w:pos="720"/>
        </w:tabs>
        <w:ind w:left="720" w:hanging="360"/>
      </w:pPr>
      <w:rPr>
        <w:rFonts w:asciiTheme="minorHAnsi" w:eastAsiaTheme="minorHAnsi" w:hAnsiTheme="minorHAnsi" w:cstheme="minorBidi"/>
      </w:rPr>
    </w:lvl>
    <w:lvl w:ilvl="1" w:tplc="D758CE84">
      <w:start w:val="1"/>
      <w:numFmt w:val="lowerLetter"/>
      <w:lvlText w:val="%2."/>
      <w:lvlJc w:val="left"/>
      <w:pPr>
        <w:tabs>
          <w:tab w:val="num" w:pos="1440"/>
        </w:tabs>
        <w:ind w:left="1440" w:hanging="360"/>
      </w:pPr>
      <w:rPr>
        <w:rFonts w:asciiTheme="minorHAnsi" w:eastAsiaTheme="minorHAnsi" w:hAnsiTheme="minorHAnsi" w:cstheme="minorBidi"/>
      </w:rPr>
    </w:lvl>
    <w:lvl w:ilvl="2" w:tplc="0409001B">
      <w:start w:val="1"/>
      <w:numFmt w:val="lowerRoman"/>
      <w:lvlText w:val="%3."/>
      <w:lvlJc w:val="right"/>
      <w:pPr>
        <w:ind w:left="2160" w:hanging="360"/>
      </w:pPr>
    </w:lvl>
    <w:lvl w:ilvl="3" w:tplc="09D69126">
      <w:start w:val="1"/>
      <w:numFmt w:val="bullet"/>
      <w:lvlText w:val="•"/>
      <w:lvlJc w:val="left"/>
      <w:pPr>
        <w:tabs>
          <w:tab w:val="num" w:pos="2880"/>
        </w:tabs>
        <w:ind w:left="2880" w:hanging="360"/>
      </w:pPr>
      <w:rPr>
        <w:rFonts w:ascii="Arial" w:hAnsi="Arial" w:hint="default"/>
      </w:rPr>
    </w:lvl>
    <w:lvl w:ilvl="4" w:tplc="02E45D4E" w:tentative="1">
      <w:start w:val="1"/>
      <w:numFmt w:val="bullet"/>
      <w:lvlText w:val="•"/>
      <w:lvlJc w:val="left"/>
      <w:pPr>
        <w:tabs>
          <w:tab w:val="num" w:pos="3600"/>
        </w:tabs>
        <w:ind w:left="3600" w:hanging="360"/>
      </w:pPr>
      <w:rPr>
        <w:rFonts w:ascii="Arial" w:hAnsi="Arial" w:hint="default"/>
      </w:rPr>
    </w:lvl>
    <w:lvl w:ilvl="5" w:tplc="F6FA79F2" w:tentative="1">
      <w:start w:val="1"/>
      <w:numFmt w:val="bullet"/>
      <w:lvlText w:val="•"/>
      <w:lvlJc w:val="left"/>
      <w:pPr>
        <w:tabs>
          <w:tab w:val="num" w:pos="4320"/>
        </w:tabs>
        <w:ind w:left="4320" w:hanging="360"/>
      </w:pPr>
      <w:rPr>
        <w:rFonts w:ascii="Arial" w:hAnsi="Arial" w:hint="default"/>
      </w:rPr>
    </w:lvl>
    <w:lvl w:ilvl="6" w:tplc="D646F682" w:tentative="1">
      <w:start w:val="1"/>
      <w:numFmt w:val="bullet"/>
      <w:lvlText w:val="•"/>
      <w:lvlJc w:val="left"/>
      <w:pPr>
        <w:tabs>
          <w:tab w:val="num" w:pos="5040"/>
        </w:tabs>
        <w:ind w:left="5040" w:hanging="360"/>
      </w:pPr>
      <w:rPr>
        <w:rFonts w:ascii="Arial" w:hAnsi="Arial" w:hint="default"/>
      </w:rPr>
    </w:lvl>
    <w:lvl w:ilvl="7" w:tplc="7A103488" w:tentative="1">
      <w:start w:val="1"/>
      <w:numFmt w:val="bullet"/>
      <w:lvlText w:val="•"/>
      <w:lvlJc w:val="left"/>
      <w:pPr>
        <w:tabs>
          <w:tab w:val="num" w:pos="5760"/>
        </w:tabs>
        <w:ind w:left="5760" w:hanging="360"/>
      </w:pPr>
      <w:rPr>
        <w:rFonts w:ascii="Arial" w:hAnsi="Arial" w:hint="default"/>
      </w:rPr>
    </w:lvl>
    <w:lvl w:ilvl="8" w:tplc="A0100A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2413E5"/>
    <w:multiLevelType w:val="multilevel"/>
    <w:tmpl w:val="CE3EB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01750"/>
    <w:multiLevelType w:val="multilevel"/>
    <w:tmpl w:val="19145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042D7"/>
    <w:multiLevelType w:val="multilevel"/>
    <w:tmpl w:val="18F4A5AC"/>
    <w:numStyleLink w:val="FoFCoLOP"/>
  </w:abstractNum>
  <w:abstractNum w:abstractNumId="28" w15:restartNumberingAfterBreak="0">
    <w:nsid w:val="5A9E2171"/>
    <w:multiLevelType w:val="multilevel"/>
    <w:tmpl w:val="3C526EDE"/>
    <w:numStyleLink w:val="Headings"/>
  </w:abstractNum>
  <w:abstractNum w:abstractNumId="29" w15:restartNumberingAfterBreak="0">
    <w:nsid w:val="5B8675B4"/>
    <w:multiLevelType w:val="multilevel"/>
    <w:tmpl w:val="91E8F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14DB2"/>
    <w:multiLevelType w:val="hybridMultilevel"/>
    <w:tmpl w:val="DB98D86C"/>
    <w:lvl w:ilvl="0" w:tplc="4142DB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67F5F"/>
    <w:multiLevelType w:val="hybridMultilevel"/>
    <w:tmpl w:val="BC3CD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20A98"/>
    <w:multiLevelType w:val="hybridMultilevel"/>
    <w:tmpl w:val="8BF26B3A"/>
    <w:lvl w:ilvl="0" w:tplc="0D1A1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5780"/>
    <w:multiLevelType w:val="multilevel"/>
    <w:tmpl w:val="3C526EDE"/>
    <w:numStyleLink w:val="Headings"/>
  </w:abstractNum>
  <w:abstractNum w:abstractNumId="34" w15:restartNumberingAfterBreak="0">
    <w:nsid w:val="6878071C"/>
    <w:multiLevelType w:val="multilevel"/>
    <w:tmpl w:val="F99EA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934577"/>
    <w:multiLevelType w:val="multilevel"/>
    <w:tmpl w:val="5B10E3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3E6658"/>
    <w:multiLevelType w:val="hybridMultilevel"/>
    <w:tmpl w:val="2A0A0F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192531"/>
    <w:multiLevelType w:val="multilevel"/>
    <w:tmpl w:val="C2C23C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975F09"/>
    <w:multiLevelType w:val="hybridMultilevel"/>
    <w:tmpl w:val="AAEA5F62"/>
    <w:lvl w:ilvl="0" w:tplc="0409000F">
      <w:start w:val="1"/>
      <w:numFmt w:val="decimal"/>
      <w:lvlText w:val="%1."/>
      <w:lvlJc w:val="left"/>
      <w:pPr>
        <w:tabs>
          <w:tab w:val="num" w:pos="720"/>
        </w:tabs>
        <w:ind w:left="720" w:hanging="360"/>
      </w:pPr>
    </w:lvl>
    <w:lvl w:ilvl="1" w:tplc="65E80516">
      <w:numFmt w:val="bullet"/>
      <w:lvlText w:val="•"/>
      <w:lvlJc w:val="left"/>
      <w:pPr>
        <w:tabs>
          <w:tab w:val="num" w:pos="1440"/>
        </w:tabs>
        <w:ind w:left="1440" w:hanging="360"/>
      </w:pPr>
      <w:rPr>
        <w:rFonts w:ascii="Arial" w:hAnsi="Arial" w:hint="default"/>
      </w:rPr>
    </w:lvl>
    <w:lvl w:ilvl="2" w:tplc="5B46F65A" w:tentative="1">
      <w:start w:val="1"/>
      <w:numFmt w:val="bullet"/>
      <w:lvlText w:val="•"/>
      <w:lvlJc w:val="left"/>
      <w:pPr>
        <w:tabs>
          <w:tab w:val="num" w:pos="2160"/>
        </w:tabs>
        <w:ind w:left="2160" w:hanging="360"/>
      </w:pPr>
      <w:rPr>
        <w:rFonts w:ascii="Arial" w:hAnsi="Arial" w:hint="default"/>
      </w:rPr>
    </w:lvl>
    <w:lvl w:ilvl="3" w:tplc="8A00BDB0" w:tentative="1">
      <w:start w:val="1"/>
      <w:numFmt w:val="bullet"/>
      <w:lvlText w:val="•"/>
      <w:lvlJc w:val="left"/>
      <w:pPr>
        <w:tabs>
          <w:tab w:val="num" w:pos="2880"/>
        </w:tabs>
        <w:ind w:left="2880" w:hanging="360"/>
      </w:pPr>
      <w:rPr>
        <w:rFonts w:ascii="Arial" w:hAnsi="Arial" w:hint="default"/>
      </w:rPr>
    </w:lvl>
    <w:lvl w:ilvl="4" w:tplc="812838A2" w:tentative="1">
      <w:start w:val="1"/>
      <w:numFmt w:val="bullet"/>
      <w:lvlText w:val="•"/>
      <w:lvlJc w:val="left"/>
      <w:pPr>
        <w:tabs>
          <w:tab w:val="num" w:pos="3600"/>
        </w:tabs>
        <w:ind w:left="3600" w:hanging="360"/>
      </w:pPr>
      <w:rPr>
        <w:rFonts w:ascii="Arial" w:hAnsi="Arial" w:hint="default"/>
      </w:rPr>
    </w:lvl>
    <w:lvl w:ilvl="5" w:tplc="0F6CF566" w:tentative="1">
      <w:start w:val="1"/>
      <w:numFmt w:val="bullet"/>
      <w:lvlText w:val="•"/>
      <w:lvlJc w:val="left"/>
      <w:pPr>
        <w:tabs>
          <w:tab w:val="num" w:pos="4320"/>
        </w:tabs>
        <w:ind w:left="4320" w:hanging="360"/>
      </w:pPr>
      <w:rPr>
        <w:rFonts w:ascii="Arial" w:hAnsi="Arial" w:hint="default"/>
      </w:rPr>
    </w:lvl>
    <w:lvl w:ilvl="6" w:tplc="F21486BC" w:tentative="1">
      <w:start w:val="1"/>
      <w:numFmt w:val="bullet"/>
      <w:lvlText w:val="•"/>
      <w:lvlJc w:val="left"/>
      <w:pPr>
        <w:tabs>
          <w:tab w:val="num" w:pos="5040"/>
        </w:tabs>
        <w:ind w:left="5040" w:hanging="360"/>
      </w:pPr>
      <w:rPr>
        <w:rFonts w:ascii="Arial" w:hAnsi="Arial" w:hint="default"/>
      </w:rPr>
    </w:lvl>
    <w:lvl w:ilvl="7" w:tplc="7F961DD8" w:tentative="1">
      <w:start w:val="1"/>
      <w:numFmt w:val="bullet"/>
      <w:lvlText w:val="•"/>
      <w:lvlJc w:val="left"/>
      <w:pPr>
        <w:tabs>
          <w:tab w:val="num" w:pos="5760"/>
        </w:tabs>
        <w:ind w:left="5760" w:hanging="360"/>
      </w:pPr>
      <w:rPr>
        <w:rFonts w:ascii="Arial" w:hAnsi="Arial" w:hint="default"/>
      </w:rPr>
    </w:lvl>
    <w:lvl w:ilvl="8" w:tplc="49DA83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6847B4F"/>
    <w:multiLevelType w:val="multilevel"/>
    <w:tmpl w:val="AC188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9A0AFE"/>
    <w:multiLevelType w:val="multilevel"/>
    <w:tmpl w:val="18F4A5AC"/>
    <w:numStyleLink w:val="FoFCoLOP"/>
  </w:abstractNum>
  <w:abstractNum w:abstractNumId="42" w15:restartNumberingAfterBreak="0">
    <w:nsid w:val="7BF8271D"/>
    <w:multiLevelType w:val="hybridMultilevel"/>
    <w:tmpl w:val="413ADAB6"/>
    <w:lvl w:ilvl="0" w:tplc="F10283AE">
      <w:start w:val="1"/>
      <w:numFmt w:val="decimal"/>
      <w:lvlText w:val="%1."/>
      <w:lvlJc w:val="left"/>
      <w:pPr>
        <w:tabs>
          <w:tab w:val="num" w:pos="720"/>
        </w:tabs>
        <w:ind w:left="720" w:hanging="360"/>
      </w:pPr>
      <w:rPr>
        <w:rFonts w:asciiTheme="minorHAnsi" w:eastAsiaTheme="minorHAnsi" w:hAnsiTheme="minorHAnsi" w:cstheme="minorBidi"/>
      </w:rPr>
    </w:lvl>
    <w:lvl w:ilvl="1" w:tplc="107CC296">
      <w:numFmt w:val="bullet"/>
      <w:lvlText w:val="•"/>
      <w:lvlJc w:val="left"/>
      <w:pPr>
        <w:tabs>
          <w:tab w:val="num" w:pos="1440"/>
        </w:tabs>
        <w:ind w:left="1440" w:hanging="360"/>
      </w:pPr>
      <w:rPr>
        <w:rFonts w:ascii="Arial" w:hAnsi="Arial" w:hint="default"/>
      </w:rPr>
    </w:lvl>
    <w:lvl w:ilvl="2" w:tplc="6E067D6A" w:tentative="1">
      <w:start w:val="1"/>
      <w:numFmt w:val="bullet"/>
      <w:lvlText w:val="•"/>
      <w:lvlJc w:val="left"/>
      <w:pPr>
        <w:tabs>
          <w:tab w:val="num" w:pos="2160"/>
        </w:tabs>
        <w:ind w:left="2160" w:hanging="360"/>
      </w:pPr>
      <w:rPr>
        <w:rFonts w:ascii="Arial" w:hAnsi="Arial" w:hint="default"/>
      </w:rPr>
    </w:lvl>
    <w:lvl w:ilvl="3" w:tplc="EC064CE6" w:tentative="1">
      <w:start w:val="1"/>
      <w:numFmt w:val="bullet"/>
      <w:lvlText w:val="•"/>
      <w:lvlJc w:val="left"/>
      <w:pPr>
        <w:tabs>
          <w:tab w:val="num" w:pos="2880"/>
        </w:tabs>
        <w:ind w:left="2880" w:hanging="360"/>
      </w:pPr>
      <w:rPr>
        <w:rFonts w:ascii="Arial" w:hAnsi="Arial" w:hint="default"/>
      </w:rPr>
    </w:lvl>
    <w:lvl w:ilvl="4" w:tplc="A64412A0" w:tentative="1">
      <w:start w:val="1"/>
      <w:numFmt w:val="bullet"/>
      <w:lvlText w:val="•"/>
      <w:lvlJc w:val="left"/>
      <w:pPr>
        <w:tabs>
          <w:tab w:val="num" w:pos="3600"/>
        </w:tabs>
        <w:ind w:left="3600" w:hanging="360"/>
      </w:pPr>
      <w:rPr>
        <w:rFonts w:ascii="Arial" w:hAnsi="Arial" w:hint="default"/>
      </w:rPr>
    </w:lvl>
    <w:lvl w:ilvl="5" w:tplc="0B120982" w:tentative="1">
      <w:start w:val="1"/>
      <w:numFmt w:val="bullet"/>
      <w:lvlText w:val="•"/>
      <w:lvlJc w:val="left"/>
      <w:pPr>
        <w:tabs>
          <w:tab w:val="num" w:pos="4320"/>
        </w:tabs>
        <w:ind w:left="4320" w:hanging="360"/>
      </w:pPr>
      <w:rPr>
        <w:rFonts w:ascii="Arial" w:hAnsi="Arial" w:hint="default"/>
      </w:rPr>
    </w:lvl>
    <w:lvl w:ilvl="6" w:tplc="1CCC1568" w:tentative="1">
      <w:start w:val="1"/>
      <w:numFmt w:val="bullet"/>
      <w:lvlText w:val="•"/>
      <w:lvlJc w:val="left"/>
      <w:pPr>
        <w:tabs>
          <w:tab w:val="num" w:pos="5040"/>
        </w:tabs>
        <w:ind w:left="5040" w:hanging="360"/>
      </w:pPr>
      <w:rPr>
        <w:rFonts w:ascii="Arial" w:hAnsi="Arial" w:hint="default"/>
      </w:rPr>
    </w:lvl>
    <w:lvl w:ilvl="7" w:tplc="BE9634D8" w:tentative="1">
      <w:start w:val="1"/>
      <w:numFmt w:val="bullet"/>
      <w:lvlText w:val="•"/>
      <w:lvlJc w:val="left"/>
      <w:pPr>
        <w:tabs>
          <w:tab w:val="num" w:pos="5760"/>
        </w:tabs>
        <w:ind w:left="5760" w:hanging="360"/>
      </w:pPr>
      <w:rPr>
        <w:rFonts w:ascii="Arial" w:hAnsi="Arial" w:hint="default"/>
      </w:rPr>
    </w:lvl>
    <w:lvl w:ilvl="8" w:tplc="CA2C8200" w:tentative="1">
      <w:start w:val="1"/>
      <w:numFmt w:val="bullet"/>
      <w:lvlText w:val="•"/>
      <w:lvlJc w:val="left"/>
      <w:pPr>
        <w:tabs>
          <w:tab w:val="num" w:pos="6480"/>
        </w:tabs>
        <w:ind w:left="6480" w:hanging="360"/>
      </w:pPr>
      <w:rPr>
        <w:rFonts w:ascii="Arial" w:hAnsi="Arial" w:hint="default"/>
      </w:rPr>
    </w:lvl>
  </w:abstractNum>
  <w:num w:numId="1" w16cid:durableId="1354526949">
    <w:abstractNumId w:val="28"/>
  </w:num>
  <w:num w:numId="2" w16cid:durableId="140774137">
    <w:abstractNumId w:val="4"/>
  </w:num>
  <w:num w:numId="3" w16cid:durableId="1898543446">
    <w:abstractNumId w:val="27"/>
  </w:num>
  <w:num w:numId="4" w16cid:durableId="701521005">
    <w:abstractNumId w:val="5"/>
  </w:num>
  <w:num w:numId="5" w16cid:durableId="2017029027">
    <w:abstractNumId w:val="41"/>
  </w:num>
  <w:num w:numId="6" w16cid:durableId="973756952">
    <w:abstractNumId w:val="21"/>
  </w:num>
  <w:num w:numId="7" w16cid:durableId="827667741">
    <w:abstractNumId w:val="11"/>
  </w:num>
  <w:num w:numId="8" w16cid:durableId="1760327020">
    <w:abstractNumId w:val="37"/>
  </w:num>
  <w:num w:numId="9" w16cid:durableId="816924040">
    <w:abstractNumId w:val="0"/>
  </w:num>
  <w:num w:numId="10" w16cid:durableId="1817916489">
    <w:abstractNumId w:val="10"/>
  </w:num>
  <w:num w:numId="11" w16cid:durableId="291985460">
    <w:abstractNumId w:val="12"/>
  </w:num>
  <w:num w:numId="12" w16cid:durableId="467941983">
    <w:abstractNumId w:val="9"/>
  </w:num>
  <w:num w:numId="13" w16cid:durableId="712996464">
    <w:abstractNumId w:val="14"/>
  </w:num>
  <w:num w:numId="14" w16cid:durableId="1303778653">
    <w:abstractNumId w:val="16"/>
  </w:num>
  <w:num w:numId="15" w16cid:durableId="1714382259">
    <w:abstractNumId w:val="33"/>
  </w:num>
  <w:num w:numId="16" w16cid:durableId="5481076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33"/>
  </w:num>
  <w:num w:numId="18" w16cid:durableId="154420868">
    <w:abstractNumId w:val="38"/>
  </w:num>
  <w:num w:numId="19" w16cid:durableId="476990841">
    <w:abstractNumId w:val="23"/>
  </w:num>
  <w:num w:numId="20" w16cid:durableId="1837109376">
    <w:abstractNumId w:val="24"/>
  </w:num>
  <w:num w:numId="21" w16cid:durableId="132218261">
    <w:abstractNumId w:val="30"/>
  </w:num>
  <w:num w:numId="22" w16cid:durableId="1744140138">
    <w:abstractNumId w:val="42"/>
  </w:num>
  <w:num w:numId="23" w16cid:durableId="2143694394">
    <w:abstractNumId w:val="7"/>
  </w:num>
  <w:num w:numId="24" w16cid:durableId="152644291">
    <w:abstractNumId w:val="20"/>
  </w:num>
  <w:num w:numId="25" w16cid:durableId="912859691">
    <w:abstractNumId w:val="1"/>
  </w:num>
  <w:num w:numId="26" w16cid:durableId="1517842302">
    <w:abstractNumId w:val="39"/>
  </w:num>
  <w:num w:numId="27" w16cid:durableId="260382885">
    <w:abstractNumId w:val="18"/>
  </w:num>
  <w:num w:numId="28" w16cid:durableId="2060855141">
    <w:abstractNumId w:val="19"/>
  </w:num>
  <w:num w:numId="29" w16cid:durableId="1376150924">
    <w:abstractNumId w:val="32"/>
  </w:num>
  <w:num w:numId="30" w16cid:durableId="1563326991">
    <w:abstractNumId w:val="31"/>
  </w:num>
  <w:num w:numId="31" w16cid:durableId="1328434568">
    <w:abstractNumId w:val="13"/>
  </w:num>
  <w:num w:numId="32" w16cid:durableId="829902699">
    <w:abstractNumId w:val="6"/>
  </w:num>
  <w:num w:numId="33" w16cid:durableId="2053916781">
    <w:abstractNumId w:val="40"/>
  </w:num>
  <w:num w:numId="34" w16cid:durableId="1360009544">
    <w:abstractNumId w:val="22"/>
  </w:num>
  <w:num w:numId="35" w16cid:durableId="1117600901">
    <w:abstractNumId w:val="2"/>
  </w:num>
  <w:num w:numId="36" w16cid:durableId="944070465">
    <w:abstractNumId w:val="15"/>
  </w:num>
  <w:num w:numId="37" w16cid:durableId="361593160">
    <w:abstractNumId w:val="26"/>
  </w:num>
  <w:num w:numId="38" w16cid:durableId="34932819">
    <w:abstractNumId w:val="25"/>
  </w:num>
  <w:num w:numId="39" w16cid:durableId="614139648">
    <w:abstractNumId w:val="3"/>
  </w:num>
  <w:num w:numId="40" w16cid:durableId="1802459835">
    <w:abstractNumId w:val="29"/>
  </w:num>
  <w:num w:numId="41" w16cid:durableId="242957750">
    <w:abstractNumId w:val="34"/>
  </w:num>
  <w:num w:numId="42" w16cid:durableId="80955093">
    <w:abstractNumId w:val="8"/>
  </w:num>
  <w:num w:numId="43" w16cid:durableId="2107650252">
    <w:abstractNumId w:val="35"/>
  </w:num>
  <w:num w:numId="44" w16cid:durableId="1157307637">
    <w:abstractNumId w:val="17"/>
  </w:num>
  <w:num w:numId="45" w16cid:durableId="190081795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F6A"/>
    <w:rsid w:val="0000179B"/>
    <w:rsid w:val="00003DF5"/>
    <w:rsid w:val="00016B08"/>
    <w:rsid w:val="000208F5"/>
    <w:rsid w:val="00024731"/>
    <w:rsid w:val="00030EB0"/>
    <w:rsid w:val="00032477"/>
    <w:rsid w:val="000417CC"/>
    <w:rsid w:val="0004253C"/>
    <w:rsid w:val="000436A9"/>
    <w:rsid w:val="00050656"/>
    <w:rsid w:val="00051A41"/>
    <w:rsid w:val="0006007A"/>
    <w:rsid w:val="00063A7A"/>
    <w:rsid w:val="00065BDF"/>
    <w:rsid w:val="00067684"/>
    <w:rsid w:val="0007115A"/>
    <w:rsid w:val="000842D3"/>
    <w:rsid w:val="0009041E"/>
    <w:rsid w:val="00090763"/>
    <w:rsid w:val="00090DCB"/>
    <w:rsid w:val="000966F3"/>
    <w:rsid w:val="000973C8"/>
    <w:rsid w:val="000A0D53"/>
    <w:rsid w:val="000A1B1B"/>
    <w:rsid w:val="000A23A9"/>
    <w:rsid w:val="000A2AA9"/>
    <w:rsid w:val="000A33D4"/>
    <w:rsid w:val="000A56F2"/>
    <w:rsid w:val="000A6E05"/>
    <w:rsid w:val="000A72A2"/>
    <w:rsid w:val="000B12FA"/>
    <w:rsid w:val="000B1332"/>
    <w:rsid w:val="000B4855"/>
    <w:rsid w:val="000B503B"/>
    <w:rsid w:val="000B64C6"/>
    <w:rsid w:val="000C08BF"/>
    <w:rsid w:val="000C3960"/>
    <w:rsid w:val="000C3B9A"/>
    <w:rsid w:val="000C6193"/>
    <w:rsid w:val="000C6CE8"/>
    <w:rsid w:val="000D240B"/>
    <w:rsid w:val="000D25A8"/>
    <w:rsid w:val="000E270A"/>
    <w:rsid w:val="000E2AF5"/>
    <w:rsid w:val="000E4C53"/>
    <w:rsid w:val="000E7179"/>
    <w:rsid w:val="000F01B7"/>
    <w:rsid w:val="000F48C6"/>
    <w:rsid w:val="000F4D9D"/>
    <w:rsid w:val="000F7429"/>
    <w:rsid w:val="001010BA"/>
    <w:rsid w:val="0010177A"/>
    <w:rsid w:val="00103736"/>
    <w:rsid w:val="001171A5"/>
    <w:rsid w:val="00120B6F"/>
    <w:rsid w:val="00121089"/>
    <w:rsid w:val="00123917"/>
    <w:rsid w:val="00123FCB"/>
    <w:rsid w:val="00124829"/>
    <w:rsid w:val="00125D4B"/>
    <w:rsid w:val="00132C27"/>
    <w:rsid w:val="00133EC3"/>
    <w:rsid w:val="00134008"/>
    <w:rsid w:val="00140081"/>
    <w:rsid w:val="00142453"/>
    <w:rsid w:val="00145393"/>
    <w:rsid w:val="00150516"/>
    <w:rsid w:val="00153DBF"/>
    <w:rsid w:val="0015482A"/>
    <w:rsid w:val="00161D7D"/>
    <w:rsid w:val="00163AE1"/>
    <w:rsid w:val="0016457F"/>
    <w:rsid w:val="00171D12"/>
    <w:rsid w:val="00175173"/>
    <w:rsid w:val="0017623B"/>
    <w:rsid w:val="001824D2"/>
    <w:rsid w:val="00183C65"/>
    <w:rsid w:val="00184A8F"/>
    <w:rsid w:val="0018707A"/>
    <w:rsid w:val="001872D8"/>
    <w:rsid w:val="0019068B"/>
    <w:rsid w:val="00192CAF"/>
    <w:rsid w:val="00192DFD"/>
    <w:rsid w:val="00193597"/>
    <w:rsid w:val="00194D52"/>
    <w:rsid w:val="00195191"/>
    <w:rsid w:val="001A31D8"/>
    <w:rsid w:val="001B789C"/>
    <w:rsid w:val="001C2ED5"/>
    <w:rsid w:val="001C363F"/>
    <w:rsid w:val="001C5C15"/>
    <w:rsid w:val="001C6C58"/>
    <w:rsid w:val="001E0346"/>
    <w:rsid w:val="001E2A62"/>
    <w:rsid w:val="001F0CD9"/>
    <w:rsid w:val="001F2819"/>
    <w:rsid w:val="001F2EA0"/>
    <w:rsid w:val="00201459"/>
    <w:rsid w:val="00203144"/>
    <w:rsid w:val="002043EC"/>
    <w:rsid w:val="00213648"/>
    <w:rsid w:val="0021613E"/>
    <w:rsid w:val="00222420"/>
    <w:rsid w:val="00223507"/>
    <w:rsid w:val="00223761"/>
    <w:rsid w:val="0023038F"/>
    <w:rsid w:val="00231A2D"/>
    <w:rsid w:val="0023345D"/>
    <w:rsid w:val="0023453F"/>
    <w:rsid w:val="00243DC0"/>
    <w:rsid w:val="00247477"/>
    <w:rsid w:val="00254008"/>
    <w:rsid w:val="0025527B"/>
    <w:rsid w:val="002666B0"/>
    <w:rsid w:val="002678ED"/>
    <w:rsid w:val="00270440"/>
    <w:rsid w:val="002754F0"/>
    <w:rsid w:val="002819B6"/>
    <w:rsid w:val="00282B8D"/>
    <w:rsid w:val="00284D8D"/>
    <w:rsid w:val="00286A1F"/>
    <w:rsid w:val="00287BC5"/>
    <w:rsid w:val="00292125"/>
    <w:rsid w:val="00293947"/>
    <w:rsid w:val="00293DEE"/>
    <w:rsid w:val="00297E7D"/>
    <w:rsid w:val="002A07BD"/>
    <w:rsid w:val="002A0B5D"/>
    <w:rsid w:val="002A416E"/>
    <w:rsid w:val="002A656B"/>
    <w:rsid w:val="002B3C8E"/>
    <w:rsid w:val="002B5FAD"/>
    <w:rsid w:val="002C2BC4"/>
    <w:rsid w:val="002C3427"/>
    <w:rsid w:val="002C7FE9"/>
    <w:rsid w:val="002D0DC5"/>
    <w:rsid w:val="002D4EFD"/>
    <w:rsid w:val="002D61F4"/>
    <w:rsid w:val="002D623B"/>
    <w:rsid w:val="002E02D2"/>
    <w:rsid w:val="002E5281"/>
    <w:rsid w:val="002F1D2D"/>
    <w:rsid w:val="002F4E4F"/>
    <w:rsid w:val="002F5CEB"/>
    <w:rsid w:val="002F686D"/>
    <w:rsid w:val="00300B8E"/>
    <w:rsid w:val="00312F14"/>
    <w:rsid w:val="003157C9"/>
    <w:rsid w:val="00315A97"/>
    <w:rsid w:val="00316071"/>
    <w:rsid w:val="00317BE9"/>
    <w:rsid w:val="00321201"/>
    <w:rsid w:val="003229E1"/>
    <w:rsid w:val="00334CF4"/>
    <w:rsid w:val="00334E51"/>
    <w:rsid w:val="003355DE"/>
    <w:rsid w:val="00340248"/>
    <w:rsid w:val="003407AB"/>
    <w:rsid w:val="00341B96"/>
    <w:rsid w:val="00342BA5"/>
    <w:rsid w:val="00343E5C"/>
    <w:rsid w:val="00344FB8"/>
    <w:rsid w:val="003453B0"/>
    <w:rsid w:val="00354839"/>
    <w:rsid w:val="00354C7E"/>
    <w:rsid w:val="00356CE2"/>
    <w:rsid w:val="00357C28"/>
    <w:rsid w:val="0036017B"/>
    <w:rsid w:val="00361300"/>
    <w:rsid w:val="00362755"/>
    <w:rsid w:val="00372F00"/>
    <w:rsid w:val="00373B93"/>
    <w:rsid w:val="00380CD1"/>
    <w:rsid w:val="00384177"/>
    <w:rsid w:val="00392F21"/>
    <w:rsid w:val="003960DF"/>
    <w:rsid w:val="003960F8"/>
    <w:rsid w:val="003A02CA"/>
    <w:rsid w:val="003A389D"/>
    <w:rsid w:val="003A38F0"/>
    <w:rsid w:val="003A5BFC"/>
    <w:rsid w:val="003A6242"/>
    <w:rsid w:val="003B0950"/>
    <w:rsid w:val="003B46FF"/>
    <w:rsid w:val="003B4A1A"/>
    <w:rsid w:val="003B6BB6"/>
    <w:rsid w:val="003B753C"/>
    <w:rsid w:val="003C281F"/>
    <w:rsid w:val="003C6C55"/>
    <w:rsid w:val="003D103C"/>
    <w:rsid w:val="003D1DF4"/>
    <w:rsid w:val="003D28CF"/>
    <w:rsid w:val="003D3A48"/>
    <w:rsid w:val="003E3DF6"/>
    <w:rsid w:val="003E53DB"/>
    <w:rsid w:val="003E5A2E"/>
    <w:rsid w:val="003E656A"/>
    <w:rsid w:val="003E67D2"/>
    <w:rsid w:val="003E69A3"/>
    <w:rsid w:val="003F069A"/>
    <w:rsid w:val="003F0F00"/>
    <w:rsid w:val="003F3989"/>
    <w:rsid w:val="003F4329"/>
    <w:rsid w:val="003F4359"/>
    <w:rsid w:val="00410377"/>
    <w:rsid w:val="004118FE"/>
    <w:rsid w:val="00412534"/>
    <w:rsid w:val="00412C83"/>
    <w:rsid w:val="00413300"/>
    <w:rsid w:val="00426014"/>
    <w:rsid w:val="00426E06"/>
    <w:rsid w:val="00427870"/>
    <w:rsid w:val="00445DF9"/>
    <w:rsid w:val="0044617E"/>
    <w:rsid w:val="00452DBA"/>
    <w:rsid w:val="00452EFC"/>
    <w:rsid w:val="00456214"/>
    <w:rsid w:val="0046078B"/>
    <w:rsid w:val="00460B7D"/>
    <w:rsid w:val="0046260F"/>
    <w:rsid w:val="00466EB8"/>
    <w:rsid w:val="00470218"/>
    <w:rsid w:val="004757FE"/>
    <w:rsid w:val="0047625E"/>
    <w:rsid w:val="0047765E"/>
    <w:rsid w:val="00480CB0"/>
    <w:rsid w:val="00483603"/>
    <w:rsid w:val="0048456F"/>
    <w:rsid w:val="00487315"/>
    <w:rsid w:val="004903CA"/>
    <w:rsid w:val="00495B44"/>
    <w:rsid w:val="004A1EAD"/>
    <w:rsid w:val="004A27DC"/>
    <w:rsid w:val="004A4072"/>
    <w:rsid w:val="004A47BE"/>
    <w:rsid w:val="004B34EA"/>
    <w:rsid w:val="004B5494"/>
    <w:rsid w:val="004B6E6E"/>
    <w:rsid w:val="004C7A2B"/>
    <w:rsid w:val="004C7D3A"/>
    <w:rsid w:val="004D1BAB"/>
    <w:rsid w:val="004E476C"/>
    <w:rsid w:val="004E7C7B"/>
    <w:rsid w:val="004F3A5B"/>
    <w:rsid w:val="004F5FE0"/>
    <w:rsid w:val="004F6CF2"/>
    <w:rsid w:val="004F7E60"/>
    <w:rsid w:val="00501360"/>
    <w:rsid w:val="005018A8"/>
    <w:rsid w:val="005059FA"/>
    <w:rsid w:val="00505A39"/>
    <w:rsid w:val="00515912"/>
    <w:rsid w:val="00515DE6"/>
    <w:rsid w:val="005204F7"/>
    <w:rsid w:val="00520AF4"/>
    <w:rsid w:val="00520EB3"/>
    <w:rsid w:val="005240BF"/>
    <w:rsid w:val="0052790D"/>
    <w:rsid w:val="0053344D"/>
    <w:rsid w:val="00534280"/>
    <w:rsid w:val="00540B14"/>
    <w:rsid w:val="00541206"/>
    <w:rsid w:val="00542D8A"/>
    <w:rsid w:val="00545BFA"/>
    <w:rsid w:val="00547A0A"/>
    <w:rsid w:val="00555A56"/>
    <w:rsid w:val="00555B60"/>
    <w:rsid w:val="00556AC9"/>
    <w:rsid w:val="005713AB"/>
    <w:rsid w:val="00573AB1"/>
    <w:rsid w:val="00577658"/>
    <w:rsid w:val="0057784A"/>
    <w:rsid w:val="00583556"/>
    <w:rsid w:val="00585390"/>
    <w:rsid w:val="00590EF6"/>
    <w:rsid w:val="005939A5"/>
    <w:rsid w:val="00595274"/>
    <w:rsid w:val="005974BD"/>
    <w:rsid w:val="0059762D"/>
    <w:rsid w:val="005A148C"/>
    <w:rsid w:val="005A1BD3"/>
    <w:rsid w:val="005A6FB5"/>
    <w:rsid w:val="005A7828"/>
    <w:rsid w:val="005A7DF9"/>
    <w:rsid w:val="005B02E6"/>
    <w:rsid w:val="005B02F5"/>
    <w:rsid w:val="005B0AC9"/>
    <w:rsid w:val="005B4D91"/>
    <w:rsid w:val="005C58FA"/>
    <w:rsid w:val="005C6149"/>
    <w:rsid w:val="005C7DED"/>
    <w:rsid w:val="005D1593"/>
    <w:rsid w:val="005D5D98"/>
    <w:rsid w:val="005E00CB"/>
    <w:rsid w:val="005E0EAF"/>
    <w:rsid w:val="005E4D38"/>
    <w:rsid w:val="005F7C1D"/>
    <w:rsid w:val="00600A9C"/>
    <w:rsid w:val="00600B59"/>
    <w:rsid w:val="00603238"/>
    <w:rsid w:val="00611F0E"/>
    <w:rsid w:val="00626956"/>
    <w:rsid w:val="00626957"/>
    <w:rsid w:val="00630069"/>
    <w:rsid w:val="00632207"/>
    <w:rsid w:val="0063491C"/>
    <w:rsid w:val="00641A5C"/>
    <w:rsid w:val="006472AF"/>
    <w:rsid w:val="006520E2"/>
    <w:rsid w:val="006610A7"/>
    <w:rsid w:val="00661AFE"/>
    <w:rsid w:val="00664B2E"/>
    <w:rsid w:val="00665A3D"/>
    <w:rsid w:val="0066691B"/>
    <w:rsid w:val="00673E86"/>
    <w:rsid w:val="00676368"/>
    <w:rsid w:val="006765B6"/>
    <w:rsid w:val="00676E0E"/>
    <w:rsid w:val="00680879"/>
    <w:rsid w:val="00680F19"/>
    <w:rsid w:val="00683B2C"/>
    <w:rsid w:val="00693744"/>
    <w:rsid w:val="006940CC"/>
    <w:rsid w:val="006A2112"/>
    <w:rsid w:val="006A5229"/>
    <w:rsid w:val="006B38A5"/>
    <w:rsid w:val="006C1F10"/>
    <w:rsid w:val="006C2CBC"/>
    <w:rsid w:val="006D7CD7"/>
    <w:rsid w:val="006E20AF"/>
    <w:rsid w:val="006E5E28"/>
    <w:rsid w:val="006E6574"/>
    <w:rsid w:val="006F61F1"/>
    <w:rsid w:val="007100F5"/>
    <w:rsid w:val="00712B66"/>
    <w:rsid w:val="00714CF2"/>
    <w:rsid w:val="007156B9"/>
    <w:rsid w:val="00720817"/>
    <w:rsid w:val="00721738"/>
    <w:rsid w:val="007221C2"/>
    <w:rsid w:val="00722850"/>
    <w:rsid w:val="00724E94"/>
    <w:rsid w:val="007304F8"/>
    <w:rsid w:val="00730C7F"/>
    <w:rsid w:val="0073221F"/>
    <w:rsid w:val="0073353F"/>
    <w:rsid w:val="00735A91"/>
    <w:rsid w:val="00742E45"/>
    <w:rsid w:val="007447AF"/>
    <w:rsid w:val="00750816"/>
    <w:rsid w:val="007540A4"/>
    <w:rsid w:val="00755B74"/>
    <w:rsid w:val="00756ADC"/>
    <w:rsid w:val="00757C25"/>
    <w:rsid w:val="007644BD"/>
    <w:rsid w:val="007657C1"/>
    <w:rsid w:val="007666FE"/>
    <w:rsid w:val="00776D5D"/>
    <w:rsid w:val="0077755F"/>
    <w:rsid w:val="00777C8B"/>
    <w:rsid w:val="00790102"/>
    <w:rsid w:val="007907FB"/>
    <w:rsid w:val="00792A4D"/>
    <w:rsid w:val="00793F6E"/>
    <w:rsid w:val="007A3123"/>
    <w:rsid w:val="007A406D"/>
    <w:rsid w:val="007A62B0"/>
    <w:rsid w:val="007A6662"/>
    <w:rsid w:val="007A7ACD"/>
    <w:rsid w:val="007B0938"/>
    <w:rsid w:val="007B5204"/>
    <w:rsid w:val="007B6666"/>
    <w:rsid w:val="007C10E5"/>
    <w:rsid w:val="007C2988"/>
    <w:rsid w:val="007C35C6"/>
    <w:rsid w:val="007C5730"/>
    <w:rsid w:val="007C5A0C"/>
    <w:rsid w:val="007D3FFA"/>
    <w:rsid w:val="007D7951"/>
    <w:rsid w:val="007E003D"/>
    <w:rsid w:val="007E0FEE"/>
    <w:rsid w:val="007E2E78"/>
    <w:rsid w:val="007E6152"/>
    <w:rsid w:val="007E633A"/>
    <w:rsid w:val="007F1B83"/>
    <w:rsid w:val="007F2017"/>
    <w:rsid w:val="0080390E"/>
    <w:rsid w:val="00804C3D"/>
    <w:rsid w:val="008156E4"/>
    <w:rsid w:val="008159CF"/>
    <w:rsid w:val="00816E05"/>
    <w:rsid w:val="00825409"/>
    <w:rsid w:val="0083318A"/>
    <w:rsid w:val="008331EF"/>
    <w:rsid w:val="008339BB"/>
    <w:rsid w:val="0083628F"/>
    <w:rsid w:val="00837F93"/>
    <w:rsid w:val="008402C9"/>
    <w:rsid w:val="00844A3E"/>
    <w:rsid w:val="00854CE0"/>
    <w:rsid w:val="00860EE4"/>
    <w:rsid w:val="00863B4B"/>
    <w:rsid w:val="0086419A"/>
    <w:rsid w:val="00867918"/>
    <w:rsid w:val="0087023B"/>
    <w:rsid w:val="00881886"/>
    <w:rsid w:val="00881F6C"/>
    <w:rsid w:val="00883BEC"/>
    <w:rsid w:val="00885F81"/>
    <w:rsid w:val="008863AC"/>
    <w:rsid w:val="008869F0"/>
    <w:rsid w:val="00890264"/>
    <w:rsid w:val="00891C69"/>
    <w:rsid w:val="0089527A"/>
    <w:rsid w:val="008A08BF"/>
    <w:rsid w:val="008A179F"/>
    <w:rsid w:val="008A1AA9"/>
    <w:rsid w:val="008A207B"/>
    <w:rsid w:val="008A3BAF"/>
    <w:rsid w:val="008B0864"/>
    <w:rsid w:val="008B175A"/>
    <w:rsid w:val="008B5234"/>
    <w:rsid w:val="008C0CA2"/>
    <w:rsid w:val="008C1DED"/>
    <w:rsid w:val="008C2DD3"/>
    <w:rsid w:val="008C2EB5"/>
    <w:rsid w:val="008C3CB7"/>
    <w:rsid w:val="008C7413"/>
    <w:rsid w:val="008D16B7"/>
    <w:rsid w:val="008D3050"/>
    <w:rsid w:val="008D76D5"/>
    <w:rsid w:val="008E0C6F"/>
    <w:rsid w:val="008E6AE6"/>
    <w:rsid w:val="008F0116"/>
    <w:rsid w:val="008F143D"/>
    <w:rsid w:val="008F5E68"/>
    <w:rsid w:val="00901DB3"/>
    <w:rsid w:val="00905B8F"/>
    <w:rsid w:val="00914648"/>
    <w:rsid w:val="00924ACC"/>
    <w:rsid w:val="00925D8E"/>
    <w:rsid w:val="009277CC"/>
    <w:rsid w:val="00930ABD"/>
    <w:rsid w:val="00932865"/>
    <w:rsid w:val="00936107"/>
    <w:rsid w:val="00936617"/>
    <w:rsid w:val="009405B0"/>
    <w:rsid w:val="00941E37"/>
    <w:rsid w:val="00942BB6"/>
    <w:rsid w:val="00943979"/>
    <w:rsid w:val="00951385"/>
    <w:rsid w:val="00961974"/>
    <w:rsid w:val="009627B5"/>
    <w:rsid w:val="00962C3D"/>
    <w:rsid w:val="009645DE"/>
    <w:rsid w:val="00967A36"/>
    <w:rsid w:val="00967CDD"/>
    <w:rsid w:val="009705FF"/>
    <w:rsid w:val="00970CCF"/>
    <w:rsid w:val="0098138E"/>
    <w:rsid w:val="00981B7C"/>
    <w:rsid w:val="00981EAB"/>
    <w:rsid w:val="0098655A"/>
    <w:rsid w:val="00986EFA"/>
    <w:rsid w:val="009902E4"/>
    <w:rsid w:val="00990A15"/>
    <w:rsid w:val="009933EE"/>
    <w:rsid w:val="00997905"/>
    <w:rsid w:val="009A0D98"/>
    <w:rsid w:val="009A2035"/>
    <w:rsid w:val="009A6E36"/>
    <w:rsid w:val="009A79AC"/>
    <w:rsid w:val="009B061F"/>
    <w:rsid w:val="009B2BD6"/>
    <w:rsid w:val="009B6044"/>
    <w:rsid w:val="009B7AE7"/>
    <w:rsid w:val="009C1CF1"/>
    <w:rsid w:val="009C2B2D"/>
    <w:rsid w:val="009C37AC"/>
    <w:rsid w:val="009C46AB"/>
    <w:rsid w:val="009D2E19"/>
    <w:rsid w:val="009D46FE"/>
    <w:rsid w:val="009E011D"/>
    <w:rsid w:val="009E6052"/>
    <w:rsid w:val="009E7C7F"/>
    <w:rsid w:val="009F3B34"/>
    <w:rsid w:val="00A04CF6"/>
    <w:rsid w:val="00A1387D"/>
    <w:rsid w:val="00A17CE0"/>
    <w:rsid w:val="00A2050B"/>
    <w:rsid w:val="00A23682"/>
    <w:rsid w:val="00A23D48"/>
    <w:rsid w:val="00A2477C"/>
    <w:rsid w:val="00A3033A"/>
    <w:rsid w:val="00A30A26"/>
    <w:rsid w:val="00A42306"/>
    <w:rsid w:val="00A44E8D"/>
    <w:rsid w:val="00A46EA8"/>
    <w:rsid w:val="00A50F41"/>
    <w:rsid w:val="00A51140"/>
    <w:rsid w:val="00A54AA6"/>
    <w:rsid w:val="00A551A7"/>
    <w:rsid w:val="00A55ACD"/>
    <w:rsid w:val="00A55C7B"/>
    <w:rsid w:val="00A56675"/>
    <w:rsid w:val="00A656E9"/>
    <w:rsid w:val="00A6621B"/>
    <w:rsid w:val="00A66B85"/>
    <w:rsid w:val="00A74129"/>
    <w:rsid w:val="00A80097"/>
    <w:rsid w:val="00A85C7B"/>
    <w:rsid w:val="00A85D27"/>
    <w:rsid w:val="00A945F7"/>
    <w:rsid w:val="00A96772"/>
    <w:rsid w:val="00A97A1F"/>
    <w:rsid w:val="00A97ED8"/>
    <w:rsid w:val="00AA3845"/>
    <w:rsid w:val="00AA399A"/>
    <w:rsid w:val="00AB06B4"/>
    <w:rsid w:val="00AB65AA"/>
    <w:rsid w:val="00AB7875"/>
    <w:rsid w:val="00AC68EE"/>
    <w:rsid w:val="00AE26C3"/>
    <w:rsid w:val="00AE4541"/>
    <w:rsid w:val="00AE6016"/>
    <w:rsid w:val="00AE73E2"/>
    <w:rsid w:val="00AF0C15"/>
    <w:rsid w:val="00AF25AE"/>
    <w:rsid w:val="00AF2D26"/>
    <w:rsid w:val="00B01F7E"/>
    <w:rsid w:val="00B043AD"/>
    <w:rsid w:val="00B16C2A"/>
    <w:rsid w:val="00B20771"/>
    <w:rsid w:val="00B210E0"/>
    <w:rsid w:val="00B24096"/>
    <w:rsid w:val="00B3087D"/>
    <w:rsid w:val="00B34794"/>
    <w:rsid w:val="00B36ED6"/>
    <w:rsid w:val="00B428C8"/>
    <w:rsid w:val="00B4507B"/>
    <w:rsid w:val="00B46E88"/>
    <w:rsid w:val="00B4765E"/>
    <w:rsid w:val="00B55096"/>
    <w:rsid w:val="00B60421"/>
    <w:rsid w:val="00B630A5"/>
    <w:rsid w:val="00B64034"/>
    <w:rsid w:val="00B655D0"/>
    <w:rsid w:val="00B718D8"/>
    <w:rsid w:val="00B73612"/>
    <w:rsid w:val="00B77ED6"/>
    <w:rsid w:val="00B81EB6"/>
    <w:rsid w:val="00B854AF"/>
    <w:rsid w:val="00B87444"/>
    <w:rsid w:val="00B9456A"/>
    <w:rsid w:val="00B96EA3"/>
    <w:rsid w:val="00BA04BE"/>
    <w:rsid w:val="00BA2558"/>
    <w:rsid w:val="00BA403A"/>
    <w:rsid w:val="00BA515A"/>
    <w:rsid w:val="00BB0243"/>
    <w:rsid w:val="00BB2CC0"/>
    <w:rsid w:val="00BB4667"/>
    <w:rsid w:val="00BB4A17"/>
    <w:rsid w:val="00BB706A"/>
    <w:rsid w:val="00BC08EA"/>
    <w:rsid w:val="00BC0EAC"/>
    <w:rsid w:val="00BC5071"/>
    <w:rsid w:val="00BD14B9"/>
    <w:rsid w:val="00BD792D"/>
    <w:rsid w:val="00BE58A2"/>
    <w:rsid w:val="00BF2201"/>
    <w:rsid w:val="00C00971"/>
    <w:rsid w:val="00C02BC7"/>
    <w:rsid w:val="00C037EA"/>
    <w:rsid w:val="00C07607"/>
    <w:rsid w:val="00C10B5F"/>
    <w:rsid w:val="00C11EEE"/>
    <w:rsid w:val="00C1232A"/>
    <w:rsid w:val="00C2056F"/>
    <w:rsid w:val="00C31401"/>
    <w:rsid w:val="00C37ED9"/>
    <w:rsid w:val="00C41D75"/>
    <w:rsid w:val="00C44607"/>
    <w:rsid w:val="00C46626"/>
    <w:rsid w:val="00C47899"/>
    <w:rsid w:val="00C52281"/>
    <w:rsid w:val="00C526C7"/>
    <w:rsid w:val="00C55770"/>
    <w:rsid w:val="00C602D1"/>
    <w:rsid w:val="00C64B92"/>
    <w:rsid w:val="00C6622E"/>
    <w:rsid w:val="00C66908"/>
    <w:rsid w:val="00C7012B"/>
    <w:rsid w:val="00C76034"/>
    <w:rsid w:val="00C848C6"/>
    <w:rsid w:val="00C878D5"/>
    <w:rsid w:val="00C9033B"/>
    <w:rsid w:val="00C9103F"/>
    <w:rsid w:val="00C913A1"/>
    <w:rsid w:val="00C91466"/>
    <w:rsid w:val="00C94C4E"/>
    <w:rsid w:val="00C961AB"/>
    <w:rsid w:val="00C9690D"/>
    <w:rsid w:val="00CA0809"/>
    <w:rsid w:val="00CA483A"/>
    <w:rsid w:val="00CB44A1"/>
    <w:rsid w:val="00CC0AB3"/>
    <w:rsid w:val="00CC2466"/>
    <w:rsid w:val="00CC2635"/>
    <w:rsid w:val="00CC68BA"/>
    <w:rsid w:val="00CC6A99"/>
    <w:rsid w:val="00CC6DCC"/>
    <w:rsid w:val="00CF02A8"/>
    <w:rsid w:val="00CF2C81"/>
    <w:rsid w:val="00CF51D2"/>
    <w:rsid w:val="00D004C3"/>
    <w:rsid w:val="00D0068B"/>
    <w:rsid w:val="00D00AA3"/>
    <w:rsid w:val="00D0504E"/>
    <w:rsid w:val="00D0627E"/>
    <w:rsid w:val="00D066A4"/>
    <w:rsid w:val="00D07F73"/>
    <w:rsid w:val="00D14844"/>
    <w:rsid w:val="00D2041C"/>
    <w:rsid w:val="00D24310"/>
    <w:rsid w:val="00D25ADE"/>
    <w:rsid w:val="00D32513"/>
    <w:rsid w:val="00D360CF"/>
    <w:rsid w:val="00D40438"/>
    <w:rsid w:val="00D43297"/>
    <w:rsid w:val="00D44DB6"/>
    <w:rsid w:val="00D46726"/>
    <w:rsid w:val="00D50119"/>
    <w:rsid w:val="00D57C2B"/>
    <w:rsid w:val="00D609C9"/>
    <w:rsid w:val="00D67520"/>
    <w:rsid w:val="00D706DA"/>
    <w:rsid w:val="00D74967"/>
    <w:rsid w:val="00D74BCF"/>
    <w:rsid w:val="00D758F4"/>
    <w:rsid w:val="00D76648"/>
    <w:rsid w:val="00D827B6"/>
    <w:rsid w:val="00D82A43"/>
    <w:rsid w:val="00D85E8E"/>
    <w:rsid w:val="00D95D9F"/>
    <w:rsid w:val="00D96973"/>
    <w:rsid w:val="00DA2A74"/>
    <w:rsid w:val="00DA324B"/>
    <w:rsid w:val="00DA3F2B"/>
    <w:rsid w:val="00DA450D"/>
    <w:rsid w:val="00DA4E03"/>
    <w:rsid w:val="00DA4F46"/>
    <w:rsid w:val="00DA5D6A"/>
    <w:rsid w:val="00DA68C7"/>
    <w:rsid w:val="00DA7B5D"/>
    <w:rsid w:val="00DB482F"/>
    <w:rsid w:val="00DB6C28"/>
    <w:rsid w:val="00DC3D1A"/>
    <w:rsid w:val="00DD302F"/>
    <w:rsid w:val="00DD5DBF"/>
    <w:rsid w:val="00DD6B57"/>
    <w:rsid w:val="00DE11B9"/>
    <w:rsid w:val="00DE2AF4"/>
    <w:rsid w:val="00DE2CBD"/>
    <w:rsid w:val="00DE5714"/>
    <w:rsid w:val="00DF2F47"/>
    <w:rsid w:val="00DF40E2"/>
    <w:rsid w:val="00DF58E7"/>
    <w:rsid w:val="00E00A08"/>
    <w:rsid w:val="00E063AC"/>
    <w:rsid w:val="00E11876"/>
    <w:rsid w:val="00E23CBB"/>
    <w:rsid w:val="00E242E6"/>
    <w:rsid w:val="00E32046"/>
    <w:rsid w:val="00E36DB0"/>
    <w:rsid w:val="00E37B59"/>
    <w:rsid w:val="00E415D1"/>
    <w:rsid w:val="00E43CA0"/>
    <w:rsid w:val="00E44B98"/>
    <w:rsid w:val="00E47950"/>
    <w:rsid w:val="00E47CAD"/>
    <w:rsid w:val="00E47FF5"/>
    <w:rsid w:val="00E53438"/>
    <w:rsid w:val="00E5720E"/>
    <w:rsid w:val="00E60DF7"/>
    <w:rsid w:val="00E632BC"/>
    <w:rsid w:val="00E651F4"/>
    <w:rsid w:val="00E677D0"/>
    <w:rsid w:val="00E70FB1"/>
    <w:rsid w:val="00E725FC"/>
    <w:rsid w:val="00E75049"/>
    <w:rsid w:val="00E8136E"/>
    <w:rsid w:val="00E8632D"/>
    <w:rsid w:val="00E86681"/>
    <w:rsid w:val="00E90ADB"/>
    <w:rsid w:val="00E91CB8"/>
    <w:rsid w:val="00E941E2"/>
    <w:rsid w:val="00E94536"/>
    <w:rsid w:val="00E95210"/>
    <w:rsid w:val="00E9754F"/>
    <w:rsid w:val="00EA09ED"/>
    <w:rsid w:val="00EA36C6"/>
    <w:rsid w:val="00EB3BD9"/>
    <w:rsid w:val="00EB6751"/>
    <w:rsid w:val="00EC30F9"/>
    <w:rsid w:val="00ED1298"/>
    <w:rsid w:val="00ED22A0"/>
    <w:rsid w:val="00ED31B7"/>
    <w:rsid w:val="00ED4BC6"/>
    <w:rsid w:val="00ED5725"/>
    <w:rsid w:val="00ED7031"/>
    <w:rsid w:val="00ED7CDD"/>
    <w:rsid w:val="00EE3060"/>
    <w:rsid w:val="00EE4315"/>
    <w:rsid w:val="00EE459D"/>
    <w:rsid w:val="00EE557A"/>
    <w:rsid w:val="00EE68A7"/>
    <w:rsid w:val="00EF5FCD"/>
    <w:rsid w:val="00EF6203"/>
    <w:rsid w:val="00EF6925"/>
    <w:rsid w:val="00F04D33"/>
    <w:rsid w:val="00F04E34"/>
    <w:rsid w:val="00F05F42"/>
    <w:rsid w:val="00F0666C"/>
    <w:rsid w:val="00F06E39"/>
    <w:rsid w:val="00F10F33"/>
    <w:rsid w:val="00F12118"/>
    <w:rsid w:val="00F20C3F"/>
    <w:rsid w:val="00F23220"/>
    <w:rsid w:val="00F23406"/>
    <w:rsid w:val="00F26C8A"/>
    <w:rsid w:val="00F26ED3"/>
    <w:rsid w:val="00F32434"/>
    <w:rsid w:val="00F413B5"/>
    <w:rsid w:val="00F442C4"/>
    <w:rsid w:val="00F45021"/>
    <w:rsid w:val="00F50B3C"/>
    <w:rsid w:val="00F5441F"/>
    <w:rsid w:val="00F55B4B"/>
    <w:rsid w:val="00F569DF"/>
    <w:rsid w:val="00F62B7A"/>
    <w:rsid w:val="00F6397D"/>
    <w:rsid w:val="00F67BFB"/>
    <w:rsid w:val="00F71AD8"/>
    <w:rsid w:val="00F7293E"/>
    <w:rsid w:val="00F744D4"/>
    <w:rsid w:val="00F76650"/>
    <w:rsid w:val="00F82D3E"/>
    <w:rsid w:val="00F90952"/>
    <w:rsid w:val="00F9187B"/>
    <w:rsid w:val="00F92385"/>
    <w:rsid w:val="00F956D6"/>
    <w:rsid w:val="00F9736A"/>
    <w:rsid w:val="00FA11D5"/>
    <w:rsid w:val="00FA1B4F"/>
    <w:rsid w:val="00FA22ED"/>
    <w:rsid w:val="00FA6B1C"/>
    <w:rsid w:val="00FA70D6"/>
    <w:rsid w:val="00FB13F6"/>
    <w:rsid w:val="00FB5FDD"/>
    <w:rsid w:val="00FB6241"/>
    <w:rsid w:val="00FB79DF"/>
    <w:rsid w:val="00FC368E"/>
    <w:rsid w:val="00FC47F9"/>
    <w:rsid w:val="00FC6806"/>
    <w:rsid w:val="00FC7D4A"/>
    <w:rsid w:val="00FE2351"/>
    <w:rsid w:val="00FE3260"/>
    <w:rsid w:val="00FE337D"/>
    <w:rsid w:val="00FE5580"/>
    <w:rsid w:val="00FF105A"/>
    <w:rsid w:val="00FF110C"/>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3CF9"/>
  <w15:chartTrackingRefBased/>
  <w15:docId w15:val="{610897E3-34A6-4D8E-8CDD-BE1EFE1D15A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customStyle="1" w:styleId="normaltextrun">
    <w:name w:val="normaltextrun"/>
    <w:basedOn w:val="DefaultParagraphFont"/>
    <w:rsid w:val="00223507"/>
  </w:style>
  <w:style w:type="character" w:customStyle="1" w:styleId="xbumpedfont15">
    <w:name w:val="x_bumpedfont15"/>
    <w:basedOn w:val="DefaultParagraphFont"/>
    <w:rsid w:val="00223507"/>
  </w:style>
  <w:style w:type="paragraph" w:styleId="ListParagraph">
    <w:name w:val="List Paragraph"/>
    <w:basedOn w:val="Normal"/>
    <w:uiPriority w:val="34"/>
    <w:qFormat/>
    <w:rsid w:val="007304F8"/>
    <w:pPr>
      <w:spacing w:line="240" w:lineRule="auto"/>
      <w:ind w:left="720" w:firstLine="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304F8"/>
    <w:rPr>
      <w:sz w:val="16"/>
      <w:szCs w:val="16"/>
    </w:rPr>
  </w:style>
  <w:style w:type="paragraph" w:styleId="CommentText">
    <w:name w:val="annotation text"/>
    <w:basedOn w:val="Normal"/>
    <w:link w:val="CommentTextChar"/>
    <w:uiPriority w:val="99"/>
    <w:unhideWhenUsed/>
    <w:rsid w:val="007304F8"/>
    <w:pPr>
      <w:spacing w:after="160" w:line="240" w:lineRule="auto"/>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rsid w:val="007304F8"/>
    <w:rPr>
      <w:sz w:val="20"/>
      <w:szCs w:val="20"/>
    </w:rPr>
  </w:style>
  <w:style w:type="character" w:styleId="Mention">
    <w:name w:val="Mention"/>
    <w:basedOn w:val="DefaultParagraphFont"/>
    <w:uiPriority w:val="99"/>
    <w:unhideWhenUsed/>
    <w:rsid w:val="00E70FB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13648"/>
    <w:pPr>
      <w:spacing w:after="0"/>
      <w:ind w:firstLine="720"/>
    </w:pPr>
    <w:rPr>
      <w:rFonts w:ascii="Book Antiqua" w:hAnsi="Book Antiqua"/>
      <w:b/>
      <w:bCs/>
    </w:rPr>
  </w:style>
  <w:style w:type="character" w:customStyle="1" w:styleId="CommentSubjectChar">
    <w:name w:val="Comment Subject Char"/>
    <w:basedOn w:val="CommentTextChar"/>
    <w:link w:val="CommentSubject"/>
    <w:uiPriority w:val="99"/>
    <w:semiHidden/>
    <w:rsid w:val="00213648"/>
    <w:rPr>
      <w:rFonts w:ascii="Book Antiqua" w:hAnsi="Book Antiqua"/>
      <w:b/>
      <w:bCs/>
      <w:sz w:val="20"/>
      <w:szCs w:val="20"/>
    </w:rPr>
  </w:style>
  <w:style w:type="paragraph" w:styleId="NormalWeb">
    <w:name w:val="Normal (Web)"/>
    <w:basedOn w:val="Normal"/>
    <w:uiPriority w:val="99"/>
    <w:semiHidden/>
    <w:unhideWhenUsed/>
    <w:rsid w:val="00F67BF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67BFB"/>
    <w:rPr>
      <w:color w:val="605E5C"/>
      <w:shd w:val="clear" w:color="auto" w:fill="E1DFDD"/>
    </w:rPr>
  </w:style>
  <w:style w:type="character" w:styleId="FollowedHyperlink">
    <w:name w:val="FollowedHyperlink"/>
    <w:basedOn w:val="DefaultParagraphFont"/>
    <w:uiPriority w:val="99"/>
    <w:semiHidden/>
    <w:unhideWhenUsed/>
    <w:rsid w:val="00B4765E"/>
    <w:rPr>
      <w:color w:val="954F72" w:themeColor="followedHyperlink"/>
      <w:u w:val="single"/>
    </w:rPr>
  </w:style>
  <w:style w:type="paragraph" w:styleId="Revision">
    <w:name w:val="Revision"/>
    <w:hidden/>
    <w:uiPriority w:val="99"/>
    <w:semiHidden/>
    <w:rsid w:val="002678ED"/>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8494">
      <w:bodyDiv w:val="1"/>
      <w:marLeft w:val="0"/>
      <w:marRight w:val="0"/>
      <w:marTop w:val="0"/>
      <w:marBottom w:val="0"/>
      <w:divBdr>
        <w:top w:val="none" w:sz="0" w:space="0" w:color="auto"/>
        <w:left w:val="none" w:sz="0" w:space="0" w:color="auto"/>
        <w:bottom w:val="none" w:sz="0" w:space="0" w:color="auto"/>
        <w:right w:val="none" w:sz="0" w:space="0" w:color="auto"/>
      </w:divBdr>
    </w:div>
    <w:div w:id="161048763">
      <w:bodyDiv w:val="1"/>
      <w:marLeft w:val="0"/>
      <w:marRight w:val="0"/>
      <w:marTop w:val="0"/>
      <w:marBottom w:val="0"/>
      <w:divBdr>
        <w:top w:val="none" w:sz="0" w:space="0" w:color="auto"/>
        <w:left w:val="none" w:sz="0" w:space="0" w:color="auto"/>
        <w:bottom w:val="none" w:sz="0" w:space="0" w:color="auto"/>
        <w:right w:val="none" w:sz="0" w:space="0" w:color="auto"/>
      </w:divBdr>
      <w:divsChild>
        <w:div w:id="102457377">
          <w:marLeft w:val="0"/>
          <w:marRight w:val="0"/>
          <w:marTop w:val="0"/>
          <w:marBottom w:val="515"/>
          <w:divBdr>
            <w:top w:val="none" w:sz="0" w:space="0" w:color="auto"/>
            <w:left w:val="none" w:sz="0" w:space="0" w:color="auto"/>
            <w:bottom w:val="none" w:sz="0" w:space="0" w:color="auto"/>
            <w:right w:val="none" w:sz="0" w:space="0" w:color="auto"/>
          </w:divBdr>
          <w:divsChild>
            <w:div w:id="899442902">
              <w:marLeft w:val="0"/>
              <w:marRight w:val="0"/>
              <w:marTop w:val="0"/>
              <w:marBottom w:val="0"/>
              <w:divBdr>
                <w:top w:val="none" w:sz="0" w:space="0" w:color="auto"/>
                <w:left w:val="none" w:sz="0" w:space="0" w:color="auto"/>
                <w:bottom w:val="none" w:sz="0" w:space="0" w:color="auto"/>
                <w:right w:val="none" w:sz="0" w:space="0" w:color="auto"/>
              </w:divBdr>
            </w:div>
          </w:divsChild>
        </w:div>
        <w:div w:id="1453478052">
          <w:marLeft w:val="0"/>
          <w:marRight w:val="0"/>
          <w:marTop w:val="0"/>
          <w:marBottom w:val="515"/>
          <w:divBdr>
            <w:top w:val="none" w:sz="0" w:space="0" w:color="auto"/>
            <w:left w:val="none" w:sz="0" w:space="0" w:color="auto"/>
            <w:bottom w:val="none" w:sz="0" w:space="0" w:color="auto"/>
            <w:right w:val="none" w:sz="0" w:space="0" w:color="auto"/>
          </w:divBdr>
          <w:divsChild>
            <w:div w:id="7774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27768159">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246113340">
      <w:bodyDiv w:val="1"/>
      <w:marLeft w:val="0"/>
      <w:marRight w:val="0"/>
      <w:marTop w:val="0"/>
      <w:marBottom w:val="0"/>
      <w:divBdr>
        <w:top w:val="none" w:sz="0" w:space="0" w:color="auto"/>
        <w:left w:val="none" w:sz="0" w:space="0" w:color="auto"/>
        <w:bottom w:val="none" w:sz="0" w:space="0" w:color="auto"/>
        <w:right w:val="none" w:sz="0" w:space="0" w:color="auto"/>
      </w:divBdr>
    </w:div>
    <w:div w:id="280577146">
      <w:bodyDiv w:val="1"/>
      <w:marLeft w:val="0"/>
      <w:marRight w:val="0"/>
      <w:marTop w:val="0"/>
      <w:marBottom w:val="0"/>
      <w:divBdr>
        <w:top w:val="none" w:sz="0" w:space="0" w:color="auto"/>
        <w:left w:val="none" w:sz="0" w:space="0" w:color="auto"/>
        <w:bottom w:val="none" w:sz="0" w:space="0" w:color="auto"/>
        <w:right w:val="none" w:sz="0" w:space="0" w:color="auto"/>
      </w:divBdr>
    </w:div>
    <w:div w:id="292712661">
      <w:bodyDiv w:val="1"/>
      <w:marLeft w:val="0"/>
      <w:marRight w:val="0"/>
      <w:marTop w:val="0"/>
      <w:marBottom w:val="0"/>
      <w:divBdr>
        <w:top w:val="none" w:sz="0" w:space="0" w:color="auto"/>
        <w:left w:val="none" w:sz="0" w:space="0" w:color="auto"/>
        <w:bottom w:val="none" w:sz="0" w:space="0" w:color="auto"/>
        <w:right w:val="none" w:sz="0" w:space="0" w:color="auto"/>
      </w:divBdr>
    </w:div>
    <w:div w:id="407506453">
      <w:bodyDiv w:val="1"/>
      <w:marLeft w:val="0"/>
      <w:marRight w:val="0"/>
      <w:marTop w:val="0"/>
      <w:marBottom w:val="0"/>
      <w:divBdr>
        <w:top w:val="none" w:sz="0" w:space="0" w:color="auto"/>
        <w:left w:val="none" w:sz="0" w:space="0" w:color="auto"/>
        <w:bottom w:val="none" w:sz="0" w:space="0" w:color="auto"/>
        <w:right w:val="none" w:sz="0" w:space="0" w:color="auto"/>
      </w:divBdr>
    </w:div>
    <w:div w:id="456147568">
      <w:bodyDiv w:val="1"/>
      <w:marLeft w:val="0"/>
      <w:marRight w:val="0"/>
      <w:marTop w:val="0"/>
      <w:marBottom w:val="0"/>
      <w:divBdr>
        <w:top w:val="none" w:sz="0" w:space="0" w:color="auto"/>
        <w:left w:val="none" w:sz="0" w:space="0" w:color="auto"/>
        <w:bottom w:val="none" w:sz="0" w:space="0" w:color="auto"/>
        <w:right w:val="none" w:sz="0" w:space="0" w:color="auto"/>
      </w:divBdr>
      <w:divsChild>
        <w:div w:id="204296340">
          <w:marLeft w:val="0"/>
          <w:marRight w:val="0"/>
          <w:marTop w:val="0"/>
          <w:marBottom w:val="0"/>
          <w:divBdr>
            <w:top w:val="none" w:sz="0" w:space="0" w:color="auto"/>
            <w:left w:val="none" w:sz="0" w:space="0" w:color="auto"/>
            <w:bottom w:val="none" w:sz="0" w:space="0" w:color="auto"/>
            <w:right w:val="none" w:sz="0" w:space="0" w:color="auto"/>
          </w:divBdr>
        </w:div>
        <w:div w:id="463274363">
          <w:marLeft w:val="0"/>
          <w:marRight w:val="0"/>
          <w:marTop w:val="0"/>
          <w:marBottom w:val="0"/>
          <w:divBdr>
            <w:top w:val="none" w:sz="0" w:space="0" w:color="auto"/>
            <w:left w:val="none" w:sz="0" w:space="0" w:color="auto"/>
            <w:bottom w:val="none" w:sz="0" w:space="0" w:color="auto"/>
            <w:right w:val="none" w:sz="0" w:space="0" w:color="auto"/>
          </w:divBdr>
        </w:div>
        <w:div w:id="970399931">
          <w:marLeft w:val="0"/>
          <w:marRight w:val="0"/>
          <w:marTop w:val="0"/>
          <w:marBottom w:val="0"/>
          <w:divBdr>
            <w:top w:val="none" w:sz="0" w:space="0" w:color="auto"/>
            <w:left w:val="none" w:sz="0" w:space="0" w:color="auto"/>
            <w:bottom w:val="none" w:sz="0" w:space="0" w:color="auto"/>
            <w:right w:val="none" w:sz="0" w:space="0" w:color="auto"/>
          </w:divBdr>
        </w:div>
        <w:div w:id="1015230242">
          <w:marLeft w:val="0"/>
          <w:marRight w:val="0"/>
          <w:marTop w:val="0"/>
          <w:marBottom w:val="0"/>
          <w:divBdr>
            <w:top w:val="none" w:sz="0" w:space="0" w:color="auto"/>
            <w:left w:val="none" w:sz="0" w:space="0" w:color="auto"/>
            <w:bottom w:val="none" w:sz="0" w:space="0" w:color="auto"/>
            <w:right w:val="none" w:sz="0" w:space="0" w:color="auto"/>
          </w:divBdr>
        </w:div>
        <w:div w:id="1052462865">
          <w:marLeft w:val="0"/>
          <w:marRight w:val="0"/>
          <w:marTop w:val="0"/>
          <w:marBottom w:val="0"/>
          <w:divBdr>
            <w:top w:val="none" w:sz="0" w:space="0" w:color="auto"/>
            <w:left w:val="none" w:sz="0" w:space="0" w:color="auto"/>
            <w:bottom w:val="none" w:sz="0" w:space="0" w:color="auto"/>
            <w:right w:val="none" w:sz="0" w:space="0" w:color="auto"/>
          </w:divBdr>
        </w:div>
        <w:div w:id="1224832209">
          <w:marLeft w:val="0"/>
          <w:marRight w:val="0"/>
          <w:marTop w:val="0"/>
          <w:marBottom w:val="0"/>
          <w:divBdr>
            <w:top w:val="none" w:sz="0" w:space="0" w:color="auto"/>
            <w:left w:val="none" w:sz="0" w:space="0" w:color="auto"/>
            <w:bottom w:val="none" w:sz="0" w:space="0" w:color="auto"/>
            <w:right w:val="none" w:sz="0" w:space="0" w:color="auto"/>
          </w:divBdr>
        </w:div>
        <w:div w:id="1336106283">
          <w:marLeft w:val="0"/>
          <w:marRight w:val="0"/>
          <w:marTop w:val="0"/>
          <w:marBottom w:val="0"/>
          <w:divBdr>
            <w:top w:val="none" w:sz="0" w:space="0" w:color="auto"/>
            <w:left w:val="none" w:sz="0" w:space="0" w:color="auto"/>
            <w:bottom w:val="none" w:sz="0" w:space="0" w:color="auto"/>
            <w:right w:val="none" w:sz="0" w:space="0" w:color="auto"/>
          </w:divBdr>
        </w:div>
        <w:div w:id="1387221117">
          <w:marLeft w:val="0"/>
          <w:marRight w:val="0"/>
          <w:marTop w:val="0"/>
          <w:marBottom w:val="0"/>
          <w:divBdr>
            <w:top w:val="none" w:sz="0" w:space="0" w:color="auto"/>
            <w:left w:val="none" w:sz="0" w:space="0" w:color="auto"/>
            <w:bottom w:val="none" w:sz="0" w:space="0" w:color="auto"/>
            <w:right w:val="none" w:sz="0" w:space="0" w:color="auto"/>
          </w:divBdr>
        </w:div>
        <w:div w:id="1771857372">
          <w:marLeft w:val="0"/>
          <w:marRight w:val="0"/>
          <w:marTop w:val="0"/>
          <w:marBottom w:val="0"/>
          <w:divBdr>
            <w:top w:val="none" w:sz="0" w:space="0" w:color="auto"/>
            <w:left w:val="none" w:sz="0" w:space="0" w:color="auto"/>
            <w:bottom w:val="none" w:sz="0" w:space="0" w:color="auto"/>
            <w:right w:val="none" w:sz="0" w:space="0" w:color="auto"/>
          </w:divBdr>
        </w:div>
        <w:div w:id="1978995334">
          <w:marLeft w:val="0"/>
          <w:marRight w:val="0"/>
          <w:marTop w:val="0"/>
          <w:marBottom w:val="0"/>
          <w:divBdr>
            <w:top w:val="none" w:sz="0" w:space="0" w:color="auto"/>
            <w:left w:val="none" w:sz="0" w:space="0" w:color="auto"/>
            <w:bottom w:val="none" w:sz="0" w:space="0" w:color="auto"/>
            <w:right w:val="none" w:sz="0" w:space="0" w:color="auto"/>
          </w:divBdr>
        </w:div>
      </w:divsChild>
    </w:div>
    <w:div w:id="636759359">
      <w:bodyDiv w:val="1"/>
      <w:marLeft w:val="0"/>
      <w:marRight w:val="0"/>
      <w:marTop w:val="0"/>
      <w:marBottom w:val="0"/>
      <w:divBdr>
        <w:top w:val="none" w:sz="0" w:space="0" w:color="auto"/>
        <w:left w:val="none" w:sz="0" w:space="0" w:color="auto"/>
        <w:bottom w:val="none" w:sz="0" w:space="0" w:color="auto"/>
        <w:right w:val="none" w:sz="0" w:space="0" w:color="auto"/>
      </w:divBdr>
    </w:div>
    <w:div w:id="679968389">
      <w:bodyDiv w:val="1"/>
      <w:marLeft w:val="0"/>
      <w:marRight w:val="0"/>
      <w:marTop w:val="0"/>
      <w:marBottom w:val="0"/>
      <w:divBdr>
        <w:top w:val="none" w:sz="0" w:space="0" w:color="auto"/>
        <w:left w:val="none" w:sz="0" w:space="0" w:color="auto"/>
        <w:bottom w:val="none" w:sz="0" w:space="0" w:color="auto"/>
        <w:right w:val="none" w:sz="0" w:space="0" w:color="auto"/>
      </w:divBdr>
    </w:div>
    <w:div w:id="741024339">
      <w:bodyDiv w:val="1"/>
      <w:marLeft w:val="0"/>
      <w:marRight w:val="0"/>
      <w:marTop w:val="0"/>
      <w:marBottom w:val="0"/>
      <w:divBdr>
        <w:top w:val="none" w:sz="0" w:space="0" w:color="auto"/>
        <w:left w:val="none" w:sz="0" w:space="0" w:color="auto"/>
        <w:bottom w:val="none" w:sz="0" w:space="0" w:color="auto"/>
        <w:right w:val="none" w:sz="0" w:space="0" w:color="auto"/>
      </w:divBdr>
    </w:div>
    <w:div w:id="741292892">
      <w:bodyDiv w:val="1"/>
      <w:marLeft w:val="0"/>
      <w:marRight w:val="0"/>
      <w:marTop w:val="0"/>
      <w:marBottom w:val="0"/>
      <w:divBdr>
        <w:top w:val="none" w:sz="0" w:space="0" w:color="auto"/>
        <w:left w:val="none" w:sz="0" w:space="0" w:color="auto"/>
        <w:bottom w:val="none" w:sz="0" w:space="0" w:color="auto"/>
        <w:right w:val="none" w:sz="0" w:space="0" w:color="auto"/>
      </w:divBdr>
    </w:div>
    <w:div w:id="756557821">
      <w:bodyDiv w:val="1"/>
      <w:marLeft w:val="0"/>
      <w:marRight w:val="0"/>
      <w:marTop w:val="0"/>
      <w:marBottom w:val="0"/>
      <w:divBdr>
        <w:top w:val="none" w:sz="0" w:space="0" w:color="auto"/>
        <w:left w:val="none" w:sz="0" w:space="0" w:color="auto"/>
        <w:bottom w:val="none" w:sz="0" w:space="0" w:color="auto"/>
        <w:right w:val="none" w:sz="0" w:space="0" w:color="auto"/>
      </w:divBdr>
    </w:div>
    <w:div w:id="839351195">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964584347">
      <w:bodyDiv w:val="1"/>
      <w:marLeft w:val="0"/>
      <w:marRight w:val="0"/>
      <w:marTop w:val="0"/>
      <w:marBottom w:val="0"/>
      <w:divBdr>
        <w:top w:val="none" w:sz="0" w:space="0" w:color="auto"/>
        <w:left w:val="none" w:sz="0" w:space="0" w:color="auto"/>
        <w:bottom w:val="none" w:sz="0" w:space="0" w:color="auto"/>
        <w:right w:val="none" w:sz="0" w:space="0" w:color="auto"/>
      </w:divBdr>
    </w:div>
    <w:div w:id="1082874117">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220243373">
      <w:bodyDiv w:val="1"/>
      <w:marLeft w:val="0"/>
      <w:marRight w:val="0"/>
      <w:marTop w:val="0"/>
      <w:marBottom w:val="0"/>
      <w:divBdr>
        <w:top w:val="none" w:sz="0" w:space="0" w:color="auto"/>
        <w:left w:val="none" w:sz="0" w:space="0" w:color="auto"/>
        <w:bottom w:val="none" w:sz="0" w:space="0" w:color="auto"/>
        <w:right w:val="none" w:sz="0" w:space="0" w:color="auto"/>
      </w:divBdr>
      <w:divsChild>
        <w:div w:id="185141002">
          <w:marLeft w:val="0"/>
          <w:marRight w:val="0"/>
          <w:marTop w:val="0"/>
          <w:marBottom w:val="0"/>
          <w:divBdr>
            <w:top w:val="none" w:sz="0" w:space="0" w:color="auto"/>
            <w:left w:val="none" w:sz="0" w:space="0" w:color="auto"/>
            <w:bottom w:val="none" w:sz="0" w:space="0" w:color="auto"/>
            <w:right w:val="none" w:sz="0" w:space="0" w:color="auto"/>
          </w:divBdr>
        </w:div>
        <w:div w:id="230582735">
          <w:marLeft w:val="0"/>
          <w:marRight w:val="0"/>
          <w:marTop w:val="0"/>
          <w:marBottom w:val="0"/>
          <w:divBdr>
            <w:top w:val="none" w:sz="0" w:space="0" w:color="auto"/>
            <w:left w:val="none" w:sz="0" w:space="0" w:color="auto"/>
            <w:bottom w:val="none" w:sz="0" w:space="0" w:color="auto"/>
            <w:right w:val="none" w:sz="0" w:space="0" w:color="auto"/>
          </w:divBdr>
        </w:div>
        <w:div w:id="555745746">
          <w:marLeft w:val="0"/>
          <w:marRight w:val="0"/>
          <w:marTop w:val="0"/>
          <w:marBottom w:val="0"/>
          <w:divBdr>
            <w:top w:val="none" w:sz="0" w:space="0" w:color="auto"/>
            <w:left w:val="none" w:sz="0" w:space="0" w:color="auto"/>
            <w:bottom w:val="none" w:sz="0" w:space="0" w:color="auto"/>
            <w:right w:val="none" w:sz="0" w:space="0" w:color="auto"/>
          </w:divBdr>
        </w:div>
        <w:div w:id="570652139">
          <w:marLeft w:val="0"/>
          <w:marRight w:val="0"/>
          <w:marTop w:val="0"/>
          <w:marBottom w:val="0"/>
          <w:divBdr>
            <w:top w:val="none" w:sz="0" w:space="0" w:color="auto"/>
            <w:left w:val="none" w:sz="0" w:space="0" w:color="auto"/>
            <w:bottom w:val="none" w:sz="0" w:space="0" w:color="auto"/>
            <w:right w:val="none" w:sz="0" w:space="0" w:color="auto"/>
          </w:divBdr>
        </w:div>
        <w:div w:id="612828086">
          <w:marLeft w:val="0"/>
          <w:marRight w:val="0"/>
          <w:marTop w:val="0"/>
          <w:marBottom w:val="0"/>
          <w:divBdr>
            <w:top w:val="none" w:sz="0" w:space="0" w:color="auto"/>
            <w:left w:val="none" w:sz="0" w:space="0" w:color="auto"/>
            <w:bottom w:val="none" w:sz="0" w:space="0" w:color="auto"/>
            <w:right w:val="none" w:sz="0" w:space="0" w:color="auto"/>
          </w:divBdr>
        </w:div>
        <w:div w:id="758793878">
          <w:marLeft w:val="0"/>
          <w:marRight w:val="0"/>
          <w:marTop w:val="0"/>
          <w:marBottom w:val="0"/>
          <w:divBdr>
            <w:top w:val="none" w:sz="0" w:space="0" w:color="auto"/>
            <w:left w:val="none" w:sz="0" w:space="0" w:color="auto"/>
            <w:bottom w:val="none" w:sz="0" w:space="0" w:color="auto"/>
            <w:right w:val="none" w:sz="0" w:space="0" w:color="auto"/>
          </w:divBdr>
        </w:div>
        <w:div w:id="933517700">
          <w:marLeft w:val="0"/>
          <w:marRight w:val="0"/>
          <w:marTop w:val="0"/>
          <w:marBottom w:val="0"/>
          <w:divBdr>
            <w:top w:val="none" w:sz="0" w:space="0" w:color="auto"/>
            <w:left w:val="none" w:sz="0" w:space="0" w:color="auto"/>
            <w:bottom w:val="none" w:sz="0" w:space="0" w:color="auto"/>
            <w:right w:val="none" w:sz="0" w:space="0" w:color="auto"/>
          </w:divBdr>
        </w:div>
        <w:div w:id="952596207">
          <w:marLeft w:val="0"/>
          <w:marRight w:val="0"/>
          <w:marTop w:val="0"/>
          <w:marBottom w:val="0"/>
          <w:divBdr>
            <w:top w:val="none" w:sz="0" w:space="0" w:color="auto"/>
            <w:left w:val="none" w:sz="0" w:space="0" w:color="auto"/>
            <w:bottom w:val="none" w:sz="0" w:space="0" w:color="auto"/>
            <w:right w:val="none" w:sz="0" w:space="0" w:color="auto"/>
          </w:divBdr>
        </w:div>
        <w:div w:id="1586769797">
          <w:marLeft w:val="0"/>
          <w:marRight w:val="0"/>
          <w:marTop w:val="0"/>
          <w:marBottom w:val="0"/>
          <w:divBdr>
            <w:top w:val="none" w:sz="0" w:space="0" w:color="auto"/>
            <w:left w:val="none" w:sz="0" w:space="0" w:color="auto"/>
            <w:bottom w:val="none" w:sz="0" w:space="0" w:color="auto"/>
            <w:right w:val="none" w:sz="0" w:space="0" w:color="auto"/>
          </w:divBdr>
        </w:div>
        <w:div w:id="1908221811">
          <w:marLeft w:val="0"/>
          <w:marRight w:val="0"/>
          <w:marTop w:val="0"/>
          <w:marBottom w:val="0"/>
          <w:divBdr>
            <w:top w:val="none" w:sz="0" w:space="0" w:color="auto"/>
            <w:left w:val="none" w:sz="0" w:space="0" w:color="auto"/>
            <w:bottom w:val="none" w:sz="0" w:space="0" w:color="auto"/>
            <w:right w:val="none" w:sz="0" w:space="0" w:color="auto"/>
          </w:divBdr>
        </w:div>
      </w:divsChild>
    </w:div>
    <w:div w:id="1332609599">
      <w:bodyDiv w:val="1"/>
      <w:marLeft w:val="0"/>
      <w:marRight w:val="0"/>
      <w:marTop w:val="0"/>
      <w:marBottom w:val="0"/>
      <w:divBdr>
        <w:top w:val="none" w:sz="0" w:space="0" w:color="auto"/>
        <w:left w:val="none" w:sz="0" w:space="0" w:color="auto"/>
        <w:bottom w:val="none" w:sz="0" w:space="0" w:color="auto"/>
        <w:right w:val="none" w:sz="0" w:space="0" w:color="auto"/>
      </w:divBdr>
    </w:div>
    <w:div w:id="1333097143">
      <w:bodyDiv w:val="1"/>
      <w:marLeft w:val="0"/>
      <w:marRight w:val="0"/>
      <w:marTop w:val="0"/>
      <w:marBottom w:val="0"/>
      <w:divBdr>
        <w:top w:val="none" w:sz="0" w:space="0" w:color="auto"/>
        <w:left w:val="none" w:sz="0" w:space="0" w:color="auto"/>
        <w:bottom w:val="none" w:sz="0" w:space="0" w:color="auto"/>
        <w:right w:val="none" w:sz="0" w:space="0" w:color="auto"/>
      </w:divBdr>
      <w:divsChild>
        <w:div w:id="54276990">
          <w:marLeft w:val="0"/>
          <w:marRight w:val="0"/>
          <w:marTop w:val="0"/>
          <w:marBottom w:val="0"/>
          <w:divBdr>
            <w:top w:val="none" w:sz="0" w:space="0" w:color="auto"/>
            <w:left w:val="none" w:sz="0" w:space="0" w:color="auto"/>
            <w:bottom w:val="none" w:sz="0" w:space="0" w:color="auto"/>
            <w:right w:val="none" w:sz="0" w:space="0" w:color="auto"/>
          </w:divBdr>
        </w:div>
        <w:div w:id="109210459">
          <w:marLeft w:val="0"/>
          <w:marRight w:val="0"/>
          <w:marTop w:val="0"/>
          <w:marBottom w:val="0"/>
          <w:divBdr>
            <w:top w:val="none" w:sz="0" w:space="0" w:color="auto"/>
            <w:left w:val="none" w:sz="0" w:space="0" w:color="auto"/>
            <w:bottom w:val="none" w:sz="0" w:space="0" w:color="auto"/>
            <w:right w:val="none" w:sz="0" w:space="0" w:color="auto"/>
          </w:divBdr>
        </w:div>
        <w:div w:id="217471076">
          <w:marLeft w:val="0"/>
          <w:marRight w:val="0"/>
          <w:marTop w:val="0"/>
          <w:marBottom w:val="0"/>
          <w:divBdr>
            <w:top w:val="none" w:sz="0" w:space="0" w:color="auto"/>
            <w:left w:val="none" w:sz="0" w:space="0" w:color="auto"/>
            <w:bottom w:val="none" w:sz="0" w:space="0" w:color="auto"/>
            <w:right w:val="none" w:sz="0" w:space="0" w:color="auto"/>
          </w:divBdr>
        </w:div>
        <w:div w:id="400062283">
          <w:marLeft w:val="0"/>
          <w:marRight w:val="0"/>
          <w:marTop w:val="0"/>
          <w:marBottom w:val="0"/>
          <w:divBdr>
            <w:top w:val="none" w:sz="0" w:space="0" w:color="auto"/>
            <w:left w:val="none" w:sz="0" w:space="0" w:color="auto"/>
            <w:bottom w:val="none" w:sz="0" w:space="0" w:color="auto"/>
            <w:right w:val="none" w:sz="0" w:space="0" w:color="auto"/>
          </w:divBdr>
        </w:div>
        <w:div w:id="409811807">
          <w:marLeft w:val="0"/>
          <w:marRight w:val="0"/>
          <w:marTop w:val="0"/>
          <w:marBottom w:val="0"/>
          <w:divBdr>
            <w:top w:val="none" w:sz="0" w:space="0" w:color="auto"/>
            <w:left w:val="none" w:sz="0" w:space="0" w:color="auto"/>
            <w:bottom w:val="none" w:sz="0" w:space="0" w:color="auto"/>
            <w:right w:val="none" w:sz="0" w:space="0" w:color="auto"/>
          </w:divBdr>
        </w:div>
        <w:div w:id="529489038">
          <w:marLeft w:val="0"/>
          <w:marRight w:val="0"/>
          <w:marTop w:val="0"/>
          <w:marBottom w:val="0"/>
          <w:divBdr>
            <w:top w:val="none" w:sz="0" w:space="0" w:color="auto"/>
            <w:left w:val="none" w:sz="0" w:space="0" w:color="auto"/>
            <w:bottom w:val="none" w:sz="0" w:space="0" w:color="auto"/>
            <w:right w:val="none" w:sz="0" w:space="0" w:color="auto"/>
          </w:divBdr>
        </w:div>
        <w:div w:id="663972890">
          <w:marLeft w:val="0"/>
          <w:marRight w:val="0"/>
          <w:marTop w:val="0"/>
          <w:marBottom w:val="0"/>
          <w:divBdr>
            <w:top w:val="none" w:sz="0" w:space="0" w:color="auto"/>
            <w:left w:val="none" w:sz="0" w:space="0" w:color="auto"/>
            <w:bottom w:val="none" w:sz="0" w:space="0" w:color="auto"/>
            <w:right w:val="none" w:sz="0" w:space="0" w:color="auto"/>
          </w:divBdr>
        </w:div>
        <w:div w:id="869689123">
          <w:marLeft w:val="0"/>
          <w:marRight w:val="0"/>
          <w:marTop w:val="0"/>
          <w:marBottom w:val="0"/>
          <w:divBdr>
            <w:top w:val="none" w:sz="0" w:space="0" w:color="auto"/>
            <w:left w:val="none" w:sz="0" w:space="0" w:color="auto"/>
            <w:bottom w:val="none" w:sz="0" w:space="0" w:color="auto"/>
            <w:right w:val="none" w:sz="0" w:space="0" w:color="auto"/>
          </w:divBdr>
        </w:div>
        <w:div w:id="988166806">
          <w:marLeft w:val="0"/>
          <w:marRight w:val="0"/>
          <w:marTop w:val="0"/>
          <w:marBottom w:val="0"/>
          <w:divBdr>
            <w:top w:val="none" w:sz="0" w:space="0" w:color="auto"/>
            <w:left w:val="none" w:sz="0" w:space="0" w:color="auto"/>
            <w:bottom w:val="none" w:sz="0" w:space="0" w:color="auto"/>
            <w:right w:val="none" w:sz="0" w:space="0" w:color="auto"/>
          </w:divBdr>
        </w:div>
        <w:div w:id="1560744453">
          <w:marLeft w:val="0"/>
          <w:marRight w:val="0"/>
          <w:marTop w:val="0"/>
          <w:marBottom w:val="0"/>
          <w:divBdr>
            <w:top w:val="none" w:sz="0" w:space="0" w:color="auto"/>
            <w:left w:val="none" w:sz="0" w:space="0" w:color="auto"/>
            <w:bottom w:val="none" w:sz="0" w:space="0" w:color="auto"/>
            <w:right w:val="none" w:sz="0" w:space="0" w:color="auto"/>
          </w:divBdr>
        </w:div>
      </w:divsChild>
    </w:div>
    <w:div w:id="1350138528">
      <w:bodyDiv w:val="1"/>
      <w:marLeft w:val="0"/>
      <w:marRight w:val="0"/>
      <w:marTop w:val="0"/>
      <w:marBottom w:val="0"/>
      <w:divBdr>
        <w:top w:val="none" w:sz="0" w:space="0" w:color="auto"/>
        <w:left w:val="none" w:sz="0" w:space="0" w:color="auto"/>
        <w:bottom w:val="none" w:sz="0" w:space="0" w:color="auto"/>
        <w:right w:val="none" w:sz="0" w:space="0" w:color="auto"/>
      </w:divBdr>
      <w:divsChild>
        <w:div w:id="188035755">
          <w:marLeft w:val="0"/>
          <w:marRight w:val="0"/>
          <w:marTop w:val="0"/>
          <w:marBottom w:val="515"/>
          <w:divBdr>
            <w:top w:val="none" w:sz="0" w:space="0" w:color="auto"/>
            <w:left w:val="none" w:sz="0" w:space="0" w:color="auto"/>
            <w:bottom w:val="none" w:sz="0" w:space="0" w:color="auto"/>
            <w:right w:val="none" w:sz="0" w:space="0" w:color="auto"/>
          </w:divBdr>
          <w:divsChild>
            <w:div w:id="1668824282">
              <w:marLeft w:val="0"/>
              <w:marRight w:val="0"/>
              <w:marTop w:val="0"/>
              <w:marBottom w:val="0"/>
              <w:divBdr>
                <w:top w:val="none" w:sz="0" w:space="0" w:color="auto"/>
                <w:left w:val="none" w:sz="0" w:space="0" w:color="auto"/>
                <w:bottom w:val="none" w:sz="0" w:space="0" w:color="auto"/>
                <w:right w:val="none" w:sz="0" w:space="0" w:color="auto"/>
              </w:divBdr>
            </w:div>
          </w:divsChild>
        </w:div>
        <w:div w:id="1239171159">
          <w:marLeft w:val="0"/>
          <w:marRight w:val="0"/>
          <w:marTop w:val="0"/>
          <w:marBottom w:val="515"/>
          <w:divBdr>
            <w:top w:val="none" w:sz="0" w:space="0" w:color="auto"/>
            <w:left w:val="none" w:sz="0" w:space="0" w:color="auto"/>
            <w:bottom w:val="none" w:sz="0" w:space="0" w:color="auto"/>
            <w:right w:val="none" w:sz="0" w:space="0" w:color="auto"/>
          </w:divBdr>
          <w:divsChild>
            <w:div w:id="204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649">
      <w:bodyDiv w:val="1"/>
      <w:marLeft w:val="0"/>
      <w:marRight w:val="0"/>
      <w:marTop w:val="0"/>
      <w:marBottom w:val="0"/>
      <w:divBdr>
        <w:top w:val="none" w:sz="0" w:space="0" w:color="auto"/>
        <w:left w:val="none" w:sz="0" w:space="0" w:color="auto"/>
        <w:bottom w:val="none" w:sz="0" w:space="0" w:color="auto"/>
        <w:right w:val="none" w:sz="0" w:space="0" w:color="auto"/>
      </w:divBdr>
    </w:div>
    <w:div w:id="1490706539">
      <w:bodyDiv w:val="1"/>
      <w:marLeft w:val="0"/>
      <w:marRight w:val="0"/>
      <w:marTop w:val="0"/>
      <w:marBottom w:val="0"/>
      <w:divBdr>
        <w:top w:val="none" w:sz="0" w:space="0" w:color="auto"/>
        <w:left w:val="none" w:sz="0" w:space="0" w:color="auto"/>
        <w:bottom w:val="none" w:sz="0" w:space="0" w:color="auto"/>
        <w:right w:val="none" w:sz="0" w:space="0" w:color="auto"/>
      </w:divBdr>
    </w:div>
    <w:div w:id="1535535087">
      <w:bodyDiv w:val="1"/>
      <w:marLeft w:val="0"/>
      <w:marRight w:val="0"/>
      <w:marTop w:val="0"/>
      <w:marBottom w:val="0"/>
      <w:divBdr>
        <w:top w:val="none" w:sz="0" w:space="0" w:color="auto"/>
        <w:left w:val="none" w:sz="0" w:space="0" w:color="auto"/>
        <w:bottom w:val="none" w:sz="0" w:space="0" w:color="auto"/>
        <w:right w:val="none" w:sz="0" w:space="0" w:color="auto"/>
      </w:divBdr>
    </w:div>
    <w:div w:id="1679503174">
      <w:bodyDiv w:val="1"/>
      <w:marLeft w:val="0"/>
      <w:marRight w:val="0"/>
      <w:marTop w:val="0"/>
      <w:marBottom w:val="0"/>
      <w:divBdr>
        <w:top w:val="none" w:sz="0" w:space="0" w:color="auto"/>
        <w:left w:val="none" w:sz="0" w:space="0" w:color="auto"/>
        <w:bottom w:val="none" w:sz="0" w:space="0" w:color="auto"/>
        <w:right w:val="none" w:sz="0" w:space="0" w:color="auto"/>
      </w:divBdr>
    </w:div>
    <w:div w:id="1690719168">
      <w:bodyDiv w:val="1"/>
      <w:marLeft w:val="0"/>
      <w:marRight w:val="0"/>
      <w:marTop w:val="0"/>
      <w:marBottom w:val="0"/>
      <w:divBdr>
        <w:top w:val="none" w:sz="0" w:space="0" w:color="auto"/>
        <w:left w:val="none" w:sz="0" w:space="0" w:color="auto"/>
        <w:bottom w:val="none" w:sz="0" w:space="0" w:color="auto"/>
        <w:right w:val="none" w:sz="0" w:space="0" w:color="auto"/>
      </w:divBdr>
      <w:divsChild>
        <w:div w:id="100272254">
          <w:marLeft w:val="0"/>
          <w:marRight w:val="0"/>
          <w:marTop w:val="0"/>
          <w:marBottom w:val="0"/>
          <w:divBdr>
            <w:top w:val="none" w:sz="0" w:space="0" w:color="auto"/>
            <w:left w:val="none" w:sz="0" w:space="0" w:color="auto"/>
            <w:bottom w:val="none" w:sz="0" w:space="0" w:color="auto"/>
            <w:right w:val="none" w:sz="0" w:space="0" w:color="auto"/>
          </w:divBdr>
        </w:div>
        <w:div w:id="185214574">
          <w:marLeft w:val="0"/>
          <w:marRight w:val="0"/>
          <w:marTop w:val="0"/>
          <w:marBottom w:val="0"/>
          <w:divBdr>
            <w:top w:val="none" w:sz="0" w:space="0" w:color="auto"/>
            <w:left w:val="none" w:sz="0" w:space="0" w:color="auto"/>
            <w:bottom w:val="none" w:sz="0" w:space="0" w:color="auto"/>
            <w:right w:val="none" w:sz="0" w:space="0" w:color="auto"/>
          </w:divBdr>
        </w:div>
        <w:div w:id="521162031">
          <w:marLeft w:val="0"/>
          <w:marRight w:val="0"/>
          <w:marTop w:val="0"/>
          <w:marBottom w:val="0"/>
          <w:divBdr>
            <w:top w:val="none" w:sz="0" w:space="0" w:color="auto"/>
            <w:left w:val="none" w:sz="0" w:space="0" w:color="auto"/>
            <w:bottom w:val="none" w:sz="0" w:space="0" w:color="auto"/>
            <w:right w:val="none" w:sz="0" w:space="0" w:color="auto"/>
          </w:divBdr>
        </w:div>
        <w:div w:id="547036995">
          <w:marLeft w:val="0"/>
          <w:marRight w:val="0"/>
          <w:marTop w:val="0"/>
          <w:marBottom w:val="0"/>
          <w:divBdr>
            <w:top w:val="none" w:sz="0" w:space="0" w:color="auto"/>
            <w:left w:val="none" w:sz="0" w:space="0" w:color="auto"/>
            <w:bottom w:val="none" w:sz="0" w:space="0" w:color="auto"/>
            <w:right w:val="none" w:sz="0" w:space="0" w:color="auto"/>
          </w:divBdr>
        </w:div>
        <w:div w:id="805007639">
          <w:marLeft w:val="0"/>
          <w:marRight w:val="0"/>
          <w:marTop w:val="0"/>
          <w:marBottom w:val="0"/>
          <w:divBdr>
            <w:top w:val="none" w:sz="0" w:space="0" w:color="auto"/>
            <w:left w:val="none" w:sz="0" w:space="0" w:color="auto"/>
            <w:bottom w:val="none" w:sz="0" w:space="0" w:color="auto"/>
            <w:right w:val="none" w:sz="0" w:space="0" w:color="auto"/>
          </w:divBdr>
        </w:div>
        <w:div w:id="1074930060">
          <w:marLeft w:val="0"/>
          <w:marRight w:val="0"/>
          <w:marTop w:val="0"/>
          <w:marBottom w:val="0"/>
          <w:divBdr>
            <w:top w:val="none" w:sz="0" w:space="0" w:color="auto"/>
            <w:left w:val="none" w:sz="0" w:space="0" w:color="auto"/>
            <w:bottom w:val="none" w:sz="0" w:space="0" w:color="auto"/>
            <w:right w:val="none" w:sz="0" w:space="0" w:color="auto"/>
          </w:divBdr>
        </w:div>
        <w:div w:id="1131442580">
          <w:marLeft w:val="0"/>
          <w:marRight w:val="0"/>
          <w:marTop w:val="0"/>
          <w:marBottom w:val="0"/>
          <w:divBdr>
            <w:top w:val="none" w:sz="0" w:space="0" w:color="auto"/>
            <w:left w:val="none" w:sz="0" w:space="0" w:color="auto"/>
            <w:bottom w:val="none" w:sz="0" w:space="0" w:color="auto"/>
            <w:right w:val="none" w:sz="0" w:space="0" w:color="auto"/>
          </w:divBdr>
        </w:div>
        <w:div w:id="1689675299">
          <w:marLeft w:val="0"/>
          <w:marRight w:val="0"/>
          <w:marTop w:val="0"/>
          <w:marBottom w:val="0"/>
          <w:divBdr>
            <w:top w:val="none" w:sz="0" w:space="0" w:color="auto"/>
            <w:left w:val="none" w:sz="0" w:space="0" w:color="auto"/>
            <w:bottom w:val="none" w:sz="0" w:space="0" w:color="auto"/>
            <w:right w:val="none" w:sz="0" w:space="0" w:color="auto"/>
          </w:divBdr>
        </w:div>
        <w:div w:id="1731029732">
          <w:marLeft w:val="0"/>
          <w:marRight w:val="0"/>
          <w:marTop w:val="0"/>
          <w:marBottom w:val="0"/>
          <w:divBdr>
            <w:top w:val="none" w:sz="0" w:space="0" w:color="auto"/>
            <w:left w:val="none" w:sz="0" w:space="0" w:color="auto"/>
            <w:bottom w:val="none" w:sz="0" w:space="0" w:color="auto"/>
            <w:right w:val="none" w:sz="0" w:space="0" w:color="auto"/>
          </w:divBdr>
        </w:div>
        <w:div w:id="1774593384">
          <w:marLeft w:val="0"/>
          <w:marRight w:val="0"/>
          <w:marTop w:val="0"/>
          <w:marBottom w:val="0"/>
          <w:divBdr>
            <w:top w:val="none" w:sz="0" w:space="0" w:color="auto"/>
            <w:left w:val="none" w:sz="0" w:space="0" w:color="auto"/>
            <w:bottom w:val="none" w:sz="0" w:space="0" w:color="auto"/>
            <w:right w:val="none" w:sz="0" w:space="0" w:color="auto"/>
          </w:divBdr>
        </w:div>
      </w:divsChild>
    </w:div>
    <w:div w:id="1707295875">
      <w:bodyDiv w:val="1"/>
      <w:marLeft w:val="0"/>
      <w:marRight w:val="0"/>
      <w:marTop w:val="0"/>
      <w:marBottom w:val="0"/>
      <w:divBdr>
        <w:top w:val="none" w:sz="0" w:space="0" w:color="auto"/>
        <w:left w:val="none" w:sz="0" w:space="0" w:color="auto"/>
        <w:bottom w:val="none" w:sz="0" w:space="0" w:color="auto"/>
        <w:right w:val="none" w:sz="0" w:space="0" w:color="auto"/>
      </w:divBdr>
    </w:div>
    <w:div w:id="1718972622">
      <w:bodyDiv w:val="1"/>
      <w:marLeft w:val="0"/>
      <w:marRight w:val="0"/>
      <w:marTop w:val="0"/>
      <w:marBottom w:val="0"/>
      <w:divBdr>
        <w:top w:val="none" w:sz="0" w:space="0" w:color="auto"/>
        <w:left w:val="none" w:sz="0" w:space="0" w:color="auto"/>
        <w:bottom w:val="none" w:sz="0" w:space="0" w:color="auto"/>
        <w:right w:val="none" w:sz="0" w:space="0" w:color="auto"/>
      </w:divBdr>
    </w:div>
    <w:div w:id="1770465536">
      <w:bodyDiv w:val="1"/>
      <w:marLeft w:val="0"/>
      <w:marRight w:val="0"/>
      <w:marTop w:val="0"/>
      <w:marBottom w:val="0"/>
      <w:divBdr>
        <w:top w:val="none" w:sz="0" w:space="0" w:color="auto"/>
        <w:left w:val="none" w:sz="0" w:space="0" w:color="auto"/>
        <w:bottom w:val="none" w:sz="0" w:space="0" w:color="auto"/>
        <w:right w:val="none" w:sz="0" w:space="0" w:color="auto"/>
      </w:divBdr>
    </w:div>
    <w:div w:id="2001077026">
      <w:bodyDiv w:val="1"/>
      <w:marLeft w:val="0"/>
      <w:marRight w:val="0"/>
      <w:marTop w:val="0"/>
      <w:marBottom w:val="0"/>
      <w:divBdr>
        <w:top w:val="none" w:sz="0" w:space="0" w:color="auto"/>
        <w:left w:val="none" w:sz="0" w:space="0" w:color="auto"/>
        <w:bottom w:val="none" w:sz="0" w:space="0" w:color="auto"/>
        <w:right w:val="none" w:sz="0" w:space="0" w:color="auto"/>
      </w:divBdr>
    </w:div>
    <w:div w:id="2067797693">
      <w:bodyDiv w:val="1"/>
      <w:marLeft w:val="0"/>
      <w:marRight w:val="0"/>
      <w:marTop w:val="0"/>
      <w:marBottom w:val="0"/>
      <w:divBdr>
        <w:top w:val="none" w:sz="0" w:space="0" w:color="auto"/>
        <w:left w:val="none" w:sz="0" w:space="0" w:color="auto"/>
        <w:bottom w:val="none" w:sz="0" w:space="0" w:color="auto"/>
        <w:right w:val="none" w:sz="0" w:space="0" w:color="auto"/>
      </w:divBdr>
    </w:div>
    <w:div w:id="2075740461">
      <w:bodyDiv w:val="1"/>
      <w:marLeft w:val="0"/>
      <w:marRight w:val="0"/>
      <w:marTop w:val="0"/>
      <w:marBottom w:val="0"/>
      <w:divBdr>
        <w:top w:val="none" w:sz="0" w:space="0" w:color="auto"/>
        <w:left w:val="none" w:sz="0" w:space="0" w:color="auto"/>
        <w:bottom w:val="none" w:sz="0" w:space="0" w:color="auto"/>
        <w:right w:val="none" w:sz="0" w:space="0" w:color="auto"/>
      </w:divBdr>
    </w:div>
    <w:div w:id="21414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ydivisioncentralfiles@cpuc.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WORD_PDF/FINAL_DECISION/139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E3D3232498648B22A145ED0FF2224" ma:contentTypeVersion="9" ma:contentTypeDescription="Create a new document." ma:contentTypeScope="" ma:versionID="1d3b2a2db4ae42bb9e6d689cfce30ced">
  <xsd:schema xmlns:xsd="http://www.w3.org/2001/XMLSchema" xmlns:xs="http://www.w3.org/2001/XMLSchema" xmlns:p="http://schemas.microsoft.com/office/2006/metadata/properties" xmlns:ns3="71e93487-f6c1-4f53-a327-b5109cf516e2" xmlns:ns4="56abb5dc-fe41-4d2d-badc-44c4b1d68ffd" targetNamespace="http://schemas.microsoft.com/office/2006/metadata/properties" ma:root="true" ma:fieldsID="5cd909db7c6ae166a17fa12fd91d1d0f" ns3:_="" ns4:_="">
    <xsd:import namespace="71e93487-f6c1-4f53-a327-b5109cf516e2"/>
    <xsd:import namespace="56abb5dc-fe41-4d2d-badc-44c4b1d68f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93487-f6c1-4f53-a327-b5109cf51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bb5dc-fe41-4d2d-badc-44c4b1d68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6abb5dc-fe41-4d2d-badc-44c4b1d68ffd">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_activity xmlns="71e93487-f6c1-4f53-a327-b5109cf516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CA6ED-86EA-4B51-8B6D-F49D9235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93487-f6c1-4f53-a327-b5109cf516e2"/>
    <ds:schemaRef ds:uri="56abb5dc-fe41-4d2d-badc-44c4b1d6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56abb5dc-fe41-4d2d-badc-44c4b1d68ffd"/>
    <ds:schemaRef ds:uri="71e93487-f6c1-4f53-a327-b5109cf516e2"/>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4861</ap:Words>
  <ap:Characters>27710</ap:Characters>
  <ap:Application>Microsoft Office Word</ap:Application>
  <ap:DocSecurity>0</ap:DocSecurity>
  <ap:Lines>230</ap:Lines>
  <ap:Paragraphs>65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32506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2025-10-10T00:44:00Z</cp:lastPrinted>
  <dcterms:created xsi:type="dcterms:W3CDTF">2025-12-05T14:02:53Z</dcterms:created>
  <dcterms:modified xsi:type="dcterms:W3CDTF">2025-12-05T14:02:53Z</dcterms:modified>
</cp:coreProperties>
</file>