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A68" w:rsidP="00474165" w:rsidRDefault="006A7A68" w14:paraId="2F263DF6" w14:textId="77777777">
      <w:pPr>
        <w:tabs>
          <w:tab w:val="center" w:pos="4680"/>
          <w:tab w:val="right" w:pos="9360"/>
        </w:tabs>
        <w:spacing w:line="240" w:lineRule="auto"/>
        <w:ind w:firstLine="0"/>
      </w:pPr>
      <w:bookmarkStart w:name="Title" w:id="0"/>
    </w:p>
    <w:p w:rsidRPr="000C19CA" w:rsidR="003875D0" w:rsidP="002125D1" w:rsidRDefault="003875D0" w14:paraId="00269551" w14:textId="2357F145">
      <w:pPr>
        <w:tabs>
          <w:tab w:val="center" w:pos="4680"/>
          <w:tab w:val="right" w:pos="9360"/>
        </w:tabs>
        <w:spacing w:line="240" w:lineRule="auto"/>
        <w:ind w:firstLine="0"/>
      </w:pPr>
      <w:r w:rsidRPr="000C19CA">
        <w:t>ALJ/RL8/</w:t>
      </w:r>
      <w:r w:rsidR="00A9785E">
        <w:t>kp7</w:t>
      </w:r>
      <w:r w:rsidRPr="000C19CA">
        <w:tab/>
      </w:r>
      <w:r w:rsidR="002125D1">
        <w:tab/>
      </w:r>
      <w:r w:rsidR="002125D1">
        <w:rPr>
          <w:rFonts w:cs="Arial"/>
          <w:b/>
          <w:szCs w:val="32"/>
        </w:rPr>
        <w:t>Date of Issuance 12/5/2025</w:t>
      </w:r>
    </w:p>
    <w:p w:rsidR="003875D0" w:rsidP="003875D0" w:rsidRDefault="003875D0" w14:paraId="633AED69" w14:textId="77777777">
      <w:pPr>
        <w:spacing w:line="240" w:lineRule="auto"/>
        <w:ind w:firstLine="0"/>
      </w:pPr>
    </w:p>
    <w:p w:rsidRPr="000C19CA" w:rsidR="002125D1" w:rsidP="003875D0" w:rsidRDefault="002125D1" w14:paraId="5C34674D" w14:textId="77777777">
      <w:pPr>
        <w:spacing w:line="240" w:lineRule="auto"/>
        <w:ind w:firstLine="0"/>
      </w:pPr>
    </w:p>
    <w:p w:rsidRPr="000C19CA" w:rsidR="003875D0" w:rsidP="003875D0" w:rsidRDefault="003875D0" w14:paraId="66B2BCB2" w14:textId="4D6C7545">
      <w:pPr>
        <w:spacing w:line="240" w:lineRule="auto"/>
        <w:ind w:firstLine="0"/>
      </w:pPr>
      <w:r w:rsidRPr="000C19CA">
        <w:t xml:space="preserve">Decision </w:t>
      </w:r>
      <w:r w:rsidRPr="002125D1" w:rsidR="002125D1">
        <w:t>25-12-008</w:t>
      </w:r>
      <w:r w:rsidR="002125D1">
        <w:t xml:space="preserve"> December 4, 2025</w:t>
      </w:r>
    </w:p>
    <w:p w:rsidRPr="000C19CA" w:rsidR="003875D0" w:rsidP="003875D0" w:rsidRDefault="003875D0" w14:paraId="71FDE1F0" w14:textId="77777777">
      <w:pPr>
        <w:spacing w:line="240" w:lineRule="auto"/>
        <w:ind w:firstLine="0"/>
        <w:rPr>
          <w:u w:val="single"/>
        </w:rPr>
      </w:pPr>
    </w:p>
    <w:p w:rsidRPr="000C19CA" w:rsidR="003875D0" w:rsidP="003875D0" w:rsidRDefault="003875D0" w14:paraId="33D195E5" w14:textId="77777777">
      <w:pPr>
        <w:spacing w:line="240" w:lineRule="auto"/>
        <w:ind w:firstLine="0"/>
        <w:rPr>
          <w:u w:val="single"/>
        </w:rPr>
      </w:pPr>
    </w:p>
    <w:p w:rsidRPr="000C19CA" w:rsidR="003875D0" w:rsidP="003875D0" w:rsidRDefault="003875D0" w14:paraId="0A7046A4" w14:textId="77777777">
      <w:pPr>
        <w:spacing w:line="240" w:lineRule="auto"/>
        <w:ind w:firstLine="0"/>
        <w:jc w:val="center"/>
        <w:rPr>
          <w:rFonts w:ascii="Arial" w:hAnsi="Arial" w:cs="Arial"/>
          <w:sz w:val="24"/>
          <w:szCs w:val="24"/>
        </w:rPr>
      </w:pPr>
      <w:r w:rsidRPr="000C19CA">
        <w:rPr>
          <w:rFonts w:ascii="Arial" w:hAnsi="Arial" w:cs="Arial"/>
          <w:b/>
          <w:sz w:val="24"/>
          <w:szCs w:val="24"/>
        </w:rPr>
        <w:t>BEFORE THE PUBLIC UTILITIES COMMISSION OF THE STATE OF CALIFORNIA</w:t>
      </w:r>
    </w:p>
    <w:p w:rsidRPr="000C19CA" w:rsidR="003875D0" w:rsidP="003875D0" w:rsidRDefault="003875D0" w14:paraId="1052A9E5" w14:textId="77777777">
      <w:pPr>
        <w:spacing w:line="240" w:lineRule="auto"/>
        <w:ind w:firstLine="0"/>
        <w:rPr>
          <w:rFonts w:ascii="Arial" w:hAnsi="Arial" w:cs="Arial"/>
          <w:sz w:val="24"/>
          <w:szCs w:val="24"/>
        </w:rPr>
      </w:pPr>
    </w:p>
    <w:tbl>
      <w:tblPr>
        <w:tblStyle w:val="TableGrid"/>
        <w:tblW w:w="9360" w:type="dxa"/>
        <w:tblLook w:val="04A0" w:firstRow="1" w:lastRow="0" w:firstColumn="1" w:lastColumn="0" w:noHBand="0" w:noVBand="1"/>
      </w:tblPr>
      <w:tblGrid>
        <w:gridCol w:w="4680"/>
        <w:gridCol w:w="4680"/>
      </w:tblGrid>
      <w:tr w:rsidRPr="000C19CA" w:rsidR="003875D0" w:rsidTr="00267EC9" w14:paraId="57D56725" w14:textId="77777777">
        <w:tc>
          <w:tcPr>
            <w:tcW w:w="4675" w:type="dxa"/>
            <w:tcBorders>
              <w:top w:val="nil"/>
              <w:left w:val="nil"/>
              <w:bottom w:val="single" w:color="auto" w:sz="4" w:space="0"/>
              <w:right w:val="single" w:color="auto" w:sz="4" w:space="0"/>
            </w:tcBorders>
          </w:tcPr>
          <w:p w:rsidRPr="000C19CA" w:rsidR="003875D0" w:rsidP="00267EC9" w:rsidRDefault="003875D0" w14:paraId="4E4C5F07" w14:textId="39E0CCCE">
            <w:pPr>
              <w:spacing w:line="240" w:lineRule="auto"/>
              <w:ind w:firstLine="0"/>
              <w:rPr>
                <w:rFonts w:cs="Arial"/>
                <w:szCs w:val="26"/>
              </w:rPr>
            </w:pPr>
            <w:r w:rsidRPr="000C19CA">
              <w:rPr>
                <w:rFonts w:cs="Arial"/>
                <w:szCs w:val="26"/>
              </w:rPr>
              <w:t>Application of</w:t>
            </w:r>
            <w:r w:rsidR="00B77FCE">
              <w:rPr>
                <w:rFonts w:cs="Arial"/>
                <w:szCs w:val="26"/>
              </w:rPr>
              <w:t xml:space="preserve"> </w:t>
            </w:r>
            <w:r w:rsidRPr="00B77FCE" w:rsidR="00B77FCE">
              <w:rPr>
                <w:rFonts w:cs="Arial"/>
                <w:szCs w:val="26"/>
              </w:rPr>
              <w:t>SAN DIEGO GAS &amp; ELECTRIC COMPANY (U902-E) for Approval of its 2026 Electric Procurement Revenue Requirement Forecasts, 2026 Electric Sales Forecast, and GHG-Related Forecasts.</w:t>
            </w:r>
          </w:p>
          <w:p w:rsidRPr="000C19CA" w:rsidR="003875D0" w:rsidP="00267EC9" w:rsidRDefault="003875D0" w14:paraId="62E66928" w14:textId="77777777">
            <w:pPr>
              <w:spacing w:line="240" w:lineRule="auto"/>
              <w:ind w:firstLine="0"/>
              <w:rPr>
                <w:rFonts w:cs="Arial"/>
                <w:szCs w:val="26"/>
              </w:rPr>
            </w:pPr>
          </w:p>
        </w:tc>
        <w:tc>
          <w:tcPr>
            <w:tcW w:w="4675" w:type="dxa"/>
            <w:tcBorders>
              <w:top w:val="nil"/>
              <w:left w:val="single" w:color="auto" w:sz="4" w:space="0"/>
              <w:bottom w:val="nil"/>
              <w:right w:val="nil"/>
            </w:tcBorders>
            <w:vAlign w:val="center"/>
          </w:tcPr>
          <w:p w:rsidRPr="000C19CA" w:rsidR="003875D0" w:rsidP="00267EC9" w:rsidRDefault="003875D0" w14:paraId="3C5D06A9" w14:textId="6D264B22">
            <w:pPr>
              <w:spacing w:line="240" w:lineRule="auto"/>
              <w:ind w:firstLine="0"/>
              <w:jc w:val="center"/>
              <w:rPr>
                <w:rFonts w:cs="Arial"/>
                <w:szCs w:val="26"/>
              </w:rPr>
            </w:pPr>
            <w:r w:rsidRPr="000C19CA">
              <w:rPr>
                <w:rFonts w:cs="Arial"/>
                <w:szCs w:val="26"/>
              </w:rPr>
              <w:t>Application 2</w:t>
            </w:r>
            <w:r w:rsidR="00E97525">
              <w:rPr>
                <w:rFonts w:cs="Arial"/>
                <w:szCs w:val="26"/>
              </w:rPr>
              <w:t>5</w:t>
            </w:r>
            <w:r w:rsidRPr="000C19CA">
              <w:rPr>
                <w:rFonts w:cs="Arial"/>
                <w:szCs w:val="26"/>
              </w:rPr>
              <w:noBreakHyphen/>
              <w:t>05</w:t>
            </w:r>
            <w:r w:rsidRPr="000C19CA">
              <w:rPr>
                <w:rFonts w:cs="Arial"/>
                <w:szCs w:val="26"/>
              </w:rPr>
              <w:noBreakHyphen/>
              <w:t>0</w:t>
            </w:r>
            <w:r>
              <w:rPr>
                <w:rFonts w:cs="Arial"/>
                <w:szCs w:val="26"/>
              </w:rPr>
              <w:t>1</w:t>
            </w:r>
            <w:r w:rsidR="00E97525">
              <w:rPr>
                <w:rFonts w:cs="Arial"/>
                <w:szCs w:val="26"/>
              </w:rPr>
              <w:t>2</w:t>
            </w:r>
          </w:p>
        </w:tc>
      </w:tr>
    </w:tbl>
    <w:p w:rsidRPr="000C19CA" w:rsidR="003875D0" w:rsidP="003875D0" w:rsidRDefault="003875D0" w14:paraId="0C343F9A" w14:textId="77777777">
      <w:pPr>
        <w:spacing w:line="240" w:lineRule="auto"/>
        <w:ind w:firstLine="0"/>
        <w:rPr>
          <w:rFonts w:ascii="Arial" w:hAnsi="Arial" w:cs="Arial"/>
          <w:sz w:val="24"/>
          <w:szCs w:val="24"/>
        </w:rPr>
      </w:pPr>
    </w:p>
    <w:p w:rsidR="00442B54" w:rsidP="00442B54" w:rsidRDefault="003875D0" w14:paraId="2ABE4E2D" w14:textId="43E0030E">
      <w:pPr>
        <w:pStyle w:val="Dummy"/>
        <w:jc w:val="center"/>
        <w:sectPr w:rsidR="00442B54" w:rsidSect="00184B1D">
          <w:headerReference w:type="even" r:id="rId8"/>
          <w:headerReference w:type="default" r:id="rId9"/>
          <w:footerReference w:type="even" r:id="rId10"/>
          <w:footerReference w:type="default" r:id="rId11"/>
          <w:headerReference w:type="first" r:id="rId12"/>
          <w:footerReference w:type="first" r:id="rId13"/>
          <w:pgSz w:w="12240" w:h="15840"/>
          <w:pgMar w:top="1728" w:right="1440" w:bottom="1440" w:left="1440" w:header="720" w:footer="720" w:gutter="0"/>
          <w:pgNumType w:start="1"/>
          <w:cols w:space="720"/>
          <w:titlePg/>
          <w:docGrid w:linePitch="360"/>
        </w:sectPr>
      </w:pPr>
      <w:r w:rsidRPr="001D7531">
        <w:fldChar w:fldCharType="begin"/>
      </w:r>
      <w:r w:rsidRPr="001D7531">
        <w:instrText xml:space="preserve"> REF Title \h  \* MERGEFORMAT </w:instrText>
      </w:r>
      <w:r w:rsidRPr="001D7531">
        <w:fldChar w:fldCharType="separate"/>
      </w:r>
      <w:bookmarkStart w:name="_Toc215581830" w:id="1"/>
      <w:bookmarkStart w:name="_Toc120015194" w:id="2"/>
      <w:r w:rsidRPr="000C19CA">
        <w:t xml:space="preserve">DECISION APPROVING </w:t>
      </w:r>
      <w:r>
        <w:t>SAN DIEGO GAS &amp; ELECTRIC COMPANY’S</w:t>
      </w:r>
      <w:r>
        <w:br/>
        <w:t>202</w:t>
      </w:r>
      <w:r w:rsidR="00B77FCE">
        <w:t>6</w:t>
      </w:r>
      <w:r w:rsidRPr="000C19CA">
        <w:t xml:space="preserve"> ELECTRIC PROCUREMENT REVENUE</w:t>
      </w:r>
      <w:r w:rsidRPr="000C19CA">
        <w:br/>
        <w:t>REQUIREMENT FORECASTS, 202</w:t>
      </w:r>
      <w:r w:rsidR="00B77FCE">
        <w:t>6</w:t>
      </w:r>
      <w:r w:rsidRPr="000C19CA">
        <w:t xml:space="preserve"> ELECTRIC SALES FORECAST,</w:t>
      </w:r>
      <w:r w:rsidRPr="000C19CA">
        <w:br/>
        <w:t>AND GREENHOUSE GAS RELATED FORECASTS</w:t>
      </w:r>
      <w:bookmarkEnd w:id="1"/>
      <w:bookmarkEnd w:id="2"/>
      <w:r w:rsidRPr="000C19CA">
        <w:t xml:space="preserve"> </w:t>
      </w:r>
      <w:r w:rsidRPr="001D7531">
        <w:fldChar w:fldCharType="end"/>
      </w:r>
      <w:bookmarkEnd w:id="0"/>
    </w:p>
    <w:sdt>
      <w:sdtPr>
        <w:rPr>
          <w:rFonts w:eastAsiaTheme="minorHAnsi" w:cstheme="minorBidi"/>
          <w:b w:val="0"/>
          <w:szCs w:val="22"/>
        </w:rPr>
        <w:id w:val="-1631468696"/>
        <w:docPartObj>
          <w:docPartGallery w:val="Table of Contents"/>
          <w:docPartUnique/>
        </w:docPartObj>
      </w:sdtPr>
      <w:sdtEndPr>
        <w:rPr>
          <w:bCs/>
          <w:noProof/>
        </w:rPr>
      </w:sdtEndPr>
      <w:sdtContent>
        <w:p w:rsidR="001D7531" w:rsidP="00443F36" w:rsidRDefault="001D7531" w14:paraId="5F91F45E" w14:textId="32C875F0">
          <w:pPr>
            <w:pStyle w:val="TOCHeading"/>
            <w:spacing w:line="240" w:lineRule="auto"/>
          </w:pPr>
          <w:r>
            <w:t>Table of Contents</w:t>
          </w:r>
        </w:p>
        <w:p w:rsidR="00F824EB" w:rsidP="002F08EB" w:rsidRDefault="001D7531" w14:paraId="2F5AAC2A" w14:textId="6BCD4853">
          <w:pPr>
            <w:pStyle w:val="TOC1"/>
            <w:tabs>
              <w:tab w:val="right" w:leader="dot" w:pos="9350"/>
            </w:tabs>
            <w:ind w:right="90"/>
            <w:rPr>
              <w:rFonts w:asciiTheme="minorHAnsi" w:hAnsiTheme="minorHAnsi" w:cstheme="minorBidi"/>
              <w:noProof/>
              <w:kern w:val="2"/>
              <w:sz w:val="24"/>
              <w:szCs w:val="24"/>
              <w14:ligatures w14:val="standardContextual"/>
            </w:rPr>
          </w:pPr>
          <w:r>
            <w:fldChar w:fldCharType="begin"/>
          </w:r>
          <w:r>
            <w:instrText xml:space="preserve"> TOC \o "1-3" \h \z \u </w:instrText>
          </w:r>
          <w:r>
            <w:fldChar w:fldCharType="separate"/>
          </w:r>
          <w:hyperlink w:history="1" w:anchor="_Toc215581830">
            <w:r w:rsidRPr="0028018C" w:rsidR="00F824EB">
              <w:rPr>
                <w:rStyle w:val="Hyperlink"/>
                <w:noProof/>
              </w:rPr>
              <w:t>DECISION APPROVING SAN DIEGO GAS &amp; ELECTRIC COMPANY’S 2026 ELECTRIC PROCUREMENT REVENUE REQUIREMENT FORECASTS, 2026 ELECTRIC SALES FORECAST, AND GREENHOUSE GAS RELATED FORECASTS</w:t>
            </w:r>
            <w:r w:rsidR="00F824EB">
              <w:rPr>
                <w:noProof/>
                <w:webHidden/>
              </w:rPr>
              <w:tab/>
            </w:r>
            <w:r w:rsidR="00F824EB">
              <w:rPr>
                <w:noProof/>
                <w:webHidden/>
              </w:rPr>
              <w:fldChar w:fldCharType="begin"/>
            </w:r>
            <w:r w:rsidR="00F824EB">
              <w:rPr>
                <w:noProof/>
                <w:webHidden/>
              </w:rPr>
              <w:instrText xml:space="preserve"> PAGEREF _Toc215581830 \h </w:instrText>
            </w:r>
            <w:r w:rsidR="00F824EB">
              <w:rPr>
                <w:noProof/>
                <w:webHidden/>
              </w:rPr>
            </w:r>
            <w:r w:rsidR="00F824EB">
              <w:rPr>
                <w:noProof/>
                <w:webHidden/>
              </w:rPr>
              <w:fldChar w:fldCharType="separate"/>
            </w:r>
            <w:r w:rsidR="00F824EB">
              <w:rPr>
                <w:noProof/>
                <w:webHidden/>
              </w:rPr>
              <w:t>1</w:t>
            </w:r>
            <w:r w:rsidR="00F824EB">
              <w:rPr>
                <w:noProof/>
                <w:webHidden/>
              </w:rPr>
              <w:fldChar w:fldCharType="end"/>
            </w:r>
          </w:hyperlink>
        </w:p>
        <w:p w:rsidR="00F824EB" w:rsidRDefault="00F824EB" w14:paraId="448B8D9E" w14:textId="24872A39">
          <w:pPr>
            <w:pStyle w:val="TOC1"/>
            <w:tabs>
              <w:tab w:val="right" w:leader="dot" w:pos="9350"/>
            </w:tabs>
            <w:rPr>
              <w:rFonts w:asciiTheme="minorHAnsi" w:hAnsiTheme="minorHAnsi" w:cstheme="minorBidi"/>
              <w:noProof/>
              <w:kern w:val="2"/>
              <w:sz w:val="24"/>
              <w:szCs w:val="24"/>
              <w14:ligatures w14:val="standardContextual"/>
            </w:rPr>
          </w:pPr>
          <w:hyperlink w:history="1" w:anchor="_Toc215581831">
            <w:r w:rsidRPr="0028018C">
              <w:rPr>
                <w:rStyle w:val="Hyperlink"/>
                <w:noProof/>
              </w:rPr>
              <w:t>Summary</w:t>
            </w:r>
            <w:r>
              <w:rPr>
                <w:noProof/>
                <w:webHidden/>
              </w:rPr>
              <w:tab/>
            </w:r>
            <w:r>
              <w:rPr>
                <w:noProof/>
                <w:webHidden/>
              </w:rPr>
              <w:fldChar w:fldCharType="begin"/>
            </w:r>
            <w:r>
              <w:rPr>
                <w:noProof/>
                <w:webHidden/>
              </w:rPr>
              <w:instrText xml:space="preserve"> PAGEREF _Toc215581831 \h </w:instrText>
            </w:r>
            <w:r>
              <w:rPr>
                <w:noProof/>
                <w:webHidden/>
              </w:rPr>
            </w:r>
            <w:r>
              <w:rPr>
                <w:noProof/>
                <w:webHidden/>
              </w:rPr>
              <w:fldChar w:fldCharType="separate"/>
            </w:r>
            <w:r>
              <w:rPr>
                <w:noProof/>
                <w:webHidden/>
              </w:rPr>
              <w:t>2</w:t>
            </w:r>
            <w:r>
              <w:rPr>
                <w:noProof/>
                <w:webHidden/>
              </w:rPr>
              <w:fldChar w:fldCharType="end"/>
            </w:r>
          </w:hyperlink>
        </w:p>
        <w:p w:rsidR="00F824EB" w:rsidRDefault="00F824EB" w14:paraId="38C4AF61" w14:textId="6740FB52">
          <w:pPr>
            <w:pStyle w:val="TOC1"/>
            <w:tabs>
              <w:tab w:val="right" w:leader="dot" w:pos="9350"/>
            </w:tabs>
            <w:rPr>
              <w:rFonts w:asciiTheme="minorHAnsi" w:hAnsiTheme="minorHAnsi" w:cstheme="minorBidi"/>
              <w:noProof/>
              <w:kern w:val="2"/>
              <w:sz w:val="24"/>
              <w:szCs w:val="24"/>
              <w14:ligatures w14:val="standardContextual"/>
            </w:rPr>
          </w:pPr>
          <w:hyperlink w:history="1" w:anchor="_Toc215581832">
            <w:r w:rsidRPr="0028018C">
              <w:rPr>
                <w:rStyle w:val="Hyperlink"/>
                <w:noProof/>
              </w:rPr>
              <w:t>1.</w:t>
            </w:r>
            <w:r>
              <w:rPr>
                <w:rFonts w:asciiTheme="minorHAnsi" w:hAnsiTheme="minorHAnsi" w:cstheme="minorBidi"/>
                <w:noProof/>
                <w:kern w:val="2"/>
                <w:sz w:val="24"/>
                <w:szCs w:val="24"/>
                <w14:ligatures w14:val="standardContextual"/>
              </w:rPr>
              <w:tab/>
            </w:r>
            <w:r w:rsidRPr="0028018C">
              <w:rPr>
                <w:rStyle w:val="Hyperlink"/>
                <w:noProof/>
              </w:rPr>
              <w:t>Background</w:t>
            </w:r>
            <w:r>
              <w:rPr>
                <w:noProof/>
                <w:webHidden/>
              </w:rPr>
              <w:tab/>
            </w:r>
            <w:r>
              <w:rPr>
                <w:noProof/>
                <w:webHidden/>
              </w:rPr>
              <w:fldChar w:fldCharType="begin"/>
            </w:r>
            <w:r>
              <w:rPr>
                <w:noProof/>
                <w:webHidden/>
              </w:rPr>
              <w:instrText xml:space="preserve"> PAGEREF _Toc215581832 \h </w:instrText>
            </w:r>
            <w:r>
              <w:rPr>
                <w:noProof/>
                <w:webHidden/>
              </w:rPr>
            </w:r>
            <w:r>
              <w:rPr>
                <w:noProof/>
                <w:webHidden/>
              </w:rPr>
              <w:fldChar w:fldCharType="separate"/>
            </w:r>
            <w:r>
              <w:rPr>
                <w:noProof/>
                <w:webHidden/>
              </w:rPr>
              <w:t>4</w:t>
            </w:r>
            <w:r>
              <w:rPr>
                <w:noProof/>
                <w:webHidden/>
              </w:rPr>
              <w:fldChar w:fldCharType="end"/>
            </w:r>
          </w:hyperlink>
        </w:p>
        <w:p w:rsidR="00F824EB" w:rsidRDefault="00F824EB" w14:paraId="6C88F2EE" w14:textId="0372C6A0">
          <w:pPr>
            <w:pStyle w:val="TOC1"/>
            <w:tabs>
              <w:tab w:val="right" w:leader="dot" w:pos="9350"/>
            </w:tabs>
            <w:rPr>
              <w:rFonts w:asciiTheme="minorHAnsi" w:hAnsiTheme="minorHAnsi" w:cstheme="minorBidi"/>
              <w:noProof/>
              <w:kern w:val="2"/>
              <w:sz w:val="24"/>
              <w:szCs w:val="24"/>
              <w14:ligatures w14:val="standardContextual"/>
            </w:rPr>
          </w:pPr>
          <w:hyperlink w:history="1" w:anchor="_Toc215581833">
            <w:r w:rsidRPr="0028018C">
              <w:rPr>
                <w:rStyle w:val="Hyperlink"/>
                <w:noProof/>
              </w:rPr>
              <w:t>2.</w:t>
            </w:r>
            <w:r>
              <w:rPr>
                <w:rFonts w:asciiTheme="minorHAnsi" w:hAnsiTheme="minorHAnsi" w:cstheme="minorBidi"/>
                <w:noProof/>
                <w:kern w:val="2"/>
                <w:sz w:val="24"/>
                <w:szCs w:val="24"/>
                <w14:ligatures w14:val="standardContextual"/>
              </w:rPr>
              <w:tab/>
            </w:r>
            <w:r w:rsidRPr="0028018C">
              <w:rPr>
                <w:rStyle w:val="Hyperlink"/>
                <w:noProof/>
              </w:rPr>
              <w:t>SDG&amp;E’s Energy Resource Recovery Account (ERRA)</w:t>
            </w:r>
            <w:r>
              <w:rPr>
                <w:noProof/>
                <w:webHidden/>
              </w:rPr>
              <w:tab/>
            </w:r>
            <w:r>
              <w:rPr>
                <w:noProof/>
                <w:webHidden/>
              </w:rPr>
              <w:fldChar w:fldCharType="begin"/>
            </w:r>
            <w:r>
              <w:rPr>
                <w:noProof/>
                <w:webHidden/>
              </w:rPr>
              <w:instrText xml:space="preserve"> PAGEREF _Toc215581833 \h </w:instrText>
            </w:r>
            <w:r>
              <w:rPr>
                <w:noProof/>
                <w:webHidden/>
              </w:rPr>
            </w:r>
            <w:r>
              <w:rPr>
                <w:noProof/>
                <w:webHidden/>
              </w:rPr>
              <w:fldChar w:fldCharType="separate"/>
            </w:r>
            <w:r>
              <w:rPr>
                <w:noProof/>
                <w:webHidden/>
              </w:rPr>
              <w:t>6</w:t>
            </w:r>
            <w:r>
              <w:rPr>
                <w:noProof/>
                <w:webHidden/>
              </w:rPr>
              <w:fldChar w:fldCharType="end"/>
            </w:r>
          </w:hyperlink>
        </w:p>
        <w:p w:rsidR="00F824EB" w:rsidRDefault="00F824EB" w14:paraId="5CDC745E" w14:textId="11A754B1">
          <w:pPr>
            <w:pStyle w:val="TOC1"/>
            <w:tabs>
              <w:tab w:val="right" w:leader="dot" w:pos="9350"/>
            </w:tabs>
            <w:rPr>
              <w:rFonts w:asciiTheme="minorHAnsi" w:hAnsiTheme="minorHAnsi" w:cstheme="minorBidi"/>
              <w:noProof/>
              <w:kern w:val="2"/>
              <w:sz w:val="24"/>
              <w:szCs w:val="24"/>
              <w14:ligatures w14:val="standardContextual"/>
            </w:rPr>
          </w:pPr>
          <w:hyperlink w:history="1" w:anchor="_Toc215581834">
            <w:r w:rsidRPr="0028018C">
              <w:rPr>
                <w:rStyle w:val="Hyperlink"/>
                <w:noProof/>
              </w:rPr>
              <w:t>3.</w:t>
            </w:r>
            <w:r>
              <w:rPr>
                <w:rFonts w:asciiTheme="minorHAnsi" w:hAnsiTheme="minorHAnsi" w:cstheme="minorBidi"/>
                <w:noProof/>
                <w:kern w:val="2"/>
                <w:sz w:val="24"/>
                <w:szCs w:val="24"/>
                <w14:ligatures w14:val="standardContextual"/>
              </w:rPr>
              <w:tab/>
            </w:r>
            <w:r w:rsidRPr="0028018C">
              <w:rPr>
                <w:rStyle w:val="Hyperlink"/>
                <w:noProof/>
              </w:rPr>
              <w:t>Request</w:t>
            </w:r>
            <w:r>
              <w:rPr>
                <w:noProof/>
                <w:webHidden/>
              </w:rPr>
              <w:tab/>
            </w:r>
            <w:r>
              <w:rPr>
                <w:noProof/>
                <w:webHidden/>
              </w:rPr>
              <w:fldChar w:fldCharType="begin"/>
            </w:r>
            <w:r>
              <w:rPr>
                <w:noProof/>
                <w:webHidden/>
              </w:rPr>
              <w:instrText xml:space="preserve"> PAGEREF _Toc215581834 \h </w:instrText>
            </w:r>
            <w:r>
              <w:rPr>
                <w:noProof/>
                <w:webHidden/>
              </w:rPr>
            </w:r>
            <w:r>
              <w:rPr>
                <w:noProof/>
                <w:webHidden/>
              </w:rPr>
              <w:fldChar w:fldCharType="separate"/>
            </w:r>
            <w:r>
              <w:rPr>
                <w:noProof/>
                <w:webHidden/>
              </w:rPr>
              <w:t>11</w:t>
            </w:r>
            <w:r>
              <w:rPr>
                <w:noProof/>
                <w:webHidden/>
              </w:rPr>
              <w:fldChar w:fldCharType="end"/>
            </w:r>
          </w:hyperlink>
        </w:p>
        <w:p w:rsidR="00F824EB" w:rsidRDefault="00F824EB" w14:paraId="1069272C" w14:textId="5FE2E35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35">
            <w:r w:rsidRPr="0028018C">
              <w:rPr>
                <w:rStyle w:val="Hyperlink"/>
                <w:noProof/>
              </w:rPr>
              <w:t>3.1.</w:t>
            </w:r>
            <w:r>
              <w:rPr>
                <w:rFonts w:asciiTheme="minorHAnsi" w:hAnsiTheme="minorHAnsi" w:cstheme="minorBidi"/>
                <w:noProof/>
                <w:kern w:val="2"/>
                <w:sz w:val="24"/>
                <w:szCs w:val="24"/>
                <w14:ligatures w14:val="standardContextual"/>
              </w:rPr>
              <w:tab/>
            </w:r>
            <w:r w:rsidRPr="0028018C">
              <w:rPr>
                <w:rStyle w:val="Hyperlink"/>
                <w:noProof/>
              </w:rPr>
              <w:t>October 2025 Update</w:t>
            </w:r>
            <w:r>
              <w:rPr>
                <w:noProof/>
                <w:webHidden/>
              </w:rPr>
              <w:tab/>
            </w:r>
            <w:r>
              <w:rPr>
                <w:noProof/>
                <w:webHidden/>
              </w:rPr>
              <w:fldChar w:fldCharType="begin"/>
            </w:r>
            <w:r>
              <w:rPr>
                <w:noProof/>
                <w:webHidden/>
              </w:rPr>
              <w:instrText xml:space="preserve"> PAGEREF _Toc215581835 \h </w:instrText>
            </w:r>
            <w:r>
              <w:rPr>
                <w:noProof/>
                <w:webHidden/>
              </w:rPr>
            </w:r>
            <w:r>
              <w:rPr>
                <w:noProof/>
                <w:webHidden/>
              </w:rPr>
              <w:fldChar w:fldCharType="separate"/>
            </w:r>
            <w:r>
              <w:rPr>
                <w:noProof/>
                <w:webHidden/>
              </w:rPr>
              <w:t>12</w:t>
            </w:r>
            <w:r>
              <w:rPr>
                <w:noProof/>
                <w:webHidden/>
              </w:rPr>
              <w:fldChar w:fldCharType="end"/>
            </w:r>
          </w:hyperlink>
        </w:p>
        <w:p w:rsidR="00F824EB" w:rsidRDefault="00F824EB" w14:paraId="2D10817A" w14:textId="587E49C7">
          <w:pPr>
            <w:pStyle w:val="TOC1"/>
            <w:tabs>
              <w:tab w:val="right" w:leader="dot" w:pos="9350"/>
            </w:tabs>
            <w:rPr>
              <w:rFonts w:asciiTheme="minorHAnsi" w:hAnsiTheme="minorHAnsi" w:cstheme="minorBidi"/>
              <w:noProof/>
              <w:kern w:val="2"/>
              <w:sz w:val="24"/>
              <w:szCs w:val="24"/>
              <w14:ligatures w14:val="standardContextual"/>
            </w:rPr>
          </w:pPr>
          <w:hyperlink w:history="1" w:anchor="_Toc215581836">
            <w:r w:rsidRPr="0028018C">
              <w:rPr>
                <w:rStyle w:val="Hyperlink"/>
                <w:noProof/>
              </w:rPr>
              <w:t>4.</w:t>
            </w:r>
            <w:r>
              <w:rPr>
                <w:rFonts w:asciiTheme="minorHAnsi" w:hAnsiTheme="minorHAnsi" w:cstheme="minorBidi"/>
                <w:noProof/>
                <w:kern w:val="2"/>
                <w:sz w:val="24"/>
                <w:szCs w:val="24"/>
                <w14:ligatures w14:val="standardContextual"/>
              </w:rPr>
              <w:tab/>
            </w:r>
            <w:r w:rsidRPr="0028018C">
              <w:rPr>
                <w:rStyle w:val="Hyperlink"/>
                <w:noProof/>
              </w:rPr>
              <w:t>Issues Before the Commission</w:t>
            </w:r>
            <w:r>
              <w:rPr>
                <w:noProof/>
                <w:webHidden/>
              </w:rPr>
              <w:tab/>
            </w:r>
            <w:r>
              <w:rPr>
                <w:noProof/>
                <w:webHidden/>
              </w:rPr>
              <w:fldChar w:fldCharType="begin"/>
            </w:r>
            <w:r>
              <w:rPr>
                <w:noProof/>
                <w:webHidden/>
              </w:rPr>
              <w:instrText xml:space="preserve"> PAGEREF _Toc215581836 \h </w:instrText>
            </w:r>
            <w:r>
              <w:rPr>
                <w:noProof/>
                <w:webHidden/>
              </w:rPr>
            </w:r>
            <w:r>
              <w:rPr>
                <w:noProof/>
                <w:webHidden/>
              </w:rPr>
              <w:fldChar w:fldCharType="separate"/>
            </w:r>
            <w:r>
              <w:rPr>
                <w:noProof/>
                <w:webHidden/>
              </w:rPr>
              <w:t>14</w:t>
            </w:r>
            <w:r>
              <w:rPr>
                <w:noProof/>
                <w:webHidden/>
              </w:rPr>
              <w:fldChar w:fldCharType="end"/>
            </w:r>
          </w:hyperlink>
        </w:p>
        <w:p w:rsidR="00F824EB" w:rsidRDefault="00F824EB" w14:paraId="6D43EB87" w14:textId="7D93F21B">
          <w:pPr>
            <w:pStyle w:val="TOC1"/>
            <w:tabs>
              <w:tab w:val="right" w:leader="dot" w:pos="9350"/>
            </w:tabs>
            <w:rPr>
              <w:rFonts w:asciiTheme="minorHAnsi" w:hAnsiTheme="minorHAnsi" w:cstheme="minorBidi"/>
              <w:noProof/>
              <w:kern w:val="2"/>
              <w:sz w:val="24"/>
              <w:szCs w:val="24"/>
              <w14:ligatures w14:val="standardContextual"/>
            </w:rPr>
          </w:pPr>
          <w:hyperlink w:history="1" w:anchor="_Toc215581837">
            <w:r w:rsidRPr="0028018C">
              <w:rPr>
                <w:rStyle w:val="Hyperlink"/>
                <w:noProof/>
              </w:rPr>
              <w:t>5.</w:t>
            </w:r>
            <w:r>
              <w:rPr>
                <w:rFonts w:asciiTheme="minorHAnsi" w:hAnsiTheme="minorHAnsi" w:cstheme="minorBidi"/>
                <w:noProof/>
                <w:kern w:val="2"/>
                <w:sz w:val="24"/>
                <w:szCs w:val="24"/>
                <w14:ligatures w14:val="standardContextual"/>
              </w:rPr>
              <w:tab/>
            </w:r>
            <w:r w:rsidRPr="0028018C">
              <w:rPr>
                <w:rStyle w:val="Hyperlink"/>
                <w:noProof/>
              </w:rPr>
              <w:t>Comments from Intervenors</w:t>
            </w:r>
            <w:r>
              <w:rPr>
                <w:noProof/>
                <w:webHidden/>
              </w:rPr>
              <w:tab/>
            </w:r>
            <w:r>
              <w:rPr>
                <w:noProof/>
                <w:webHidden/>
              </w:rPr>
              <w:fldChar w:fldCharType="begin"/>
            </w:r>
            <w:r>
              <w:rPr>
                <w:noProof/>
                <w:webHidden/>
              </w:rPr>
              <w:instrText xml:space="preserve"> PAGEREF _Toc215581837 \h </w:instrText>
            </w:r>
            <w:r>
              <w:rPr>
                <w:noProof/>
                <w:webHidden/>
              </w:rPr>
            </w:r>
            <w:r>
              <w:rPr>
                <w:noProof/>
                <w:webHidden/>
              </w:rPr>
              <w:fldChar w:fldCharType="separate"/>
            </w:r>
            <w:r>
              <w:rPr>
                <w:noProof/>
                <w:webHidden/>
              </w:rPr>
              <w:t>15</w:t>
            </w:r>
            <w:r>
              <w:rPr>
                <w:noProof/>
                <w:webHidden/>
              </w:rPr>
              <w:fldChar w:fldCharType="end"/>
            </w:r>
          </w:hyperlink>
        </w:p>
        <w:p w:rsidR="00F824EB" w:rsidRDefault="00F824EB" w14:paraId="61AF7B73" w14:textId="584FA90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38">
            <w:r w:rsidRPr="0028018C">
              <w:rPr>
                <w:rStyle w:val="Hyperlink"/>
                <w:noProof/>
              </w:rPr>
              <w:t>5.1.</w:t>
            </w:r>
            <w:r>
              <w:rPr>
                <w:rFonts w:asciiTheme="minorHAnsi" w:hAnsiTheme="minorHAnsi" w:cstheme="minorBidi"/>
                <w:noProof/>
                <w:kern w:val="2"/>
                <w:sz w:val="24"/>
                <w:szCs w:val="24"/>
                <w14:ligatures w14:val="standardContextual"/>
              </w:rPr>
              <w:tab/>
            </w:r>
            <w:r w:rsidRPr="0028018C">
              <w:rPr>
                <w:rStyle w:val="Hyperlink"/>
                <w:noProof/>
              </w:rPr>
              <w:t>Cal Advocates</w:t>
            </w:r>
            <w:r>
              <w:rPr>
                <w:noProof/>
                <w:webHidden/>
              </w:rPr>
              <w:tab/>
            </w:r>
            <w:r>
              <w:rPr>
                <w:noProof/>
                <w:webHidden/>
              </w:rPr>
              <w:fldChar w:fldCharType="begin"/>
            </w:r>
            <w:r>
              <w:rPr>
                <w:noProof/>
                <w:webHidden/>
              </w:rPr>
              <w:instrText xml:space="preserve"> PAGEREF _Toc215581838 \h </w:instrText>
            </w:r>
            <w:r>
              <w:rPr>
                <w:noProof/>
                <w:webHidden/>
              </w:rPr>
            </w:r>
            <w:r>
              <w:rPr>
                <w:noProof/>
                <w:webHidden/>
              </w:rPr>
              <w:fldChar w:fldCharType="separate"/>
            </w:r>
            <w:r>
              <w:rPr>
                <w:noProof/>
                <w:webHidden/>
              </w:rPr>
              <w:t>15</w:t>
            </w:r>
            <w:r>
              <w:rPr>
                <w:noProof/>
                <w:webHidden/>
              </w:rPr>
              <w:fldChar w:fldCharType="end"/>
            </w:r>
          </w:hyperlink>
        </w:p>
        <w:p w:rsidR="00F824EB" w:rsidRDefault="00F824EB" w14:paraId="241FC9B7" w14:textId="557BC1D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39">
            <w:r w:rsidRPr="0028018C">
              <w:rPr>
                <w:rStyle w:val="Hyperlink"/>
                <w:noProof/>
              </w:rPr>
              <w:t>5.2.</w:t>
            </w:r>
            <w:r>
              <w:rPr>
                <w:rFonts w:asciiTheme="minorHAnsi" w:hAnsiTheme="minorHAnsi" w:cstheme="minorBidi"/>
                <w:noProof/>
                <w:kern w:val="2"/>
                <w:sz w:val="24"/>
                <w:szCs w:val="24"/>
                <w14:ligatures w14:val="standardContextual"/>
              </w:rPr>
              <w:tab/>
            </w:r>
            <w:r w:rsidRPr="0028018C">
              <w:rPr>
                <w:rStyle w:val="Hyperlink"/>
                <w:noProof/>
              </w:rPr>
              <w:t>Joint CCAs</w:t>
            </w:r>
            <w:r>
              <w:rPr>
                <w:noProof/>
                <w:webHidden/>
              </w:rPr>
              <w:tab/>
            </w:r>
            <w:r>
              <w:rPr>
                <w:noProof/>
                <w:webHidden/>
              </w:rPr>
              <w:fldChar w:fldCharType="begin"/>
            </w:r>
            <w:r>
              <w:rPr>
                <w:noProof/>
                <w:webHidden/>
              </w:rPr>
              <w:instrText xml:space="preserve"> PAGEREF _Toc215581839 \h </w:instrText>
            </w:r>
            <w:r>
              <w:rPr>
                <w:noProof/>
                <w:webHidden/>
              </w:rPr>
            </w:r>
            <w:r>
              <w:rPr>
                <w:noProof/>
                <w:webHidden/>
              </w:rPr>
              <w:fldChar w:fldCharType="separate"/>
            </w:r>
            <w:r>
              <w:rPr>
                <w:noProof/>
                <w:webHidden/>
              </w:rPr>
              <w:t>15</w:t>
            </w:r>
            <w:r>
              <w:rPr>
                <w:noProof/>
                <w:webHidden/>
              </w:rPr>
              <w:fldChar w:fldCharType="end"/>
            </w:r>
          </w:hyperlink>
        </w:p>
        <w:p w:rsidR="00F824EB" w:rsidRDefault="00F824EB" w14:paraId="728A2A46" w14:textId="03874CA6">
          <w:pPr>
            <w:pStyle w:val="TOC1"/>
            <w:tabs>
              <w:tab w:val="right" w:leader="dot" w:pos="9350"/>
            </w:tabs>
            <w:rPr>
              <w:rFonts w:asciiTheme="minorHAnsi" w:hAnsiTheme="minorHAnsi" w:cstheme="minorBidi"/>
              <w:noProof/>
              <w:kern w:val="2"/>
              <w:sz w:val="24"/>
              <w:szCs w:val="24"/>
              <w14:ligatures w14:val="standardContextual"/>
            </w:rPr>
          </w:pPr>
          <w:hyperlink w:history="1" w:anchor="_Toc215581840">
            <w:r w:rsidRPr="0028018C">
              <w:rPr>
                <w:rStyle w:val="Hyperlink"/>
                <w:noProof/>
              </w:rPr>
              <w:t>6.</w:t>
            </w:r>
            <w:r>
              <w:rPr>
                <w:rFonts w:asciiTheme="minorHAnsi" w:hAnsiTheme="minorHAnsi" w:cstheme="minorBidi"/>
                <w:noProof/>
                <w:kern w:val="2"/>
                <w:sz w:val="24"/>
                <w:szCs w:val="24"/>
                <w14:ligatures w14:val="standardContextual"/>
              </w:rPr>
              <w:tab/>
            </w:r>
            <w:r w:rsidRPr="0028018C">
              <w:rPr>
                <w:rStyle w:val="Hyperlink"/>
                <w:noProof/>
              </w:rPr>
              <w:t>Discussion</w:t>
            </w:r>
            <w:r>
              <w:rPr>
                <w:noProof/>
                <w:webHidden/>
              </w:rPr>
              <w:tab/>
            </w:r>
            <w:r>
              <w:rPr>
                <w:noProof/>
                <w:webHidden/>
              </w:rPr>
              <w:fldChar w:fldCharType="begin"/>
            </w:r>
            <w:r>
              <w:rPr>
                <w:noProof/>
                <w:webHidden/>
              </w:rPr>
              <w:instrText xml:space="preserve"> PAGEREF _Toc215581840 \h </w:instrText>
            </w:r>
            <w:r>
              <w:rPr>
                <w:noProof/>
                <w:webHidden/>
              </w:rPr>
            </w:r>
            <w:r>
              <w:rPr>
                <w:noProof/>
                <w:webHidden/>
              </w:rPr>
              <w:fldChar w:fldCharType="separate"/>
            </w:r>
            <w:r>
              <w:rPr>
                <w:noProof/>
                <w:webHidden/>
              </w:rPr>
              <w:t>16</w:t>
            </w:r>
            <w:r>
              <w:rPr>
                <w:noProof/>
                <w:webHidden/>
              </w:rPr>
              <w:fldChar w:fldCharType="end"/>
            </w:r>
          </w:hyperlink>
        </w:p>
        <w:p w:rsidR="00F824EB" w:rsidRDefault="00F824EB" w14:paraId="3984B37F" w14:textId="685B98E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41">
            <w:r w:rsidRPr="0028018C">
              <w:rPr>
                <w:rStyle w:val="Hyperlink"/>
                <w:noProof/>
              </w:rPr>
              <w:t>6.1.</w:t>
            </w:r>
            <w:r>
              <w:rPr>
                <w:rFonts w:asciiTheme="minorHAnsi" w:hAnsiTheme="minorHAnsi" w:cstheme="minorBidi"/>
                <w:noProof/>
                <w:kern w:val="2"/>
                <w:sz w:val="24"/>
                <w:szCs w:val="24"/>
                <w14:ligatures w14:val="standardContextual"/>
              </w:rPr>
              <w:tab/>
            </w:r>
            <w:r w:rsidRPr="0028018C">
              <w:rPr>
                <w:rStyle w:val="Hyperlink"/>
                <w:noProof/>
              </w:rPr>
              <w:t>ERRA Costs and 2025 Balance</w:t>
            </w:r>
            <w:r>
              <w:rPr>
                <w:noProof/>
                <w:webHidden/>
              </w:rPr>
              <w:tab/>
            </w:r>
            <w:r>
              <w:rPr>
                <w:noProof/>
                <w:webHidden/>
              </w:rPr>
              <w:fldChar w:fldCharType="begin"/>
            </w:r>
            <w:r>
              <w:rPr>
                <w:noProof/>
                <w:webHidden/>
              </w:rPr>
              <w:instrText xml:space="preserve"> PAGEREF _Toc215581841 \h </w:instrText>
            </w:r>
            <w:r>
              <w:rPr>
                <w:noProof/>
                <w:webHidden/>
              </w:rPr>
            </w:r>
            <w:r>
              <w:rPr>
                <w:noProof/>
                <w:webHidden/>
              </w:rPr>
              <w:fldChar w:fldCharType="separate"/>
            </w:r>
            <w:r>
              <w:rPr>
                <w:noProof/>
                <w:webHidden/>
              </w:rPr>
              <w:t>16</w:t>
            </w:r>
            <w:r>
              <w:rPr>
                <w:noProof/>
                <w:webHidden/>
              </w:rPr>
              <w:fldChar w:fldCharType="end"/>
            </w:r>
          </w:hyperlink>
        </w:p>
        <w:p w:rsidR="00F824EB" w:rsidRDefault="00F824EB" w14:paraId="32E6D08D" w14:textId="2861116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42">
            <w:r w:rsidRPr="0028018C">
              <w:rPr>
                <w:rStyle w:val="Hyperlink"/>
                <w:noProof/>
              </w:rPr>
              <w:t>6.2.</w:t>
            </w:r>
            <w:r>
              <w:rPr>
                <w:rFonts w:asciiTheme="minorHAnsi" w:hAnsiTheme="minorHAnsi" w:cstheme="minorBidi"/>
                <w:noProof/>
                <w:kern w:val="2"/>
                <w:sz w:val="24"/>
                <w:szCs w:val="24"/>
                <w14:ligatures w14:val="standardContextual"/>
              </w:rPr>
              <w:tab/>
            </w:r>
            <w:r w:rsidRPr="0028018C">
              <w:rPr>
                <w:rStyle w:val="Hyperlink"/>
                <w:noProof/>
              </w:rPr>
              <w:t>PABA Costs and 2025 Balance</w:t>
            </w:r>
            <w:r>
              <w:rPr>
                <w:noProof/>
                <w:webHidden/>
              </w:rPr>
              <w:tab/>
            </w:r>
            <w:r>
              <w:rPr>
                <w:noProof/>
                <w:webHidden/>
              </w:rPr>
              <w:fldChar w:fldCharType="begin"/>
            </w:r>
            <w:r>
              <w:rPr>
                <w:noProof/>
                <w:webHidden/>
              </w:rPr>
              <w:instrText xml:space="preserve"> PAGEREF _Toc215581842 \h </w:instrText>
            </w:r>
            <w:r>
              <w:rPr>
                <w:noProof/>
                <w:webHidden/>
              </w:rPr>
            </w:r>
            <w:r>
              <w:rPr>
                <w:noProof/>
                <w:webHidden/>
              </w:rPr>
              <w:fldChar w:fldCharType="separate"/>
            </w:r>
            <w:r>
              <w:rPr>
                <w:noProof/>
                <w:webHidden/>
              </w:rPr>
              <w:t>17</w:t>
            </w:r>
            <w:r>
              <w:rPr>
                <w:noProof/>
                <w:webHidden/>
              </w:rPr>
              <w:fldChar w:fldCharType="end"/>
            </w:r>
          </w:hyperlink>
        </w:p>
        <w:p w:rsidR="00F824EB" w:rsidRDefault="00F824EB" w14:paraId="5BDB7AA7" w14:textId="3127F3F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43">
            <w:r w:rsidRPr="0028018C">
              <w:rPr>
                <w:rStyle w:val="Hyperlink"/>
                <w:noProof/>
              </w:rPr>
              <w:t>6.3.</w:t>
            </w:r>
            <w:r>
              <w:rPr>
                <w:rFonts w:asciiTheme="minorHAnsi" w:hAnsiTheme="minorHAnsi" w:cstheme="minorBidi"/>
                <w:noProof/>
                <w:kern w:val="2"/>
                <w:sz w:val="24"/>
                <w:szCs w:val="24"/>
                <w14:ligatures w14:val="standardContextual"/>
              </w:rPr>
              <w:tab/>
            </w:r>
            <w:r w:rsidRPr="0028018C">
              <w:rPr>
                <w:rStyle w:val="Hyperlink"/>
                <w:noProof/>
              </w:rPr>
              <w:t>CTC Costs</w:t>
            </w:r>
            <w:r>
              <w:rPr>
                <w:noProof/>
                <w:webHidden/>
              </w:rPr>
              <w:tab/>
            </w:r>
            <w:r>
              <w:rPr>
                <w:noProof/>
                <w:webHidden/>
              </w:rPr>
              <w:fldChar w:fldCharType="begin"/>
            </w:r>
            <w:r>
              <w:rPr>
                <w:noProof/>
                <w:webHidden/>
              </w:rPr>
              <w:instrText xml:space="preserve"> PAGEREF _Toc215581843 \h </w:instrText>
            </w:r>
            <w:r>
              <w:rPr>
                <w:noProof/>
                <w:webHidden/>
              </w:rPr>
            </w:r>
            <w:r>
              <w:rPr>
                <w:noProof/>
                <w:webHidden/>
              </w:rPr>
              <w:fldChar w:fldCharType="separate"/>
            </w:r>
            <w:r>
              <w:rPr>
                <w:noProof/>
                <w:webHidden/>
              </w:rPr>
              <w:t>19</w:t>
            </w:r>
            <w:r>
              <w:rPr>
                <w:noProof/>
                <w:webHidden/>
              </w:rPr>
              <w:fldChar w:fldCharType="end"/>
            </w:r>
          </w:hyperlink>
        </w:p>
        <w:p w:rsidR="00F824EB" w:rsidRDefault="00F824EB" w14:paraId="0DFD32CF" w14:textId="5CEBC83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44">
            <w:r w:rsidRPr="0028018C">
              <w:rPr>
                <w:rStyle w:val="Hyperlink"/>
                <w:noProof/>
              </w:rPr>
              <w:t>6.4.</w:t>
            </w:r>
            <w:r>
              <w:rPr>
                <w:rFonts w:asciiTheme="minorHAnsi" w:hAnsiTheme="minorHAnsi" w:cstheme="minorBidi"/>
                <w:noProof/>
                <w:kern w:val="2"/>
                <w:sz w:val="24"/>
                <w:szCs w:val="24"/>
                <w14:ligatures w14:val="standardContextual"/>
              </w:rPr>
              <w:tab/>
            </w:r>
            <w:r w:rsidRPr="0028018C">
              <w:rPr>
                <w:rStyle w:val="Hyperlink"/>
                <w:noProof/>
              </w:rPr>
              <w:t>LG Costs and LGBA Balance</w:t>
            </w:r>
            <w:r>
              <w:rPr>
                <w:noProof/>
                <w:webHidden/>
              </w:rPr>
              <w:tab/>
            </w:r>
            <w:r>
              <w:rPr>
                <w:noProof/>
                <w:webHidden/>
              </w:rPr>
              <w:fldChar w:fldCharType="begin"/>
            </w:r>
            <w:r>
              <w:rPr>
                <w:noProof/>
                <w:webHidden/>
              </w:rPr>
              <w:instrText xml:space="preserve"> PAGEREF _Toc215581844 \h </w:instrText>
            </w:r>
            <w:r>
              <w:rPr>
                <w:noProof/>
                <w:webHidden/>
              </w:rPr>
            </w:r>
            <w:r>
              <w:rPr>
                <w:noProof/>
                <w:webHidden/>
              </w:rPr>
              <w:fldChar w:fldCharType="separate"/>
            </w:r>
            <w:r>
              <w:rPr>
                <w:noProof/>
                <w:webHidden/>
              </w:rPr>
              <w:t>19</w:t>
            </w:r>
            <w:r>
              <w:rPr>
                <w:noProof/>
                <w:webHidden/>
              </w:rPr>
              <w:fldChar w:fldCharType="end"/>
            </w:r>
          </w:hyperlink>
        </w:p>
        <w:p w:rsidR="00F824EB" w:rsidRDefault="00F824EB" w14:paraId="4592F662" w14:textId="39A1917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45">
            <w:r w:rsidRPr="0028018C">
              <w:rPr>
                <w:rStyle w:val="Hyperlink"/>
                <w:noProof/>
              </w:rPr>
              <w:t>6.5.</w:t>
            </w:r>
            <w:r>
              <w:rPr>
                <w:rFonts w:asciiTheme="minorHAnsi" w:hAnsiTheme="minorHAnsi" w:cstheme="minorBidi"/>
                <w:noProof/>
                <w:kern w:val="2"/>
                <w:sz w:val="24"/>
                <w:szCs w:val="24"/>
                <w14:ligatures w14:val="standardContextual"/>
              </w:rPr>
              <w:tab/>
            </w:r>
            <w:r w:rsidRPr="0028018C">
              <w:rPr>
                <w:rStyle w:val="Hyperlink"/>
                <w:noProof/>
              </w:rPr>
              <w:t>MCAM Costs</w:t>
            </w:r>
            <w:r>
              <w:rPr>
                <w:noProof/>
                <w:webHidden/>
              </w:rPr>
              <w:tab/>
            </w:r>
            <w:r>
              <w:rPr>
                <w:noProof/>
                <w:webHidden/>
              </w:rPr>
              <w:fldChar w:fldCharType="begin"/>
            </w:r>
            <w:r>
              <w:rPr>
                <w:noProof/>
                <w:webHidden/>
              </w:rPr>
              <w:instrText xml:space="preserve"> PAGEREF _Toc215581845 \h </w:instrText>
            </w:r>
            <w:r>
              <w:rPr>
                <w:noProof/>
                <w:webHidden/>
              </w:rPr>
            </w:r>
            <w:r>
              <w:rPr>
                <w:noProof/>
                <w:webHidden/>
              </w:rPr>
              <w:fldChar w:fldCharType="separate"/>
            </w:r>
            <w:r>
              <w:rPr>
                <w:noProof/>
                <w:webHidden/>
              </w:rPr>
              <w:t>20</w:t>
            </w:r>
            <w:r>
              <w:rPr>
                <w:noProof/>
                <w:webHidden/>
              </w:rPr>
              <w:fldChar w:fldCharType="end"/>
            </w:r>
          </w:hyperlink>
        </w:p>
        <w:p w:rsidR="00F824EB" w:rsidRDefault="00F824EB" w14:paraId="3202D682" w14:textId="67F2600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46">
            <w:r w:rsidRPr="0028018C">
              <w:rPr>
                <w:rStyle w:val="Hyperlink"/>
                <w:noProof/>
              </w:rPr>
              <w:t>6.6.</w:t>
            </w:r>
            <w:r>
              <w:rPr>
                <w:rFonts w:asciiTheme="minorHAnsi" w:hAnsiTheme="minorHAnsi" w:cstheme="minorBidi"/>
                <w:noProof/>
                <w:kern w:val="2"/>
                <w:sz w:val="24"/>
                <w:szCs w:val="24"/>
                <w14:ligatures w14:val="standardContextual"/>
              </w:rPr>
              <w:tab/>
            </w:r>
            <w:r w:rsidRPr="0028018C">
              <w:rPr>
                <w:rStyle w:val="Hyperlink"/>
                <w:noProof/>
              </w:rPr>
              <w:t>SDCP DAC-GT Costs</w:t>
            </w:r>
            <w:r>
              <w:rPr>
                <w:noProof/>
                <w:webHidden/>
              </w:rPr>
              <w:tab/>
            </w:r>
            <w:r>
              <w:rPr>
                <w:noProof/>
                <w:webHidden/>
              </w:rPr>
              <w:fldChar w:fldCharType="begin"/>
            </w:r>
            <w:r>
              <w:rPr>
                <w:noProof/>
                <w:webHidden/>
              </w:rPr>
              <w:instrText xml:space="preserve"> PAGEREF _Toc215581846 \h </w:instrText>
            </w:r>
            <w:r>
              <w:rPr>
                <w:noProof/>
                <w:webHidden/>
              </w:rPr>
            </w:r>
            <w:r>
              <w:rPr>
                <w:noProof/>
                <w:webHidden/>
              </w:rPr>
              <w:fldChar w:fldCharType="separate"/>
            </w:r>
            <w:r>
              <w:rPr>
                <w:noProof/>
                <w:webHidden/>
              </w:rPr>
              <w:t>21</w:t>
            </w:r>
            <w:r>
              <w:rPr>
                <w:noProof/>
                <w:webHidden/>
              </w:rPr>
              <w:fldChar w:fldCharType="end"/>
            </w:r>
          </w:hyperlink>
        </w:p>
        <w:p w:rsidR="00F824EB" w:rsidRDefault="00F824EB" w14:paraId="31EC08F4" w14:textId="4610940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47">
            <w:r w:rsidRPr="0028018C">
              <w:rPr>
                <w:rStyle w:val="Hyperlink"/>
                <w:noProof/>
              </w:rPr>
              <w:t>6.7.</w:t>
            </w:r>
            <w:r>
              <w:rPr>
                <w:rFonts w:asciiTheme="minorHAnsi" w:hAnsiTheme="minorHAnsi" w:cstheme="minorBidi"/>
                <w:noProof/>
                <w:kern w:val="2"/>
                <w:sz w:val="24"/>
                <w:szCs w:val="24"/>
                <w14:ligatures w14:val="standardContextual"/>
              </w:rPr>
              <w:tab/>
            </w:r>
            <w:r w:rsidRPr="0028018C">
              <w:rPr>
                <w:rStyle w:val="Hyperlink"/>
                <w:noProof/>
              </w:rPr>
              <w:t>BioMAT</w:t>
            </w:r>
            <w:r>
              <w:rPr>
                <w:noProof/>
                <w:webHidden/>
              </w:rPr>
              <w:tab/>
            </w:r>
            <w:r>
              <w:rPr>
                <w:noProof/>
                <w:webHidden/>
              </w:rPr>
              <w:fldChar w:fldCharType="begin"/>
            </w:r>
            <w:r>
              <w:rPr>
                <w:noProof/>
                <w:webHidden/>
              </w:rPr>
              <w:instrText xml:space="preserve"> PAGEREF _Toc215581847 \h </w:instrText>
            </w:r>
            <w:r>
              <w:rPr>
                <w:noProof/>
                <w:webHidden/>
              </w:rPr>
            </w:r>
            <w:r>
              <w:rPr>
                <w:noProof/>
                <w:webHidden/>
              </w:rPr>
              <w:fldChar w:fldCharType="separate"/>
            </w:r>
            <w:r>
              <w:rPr>
                <w:noProof/>
                <w:webHidden/>
              </w:rPr>
              <w:t>21</w:t>
            </w:r>
            <w:r>
              <w:rPr>
                <w:noProof/>
                <w:webHidden/>
              </w:rPr>
              <w:fldChar w:fldCharType="end"/>
            </w:r>
          </w:hyperlink>
        </w:p>
        <w:p w:rsidR="00F824EB" w:rsidRDefault="00F824EB" w14:paraId="4720364E" w14:textId="4C8BC79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48">
            <w:r w:rsidRPr="0028018C">
              <w:rPr>
                <w:rStyle w:val="Hyperlink"/>
                <w:noProof/>
              </w:rPr>
              <w:t>6.8.</w:t>
            </w:r>
            <w:r>
              <w:rPr>
                <w:rFonts w:asciiTheme="minorHAnsi" w:hAnsiTheme="minorHAnsi" w:cstheme="minorBidi"/>
                <w:noProof/>
                <w:kern w:val="2"/>
                <w:sz w:val="24"/>
                <w:szCs w:val="24"/>
                <w14:ligatures w14:val="standardContextual"/>
              </w:rPr>
              <w:tab/>
            </w:r>
            <w:r w:rsidRPr="0028018C">
              <w:rPr>
                <w:rStyle w:val="Hyperlink"/>
                <w:noProof/>
              </w:rPr>
              <w:t>TMNBC Costs</w:t>
            </w:r>
            <w:r>
              <w:rPr>
                <w:noProof/>
                <w:webHidden/>
              </w:rPr>
              <w:tab/>
            </w:r>
            <w:r>
              <w:rPr>
                <w:noProof/>
                <w:webHidden/>
              </w:rPr>
              <w:fldChar w:fldCharType="begin"/>
            </w:r>
            <w:r>
              <w:rPr>
                <w:noProof/>
                <w:webHidden/>
              </w:rPr>
              <w:instrText xml:space="preserve"> PAGEREF _Toc215581848 \h </w:instrText>
            </w:r>
            <w:r>
              <w:rPr>
                <w:noProof/>
                <w:webHidden/>
              </w:rPr>
            </w:r>
            <w:r>
              <w:rPr>
                <w:noProof/>
                <w:webHidden/>
              </w:rPr>
              <w:fldChar w:fldCharType="separate"/>
            </w:r>
            <w:r>
              <w:rPr>
                <w:noProof/>
                <w:webHidden/>
              </w:rPr>
              <w:t>21</w:t>
            </w:r>
            <w:r>
              <w:rPr>
                <w:noProof/>
                <w:webHidden/>
              </w:rPr>
              <w:fldChar w:fldCharType="end"/>
            </w:r>
          </w:hyperlink>
        </w:p>
        <w:p w:rsidR="00F824EB" w:rsidRDefault="00F824EB" w14:paraId="39D03AFC" w14:textId="6681F2D6">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5581849">
            <w:r w:rsidRPr="0028018C">
              <w:rPr>
                <w:rStyle w:val="Hyperlink"/>
                <w:noProof/>
              </w:rPr>
              <w:t>6.9.</w:t>
            </w:r>
            <w:r>
              <w:rPr>
                <w:rFonts w:asciiTheme="minorHAnsi" w:hAnsiTheme="minorHAnsi" w:cstheme="minorBidi"/>
                <w:noProof/>
                <w:kern w:val="2"/>
                <w:sz w:val="24"/>
                <w:szCs w:val="24"/>
                <w14:ligatures w14:val="standardContextual"/>
              </w:rPr>
              <w:tab/>
            </w:r>
            <w:r w:rsidRPr="0028018C">
              <w:rPr>
                <w:rStyle w:val="Hyperlink"/>
                <w:noProof/>
              </w:rPr>
              <w:t>GHG Allowance Returns</w:t>
            </w:r>
            <w:r>
              <w:rPr>
                <w:noProof/>
                <w:webHidden/>
              </w:rPr>
              <w:tab/>
            </w:r>
            <w:r>
              <w:rPr>
                <w:noProof/>
                <w:webHidden/>
              </w:rPr>
              <w:fldChar w:fldCharType="begin"/>
            </w:r>
            <w:r>
              <w:rPr>
                <w:noProof/>
                <w:webHidden/>
              </w:rPr>
              <w:instrText xml:space="preserve"> PAGEREF _Toc215581849 \h </w:instrText>
            </w:r>
            <w:r>
              <w:rPr>
                <w:noProof/>
                <w:webHidden/>
              </w:rPr>
            </w:r>
            <w:r>
              <w:rPr>
                <w:noProof/>
                <w:webHidden/>
              </w:rPr>
              <w:fldChar w:fldCharType="separate"/>
            </w:r>
            <w:r>
              <w:rPr>
                <w:noProof/>
                <w:webHidden/>
              </w:rPr>
              <w:t>22</w:t>
            </w:r>
            <w:r>
              <w:rPr>
                <w:noProof/>
                <w:webHidden/>
              </w:rPr>
              <w:fldChar w:fldCharType="end"/>
            </w:r>
          </w:hyperlink>
        </w:p>
        <w:p w:rsidR="00F824EB" w:rsidRDefault="00F824EB" w14:paraId="04739790" w14:textId="1FB3FF0B">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15581850">
            <w:r w:rsidRPr="0028018C">
              <w:rPr>
                <w:rStyle w:val="Hyperlink"/>
                <w:noProof/>
              </w:rPr>
              <w:t>6.10.</w:t>
            </w:r>
            <w:r>
              <w:rPr>
                <w:rFonts w:asciiTheme="minorHAnsi" w:hAnsiTheme="minorHAnsi" w:cstheme="minorBidi"/>
                <w:noProof/>
                <w:kern w:val="2"/>
                <w:sz w:val="24"/>
                <w:szCs w:val="24"/>
                <w14:ligatures w14:val="standardContextual"/>
              </w:rPr>
              <w:tab/>
            </w:r>
            <w:r w:rsidRPr="0028018C">
              <w:rPr>
                <w:rStyle w:val="Hyperlink"/>
                <w:noProof/>
              </w:rPr>
              <w:t>Electric Sales Forecast</w:t>
            </w:r>
            <w:r>
              <w:rPr>
                <w:noProof/>
                <w:webHidden/>
              </w:rPr>
              <w:tab/>
            </w:r>
            <w:r>
              <w:rPr>
                <w:noProof/>
                <w:webHidden/>
              </w:rPr>
              <w:fldChar w:fldCharType="begin"/>
            </w:r>
            <w:r>
              <w:rPr>
                <w:noProof/>
                <w:webHidden/>
              </w:rPr>
              <w:instrText xml:space="preserve"> PAGEREF _Toc215581850 \h </w:instrText>
            </w:r>
            <w:r>
              <w:rPr>
                <w:noProof/>
                <w:webHidden/>
              </w:rPr>
            </w:r>
            <w:r>
              <w:rPr>
                <w:noProof/>
                <w:webHidden/>
              </w:rPr>
              <w:fldChar w:fldCharType="separate"/>
            </w:r>
            <w:r>
              <w:rPr>
                <w:noProof/>
                <w:webHidden/>
              </w:rPr>
              <w:t>22</w:t>
            </w:r>
            <w:r>
              <w:rPr>
                <w:noProof/>
                <w:webHidden/>
              </w:rPr>
              <w:fldChar w:fldCharType="end"/>
            </w:r>
          </w:hyperlink>
        </w:p>
        <w:p w:rsidR="00F824EB" w:rsidRDefault="00F824EB" w14:paraId="618A23C3" w14:textId="1C409BAE">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15581851">
            <w:r w:rsidRPr="0028018C">
              <w:rPr>
                <w:rStyle w:val="Hyperlink"/>
                <w:noProof/>
              </w:rPr>
              <w:t>6.11.</w:t>
            </w:r>
            <w:r>
              <w:rPr>
                <w:rFonts w:asciiTheme="minorHAnsi" w:hAnsiTheme="minorHAnsi" w:cstheme="minorBidi"/>
                <w:noProof/>
                <w:kern w:val="2"/>
                <w:sz w:val="24"/>
                <w:szCs w:val="24"/>
                <w14:ligatures w14:val="standardContextual"/>
              </w:rPr>
              <w:tab/>
            </w:r>
            <w:r w:rsidRPr="0028018C">
              <w:rPr>
                <w:rStyle w:val="Hyperlink"/>
                <w:noProof/>
              </w:rPr>
              <w:t>Other Issues</w:t>
            </w:r>
            <w:r>
              <w:rPr>
                <w:noProof/>
                <w:webHidden/>
              </w:rPr>
              <w:tab/>
            </w:r>
            <w:r>
              <w:rPr>
                <w:noProof/>
                <w:webHidden/>
              </w:rPr>
              <w:fldChar w:fldCharType="begin"/>
            </w:r>
            <w:r>
              <w:rPr>
                <w:noProof/>
                <w:webHidden/>
              </w:rPr>
              <w:instrText xml:space="preserve"> PAGEREF _Toc215581851 \h </w:instrText>
            </w:r>
            <w:r>
              <w:rPr>
                <w:noProof/>
                <w:webHidden/>
              </w:rPr>
            </w:r>
            <w:r>
              <w:rPr>
                <w:noProof/>
                <w:webHidden/>
              </w:rPr>
              <w:fldChar w:fldCharType="separate"/>
            </w:r>
            <w:r>
              <w:rPr>
                <w:noProof/>
                <w:webHidden/>
              </w:rPr>
              <w:t>24</w:t>
            </w:r>
            <w:r>
              <w:rPr>
                <w:noProof/>
                <w:webHidden/>
              </w:rPr>
              <w:fldChar w:fldCharType="end"/>
            </w:r>
          </w:hyperlink>
        </w:p>
        <w:p w:rsidR="00F824EB" w:rsidRDefault="00F824EB" w14:paraId="0B8ACF60" w14:textId="4081CA55">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5581852">
            <w:r w:rsidRPr="0028018C">
              <w:rPr>
                <w:rStyle w:val="Hyperlink"/>
                <w:noProof/>
              </w:rPr>
              <w:t>6.11.1.</w:t>
            </w:r>
            <w:r>
              <w:rPr>
                <w:rFonts w:asciiTheme="minorHAnsi" w:hAnsiTheme="minorHAnsi" w:cstheme="minorBidi"/>
                <w:noProof/>
                <w:kern w:val="2"/>
                <w:sz w:val="24"/>
                <w:szCs w:val="24"/>
                <w14:ligatures w14:val="standardContextual"/>
              </w:rPr>
              <w:tab/>
            </w:r>
            <w:r w:rsidRPr="0028018C">
              <w:rPr>
                <w:rStyle w:val="Hyperlink"/>
                <w:noProof/>
              </w:rPr>
              <w:t>Use of 2025 Benchmarks</w:t>
            </w:r>
            <w:r>
              <w:rPr>
                <w:noProof/>
                <w:webHidden/>
              </w:rPr>
              <w:tab/>
            </w:r>
            <w:r>
              <w:rPr>
                <w:noProof/>
                <w:webHidden/>
              </w:rPr>
              <w:fldChar w:fldCharType="begin"/>
            </w:r>
            <w:r>
              <w:rPr>
                <w:noProof/>
                <w:webHidden/>
              </w:rPr>
              <w:instrText xml:space="preserve"> PAGEREF _Toc215581852 \h </w:instrText>
            </w:r>
            <w:r>
              <w:rPr>
                <w:noProof/>
                <w:webHidden/>
              </w:rPr>
            </w:r>
            <w:r>
              <w:rPr>
                <w:noProof/>
                <w:webHidden/>
              </w:rPr>
              <w:fldChar w:fldCharType="separate"/>
            </w:r>
            <w:r>
              <w:rPr>
                <w:noProof/>
                <w:webHidden/>
              </w:rPr>
              <w:t>24</w:t>
            </w:r>
            <w:r>
              <w:rPr>
                <w:noProof/>
                <w:webHidden/>
              </w:rPr>
              <w:fldChar w:fldCharType="end"/>
            </w:r>
          </w:hyperlink>
        </w:p>
        <w:p w:rsidR="00F824EB" w:rsidRDefault="00F824EB" w14:paraId="6742600D" w14:textId="6E6DF4C1">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5581853">
            <w:r w:rsidRPr="0028018C">
              <w:rPr>
                <w:rStyle w:val="Hyperlink"/>
                <w:noProof/>
              </w:rPr>
              <w:t>6.11.2.</w:t>
            </w:r>
            <w:r>
              <w:rPr>
                <w:rFonts w:asciiTheme="minorHAnsi" w:hAnsiTheme="minorHAnsi" w:cstheme="minorBidi"/>
                <w:noProof/>
                <w:kern w:val="2"/>
                <w:sz w:val="24"/>
                <w:szCs w:val="24"/>
                <w14:ligatures w14:val="standardContextual"/>
              </w:rPr>
              <w:tab/>
            </w:r>
            <w:r w:rsidRPr="0028018C">
              <w:rPr>
                <w:rStyle w:val="Hyperlink"/>
                <w:noProof/>
              </w:rPr>
              <w:t>PCIA Rates</w:t>
            </w:r>
            <w:r>
              <w:rPr>
                <w:noProof/>
                <w:webHidden/>
              </w:rPr>
              <w:tab/>
            </w:r>
            <w:r>
              <w:rPr>
                <w:noProof/>
                <w:webHidden/>
              </w:rPr>
              <w:fldChar w:fldCharType="begin"/>
            </w:r>
            <w:r>
              <w:rPr>
                <w:noProof/>
                <w:webHidden/>
              </w:rPr>
              <w:instrText xml:space="preserve"> PAGEREF _Toc215581853 \h </w:instrText>
            </w:r>
            <w:r>
              <w:rPr>
                <w:noProof/>
                <w:webHidden/>
              </w:rPr>
            </w:r>
            <w:r>
              <w:rPr>
                <w:noProof/>
                <w:webHidden/>
              </w:rPr>
              <w:fldChar w:fldCharType="separate"/>
            </w:r>
            <w:r>
              <w:rPr>
                <w:noProof/>
                <w:webHidden/>
              </w:rPr>
              <w:t>24</w:t>
            </w:r>
            <w:r>
              <w:rPr>
                <w:noProof/>
                <w:webHidden/>
              </w:rPr>
              <w:fldChar w:fldCharType="end"/>
            </w:r>
          </w:hyperlink>
        </w:p>
        <w:p w:rsidR="00F824EB" w:rsidRDefault="00F824EB" w14:paraId="786BCC2E" w14:textId="1D33A370">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5581854">
            <w:r w:rsidRPr="0028018C">
              <w:rPr>
                <w:rStyle w:val="Hyperlink"/>
                <w:noProof/>
              </w:rPr>
              <w:t>6.11.3.</w:t>
            </w:r>
            <w:r>
              <w:rPr>
                <w:rFonts w:asciiTheme="minorHAnsi" w:hAnsiTheme="minorHAnsi" w:cstheme="minorBidi"/>
                <w:noProof/>
                <w:kern w:val="2"/>
                <w:sz w:val="24"/>
                <w:szCs w:val="24"/>
                <w14:ligatures w14:val="standardContextual"/>
              </w:rPr>
              <w:tab/>
            </w:r>
            <w:r w:rsidRPr="0028018C">
              <w:rPr>
                <w:rStyle w:val="Hyperlink"/>
                <w:noProof/>
              </w:rPr>
              <w:t>Use of Pre-2019 Banked RECs</w:t>
            </w:r>
            <w:r>
              <w:rPr>
                <w:noProof/>
                <w:webHidden/>
              </w:rPr>
              <w:tab/>
            </w:r>
            <w:r>
              <w:rPr>
                <w:noProof/>
                <w:webHidden/>
              </w:rPr>
              <w:fldChar w:fldCharType="begin"/>
            </w:r>
            <w:r>
              <w:rPr>
                <w:noProof/>
                <w:webHidden/>
              </w:rPr>
              <w:instrText xml:space="preserve"> PAGEREF _Toc215581854 \h </w:instrText>
            </w:r>
            <w:r>
              <w:rPr>
                <w:noProof/>
                <w:webHidden/>
              </w:rPr>
            </w:r>
            <w:r>
              <w:rPr>
                <w:noProof/>
                <w:webHidden/>
              </w:rPr>
              <w:fldChar w:fldCharType="separate"/>
            </w:r>
            <w:r>
              <w:rPr>
                <w:noProof/>
                <w:webHidden/>
              </w:rPr>
              <w:t>25</w:t>
            </w:r>
            <w:r>
              <w:rPr>
                <w:noProof/>
                <w:webHidden/>
              </w:rPr>
              <w:fldChar w:fldCharType="end"/>
            </w:r>
          </w:hyperlink>
        </w:p>
        <w:p w:rsidR="00F824EB" w:rsidRDefault="00F824EB" w14:paraId="5A84EB68" w14:textId="00D66FA1">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5581855">
            <w:r w:rsidRPr="0028018C">
              <w:rPr>
                <w:rStyle w:val="Hyperlink"/>
                <w:noProof/>
              </w:rPr>
              <w:t>6.11.4.</w:t>
            </w:r>
            <w:r>
              <w:rPr>
                <w:rFonts w:asciiTheme="minorHAnsi" w:hAnsiTheme="minorHAnsi" w:cstheme="minorBidi"/>
                <w:noProof/>
                <w:kern w:val="2"/>
                <w:sz w:val="24"/>
                <w:szCs w:val="24"/>
                <w14:ligatures w14:val="standardContextual"/>
              </w:rPr>
              <w:tab/>
            </w:r>
            <w:r w:rsidRPr="0028018C">
              <w:rPr>
                <w:rStyle w:val="Hyperlink"/>
                <w:noProof/>
              </w:rPr>
              <w:t>Use of Post 2018 Banked RECs</w:t>
            </w:r>
            <w:r>
              <w:rPr>
                <w:noProof/>
                <w:webHidden/>
              </w:rPr>
              <w:tab/>
            </w:r>
            <w:r>
              <w:rPr>
                <w:noProof/>
                <w:webHidden/>
              </w:rPr>
              <w:fldChar w:fldCharType="begin"/>
            </w:r>
            <w:r>
              <w:rPr>
                <w:noProof/>
                <w:webHidden/>
              </w:rPr>
              <w:instrText xml:space="preserve"> PAGEREF _Toc215581855 \h </w:instrText>
            </w:r>
            <w:r>
              <w:rPr>
                <w:noProof/>
                <w:webHidden/>
              </w:rPr>
            </w:r>
            <w:r>
              <w:rPr>
                <w:noProof/>
                <w:webHidden/>
              </w:rPr>
              <w:fldChar w:fldCharType="separate"/>
            </w:r>
            <w:r>
              <w:rPr>
                <w:noProof/>
                <w:webHidden/>
              </w:rPr>
              <w:t>26</w:t>
            </w:r>
            <w:r>
              <w:rPr>
                <w:noProof/>
                <w:webHidden/>
              </w:rPr>
              <w:fldChar w:fldCharType="end"/>
            </w:r>
          </w:hyperlink>
        </w:p>
        <w:p w:rsidR="00F824EB" w:rsidRDefault="00F824EB" w14:paraId="3847E7CC" w14:textId="38E9BB42">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5581856">
            <w:r w:rsidRPr="0028018C">
              <w:rPr>
                <w:rStyle w:val="Hyperlink"/>
                <w:noProof/>
              </w:rPr>
              <w:t>6.11.5.</w:t>
            </w:r>
            <w:r>
              <w:rPr>
                <w:rFonts w:asciiTheme="minorHAnsi" w:hAnsiTheme="minorHAnsi" w:cstheme="minorBidi"/>
                <w:noProof/>
                <w:kern w:val="2"/>
                <w:sz w:val="24"/>
                <w:szCs w:val="24"/>
                <w14:ligatures w14:val="standardContextual"/>
              </w:rPr>
              <w:tab/>
            </w:r>
            <w:r w:rsidRPr="0028018C">
              <w:rPr>
                <w:rStyle w:val="Hyperlink"/>
                <w:noProof/>
              </w:rPr>
              <w:t>Valuation of RECs Banked in 2019</w:t>
            </w:r>
            <w:r>
              <w:rPr>
                <w:noProof/>
                <w:webHidden/>
              </w:rPr>
              <w:tab/>
            </w:r>
            <w:r>
              <w:rPr>
                <w:noProof/>
                <w:webHidden/>
              </w:rPr>
              <w:fldChar w:fldCharType="begin"/>
            </w:r>
            <w:r>
              <w:rPr>
                <w:noProof/>
                <w:webHidden/>
              </w:rPr>
              <w:instrText xml:space="preserve"> PAGEREF _Toc215581856 \h </w:instrText>
            </w:r>
            <w:r>
              <w:rPr>
                <w:noProof/>
                <w:webHidden/>
              </w:rPr>
            </w:r>
            <w:r>
              <w:rPr>
                <w:noProof/>
                <w:webHidden/>
              </w:rPr>
              <w:fldChar w:fldCharType="separate"/>
            </w:r>
            <w:r>
              <w:rPr>
                <w:noProof/>
                <w:webHidden/>
              </w:rPr>
              <w:t>27</w:t>
            </w:r>
            <w:r>
              <w:rPr>
                <w:noProof/>
                <w:webHidden/>
              </w:rPr>
              <w:fldChar w:fldCharType="end"/>
            </w:r>
          </w:hyperlink>
        </w:p>
        <w:p w:rsidR="00F824EB" w:rsidRDefault="00F824EB" w14:paraId="39944FFB" w14:textId="134C7F6A">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5581857">
            <w:r w:rsidRPr="0028018C">
              <w:rPr>
                <w:rStyle w:val="Hyperlink"/>
                <w:noProof/>
              </w:rPr>
              <w:t>6.11.6.</w:t>
            </w:r>
            <w:r>
              <w:rPr>
                <w:rFonts w:asciiTheme="minorHAnsi" w:hAnsiTheme="minorHAnsi" w:cstheme="minorBidi"/>
                <w:noProof/>
                <w:kern w:val="2"/>
                <w:sz w:val="24"/>
                <w:szCs w:val="24"/>
                <w14:ligatures w14:val="standardContextual"/>
              </w:rPr>
              <w:tab/>
            </w:r>
            <w:r w:rsidRPr="0028018C">
              <w:rPr>
                <w:rStyle w:val="Hyperlink"/>
                <w:noProof/>
              </w:rPr>
              <w:t>GTSR Rate Components</w:t>
            </w:r>
            <w:r>
              <w:rPr>
                <w:noProof/>
                <w:webHidden/>
              </w:rPr>
              <w:tab/>
            </w:r>
            <w:r>
              <w:rPr>
                <w:noProof/>
                <w:webHidden/>
              </w:rPr>
              <w:fldChar w:fldCharType="begin"/>
            </w:r>
            <w:r>
              <w:rPr>
                <w:noProof/>
                <w:webHidden/>
              </w:rPr>
              <w:instrText xml:space="preserve"> PAGEREF _Toc215581857 \h </w:instrText>
            </w:r>
            <w:r>
              <w:rPr>
                <w:noProof/>
                <w:webHidden/>
              </w:rPr>
            </w:r>
            <w:r>
              <w:rPr>
                <w:noProof/>
                <w:webHidden/>
              </w:rPr>
              <w:fldChar w:fldCharType="separate"/>
            </w:r>
            <w:r>
              <w:rPr>
                <w:noProof/>
                <w:webHidden/>
              </w:rPr>
              <w:t>27</w:t>
            </w:r>
            <w:r>
              <w:rPr>
                <w:noProof/>
                <w:webHidden/>
              </w:rPr>
              <w:fldChar w:fldCharType="end"/>
            </w:r>
          </w:hyperlink>
        </w:p>
        <w:p w:rsidR="00F824EB" w:rsidRDefault="00F824EB" w14:paraId="09CD25FB" w14:textId="16E6D1CE">
          <w:pPr>
            <w:pStyle w:val="TOC3"/>
            <w:tabs>
              <w:tab w:val="left" w:pos="2160"/>
              <w:tab w:val="right" w:leader="dot" w:pos="9350"/>
            </w:tabs>
            <w:rPr>
              <w:rFonts w:asciiTheme="minorHAnsi" w:hAnsiTheme="minorHAnsi" w:cstheme="minorBidi"/>
              <w:noProof/>
              <w:kern w:val="2"/>
              <w:sz w:val="24"/>
              <w:szCs w:val="24"/>
              <w14:ligatures w14:val="standardContextual"/>
            </w:rPr>
          </w:pPr>
          <w:hyperlink w:history="1" w:anchor="_Toc215581858">
            <w:r w:rsidRPr="0028018C">
              <w:rPr>
                <w:rStyle w:val="Hyperlink"/>
                <w:noProof/>
              </w:rPr>
              <w:t>6.11.7</w:t>
            </w:r>
            <w:r>
              <w:rPr>
                <w:rFonts w:asciiTheme="minorHAnsi" w:hAnsiTheme="minorHAnsi" w:cstheme="minorBidi"/>
                <w:noProof/>
                <w:kern w:val="2"/>
                <w:sz w:val="24"/>
                <w:szCs w:val="24"/>
                <w14:ligatures w14:val="standardContextual"/>
              </w:rPr>
              <w:tab/>
            </w:r>
            <w:r w:rsidRPr="0028018C">
              <w:rPr>
                <w:rStyle w:val="Hyperlink"/>
                <w:noProof/>
              </w:rPr>
              <w:t>Review of ALJ Ruling</w:t>
            </w:r>
            <w:r>
              <w:rPr>
                <w:noProof/>
                <w:webHidden/>
              </w:rPr>
              <w:tab/>
            </w:r>
            <w:r>
              <w:rPr>
                <w:noProof/>
                <w:webHidden/>
              </w:rPr>
              <w:fldChar w:fldCharType="begin"/>
            </w:r>
            <w:r>
              <w:rPr>
                <w:noProof/>
                <w:webHidden/>
              </w:rPr>
              <w:instrText xml:space="preserve"> PAGEREF _Toc215581858 \h </w:instrText>
            </w:r>
            <w:r>
              <w:rPr>
                <w:noProof/>
                <w:webHidden/>
              </w:rPr>
            </w:r>
            <w:r>
              <w:rPr>
                <w:noProof/>
                <w:webHidden/>
              </w:rPr>
              <w:fldChar w:fldCharType="separate"/>
            </w:r>
            <w:r>
              <w:rPr>
                <w:noProof/>
                <w:webHidden/>
              </w:rPr>
              <w:t>28</w:t>
            </w:r>
            <w:r>
              <w:rPr>
                <w:noProof/>
                <w:webHidden/>
              </w:rPr>
              <w:fldChar w:fldCharType="end"/>
            </w:r>
          </w:hyperlink>
        </w:p>
        <w:p w:rsidR="00F824EB" w:rsidRDefault="00F824EB" w14:paraId="1E36C0D6" w14:textId="4561E340">
          <w:pPr>
            <w:pStyle w:val="TOC1"/>
            <w:tabs>
              <w:tab w:val="right" w:leader="dot" w:pos="9350"/>
            </w:tabs>
            <w:rPr>
              <w:rFonts w:asciiTheme="minorHAnsi" w:hAnsiTheme="minorHAnsi" w:cstheme="minorBidi"/>
              <w:noProof/>
              <w:kern w:val="2"/>
              <w:sz w:val="24"/>
              <w:szCs w:val="24"/>
              <w14:ligatures w14:val="standardContextual"/>
            </w:rPr>
          </w:pPr>
          <w:hyperlink w:history="1" w:anchor="_Toc215581859">
            <w:r w:rsidRPr="0028018C">
              <w:rPr>
                <w:rStyle w:val="Hyperlink"/>
                <w:noProof/>
              </w:rPr>
              <w:t>7.</w:t>
            </w:r>
            <w:r>
              <w:rPr>
                <w:rFonts w:asciiTheme="minorHAnsi" w:hAnsiTheme="minorHAnsi" w:cstheme="minorBidi"/>
                <w:noProof/>
                <w:kern w:val="2"/>
                <w:sz w:val="24"/>
                <w:szCs w:val="24"/>
                <w14:ligatures w14:val="standardContextual"/>
              </w:rPr>
              <w:tab/>
            </w:r>
            <w:r w:rsidRPr="0028018C">
              <w:rPr>
                <w:rStyle w:val="Hyperlink"/>
                <w:noProof/>
              </w:rPr>
              <w:t>Comments on Proposed Decision</w:t>
            </w:r>
            <w:r>
              <w:rPr>
                <w:noProof/>
                <w:webHidden/>
              </w:rPr>
              <w:tab/>
            </w:r>
            <w:r>
              <w:rPr>
                <w:noProof/>
                <w:webHidden/>
              </w:rPr>
              <w:fldChar w:fldCharType="begin"/>
            </w:r>
            <w:r>
              <w:rPr>
                <w:noProof/>
                <w:webHidden/>
              </w:rPr>
              <w:instrText xml:space="preserve"> PAGEREF _Toc215581859 \h </w:instrText>
            </w:r>
            <w:r>
              <w:rPr>
                <w:noProof/>
                <w:webHidden/>
              </w:rPr>
            </w:r>
            <w:r>
              <w:rPr>
                <w:noProof/>
                <w:webHidden/>
              </w:rPr>
              <w:fldChar w:fldCharType="separate"/>
            </w:r>
            <w:r>
              <w:rPr>
                <w:noProof/>
                <w:webHidden/>
              </w:rPr>
              <w:t>29</w:t>
            </w:r>
            <w:r>
              <w:rPr>
                <w:noProof/>
                <w:webHidden/>
              </w:rPr>
              <w:fldChar w:fldCharType="end"/>
            </w:r>
          </w:hyperlink>
        </w:p>
        <w:p w:rsidR="00F824EB" w:rsidRDefault="00F824EB" w14:paraId="3590A37D" w14:textId="62304EDF">
          <w:pPr>
            <w:pStyle w:val="TOC1"/>
            <w:tabs>
              <w:tab w:val="right" w:leader="dot" w:pos="9350"/>
            </w:tabs>
            <w:rPr>
              <w:rFonts w:asciiTheme="minorHAnsi" w:hAnsiTheme="minorHAnsi" w:cstheme="minorBidi"/>
              <w:noProof/>
              <w:kern w:val="2"/>
              <w:sz w:val="24"/>
              <w:szCs w:val="24"/>
              <w14:ligatures w14:val="standardContextual"/>
            </w:rPr>
          </w:pPr>
          <w:hyperlink w:history="1" w:anchor="_Toc215581860">
            <w:r w:rsidRPr="0028018C">
              <w:rPr>
                <w:rStyle w:val="Hyperlink"/>
                <w:noProof/>
              </w:rPr>
              <w:t>8.</w:t>
            </w:r>
            <w:r>
              <w:rPr>
                <w:rFonts w:asciiTheme="minorHAnsi" w:hAnsiTheme="minorHAnsi" w:cstheme="minorBidi"/>
                <w:noProof/>
                <w:kern w:val="2"/>
                <w:sz w:val="24"/>
                <w:szCs w:val="24"/>
                <w14:ligatures w14:val="standardContextual"/>
              </w:rPr>
              <w:tab/>
            </w:r>
            <w:r w:rsidRPr="0028018C">
              <w:rPr>
                <w:rStyle w:val="Hyperlink"/>
                <w:noProof/>
              </w:rPr>
              <w:t>Assignment of Proceeding</w:t>
            </w:r>
            <w:r>
              <w:rPr>
                <w:noProof/>
                <w:webHidden/>
              </w:rPr>
              <w:tab/>
            </w:r>
            <w:r>
              <w:rPr>
                <w:noProof/>
                <w:webHidden/>
              </w:rPr>
              <w:fldChar w:fldCharType="begin"/>
            </w:r>
            <w:r>
              <w:rPr>
                <w:noProof/>
                <w:webHidden/>
              </w:rPr>
              <w:instrText xml:space="preserve"> PAGEREF _Toc215581860 \h </w:instrText>
            </w:r>
            <w:r>
              <w:rPr>
                <w:noProof/>
                <w:webHidden/>
              </w:rPr>
            </w:r>
            <w:r>
              <w:rPr>
                <w:noProof/>
                <w:webHidden/>
              </w:rPr>
              <w:fldChar w:fldCharType="separate"/>
            </w:r>
            <w:r>
              <w:rPr>
                <w:noProof/>
                <w:webHidden/>
              </w:rPr>
              <w:t>29</w:t>
            </w:r>
            <w:r>
              <w:rPr>
                <w:noProof/>
                <w:webHidden/>
              </w:rPr>
              <w:fldChar w:fldCharType="end"/>
            </w:r>
          </w:hyperlink>
        </w:p>
        <w:p w:rsidR="00F824EB" w:rsidRDefault="00F824EB" w14:paraId="08DCD2C6" w14:textId="4E9CD797">
          <w:pPr>
            <w:pStyle w:val="TOC1"/>
            <w:tabs>
              <w:tab w:val="right" w:leader="dot" w:pos="9350"/>
            </w:tabs>
            <w:rPr>
              <w:rFonts w:asciiTheme="minorHAnsi" w:hAnsiTheme="minorHAnsi" w:cstheme="minorBidi"/>
              <w:noProof/>
              <w:kern w:val="2"/>
              <w:sz w:val="24"/>
              <w:szCs w:val="24"/>
              <w14:ligatures w14:val="standardContextual"/>
            </w:rPr>
          </w:pPr>
          <w:hyperlink w:history="1" w:anchor="_Toc215581861">
            <w:r w:rsidRPr="0028018C">
              <w:rPr>
                <w:rStyle w:val="Hyperlink"/>
                <w:noProof/>
              </w:rPr>
              <w:t>Findings of Fact</w:t>
            </w:r>
            <w:r>
              <w:rPr>
                <w:noProof/>
                <w:webHidden/>
              </w:rPr>
              <w:tab/>
            </w:r>
            <w:r>
              <w:rPr>
                <w:noProof/>
                <w:webHidden/>
              </w:rPr>
              <w:fldChar w:fldCharType="begin"/>
            </w:r>
            <w:r>
              <w:rPr>
                <w:noProof/>
                <w:webHidden/>
              </w:rPr>
              <w:instrText xml:space="preserve"> PAGEREF _Toc215581861 \h </w:instrText>
            </w:r>
            <w:r>
              <w:rPr>
                <w:noProof/>
                <w:webHidden/>
              </w:rPr>
            </w:r>
            <w:r>
              <w:rPr>
                <w:noProof/>
                <w:webHidden/>
              </w:rPr>
              <w:fldChar w:fldCharType="separate"/>
            </w:r>
            <w:r>
              <w:rPr>
                <w:noProof/>
                <w:webHidden/>
              </w:rPr>
              <w:t>29</w:t>
            </w:r>
            <w:r>
              <w:rPr>
                <w:noProof/>
                <w:webHidden/>
              </w:rPr>
              <w:fldChar w:fldCharType="end"/>
            </w:r>
          </w:hyperlink>
        </w:p>
        <w:p w:rsidR="00F824EB" w:rsidRDefault="00F824EB" w14:paraId="1A8E99AC" w14:textId="260CB619">
          <w:pPr>
            <w:pStyle w:val="TOC1"/>
            <w:tabs>
              <w:tab w:val="right" w:leader="dot" w:pos="9350"/>
            </w:tabs>
            <w:rPr>
              <w:rFonts w:asciiTheme="minorHAnsi" w:hAnsiTheme="minorHAnsi" w:cstheme="minorBidi"/>
              <w:noProof/>
              <w:kern w:val="2"/>
              <w:sz w:val="24"/>
              <w:szCs w:val="24"/>
              <w14:ligatures w14:val="standardContextual"/>
            </w:rPr>
          </w:pPr>
          <w:hyperlink w:history="1" w:anchor="_Toc215581862">
            <w:r w:rsidRPr="0028018C">
              <w:rPr>
                <w:rStyle w:val="Hyperlink"/>
                <w:noProof/>
              </w:rPr>
              <w:t>Conclusions of Law</w:t>
            </w:r>
            <w:r>
              <w:rPr>
                <w:noProof/>
                <w:webHidden/>
              </w:rPr>
              <w:tab/>
            </w:r>
            <w:r>
              <w:rPr>
                <w:noProof/>
                <w:webHidden/>
              </w:rPr>
              <w:fldChar w:fldCharType="begin"/>
            </w:r>
            <w:r>
              <w:rPr>
                <w:noProof/>
                <w:webHidden/>
              </w:rPr>
              <w:instrText xml:space="preserve"> PAGEREF _Toc215581862 \h </w:instrText>
            </w:r>
            <w:r>
              <w:rPr>
                <w:noProof/>
                <w:webHidden/>
              </w:rPr>
            </w:r>
            <w:r>
              <w:rPr>
                <w:noProof/>
                <w:webHidden/>
              </w:rPr>
              <w:fldChar w:fldCharType="separate"/>
            </w:r>
            <w:r>
              <w:rPr>
                <w:noProof/>
                <w:webHidden/>
              </w:rPr>
              <w:t>31</w:t>
            </w:r>
            <w:r>
              <w:rPr>
                <w:noProof/>
                <w:webHidden/>
              </w:rPr>
              <w:fldChar w:fldCharType="end"/>
            </w:r>
          </w:hyperlink>
        </w:p>
        <w:p w:rsidR="00F824EB" w:rsidRDefault="00F824EB" w14:paraId="6BAA279C" w14:textId="728AD421">
          <w:pPr>
            <w:pStyle w:val="TOC1"/>
            <w:tabs>
              <w:tab w:val="right" w:leader="dot" w:pos="9350"/>
            </w:tabs>
            <w:rPr>
              <w:rFonts w:asciiTheme="minorHAnsi" w:hAnsiTheme="minorHAnsi" w:cstheme="minorBidi"/>
              <w:noProof/>
              <w:kern w:val="2"/>
              <w:sz w:val="24"/>
              <w:szCs w:val="24"/>
              <w14:ligatures w14:val="standardContextual"/>
            </w:rPr>
          </w:pPr>
          <w:hyperlink w:history="1" w:anchor="_Toc215581863">
            <w:r w:rsidRPr="0028018C">
              <w:rPr>
                <w:rStyle w:val="Hyperlink"/>
                <w:noProof/>
              </w:rPr>
              <w:t>ORDER</w:t>
            </w:r>
            <w:r>
              <w:rPr>
                <w:noProof/>
                <w:webHidden/>
              </w:rPr>
              <w:tab/>
            </w:r>
            <w:r>
              <w:rPr>
                <w:noProof/>
                <w:webHidden/>
              </w:rPr>
              <w:fldChar w:fldCharType="begin"/>
            </w:r>
            <w:r>
              <w:rPr>
                <w:noProof/>
                <w:webHidden/>
              </w:rPr>
              <w:instrText xml:space="preserve"> PAGEREF _Toc215581863 \h </w:instrText>
            </w:r>
            <w:r>
              <w:rPr>
                <w:noProof/>
                <w:webHidden/>
              </w:rPr>
            </w:r>
            <w:r>
              <w:rPr>
                <w:noProof/>
                <w:webHidden/>
              </w:rPr>
              <w:fldChar w:fldCharType="separate"/>
            </w:r>
            <w:r>
              <w:rPr>
                <w:noProof/>
                <w:webHidden/>
              </w:rPr>
              <w:t>32</w:t>
            </w:r>
            <w:r>
              <w:rPr>
                <w:noProof/>
                <w:webHidden/>
              </w:rPr>
              <w:fldChar w:fldCharType="end"/>
            </w:r>
          </w:hyperlink>
        </w:p>
        <w:p w:rsidR="001D7531" w:rsidP="001D7531" w:rsidRDefault="001D7531" w14:paraId="3DCE412C" w14:textId="79BE7A7D">
          <w:pPr>
            <w:ind w:firstLine="0"/>
          </w:pPr>
          <w:r>
            <w:rPr>
              <w:b/>
              <w:bCs/>
              <w:noProof/>
            </w:rPr>
            <w:fldChar w:fldCharType="end"/>
          </w:r>
        </w:p>
      </w:sdtContent>
    </w:sdt>
    <w:p w:rsidR="00442B54" w:rsidP="001D7531" w:rsidRDefault="00442B54" w14:paraId="3CB1D0DA" w14:textId="77777777">
      <w:pPr>
        <w:spacing w:line="240" w:lineRule="auto"/>
        <w:jc w:val="center"/>
        <w:rPr>
          <w:rFonts w:ascii="Arial" w:hAnsi="Arial" w:cs="Arial"/>
          <w:b/>
          <w:bCs/>
        </w:rPr>
        <w:sectPr w:rsidR="00442B54" w:rsidSect="00F65745">
          <w:headerReference w:type="first" r:id="rId14"/>
          <w:footerReference w:type="first" r:id="rId15"/>
          <w:pgSz w:w="12240" w:h="15840"/>
          <w:pgMar w:top="1728" w:right="1440" w:bottom="1440" w:left="1440" w:header="720" w:footer="720" w:gutter="0"/>
          <w:pgNumType w:fmt="lowerRoman" w:start="1"/>
          <w:cols w:space="720"/>
          <w:titlePg/>
          <w:docGrid w:linePitch="360"/>
        </w:sectPr>
      </w:pPr>
      <w:bookmarkStart w:name="_Toc8123714" w:id="3"/>
      <w:bookmarkStart w:name="_Toc12866683" w:id="4"/>
      <w:bookmarkStart w:name="_Toc120015195" w:id="5"/>
    </w:p>
    <w:p w:rsidRPr="001D7531" w:rsidR="001D7531" w:rsidP="001D7531" w:rsidRDefault="001D7531" w14:paraId="6E38F837" w14:textId="060D5F53">
      <w:pPr>
        <w:spacing w:line="240" w:lineRule="auto"/>
        <w:jc w:val="center"/>
        <w:rPr>
          <w:rFonts w:ascii="Arial" w:hAnsi="Arial" w:cs="Arial"/>
          <w:b/>
          <w:bCs/>
        </w:rPr>
      </w:pPr>
      <w:r w:rsidRPr="001D7531">
        <w:rPr>
          <w:rFonts w:ascii="Arial" w:hAnsi="Arial" w:cs="Arial"/>
          <w:b/>
          <w:bCs/>
        </w:rPr>
        <w:lastRenderedPageBreak/>
        <w:fldChar w:fldCharType="begin"/>
      </w:r>
      <w:r w:rsidRPr="001D7531">
        <w:rPr>
          <w:rFonts w:ascii="Arial" w:hAnsi="Arial" w:cs="Arial"/>
          <w:b/>
          <w:bCs/>
        </w:rPr>
        <w:instrText xml:space="preserve"> REF Title \h  \* MERGEFORMAT </w:instrText>
      </w:r>
      <w:r w:rsidRPr="001D7531">
        <w:rPr>
          <w:rFonts w:ascii="Arial" w:hAnsi="Arial" w:cs="Arial"/>
          <w:b/>
          <w:bCs/>
        </w:rPr>
      </w:r>
      <w:r w:rsidRPr="001D7531">
        <w:rPr>
          <w:rFonts w:ascii="Arial" w:hAnsi="Arial" w:cs="Arial"/>
          <w:b/>
          <w:bCs/>
        </w:rPr>
        <w:fldChar w:fldCharType="separate"/>
      </w:r>
      <w:r w:rsidRPr="001D7531">
        <w:rPr>
          <w:rFonts w:ascii="Arial" w:hAnsi="Arial" w:cs="Arial"/>
          <w:b/>
          <w:bCs/>
        </w:rPr>
        <w:t>DECISION APPROVING SAN DIEGO GAS &amp; ELECTRIC COMPANY’S</w:t>
      </w:r>
      <w:r w:rsidRPr="001D7531">
        <w:rPr>
          <w:rFonts w:ascii="Arial" w:hAnsi="Arial" w:cs="Arial"/>
          <w:b/>
          <w:bCs/>
        </w:rPr>
        <w:br/>
        <w:t>2026 ELECTRIC PROCUREMENT REVENUE</w:t>
      </w:r>
      <w:r w:rsidRPr="001D7531">
        <w:rPr>
          <w:rFonts w:ascii="Arial" w:hAnsi="Arial" w:cs="Arial"/>
          <w:b/>
          <w:bCs/>
        </w:rPr>
        <w:br/>
        <w:t>REQUIREMENT FORECASTS, 2026 ELECTRIC SALES FORECAST,</w:t>
      </w:r>
      <w:r w:rsidRPr="001D7531">
        <w:rPr>
          <w:rFonts w:ascii="Arial" w:hAnsi="Arial" w:cs="Arial"/>
          <w:b/>
          <w:bCs/>
        </w:rPr>
        <w:br/>
        <w:t xml:space="preserve">AND GREENHOUSE GAS RELATED FORECASTS </w:t>
      </w:r>
      <w:r w:rsidRPr="001D7531">
        <w:rPr>
          <w:rFonts w:ascii="Arial" w:hAnsi="Arial" w:cs="Arial"/>
          <w:b/>
          <w:bCs/>
        </w:rPr>
        <w:fldChar w:fldCharType="end"/>
      </w:r>
    </w:p>
    <w:p w:rsidRPr="000C19CA" w:rsidR="00424811" w:rsidP="008A28AC" w:rsidRDefault="005A148C" w14:paraId="0CC76A3E" w14:textId="63B6932C">
      <w:pPr>
        <w:pStyle w:val="Dummy"/>
      </w:pPr>
      <w:bookmarkStart w:name="_Toc215581831" w:id="6"/>
      <w:r w:rsidRPr="000C19CA">
        <w:t>Summary</w:t>
      </w:r>
      <w:bookmarkEnd w:id="3"/>
      <w:bookmarkEnd w:id="4"/>
      <w:bookmarkEnd w:id="5"/>
      <w:bookmarkEnd w:id="6"/>
    </w:p>
    <w:p w:rsidRPr="00B365B3" w:rsidR="00537894" w:rsidP="00537894" w:rsidRDefault="00537894" w14:paraId="020278E3" w14:textId="02414922">
      <w:r w:rsidRPr="00B365B3">
        <w:t>This decision approves San Diego Gas &amp; Electric Company’s (SDG&amp;E) 202</w:t>
      </w:r>
      <w:r w:rsidR="00B77FCE">
        <w:t>6</w:t>
      </w:r>
      <w:r w:rsidRPr="00B365B3">
        <w:t xml:space="preserve"> Electric Procurement Revenue Requirement Forecasts, 202</w:t>
      </w:r>
      <w:r w:rsidR="00B77FCE">
        <w:t>6</w:t>
      </w:r>
      <w:r w:rsidRPr="00B365B3">
        <w:t xml:space="preserve"> Electric Sales Forecast, and Greenhouse Gas (GHG) Related Forecasts for inclusion in its retail rates effective January 1, 202</w:t>
      </w:r>
      <w:r w:rsidR="00B77FCE">
        <w:t>6</w:t>
      </w:r>
      <w:r w:rsidRPr="00B365B3">
        <w:t>.</w:t>
      </w:r>
    </w:p>
    <w:p w:rsidRPr="00B77FCE" w:rsidR="00537894" w:rsidP="00537894" w:rsidRDefault="00537894" w14:paraId="33E43DF5" w14:textId="77AD55E4">
      <w:pPr>
        <w:rPr>
          <w:color w:val="FF0000"/>
        </w:rPr>
      </w:pPr>
      <w:r w:rsidRPr="001A7871">
        <w:t>The decision adopts SDG&amp;E’s updated 202</w:t>
      </w:r>
      <w:r w:rsidRPr="001A7871" w:rsidR="003F1016">
        <w:t>6</w:t>
      </w:r>
      <w:r w:rsidRPr="001A7871">
        <w:t xml:space="preserve"> revenue requirement forecast </w:t>
      </w:r>
      <w:r w:rsidRPr="00185B7F">
        <w:t>of $</w:t>
      </w:r>
      <w:r w:rsidRPr="00185B7F" w:rsidR="00185B7F">
        <w:t>824.1</w:t>
      </w:r>
      <w:r w:rsidRPr="00185B7F">
        <w:t> million</w:t>
      </w:r>
      <w:r w:rsidRPr="00185B7F">
        <w:rPr>
          <w:vertAlign w:val="superscript"/>
        </w:rPr>
        <w:footnoteReference w:id="2"/>
      </w:r>
      <w:r w:rsidRPr="00185B7F">
        <w:t xml:space="preserve"> which is $</w:t>
      </w:r>
      <w:r w:rsidRPr="00185B7F" w:rsidR="00185B7F">
        <w:t>701.8</w:t>
      </w:r>
      <w:r w:rsidRPr="00185B7F">
        <w:t xml:space="preserve"> million </w:t>
      </w:r>
      <w:r w:rsidRPr="00185B7F" w:rsidR="00185B7F">
        <w:t xml:space="preserve">higher </w:t>
      </w:r>
      <w:r w:rsidRPr="00185B7F">
        <w:t xml:space="preserve">than </w:t>
      </w:r>
      <w:r w:rsidRPr="003F1016">
        <w:t>its currently effective revenue requirement of $</w:t>
      </w:r>
      <w:r w:rsidR="003F1016">
        <w:t>122.3</w:t>
      </w:r>
      <w:r w:rsidRPr="003F1016">
        <w:t xml:space="preserve"> million. </w:t>
      </w:r>
      <w:r w:rsidRPr="005F52E8" w:rsidR="005F52E8">
        <w:t xml:space="preserve">The 2025 forecast revenue requirement </w:t>
      </w:r>
      <w:r w:rsidR="00A74C05">
        <w:t xml:space="preserve">authorized in Decision 24-12-040 </w:t>
      </w:r>
      <w:r w:rsidRPr="005F52E8" w:rsidR="005F52E8">
        <w:t>is significantly lower primarily due to</w:t>
      </w:r>
      <w:r w:rsidR="00A74C05">
        <w:t xml:space="preserve"> the </w:t>
      </w:r>
      <w:r w:rsidRPr="005F52E8" w:rsidR="005F52E8">
        <w:t xml:space="preserve">application of </w:t>
      </w:r>
      <w:r w:rsidR="0071580F">
        <w:t xml:space="preserve">investment tax credits </w:t>
      </w:r>
      <w:r w:rsidRPr="005F52E8" w:rsidR="005F52E8">
        <w:t xml:space="preserve">and </w:t>
      </w:r>
      <w:r w:rsidR="00C84923">
        <w:t>changes in</w:t>
      </w:r>
      <w:r w:rsidRPr="005F52E8" w:rsidR="00C84923">
        <w:t xml:space="preserve"> </w:t>
      </w:r>
      <w:r w:rsidRPr="005F52E8" w:rsidR="005F52E8">
        <w:t>market price benchmarks in comparison to the 2026 forecast.</w:t>
      </w:r>
    </w:p>
    <w:p w:rsidRPr="003F1016" w:rsidR="00537894" w:rsidP="00537894" w:rsidRDefault="00537894" w14:paraId="5629C143" w14:textId="7E9275E6">
      <w:r w:rsidRPr="003F1016">
        <w:t>SDG&amp;E’s 202</w:t>
      </w:r>
      <w:r w:rsidRPr="003F1016" w:rsidR="003F1016">
        <w:t>6</w:t>
      </w:r>
      <w:r w:rsidRPr="003F1016">
        <w:t xml:space="preserve"> Energy Resource Recovery Account (ERRA) forecast includes the revenue requirements for ERRA, the Portfolio Allocation Balancing Account, Competition Transition Charge, Local Generation, Modified Cost Allocation Methodology (MCAM) revenue requirement, San Diego Community Power’s Disadvantaged Communities revenue requirement, Tree Mortality Non</w:t>
      </w:r>
      <w:r w:rsidRPr="003F1016">
        <w:noBreakHyphen/>
        <w:t>Bypassable Charge, BioMat Nonbypassable Charge, and GHG allowance revenues and return allocations.</w:t>
      </w:r>
      <w:r w:rsidRPr="003F1016">
        <w:rPr>
          <w:vertAlign w:val="superscript"/>
        </w:rPr>
        <w:footnoteReference w:id="3"/>
      </w:r>
    </w:p>
    <w:p w:rsidRPr="003F1016" w:rsidR="00537894" w:rsidP="00537894" w:rsidRDefault="00537894" w14:paraId="1AE80F58" w14:textId="6324C809">
      <w:r w:rsidRPr="003F1016">
        <w:t xml:space="preserve">The ERRA process allows SDG&amp;E to recover its procurement costs, including expenses for fuel and purchased power, utility </w:t>
      </w:r>
      <w:r w:rsidR="007D691E">
        <w:t>owned</w:t>
      </w:r>
      <w:r w:rsidRPr="003F1016">
        <w:t xml:space="preserve"> generation, </w:t>
      </w:r>
      <w:r w:rsidRPr="003F1016">
        <w:lastRenderedPageBreak/>
        <w:t>California Independent System Operator related costs, and the costs of the residual net short procurement requirements necessary to serve bundled customers.</w:t>
      </w:r>
    </w:p>
    <w:p w:rsidR="002246FF" w:rsidP="002246FF" w:rsidRDefault="00537894" w14:paraId="214485A3" w14:textId="77777777">
      <w:r w:rsidRPr="003F1016">
        <w:t>In total, the adopted revenue requirement is projected to result in a</w:t>
      </w:r>
      <w:r w:rsidR="00185B7F">
        <w:t>n</w:t>
      </w:r>
      <w:r w:rsidRPr="003F1016">
        <w:t xml:space="preserve"> </w:t>
      </w:r>
      <w:r w:rsidRPr="00185B7F" w:rsidR="00185B7F">
        <w:t xml:space="preserve">increase to the </w:t>
      </w:r>
      <w:r w:rsidRPr="00185B7F">
        <w:t xml:space="preserve">current system average bundled rate by approximately </w:t>
      </w:r>
      <w:r w:rsidRPr="00185B7F" w:rsidR="00185B7F">
        <w:t>3</w:t>
      </w:r>
      <w:r w:rsidRPr="00185B7F">
        <w:t xml:space="preserve">.7 cents per kilowatt hour (kWh), or </w:t>
      </w:r>
      <w:r w:rsidRPr="00185B7F" w:rsidR="00185B7F">
        <w:t>10</w:t>
      </w:r>
      <w:r w:rsidRPr="00185B7F">
        <w:t>.</w:t>
      </w:r>
      <w:r w:rsidRPr="00185B7F" w:rsidR="00185B7F">
        <w:t>1</w:t>
      </w:r>
      <w:r w:rsidRPr="00185B7F">
        <w:t xml:space="preserve"> percent. </w:t>
      </w:r>
      <w:r w:rsidRPr="003F1016">
        <w:t>Based on these numbers, and reflective of the ERRA-related portion of costs only, it is projected that a typical bundled non</w:t>
      </w:r>
      <w:r w:rsidRPr="003F1016">
        <w:noBreakHyphen/>
      </w:r>
      <w:r w:rsidRPr="00F6061D">
        <w:t xml:space="preserve">California Alternate Rates for Energy (CARE) residential customer using 400 kWh per month can expect to see a monthly bill </w:t>
      </w:r>
      <w:r w:rsidRPr="00F6061D" w:rsidR="00185B7F">
        <w:t>increase</w:t>
      </w:r>
      <w:r w:rsidRPr="00F6061D">
        <w:t xml:space="preserve"> of approximately $</w:t>
      </w:r>
      <w:r w:rsidRPr="00F6061D" w:rsidR="00F6061D">
        <w:t>2</w:t>
      </w:r>
      <w:r w:rsidRPr="00F6061D">
        <w:t xml:space="preserve">3.0, or a </w:t>
      </w:r>
      <w:r w:rsidRPr="00F6061D" w:rsidR="00F6061D">
        <w:t>14</w:t>
      </w:r>
      <w:r w:rsidRPr="00F6061D">
        <w:t xml:space="preserve">.3 percent </w:t>
      </w:r>
      <w:r w:rsidRPr="00F6061D" w:rsidR="00F6061D">
        <w:t>increase</w:t>
      </w:r>
      <w:r w:rsidR="00F6061D">
        <w:t xml:space="preserve"> (from $163.0 to $186.)</w:t>
      </w:r>
      <w:r w:rsidRPr="00F6061D">
        <w:t xml:space="preserve">. </w:t>
      </w:r>
      <w:r w:rsidRPr="003F1016">
        <w:t xml:space="preserve">On the other hand, a </w:t>
      </w:r>
      <w:r w:rsidRPr="00F6061D">
        <w:t xml:space="preserve">typical bundled CARE residential customer using 400 kWh per month can expect to see a monthly bill </w:t>
      </w:r>
      <w:r w:rsidRPr="00F6061D" w:rsidR="00F6061D">
        <w:t>increase</w:t>
      </w:r>
      <w:r w:rsidRPr="00F6061D">
        <w:t xml:space="preserve"> of approximately $</w:t>
      </w:r>
      <w:r w:rsidRPr="00F6061D" w:rsidR="00F6061D">
        <w:t>17</w:t>
      </w:r>
      <w:r w:rsidRPr="00F6061D">
        <w:t xml:space="preserve">.0 or a </w:t>
      </w:r>
      <w:r w:rsidRPr="00F6061D" w:rsidR="00F6061D">
        <w:t>19</w:t>
      </w:r>
      <w:r w:rsidRPr="00F6061D">
        <w:t>.</w:t>
      </w:r>
      <w:r w:rsidRPr="00F6061D" w:rsidR="00F6061D">
        <w:t>1</w:t>
      </w:r>
      <w:r w:rsidRPr="00F6061D">
        <w:t xml:space="preserve"> percent </w:t>
      </w:r>
      <w:r w:rsidRPr="00F6061D" w:rsidR="00F6061D">
        <w:t>increase (from $89 to $106.0)</w:t>
      </w:r>
      <w:r w:rsidRPr="00F6061D">
        <w:t xml:space="preserve">. </w:t>
      </w:r>
    </w:p>
    <w:p w:rsidRPr="002246FF" w:rsidR="00537894" w:rsidP="002246FF" w:rsidRDefault="00537894" w14:paraId="53A15AF0" w14:textId="4EAD8A04">
      <w:r w:rsidRPr="002246FF">
        <w:t xml:space="preserve">For unbundled customers, a typical non-CARE </w:t>
      </w:r>
      <w:r w:rsidRPr="002246FF" w:rsidR="002246FF">
        <w:t xml:space="preserve">residential customer using 400 kWh </w:t>
      </w:r>
      <w:r w:rsidRPr="002246FF">
        <w:t xml:space="preserve">can expect to see a monthly bill </w:t>
      </w:r>
      <w:r w:rsidRPr="002246FF" w:rsidR="002246FF">
        <w:t xml:space="preserve">increase </w:t>
      </w:r>
      <w:r w:rsidRPr="002246FF">
        <w:t>of around $2</w:t>
      </w:r>
      <w:r w:rsidRPr="002246FF" w:rsidR="002246FF">
        <w:t>9</w:t>
      </w:r>
      <w:r w:rsidRPr="002246FF">
        <w:t>.0 (</w:t>
      </w:r>
      <w:r w:rsidRPr="002246FF" w:rsidR="002246FF">
        <w:t>30.1</w:t>
      </w:r>
      <w:r w:rsidRPr="002246FF">
        <w:t xml:space="preserve"> percent </w:t>
      </w:r>
      <w:r w:rsidRPr="002246FF" w:rsidR="002246FF">
        <w:t>increase</w:t>
      </w:r>
      <w:r w:rsidRPr="002246FF">
        <w:t xml:space="preserve">) while a typical unbundled </w:t>
      </w:r>
      <w:r w:rsidRPr="002246FF" w:rsidR="002246FF">
        <w:t xml:space="preserve">residential </w:t>
      </w:r>
      <w:r w:rsidRPr="002246FF">
        <w:t xml:space="preserve">CARE customer </w:t>
      </w:r>
      <w:r w:rsidRPr="002246FF" w:rsidR="002246FF">
        <w:t xml:space="preserve">using 400 kWh </w:t>
      </w:r>
      <w:r w:rsidRPr="002246FF">
        <w:t xml:space="preserve">can expect to see a monthly bill </w:t>
      </w:r>
      <w:r w:rsidRPr="002246FF" w:rsidR="002246FF">
        <w:t xml:space="preserve">increase </w:t>
      </w:r>
      <w:r w:rsidRPr="002246FF">
        <w:t>of around $</w:t>
      </w:r>
      <w:r w:rsidRPr="002246FF" w:rsidR="002246FF">
        <w:t>2</w:t>
      </w:r>
      <w:r w:rsidRPr="002246FF">
        <w:t>1.0 (</w:t>
      </w:r>
      <w:r w:rsidRPr="002246FF" w:rsidR="002246FF">
        <w:t>44.2</w:t>
      </w:r>
      <w:r w:rsidRPr="002246FF">
        <w:t xml:space="preserve"> percent </w:t>
      </w:r>
      <w:r w:rsidRPr="002246FF" w:rsidR="002246FF">
        <w:t>increase</w:t>
      </w:r>
      <w:r w:rsidRPr="002246FF">
        <w:t>).</w:t>
      </w:r>
      <w:r w:rsidR="005F52E8">
        <w:rPr>
          <w:rStyle w:val="FootnoteReference"/>
        </w:rPr>
        <w:footnoteReference w:id="4"/>
      </w:r>
    </w:p>
    <w:p w:rsidRPr="003F1016" w:rsidR="00537894" w:rsidP="00537894" w:rsidRDefault="004A3A27" w14:paraId="702A9D53" w14:textId="51C01626">
      <w:r>
        <w:rPr>
          <w:color w:val="FF0000"/>
        </w:rPr>
        <w:t xml:space="preserve"> </w:t>
      </w:r>
      <w:r w:rsidRPr="00B77FCE" w:rsidR="00537894">
        <w:rPr>
          <w:color w:val="FF0000"/>
        </w:rPr>
        <w:t xml:space="preserve"> </w:t>
      </w:r>
      <w:r w:rsidRPr="003F1016" w:rsidR="00537894">
        <w:t xml:space="preserve">The decision also adopts SDG&amp;E’s Electric Sales Forecast for 2026, GHG Allowance Return </w:t>
      </w:r>
      <w:r w:rsidR="00003205">
        <w:t>Amounts</w:t>
      </w:r>
      <w:r w:rsidRPr="003F1016" w:rsidR="00537894">
        <w:t>, Power Charge Indifference Adjustment (PCIA) rates, rate components for the Green Tariff Shared Renewables Program, and MCAM rates.</w:t>
      </w:r>
    </w:p>
    <w:p w:rsidRPr="000C19CA" w:rsidR="0073353F" w:rsidP="00424811" w:rsidRDefault="00C37ACB" w14:paraId="0A2DE871" w14:textId="6F7542FF">
      <w:pPr>
        <w:pStyle w:val="Standard"/>
      </w:pPr>
      <w:r w:rsidRPr="000C19CA">
        <w:t>This proceeding is closed.</w:t>
      </w:r>
    </w:p>
    <w:p w:rsidRPr="000C19CA" w:rsidR="001B1D36" w:rsidP="00426F37" w:rsidRDefault="00424811" w14:paraId="19B263CF" w14:textId="562B5923">
      <w:pPr>
        <w:pStyle w:val="Heading1"/>
      </w:pPr>
      <w:bookmarkStart w:name="_Toc120015196" w:id="7"/>
      <w:bookmarkStart w:name="_Toc215581832" w:id="8"/>
      <w:r w:rsidRPr="000C19CA">
        <w:lastRenderedPageBreak/>
        <w:t>Background</w:t>
      </w:r>
      <w:bookmarkEnd w:id="7"/>
      <w:bookmarkEnd w:id="8"/>
    </w:p>
    <w:p w:rsidR="00550460" w:rsidP="00537894" w:rsidRDefault="00537894" w14:paraId="25A98698" w14:textId="4B886E92">
      <w:pPr>
        <w:pStyle w:val="Standard"/>
      </w:pPr>
      <w:r>
        <w:t xml:space="preserve">On May 15, 2025, San Diego Gas &amp; Electric Company (SDG&amp;E) filed Application (A.) 25-05-012 for approval of its </w:t>
      </w:r>
      <w:r w:rsidRPr="00550460" w:rsidR="00550460">
        <w:t>202</w:t>
      </w:r>
      <w:r w:rsidR="00550460">
        <w:t>6</w:t>
      </w:r>
      <w:r w:rsidRPr="00550460" w:rsidR="00550460">
        <w:t xml:space="preserve"> Electric Procurement Revenue Requirement Forecasts, 202</w:t>
      </w:r>
      <w:r w:rsidR="00550460">
        <w:t>6</w:t>
      </w:r>
      <w:r w:rsidRPr="00550460" w:rsidR="00550460">
        <w:t xml:space="preserve"> Electric Sales Forecast, and </w:t>
      </w:r>
      <w:r w:rsidR="00B77FCE">
        <w:t>Greenhouse Gas (</w:t>
      </w:r>
      <w:r w:rsidRPr="00550460" w:rsidR="00550460">
        <w:t>GHG</w:t>
      </w:r>
      <w:r w:rsidR="00B77FCE">
        <w:t>)</w:t>
      </w:r>
      <w:r w:rsidRPr="00550460" w:rsidR="00550460">
        <w:t xml:space="preserve"> Related Forecasts</w:t>
      </w:r>
    </w:p>
    <w:p w:rsidR="003A0B19" w:rsidP="00537894" w:rsidRDefault="003A0B19" w14:paraId="1D8CC5DA" w14:textId="0042AA0D">
      <w:pPr>
        <w:pStyle w:val="Standard"/>
      </w:pPr>
      <w:r>
        <w:t>On the same day, SDG&amp;E also filed a Motion for Leave to File Confidential Materials in the Application</w:t>
      </w:r>
      <w:r>
        <w:rPr>
          <w:rStyle w:val="FootnoteReference"/>
        </w:rPr>
        <w:footnoteReference w:id="5"/>
      </w:r>
      <w:r>
        <w:t xml:space="preserve"> under seal. This motion was granted in the administrative law judge (ALJ) ruling on August 8, 2025.</w:t>
      </w:r>
    </w:p>
    <w:p w:rsidR="00537894" w:rsidP="00537894" w:rsidRDefault="00537894" w14:paraId="224E58B4" w14:textId="49115329">
      <w:pPr>
        <w:pStyle w:val="Standard"/>
      </w:pPr>
      <w:r w:rsidRPr="006F7C08">
        <w:t>Protests</w:t>
      </w:r>
      <w:r>
        <w:t xml:space="preserve"> to the Application were filed on June 18, 2025 by the Public Advocates Office at the California Public Utilities Commission (Cal Advocates), and jointly by </w:t>
      </w:r>
      <w:r w:rsidR="00B77FCE">
        <w:t>San Diego Community Power (</w:t>
      </w:r>
      <w:r>
        <w:t>SDCP</w:t>
      </w:r>
      <w:r w:rsidR="00B77FCE">
        <w:t>)</w:t>
      </w:r>
      <w:r>
        <w:t xml:space="preserve"> and Clean Energy Alliance (CEA). Direct Access Customer Coalition (DACC) filed a Response also on June 18, 2025.</w:t>
      </w:r>
    </w:p>
    <w:p w:rsidR="00537894" w:rsidP="00537894" w:rsidRDefault="00537894" w14:paraId="32ADBC3F" w14:textId="77777777">
      <w:pPr>
        <w:pStyle w:val="Standard"/>
      </w:pPr>
      <w:r>
        <w:t>SDG&amp;E filed a Reply to the protests and response on June 26, 2025.</w:t>
      </w:r>
    </w:p>
    <w:p w:rsidR="00537894" w:rsidP="00537894" w:rsidRDefault="00537894" w14:paraId="76011D58" w14:textId="4E1B81F8">
      <w:pPr>
        <w:pStyle w:val="Standard"/>
      </w:pPr>
      <w:r w:rsidRPr="00875C51">
        <w:t xml:space="preserve">A prehearing conference (PHC) was held on </w:t>
      </w:r>
      <w:r>
        <w:t>July 14, 2025</w:t>
      </w:r>
      <w:r w:rsidRPr="00875C51">
        <w:t xml:space="preserve">. At the PHC, the issues, </w:t>
      </w:r>
      <w:r>
        <w:t xml:space="preserve">category, </w:t>
      </w:r>
      <w:r w:rsidRPr="00875C51">
        <w:t xml:space="preserve">need for hearings, procedural schedule, and others </w:t>
      </w:r>
      <w:r>
        <w:t xml:space="preserve">procedural </w:t>
      </w:r>
      <w:r w:rsidRPr="00875C51">
        <w:t>matters relating to the proceeding were discussed.</w:t>
      </w:r>
    </w:p>
    <w:p w:rsidR="00267312" w:rsidP="001B1D36" w:rsidRDefault="00267312" w14:paraId="4460FFCC" w14:textId="29732029">
      <w:pPr>
        <w:pStyle w:val="Standard"/>
      </w:pPr>
      <w:r w:rsidRPr="00267312">
        <w:t xml:space="preserve">On </w:t>
      </w:r>
      <w:r w:rsidR="00E97525">
        <w:t xml:space="preserve">July 21, 2025, </w:t>
      </w:r>
      <w:r w:rsidRPr="00267312">
        <w:t>the assigned Commissioner issued a Scoping Memorandum and Ruling (Scoping Memo) setting forth the scope and procedural schedule for the proceeding.</w:t>
      </w:r>
    </w:p>
    <w:p w:rsidRPr="00D743FC" w:rsidR="001B1D36" w:rsidP="001B1D36" w:rsidRDefault="001B1D36" w14:paraId="678D8DF3" w14:textId="153F0F1E">
      <w:pPr>
        <w:pStyle w:val="Standard"/>
      </w:pPr>
      <w:r w:rsidRPr="00D743FC">
        <w:t>On September</w:t>
      </w:r>
      <w:r w:rsidRPr="00D743FC" w:rsidR="001035BA">
        <w:t> </w:t>
      </w:r>
      <w:r w:rsidRPr="00D743FC" w:rsidR="00D743FC">
        <w:t>19</w:t>
      </w:r>
      <w:r w:rsidRPr="00D743FC">
        <w:t>,</w:t>
      </w:r>
      <w:r w:rsidRPr="00D743FC" w:rsidR="001035BA">
        <w:t> </w:t>
      </w:r>
      <w:r w:rsidRPr="00D743FC">
        <w:t>202</w:t>
      </w:r>
      <w:r w:rsidRPr="00D743FC" w:rsidR="00D743FC">
        <w:t>5</w:t>
      </w:r>
      <w:r w:rsidRPr="00D743FC">
        <w:t>, a joint report was filed by all the active parties in the proceeding.</w:t>
      </w:r>
    </w:p>
    <w:p w:rsidR="00267312" w:rsidP="001B1D36" w:rsidRDefault="00267312" w14:paraId="776CD06C" w14:textId="01B97694">
      <w:pPr>
        <w:pStyle w:val="Standard"/>
      </w:pPr>
      <w:r w:rsidRPr="00D743FC">
        <w:lastRenderedPageBreak/>
        <w:t xml:space="preserve">On September </w:t>
      </w:r>
      <w:r w:rsidRPr="00D743FC" w:rsidR="009D431B">
        <w:t>2</w:t>
      </w:r>
      <w:r w:rsidRPr="00D743FC" w:rsidR="00D743FC">
        <w:t>3</w:t>
      </w:r>
      <w:r w:rsidRPr="00D743FC" w:rsidR="009D431B">
        <w:t>, 202</w:t>
      </w:r>
      <w:r w:rsidRPr="00D743FC" w:rsidR="00D743FC">
        <w:t>5</w:t>
      </w:r>
      <w:r w:rsidRPr="00D743FC" w:rsidR="009D431B">
        <w:t>, a ruling was issued by the assigned ALJ cancelling the evidentiary hearing scheduled for September 2</w:t>
      </w:r>
      <w:r w:rsidRPr="00D743FC" w:rsidR="00D743FC">
        <w:t>6</w:t>
      </w:r>
      <w:r w:rsidRPr="00D743FC" w:rsidR="009D431B">
        <w:t>, 202</w:t>
      </w:r>
      <w:r w:rsidRPr="00D743FC" w:rsidR="00D743FC">
        <w:t>5,</w:t>
      </w:r>
      <w:r w:rsidRPr="00D743FC" w:rsidR="009D431B">
        <w:t xml:space="preserve"> pursuant to a request from parties.</w:t>
      </w:r>
    </w:p>
    <w:p w:rsidRPr="00A45B9A" w:rsidR="00D743FC" w:rsidP="001B1D36" w:rsidRDefault="00D743FC" w14:paraId="60A3D0F0" w14:textId="6BEA414F">
      <w:pPr>
        <w:pStyle w:val="Standard"/>
      </w:pPr>
      <w:r>
        <w:t>O</w:t>
      </w:r>
      <w:r w:rsidRPr="00D743FC">
        <w:t>n September 2</w:t>
      </w:r>
      <w:r>
        <w:t>6</w:t>
      </w:r>
      <w:r w:rsidRPr="00D743FC">
        <w:t>, 202</w:t>
      </w:r>
      <w:r>
        <w:t>5</w:t>
      </w:r>
      <w:r w:rsidRPr="00D743FC">
        <w:t xml:space="preserve">, </w:t>
      </w:r>
      <w:r w:rsidRPr="00A45B9A">
        <w:t>a joint motion to enter testimony and exhibits into the evidentiary record was filed by DACC, Cal Advocates, SDG&amp;E, and SDCP and CEA</w:t>
      </w:r>
      <w:r w:rsidRPr="00A45B9A" w:rsidR="00A14908">
        <w:t xml:space="preserve"> (together, Joint CCAs)</w:t>
      </w:r>
      <w:r w:rsidRPr="00A45B9A">
        <w:t>. The motion was granted in the October 6, 202</w:t>
      </w:r>
      <w:r w:rsidRPr="00A45B9A" w:rsidR="00424DC7">
        <w:t>5</w:t>
      </w:r>
      <w:r w:rsidRPr="00A45B9A">
        <w:t xml:space="preserve"> ALJ ruling.</w:t>
      </w:r>
    </w:p>
    <w:p w:rsidRPr="00A45B9A" w:rsidR="00267312" w:rsidP="001B1D36" w:rsidRDefault="00D743FC" w14:paraId="13FE9A05" w14:textId="7340F20C">
      <w:pPr>
        <w:pStyle w:val="Standard"/>
      </w:pPr>
      <w:r w:rsidRPr="00A45B9A">
        <w:t xml:space="preserve">Also on September </w:t>
      </w:r>
      <w:r w:rsidRPr="00A45B9A" w:rsidR="009D431B">
        <w:t>2</w:t>
      </w:r>
      <w:r w:rsidRPr="00A45B9A">
        <w:t>6</w:t>
      </w:r>
      <w:r w:rsidRPr="00A45B9A" w:rsidR="009D431B">
        <w:t>, 202</w:t>
      </w:r>
      <w:r w:rsidRPr="00A45B9A">
        <w:t>5</w:t>
      </w:r>
      <w:r w:rsidRPr="00A45B9A" w:rsidR="009D431B">
        <w:t xml:space="preserve">, </w:t>
      </w:r>
      <w:r w:rsidRPr="00A45B9A">
        <w:t xml:space="preserve">separate </w:t>
      </w:r>
      <w:r w:rsidRPr="00A45B9A" w:rsidR="009D431B">
        <w:t xml:space="preserve">motions </w:t>
      </w:r>
      <w:r w:rsidRPr="00A45B9A">
        <w:t xml:space="preserve">to seal </w:t>
      </w:r>
      <w:r w:rsidR="007D691E">
        <w:t xml:space="preserve">the </w:t>
      </w:r>
      <w:r w:rsidRPr="00A45B9A">
        <w:t xml:space="preserve">evidentiary record </w:t>
      </w:r>
      <w:r w:rsidRPr="00A45B9A" w:rsidR="009D431B">
        <w:t>were filed by SDG&amp;E</w:t>
      </w:r>
      <w:r w:rsidRPr="00A45B9A" w:rsidR="00424DC7">
        <w:t>,</w:t>
      </w:r>
      <w:r w:rsidRPr="00A45B9A" w:rsidR="009D431B">
        <w:t xml:space="preserve"> and </w:t>
      </w:r>
      <w:r w:rsidRPr="00A45B9A" w:rsidR="00A14908">
        <w:t>the Joint CCAs</w:t>
      </w:r>
      <w:r w:rsidRPr="00A45B9A">
        <w:t xml:space="preserve">. </w:t>
      </w:r>
      <w:r w:rsidRPr="00A45B9A" w:rsidR="00B35484">
        <w:t>Both motions were granted in the ALJ ruling issued on October 6, 202</w:t>
      </w:r>
      <w:r w:rsidRPr="00A45B9A" w:rsidR="00424DC7">
        <w:t>5</w:t>
      </w:r>
      <w:r w:rsidRPr="00A45B9A" w:rsidR="00B35484">
        <w:t>.</w:t>
      </w:r>
    </w:p>
    <w:p w:rsidRPr="00722037" w:rsidR="00267312" w:rsidP="001B1D36" w:rsidRDefault="00267312" w14:paraId="55095B51" w14:textId="679F810D">
      <w:pPr>
        <w:pStyle w:val="Standard"/>
      </w:pPr>
      <w:r w:rsidRPr="00D743FC">
        <w:t xml:space="preserve">Opening Briefs were filed by </w:t>
      </w:r>
      <w:r w:rsidRPr="00D743FC" w:rsidR="00D743FC">
        <w:t xml:space="preserve">Cal Advocates, </w:t>
      </w:r>
      <w:r w:rsidRPr="00D743FC">
        <w:t>SDG&amp;E</w:t>
      </w:r>
      <w:r w:rsidRPr="00D743FC" w:rsidR="00D743FC">
        <w:t>,</w:t>
      </w:r>
      <w:r w:rsidRPr="00D743FC">
        <w:t xml:space="preserve"> and </w:t>
      </w:r>
      <w:r w:rsidR="00A14908">
        <w:t>the Joint CCAs</w:t>
      </w:r>
      <w:r w:rsidRPr="00D743FC" w:rsidR="00E57CE4">
        <w:t xml:space="preserve"> </w:t>
      </w:r>
      <w:r w:rsidRPr="00D743FC">
        <w:t xml:space="preserve">on October </w:t>
      </w:r>
      <w:r w:rsidRPr="00D743FC" w:rsidR="00D743FC">
        <w:t>3</w:t>
      </w:r>
      <w:r w:rsidRPr="00D743FC">
        <w:t>, 202</w:t>
      </w:r>
      <w:r w:rsidRPr="00D743FC" w:rsidR="00D743FC">
        <w:t>5</w:t>
      </w:r>
      <w:r w:rsidRPr="00D743FC">
        <w:t>.</w:t>
      </w:r>
      <w:r w:rsidRPr="003A0B19">
        <w:rPr>
          <w:color w:val="FF0000"/>
        </w:rPr>
        <w:t xml:space="preserve"> </w:t>
      </w:r>
      <w:r w:rsidRPr="00722037">
        <w:t xml:space="preserve">A joint Reply Brief was filed by </w:t>
      </w:r>
      <w:r w:rsidRPr="00722037" w:rsidR="00E57CE4">
        <w:t xml:space="preserve">the </w:t>
      </w:r>
      <w:r w:rsidRPr="00722037" w:rsidR="00722037">
        <w:t xml:space="preserve">Joint </w:t>
      </w:r>
      <w:r w:rsidRPr="00722037" w:rsidR="00E57CE4">
        <w:t>CCA</w:t>
      </w:r>
      <w:r w:rsidRPr="00722037" w:rsidR="00722037">
        <w:t>s</w:t>
      </w:r>
      <w:r w:rsidRPr="00722037" w:rsidR="00E57CE4">
        <w:t xml:space="preserve"> </w:t>
      </w:r>
      <w:r w:rsidRPr="00722037">
        <w:t>on October 1</w:t>
      </w:r>
      <w:r w:rsidRPr="00722037" w:rsidR="00722037">
        <w:t>0</w:t>
      </w:r>
      <w:r w:rsidRPr="00722037">
        <w:t>, 202</w:t>
      </w:r>
      <w:r w:rsidRPr="00722037" w:rsidR="00722037">
        <w:t>5</w:t>
      </w:r>
      <w:r w:rsidRPr="00722037">
        <w:t xml:space="preserve">. SDG&amp;E also filed </w:t>
      </w:r>
      <w:r w:rsidRPr="00722037" w:rsidR="00722037">
        <w:t>a</w:t>
      </w:r>
      <w:r w:rsidRPr="00722037">
        <w:t xml:space="preserve"> Reply Brief on October 1</w:t>
      </w:r>
      <w:r w:rsidRPr="00722037" w:rsidR="00722037">
        <w:t>0</w:t>
      </w:r>
      <w:r w:rsidRPr="00722037">
        <w:t>, 202</w:t>
      </w:r>
      <w:r w:rsidRPr="00722037" w:rsidR="00722037">
        <w:t>5</w:t>
      </w:r>
      <w:r w:rsidRPr="00722037">
        <w:t xml:space="preserve">. </w:t>
      </w:r>
    </w:p>
    <w:p w:rsidRPr="00FE0985" w:rsidR="001B1D36" w:rsidP="001B1D36" w:rsidRDefault="001B1D36" w14:paraId="027B6308" w14:textId="584684A6">
      <w:pPr>
        <w:pStyle w:val="Standard"/>
      </w:pPr>
      <w:r w:rsidRPr="007766FC">
        <w:t xml:space="preserve">On </w:t>
      </w:r>
      <w:r w:rsidRPr="007766FC" w:rsidR="001035BA">
        <w:t>October 1</w:t>
      </w:r>
      <w:r w:rsidRPr="007766FC" w:rsidR="0029143C">
        <w:t>4</w:t>
      </w:r>
      <w:r w:rsidRPr="007766FC" w:rsidR="001035BA">
        <w:t>, 202</w:t>
      </w:r>
      <w:r w:rsidRPr="007766FC" w:rsidR="0029143C">
        <w:t>5</w:t>
      </w:r>
      <w:r w:rsidRPr="007766FC">
        <w:t xml:space="preserve">, SDG&amp;E filed an update to the application. SDG&amp;E also filed a motion for leave to file specified information in </w:t>
      </w:r>
      <w:r w:rsidRPr="007766FC" w:rsidR="00426477">
        <w:t>Attachment </w:t>
      </w:r>
      <w:r w:rsidRPr="007766FC">
        <w:t>G of the update as confidential.</w:t>
      </w:r>
      <w:r w:rsidRPr="003A0B19">
        <w:rPr>
          <w:color w:val="FF0000"/>
        </w:rPr>
        <w:t xml:space="preserve"> </w:t>
      </w:r>
      <w:r w:rsidRPr="00FE0985" w:rsidR="00B35484">
        <w:t xml:space="preserve">The motion for leave to file confidential materials was granted in the ALJ ruling issued on October </w:t>
      </w:r>
      <w:r w:rsidRPr="00FE0985" w:rsidR="00A66576">
        <w:t>1</w:t>
      </w:r>
      <w:r w:rsidRPr="00FE0985" w:rsidR="00613D8D">
        <w:t>6</w:t>
      </w:r>
      <w:r w:rsidRPr="00FE0985" w:rsidR="00B35484">
        <w:t>, 202</w:t>
      </w:r>
      <w:r w:rsidRPr="00FE0985" w:rsidR="00A66576">
        <w:t>5</w:t>
      </w:r>
      <w:r w:rsidRPr="00FE0985" w:rsidR="00B35484">
        <w:t>.</w:t>
      </w:r>
    </w:p>
    <w:p w:rsidRPr="007A52D6" w:rsidR="00F95C8C" w:rsidP="001B1D36" w:rsidRDefault="00F95C8C" w14:paraId="32E83F0D" w14:textId="034CF2B5">
      <w:pPr>
        <w:pStyle w:val="Standard"/>
      </w:pPr>
      <w:r w:rsidRPr="007A52D6">
        <w:t xml:space="preserve">Opening Comments to the October update were filed on October </w:t>
      </w:r>
      <w:r w:rsidRPr="007A52D6" w:rsidR="00A66576">
        <w:t>30</w:t>
      </w:r>
      <w:r w:rsidRPr="007A52D6">
        <w:t>, 202</w:t>
      </w:r>
      <w:r w:rsidRPr="007A52D6" w:rsidR="00A66576">
        <w:t>5</w:t>
      </w:r>
      <w:r w:rsidRPr="007A52D6" w:rsidR="007A52D6">
        <w:t>, by</w:t>
      </w:r>
      <w:r w:rsidRPr="007A52D6">
        <w:t xml:space="preserve"> </w:t>
      </w:r>
      <w:r w:rsidRPr="007A52D6" w:rsidR="00A66576">
        <w:t>the Joint CCAs</w:t>
      </w:r>
      <w:r w:rsidRPr="007A52D6">
        <w:t xml:space="preserve">. </w:t>
      </w:r>
      <w:r w:rsidRPr="007A52D6" w:rsidR="00A66576">
        <w:t xml:space="preserve">The Joint CCAs also </w:t>
      </w:r>
      <w:r w:rsidRPr="007A52D6">
        <w:t xml:space="preserve">filed a motion to file a confidential version of its </w:t>
      </w:r>
      <w:r w:rsidRPr="007A52D6" w:rsidR="007A52D6">
        <w:t>Opening C</w:t>
      </w:r>
      <w:r w:rsidRPr="007A52D6">
        <w:t>omments. Th</w:t>
      </w:r>
      <w:r w:rsidRPr="007A52D6" w:rsidR="007A52D6">
        <w:t>e</w:t>
      </w:r>
      <w:r w:rsidRPr="007A52D6">
        <w:t xml:space="preserve"> motion was granted</w:t>
      </w:r>
      <w:r w:rsidRPr="007A52D6" w:rsidR="00BA7983">
        <w:t xml:space="preserve"> in the ALJ ruling on </w:t>
      </w:r>
      <w:r w:rsidRPr="007A52D6" w:rsidR="00A66576">
        <w:t xml:space="preserve">October </w:t>
      </w:r>
      <w:r w:rsidRPr="007A52D6" w:rsidR="007A52D6">
        <w:t>3</w:t>
      </w:r>
      <w:r w:rsidRPr="007A52D6" w:rsidR="00A66576">
        <w:t>1, 2025</w:t>
      </w:r>
      <w:r w:rsidRPr="007A52D6">
        <w:t>.</w:t>
      </w:r>
    </w:p>
    <w:p w:rsidR="00F95C8C" w:rsidP="001B1D36" w:rsidRDefault="00F95C8C" w14:paraId="23474F1F" w14:textId="02C17355">
      <w:pPr>
        <w:pStyle w:val="Standard"/>
      </w:pPr>
      <w:r w:rsidRPr="007A52D6">
        <w:t xml:space="preserve">Also on October </w:t>
      </w:r>
      <w:r w:rsidRPr="007A52D6" w:rsidR="00A66576">
        <w:t>30</w:t>
      </w:r>
      <w:r w:rsidRPr="007A52D6">
        <w:t>, 202</w:t>
      </w:r>
      <w:r w:rsidRPr="007A52D6" w:rsidR="00A66576">
        <w:t>5</w:t>
      </w:r>
      <w:r w:rsidRPr="007A52D6">
        <w:t xml:space="preserve">, </w:t>
      </w:r>
      <w:r w:rsidRPr="007A52D6" w:rsidR="00A66576">
        <w:t xml:space="preserve">the Joint CCAs </w:t>
      </w:r>
      <w:r w:rsidRPr="007A52D6">
        <w:t xml:space="preserve">filed motions to enter </w:t>
      </w:r>
      <w:r w:rsidR="00526252">
        <w:t xml:space="preserve">additional testimony </w:t>
      </w:r>
      <w:r w:rsidRPr="007A52D6">
        <w:t>into the record and to seal evidentiary record. The two motions were granted</w:t>
      </w:r>
      <w:r w:rsidRPr="007A52D6" w:rsidR="003C36CF">
        <w:t xml:space="preserve"> on </w:t>
      </w:r>
      <w:r w:rsidRPr="007A52D6" w:rsidR="00A66576">
        <w:t>October 31</w:t>
      </w:r>
      <w:r w:rsidRPr="007A52D6" w:rsidR="003C36CF">
        <w:t>, 202</w:t>
      </w:r>
      <w:r w:rsidRPr="007A52D6" w:rsidR="00A66576">
        <w:t>5</w:t>
      </w:r>
      <w:r w:rsidRPr="007A52D6">
        <w:t>.</w:t>
      </w:r>
      <w:r w:rsidR="004A3A27">
        <w:t xml:space="preserve"> </w:t>
      </w:r>
    </w:p>
    <w:p w:rsidRPr="007A52D6" w:rsidR="00885F1B" w:rsidP="001B1D36" w:rsidRDefault="00885F1B" w14:paraId="5DAC4C80" w14:textId="7826B909">
      <w:pPr>
        <w:pStyle w:val="Standard"/>
      </w:pPr>
      <w:r>
        <w:t>Also on October 30, 2025, the Joint CCAs filed a motion to admit exhibits into the record. This motion was denied on November 4, 2025.</w:t>
      </w:r>
    </w:p>
    <w:p w:rsidR="00C12F35" w:rsidP="001B1D36" w:rsidRDefault="00C12F35" w14:paraId="42CBD225" w14:textId="14F6E14D">
      <w:pPr>
        <w:pStyle w:val="Standard"/>
      </w:pPr>
      <w:r>
        <w:lastRenderedPageBreak/>
        <w:t xml:space="preserve">On November 6, 2025, SDG&amp;E filed </w:t>
      </w:r>
      <w:r w:rsidRPr="00C12F35">
        <w:t>motions to enter testimony into the record and to seal evidentiary record. The</w:t>
      </w:r>
      <w:r>
        <w:t>se two</w:t>
      </w:r>
      <w:r w:rsidRPr="00C12F35">
        <w:t xml:space="preserve"> motions were granted in the ALJ ruling on November 1</w:t>
      </w:r>
      <w:r w:rsidR="001D24A0">
        <w:t>0</w:t>
      </w:r>
      <w:r w:rsidRPr="00C12F35">
        <w:t>, 2025.</w:t>
      </w:r>
    </w:p>
    <w:p w:rsidR="00E73D1D" w:rsidP="001B1D36" w:rsidRDefault="00E73D1D" w14:paraId="5C779A04" w14:textId="1CDE6742">
      <w:pPr>
        <w:pStyle w:val="Standard"/>
      </w:pPr>
      <w:r>
        <w:t xml:space="preserve">On November 7, 2025, </w:t>
      </w:r>
      <w:r w:rsidR="00696679">
        <w:t>the Joint CCAs filed a motion for interlocutory review of the ALJ ruling on November 4, 2025, denying a motion to admit exhibits relating to pre-2019 banked RECs. This motion is addressed in this decision.</w:t>
      </w:r>
    </w:p>
    <w:p w:rsidRPr="007A52D6" w:rsidR="009D431B" w:rsidP="001B1D36" w:rsidRDefault="00F95C8C" w14:paraId="25631937" w14:textId="7DA21E40">
      <w:pPr>
        <w:pStyle w:val="Standard"/>
      </w:pPr>
      <w:r w:rsidRPr="007A52D6">
        <w:t xml:space="preserve">On November </w:t>
      </w:r>
      <w:r w:rsidRPr="007A52D6" w:rsidR="00A66576">
        <w:t>7</w:t>
      </w:r>
      <w:r w:rsidRPr="007A52D6">
        <w:t>, 202</w:t>
      </w:r>
      <w:r w:rsidRPr="007A52D6" w:rsidR="00A66576">
        <w:t>5</w:t>
      </w:r>
      <w:r w:rsidRPr="007A52D6">
        <w:t>, SDG&amp;E filed Reply Comments concerning the October update</w:t>
      </w:r>
      <w:r w:rsidR="00C12F35">
        <w:t>.</w:t>
      </w:r>
      <w:r w:rsidRPr="007A52D6">
        <w:t xml:space="preserve"> </w:t>
      </w:r>
      <w:r w:rsidR="00E73D1D">
        <w:t xml:space="preserve">SDG&amp;E also filed a motion to file a confidential version of its Reply Comments concerning the October update. </w:t>
      </w:r>
      <w:r w:rsidR="00696679">
        <w:t>This motion was granted in the ALJ ruling on November 10, 2025.</w:t>
      </w:r>
    </w:p>
    <w:p w:rsidRPr="007A52D6" w:rsidR="009D431B" w:rsidP="001B1D36" w:rsidRDefault="00A519F3" w14:paraId="7BDD0F41" w14:textId="3A07C985">
      <w:pPr>
        <w:pStyle w:val="Standard"/>
      </w:pPr>
      <w:r w:rsidRPr="007A52D6">
        <w:t xml:space="preserve">The proceeding is deemed submitted on November </w:t>
      </w:r>
      <w:r w:rsidRPr="007A52D6" w:rsidR="00A66576">
        <w:t>7</w:t>
      </w:r>
      <w:r w:rsidRPr="007A52D6">
        <w:t>, 202</w:t>
      </w:r>
      <w:r w:rsidRPr="007A52D6" w:rsidR="00A66576">
        <w:t>5</w:t>
      </w:r>
      <w:r w:rsidRPr="007A52D6" w:rsidR="007A52D6">
        <w:t>,</w:t>
      </w:r>
      <w:r w:rsidRPr="007A52D6">
        <w:t xml:space="preserve"> upon the filing of SDG&amp;E’s Reply Comments concerning the October update to the application.</w:t>
      </w:r>
    </w:p>
    <w:p w:rsidRPr="000C19CA" w:rsidR="001B1D36" w:rsidP="00426F37" w:rsidRDefault="00424811" w14:paraId="1017FD82" w14:textId="770B6F2D">
      <w:pPr>
        <w:pStyle w:val="Heading1"/>
      </w:pPr>
      <w:bookmarkStart w:name="_Toc120015197" w:id="9"/>
      <w:bookmarkStart w:name="_Toc215581833" w:id="10"/>
      <w:r w:rsidRPr="000C19CA">
        <w:t xml:space="preserve">SDG&amp;E’s </w:t>
      </w:r>
      <w:r w:rsidRPr="000C19CA" w:rsidR="00EC1B59">
        <w:t>Energy Resource Recovery Account (ERRA)</w:t>
      </w:r>
      <w:bookmarkEnd w:id="9"/>
      <w:bookmarkEnd w:id="10"/>
    </w:p>
    <w:p w:rsidRPr="00B365B3" w:rsidR="003A0B19" w:rsidP="003A0B19" w:rsidRDefault="003A0B19" w14:paraId="026A56DD" w14:textId="77777777">
      <w:r w:rsidRPr="00B365B3">
        <w:t xml:space="preserve">SDG&amp;E’s ERRA was </w:t>
      </w:r>
      <w:r>
        <w:t xml:space="preserve">first </w:t>
      </w:r>
      <w:r w:rsidRPr="00B365B3">
        <w:t>authorized in Decision (D.) 02</w:t>
      </w:r>
      <w:r w:rsidRPr="00B365B3">
        <w:noBreakHyphen/>
        <w:t>10</w:t>
      </w:r>
      <w:r w:rsidRPr="00B365B3">
        <w:noBreakHyphen/>
        <w:t>062 pursuant to Public Utilities (Pub. Util.) Code Section 454.5. The ERRA regulatory process consists of: (a) an annual forecast proceeding to adopt a forecast of the utility’s electric procurement cost revenue requirement and electricity sales for the upcoming year; and (b) an annual compliance proceeding to review the utility’s compliance in the preceding year regarding energy resource contract administration, least cost dispatch, fuel procurement, and the ERRA balancing account. There is also an update process for new information which is discussed in Section 3.1 of the decision.</w:t>
      </w:r>
    </w:p>
    <w:p w:rsidRPr="00B365B3" w:rsidR="003A0B19" w:rsidP="003A0B19" w:rsidRDefault="003A0B19" w14:paraId="44930EC9" w14:textId="77777777">
      <w:r w:rsidRPr="00B365B3">
        <w:t xml:space="preserve">The ERRA process allows SDG&amp;E to recover its procurement costs, including expenses for fuel and purchased power, utility retained generation, California Independent System Operator (CAISO) related costs, and the costs of </w:t>
      </w:r>
      <w:r w:rsidRPr="00B365B3">
        <w:lastRenderedPageBreak/>
        <w:t>the residual net short procurement requirements necessary to serve bundled customers.</w:t>
      </w:r>
    </w:p>
    <w:p w:rsidR="003A0B19" w:rsidP="003A0B19" w:rsidRDefault="003A0B19" w14:paraId="58AB1F32" w14:textId="08871A9F">
      <w:r w:rsidRPr="00B365B3">
        <w:t>This proceeding concerns SDG&amp;E’s current annual ERRA forecast proceeding which allows the utility to adopt a forecast of the utility’s electric procurement cost revenue requirement and electric sales for 202</w:t>
      </w:r>
      <w:r w:rsidR="00463393">
        <w:t>6</w:t>
      </w:r>
      <w:r w:rsidRPr="00B365B3">
        <w:t>. This proceeding also includes SDG&amp;E’s sales forecast for 202</w:t>
      </w:r>
      <w:r w:rsidR="00463393">
        <w:t>6</w:t>
      </w:r>
      <w:r w:rsidRPr="00B365B3">
        <w:t xml:space="preserve"> as required by D.22</w:t>
      </w:r>
      <w:r w:rsidRPr="00B365B3">
        <w:noBreakHyphen/>
        <w:t>03</w:t>
      </w:r>
      <w:r w:rsidRPr="00B365B3">
        <w:noBreakHyphen/>
        <w:t>003.</w:t>
      </w:r>
      <w:r w:rsidRPr="00B365B3">
        <w:rPr>
          <w:vertAlign w:val="superscript"/>
        </w:rPr>
        <w:footnoteReference w:id="6"/>
      </w:r>
    </w:p>
    <w:p w:rsidRPr="00B365B3" w:rsidR="00087A22" w:rsidP="00087A22" w:rsidRDefault="00087A22" w14:paraId="2FBEF09E" w14:textId="77777777">
      <w:r w:rsidRPr="00B365B3">
        <w:t>SDG&amp;E’s 202</w:t>
      </w:r>
      <w:r>
        <w:t>6</w:t>
      </w:r>
      <w:r w:rsidRPr="00B365B3">
        <w:t> ERRA forecast includes the following components:</w:t>
      </w:r>
    </w:p>
    <w:p w:rsidRPr="00B365B3" w:rsidR="00087A22" w:rsidP="00A9785E" w:rsidRDefault="00087A22" w14:paraId="4B21BB0F" w14:textId="77777777">
      <w:pPr>
        <w:numPr>
          <w:ilvl w:val="0"/>
          <w:numId w:val="25"/>
        </w:numPr>
        <w:spacing w:after="120" w:line="240" w:lineRule="auto"/>
        <w:ind w:left="1440" w:right="1440"/>
      </w:pPr>
      <w:r w:rsidRPr="00B365B3">
        <w:t>ERRA revenue requirement and projected 202</w:t>
      </w:r>
      <w:r>
        <w:t>5</w:t>
      </w:r>
      <w:r w:rsidRPr="00B365B3">
        <w:t xml:space="preserve"> ERRA year-end balance;</w:t>
      </w:r>
    </w:p>
    <w:p w:rsidRPr="00B365B3" w:rsidR="00087A22" w:rsidP="00A9785E" w:rsidRDefault="00087A22" w14:paraId="68120A3C" w14:textId="77777777">
      <w:pPr>
        <w:numPr>
          <w:ilvl w:val="0"/>
          <w:numId w:val="25"/>
        </w:numPr>
        <w:spacing w:after="120" w:line="240" w:lineRule="auto"/>
        <w:ind w:left="1440" w:right="1440"/>
      </w:pPr>
      <w:r w:rsidRPr="00B365B3">
        <w:t xml:space="preserve">Portfolio Allocation Balancing Account (PABA) revenue requirement and projected </w:t>
      </w:r>
      <w:r>
        <w:t xml:space="preserve">2025 </w:t>
      </w:r>
      <w:r w:rsidRPr="00B365B3">
        <w:t>PABA year-end balance;</w:t>
      </w:r>
    </w:p>
    <w:p w:rsidRPr="00B365B3" w:rsidR="00087A22" w:rsidP="00A9785E" w:rsidRDefault="00087A22" w14:paraId="171F8D32" w14:textId="058633E5">
      <w:pPr>
        <w:numPr>
          <w:ilvl w:val="0"/>
          <w:numId w:val="25"/>
        </w:numPr>
        <w:spacing w:after="120" w:line="240" w:lineRule="auto"/>
        <w:ind w:left="1440" w:right="1440"/>
      </w:pPr>
      <w:r w:rsidRPr="00B365B3">
        <w:t>Competition Transition Charge (CTC) revenue</w:t>
      </w:r>
      <w:r w:rsidR="004A3A27">
        <w:t xml:space="preserve"> </w:t>
      </w:r>
      <w:r w:rsidRPr="00B365B3">
        <w:t>requirement tracked in the Transition Cost Balancing Account (TCBA);</w:t>
      </w:r>
    </w:p>
    <w:p w:rsidRPr="00B365B3" w:rsidR="00087A22" w:rsidP="00A9785E" w:rsidRDefault="00087A22" w14:paraId="30787222" w14:textId="77777777">
      <w:pPr>
        <w:numPr>
          <w:ilvl w:val="0"/>
          <w:numId w:val="25"/>
        </w:numPr>
        <w:spacing w:after="120" w:line="240" w:lineRule="auto"/>
        <w:ind w:left="1440" w:right="1440"/>
      </w:pPr>
      <w:r w:rsidRPr="00B365B3">
        <w:t>Local Generation (LG) revenue requirement tracked in the LG Balancing Account (LGBA) and projected 202</w:t>
      </w:r>
      <w:r>
        <w:t>5</w:t>
      </w:r>
      <w:r w:rsidRPr="00B365B3">
        <w:t xml:space="preserve"> year-end balance recorded in the LGBA;</w:t>
      </w:r>
    </w:p>
    <w:p w:rsidRPr="00B365B3" w:rsidR="00087A22" w:rsidP="00A9785E" w:rsidRDefault="00087A22" w14:paraId="17BF5A52" w14:textId="77777777">
      <w:pPr>
        <w:numPr>
          <w:ilvl w:val="0"/>
          <w:numId w:val="25"/>
        </w:numPr>
        <w:spacing w:after="120" w:line="240" w:lineRule="auto"/>
        <w:ind w:left="1440" w:right="1440"/>
      </w:pPr>
      <w:r w:rsidRPr="00B365B3">
        <w:t>Modified Cost Allocation Mechanism (MCAM) revenue requirement;</w:t>
      </w:r>
    </w:p>
    <w:p w:rsidRPr="00B365B3" w:rsidR="00087A22" w:rsidP="00A9785E" w:rsidRDefault="00087A22" w14:paraId="22F8B8B5" w14:textId="2D5483A9">
      <w:pPr>
        <w:numPr>
          <w:ilvl w:val="0"/>
          <w:numId w:val="25"/>
        </w:numPr>
        <w:spacing w:after="120" w:line="240" w:lineRule="auto"/>
        <w:ind w:left="1440" w:right="1440"/>
      </w:pPr>
      <w:r>
        <w:t>SDCP</w:t>
      </w:r>
      <w:r w:rsidRPr="00B365B3">
        <w:t xml:space="preserve"> Disadvantaged Communities - Green Tariff (DAC-GT) revenue requirement;</w:t>
      </w:r>
    </w:p>
    <w:p w:rsidRPr="00B365B3" w:rsidR="00087A22" w:rsidP="00A9785E" w:rsidRDefault="00087A22" w14:paraId="3AD2C515" w14:textId="77777777">
      <w:pPr>
        <w:numPr>
          <w:ilvl w:val="0"/>
          <w:numId w:val="25"/>
        </w:numPr>
        <w:spacing w:after="120" w:line="240" w:lineRule="auto"/>
        <w:ind w:left="1440" w:right="1440"/>
      </w:pPr>
      <w:r w:rsidRPr="00B365B3">
        <w:t xml:space="preserve">Tree Mortality Non Bypassable Charge (TMNBC) revenue requirement; </w:t>
      </w:r>
    </w:p>
    <w:p w:rsidRPr="00B365B3" w:rsidR="00087A22" w:rsidP="00A9785E" w:rsidRDefault="00087A22" w14:paraId="42DF7B7D" w14:textId="163E8B7C">
      <w:pPr>
        <w:numPr>
          <w:ilvl w:val="0"/>
          <w:numId w:val="25"/>
        </w:numPr>
        <w:spacing w:after="120" w:line="240" w:lineRule="auto"/>
        <w:ind w:left="1440" w:right="1440"/>
      </w:pPr>
      <w:r>
        <w:t>Bioenergy Market Adjusting Tariff (</w:t>
      </w:r>
      <w:r w:rsidRPr="00B365B3">
        <w:t>BioM</w:t>
      </w:r>
      <w:r>
        <w:t>AT)</w:t>
      </w:r>
      <w:r w:rsidRPr="00B365B3">
        <w:t xml:space="preserve"> Nonbypassable Charge Balancing Account (BNBCBA)</w:t>
      </w:r>
      <w:r>
        <w:t xml:space="preserve"> revenue requirement; and</w:t>
      </w:r>
    </w:p>
    <w:p w:rsidRPr="00B365B3" w:rsidR="00087A22" w:rsidP="00A9785E" w:rsidRDefault="00087A22" w14:paraId="1291417B" w14:textId="77777777">
      <w:pPr>
        <w:numPr>
          <w:ilvl w:val="0"/>
          <w:numId w:val="25"/>
        </w:numPr>
        <w:tabs>
          <w:tab w:val="left" w:pos="1260"/>
        </w:tabs>
        <w:spacing w:after="120" w:line="240" w:lineRule="auto"/>
        <w:ind w:left="1440" w:right="1440"/>
      </w:pPr>
      <w:r w:rsidRPr="00B365B3">
        <w:lastRenderedPageBreak/>
        <w:t>GHG allowance revenue return allocations.</w:t>
      </w:r>
      <w:r w:rsidRPr="00B365B3">
        <w:rPr>
          <w:vertAlign w:val="superscript"/>
        </w:rPr>
        <w:footnoteReference w:id="7"/>
      </w:r>
    </w:p>
    <w:p w:rsidRPr="00B365B3" w:rsidR="003A0B19" w:rsidP="003A0B19" w:rsidRDefault="003A0B19" w14:paraId="68008A53" w14:textId="77777777">
      <w:pPr>
        <w:keepNext/>
        <w:rPr>
          <w:b/>
          <w:bCs/>
          <w:u w:val="single"/>
        </w:rPr>
      </w:pPr>
      <w:r w:rsidRPr="00B365B3">
        <w:rPr>
          <w:b/>
          <w:bCs/>
          <w:u w:val="single"/>
        </w:rPr>
        <w:t>PABA</w:t>
      </w:r>
    </w:p>
    <w:p w:rsidRPr="00B365B3" w:rsidR="003A0B19" w:rsidP="003A0B19" w:rsidRDefault="003A0B19" w14:paraId="77C78983" w14:textId="77777777">
      <w:r w:rsidRPr="00B365B3">
        <w:t>SDG&amp;E’s PABA was authorized by D.18</w:t>
      </w:r>
      <w:r w:rsidRPr="00B365B3">
        <w:noBreakHyphen/>
        <w:t>10</w:t>
      </w:r>
      <w:r w:rsidRPr="00B365B3">
        <w:noBreakHyphen/>
        <w:t>019 to record costs and revenues associated with all generation resources that are eligible for cost recovery through Power Charge Indifference Adjustment (PCIA) rates. D.19</w:t>
      </w:r>
      <w:r w:rsidRPr="00B365B3">
        <w:noBreakHyphen/>
        <w:t>10</w:t>
      </w:r>
      <w:r w:rsidRPr="00B365B3">
        <w:noBreakHyphen/>
        <w:t>001 authorized any over/under collection in PABA subaccounts in a given year to be rolled into the next year’s ERRA Forecast filing.</w:t>
      </w:r>
    </w:p>
    <w:p w:rsidRPr="00B365B3" w:rsidR="003A0B19" w:rsidP="003A0B19" w:rsidRDefault="003A0B19" w14:paraId="3CF34DFE" w14:textId="77777777">
      <w:pPr>
        <w:keepNext/>
        <w:rPr>
          <w:b/>
          <w:bCs/>
          <w:u w:val="single"/>
        </w:rPr>
      </w:pPr>
      <w:r w:rsidRPr="00B365B3">
        <w:rPr>
          <w:b/>
          <w:bCs/>
          <w:u w:val="single"/>
        </w:rPr>
        <w:t>CTC</w:t>
      </w:r>
    </w:p>
    <w:p w:rsidR="003A0B19" w:rsidP="003A0B19" w:rsidRDefault="003A0B19" w14:paraId="5D03D639" w14:textId="77777777">
      <w:r w:rsidRPr="00B365B3">
        <w:t>The CTC is from The Electric Utility Industry Restructuring Act found in Assembly Bill (AB) 1890</w:t>
      </w:r>
      <w:r w:rsidRPr="00B365B3">
        <w:rPr>
          <w:vertAlign w:val="superscript"/>
        </w:rPr>
        <w:footnoteReference w:id="8"/>
      </w:r>
      <w:r w:rsidRPr="00B365B3">
        <w:t xml:space="preserve"> which made generation of electricity a competitive market in California. CTC is a ratemaking device to recover investments in electric generation facilities that would otherwise be stranded as excess capacity by the transition to a competitive market. The TCBA is designed to accrue all ongoing CTC revenues and recover all ongoing eligible CTC generation</w:t>
      </w:r>
      <w:r w:rsidRPr="00B365B3">
        <w:noBreakHyphen/>
        <w:t>related costs.</w:t>
      </w:r>
    </w:p>
    <w:p w:rsidRPr="00B365B3" w:rsidR="00620461" w:rsidP="00620461" w:rsidRDefault="00620461" w14:paraId="22572C15" w14:textId="77777777">
      <w:pPr>
        <w:keepNext/>
        <w:rPr>
          <w:b/>
          <w:bCs/>
          <w:u w:val="single"/>
        </w:rPr>
      </w:pPr>
      <w:r w:rsidRPr="00B365B3">
        <w:rPr>
          <w:b/>
          <w:bCs/>
          <w:u w:val="single"/>
        </w:rPr>
        <w:t>LG</w:t>
      </w:r>
    </w:p>
    <w:p w:rsidRPr="00B365B3" w:rsidR="00620461" w:rsidP="00620461" w:rsidRDefault="00620461" w14:paraId="0542D4A9" w14:textId="21ACB6CE">
      <w:r w:rsidRPr="00B365B3">
        <w:t>SDG&amp;E’s LG was authorized in D.13</w:t>
      </w:r>
      <w:r w:rsidRPr="00B365B3">
        <w:noBreakHyphen/>
        <w:t>03</w:t>
      </w:r>
      <w:r w:rsidRPr="00B365B3">
        <w:noBreakHyphen/>
        <w:t>029 which allows it to recover new generation costs for local reliability that are deemed to be subject to the Cost Allocation Mechanism (CAM) policy adopted in D.06</w:t>
      </w:r>
      <w:r w:rsidRPr="00B365B3">
        <w:noBreakHyphen/>
        <w:t>07</w:t>
      </w:r>
      <w:r w:rsidRPr="00B365B3">
        <w:noBreakHyphen/>
        <w:t>029 and D.11</w:t>
      </w:r>
      <w:r w:rsidRPr="00B365B3">
        <w:noBreakHyphen/>
        <w:t>05</w:t>
      </w:r>
      <w:r w:rsidRPr="00B365B3">
        <w:noBreakHyphen/>
        <w:t>005. The LG is a per</w:t>
      </w:r>
      <w:r w:rsidRPr="00B365B3">
        <w:noBreakHyphen/>
        <w:t>kilowatt</w:t>
      </w:r>
      <w:r w:rsidRPr="00B365B3">
        <w:noBreakHyphen/>
        <w:t>hour non</w:t>
      </w:r>
      <w:r w:rsidRPr="00B365B3">
        <w:noBreakHyphen/>
        <w:t xml:space="preserve">bypassable charge to all benefiting customers including all bundled customers, Direct Access customers, and Community Choice Aggregation (CCA) customers. The LGBA is designed to record costs and revenues of LG where the </w:t>
      </w:r>
      <w:r>
        <w:t xml:space="preserve">Commission </w:t>
      </w:r>
      <w:r w:rsidRPr="00B365B3">
        <w:t>has determined that the generation resource is subject to CAM.</w:t>
      </w:r>
    </w:p>
    <w:p w:rsidRPr="00B365B3" w:rsidR="00620461" w:rsidP="00620461" w:rsidRDefault="00620461" w14:paraId="6FE4FF41" w14:textId="77777777">
      <w:pPr>
        <w:rPr>
          <w:b/>
          <w:bCs/>
          <w:u w:val="single"/>
        </w:rPr>
      </w:pPr>
      <w:r w:rsidRPr="00B365B3">
        <w:rPr>
          <w:b/>
          <w:bCs/>
          <w:u w:val="single"/>
        </w:rPr>
        <w:lastRenderedPageBreak/>
        <w:t>MCAM</w:t>
      </w:r>
    </w:p>
    <w:p w:rsidRPr="00B365B3" w:rsidR="00620461" w:rsidP="00620461" w:rsidRDefault="00620461" w14:paraId="3F2152BB" w14:textId="77777777">
      <w:r w:rsidRPr="00B365B3">
        <w:t>The MCAM balancing account records the net costs related with SDG&amp;E’s procurement of energy resources incurred on behalf of certain load-serving entities (LSE) in the following circumstances: (a) opt-out procurement-related costs for LSE customers that have opted out of self-procurement; (b) backstop procurement-related costs for LSE customers that fail to provide the required capacity required by D.19-11-016 and D.21-06-035; and (c) opt-out LSEs that have left the market and no longer serve customers. Resolution E-5241 issued on January 12, 2023, approved SDG&amp;E’s cost recovery to implement MCAM.</w:t>
      </w:r>
      <w:r w:rsidRPr="00B365B3">
        <w:rPr>
          <w:vertAlign w:val="superscript"/>
        </w:rPr>
        <w:footnoteReference w:id="9"/>
      </w:r>
      <w:r w:rsidRPr="00B365B3">
        <w:t xml:space="preserve"> </w:t>
      </w:r>
    </w:p>
    <w:p w:rsidRPr="00B365B3" w:rsidR="00620461" w:rsidP="00620461" w:rsidRDefault="00620461" w14:paraId="7C6F9BFC" w14:textId="77777777">
      <w:pPr>
        <w:rPr>
          <w:b/>
          <w:bCs/>
          <w:u w:val="single"/>
        </w:rPr>
      </w:pPr>
      <w:r w:rsidRPr="00B365B3">
        <w:rPr>
          <w:b/>
          <w:bCs/>
          <w:u w:val="single"/>
        </w:rPr>
        <w:t>SDCP DAC-GT</w:t>
      </w:r>
    </w:p>
    <w:p w:rsidRPr="00B2304B" w:rsidR="00620461" w:rsidP="00620461" w:rsidRDefault="00620461" w14:paraId="3FF8B183" w14:textId="4EC44B94">
      <w:r w:rsidRPr="00B2304B">
        <w:t xml:space="preserve">Resolution E-5246 </w:t>
      </w:r>
      <w:r w:rsidRPr="00B2304B" w:rsidR="00B2304B">
        <w:t xml:space="preserve">approved SDCP’s Advice Letter 10-E to implement the </w:t>
      </w:r>
      <w:r w:rsidRPr="00B2304B">
        <w:t>DAC-GT.</w:t>
      </w:r>
      <w:r w:rsidRPr="00B2304B">
        <w:rPr>
          <w:vertAlign w:val="superscript"/>
        </w:rPr>
        <w:footnoteReference w:id="10"/>
      </w:r>
      <w:r w:rsidRPr="00B2304B">
        <w:t xml:space="preserve"> The DAC-GT </w:t>
      </w:r>
      <w:r w:rsidRPr="00B2304B" w:rsidR="00B2304B">
        <w:t xml:space="preserve">is a </w:t>
      </w:r>
      <w:r w:rsidRPr="00B2304B">
        <w:t>solar program offering discounts to qualified customers that are unable to install solar on their roof.</w:t>
      </w:r>
    </w:p>
    <w:p w:rsidR="00620461" w:rsidP="00620461" w:rsidRDefault="003A0B19" w14:paraId="7D6D6C13" w14:textId="77777777">
      <w:pPr>
        <w:rPr>
          <w:color w:val="FF0000"/>
        </w:rPr>
      </w:pPr>
      <w:r w:rsidRPr="00B365B3">
        <w:rPr>
          <w:b/>
          <w:bCs/>
          <w:u w:val="single"/>
        </w:rPr>
        <w:t>TMNBC</w:t>
      </w:r>
    </w:p>
    <w:p w:rsidRPr="00620461" w:rsidR="003A0B19" w:rsidP="00620461" w:rsidRDefault="003A0B19" w14:paraId="3C97D899" w14:textId="4C51E93B">
      <w:pPr>
        <w:rPr>
          <w:color w:val="FF0000"/>
        </w:rPr>
      </w:pPr>
      <w:r w:rsidRPr="00B365B3">
        <w:t>Recovery of the TMNBC was authorized in D.18</w:t>
      </w:r>
      <w:r w:rsidRPr="00B365B3">
        <w:noBreakHyphen/>
        <w:t>12</w:t>
      </w:r>
      <w:r w:rsidRPr="00B365B3">
        <w:noBreakHyphen/>
        <w:t>003. This is for recovery of net costs of tree mortality</w:t>
      </w:r>
      <w:r w:rsidRPr="00B365B3">
        <w:noBreakHyphen/>
        <w:t>related biomass energy procurement which is intended to address the state’s tree mortality crisis.</w:t>
      </w:r>
    </w:p>
    <w:p w:rsidRPr="00B365B3" w:rsidR="003A0B19" w:rsidP="003A0B19" w:rsidRDefault="003A0B19" w14:paraId="285D40C6" w14:textId="77777777">
      <w:pPr>
        <w:rPr>
          <w:b/>
          <w:bCs/>
          <w:u w:val="single"/>
        </w:rPr>
      </w:pPr>
      <w:r w:rsidRPr="00B365B3">
        <w:rPr>
          <w:b/>
          <w:bCs/>
          <w:u w:val="single"/>
        </w:rPr>
        <w:t>BNBCBA</w:t>
      </w:r>
    </w:p>
    <w:p w:rsidRPr="00B365B3" w:rsidR="003A0B19" w:rsidP="003A0B19" w:rsidRDefault="003A0B19" w14:paraId="1C8AA195" w14:textId="42671FE8">
      <w:r w:rsidRPr="00B365B3">
        <w:t xml:space="preserve">The BNBCBA is a two-way balancing account that records the net costs of SDG&amp;E’s BioMat procurement costs for the BioMat program. Pursuant to D.20-08-043, a non-bypassable charge is imposed on all customers in each investor-owned utility’s service territory and the revenues from this charge and the net costs of the BioMat contracts are recorded in the BNBCBA. </w:t>
      </w:r>
    </w:p>
    <w:p w:rsidRPr="00B365B3" w:rsidR="003A0B19" w:rsidP="003A0B19" w:rsidRDefault="003A0B19" w14:paraId="0D6586B5" w14:textId="77777777">
      <w:pPr>
        <w:keepNext/>
        <w:rPr>
          <w:b/>
          <w:bCs/>
          <w:u w:val="single"/>
        </w:rPr>
      </w:pPr>
      <w:r w:rsidRPr="00B365B3">
        <w:rPr>
          <w:b/>
          <w:bCs/>
          <w:u w:val="single"/>
        </w:rPr>
        <w:lastRenderedPageBreak/>
        <w:t xml:space="preserve">GHG Allowance Revenues and Return Allocations </w:t>
      </w:r>
    </w:p>
    <w:p w:rsidR="003A0B19" w:rsidP="003A0B19" w:rsidRDefault="003A0B19" w14:paraId="0AED7C5D" w14:textId="475C352C">
      <w:r w:rsidRPr="00B365B3">
        <w:t>GHG allowance revenues and return allocations were authorized in D.14</w:t>
      </w:r>
      <w:r w:rsidRPr="00B365B3">
        <w:noBreakHyphen/>
        <w:t>10</w:t>
      </w:r>
      <w:r w:rsidRPr="00B365B3">
        <w:noBreakHyphen/>
        <w:t>033. Investor</w:t>
      </w:r>
      <w:r w:rsidRPr="00B365B3">
        <w:noBreakHyphen/>
        <w:t>owned utilities (IOU) are required by the Commission to distribute GHG allowance revenues eligible for return to customers.</w:t>
      </w:r>
      <w:r w:rsidRPr="00B365B3">
        <w:rPr>
          <w:vertAlign w:val="superscript"/>
        </w:rPr>
        <w:footnoteReference w:id="11"/>
      </w:r>
      <w:r w:rsidRPr="00B365B3">
        <w:t xml:space="preserve"> This includes the California Climate Credit (CCC) for small business and residential customers and the </w:t>
      </w:r>
      <w:r w:rsidRPr="00003205" w:rsidR="00003205">
        <w:t>CA Industry Assistance for customers who qualify as Emission-Intensive and Trade-Exposed (EITE</w:t>
      </w:r>
      <w:r w:rsidR="00003205">
        <w:t>)</w:t>
      </w:r>
      <w:r w:rsidRPr="00B365B3">
        <w:t xml:space="preserve">. </w:t>
      </w:r>
    </w:p>
    <w:p w:rsidRPr="00087A22" w:rsidR="00087A22" w:rsidP="00463393" w:rsidRDefault="00087A22" w14:paraId="72076531" w14:textId="36C4CDD0">
      <w:pPr>
        <w:rPr>
          <w:b/>
          <w:bCs/>
          <w:u w:val="single"/>
        </w:rPr>
      </w:pPr>
      <w:r w:rsidRPr="00087A22">
        <w:rPr>
          <w:b/>
          <w:bCs/>
          <w:u w:val="single"/>
        </w:rPr>
        <w:t>Other Components</w:t>
      </w:r>
    </w:p>
    <w:p w:rsidRPr="00B365B3" w:rsidR="00E264F1" w:rsidP="00E264F1" w:rsidRDefault="00463393" w14:paraId="762DEEA1" w14:textId="7C3D23FF">
      <w:r w:rsidRPr="00B365B3">
        <w:t>The ERRA forecast also includes a Power Charge Indifference Adjustment (PCIA) undercollection balancing account trigger, and rate components for the Green Tariff Shared Renewables (GTSR) Program.</w:t>
      </w:r>
    </w:p>
    <w:p w:rsidRPr="00B365B3" w:rsidR="00463393" w:rsidP="00463393" w:rsidRDefault="00463393" w14:paraId="16434A5D" w14:textId="77777777">
      <w:pPr>
        <w:keepNext/>
        <w:rPr>
          <w:b/>
          <w:bCs/>
          <w:u w:val="single"/>
        </w:rPr>
      </w:pPr>
      <w:bookmarkStart w:name="_Hlk208394755" w:id="11"/>
      <w:r w:rsidRPr="00B365B3">
        <w:rPr>
          <w:b/>
          <w:bCs/>
          <w:u w:val="single"/>
        </w:rPr>
        <w:t>PCIA</w:t>
      </w:r>
    </w:p>
    <w:p w:rsidR="00463393" w:rsidP="00463393" w:rsidRDefault="00463393" w14:paraId="2E888A5B" w14:textId="6CE93004">
      <w:r w:rsidRPr="00B365B3">
        <w:t>PCIA is a rate component intended to preserve bundled customer indifference to customers that migrate from bundled load by ensuring that departing load customers pay their share of cost responsibility associated with above</w:t>
      </w:r>
      <w:r w:rsidRPr="00B365B3">
        <w:noBreakHyphen/>
        <w:t>market</w:t>
      </w:r>
      <w:r w:rsidRPr="00B365B3">
        <w:noBreakHyphen/>
        <w:t>costs of the utilities’ total procurement portfolio. The PCIA undercollection balancing account (CAPBA) tracks PCIA balances that accrued under the PCIA rate cap that the Commission established in D.18</w:t>
      </w:r>
      <w:r w:rsidRPr="00B365B3">
        <w:noBreakHyphen/>
        <w:t>10</w:t>
      </w:r>
      <w:r w:rsidRPr="00B365B3">
        <w:noBreakHyphen/>
        <w:t>019 and removed in D.21</w:t>
      </w:r>
      <w:r w:rsidRPr="00B365B3">
        <w:noBreakHyphen/>
        <w:t>05</w:t>
      </w:r>
      <w:r w:rsidRPr="00B365B3">
        <w:noBreakHyphen/>
        <w:t>030. SDG&amp;E is requesting to transfer any remaining balances in the CAPBA subaccounts to the corresponding PABA vintage subaccounts and to close the CAPBA preliminary statement.</w:t>
      </w:r>
      <w:r w:rsidR="004A3A27">
        <w:t xml:space="preserve"> </w:t>
      </w:r>
    </w:p>
    <w:p w:rsidRPr="00620461" w:rsidR="00620461" w:rsidP="00620461" w:rsidRDefault="00620461" w14:paraId="2C2BAB47" w14:textId="77777777">
      <w:pPr>
        <w:rPr>
          <w:b/>
          <w:bCs/>
          <w:u w:val="single"/>
        </w:rPr>
      </w:pPr>
      <w:r w:rsidRPr="00620461">
        <w:rPr>
          <w:b/>
          <w:bCs/>
          <w:u w:val="single"/>
        </w:rPr>
        <w:t>GTSR</w:t>
      </w:r>
    </w:p>
    <w:p w:rsidR="00B2304B" w:rsidP="00620461" w:rsidRDefault="00620461" w14:paraId="2F88B476" w14:textId="32031CD4">
      <w:r>
        <w:t>The Commission required SDG&amp;E to establish the GTSR program in D.15</w:t>
      </w:r>
      <w:r w:rsidR="00003205">
        <w:t>-0</w:t>
      </w:r>
      <w:r>
        <w:t>1</w:t>
      </w:r>
      <w:r w:rsidR="00003205">
        <w:t>-</w:t>
      </w:r>
      <w:r>
        <w:t xml:space="preserve">051. The program is intended to promote renewable energy by expanding </w:t>
      </w:r>
      <w:r>
        <w:lastRenderedPageBreak/>
        <w:t>access to renewable energy resources for ratepayers who are currently unable to access the benefits of onsite generation such as residential customers who cannot install solar panels. The program has two features administered by the utilities:</w:t>
      </w:r>
      <w:r w:rsidR="004A3A27">
        <w:t xml:space="preserve"> </w:t>
      </w:r>
      <w:r>
        <w:t xml:space="preserve">(a) an EcoChoice Green Tariff (GT) component which allows customers to purchase energy with a greater share of renewables procured by SDG&amp;E; and (b) an Enhanced Community Renewables (ECR) component which allows customers to purchase renewable energy from community-based projects. </w:t>
      </w:r>
    </w:p>
    <w:p w:rsidR="00620461" w:rsidP="00620461" w:rsidRDefault="00620461" w14:paraId="55383729" w14:textId="2014791B">
      <w:r>
        <w:t xml:space="preserve">The GT program </w:t>
      </w:r>
      <w:r w:rsidR="00B2304B">
        <w:t>is suspended while the ECR program was closed on October 27, 2024.</w:t>
      </w:r>
      <w:bookmarkEnd w:id="11"/>
      <w:r w:rsidR="00B2304B">
        <w:rPr>
          <w:rStyle w:val="FootnoteReference"/>
        </w:rPr>
        <w:footnoteReference w:id="12"/>
      </w:r>
    </w:p>
    <w:p w:rsidRPr="00620461" w:rsidR="00620461" w:rsidP="00620461" w:rsidRDefault="00620461" w14:paraId="07B8DFA8" w14:textId="77777777">
      <w:pPr>
        <w:rPr>
          <w:b/>
          <w:bCs/>
          <w:u w:val="single"/>
        </w:rPr>
      </w:pPr>
      <w:r w:rsidRPr="00620461">
        <w:rPr>
          <w:b/>
          <w:bCs/>
          <w:u w:val="single"/>
        </w:rPr>
        <w:t>Sales Forecast</w:t>
      </w:r>
    </w:p>
    <w:p w:rsidRPr="002A430B" w:rsidR="00620461" w:rsidP="00620461" w:rsidRDefault="00620461" w14:paraId="3BB0137C" w14:textId="185973ED">
      <w:r w:rsidRPr="002A430B">
        <w:t>D.22</w:t>
      </w:r>
      <w:r w:rsidRPr="002A430B" w:rsidR="00B2304B">
        <w:t>-</w:t>
      </w:r>
      <w:r w:rsidRPr="002A430B">
        <w:t>03</w:t>
      </w:r>
      <w:r w:rsidRPr="002A430B" w:rsidR="00B2304B">
        <w:t>-</w:t>
      </w:r>
      <w:r w:rsidRPr="002A430B">
        <w:t>003 directed SDG&amp;E to file subsequent sales forecasts in its ERRA forecast proceedings. The 202</w:t>
      </w:r>
      <w:r w:rsidRPr="002A430B" w:rsidR="00B2304B">
        <w:t>6</w:t>
      </w:r>
      <w:r w:rsidRPr="002A430B">
        <w:t xml:space="preserve"> </w:t>
      </w:r>
      <w:r w:rsidR="00C127F3">
        <w:t xml:space="preserve">electric </w:t>
      </w:r>
      <w:r w:rsidRPr="002A430B">
        <w:t>sales forecast is based on the California Energy Commission</w:t>
      </w:r>
      <w:r w:rsidRPr="002A430B" w:rsidR="002A430B">
        <w:t>’s</w:t>
      </w:r>
      <w:r w:rsidRPr="002A430B">
        <w:t xml:space="preserve"> (CEC) </w:t>
      </w:r>
      <w:r w:rsidRPr="002A430B" w:rsidR="002A430B">
        <w:t xml:space="preserve">2024 California Demand Update Forecast </w:t>
      </w:r>
      <w:r w:rsidRPr="002A430B">
        <w:t>which was adopted by the CEC on January 2</w:t>
      </w:r>
      <w:r w:rsidRPr="002A430B" w:rsidR="002A430B">
        <w:t>1</w:t>
      </w:r>
      <w:r w:rsidRPr="002A430B">
        <w:t>, 202</w:t>
      </w:r>
      <w:r w:rsidRPr="002A430B" w:rsidR="002A430B">
        <w:t>5</w:t>
      </w:r>
      <w:r w:rsidRPr="002A430B">
        <w:t>.</w:t>
      </w:r>
      <w:r w:rsidR="004A3A27">
        <w:t xml:space="preserve"> </w:t>
      </w:r>
    </w:p>
    <w:p w:rsidRPr="000C19CA" w:rsidR="001B1D36" w:rsidP="00426F37" w:rsidRDefault="004249FC" w14:paraId="467AA9FE" w14:textId="19165F32">
      <w:pPr>
        <w:pStyle w:val="Heading1"/>
      </w:pPr>
      <w:bookmarkStart w:name="_Toc120015198" w:id="12"/>
      <w:bookmarkStart w:name="_Toc215581834" w:id="13"/>
      <w:bookmarkStart w:name="_Toc8123719" w:id="14"/>
      <w:bookmarkStart w:name="_Toc12866688" w:id="15"/>
      <w:r w:rsidRPr="000C19CA">
        <w:t>Request</w:t>
      </w:r>
      <w:bookmarkEnd w:id="12"/>
      <w:bookmarkEnd w:id="13"/>
    </w:p>
    <w:p w:rsidRPr="00A35CCD" w:rsidR="0097022D" w:rsidP="0097022D" w:rsidRDefault="0097022D" w14:paraId="19ADE2DC" w14:textId="016A0172">
      <w:r w:rsidRPr="002A430B">
        <w:t xml:space="preserve">SDG&amp;E’s </w:t>
      </w:r>
      <w:r w:rsidR="008C0A40">
        <w:t xml:space="preserve">initial </w:t>
      </w:r>
      <w:r w:rsidRPr="002A430B">
        <w:t>202</w:t>
      </w:r>
      <w:r w:rsidR="00493E32">
        <w:t>6</w:t>
      </w:r>
      <w:r w:rsidRPr="002A430B">
        <w:t> ERRA forecast is a total revenue requirement of $</w:t>
      </w:r>
      <w:r w:rsidRPr="002A430B" w:rsidR="002A430B">
        <w:t>270</w:t>
      </w:r>
      <w:r w:rsidRPr="002A430B">
        <w:t>.</w:t>
      </w:r>
      <w:r w:rsidRPr="002A430B" w:rsidR="002A430B">
        <w:t>5</w:t>
      </w:r>
      <w:r w:rsidRPr="002A430B">
        <w:t> million.</w:t>
      </w:r>
      <w:r w:rsidRPr="002A430B">
        <w:rPr>
          <w:vertAlign w:val="superscript"/>
        </w:rPr>
        <w:footnoteReference w:id="13"/>
      </w:r>
      <w:r w:rsidRPr="002A430B">
        <w:rPr>
          <w:color w:val="FF0000"/>
        </w:rPr>
        <w:t xml:space="preserve"> </w:t>
      </w:r>
      <w:r w:rsidRPr="002A430B">
        <w:t xml:space="preserve">This amount is </w:t>
      </w:r>
      <w:r w:rsidRPr="002A430B" w:rsidR="002A430B">
        <w:t xml:space="preserve">approximately </w:t>
      </w:r>
      <w:r w:rsidRPr="002A430B">
        <w:t>$</w:t>
      </w:r>
      <w:r w:rsidRPr="002A430B" w:rsidR="002A430B">
        <w:t>148</w:t>
      </w:r>
      <w:r w:rsidRPr="002A430B">
        <w:t>.</w:t>
      </w:r>
      <w:r w:rsidRPr="002A430B" w:rsidR="002A430B">
        <w:t>2</w:t>
      </w:r>
      <w:r w:rsidRPr="002A430B">
        <w:t xml:space="preserve"> million </w:t>
      </w:r>
      <w:r w:rsidRPr="002A430B" w:rsidR="002A430B">
        <w:t>greater</w:t>
      </w:r>
      <w:r w:rsidRPr="002A430B">
        <w:t xml:space="preserve"> than its currently effective ERRA</w:t>
      </w:r>
      <w:r w:rsidRPr="002A430B">
        <w:noBreakHyphen/>
        <w:t>revenue requirement of $</w:t>
      </w:r>
      <w:r w:rsidRPr="002A430B" w:rsidR="002A430B">
        <w:t>122.3</w:t>
      </w:r>
      <w:r w:rsidRPr="002A430B">
        <w:t xml:space="preserve"> million. As will be discussed in Section 3.2, the above amount is subject to adjustment from the October </w:t>
      </w:r>
      <w:r w:rsidR="00A50F4E">
        <w:t>u</w:t>
      </w:r>
      <w:r w:rsidRPr="002A430B">
        <w:t>pdate which SDG&amp;E filed on</w:t>
      </w:r>
      <w:r w:rsidRPr="002A430B">
        <w:rPr>
          <w:color w:val="FF0000"/>
        </w:rPr>
        <w:t xml:space="preserve"> </w:t>
      </w:r>
      <w:r w:rsidRPr="00A35CCD">
        <w:t>October </w:t>
      </w:r>
      <w:r w:rsidRPr="00A35CCD" w:rsidR="002A430B">
        <w:t>14</w:t>
      </w:r>
      <w:r w:rsidRPr="00A35CCD">
        <w:t>, 202</w:t>
      </w:r>
      <w:r w:rsidRPr="00A35CCD" w:rsidR="002A430B">
        <w:t>5</w:t>
      </w:r>
      <w:r w:rsidRPr="00A35CCD">
        <w:t>.</w:t>
      </w:r>
      <w:r w:rsidR="004A3A27">
        <w:t xml:space="preserve"> </w:t>
      </w:r>
    </w:p>
    <w:p w:rsidRPr="002A430B" w:rsidR="0097022D" w:rsidP="0097022D" w:rsidRDefault="0097022D" w14:paraId="3EE4CB51" w14:textId="546601A9">
      <w:r w:rsidRPr="002A430B">
        <w:lastRenderedPageBreak/>
        <w:t>As stated in Section 2, the 202</w:t>
      </w:r>
      <w:r w:rsidRPr="002A430B" w:rsidR="002A430B">
        <w:t>6</w:t>
      </w:r>
      <w:r w:rsidRPr="002A430B">
        <w:t> ERRA forecast includes the revenue requirement forecasts for ERRA, PABA, CTC, LG, MCAM, the SDCP DAC-GT, BNBCBA and GHG allowance revenues, set</w:t>
      </w:r>
      <w:r w:rsidRPr="002A430B">
        <w:noBreakHyphen/>
        <w:t>asides, and returns.</w:t>
      </w:r>
      <w:r w:rsidRPr="002A430B">
        <w:rPr>
          <w:vertAlign w:val="superscript"/>
        </w:rPr>
        <w:footnoteReference w:id="14"/>
      </w:r>
      <w:r w:rsidRPr="002A430B">
        <w:t xml:space="preserve"> </w:t>
      </w:r>
    </w:p>
    <w:p w:rsidRPr="002A430B" w:rsidR="00E264F1" w:rsidP="00E264F1" w:rsidRDefault="00E264F1" w14:paraId="5D3DB03F" w14:textId="75941BE0">
      <w:r w:rsidRPr="002A430B">
        <w:t xml:space="preserve">SDG&amp;E also seeks Commission approval of its proposed </w:t>
      </w:r>
      <w:r w:rsidR="00493E32">
        <w:t>v</w:t>
      </w:r>
      <w:r w:rsidRPr="002A430B">
        <w:t xml:space="preserve">intage </w:t>
      </w:r>
      <w:r w:rsidR="00493E32">
        <w:t xml:space="preserve">PCIA </w:t>
      </w:r>
      <w:r w:rsidRPr="002A430B">
        <w:t>rates, MCAM rates, and its 2026 Electric Sales Forecast.</w:t>
      </w:r>
    </w:p>
    <w:p w:rsidRPr="000C19CA" w:rsidR="00684FD8" w:rsidP="00426F37" w:rsidRDefault="004249FC" w14:paraId="16849687" w14:textId="0AEF6529">
      <w:pPr>
        <w:pStyle w:val="Heading2"/>
      </w:pPr>
      <w:bookmarkStart w:name="_Toc120015200" w:id="16"/>
      <w:bookmarkStart w:name="_Toc215581835" w:id="17"/>
      <w:r w:rsidRPr="000C19CA">
        <w:t>October 202</w:t>
      </w:r>
      <w:r w:rsidR="00714ED9">
        <w:t>5</w:t>
      </w:r>
      <w:r w:rsidRPr="000C19CA">
        <w:t xml:space="preserve"> Update</w:t>
      </w:r>
      <w:bookmarkEnd w:id="16"/>
      <w:bookmarkEnd w:id="17"/>
    </w:p>
    <w:p w:rsidRPr="00B365B3" w:rsidR="0097022D" w:rsidP="0097022D" w:rsidRDefault="0097022D" w14:paraId="42383D32" w14:textId="7FB2868C">
      <w:r w:rsidRPr="00B365B3">
        <w:t xml:space="preserve">The ERRA process allows SDG&amp;E to update its application later during the year and so SDG&amp;E filed </w:t>
      </w:r>
      <w:r w:rsidR="0020349F">
        <w:t xml:space="preserve">an </w:t>
      </w:r>
      <w:r w:rsidRPr="00B365B3">
        <w:t xml:space="preserve">October </w:t>
      </w:r>
      <w:r w:rsidR="002D09BF">
        <w:t>u</w:t>
      </w:r>
      <w:r w:rsidRPr="00B365B3">
        <w:t xml:space="preserve">pdate to the application. The October </w:t>
      </w:r>
      <w:r w:rsidR="0020349F">
        <w:t>u</w:t>
      </w:r>
      <w:r w:rsidRPr="00B365B3">
        <w:t>pdate has traditionally served to update testimony regarding the CTC Market Price Benchmark (MPB) and PCIA benchmarks. This information is provided to SDG&amp;E by the Commission’s Energy Division, which compiles and provides updated MPB</w:t>
      </w:r>
      <w:r w:rsidR="00584ED0">
        <w:t>s</w:t>
      </w:r>
      <w:r w:rsidRPr="00B365B3">
        <w:t xml:space="preserve"> </w:t>
      </w:r>
      <w:r w:rsidR="00CF0129">
        <w:t>in October</w:t>
      </w:r>
      <w:r w:rsidRPr="00B365B3">
        <w:t xml:space="preserve">. </w:t>
      </w:r>
    </w:p>
    <w:p w:rsidRPr="00A35CCD" w:rsidR="0097022D" w:rsidP="0097022D" w:rsidRDefault="0097022D" w14:paraId="0290905E" w14:textId="01FB50FF">
      <w:r w:rsidRPr="002A430B">
        <w:t>SDG&amp;E also updated other information since approximately five months have passed since the filing of the May Application, and according to SDG&amp;E, various input assumptions have changed.</w:t>
      </w:r>
      <w:r w:rsidRPr="00620461">
        <w:rPr>
          <w:color w:val="FF0000"/>
        </w:rPr>
        <w:t xml:space="preserve"> </w:t>
      </w:r>
      <w:r w:rsidRPr="00A35CCD">
        <w:t>Some of these changes include updates to projected 202</w:t>
      </w:r>
      <w:r w:rsidRPr="00A35CCD" w:rsidR="00A35CCD">
        <w:t>5</w:t>
      </w:r>
      <w:r w:rsidRPr="00A35CCD">
        <w:t xml:space="preserve"> ERRA and PABA account balances</w:t>
      </w:r>
      <w:r w:rsidRPr="00A35CCD" w:rsidR="00A35CCD">
        <w:t xml:space="preserve"> which have been revised to reflect actuals through August, 2025</w:t>
      </w:r>
      <w:r w:rsidRPr="00A35CCD">
        <w:t>.</w:t>
      </w:r>
      <w:r w:rsidRPr="00620461">
        <w:rPr>
          <w:color w:val="FF0000"/>
        </w:rPr>
        <w:t xml:space="preserve"> </w:t>
      </w:r>
      <w:r w:rsidRPr="00A35CCD">
        <w:t xml:space="preserve">SDG&amp;E also made changes based on Commission decisions that require certain updates be included in the October </w:t>
      </w:r>
      <w:r w:rsidR="0020349F">
        <w:t>u</w:t>
      </w:r>
      <w:r w:rsidRPr="00A35CCD">
        <w:t>pdate.</w:t>
      </w:r>
    </w:p>
    <w:p w:rsidRPr="002A430B" w:rsidR="0097022D" w:rsidP="0097022D" w:rsidRDefault="0097022D" w14:paraId="7EFF1A85" w14:textId="7601195F">
      <w:pPr>
        <w:spacing w:after="120"/>
      </w:pPr>
      <w:r w:rsidRPr="00A35CCD">
        <w:t>SDG&amp;E’s updated total forecast is a $</w:t>
      </w:r>
      <w:r w:rsidRPr="00A35CCD" w:rsidR="00A35CCD">
        <w:t>824.1</w:t>
      </w:r>
      <w:r w:rsidRPr="00A35CCD">
        <w:t xml:space="preserve"> million revenue requirement compared to $</w:t>
      </w:r>
      <w:r w:rsidRPr="00A35CCD" w:rsidR="00A35CCD">
        <w:t>270.5</w:t>
      </w:r>
      <w:r w:rsidRPr="00A35CCD">
        <w:t xml:space="preserve"> million in its initial application</w:t>
      </w:r>
      <w:r w:rsidR="002D09BF">
        <w:t xml:space="preserve"> (an increase of $553.5 million)</w:t>
      </w:r>
      <w:r w:rsidRPr="00A35CCD">
        <w:t xml:space="preserve">. </w:t>
      </w:r>
      <w:r w:rsidRPr="002A430B">
        <w:t xml:space="preserve">Table 1 below shows the updated revenue requirements for the various </w:t>
      </w:r>
      <w:r w:rsidRPr="002A430B">
        <w:lastRenderedPageBreak/>
        <w:t xml:space="preserve">ERRA forecast components as well as the original amounts set forth in the initial application, and the currently effective revenue requirements. </w:t>
      </w:r>
    </w:p>
    <w:p w:rsidRPr="00B365B3" w:rsidR="0097022D" w:rsidP="0097022D" w:rsidRDefault="0097022D" w14:paraId="1BA95F40" w14:textId="2A709FFA">
      <w:pPr>
        <w:keepNext/>
        <w:tabs>
          <w:tab w:val="left" w:pos="2430"/>
        </w:tabs>
        <w:spacing w:line="240" w:lineRule="auto"/>
        <w:ind w:left="1224" w:hanging="1224"/>
        <w:jc w:val="center"/>
        <w:rPr>
          <w:b/>
        </w:rPr>
      </w:pPr>
      <w:r w:rsidRPr="00B365B3">
        <w:rPr>
          <w:b/>
        </w:rPr>
        <w:t>Table 1.</w:t>
      </w:r>
      <w:r>
        <w:rPr>
          <w:bCs/>
        </w:rPr>
        <w:t xml:space="preserve"> </w:t>
      </w:r>
      <w:r w:rsidRPr="00B365B3">
        <w:rPr>
          <w:b/>
        </w:rPr>
        <w:t>202</w:t>
      </w:r>
      <w:r w:rsidR="00714ED9">
        <w:rPr>
          <w:b/>
        </w:rPr>
        <w:t>6</w:t>
      </w:r>
      <w:r w:rsidRPr="00B365B3">
        <w:rPr>
          <w:b/>
        </w:rPr>
        <w:t> ERRA Forecast Revenue Requirements</w:t>
      </w:r>
      <w:r w:rsidRPr="00B365B3">
        <w:rPr>
          <w:b/>
          <w:vertAlign w:val="superscript"/>
        </w:rPr>
        <w:footnoteReference w:id="15"/>
      </w:r>
      <w:r w:rsidRPr="00B365B3">
        <w:rPr>
          <w:b/>
        </w:rPr>
        <w:t xml:space="preserve"> </w:t>
      </w:r>
    </w:p>
    <w:p w:rsidRPr="00B365B3" w:rsidR="0097022D" w:rsidP="00602965" w:rsidRDefault="0097022D" w14:paraId="4BB7D944" w14:textId="77777777">
      <w:pPr>
        <w:keepNext/>
        <w:spacing w:after="240" w:line="240" w:lineRule="auto"/>
        <w:ind w:left="1224" w:hanging="1224"/>
        <w:jc w:val="center"/>
        <w:rPr>
          <w:b/>
        </w:rPr>
      </w:pPr>
      <w:r w:rsidRPr="00B365B3">
        <w:rPr>
          <w:b/>
        </w:rPr>
        <w:t>(values are in $000,000s)</w:t>
      </w:r>
    </w:p>
    <w:tbl>
      <w:tblPr>
        <w:tblStyle w:val="TableGrid"/>
        <w:tblW w:w="9570" w:type="dxa"/>
        <w:jc w:val="center"/>
        <w:tblLayout w:type="fixed"/>
        <w:tblCellMar>
          <w:top w:w="58" w:type="dxa"/>
          <w:bottom w:w="58" w:type="dxa"/>
        </w:tblCellMar>
        <w:tblLook w:val="04A0" w:firstRow="1" w:lastRow="0" w:firstColumn="1" w:lastColumn="0" w:noHBand="0" w:noVBand="1"/>
      </w:tblPr>
      <w:tblGrid>
        <w:gridCol w:w="2965"/>
        <w:gridCol w:w="2340"/>
        <w:gridCol w:w="2160"/>
        <w:gridCol w:w="2105"/>
      </w:tblGrid>
      <w:tr w:rsidRPr="00B365B3" w:rsidR="0097022D" w:rsidTr="00D873C9" w14:paraId="63060201" w14:textId="77777777">
        <w:trPr>
          <w:cantSplit/>
          <w:tblHeader/>
          <w:jc w:val="center"/>
        </w:trPr>
        <w:tc>
          <w:tcPr>
            <w:tcW w:w="2965" w:type="dxa"/>
            <w:vAlign w:val="bottom"/>
          </w:tcPr>
          <w:p w:rsidRPr="00B365B3" w:rsidR="0097022D" w:rsidP="00D873C9" w:rsidRDefault="0097022D" w14:paraId="6716D653" w14:textId="77777777">
            <w:pPr>
              <w:keepNext/>
              <w:spacing w:line="240" w:lineRule="auto"/>
              <w:ind w:firstLine="0"/>
              <w:jc w:val="center"/>
              <w:rPr>
                <w:b/>
                <w:bCs/>
                <w:sz w:val="22"/>
              </w:rPr>
            </w:pPr>
            <w:r w:rsidRPr="00B365B3">
              <w:rPr>
                <w:b/>
                <w:bCs/>
                <w:sz w:val="22"/>
              </w:rPr>
              <w:t>Account</w:t>
            </w:r>
          </w:p>
        </w:tc>
        <w:tc>
          <w:tcPr>
            <w:tcW w:w="2340" w:type="dxa"/>
            <w:vAlign w:val="bottom"/>
          </w:tcPr>
          <w:p w:rsidRPr="00B365B3" w:rsidR="0097022D" w:rsidP="00D873C9" w:rsidRDefault="0097022D" w14:paraId="72291913" w14:textId="77777777">
            <w:pPr>
              <w:keepNext/>
              <w:spacing w:line="240" w:lineRule="auto"/>
              <w:ind w:firstLine="0"/>
              <w:jc w:val="center"/>
              <w:rPr>
                <w:b/>
                <w:bCs/>
                <w:sz w:val="22"/>
              </w:rPr>
            </w:pPr>
            <w:r w:rsidRPr="00B365B3">
              <w:rPr>
                <w:b/>
                <w:bCs/>
                <w:sz w:val="22"/>
              </w:rPr>
              <w:t xml:space="preserve">Currently Effective </w:t>
            </w:r>
          </w:p>
          <w:p w:rsidRPr="00B365B3" w:rsidR="0097022D" w:rsidP="00D873C9" w:rsidRDefault="0097022D" w14:paraId="2DB3CF76" w14:textId="77777777">
            <w:pPr>
              <w:keepNext/>
              <w:spacing w:line="240" w:lineRule="auto"/>
              <w:ind w:firstLine="0"/>
              <w:jc w:val="center"/>
              <w:rPr>
                <w:b/>
                <w:bCs/>
                <w:sz w:val="22"/>
              </w:rPr>
            </w:pPr>
            <w:r w:rsidRPr="00B365B3">
              <w:rPr>
                <w:b/>
                <w:bCs/>
                <w:sz w:val="22"/>
              </w:rPr>
              <w:t>Revenue Req.</w:t>
            </w:r>
          </w:p>
        </w:tc>
        <w:tc>
          <w:tcPr>
            <w:tcW w:w="2160" w:type="dxa"/>
            <w:vAlign w:val="bottom"/>
          </w:tcPr>
          <w:p w:rsidRPr="00B365B3" w:rsidR="0097022D" w:rsidP="00D873C9" w:rsidRDefault="0097022D" w14:paraId="662AA886" w14:textId="63F9540A">
            <w:pPr>
              <w:keepNext/>
              <w:spacing w:line="240" w:lineRule="auto"/>
              <w:ind w:firstLine="0"/>
              <w:jc w:val="center"/>
              <w:rPr>
                <w:b/>
                <w:bCs/>
                <w:sz w:val="22"/>
              </w:rPr>
            </w:pPr>
            <w:r w:rsidRPr="00B365B3">
              <w:rPr>
                <w:b/>
                <w:bCs/>
                <w:sz w:val="22"/>
              </w:rPr>
              <w:t>202</w:t>
            </w:r>
            <w:r w:rsidR="00684215">
              <w:rPr>
                <w:b/>
                <w:bCs/>
                <w:sz w:val="22"/>
              </w:rPr>
              <w:t>6</w:t>
            </w:r>
            <w:r w:rsidRPr="00B365B3">
              <w:rPr>
                <w:b/>
                <w:bCs/>
                <w:sz w:val="22"/>
              </w:rPr>
              <w:t xml:space="preserve"> Revenue Req.</w:t>
            </w:r>
          </w:p>
          <w:p w:rsidRPr="00B365B3" w:rsidR="0097022D" w:rsidP="00D873C9" w:rsidRDefault="0097022D" w14:paraId="0D900189" w14:textId="77777777">
            <w:pPr>
              <w:keepNext/>
              <w:spacing w:line="240" w:lineRule="auto"/>
              <w:ind w:firstLine="0"/>
              <w:jc w:val="center"/>
              <w:rPr>
                <w:b/>
                <w:bCs/>
                <w:sz w:val="22"/>
              </w:rPr>
            </w:pPr>
            <w:r w:rsidRPr="00B365B3">
              <w:rPr>
                <w:b/>
                <w:bCs/>
                <w:sz w:val="22"/>
              </w:rPr>
              <w:t>Application</w:t>
            </w:r>
          </w:p>
        </w:tc>
        <w:tc>
          <w:tcPr>
            <w:tcW w:w="2105" w:type="dxa"/>
            <w:vAlign w:val="bottom"/>
          </w:tcPr>
          <w:p w:rsidRPr="00B365B3" w:rsidR="0097022D" w:rsidP="00D873C9" w:rsidRDefault="0097022D" w14:paraId="6897AAFA" w14:textId="4EF8F521">
            <w:pPr>
              <w:keepNext/>
              <w:spacing w:line="240" w:lineRule="auto"/>
              <w:ind w:firstLine="0"/>
              <w:jc w:val="center"/>
              <w:rPr>
                <w:b/>
                <w:bCs/>
                <w:sz w:val="22"/>
              </w:rPr>
            </w:pPr>
            <w:r w:rsidRPr="00B365B3">
              <w:rPr>
                <w:b/>
                <w:bCs/>
                <w:sz w:val="22"/>
              </w:rPr>
              <w:t>202</w:t>
            </w:r>
            <w:r w:rsidR="00684215">
              <w:rPr>
                <w:b/>
                <w:bCs/>
                <w:sz w:val="22"/>
              </w:rPr>
              <w:t>6</w:t>
            </w:r>
            <w:r w:rsidRPr="00B365B3">
              <w:rPr>
                <w:b/>
                <w:bCs/>
                <w:sz w:val="22"/>
              </w:rPr>
              <w:t xml:space="preserve"> Revenue Req.</w:t>
            </w:r>
          </w:p>
          <w:p w:rsidRPr="00B365B3" w:rsidR="0097022D" w:rsidP="00D873C9" w:rsidRDefault="0097022D" w14:paraId="1D871A3B" w14:textId="77777777">
            <w:pPr>
              <w:keepNext/>
              <w:spacing w:line="240" w:lineRule="auto"/>
              <w:ind w:firstLine="0"/>
              <w:jc w:val="center"/>
              <w:rPr>
                <w:b/>
                <w:bCs/>
                <w:sz w:val="22"/>
              </w:rPr>
            </w:pPr>
            <w:r w:rsidRPr="00B365B3">
              <w:rPr>
                <w:b/>
                <w:bCs/>
                <w:sz w:val="22"/>
              </w:rPr>
              <w:t>October Update</w:t>
            </w:r>
          </w:p>
        </w:tc>
      </w:tr>
      <w:tr w:rsidRPr="00B365B3" w:rsidR="0097022D" w:rsidTr="00D873C9" w14:paraId="2870643E" w14:textId="77777777">
        <w:trPr>
          <w:cantSplit/>
          <w:jc w:val="center"/>
        </w:trPr>
        <w:tc>
          <w:tcPr>
            <w:tcW w:w="2965" w:type="dxa"/>
          </w:tcPr>
          <w:p w:rsidRPr="00B365B3" w:rsidR="0097022D" w:rsidP="00D873C9" w:rsidRDefault="0097022D" w14:paraId="7887BF85" w14:textId="77777777">
            <w:pPr>
              <w:spacing w:line="240" w:lineRule="auto"/>
              <w:ind w:firstLine="0"/>
              <w:rPr>
                <w:sz w:val="22"/>
              </w:rPr>
            </w:pPr>
            <w:r w:rsidRPr="00B365B3">
              <w:rPr>
                <w:sz w:val="22"/>
              </w:rPr>
              <w:t>ERRA</w:t>
            </w:r>
          </w:p>
        </w:tc>
        <w:tc>
          <w:tcPr>
            <w:tcW w:w="2340" w:type="dxa"/>
          </w:tcPr>
          <w:p w:rsidRPr="00B365B3" w:rsidR="0097022D" w:rsidP="00D873C9" w:rsidRDefault="0097022D" w14:paraId="0ACB4562" w14:textId="76A83872">
            <w:pPr>
              <w:spacing w:line="240" w:lineRule="auto"/>
              <w:ind w:firstLine="0"/>
              <w:jc w:val="center"/>
              <w:rPr>
                <w:sz w:val="22"/>
              </w:rPr>
            </w:pPr>
            <w:r w:rsidRPr="00B365B3">
              <w:rPr>
                <w:sz w:val="22"/>
              </w:rPr>
              <w:t>$4</w:t>
            </w:r>
            <w:r w:rsidR="007B1644">
              <w:rPr>
                <w:sz w:val="22"/>
              </w:rPr>
              <w:t>59.0</w:t>
            </w:r>
          </w:p>
        </w:tc>
        <w:tc>
          <w:tcPr>
            <w:tcW w:w="2160" w:type="dxa"/>
          </w:tcPr>
          <w:p w:rsidRPr="00B365B3" w:rsidR="0097022D" w:rsidP="00D873C9" w:rsidRDefault="0097022D" w14:paraId="33318204" w14:textId="4ECB314C">
            <w:pPr>
              <w:spacing w:line="240" w:lineRule="auto"/>
              <w:ind w:firstLine="0"/>
              <w:jc w:val="center"/>
              <w:rPr>
                <w:sz w:val="22"/>
              </w:rPr>
            </w:pPr>
            <w:r w:rsidRPr="00B365B3">
              <w:rPr>
                <w:sz w:val="22"/>
              </w:rPr>
              <w:t>$4</w:t>
            </w:r>
            <w:r w:rsidR="00684215">
              <w:rPr>
                <w:sz w:val="22"/>
              </w:rPr>
              <w:t>8</w:t>
            </w:r>
            <w:r w:rsidRPr="00B365B3">
              <w:rPr>
                <w:sz w:val="22"/>
              </w:rPr>
              <w:t>2.</w:t>
            </w:r>
            <w:r w:rsidR="00684215">
              <w:rPr>
                <w:sz w:val="22"/>
              </w:rPr>
              <w:t>9</w:t>
            </w:r>
          </w:p>
        </w:tc>
        <w:tc>
          <w:tcPr>
            <w:tcW w:w="2105" w:type="dxa"/>
          </w:tcPr>
          <w:p w:rsidRPr="00B365B3" w:rsidR="0097022D" w:rsidP="00D873C9" w:rsidRDefault="00A35CCD" w14:paraId="0D559CE3" w14:textId="5B093DEF">
            <w:pPr>
              <w:spacing w:line="240" w:lineRule="auto"/>
              <w:ind w:firstLine="0"/>
              <w:jc w:val="center"/>
              <w:rPr>
                <w:sz w:val="22"/>
              </w:rPr>
            </w:pPr>
            <w:r>
              <w:rPr>
                <w:sz w:val="22"/>
              </w:rPr>
              <w:t>$382.0</w:t>
            </w:r>
          </w:p>
        </w:tc>
      </w:tr>
      <w:tr w:rsidRPr="00B365B3" w:rsidR="0097022D" w:rsidTr="00D873C9" w14:paraId="057AECA3" w14:textId="77777777">
        <w:trPr>
          <w:cantSplit/>
          <w:jc w:val="center"/>
        </w:trPr>
        <w:tc>
          <w:tcPr>
            <w:tcW w:w="2965" w:type="dxa"/>
          </w:tcPr>
          <w:p w:rsidRPr="00B365B3" w:rsidR="0097022D" w:rsidP="00D873C9" w:rsidRDefault="0097022D" w14:paraId="7AC265B4" w14:textId="693A5041">
            <w:pPr>
              <w:spacing w:line="240" w:lineRule="auto"/>
              <w:ind w:firstLine="0"/>
              <w:rPr>
                <w:sz w:val="22"/>
              </w:rPr>
            </w:pPr>
            <w:r w:rsidRPr="00B365B3">
              <w:rPr>
                <w:sz w:val="22"/>
              </w:rPr>
              <w:t>202</w:t>
            </w:r>
            <w:r w:rsidR="007B1644">
              <w:rPr>
                <w:sz w:val="22"/>
              </w:rPr>
              <w:t>5</w:t>
            </w:r>
            <w:r w:rsidRPr="00B365B3">
              <w:rPr>
                <w:sz w:val="22"/>
              </w:rPr>
              <w:t> ERRA Balance</w:t>
            </w:r>
          </w:p>
        </w:tc>
        <w:tc>
          <w:tcPr>
            <w:tcW w:w="2340" w:type="dxa"/>
          </w:tcPr>
          <w:p w:rsidRPr="00B365B3" w:rsidR="0097022D" w:rsidP="00D873C9" w:rsidRDefault="0097022D" w14:paraId="0EC499AA" w14:textId="14A36F76">
            <w:pPr>
              <w:spacing w:line="240" w:lineRule="auto"/>
              <w:ind w:firstLine="0"/>
              <w:jc w:val="center"/>
              <w:rPr>
                <w:sz w:val="22"/>
              </w:rPr>
            </w:pPr>
            <w:r w:rsidRPr="00B365B3">
              <w:rPr>
                <w:sz w:val="22"/>
              </w:rPr>
              <w:t>$</w:t>
            </w:r>
            <w:r w:rsidR="007B1644">
              <w:rPr>
                <w:sz w:val="22"/>
              </w:rPr>
              <w:t>127.0</w:t>
            </w:r>
          </w:p>
        </w:tc>
        <w:tc>
          <w:tcPr>
            <w:tcW w:w="2160" w:type="dxa"/>
          </w:tcPr>
          <w:p w:rsidRPr="00B365B3" w:rsidR="0097022D" w:rsidP="00D873C9" w:rsidRDefault="00684215" w14:paraId="2747B832" w14:textId="69EBEF67">
            <w:pPr>
              <w:spacing w:line="240" w:lineRule="auto"/>
              <w:ind w:firstLine="0"/>
              <w:jc w:val="center"/>
              <w:rPr>
                <w:sz w:val="22"/>
              </w:rPr>
            </w:pPr>
            <w:r>
              <w:rPr>
                <w:sz w:val="22"/>
              </w:rPr>
              <w:t>(</w:t>
            </w:r>
            <w:r w:rsidRPr="00B365B3" w:rsidR="0097022D">
              <w:rPr>
                <w:sz w:val="22"/>
              </w:rPr>
              <w:t>$</w:t>
            </w:r>
            <w:r>
              <w:rPr>
                <w:sz w:val="22"/>
              </w:rPr>
              <w:t>0.5)</w:t>
            </w:r>
          </w:p>
        </w:tc>
        <w:tc>
          <w:tcPr>
            <w:tcW w:w="2105" w:type="dxa"/>
          </w:tcPr>
          <w:p w:rsidRPr="00B365B3" w:rsidR="0097022D" w:rsidP="00D873C9" w:rsidRDefault="00A35CCD" w14:paraId="05721ACD" w14:textId="3ECA6083">
            <w:pPr>
              <w:spacing w:line="240" w:lineRule="auto"/>
              <w:ind w:firstLine="0"/>
              <w:jc w:val="center"/>
              <w:rPr>
                <w:sz w:val="22"/>
              </w:rPr>
            </w:pPr>
            <w:r>
              <w:rPr>
                <w:sz w:val="22"/>
              </w:rPr>
              <w:t>($14.0)</w:t>
            </w:r>
          </w:p>
        </w:tc>
      </w:tr>
      <w:tr w:rsidRPr="00B365B3" w:rsidR="0097022D" w:rsidTr="00D873C9" w14:paraId="278F1CA2" w14:textId="77777777">
        <w:trPr>
          <w:cantSplit/>
          <w:jc w:val="center"/>
        </w:trPr>
        <w:tc>
          <w:tcPr>
            <w:tcW w:w="2965" w:type="dxa"/>
          </w:tcPr>
          <w:p w:rsidRPr="009A7E01" w:rsidR="0097022D" w:rsidP="00D873C9" w:rsidRDefault="0097022D" w14:paraId="57D4EB9A" w14:textId="77777777">
            <w:pPr>
              <w:spacing w:line="240" w:lineRule="auto"/>
              <w:ind w:firstLine="0"/>
              <w:rPr>
                <w:sz w:val="22"/>
              </w:rPr>
            </w:pPr>
            <w:r w:rsidRPr="009A7E01">
              <w:rPr>
                <w:sz w:val="22"/>
              </w:rPr>
              <w:t>PABA</w:t>
            </w:r>
          </w:p>
        </w:tc>
        <w:tc>
          <w:tcPr>
            <w:tcW w:w="2340" w:type="dxa"/>
          </w:tcPr>
          <w:p w:rsidRPr="00B365B3" w:rsidR="0097022D" w:rsidP="00D873C9" w:rsidRDefault="007B1644" w14:paraId="1E5F4A3D" w14:textId="4A30D805">
            <w:pPr>
              <w:spacing w:line="240" w:lineRule="auto"/>
              <w:ind w:firstLine="0"/>
              <w:jc w:val="center"/>
              <w:rPr>
                <w:sz w:val="22"/>
              </w:rPr>
            </w:pPr>
            <w:r>
              <w:rPr>
                <w:sz w:val="22"/>
              </w:rPr>
              <w:t>(</w:t>
            </w:r>
            <w:r w:rsidRPr="00B365B3" w:rsidR="0097022D">
              <w:rPr>
                <w:sz w:val="22"/>
              </w:rPr>
              <w:t>$</w:t>
            </w:r>
            <w:r>
              <w:rPr>
                <w:sz w:val="22"/>
              </w:rPr>
              <w:t>6.7)</w:t>
            </w:r>
          </w:p>
        </w:tc>
        <w:tc>
          <w:tcPr>
            <w:tcW w:w="2160" w:type="dxa"/>
          </w:tcPr>
          <w:p w:rsidRPr="00B365B3" w:rsidR="0097022D" w:rsidP="00D873C9" w:rsidRDefault="00684215" w14:paraId="48AFD117" w14:textId="71F5436C">
            <w:pPr>
              <w:spacing w:line="240" w:lineRule="auto"/>
              <w:ind w:firstLine="0"/>
              <w:jc w:val="center"/>
              <w:rPr>
                <w:sz w:val="22"/>
              </w:rPr>
            </w:pPr>
            <w:r>
              <w:rPr>
                <w:sz w:val="22"/>
              </w:rPr>
              <w:t>(</w:t>
            </w:r>
            <w:r w:rsidRPr="00B365B3" w:rsidR="0097022D">
              <w:rPr>
                <w:sz w:val="22"/>
              </w:rPr>
              <w:t>$</w:t>
            </w:r>
            <w:r>
              <w:rPr>
                <w:sz w:val="22"/>
              </w:rPr>
              <w:t>109.2)</w:t>
            </w:r>
          </w:p>
        </w:tc>
        <w:tc>
          <w:tcPr>
            <w:tcW w:w="2105" w:type="dxa"/>
          </w:tcPr>
          <w:p w:rsidRPr="00B365B3" w:rsidR="0097022D" w:rsidP="00D873C9" w:rsidRDefault="00A35CCD" w14:paraId="1BF52B69" w14:textId="638A5343">
            <w:pPr>
              <w:spacing w:line="240" w:lineRule="auto"/>
              <w:ind w:firstLine="0"/>
              <w:jc w:val="center"/>
              <w:rPr>
                <w:sz w:val="22"/>
              </w:rPr>
            </w:pPr>
            <w:r>
              <w:rPr>
                <w:sz w:val="22"/>
              </w:rPr>
              <w:t>$187.5</w:t>
            </w:r>
          </w:p>
        </w:tc>
      </w:tr>
      <w:tr w:rsidRPr="00B365B3" w:rsidR="0097022D" w:rsidTr="00D873C9" w14:paraId="3D4E21B5" w14:textId="77777777">
        <w:trPr>
          <w:cantSplit/>
          <w:jc w:val="center"/>
        </w:trPr>
        <w:tc>
          <w:tcPr>
            <w:tcW w:w="2965" w:type="dxa"/>
          </w:tcPr>
          <w:p w:rsidRPr="009A7E01" w:rsidR="0097022D" w:rsidP="00D873C9" w:rsidRDefault="0097022D" w14:paraId="384A4340" w14:textId="29F76EE8">
            <w:pPr>
              <w:spacing w:line="240" w:lineRule="auto"/>
              <w:ind w:firstLine="0"/>
              <w:rPr>
                <w:sz w:val="22"/>
              </w:rPr>
            </w:pPr>
            <w:bookmarkStart w:name="_Hlk212397621" w:id="18"/>
            <w:r w:rsidRPr="009A7E01">
              <w:rPr>
                <w:sz w:val="22"/>
              </w:rPr>
              <w:t>202</w:t>
            </w:r>
            <w:r w:rsidRPr="009A7E01" w:rsidR="007B1644">
              <w:rPr>
                <w:sz w:val="22"/>
              </w:rPr>
              <w:t>5</w:t>
            </w:r>
            <w:r w:rsidRPr="009A7E01">
              <w:rPr>
                <w:sz w:val="22"/>
              </w:rPr>
              <w:t xml:space="preserve"> PABA Balance</w:t>
            </w:r>
          </w:p>
        </w:tc>
        <w:tc>
          <w:tcPr>
            <w:tcW w:w="2340" w:type="dxa"/>
          </w:tcPr>
          <w:p w:rsidRPr="00B365B3" w:rsidR="0097022D" w:rsidP="00D873C9" w:rsidRDefault="007B1644" w14:paraId="1402C445" w14:textId="24D13733">
            <w:pPr>
              <w:spacing w:line="240" w:lineRule="auto"/>
              <w:ind w:firstLine="0"/>
              <w:jc w:val="center"/>
              <w:rPr>
                <w:sz w:val="22"/>
              </w:rPr>
            </w:pPr>
            <w:r>
              <w:rPr>
                <w:sz w:val="22"/>
              </w:rPr>
              <w:t>(</w:t>
            </w:r>
            <w:r w:rsidRPr="00B365B3" w:rsidR="0097022D">
              <w:rPr>
                <w:sz w:val="22"/>
              </w:rPr>
              <w:t>$</w:t>
            </w:r>
            <w:r>
              <w:rPr>
                <w:sz w:val="22"/>
              </w:rPr>
              <w:t>319.6)</w:t>
            </w:r>
          </w:p>
        </w:tc>
        <w:tc>
          <w:tcPr>
            <w:tcW w:w="2160" w:type="dxa"/>
          </w:tcPr>
          <w:p w:rsidRPr="00B365B3" w:rsidR="0097022D" w:rsidP="00D873C9" w:rsidRDefault="0097022D" w14:paraId="4930529F" w14:textId="7A1DD3BB">
            <w:pPr>
              <w:spacing w:line="240" w:lineRule="auto"/>
              <w:ind w:firstLine="0"/>
              <w:jc w:val="center"/>
              <w:rPr>
                <w:sz w:val="22"/>
              </w:rPr>
            </w:pPr>
            <w:r w:rsidRPr="00B365B3">
              <w:rPr>
                <w:sz w:val="22"/>
              </w:rPr>
              <w:t>$1</w:t>
            </w:r>
            <w:r w:rsidR="00684215">
              <w:rPr>
                <w:sz w:val="22"/>
              </w:rPr>
              <w:t>4.2</w:t>
            </w:r>
          </w:p>
        </w:tc>
        <w:tc>
          <w:tcPr>
            <w:tcW w:w="2105" w:type="dxa"/>
          </w:tcPr>
          <w:p w:rsidRPr="00B365B3" w:rsidR="0097022D" w:rsidP="00D873C9" w:rsidRDefault="00A35CCD" w14:paraId="5DDE8982" w14:textId="56DDB48F">
            <w:pPr>
              <w:spacing w:line="240" w:lineRule="auto"/>
              <w:ind w:firstLine="0"/>
              <w:jc w:val="center"/>
              <w:rPr>
                <w:sz w:val="22"/>
              </w:rPr>
            </w:pPr>
            <w:r>
              <w:rPr>
                <w:sz w:val="22"/>
              </w:rPr>
              <w:t>$274.2</w:t>
            </w:r>
          </w:p>
        </w:tc>
      </w:tr>
      <w:bookmarkEnd w:id="18"/>
      <w:tr w:rsidRPr="00B365B3" w:rsidR="0097022D" w:rsidTr="00D873C9" w14:paraId="4961A517" w14:textId="77777777">
        <w:trPr>
          <w:cantSplit/>
          <w:jc w:val="center"/>
        </w:trPr>
        <w:tc>
          <w:tcPr>
            <w:tcW w:w="2965" w:type="dxa"/>
          </w:tcPr>
          <w:p w:rsidRPr="00B365B3" w:rsidR="0097022D" w:rsidP="00D873C9" w:rsidRDefault="0097022D" w14:paraId="797002A7" w14:textId="77777777">
            <w:pPr>
              <w:spacing w:line="240" w:lineRule="auto"/>
              <w:ind w:firstLine="0"/>
              <w:rPr>
                <w:sz w:val="22"/>
              </w:rPr>
            </w:pPr>
            <w:r w:rsidRPr="00B365B3">
              <w:rPr>
                <w:sz w:val="22"/>
              </w:rPr>
              <w:t>CTC</w:t>
            </w:r>
          </w:p>
        </w:tc>
        <w:tc>
          <w:tcPr>
            <w:tcW w:w="2340" w:type="dxa"/>
          </w:tcPr>
          <w:p w:rsidRPr="00B365B3" w:rsidR="0097022D" w:rsidP="00D873C9" w:rsidRDefault="0097022D" w14:paraId="5922C211" w14:textId="4533065D">
            <w:pPr>
              <w:spacing w:line="240" w:lineRule="auto"/>
              <w:ind w:firstLine="0"/>
              <w:jc w:val="center"/>
              <w:rPr>
                <w:sz w:val="22"/>
              </w:rPr>
            </w:pPr>
            <w:r w:rsidRPr="00B365B3">
              <w:rPr>
                <w:sz w:val="22"/>
              </w:rPr>
              <w:t>$</w:t>
            </w:r>
            <w:r w:rsidR="007B1644">
              <w:rPr>
                <w:sz w:val="22"/>
              </w:rPr>
              <w:t>2</w:t>
            </w:r>
            <w:r w:rsidRPr="00B365B3">
              <w:rPr>
                <w:sz w:val="22"/>
              </w:rPr>
              <w:t>.</w:t>
            </w:r>
            <w:r w:rsidR="007B1644">
              <w:rPr>
                <w:sz w:val="22"/>
              </w:rPr>
              <w:t>3</w:t>
            </w:r>
          </w:p>
        </w:tc>
        <w:tc>
          <w:tcPr>
            <w:tcW w:w="2160" w:type="dxa"/>
          </w:tcPr>
          <w:p w:rsidRPr="00B365B3" w:rsidR="0097022D" w:rsidP="00D873C9" w:rsidRDefault="0097022D" w14:paraId="257BFAB1" w14:textId="7FFF8E1A">
            <w:pPr>
              <w:spacing w:line="240" w:lineRule="auto"/>
              <w:ind w:firstLine="0"/>
              <w:jc w:val="center"/>
              <w:rPr>
                <w:sz w:val="22"/>
              </w:rPr>
            </w:pPr>
            <w:r w:rsidRPr="00B365B3">
              <w:rPr>
                <w:sz w:val="22"/>
              </w:rPr>
              <w:t>$</w:t>
            </w:r>
            <w:r w:rsidR="00684215">
              <w:rPr>
                <w:sz w:val="22"/>
              </w:rPr>
              <w:t>0</w:t>
            </w:r>
            <w:r w:rsidRPr="00B365B3">
              <w:rPr>
                <w:sz w:val="22"/>
              </w:rPr>
              <w:t>.</w:t>
            </w:r>
            <w:r w:rsidR="00684215">
              <w:rPr>
                <w:sz w:val="22"/>
              </w:rPr>
              <w:t>5</w:t>
            </w:r>
          </w:p>
        </w:tc>
        <w:tc>
          <w:tcPr>
            <w:tcW w:w="2105" w:type="dxa"/>
          </w:tcPr>
          <w:p w:rsidRPr="00B365B3" w:rsidR="0097022D" w:rsidP="00D873C9" w:rsidRDefault="00A35CCD" w14:paraId="204D1D16" w14:textId="3CC45312">
            <w:pPr>
              <w:spacing w:line="240" w:lineRule="auto"/>
              <w:ind w:firstLine="0"/>
              <w:jc w:val="center"/>
              <w:rPr>
                <w:sz w:val="22"/>
              </w:rPr>
            </w:pPr>
            <w:r>
              <w:rPr>
                <w:sz w:val="22"/>
              </w:rPr>
              <w:t>$0.5</w:t>
            </w:r>
          </w:p>
        </w:tc>
      </w:tr>
      <w:tr w:rsidRPr="00B365B3" w:rsidR="0097022D" w:rsidTr="00D873C9" w14:paraId="2F07426F" w14:textId="77777777">
        <w:trPr>
          <w:cantSplit/>
          <w:jc w:val="center"/>
        </w:trPr>
        <w:tc>
          <w:tcPr>
            <w:tcW w:w="2965" w:type="dxa"/>
          </w:tcPr>
          <w:p w:rsidRPr="000206D2" w:rsidR="0097022D" w:rsidP="00D873C9" w:rsidRDefault="0097022D" w14:paraId="420743DD" w14:textId="77777777">
            <w:pPr>
              <w:spacing w:line="240" w:lineRule="auto"/>
              <w:ind w:firstLine="0"/>
              <w:rPr>
                <w:sz w:val="22"/>
              </w:rPr>
            </w:pPr>
            <w:bookmarkStart w:name="_Hlk212371399" w:id="19"/>
            <w:r w:rsidRPr="000206D2">
              <w:rPr>
                <w:sz w:val="22"/>
              </w:rPr>
              <w:t>LG</w:t>
            </w:r>
          </w:p>
        </w:tc>
        <w:tc>
          <w:tcPr>
            <w:tcW w:w="2340" w:type="dxa"/>
          </w:tcPr>
          <w:p w:rsidRPr="00B365B3" w:rsidR="0097022D" w:rsidP="00D873C9" w:rsidRDefault="0097022D" w14:paraId="2BC34D54" w14:textId="261CEC82">
            <w:pPr>
              <w:spacing w:line="240" w:lineRule="auto"/>
              <w:ind w:firstLine="0"/>
              <w:jc w:val="center"/>
              <w:rPr>
                <w:sz w:val="22"/>
              </w:rPr>
            </w:pPr>
            <w:r w:rsidRPr="00B365B3">
              <w:rPr>
                <w:sz w:val="22"/>
              </w:rPr>
              <w:t>$</w:t>
            </w:r>
            <w:r w:rsidR="007B1644">
              <w:rPr>
                <w:sz w:val="22"/>
              </w:rPr>
              <w:t>192.1</w:t>
            </w:r>
          </w:p>
        </w:tc>
        <w:tc>
          <w:tcPr>
            <w:tcW w:w="2160" w:type="dxa"/>
          </w:tcPr>
          <w:p w:rsidRPr="00B365B3" w:rsidR="0097022D" w:rsidP="00D873C9" w:rsidRDefault="0097022D" w14:paraId="7E7A5366" w14:textId="3E6D9CD1">
            <w:pPr>
              <w:spacing w:line="240" w:lineRule="auto"/>
              <w:ind w:firstLine="0"/>
              <w:jc w:val="center"/>
              <w:rPr>
                <w:sz w:val="22"/>
              </w:rPr>
            </w:pPr>
            <w:r w:rsidRPr="00B365B3">
              <w:rPr>
                <w:sz w:val="22"/>
              </w:rPr>
              <w:t>$2</w:t>
            </w:r>
            <w:r w:rsidR="00684215">
              <w:rPr>
                <w:sz w:val="22"/>
              </w:rPr>
              <w:t>02.7</w:t>
            </w:r>
          </w:p>
        </w:tc>
        <w:tc>
          <w:tcPr>
            <w:tcW w:w="2105" w:type="dxa"/>
          </w:tcPr>
          <w:p w:rsidRPr="00B365B3" w:rsidR="0097022D" w:rsidP="00D873C9" w:rsidRDefault="00A35CCD" w14:paraId="35DE5FA0" w14:textId="465AC44C">
            <w:pPr>
              <w:spacing w:line="240" w:lineRule="auto"/>
              <w:ind w:firstLine="0"/>
              <w:jc w:val="center"/>
              <w:rPr>
                <w:sz w:val="22"/>
              </w:rPr>
            </w:pPr>
            <w:r>
              <w:rPr>
                <w:sz w:val="22"/>
              </w:rPr>
              <w:t>$247.1</w:t>
            </w:r>
          </w:p>
        </w:tc>
      </w:tr>
      <w:tr w:rsidRPr="00B365B3" w:rsidR="0097022D" w:rsidTr="00D873C9" w14:paraId="20733F4F" w14:textId="77777777">
        <w:trPr>
          <w:cantSplit/>
          <w:jc w:val="center"/>
        </w:trPr>
        <w:tc>
          <w:tcPr>
            <w:tcW w:w="2965" w:type="dxa"/>
          </w:tcPr>
          <w:p w:rsidRPr="000206D2" w:rsidR="0097022D" w:rsidP="00D873C9" w:rsidRDefault="0097022D" w14:paraId="448C76D6" w14:textId="3D0589AD">
            <w:pPr>
              <w:spacing w:line="240" w:lineRule="auto"/>
              <w:ind w:firstLine="0"/>
              <w:rPr>
                <w:sz w:val="22"/>
              </w:rPr>
            </w:pPr>
            <w:bookmarkStart w:name="_Hlk212371593" w:id="20"/>
            <w:bookmarkEnd w:id="19"/>
            <w:r w:rsidRPr="000206D2">
              <w:rPr>
                <w:sz w:val="22"/>
              </w:rPr>
              <w:t>202</w:t>
            </w:r>
            <w:r w:rsidRPr="000206D2" w:rsidR="007B1644">
              <w:rPr>
                <w:sz w:val="22"/>
              </w:rPr>
              <w:t>5</w:t>
            </w:r>
            <w:r w:rsidRPr="000206D2">
              <w:rPr>
                <w:sz w:val="22"/>
              </w:rPr>
              <w:t xml:space="preserve"> LGBA Balance</w:t>
            </w:r>
          </w:p>
        </w:tc>
        <w:tc>
          <w:tcPr>
            <w:tcW w:w="2340" w:type="dxa"/>
          </w:tcPr>
          <w:p w:rsidRPr="00B365B3" w:rsidR="0097022D" w:rsidP="00D873C9" w:rsidRDefault="007B1644" w14:paraId="5BB7D9C4" w14:textId="06372043">
            <w:pPr>
              <w:spacing w:line="240" w:lineRule="auto"/>
              <w:ind w:firstLine="0"/>
              <w:jc w:val="center"/>
              <w:rPr>
                <w:sz w:val="22"/>
              </w:rPr>
            </w:pPr>
            <w:r>
              <w:rPr>
                <w:sz w:val="22"/>
              </w:rPr>
              <w:t>(</w:t>
            </w:r>
            <w:r w:rsidRPr="00B365B3" w:rsidR="0097022D">
              <w:rPr>
                <w:sz w:val="22"/>
              </w:rPr>
              <w:t>$</w:t>
            </w:r>
            <w:r>
              <w:rPr>
                <w:sz w:val="22"/>
              </w:rPr>
              <w:t>82.5)</w:t>
            </w:r>
          </w:p>
        </w:tc>
        <w:tc>
          <w:tcPr>
            <w:tcW w:w="2160" w:type="dxa"/>
          </w:tcPr>
          <w:p w:rsidRPr="00B365B3" w:rsidR="0097022D" w:rsidP="00D873C9" w:rsidRDefault="0097022D" w14:paraId="372A0EDE" w14:textId="7DE44D79">
            <w:pPr>
              <w:spacing w:line="240" w:lineRule="auto"/>
              <w:ind w:firstLine="0"/>
              <w:jc w:val="center"/>
              <w:rPr>
                <w:sz w:val="22"/>
              </w:rPr>
            </w:pPr>
            <w:r w:rsidRPr="00B365B3">
              <w:rPr>
                <w:sz w:val="22"/>
              </w:rPr>
              <w:t>($</w:t>
            </w:r>
            <w:r w:rsidR="00684215">
              <w:rPr>
                <w:sz w:val="22"/>
              </w:rPr>
              <w:t>1</w:t>
            </w:r>
            <w:r w:rsidRPr="00B365B3">
              <w:rPr>
                <w:sz w:val="22"/>
              </w:rPr>
              <w:t>5</w:t>
            </w:r>
            <w:r w:rsidR="00684215">
              <w:rPr>
                <w:sz w:val="22"/>
              </w:rPr>
              <w:t>5</w:t>
            </w:r>
            <w:r w:rsidRPr="00B365B3">
              <w:rPr>
                <w:sz w:val="22"/>
              </w:rPr>
              <w:t>.</w:t>
            </w:r>
            <w:r w:rsidR="00684215">
              <w:rPr>
                <w:sz w:val="22"/>
              </w:rPr>
              <w:t>1</w:t>
            </w:r>
            <w:r w:rsidRPr="00B365B3">
              <w:rPr>
                <w:sz w:val="22"/>
              </w:rPr>
              <w:t>)</w:t>
            </w:r>
          </w:p>
        </w:tc>
        <w:tc>
          <w:tcPr>
            <w:tcW w:w="2105" w:type="dxa"/>
          </w:tcPr>
          <w:p w:rsidRPr="00B365B3" w:rsidR="0097022D" w:rsidP="00D873C9" w:rsidRDefault="00A35CCD" w14:paraId="63892C3E" w14:textId="14E03BDA">
            <w:pPr>
              <w:spacing w:line="240" w:lineRule="auto"/>
              <w:ind w:firstLine="0"/>
              <w:jc w:val="center"/>
              <w:rPr>
                <w:sz w:val="22"/>
              </w:rPr>
            </w:pPr>
            <w:r>
              <w:rPr>
                <w:sz w:val="22"/>
              </w:rPr>
              <w:t>($101.0)</w:t>
            </w:r>
          </w:p>
        </w:tc>
      </w:tr>
      <w:bookmarkEnd w:id="20"/>
      <w:tr w:rsidRPr="00B365B3" w:rsidR="0097022D" w:rsidTr="00D873C9" w14:paraId="33328D2D" w14:textId="77777777">
        <w:trPr>
          <w:cantSplit/>
          <w:jc w:val="center"/>
        </w:trPr>
        <w:tc>
          <w:tcPr>
            <w:tcW w:w="2965" w:type="dxa"/>
          </w:tcPr>
          <w:p w:rsidRPr="006B423D" w:rsidR="0097022D" w:rsidP="00D873C9" w:rsidRDefault="0097022D" w14:paraId="12F72C21" w14:textId="77777777">
            <w:pPr>
              <w:spacing w:line="240" w:lineRule="auto"/>
              <w:ind w:firstLine="0"/>
              <w:rPr>
                <w:color w:val="FF0000"/>
                <w:sz w:val="22"/>
              </w:rPr>
            </w:pPr>
            <w:r w:rsidRPr="007A0EF8">
              <w:rPr>
                <w:sz w:val="22"/>
              </w:rPr>
              <w:t>MCAM</w:t>
            </w:r>
          </w:p>
        </w:tc>
        <w:tc>
          <w:tcPr>
            <w:tcW w:w="2340" w:type="dxa"/>
          </w:tcPr>
          <w:p w:rsidRPr="00B365B3" w:rsidR="0097022D" w:rsidP="00D873C9" w:rsidRDefault="0097022D" w14:paraId="2F64A835" w14:textId="4A8FE354">
            <w:pPr>
              <w:spacing w:line="240" w:lineRule="auto"/>
              <w:ind w:firstLine="0"/>
              <w:jc w:val="center"/>
              <w:rPr>
                <w:sz w:val="22"/>
              </w:rPr>
            </w:pPr>
            <w:r w:rsidRPr="00B365B3">
              <w:rPr>
                <w:sz w:val="22"/>
              </w:rPr>
              <w:t>$0</w:t>
            </w:r>
            <w:r w:rsidR="007B1644">
              <w:rPr>
                <w:sz w:val="22"/>
              </w:rPr>
              <w:t>.1</w:t>
            </w:r>
          </w:p>
        </w:tc>
        <w:tc>
          <w:tcPr>
            <w:tcW w:w="2160" w:type="dxa"/>
          </w:tcPr>
          <w:p w:rsidRPr="00B365B3" w:rsidR="0097022D" w:rsidP="00D873C9" w:rsidRDefault="0097022D" w14:paraId="4395D843" w14:textId="06009310">
            <w:pPr>
              <w:spacing w:line="240" w:lineRule="auto"/>
              <w:ind w:firstLine="0"/>
              <w:jc w:val="center"/>
              <w:rPr>
                <w:sz w:val="22"/>
              </w:rPr>
            </w:pPr>
            <w:r w:rsidRPr="00B365B3">
              <w:rPr>
                <w:sz w:val="22"/>
              </w:rPr>
              <w:t>$0.</w:t>
            </w:r>
            <w:r w:rsidR="00684215">
              <w:rPr>
                <w:sz w:val="22"/>
              </w:rPr>
              <w:t>1</w:t>
            </w:r>
          </w:p>
        </w:tc>
        <w:tc>
          <w:tcPr>
            <w:tcW w:w="2105" w:type="dxa"/>
          </w:tcPr>
          <w:p w:rsidRPr="00B365B3" w:rsidR="0097022D" w:rsidP="00D873C9" w:rsidRDefault="00A35CCD" w14:paraId="66966877" w14:textId="339CCA9D">
            <w:pPr>
              <w:spacing w:line="240" w:lineRule="auto"/>
              <w:ind w:firstLine="0"/>
              <w:jc w:val="center"/>
              <w:rPr>
                <w:sz w:val="22"/>
              </w:rPr>
            </w:pPr>
            <w:r>
              <w:rPr>
                <w:sz w:val="22"/>
              </w:rPr>
              <w:t>$0.3</w:t>
            </w:r>
          </w:p>
        </w:tc>
      </w:tr>
      <w:tr w:rsidRPr="00B365B3" w:rsidR="0097022D" w:rsidTr="00D873C9" w14:paraId="40988212" w14:textId="77777777">
        <w:trPr>
          <w:cantSplit/>
          <w:jc w:val="center"/>
        </w:trPr>
        <w:tc>
          <w:tcPr>
            <w:tcW w:w="2965" w:type="dxa"/>
          </w:tcPr>
          <w:p w:rsidRPr="00D51AB9" w:rsidR="0097022D" w:rsidP="00D873C9" w:rsidRDefault="0097022D" w14:paraId="355EB910" w14:textId="35DB4D9B">
            <w:pPr>
              <w:spacing w:line="240" w:lineRule="auto"/>
              <w:ind w:firstLine="0"/>
              <w:rPr>
                <w:sz w:val="22"/>
              </w:rPr>
            </w:pPr>
            <w:r w:rsidRPr="00D51AB9">
              <w:rPr>
                <w:sz w:val="22"/>
              </w:rPr>
              <w:t>SDCP DAC-GT</w:t>
            </w:r>
          </w:p>
        </w:tc>
        <w:tc>
          <w:tcPr>
            <w:tcW w:w="2340" w:type="dxa"/>
          </w:tcPr>
          <w:p w:rsidRPr="00B365B3" w:rsidR="0097022D" w:rsidP="00D873C9" w:rsidRDefault="0097022D" w14:paraId="0DEE59C1" w14:textId="5B912ADA">
            <w:pPr>
              <w:spacing w:line="240" w:lineRule="auto"/>
              <w:ind w:firstLine="0"/>
              <w:jc w:val="center"/>
              <w:rPr>
                <w:sz w:val="22"/>
              </w:rPr>
            </w:pPr>
            <w:r w:rsidRPr="00B365B3">
              <w:rPr>
                <w:sz w:val="22"/>
              </w:rPr>
              <w:t>$0</w:t>
            </w:r>
          </w:p>
        </w:tc>
        <w:tc>
          <w:tcPr>
            <w:tcW w:w="2160" w:type="dxa"/>
          </w:tcPr>
          <w:p w:rsidRPr="00B365B3" w:rsidR="0097022D" w:rsidP="00D873C9" w:rsidRDefault="0097022D" w14:paraId="0BF60AC5" w14:textId="05C7B082">
            <w:pPr>
              <w:spacing w:line="240" w:lineRule="auto"/>
              <w:ind w:firstLine="0"/>
              <w:jc w:val="center"/>
              <w:rPr>
                <w:sz w:val="22"/>
              </w:rPr>
            </w:pPr>
            <w:r w:rsidRPr="00B365B3">
              <w:rPr>
                <w:sz w:val="22"/>
              </w:rPr>
              <w:t>$0</w:t>
            </w:r>
          </w:p>
        </w:tc>
        <w:tc>
          <w:tcPr>
            <w:tcW w:w="2105" w:type="dxa"/>
          </w:tcPr>
          <w:p w:rsidRPr="00B365B3" w:rsidR="0097022D" w:rsidP="00D873C9" w:rsidRDefault="00A35CCD" w14:paraId="7907F03E" w14:textId="5AAE1F60">
            <w:pPr>
              <w:spacing w:line="240" w:lineRule="auto"/>
              <w:ind w:firstLine="0"/>
              <w:jc w:val="center"/>
              <w:rPr>
                <w:sz w:val="22"/>
              </w:rPr>
            </w:pPr>
            <w:r>
              <w:rPr>
                <w:sz w:val="22"/>
              </w:rPr>
              <w:t>$0</w:t>
            </w:r>
          </w:p>
        </w:tc>
      </w:tr>
      <w:tr w:rsidRPr="00B365B3" w:rsidR="0097022D" w:rsidTr="00D873C9" w14:paraId="06D89F67" w14:textId="77777777">
        <w:trPr>
          <w:cantSplit/>
          <w:jc w:val="center"/>
        </w:trPr>
        <w:tc>
          <w:tcPr>
            <w:tcW w:w="2965" w:type="dxa"/>
          </w:tcPr>
          <w:p w:rsidRPr="00B365B3" w:rsidR="0097022D" w:rsidP="00D873C9" w:rsidRDefault="0097022D" w14:paraId="35C2B6A5" w14:textId="77777777">
            <w:pPr>
              <w:spacing w:line="240" w:lineRule="auto"/>
              <w:ind w:firstLine="0"/>
              <w:rPr>
                <w:sz w:val="22"/>
              </w:rPr>
            </w:pPr>
            <w:r w:rsidRPr="00B365B3">
              <w:rPr>
                <w:sz w:val="22"/>
              </w:rPr>
              <w:t>BioM</w:t>
            </w:r>
            <w:r>
              <w:rPr>
                <w:sz w:val="22"/>
              </w:rPr>
              <w:t>AT</w:t>
            </w:r>
          </w:p>
        </w:tc>
        <w:tc>
          <w:tcPr>
            <w:tcW w:w="2340" w:type="dxa"/>
          </w:tcPr>
          <w:p w:rsidRPr="00B365B3" w:rsidR="0097022D" w:rsidP="00D873C9" w:rsidRDefault="0097022D" w14:paraId="09E5A412" w14:textId="77777777">
            <w:pPr>
              <w:spacing w:line="240" w:lineRule="auto"/>
              <w:ind w:firstLine="0"/>
              <w:jc w:val="center"/>
              <w:rPr>
                <w:sz w:val="22"/>
              </w:rPr>
            </w:pPr>
            <w:r w:rsidRPr="00B365B3">
              <w:rPr>
                <w:sz w:val="22"/>
              </w:rPr>
              <w:t>$0</w:t>
            </w:r>
          </w:p>
        </w:tc>
        <w:tc>
          <w:tcPr>
            <w:tcW w:w="2160" w:type="dxa"/>
          </w:tcPr>
          <w:p w:rsidRPr="00B365B3" w:rsidR="0097022D" w:rsidP="00D873C9" w:rsidRDefault="0097022D" w14:paraId="49D40EFF" w14:textId="77777777">
            <w:pPr>
              <w:spacing w:line="240" w:lineRule="auto"/>
              <w:ind w:firstLine="0"/>
              <w:jc w:val="center"/>
              <w:rPr>
                <w:sz w:val="22"/>
              </w:rPr>
            </w:pPr>
            <w:r w:rsidRPr="00B365B3">
              <w:rPr>
                <w:sz w:val="22"/>
              </w:rPr>
              <w:t>$0</w:t>
            </w:r>
          </w:p>
        </w:tc>
        <w:tc>
          <w:tcPr>
            <w:tcW w:w="2105" w:type="dxa"/>
          </w:tcPr>
          <w:p w:rsidRPr="00B365B3" w:rsidR="0097022D" w:rsidP="00D873C9" w:rsidRDefault="00A35CCD" w14:paraId="675018E9" w14:textId="5F1B6653">
            <w:pPr>
              <w:spacing w:line="240" w:lineRule="auto"/>
              <w:ind w:firstLine="0"/>
              <w:jc w:val="center"/>
              <w:rPr>
                <w:sz w:val="22"/>
              </w:rPr>
            </w:pPr>
            <w:r>
              <w:rPr>
                <w:sz w:val="22"/>
              </w:rPr>
              <w:t>$0</w:t>
            </w:r>
          </w:p>
        </w:tc>
      </w:tr>
      <w:tr w:rsidRPr="00B365B3" w:rsidR="0097022D" w:rsidTr="00D873C9" w14:paraId="11A00E35" w14:textId="77777777">
        <w:trPr>
          <w:cantSplit/>
          <w:jc w:val="center"/>
        </w:trPr>
        <w:tc>
          <w:tcPr>
            <w:tcW w:w="2965" w:type="dxa"/>
          </w:tcPr>
          <w:p w:rsidRPr="00B365B3" w:rsidR="0097022D" w:rsidP="00D873C9" w:rsidRDefault="0097022D" w14:paraId="3F67F674" w14:textId="77777777">
            <w:pPr>
              <w:spacing w:line="240" w:lineRule="auto"/>
              <w:ind w:firstLine="0"/>
              <w:rPr>
                <w:color w:val="FF0000"/>
                <w:sz w:val="22"/>
              </w:rPr>
            </w:pPr>
            <w:r w:rsidRPr="005A3C70">
              <w:rPr>
                <w:sz w:val="22"/>
              </w:rPr>
              <w:t>GHG Revenues for Return</w:t>
            </w:r>
            <w:r w:rsidRPr="00B365B3">
              <w:rPr>
                <w:sz w:val="22"/>
                <w:vertAlign w:val="superscript"/>
              </w:rPr>
              <w:footnoteReference w:id="16"/>
            </w:r>
          </w:p>
        </w:tc>
        <w:tc>
          <w:tcPr>
            <w:tcW w:w="2340" w:type="dxa"/>
          </w:tcPr>
          <w:p w:rsidRPr="00B365B3" w:rsidR="0097022D" w:rsidP="00D873C9" w:rsidRDefault="0097022D" w14:paraId="12669749" w14:textId="76114176">
            <w:pPr>
              <w:spacing w:line="240" w:lineRule="auto"/>
              <w:ind w:firstLine="0"/>
              <w:jc w:val="center"/>
              <w:rPr>
                <w:color w:val="FF0000"/>
                <w:sz w:val="22"/>
              </w:rPr>
            </w:pPr>
            <w:r w:rsidRPr="00B365B3">
              <w:rPr>
                <w:sz w:val="22"/>
              </w:rPr>
              <w:t>($2</w:t>
            </w:r>
            <w:r w:rsidR="00602965">
              <w:rPr>
                <w:sz w:val="22"/>
              </w:rPr>
              <w:t>49.4</w:t>
            </w:r>
            <w:r w:rsidRPr="00B365B3">
              <w:rPr>
                <w:sz w:val="22"/>
              </w:rPr>
              <w:t>)</w:t>
            </w:r>
          </w:p>
        </w:tc>
        <w:tc>
          <w:tcPr>
            <w:tcW w:w="2160" w:type="dxa"/>
          </w:tcPr>
          <w:p w:rsidRPr="00B365B3" w:rsidR="0097022D" w:rsidP="00D873C9" w:rsidRDefault="0097022D" w14:paraId="04C68884" w14:textId="1045E4B3">
            <w:pPr>
              <w:spacing w:line="240" w:lineRule="auto"/>
              <w:ind w:firstLine="0"/>
              <w:jc w:val="center"/>
              <w:rPr>
                <w:color w:val="FF0000"/>
                <w:sz w:val="22"/>
              </w:rPr>
            </w:pPr>
            <w:r w:rsidRPr="00B365B3">
              <w:rPr>
                <w:sz w:val="22"/>
              </w:rPr>
              <w:t>($</w:t>
            </w:r>
            <w:r w:rsidR="00684215">
              <w:rPr>
                <w:sz w:val="22"/>
              </w:rPr>
              <w:t>165.2</w:t>
            </w:r>
            <w:r w:rsidRPr="00B365B3">
              <w:rPr>
                <w:sz w:val="22"/>
              </w:rPr>
              <w:t>)</w:t>
            </w:r>
          </w:p>
        </w:tc>
        <w:tc>
          <w:tcPr>
            <w:tcW w:w="2105" w:type="dxa"/>
          </w:tcPr>
          <w:p w:rsidRPr="00B365B3" w:rsidR="0097022D" w:rsidP="00D873C9" w:rsidRDefault="00A35CCD" w14:paraId="4F6FDDE2" w14:textId="2F39B91C">
            <w:pPr>
              <w:spacing w:line="240" w:lineRule="auto"/>
              <w:ind w:firstLine="0"/>
              <w:jc w:val="center"/>
              <w:rPr>
                <w:color w:val="FF0000"/>
                <w:sz w:val="22"/>
              </w:rPr>
            </w:pPr>
            <w:r w:rsidRPr="00A35CCD">
              <w:rPr>
                <w:sz w:val="22"/>
              </w:rPr>
              <w:t>($152.7)</w:t>
            </w:r>
          </w:p>
        </w:tc>
      </w:tr>
      <w:tr w:rsidRPr="00B365B3" w:rsidR="0097022D" w:rsidTr="00D873C9" w14:paraId="12B2F26F" w14:textId="77777777">
        <w:trPr>
          <w:cantSplit/>
          <w:jc w:val="center"/>
        </w:trPr>
        <w:tc>
          <w:tcPr>
            <w:tcW w:w="2965" w:type="dxa"/>
          </w:tcPr>
          <w:p w:rsidRPr="00B365B3" w:rsidR="0097022D" w:rsidP="00D873C9" w:rsidRDefault="0097022D" w14:paraId="444DB855" w14:textId="77777777">
            <w:pPr>
              <w:spacing w:line="240" w:lineRule="auto"/>
              <w:ind w:firstLine="0"/>
              <w:rPr>
                <w:sz w:val="22"/>
              </w:rPr>
            </w:pPr>
            <w:r w:rsidRPr="00B365B3">
              <w:rPr>
                <w:b/>
                <w:bCs/>
                <w:sz w:val="22"/>
              </w:rPr>
              <w:t>Total</w:t>
            </w:r>
          </w:p>
        </w:tc>
        <w:tc>
          <w:tcPr>
            <w:tcW w:w="2340" w:type="dxa"/>
          </w:tcPr>
          <w:p w:rsidRPr="00B365B3" w:rsidR="0097022D" w:rsidP="00D873C9" w:rsidRDefault="0097022D" w14:paraId="74A56DBE" w14:textId="7F80C693">
            <w:pPr>
              <w:spacing w:line="240" w:lineRule="auto"/>
              <w:ind w:firstLine="0"/>
              <w:jc w:val="center"/>
              <w:rPr>
                <w:b/>
                <w:bCs/>
                <w:sz w:val="22"/>
              </w:rPr>
            </w:pPr>
            <w:r w:rsidRPr="00B365B3">
              <w:rPr>
                <w:b/>
                <w:bCs/>
                <w:sz w:val="22"/>
              </w:rPr>
              <w:t>$</w:t>
            </w:r>
            <w:r w:rsidR="00602965">
              <w:rPr>
                <w:b/>
                <w:bCs/>
                <w:sz w:val="22"/>
              </w:rPr>
              <w:t>122.3</w:t>
            </w:r>
          </w:p>
        </w:tc>
        <w:tc>
          <w:tcPr>
            <w:tcW w:w="2160" w:type="dxa"/>
          </w:tcPr>
          <w:p w:rsidRPr="00B365B3" w:rsidR="0097022D" w:rsidP="00D873C9" w:rsidRDefault="0097022D" w14:paraId="096FFC33" w14:textId="5A398F60">
            <w:pPr>
              <w:spacing w:line="240" w:lineRule="auto"/>
              <w:ind w:firstLine="0"/>
              <w:jc w:val="center"/>
              <w:rPr>
                <w:b/>
                <w:bCs/>
                <w:sz w:val="22"/>
              </w:rPr>
            </w:pPr>
            <w:r w:rsidRPr="00B365B3">
              <w:rPr>
                <w:b/>
                <w:bCs/>
                <w:sz w:val="22"/>
              </w:rPr>
              <w:t>$</w:t>
            </w:r>
            <w:r w:rsidR="00684215">
              <w:rPr>
                <w:b/>
                <w:bCs/>
                <w:sz w:val="22"/>
              </w:rPr>
              <w:t>270.5</w:t>
            </w:r>
          </w:p>
        </w:tc>
        <w:tc>
          <w:tcPr>
            <w:tcW w:w="2105" w:type="dxa"/>
          </w:tcPr>
          <w:p w:rsidRPr="00B365B3" w:rsidR="0097022D" w:rsidP="00D873C9" w:rsidRDefault="00A35CCD" w14:paraId="282AF2D7" w14:textId="12C40768">
            <w:pPr>
              <w:spacing w:line="240" w:lineRule="auto"/>
              <w:ind w:firstLine="0"/>
              <w:jc w:val="center"/>
              <w:rPr>
                <w:b/>
                <w:bCs/>
                <w:sz w:val="22"/>
              </w:rPr>
            </w:pPr>
            <w:r>
              <w:rPr>
                <w:b/>
                <w:bCs/>
                <w:sz w:val="22"/>
              </w:rPr>
              <w:t>$824.1</w:t>
            </w:r>
          </w:p>
        </w:tc>
      </w:tr>
    </w:tbl>
    <w:p w:rsidR="002D09BF" w:rsidP="00A9785E" w:rsidRDefault="002D09BF" w14:paraId="03A91E15" w14:textId="6794C996">
      <w:pPr>
        <w:pStyle w:val="Standard"/>
        <w:spacing w:before="120"/>
      </w:pPr>
      <w:r>
        <w:t xml:space="preserve">As shown in the above table, the increase in the total revenue requirement forecast is largely due to increases in the forecasts for the 2026 PABA and the 2025 PABA year-end balance. These two components account for $556.7 million or more than the entirety of the forecast increase from the May application. Other notable changes </w:t>
      </w:r>
      <w:r w:rsidR="005F52E8">
        <w:t>are</w:t>
      </w:r>
      <w:r>
        <w:t xml:space="preserve"> the $100.9 million decrease in the ERRA forecast and the increases to the LG and LGBA year-end balance forecasts.</w:t>
      </w:r>
    </w:p>
    <w:p w:rsidRPr="000C19CA" w:rsidR="00684FD8" w:rsidP="00426F37" w:rsidRDefault="005939A5" w14:paraId="5B8B7047" w14:textId="4014E519">
      <w:pPr>
        <w:pStyle w:val="Heading1"/>
      </w:pPr>
      <w:bookmarkStart w:name="_Toc120015201" w:id="21"/>
      <w:bookmarkStart w:name="_Toc215581836" w:id="22"/>
      <w:r w:rsidRPr="000C19CA">
        <w:lastRenderedPageBreak/>
        <w:t>Issues Before the Commission</w:t>
      </w:r>
      <w:bookmarkEnd w:id="14"/>
      <w:bookmarkEnd w:id="15"/>
      <w:bookmarkEnd w:id="21"/>
      <w:bookmarkEnd w:id="22"/>
    </w:p>
    <w:p w:rsidR="00684FD8" w:rsidP="006E6574" w:rsidRDefault="00684FD8" w14:paraId="52916413" w14:textId="06058886">
      <w:pPr>
        <w:pStyle w:val="Standard"/>
      </w:pPr>
      <w:r w:rsidRPr="000C19CA">
        <w:t>As set forth in the assigned Commissioner’s Scoping Memo</w:t>
      </w:r>
      <w:r w:rsidR="00D0191C">
        <w:t>,</w:t>
      </w:r>
      <w:r w:rsidRPr="000C19CA">
        <w:t xml:space="preserve"> the issues in this proceeding are as follows:</w:t>
      </w:r>
    </w:p>
    <w:p w:rsidR="00391EE0" w:rsidP="00A9785E" w:rsidRDefault="00391EE0" w14:paraId="4BD9AA5C" w14:textId="1198EDBE">
      <w:pPr>
        <w:pStyle w:val="Standard"/>
        <w:spacing w:after="120" w:line="240" w:lineRule="auto"/>
        <w:ind w:left="1080" w:right="1440" w:hanging="360"/>
      </w:pPr>
      <w:r w:rsidRPr="00391EE0">
        <w:t>1.</w:t>
      </w:r>
      <w:r w:rsidRPr="00391EE0">
        <w:tab/>
        <w:t>Whether the Commission should approve SDG&amp;E’s total 2026 forecast revenue requirement and the amount of the 2026 Tree Mortality Non-Bypassable Charge forecast revenue requirement, to become effective in rates on January 1, 2026.</w:t>
      </w:r>
    </w:p>
    <w:p w:rsidRPr="00867ACD" w:rsidR="00867ACD" w:rsidP="00A9785E" w:rsidRDefault="00867ACD" w14:paraId="05F798C5" w14:textId="2B6B30D3">
      <w:pPr>
        <w:pStyle w:val="ListParagraph"/>
        <w:numPr>
          <w:ilvl w:val="0"/>
          <w:numId w:val="20"/>
        </w:numPr>
        <w:spacing w:after="120" w:line="240" w:lineRule="auto"/>
        <w:ind w:right="1440"/>
        <w:contextualSpacing w:val="0"/>
      </w:pPr>
      <w:r w:rsidRPr="00867ACD">
        <w:t xml:space="preserve">Whether the Commission should approve SDG&amp;E’s </w:t>
      </w:r>
      <w:r w:rsidR="00391EE0">
        <w:t>re</w:t>
      </w:r>
      <w:r w:rsidRPr="00867ACD">
        <w:t>venue requirement forecasts for the following:</w:t>
      </w:r>
    </w:p>
    <w:p w:rsidRPr="00867ACD" w:rsidR="00867ACD" w:rsidP="00A9785E" w:rsidRDefault="00867ACD" w14:paraId="06AC5EC3" w14:textId="77777777">
      <w:pPr>
        <w:numPr>
          <w:ilvl w:val="7"/>
          <w:numId w:val="14"/>
        </w:numPr>
        <w:spacing w:after="120" w:line="240" w:lineRule="auto"/>
        <w:ind w:left="1440" w:right="1440"/>
      </w:pPr>
      <w:r w:rsidRPr="00867ACD">
        <w:t xml:space="preserve">2026 ERRA revenue requirement and projected 2025 ERRA year-end balance; </w:t>
      </w:r>
    </w:p>
    <w:p w:rsidRPr="00867ACD" w:rsidR="00867ACD" w:rsidP="00A9785E" w:rsidRDefault="00867ACD" w14:paraId="1DBC243A" w14:textId="77777777">
      <w:pPr>
        <w:numPr>
          <w:ilvl w:val="7"/>
          <w:numId w:val="14"/>
        </w:numPr>
        <w:spacing w:after="120" w:line="240" w:lineRule="auto"/>
        <w:ind w:left="1440" w:right="1440"/>
      </w:pPr>
      <w:r w:rsidRPr="00867ACD">
        <w:t xml:space="preserve">2026 PABA revenue requirement and the projected 2025 PABA year-end balance; </w:t>
      </w:r>
    </w:p>
    <w:p w:rsidRPr="00867ACD" w:rsidR="00867ACD" w:rsidP="00A9785E" w:rsidRDefault="00867ACD" w14:paraId="55C68030" w14:textId="77777777">
      <w:pPr>
        <w:numPr>
          <w:ilvl w:val="7"/>
          <w:numId w:val="14"/>
        </w:numPr>
        <w:spacing w:after="120" w:line="240" w:lineRule="auto"/>
        <w:ind w:left="1440" w:right="1440"/>
      </w:pPr>
      <w:r w:rsidRPr="00867ACD">
        <w:t xml:space="preserve">2025 CTC revenue requirement; </w:t>
      </w:r>
    </w:p>
    <w:p w:rsidRPr="00867ACD" w:rsidR="00867ACD" w:rsidP="00A9785E" w:rsidRDefault="00867ACD" w14:paraId="3B309757" w14:textId="77777777">
      <w:pPr>
        <w:numPr>
          <w:ilvl w:val="7"/>
          <w:numId w:val="14"/>
        </w:numPr>
        <w:spacing w:after="120" w:line="240" w:lineRule="auto"/>
        <w:ind w:left="1440" w:right="1440"/>
      </w:pPr>
      <w:r w:rsidRPr="00867ACD">
        <w:t xml:space="preserve">2025 LG revenue requirement and projected 2025 LGBA year-end balance; </w:t>
      </w:r>
    </w:p>
    <w:p w:rsidRPr="00867ACD" w:rsidR="00867ACD" w:rsidP="00A9785E" w:rsidRDefault="00867ACD" w14:paraId="522ABFA4" w14:textId="77777777">
      <w:pPr>
        <w:numPr>
          <w:ilvl w:val="7"/>
          <w:numId w:val="14"/>
        </w:numPr>
        <w:spacing w:after="120" w:line="240" w:lineRule="auto"/>
        <w:ind w:left="1440" w:right="1440"/>
      </w:pPr>
      <w:r w:rsidRPr="00867ACD">
        <w:t xml:space="preserve">2026 MCAM revenue requirement; </w:t>
      </w:r>
    </w:p>
    <w:p w:rsidRPr="00867ACD" w:rsidR="00867ACD" w:rsidP="00A9785E" w:rsidRDefault="00867ACD" w14:paraId="4D06EB04" w14:textId="77777777">
      <w:pPr>
        <w:numPr>
          <w:ilvl w:val="7"/>
          <w:numId w:val="14"/>
        </w:numPr>
        <w:spacing w:after="120" w:line="240" w:lineRule="auto"/>
        <w:ind w:left="1440" w:right="1440"/>
      </w:pPr>
      <w:r w:rsidRPr="00867ACD">
        <w:t xml:space="preserve">2026 TMNBC revenue requirement; and </w:t>
      </w:r>
    </w:p>
    <w:p w:rsidRPr="00867ACD" w:rsidR="00867ACD" w:rsidP="00A9785E" w:rsidRDefault="00867ACD" w14:paraId="1D72DCA2" w14:textId="77777777">
      <w:pPr>
        <w:numPr>
          <w:ilvl w:val="7"/>
          <w:numId w:val="14"/>
        </w:numPr>
        <w:spacing w:after="120" w:line="240" w:lineRule="auto"/>
        <w:ind w:left="1440" w:right="1440"/>
      </w:pPr>
      <w:r w:rsidRPr="00867ACD">
        <w:t xml:space="preserve">2026 BioMat Non-Bypassable Charge Balancing Account revenue requirement. </w:t>
      </w:r>
    </w:p>
    <w:p w:rsidRPr="00867ACD" w:rsidR="00867ACD" w:rsidP="00A9785E" w:rsidRDefault="00867ACD" w14:paraId="5A870712" w14:textId="33D87675">
      <w:pPr>
        <w:pStyle w:val="ListParagraph"/>
        <w:numPr>
          <w:ilvl w:val="0"/>
          <w:numId w:val="20"/>
        </w:numPr>
        <w:spacing w:after="120" w:line="240" w:lineRule="auto"/>
        <w:ind w:right="1440"/>
        <w:contextualSpacing w:val="0"/>
      </w:pPr>
      <w:r w:rsidRPr="00867ACD">
        <w:t>Whether the Commission should approve SDG&amp;E to recover SDCP’s DAC-GT revenue requirement.</w:t>
      </w:r>
    </w:p>
    <w:p w:rsidRPr="00867ACD" w:rsidR="00867ACD" w:rsidP="00A9785E" w:rsidRDefault="00867ACD" w14:paraId="09271DAD" w14:textId="0421DEC0">
      <w:pPr>
        <w:numPr>
          <w:ilvl w:val="6"/>
          <w:numId w:val="0"/>
        </w:numPr>
        <w:spacing w:after="120" w:line="240" w:lineRule="auto"/>
        <w:ind w:left="1080" w:right="1440" w:hanging="360"/>
      </w:pPr>
      <w:r>
        <w:t>4.</w:t>
      </w:r>
      <w:r>
        <w:tab/>
      </w:r>
      <w:r w:rsidRPr="00867ACD">
        <w:t xml:space="preserve">Whether the Commission should approve SDG&amp;E’s 2026 forecasts of GHG revenues, revenue set-asides and returns and administrative expenses, which include: </w:t>
      </w:r>
    </w:p>
    <w:p w:rsidRPr="00867ACD" w:rsidR="00867ACD" w:rsidP="00A9785E" w:rsidRDefault="00867ACD" w14:paraId="3CAA2B0C" w14:textId="73E67C4F">
      <w:pPr>
        <w:pStyle w:val="ListParagraph"/>
        <w:numPr>
          <w:ilvl w:val="7"/>
          <w:numId w:val="17"/>
        </w:numPr>
        <w:spacing w:after="120" w:line="240" w:lineRule="auto"/>
        <w:ind w:right="1440" w:firstLine="0"/>
        <w:contextualSpacing w:val="0"/>
      </w:pPr>
      <w:r w:rsidRPr="00867ACD">
        <w:t xml:space="preserve">Forecast GHG allowance revenues; </w:t>
      </w:r>
    </w:p>
    <w:p w:rsidRPr="00867ACD" w:rsidR="00867ACD" w:rsidP="00A9785E" w:rsidRDefault="00867ACD" w14:paraId="674243D9" w14:textId="7A7DF90E">
      <w:pPr>
        <w:numPr>
          <w:ilvl w:val="7"/>
          <w:numId w:val="17"/>
        </w:numPr>
        <w:spacing w:after="120" w:line="240" w:lineRule="auto"/>
        <w:ind w:left="1440" w:right="1440"/>
      </w:pPr>
      <w:r w:rsidRPr="00867ACD">
        <w:t>Forecast set asides for clean energy/energy efficiency programs;</w:t>
      </w:r>
      <w:r w:rsidR="004A3A27">
        <w:t xml:space="preserve"> </w:t>
      </w:r>
    </w:p>
    <w:p w:rsidRPr="00867ACD" w:rsidR="00867ACD" w:rsidP="00A9785E" w:rsidRDefault="00867ACD" w14:paraId="7431C986" w14:textId="233830EC">
      <w:pPr>
        <w:numPr>
          <w:ilvl w:val="7"/>
          <w:numId w:val="17"/>
        </w:numPr>
        <w:spacing w:after="120" w:line="240" w:lineRule="auto"/>
        <w:ind w:left="1440" w:right="1440"/>
      </w:pPr>
      <w:r w:rsidRPr="00867ACD">
        <w:t>Forecast revenue returns to emissions intensive trade-exposed retail customers;</w:t>
      </w:r>
      <w:r w:rsidR="004A3A27">
        <w:t xml:space="preserve"> </w:t>
      </w:r>
    </w:p>
    <w:p w:rsidRPr="00867ACD" w:rsidR="00867ACD" w:rsidP="00A9785E" w:rsidRDefault="00867ACD" w14:paraId="350D16E3" w14:textId="77777777">
      <w:pPr>
        <w:numPr>
          <w:ilvl w:val="7"/>
          <w:numId w:val="17"/>
        </w:numPr>
        <w:spacing w:after="120" w:line="240" w:lineRule="auto"/>
        <w:ind w:left="1440" w:right="1440"/>
      </w:pPr>
      <w:r w:rsidRPr="00867ACD">
        <w:lastRenderedPageBreak/>
        <w:t xml:space="preserve"> GHG administration, customer education, and outreach plan costs; and</w:t>
      </w:r>
    </w:p>
    <w:p w:rsidRPr="00867ACD" w:rsidR="00867ACD" w:rsidP="00A9785E" w:rsidRDefault="00867ACD" w14:paraId="5233CA05" w14:textId="151F726F">
      <w:pPr>
        <w:numPr>
          <w:ilvl w:val="7"/>
          <w:numId w:val="17"/>
        </w:numPr>
        <w:spacing w:after="120" w:line="240" w:lineRule="auto"/>
        <w:ind w:left="1440" w:right="1440"/>
      </w:pPr>
      <w:r w:rsidRPr="00867ACD">
        <w:t>Forecast revenue returns to residential and small business customers via the California Climate Credit.</w:t>
      </w:r>
      <w:r w:rsidR="004A3A27">
        <w:t xml:space="preserve"> </w:t>
      </w:r>
      <w:r w:rsidRPr="00867ACD">
        <w:t xml:space="preserve"> </w:t>
      </w:r>
    </w:p>
    <w:p w:rsidRPr="00867ACD" w:rsidR="00867ACD" w:rsidP="00A9785E" w:rsidRDefault="00867ACD" w14:paraId="27DA0D91" w14:textId="34A6C012">
      <w:pPr>
        <w:numPr>
          <w:ilvl w:val="6"/>
          <w:numId w:val="0"/>
        </w:numPr>
        <w:spacing w:after="120" w:line="240" w:lineRule="auto"/>
        <w:ind w:left="1080" w:right="1440" w:hanging="360"/>
      </w:pPr>
      <w:r>
        <w:t>5.</w:t>
      </w:r>
      <w:r>
        <w:tab/>
      </w:r>
      <w:r w:rsidRPr="00867ACD">
        <w:t xml:space="preserve">Whether the Commission should approve SDG&amp;E’s proposed vintage PCIA in rates. </w:t>
      </w:r>
    </w:p>
    <w:p w:rsidRPr="00867ACD" w:rsidR="00867ACD" w:rsidP="00A9785E" w:rsidRDefault="00867ACD" w14:paraId="73472ECB" w14:textId="29CA92F7">
      <w:pPr>
        <w:numPr>
          <w:ilvl w:val="6"/>
          <w:numId w:val="0"/>
        </w:numPr>
        <w:spacing w:after="120" w:line="240" w:lineRule="auto"/>
        <w:ind w:left="1080" w:right="1440" w:hanging="360"/>
      </w:pPr>
      <w:r>
        <w:t>6.</w:t>
      </w:r>
      <w:r>
        <w:tab/>
      </w:r>
      <w:r w:rsidRPr="00867ACD">
        <w:t>Whether the Commission should approve SDG&amp;E’s proposed 2025 rate components for the GTSR Program.</w:t>
      </w:r>
      <w:r w:rsidR="004A3A27">
        <w:t xml:space="preserve"> </w:t>
      </w:r>
    </w:p>
    <w:p w:rsidRPr="00867ACD" w:rsidR="00867ACD" w:rsidP="00A9785E" w:rsidRDefault="00867ACD" w14:paraId="0CDB07A7" w14:textId="2DE1E95A">
      <w:pPr>
        <w:numPr>
          <w:ilvl w:val="6"/>
          <w:numId w:val="0"/>
        </w:numPr>
        <w:spacing w:after="120" w:line="240" w:lineRule="auto"/>
        <w:ind w:left="1080" w:right="1440" w:hanging="360"/>
      </w:pPr>
      <w:r>
        <w:t>7.</w:t>
      </w:r>
      <w:r>
        <w:tab/>
      </w:r>
      <w:r w:rsidRPr="00867ACD">
        <w:t>Whether the Commission should approve SDG&amp;E’s 2026 Electric Sales Forecast.</w:t>
      </w:r>
      <w:r w:rsidR="004A3A27">
        <w:t xml:space="preserve"> </w:t>
      </w:r>
    </w:p>
    <w:p w:rsidRPr="00867ACD" w:rsidR="00867ACD" w:rsidP="00A9785E" w:rsidRDefault="00867ACD" w14:paraId="49C14658" w14:textId="4B03DBE5">
      <w:pPr>
        <w:numPr>
          <w:ilvl w:val="6"/>
          <w:numId w:val="0"/>
        </w:numPr>
        <w:spacing w:after="120" w:line="240" w:lineRule="auto"/>
        <w:ind w:left="1080" w:right="1440" w:hanging="360"/>
      </w:pPr>
      <w:r>
        <w:t>8.</w:t>
      </w:r>
      <w:r>
        <w:tab/>
      </w:r>
      <w:r w:rsidRPr="00867ACD">
        <w:t>Other related matters.</w:t>
      </w:r>
    </w:p>
    <w:p w:rsidRPr="000C19CA" w:rsidR="004249FC" w:rsidP="00855898" w:rsidRDefault="004249FC" w14:paraId="6CAC739D" w14:textId="06CCE952">
      <w:pPr>
        <w:pStyle w:val="Heading1"/>
        <w:numPr>
          <w:ilvl w:val="0"/>
          <w:numId w:val="21"/>
        </w:numPr>
      </w:pPr>
      <w:bookmarkStart w:name="_Toc120015202" w:id="23"/>
      <w:bookmarkStart w:name="_Toc215581837" w:id="24"/>
      <w:r w:rsidRPr="000C19CA">
        <w:t>Comments from Intervenors</w:t>
      </w:r>
      <w:bookmarkEnd w:id="23"/>
      <w:bookmarkEnd w:id="24"/>
    </w:p>
    <w:p w:rsidRPr="000C19CA" w:rsidR="004C048A" w:rsidP="00855898" w:rsidRDefault="00E27CAF" w14:paraId="6AB08CD5" w14:textId="5780DDDE">
      <w:pPr>
        <w:pStyle w:val="Heading2"/>
        <w:numPr>
          <w:ilvl w:val="1"/>
          <w:numId w:val="21"/>
        </w:numPr>
      </w:pPr>
      <w:bookmarkStart w:name="_Toc120015203" w:id="25"/>
      <w:bookmarkStart w:name="_Toc215581838" w:id="26"/>
      <w:r>
        <w:t>Cal Advocates</w:t>
      </w:r>
      <w:bookmarkEnd w:id="25"/>
      <w:bookmarkEnd w:id="26"/>
    </w:p>
    <w:p w:rsidRPr="00855898" w:rsidR="0099720D" w:rsidP="004C048A" w:rsidRDefault="00E27CAF" w14:paraId="49F13BFB" w14:textId="7E12F439">
      <w:pPr>
        <w:pStyle w:val="Standard"/>
        <w:rPr>
          <w:color w:val="FF0000"/>
        </w:rPr>
      </w:pPr>
      <w:r w:rsidRPr="00E27CAF">
        <w:t>Cal Advocates states that SDG&amp;E</w:t>
      </w:r>
      <w:r>
        <w:t xml:space="preserve">’s October </w:t>
      </w:r>
      <w:r w:rsidR="00A50F4E">
        <w:t>u</w:t>
      </w:r>
      <w:r>
        <w:t>pdate should be based on the new benchmarks that were released by Energy Division on October 1, 202</w:t>
      </w:r>
      <w:r w:rsidR="00A50F4E">
        <w:t>5</w:t>
      </w:r>
      <w:r>
        <w:t>, pursuant to D.</w:t>
      </w:r>
      <w:r w:rsidR="00A610FE">
        <w:t>25-06-049.</w:t>
      </w:r>
      <w:r w:rsidRPr="00855898" w:rsidR="0099720D">
        <w:rPr>
          <w:color w:val="FF0000"/>
        </w:rPr>
        <w:t xml:space="preserve"> </w:t>
      </w:r>
    </w:p>
    <w:p w:rsidRPr="00100E71" w:rsidR="004C048A" w:rsidP="00855898" w:rsidRDefault="00532E37" w14:paraId="5E734F9F" w14:textId="51910C35">
      <w:pPr>
        <w:pStyle w:val="Heading2"/>
        <w:numPr>
          <w:ilvl w:val="1"/>
          <w:numId w:val="21"/>
        </w:numPr>
      </w:pPr>
      <w:bookmarkStart w:name="_Toc120015205" w:id="27"/>
      <w:bookmarkStart w:name="_Toc215581839" w:id="28"/>
      <w:r>
        <w:t>Joint CCAs</w:t>
      </w:r>
      <w:bookmarkEnd w:id="27"/>
      <w:bookmarkEnd w:id="28"/>
      <w:r w:rsidRPr="00100E71" w:rsidR="007B5467">
        <w:t xml:space="preserve"> </w:t>
      </w:r>
    </w:p>
    <w:p w:rsidR="008C0A40" w:rsidP="008C0A40" w:rsidRDefault="008C0A40" w14:paraId="00C716F6" w14:textId="134743AB">
      <w:pPr>
        <w:pStyle w:val="Standard"/>
      </w:pPr>
      <w:r>
        <w:t>The Joint CCAs argue that the Commission’s directive in D.25-06-049 to apply the new methodology to the Final 2025 Resource Adequacy (RA) MPB constitutes retroactive ratemaking and request that the Commission expeditiously grant the applications for rehearing of D.25-06-049.</w:t>
      </w:r>
    </w:p>
    <w:p w:rsidR="008C0A40" w:rsidP="008C0A40" w:rsidRDefault="008C0A40" w14:paraId="16189C2E" w14:textId="2AC99AE0">
      <w:pPr>
        <w:pStyle w:val="Standard"/>
      </w:pPr>
      <w:r>
        <w:t xml:space="preserve">The Joint CCAs also identified errors in the calculation of on and off-peak weighting percentages. These errors have been corrected in the October </w:t>
      </w:r>
      <w:r w:rsidR="00A50F4E">
        <w:t>u</w:t>
      </w:r>
      <w:r>
        <w:t>pdate. The Joint CCAs also raised issues concerning the use of pre-2019 banked renewable energy credits (RECs), noting in its Reply Brief that SDG&amp;E initially  indicated it does not need to use banked RECs to meet its 2026 RPS requirement in rebuttal testimony, and appears to have changed its position in its Opening Brief.</w:t>
      </w:r>
    </w:p>
    <w:p w:rsidRPr="002F3441" w:rsidR="00D3515F" w:rsidP="00D3515F" w:rsidRDefault="00D3515F" w14:paraId="5263E2F6" w14:textId="2C04B6AE">
      <w:pPr>
        <w:pStyle w:val="Standard"/>
      </w:pPr>
      <w:r>
        <w:lastRenderedPageBreak/>
        <w:t>In comments to the October update, the Joint CCAs state that SDG&amp;E should be required to credit the value of all banked RECs (including pre-2019 ba</w:t>
      </w:r>
      <w:r w:rsidR="00003205">
        <w:t>n</w:t>
      </w:r>
      <w:r>
        <w:t>ked RECs) to the PCIA vintage corresponding to the year in which those banked RECs were originally generated.</w:t>
      </w:r>
    </w:p>
    <w:p w:rsidRPr="000C19CA" w:rsidR="0073353F" w:rsidP="00855898" w:rsidRDefault="005939A5" w14:paraId="2948014D" w14:textId="1516FD57">
      <w:pPr>
        <w:pStyle w:val="Heading1"/>
        <w:numPr>
          <w:ilvl w:val="0"/>
          <w:numId w:val="21"/>
        </w:numPr>
      </w:pPr>
      <w:bookmarkStart w:name="_Toc120015206" w:id="29"/>
      <w:bookmarkStart w:name="_Toc215581840" w:id="30"/>
      <w:bookmarkStart w:name="_Toc8123720" w:id="31"/>
      <w:bookmarkStart w:name="_Toc12866689" w:id="32"/>
      <w:r w:rsidRPr="000C19CA">
        <w:t>Discussion</w:t>
      </w:r>
      <w:bookmarkEnd w:id="29"/>
      <w:bookmarkEnd w:id="30"/>
      <w:r w:rsidRPr="000C19CA">
        <w:t xml:space="preserve"> </w:t>
      </w:r>
      <w:bookmarkEnd w:id="31"/>
      <w:bookmarkEnd w:id="32"/>
    </w:p>
    <w:p w:rsidRPr="000C19CA" w:rsidR="004C048A" w:rsidP="00855898" w:rsidRDefault="004249FC" w14:paraId="08A1DC7F" w14:textId="7D45842D">
      <w:pPr>
        <w:pStyle w:val="Heading2"/>
        <w:numPr>
          <w:ilvl w:val="1"/>
          <w:numId w:val="21"/>
        </w:numPr>
      </w:pPr>
      <w:bookmarkStart w:name="_Toc120015207" w:id="33"/>
      <w:bookmarkStart w:name="_Toc215581841" w:id="34"/>
      <w:r w:rsidRPr="000C19CA">
        <w:t xml:space="preserve">ERRA </w:t>
      </w:r>
      <w:r w:rsidR="00142AE5">
        <w:t xml:space="preserve">Costs </w:t>
      </w:r>
      <w:r w:rsidRPr="000C19CA">
        <w:t>and 202</w:t>
      </w:r>
      <w:r w:rsidR="00682EA0">
        <w:t>5</w:t>
      </w:r>
      <w:r w:rsidRPr="000C19CA">
        <w:t xml:space="preserve"> Balance</w:t>
      </w:r>
      <w:bookmarkEnd w:id="33"/>
      <w:bookmarkEnd w:id="34"/>
      <w:r w:rsidRPr="000C19CA">
        <w:t xml:space="preserve"> </w:t>
      </w:r>
    </w:p>
    <w:p w:rsidRPr="00B365B3" w:rsidR="001E566A" w:rsidP="001E566A" w:rsidRDefault="001E566A" w14:paraId="1EB408A9" w14:textId="7F0CB586">
      <w:r w:rsidRPr="00102066">
        <w:t>SDG&amp;E’s updated forecast for its 2026 ERRA revenue requirement is $</w:t>
      </w:r>
      <w:r w:rsidRPr="00102066" w:rsidR="00102066">
        <w:t>382.0</w:t>
      </w:r>
      <w:r w:rsidRPr="00102066">
        <w:t xml:space="preserve"> million. By comparison</w:t>
      </w:r>
      <w:r w:rsidRPr="00B365B3">
        <w:t xml:space="preserve">, its current </w:t>
      </w:r>
      <w:r>
        <w:t xml:space="preserve">2025 </w:t>
      </w:r>
      <w:r w:rsidRPr="00B365B3">
        <w:t>ERRA revenue requirement is $</w:t>
      </w:r>
      <w:r>
        <w:t>459.0</w:t>
      </w:r>
      <w:r w:rsidRPr="00B365B3">
        <w:t> million. The ERRA provides full recovery of SDG&amp;E’s procurement costs, as well as GHG costs, associated with serving its bundled customers. These include expenses associated with California Independent System Operator (CAISO) such as energy and ancillary services load charges, CAISO revenues from utility generation and supply contracts, contract costs, generation fuel costs, and hedging costs.</w:t>
      </w:r>
      <w:r w:rsidRPr="00B365B3">
        <w:rPr>
          <w:vertAlign w:val="superscript"/>
        </w:rPr>
        <w:footnoteReference w:id="17"/>
      </w:r>
      <w:r w:rsidRPr="00B365B3">
        <w:t xml:space="preserve"> </w:t>
      </w:r>
    </w:p>
    <w:p w:rsidRPr="00B365B3" w:rsidR="001E566A" w:rsidP="001E566A" w:rsidRDefault="00470622" w14:paraId="7BBCEB6C" w14:textId="0ACBBE8A">
      <w:r w:rsidRPr="00470622">
        <w:t xml:space="preserve">SDG&amp;E explains its updated ERRA forecast in Exhibit SDGE 10C. </w:t>
      </w:r>
      <w:r w:rsidRPr="00B365B3" w:rsidR="001E566A">
        <w:t>The 202</w:t>
      </w:r>
      <w:r w:rsidR="001E566A">
        <w:t>6</w:t>
      </w:r>
      <w:r w:rsidRPr="00B365B3" w:rsidR="001E566A">
        <w:t> ERRA forecast is based on SDG&amp;E’s sales forecast and the projected amount of energy that SDG&amp;E’s bundled load customers will require in 202</w:t>
      </w:r>
      <w:r w:rsidR="001E566A">
        <w:t>6</w:t>
      </w:r>
      <w:r w:rsidRPr="00B365B3" w:rsidR="001E566A">
        <w:t xml:space="preserve">. SDG&amp;E then calculates the amount of energy it can generate and then determines the various energy contracts it must enter into to meet its energy requirements. </w:t>
      </w:r>
    </w:p>
    <w:p w:rsidRPr="008E2129" w:rsidR="001E566A" w:rsidP="001E566A" w:rsidRDefault="001E566A" w14:paraId="19A078A3" w14:textId="0A502281">
      <w:r w:rsidRPr="00B365B3">
        <w:t>SDG&amp;E’s initial forecast for ERRA was $4</w:t>
      </w:r>
      <w:r>
        <w:t>82</w:t>
      </w:r>
      <w:r w:rsidRPr="00B365B3">
        <w:t>.</w:t>
      </w:r>
      <w:r>
        <w:t>9</w:t>
      </w:r>
      <w:r w:rsidRPr="00B365B3">
        <w:t xml:space="preserve"> million. This forecast was prepared earlier </w:t>
      </w:r>
      <w:r w:rsidRPr="008E2129">
        <w:t>during the year and was adjusted to $</w:t>
      </w:r>
      <w:r w:rsidRPr="008E2129" w:rsidR="00102066">
        <w:t>382.0</w:t>
      </w:r>
      <w:r w:rsidRPr="008E2129">
        <w:t xml:space="preserve"> million in the October </w:t>
      </w:r>
      <w:r w:rsidRPr="008E2129" w:rsidR="00102066">
        <w:t>u</w:t>
      </w:r>
      <w:r w:rsidRPr="008E2129">
        <w:t xml:space="preserve">pdate. According to SDG&amp;E, the </w:t>
      </w:r>
      <w:r w:rsidRPr="008E2129" w:rsidR="00102066">
        <w:t xml:space="preserve">updated </w:t>
      </w:r>
      <w:r w:rsidRPr="008E2129">
        <w:t>ERRA revenue requirement</w:t>
      </w:r>
      <w:r w:rsidRPr="008E2129" w:rsidR="00102066">
        <w:t xml:space="preserve"> forecast</w:t>
      </w:r>
      <w:r w:rsidRPr="008E2129">
        <w:t xml:space="preserve"> </w:t>
      </w:r>
      <w:r w:rsidRPr="008E2129" w:rsidR="00102066">
        <w:t>decreased b</w:t>
      </w:r>
      <w:r w:rsidRPr="008E2129">
        <w:t>y approximately $</w:t>
      </w:r>
      <w:r w:rsidRPr="008E2129" w:rsidR="008E2129">
        <w:t xml:space="preserve">100.9 </w:t>
      </w:r>
      <w:r w:rsidRPr="008E2129">
        <w:t xml:space="preserve">million due to </w:t>
      </w:r>
      <w:r w:rsidRPr="008E2129" w:rsidR="00102066">
        <w:t xml:space="preserve">lower compliance costs resulting from the lower 2026 forecast RA and </w:t>
      </w:r>
      <w:r w:rsidR="007E5339">
        <w:t xml:space="preserve">renewable portfolio </w:t>
      </w:r>
      <w:r w:rsidR="007E5339">
        <w:lastRenderedPageBreak/>
        <w:t>standards (</w:t>
      </w:r>
      <w:r w:rsidRPr="008E2129" w:rsidR="00102066">
        <w:t>RPS</w:t>
      </w:r>
      <w:r w:rsidR="007E5339">
        <w:t>)</w:t>
      </w:r>
      <w:r w:rsidRPr="008E2129" w:rsidR="00102066">
        <w:t xml:space="preserve"> MPBs compared to the 2025 forecast MPBs used in the May application.</w:t>
      </w:r>
      <w:r w:rsidRPr="008E2129">
        <w:t xml:space="preserve"> </w:t>
      </w:r>
    </w:p>
    <w:p w:rsidRPr="00B365B3" w:rsidR="001E566A" w:rsidP="001E566A" w:rsidRDefault="001E566A" w14:paraId="3C40B5FE" w14:textId="2DFF4B7C">
      <w:r w:rsidRPr="00B365B3">
        <w:t xml:space="preserve">SDG&amp;E also projects to incur an </w:t>
      </w:r>
      <w:r w:rsidR="00F6704B">
        <w:t>ov</w:t>
      </w:r>
      <w:r w:rsidRPr="00B365B3">
        <w:t>ercollection of $1</w:t>
      </w:r>
      <w:r w:rsidR="008E2129">
        <w:t>4.0</w:t>
      </w:r>
      <w:r w:rsidRPr="00B365B3">
        <w:t xml:space="preserve"> million to the 202</w:t>
      </w:r>
      <w:r w:rsidR="008E2129">
        <w:t>5</w:t>
      </w:r>
      <w:r w:rsidRPr="00B365B3">
        <w:t xml:space="preserve"> year-end balance of the ERRA balancing account. This is </w:t>
      </w:r>
      <w:r w:rsidR="008E2129">
        <w:t xml:space="preserve">slightly </w:t>
      </w:r>
      <w:r w:rsidRPr="00B365B3">
        <w:t xml:space="preserve">higher than the initial forecast </w:t>
      </w:r>
      <w:r w:rsidR="008E2129">
        <w:t>during the May application as a result of the true-up of REC and RA market values to the 2025 final MPBs released in October 2025</w:t>
      </w:r>
      <w:r w:rsidRPr="00B365B3">
        <w:t xml:space="preserve">. </w:t>
      </w:r>
    </w:p>
    <w:p w:rsidRPr="00470622" w:rsidR="001E566A" w:rsidP="001E566A" w:rsidRDefault="001E566A" w14:paraId="1992B4A2" w14:textId="0B98E0E3">
      <w:r w:rsidRPr="00470622">
        <w:t xml:space="preserve">The Joint CCAs raised objections regarding the </w:t>
      </w:r>
      <w:r w:rsidRPr="00470622" w:rsidR="008E2129">
        <w:t xml:space="preserve">proposed use of pre-2019 </w:t>
      </w:r>
      <w:r w:rsidR="00DD5215">
        <w:t>banked RECs</w:t>
      </w:r>
      <w:r w:rsidRPr="00470622" w:rsidR="008E2129">
        <w:t xml:space="preserve">. </w:t>
      </w:r>
      <w:r w:rsidR="00DD5215">
        <w:t>Banked RECs</w:t>
      </w:r>
      <w:r w:rsidRPr="00470622" w:rsidR="00470622">
        <w:t xml:space="preserve"> </w:t>
      </w:r>
      <w:r w:rsidRPr="00470622">
        <w:t xml:space="preserve">impact the overall ERRA revenue requirement </w:t>
      </w:r>
      <w:r w:rsidR="00756F19">
        <w:t>and</w:t>
      </w:r>
      <w:r w:rsidRPr="00470622">
        <w:t xml:space="preserve"> </w:t>
      </w:r>
      <w:r w:rsidRPr="00470622" w:rsidR="008E2129">
        <w:t>is</w:t>
      </w:r>
      <w:r w:rsidRPr="00470622">
        <w:t xml:space="preserve"> discussed in </w:t>
      </w:r>
      <w:r w:rsidRPr="00470622" w:rsidR="008E2129">
        <w:t xml:space="preserve">a </w:t>
      </w:r>
      <w:r w:rsidRPr="00470622">
        <w:t xml:space="preserve">later section of this decision. </w:t>
      </w:r>
    </w:p>
    <w:p w:rsidRPr="00B365B3" w:rsidR="001E566A" w:rsidP="001E566A" w:rsidRDefault="001E566A" w14:paraId="2C2858C9" w14:textId="7B9C9ACB">
      <w:r w:rsidRPr="00B365B3">
        <w:t xml:space="preserve">Except for the </w:t>
      </w:r>
      <w:r w:rsidR="008E2129">
        <w:t xml:space="preserve">above topic concerning </w:t>
      </w:r>
      <w:r w:rsidR="00470622">
        <w:t xml:space="preserve">use of </w:t>
      </w:r>
      <w:r w:rsidR="008E2129">
        <w:t xml:space="preserve">pre-2019 </w:t>
      </w:r>
      <w:r w:rsidR="00DD5215">
        <w:t>banked RECs</w:t>
      </w:r>
      <w:r w:rsidR="008E2129">
        <w:t xml:space="preserve">, </w:t>
      </w:r>
      <w:r w:rsidRPr="00B365B3">
        <w:t>parties do not oppose SDG&amp;E’s 202</w:t>
      </w:r>
      <w:r w:rsidR="008E2129">
        <w:t>6</w:t>
      </w:r>
      <w:r w:rsidRPr="00B365B3">
        <w:t xml:space="preserve"> ERRA forecast component as well as the forecast 202</w:t>
      </w:r>
      <w:r w:rsidR="008E2129">
        <w:t>5</w:t>
      </w:r>
      <w:r w:rsidRPr="00B365B3">
        <w:t xml:space="preserve"> ERRA year-end balance. We find that the evidence presented supports the forecast</w:t>
      </w:r>
      <w:r w:rsidR="008E2129">
        <w:t>s</w:t>
      </w:r>
      <w:r w:rsidRPr="00B365B3">
        <w:t xml:space="preserve"> and that SDG&amp;E’s </w:t>
      </w:r>
      <w:r w:rsidR="008E2129">
        <w:t>ERRA and ERRA year-end balance are</w:t>
      </w:r>
      <w:r w:rsidRPr="00B365B3">
        <w:t xml:space="preserve"> reasonable and should be authorized given the </w:t>
      </w:r>
      <w:r w:rsidR="008E2129">
        <w:t xml:space="preserve">lower </w:t>
      </w:r>
      <w:r w:rsidRPr="00B365B3">
        <w:t xml:space="preserve">MPB values released in October </w:t>
      </w:r>
      <w:r w:rsidR="005F52E8">
        <w:t xml:space="preserve">1, </w:t>
      </w:r>
      <w:r w:rsidRPr="00B365B3">
        <w:t>202</w:t>
      </w:r>
      <w:r w:rsidR="008E2129">
        <w:t>5</w:t>
      </w:r>
      <w:r w:rsidRPr="00B365B3">
        <w:t xml:space="preserve">. </w:t>
      </w:r>
    </w:p>
    <w:p w:rsidRPr="000C19CA" w:rsidR="004C048A" w:rsidP="00855898" w:rsidRDefault="004249FC" w14:paraId="7B048999" w14:textId="65A918FE">
      <w:pPr>
        <w:pStyle w:val="Heading2"/>
        <w:numPr>
          <w:ilvl w:val="1"/>
          <w:numId w:val="21"/>
        </w:numPr>
      </w:pPr>
      <w:bookmarkStart w:name="_Toc120015208" w:id="35"/>
      <w:bookmarkStart w:name="_Toc215581842" w:id="36"/>
      <w:r w:rsidRPr="000C19CA">
        <w:t>PABA</w:t>
      </w:r>
      <w:bookmarkEnd w:id="35"/>
      <w:r w:rsidR="00D35A77">
        <w:t xml:space="preserve"> </w:t>
      </w:r>
      <w:r w:rsidR="00142AE5">
        <w:t xml:space="preserve">Costs </w:t>
      </w:r>
      <w:r w:rsidR="00D35A77">
        <w:t>and 202</w:t>
      </w:r>
      <w:r w:rsidR="00A747BE">
        <w:t>5</w:t>
      </w:r>
      <w:r w:rsidR="00D35A77">
        <w:t xml:space="preserve"> Balance</w:t>
      </w:r>
      <w:bookmarkEnd w:id="36"/>
    </w:p>
    <w:p w:rsidRPr="00D52BFF" w:rsidR="00616C0C" w:rsidP="004C048A" w:rsidRDefault="004C048A" w14:paraId="718A0D85" w14:textId="7EA0B636">
      <w:pPr>
        <w:pStyle w:val="Standard"/>
      </w:pPr>
      <w:r w:rsidRPr="00D52BFF">
        <w:t>SDG&amp;E’s updated forecast for PABA is $</w:t>
      </w:r>
      <w:r w:rsidRPr="00D52BFF" w:rsidR="00656C87">
        <w:t>1</w:t>
      </w:r>
      <w:r w:rsidRPr="00D52BFF" w:rsidR="00616C0C">
        <w:t>87.5</w:t>
      </w:r>
      <w:r w:rsidRPr="00D52BFF" w:rsidR="00A23FC8">
        <w:t> million</w:t>
      </w:r>
      <w:r w:rsidRPr="00D52BFF">
        <w:t xml:space="preserve">. By comparison, its currently authorized revenue requirement for PABA is </w:t>
      </w:r>
      <w:r w:rsidRPr="00D52BFF" w:rsidR="00616C0C">
        <w:t>(</w:t>
      </w:r>
      <w:r w:rsidRPr="00D52BFF">
        <w:t>$</w:t>
      </w:r>
      <w:r w:rsidRPr="00D52BFF" w:rsidR="00616C0C">
        <w:t>6.7</w:t>
      </w:r>
      <w:r w:rsidRPr="00D52BFF" w:rsidR="00A23FC8">
        <w:t> million</w:t>
      </w:r>
      <w:r w:rsidRPr="00D52BFF" w:rsidR="00616C0C">
        <w:t>)</w:t>
      </w:r>
      <w:r w:rsidRPr="00D52BFF">
        <w:t xml:space="preserve">. </w:t>
      </w:r>
      <w:r w:rsidRPr="00D52BFF" w:rsidR="00D52BFF">
        <w:t>A negative revenue requirement for PABA was authorized in SDG&amp;E’s 2025 ERRA forecast</w:t>
      </w:r>
      <w:r w:rsidRPr="00D52BFF" w:rsidR="00D52BFF">
        <w:rPr>
          <w:rStyle w:val="FootnoteReference"/>
        </w:rPr>
        <w:footnoteReference w:id="18"/>
      </w:r>
      <w:r w:rsidRPr="00D52BFF" w:rsidR="00D52BFF">
        <w:t xml:space="preserve"> proceeding as a result of higher sales revenues forecasted due to much higher MPBs applied in the 2025 October update.</w:t>
      </w:r>
      <w:r w:rsidRPr="00D52BFF" w:rsidR="00D52BFF">
        <w:rPr>
          <w:rStyle w:val="FootnoteReference"/>
        </w:rPr>
        <w:footnoteReference w:id="19"/>
      </w:r>
    </w:p>
    <w:p w:rsidRPr="0069634D" w:rsidR="00E80562" w:rsidP="00E80562" w:rsidRDefault="0030576C" w14:paraId="1166E6B8" w14:textId="073B108D">
      <w:pPr>
        <w:pStyle w:val="Standard"/>
      </w:pPr>
      <w:r w:rsidRPr="0069634D">
        <w:t xml:space="preserve">According to </w:t>
      </w:r>
      <w:r w:rsidRPr="0069634D" w:rsidR="004C048A">
        <w:t>SDG&amp;E</w:t>
      </w:r>
      <w:r w:rsidRPr="0069634D">
        <w:t>, its</w:t>
      </w:r>
      <w:r w:rsidRPr="0069634D" w:rsidR="004C048A">
        <w:t xml:space="preserve"> </w:t>
      </w:r>
      <w:r w:rsidRPr="0069634D">
        <w:t xml:space="preserve">updated PABA forecast increased significantly (by approximately $296.7 million) from its </w:t>
      </w:r>
      <w:r w:rsidRPr="0069634D" w:rsidR="004C048A">
        <w:t xml:space="preserve">initial forecast in May </w:t>
      </w:r>
      <w:r w:rsidRPr="0069634D">
        <w:t xml:space="preserve">as a result of </w:t>
      </w:r>
      <w:r w:rsidRPr="0069634D">
        <w:lastRenderedPageBreak/>
        <w:t>higher above-market costs for PCIA-eligible resources due to the lower 202</w:t>
      </w:r>
      <w:r w:rsidRPr="0069634D" w:rsidR="00E80562">
        <w:t xml:space="preserve">5 final MPBs </w:t>
      </w:r>
      <w:r w:rsidRPr="0069634D">
        <w:t>released by the Commission’s Energy Division on October, 2025.</w:t>
      </w:r>
      <w:r w:rsidRPr="0069634D" w:rsidR="00E80562">
        <w:t xml:space="preserve"> </w:t>
      </w:r>
      <w:r w:rsidR="0069634D">
        <w:t xml:space="preserve">SDG&amp;E adds that </w:t>
      </w:r>
      <w:r w:rsidRPr="0069634D" w:rsidR="00E80562">
        <w:t xml:space="preserve">lower forecasted RA and REC sales revenues, and lower CAISO supply revenues also contributed to the increase in the PABA forecast. </w:t>
      </w:r>
    </w:p>
    <w:p w:rsidRPr="000C19CA" w:rsidR="004C048A" w:rsidP="004C048A" w:rsidRDefault="004C048A" w14:paraId="50FFB575" w14:textId="73C7F9C7">
      <w:pPr>
        <w:pStyle w:val="Standard"/>
      </w:pPr>
      <w:r w:rsidRPr="000C19CA">
        <w:t>The PABA records costs and revenues associated with all of SDG&amp;E’s generation resources that are eligible for cost recovery through PCIA rates. The PCIA charge is intended to ensure that any above</w:t>
      </w:r>
      <w:r w:rsidRPr="000C19CA" w:rsidR="00116648">
        <w:noBreakHyphen/>
      </w:r>
      <w:r w:rsidRPr="000C19CA">
        <w:t>market costs of electric resources procured by SDG&amp;E on behalf of its customers that later switch to another provider are not transferred to its remaining electric supply customers.</w:t>
      </w:r>
    </w:p>
    <w:p w:rsidR="00656C87" w:rsidP="004C048A" w:rsidRDefault="004C048A" w14:paraId="680DC026" w14:textId="77777777">
      <w:pPr>
        <w:pStyle w:val="Standard"/>
      </w:pPr>
      <w:r w:rsidRPr="000C19CA">
        <w:t xml:space="preserve">Costs recorded in each vintage subaccount typically include fuel, GHG costs, third party power purchase contract costs and the revenue requirement for generation assets owned by SDG&amp;E including its generation power plants, and eligible costs recoverable through PCIA rates. </w:t>
      </w:r>
    </w:p>
    <w:p w:rsidR="00E80562" w:rsidP="004C048A" w:rsidRDefault="00E80562" w14:paraId="4E4D2950" w14:textId="66D05880">
      <w:pPr>
        <w:pStyle w:val="Standard"/>
      </w:pPr>
      <w:r w:rsidRPr="00E80562">
        <w:t>SDG&amp;E also forecasts a 2025 year end undercollection of $274.2 million in the PABA. This forecast also increased significantly from the May application (by approximately $260 million) as a result of (a) decreased credits in PABA based on the true-up to the lower 2025 final MPBs, (b) decreased RPS voluntary allocation and MCAM RA sales revenues based on the true-up to the lower 2025 Final MPBs, and (c) lower than authorized customer revenues in 2025.</w:t>
      </w:r>
    </w:p>
    <w:p w:rsidRPr="009A7E01" w:rsidR="00F113EC" w:rsidP="00F113EC" w:rsidRDefault="00F113EC" w14:paraId="3CB799B7" w14:textId="4EC739E2">
      <w:pPr>
        <w:pStyle w:val="Standard"/>
      </w:pPr>
      <w:r w:rsidRPr="009A7E01">
        <w:t>Exhibit SDGE</w:t>
      </w:r>
      <w:r w:rsidRPr="009A7E01">
        <w:noBreakHyphen/>
        <w:t>11C provides the updated breakdown of the PABA revenue requirement forecast for 202</w:t>
      </w:r>
      <w:r w:rsidRPr="009A7E01" w:rsidR="009A7E01">
        <w:t>6</w:t>
      </w:r>
      <w:r w:rsidRPr="009A7E01">
        <w:t>.</w:t>
      </w:r>
      <w:r w:rsidRPr="009A7E01">
        <w:rPr>
          <w:vertAlign w:val="superscript"/>
        </w:rPr>
        <w:footnoteReference w:id="20"/>
      </w:r>
      <w:r w:rsidRPr="009A7E01">
        <w:t xml:space="preserve"> The process of forecasting PCIA costs is provided in Exhibit SDGE</w:t>
      </w:r>
      <w:r w:rsidRPr="009A7E01">
        <w:noBreakHyphen/>
        <w:t>13. Meanwhile the updated breakdown of costs in the PABA 2025 year</w:t>
      </w:r>
      <w:r w:rsidRPr="009A7E01">
        <w:noBreakHyphen/>
        <w:t>end balance is shown in Attachment C of Exhibit SDGE</w:t>
      </w:r>
      <w:r w:rsidRPr="009A7E01">
        <w:noBreakHyphen/>
        <w:t xml:space="preserve">13C. </w:t>
      </w:r>
    </w:p>
    <w:p w:rsidRPr="000C19CA" w:rsidR="004C048A" w:rsidP="004C048A" w:rsidRDefault="00656C87" w14:paraId="6A03B804" w14:textId="65EE0997">
      <w:pPr>
        <w:pStyle w:val="Standard"/>
      </w:pPr>
      <w:r>
        <w:lastRenderedPageBreak/>
        <w:t>Overall, we find that the evidence SDG&amp;E presented supports the PABA forecast and PABA year-end balance</w:t>
      </w:r>
      <w:r w:rsidRPr="000C19CA" w:rsidR="004C048A">
        <w:t>.</w:t>
      </w:r>
      <w:r w:rsidR="009A7E01">
        <w:t xml:space="preserve"> The record supports that increases to the</w:t>
      </w:r>
      <w:r w:rsidR="004A3A27">
        <w:t xml:space="preserve"> </w:t>
      </w:r>
      <w:r w:rsidR="009A7E01">
        <w:t xml:space="preserve">2026 </w:t>
      </w:r>
      <w:r w:rsidRPr="009A7E01" w:rsidR="009A7E01">
        <w:t xml:space="preserve">PABA and 2025 PABA year-end balance </w:t>
      </w:r>
      <w:r w:rsidR="009A7E01">
        <w:t xml:space="preserve">forecasts were in large part </w:t>
      </w:r>
      <w:r w:rsidRPr="009A7E01" w:rsidR="009A7E01">
        <w:t xml:space="preserve">due to the lower Final 2025 MPBs and a true-up to </w:t>
      </w:r>
      <w:r w:rsidR="009A7E01">
        <w:t xml:space="preserve">said </w:t>
      </w:r>
      <w:r w:rsidRPr="009A7E01" w:rsidR="009A7E01">
        <w:t>lower 2025 Final MPBs.</w:t>
      </w:r>
    </w:p>
    <w:p w:rsidRPr="000C19CA" w:rsidR="004C048A" w:rsidP="00855898" w:rsidRDefault="004249FC" w14:paraId="29720BEA" w14:textId="199BCDE8">
      <w:pPr>
        <w:pStyle w:val="Heading2"/>
        <w:numPr>
          <w:ilvl w:val="1"/>
          <w:numId w:val="21"/>
        </w:numPr>
      </w:pPr>
      <w:bookmarkStart w:name="_Toc120015212" w:id="37"/>
      <w:bookmarkStart w:name="_Toc215581843" w:id="38"/>
      <w:r w:rsidRPr="000C19CA">
        <w:t>CTC Costs</w:t>
      </w:r>
      <w:bookmarkEnd w:id="37"/>
      <w:bookmarkEnd w:id="38"/>
    </w:p>
    <w:p w:rsidRPr="000C19CA" w:rsidR="004C048A" w:rsidP="004C048A" w:rsidRDefault="004C048A" w14:paraId="31143103" w14:textId="4E8E88DE">
      <w:pPr>
        <w:pStyle w:val="Standard"/>
      </w:pPr>
      <w:r w:rsidRPr="000C19CA">
        <w:t xml:space="preserve">SDG&amp;E’s updated forecast for CTC costs </w:t>
      </w:r>
      <w:r w:rsidR="0060437B">
        <w:t>remains unchanged at $0.5 million</w:t>
      </w:r>
      <w:r w:rsidR="00C17DF1">
        <w:t>. It</w:t>
      </w:r>
      <w:r w:rsidR="00532E37">
        <w:t>s</w:t>
      </w:r>
      <w:r w:rsidR="00993338">
        <w:t xml:space="preserve"> </w:t>
      </w:r>
      <w:r w:rsidR="00C17DF1">
        <w:t>currently effective CTC revenue requirement is $</w:t>
      </w:r>
      <w:r w:rsidR="0060437B">
        <w:t>2</w:t>
      </w:r>
      <w:r w:rsidR="00C17DF1">
        <w:t>.</w:t>
      </w:r>
      <w:r w:rsidR="0060437B">
        <w:t>3</w:t>
      </w:r>
      <w:r w:rsidR="00C17DF1">
        <w:t xml:space="preserve"> million.</w:t>
      </w:r>
    </w:p>
    <w:p w:rsidRPr="000C19CA" w:rsidR="004C048A" w:rsidP="004C048A" w:rsidRDefault="004C048A" w14:paraId="6EA9150E" w14:textId="7BB0A4A8">
      <w:pPr>
        <w:pStyle w:val="Standard"/>
      </w:pPr>
      <w:r w:rsidRPr="000C19CA">
        <w:t xml:space="preserve">As discussed in </w:t>
      </w:r>
      <w:r w:rsidRPr="000C19CA" w:rsidR="006D29F5">
        <w:t>Exhibit </w:t>
      </w:r>
      <w:r w:rsidRPr="000C19CA">
        <w:t>SDGE</w:t>
      </w:r>
      <w:r w:rsidRPr="000C19CA" w:rsidR="00116648">
        <w:noBreakHyphen/>
      </w:r>
      <w:r w:rsidRPr="000C19CA">
        <w:t>2, CTC costs are based on dispatchable capacity or firm capacity contracts which include both energy and capacity payments.</w:t>
      </w:r>
      <w:r w:rsidRPr="000C19CA">
        <w:rPr>
          <w:vertAlign w:val="superscript"/>
        </w:rPr>
        <w:footnoteReference w:id="21"/>
      </w:r>
      <w:r w:rsidRPr="000C19CA">
        <w:t xml:space="preserve"> Energy payments for contracts are derived using SDG&amp;E’s “short</w:t>
      </w:r>
      <w:r w:rsidRPr="000C19CA" w:rsidR="00116648">
        <w:noBreakHyphen/>
      </w:r>
      <w:r w:rsidRPr="000C19CA">
        <w:t xml:space="preserve">run avoided cost” formula. According to SDG&amp;E, ERRA </w:t>
      </w:r>
      <w:r w:rsidR="00C17DF1">
        <w:t>expenses for CT</w:t>
      </w:r>
      <w:r w:rsidR="00C11ADE">
        <w:t>C</w:t>
      </w:r>
      <w:r w:rsidR="00C17DF1">
        <w:t xml:space="preserve"> </w:t>
      </w:r>
      <w:r w:rsidRPr="000C19CA">
        <w:t xml:space="preserve">contracts are based on delivered energy multiplied by the </w:t>
      </w:r>
      <w:r w:rsidR="0060437B">
        <w:t>MPB</w:t>
      </w:r>
      <w:r w:rsidRPr="000C19CA">
        <w:t xml:space="preserve">. Any costs greater than the </w:t>
      </w:r>
      <w:r w:rsidRPr="000C19CA" w:rsidR="0027790E">
        <w:t xml:space="preserve">MPB </w:t>
      </w:r>
      <w:r w:rsidRPr="000C19CA">
        <w:t>are recorded in the TCBA.</w:t>
      </w:r>
      <w:r w:rsidR="004B1AB2">
        <w:t xml:space="preserve"> Parties do not object to SDG&amp;E’s forecast for CTC costs.</w:t>
      </w:r>
    </w:p>
    <w:p w:rsidRPr="00C43EC2" w:rsidR="004C048A" w:rsidP="004C048A" w:rsidRDefault="00C17DF1" w14:paraId="0862CDDF" w14:textId="0671A6A9">
      <w:pPr>
        <w:pStyle w:val="Standard"/>
      </w:pPr>
      <w:r>
        <w:t xml:space="preserve">We find </w:t>
      </w:r>
      <w:r w:rsidRPr="000C19CA" w:rsidR="004C048A">
        <w:t xml:space="preserve">SDG&amp;E’s methodology for forecasting CTC costs reasonable and </w:t>
      </w:r>
      <w:r>
        <w:t>find that the updated forecast of $</w:t>
      </w:r>
      <w:r w:rsidR="0060437B">
        <w:t>0.5</w:t>
      </w:r>
      <w:r>
        <w:t xml:space="preserve"> million should be adopted. </w:t>
      </w:r>
      <w:r w:rsidRPr="00C43EC2">
        <w:t>The forecast for CTC energy supply for 202</w:t>
      </w:r>
      <w:r w:rsidRPr="00C43EC2" w:rsidR="0060437B">
        <w:t>5</w:t>
      </w:r>
      <w:r w:rsidRPr="00C43EC2">
        <w:t xml:space="preserve"> is </w:t>
      </w:r>
      <w:r w:rsidRPr="00C43EC2" w:rsidR="004B1AB2">
        <w:t>shown in Exhibit SDGE-1</w:t>
      </w:r>
      <w:r w:rsidRPr="00C43EC2" w:rsidR="00C43EC2">
        <w:t>0</w:t>
      </w:r>
      <w:r w:rsidRPr="00C43EC2" w:rsidR="004B1AB2">
        <w:t xml:space="preserve">C </w:t>
      </w:r>
      <w:r w:rsidRPr="00C43EC2" w:rsidR="0060437B">
        <w:t xml:space="preserve">(Elias) </w:t>
      </w:r>
      <w:r w:rsidRPr="00C43EC2" w:rsidR="004B1AB2">
        <w:t>and the forecasted generation of plants is shown in A</w:t>
      </w:r>
      <w:r w:rsidRPr="00C43EC2" w:rsidR="00C43EC2">
        <w:t>ttachment</w:t>
      </w:r>
      <w:r w:rsidRPr="00C43EC2" w:rsidR="004B1AB2">
        <w:t xml:space="preserve"> </w:t>
      </w:r>
      <w:r w:rsidRPr="00C43EC2" w:rsidR="00C43EC2">
        <w:t>B</w:t>
      </w:r>
      <w:r w:rsidRPr="00C43EC2" w:rsidR="004B1AB2">
        <w:t xml:space="preserve"> of said exhibit.</w:t>
      </w:r>
    </w:p>
    <w:p w:rsidRPr="000C19CA" w:rsidR="004C048A" w:rsidP="00855898" w:rsidRDefault="004249FC" w14:paraId="7D979B51" w14:textId="42D2D07C">
      <w:pPr>
        <w:pStyle w:val="Heading2"/>
        <w:numPr>
          <w:ilvl w:val="1"/>
          <w:numId w:val="21"/>
        </w:numPr>
      </w:pPr>
      <w:bookmarkStart w:name="_Toc120015213" w:id="39"/>
      <w:bookmarkStart w:name="_Toc215581844" w:id="40"/>
      <w:r w:rsidRPr="000C19CA">
        <w:t xml:space="preserve">LG </w:t>
      </w:r>
      <w:r w:rsidR="00142AE5">
        <w:t xml:space="preserve">Costs </w:t>
      </w:r>
      <w:r w:rsidRPr="000C19CA">
        <w:t xml:space="preserve">and LGBA </w:t>
      </w:r>
      <w:r w:rsidR="00D35A77">
        <w:t>Balance</w:t>
      </w:r>
      <w:bookmarkEnd w:id="39"/>
      <w:bookmarkEnd w:id="40"/>
    </w:p>
    <w:p w:rsidRPr="00370C3B" w:rsidR="00D737D3" w:rsidP="004C048A" w:rsidRDefault="004C048A" w14:paraId="3F89968C" w14:textId="325EBAE1">
      <w:pPr>
        <w:pStyle w:val="Standard"/>
      </w:pPr>
      <w:r w:rsidRPr="00370C3B">
        <w:t>SDG&amp;E’s updated request for LG costs is $</w:t>
      </w:r>
      <w:r w:rsidRPr="00370C3B" w:rsidR="00D737D3">
        <w:t>2</w:t>
      </w:r>
      <w:r w:rsidRPr="00370C3B" w:rsidR="00370C3B">
        <w:t>47.1</w:t>
      </w:r>
      <w:r w:rsidRPr="00370C3B" w:rsidR="00D737D3">
        <w:t xml:space="preserve"> million</w:t>
      </w:r>
      <w:r w:rsidRPr="00370C3B" w:rsidR="00C43EC2">
        <w:t>,</w:t>
      </w:r>
      <w:r w:rsidRPr="00370C3B" w:rsidR="00D737D3">
        <w:t xml:space="preserve"> </w:t>
      </w:r>
      <w:r w:rsidRPr="00370C3B">
        <w:t xml:space="preserve">which is </w:t>
      </w:r>
      <w:r w:rsidRPr="00370C3B" w:rsidR="00370C3B">
        <w:t>higher</w:t>
      </w:r>
      <w:r w:rsidRPr="00370C3B" w:rsidR="00D737D3">
        <w:t xml:space="preserve"> than its initial request of $2</w:t>
      </w:r>
      <w:r w:rsidRPr="00370C3B" w:rsidR="00370C3B">
        <w:t>02.7</w:t>
      </w:r>
      <w:r w:rsidRPr="00370C3B" w:rsidR="00D737D3">
        <w:t xml:space="preserve"> million. By comparison, its currently effective LG revenue requirement is $1</w:t>
      </w:r>
      <w:r w:rsidRPr="00370C3B" w:rsidR="00370C3B">
        <w:t>92.1</w:t>
      </w:r>
      <w:r w:rsidRPr="00370C3B" w:rsidR="00D737D3">
        <w:t xml:space="preserve"> million.</w:t>
      </w:r>
      <w:r w:rsidRPr="00370C3B">
        <w:t xml:space="preserve"> </w:t>
      </w:r>
    </w:p>
    <w:p w:rsidRPr="00D84535" w:rsidR="0026786F" w:rsidP="004C048A" w:rsidRDefault="004C048A" w14:paraId="5C49E32E" w14:textId="3B22E25E">
      <w:pPr>
        <w:pStyle w:val="Standard"/>
      </w:pPr>
      <w:r w:rsidRPr="00370C3B">
        <w:t xml:space="preserve">As stated earlier in the decision, LG costs are for the recovery of net costs associated with new generation resources that provide local </w:t>
      </w:r>
      <w:r w:rsidRPr="00370C3B" w:rsidR="0026786F">
        <w:t>RA</w:t>
      </w:r>
      <w:r w:rsidRPr="00370C3B">
        <w:t xml:space="preserve"> for SDG&amp;E’s </w:t>
      </w:r>
      <w:r w:rsidRPr="00370C3B">
        <w:lastRenderedPageBreak/>
        <w:t>system and which are deemed to be subject to the CAM policy adopted in D.06</w:t>
      </w:r>
      <w:r w:rsidRPr="00370C3B" w:rsidR="00116648">
        <w:noBreakHyphen/>
      </w:r>
      <w:r w:rsidRPr="00370C3B">
        <w:t>07</w:t>
      </w:r>
      <w:r w:rsidRPr="00370C3B" w:rsidR="00116648">
        <w:noBreakHyphen/>
      </w:r>
      <w:r w:rsidRPr="00370C3B">
        <w:t>029 and D.11</w:t>
      </w:r>
      <w:r w:rsidRPr="00370C3B" w:rsidR="00116648">
        <w:noBreakHyphen/>
      </w:r>
      <w:r w:rsidRPr="00370C3B">
        <w:t>05</w:t>
      </w:r>
      <w:r w:rsidRPr="00370C3B" w:rsidR="00116648">
        <w:noBreakHyphen/>
      </w:r>
      <w:r w:rsidRPr="00370C3B">
        <w:t>005. SDG&amp;E has power plants and energy storage centers but also enter</w:t>
      </w:r>
      <w:r w:rsidRPr="00370C3B" w:rsidR="00222611">
        <w:t>s</w:t>
      </w:r>
      <w:r w:rsidRPr="00370C3B">
        <w:t xml:space="preserve"> into contracts for generation resources. </w:t>
      </w:r>
      <w:r w:rsidRPr="00D84535" w:rsidR="00A023EA">
        <w:t>A</w:t>
      </w:r>
      <w:r w:rsidRPr="00D84535" w:rsidR="0026786F">
        <w:t>ttachment A of Exhibit SDGE</w:t>
      </w:r>
      <w:r w:rsidRPr="00D84535" w:rsidR="00D84535">
        <w:t>-</w:t>
      </w:r>
      <w:r w:rsidRPr="00D84535" w:rsidR="0026786F">
        <w:t>1</w:t>
      </w:r>
      <w:r w:rsidRPr="00D84535" w:rsidR="00D84535">
        <w:t>0A</w:t>
      </w:r>
      <w:r w:rsidRPr="00D84535" w:rsidR="0026786F">
        <w:t xml:space="preserve"> </w:t>
      </w:r>
      <w:r w:rsidRPr="00D84535" w:rsidR="00A023EA">
        <w:t xml:space="preserve">provides the updated breakdown of </w:t>
      </w:r>
      <w:r w:rsidRPr="00D84535">
        <w:t xml:space="preserve">LG expenses and contract costs. </w:t>
      </w:r>
    </w:p>
    <w:p w:rsidRPr="00866412" w:rsidR="00A023EA" w:rsidP="00A023EA" w:rsidRDefault="00D15506" w14:paraId="051FDDF0" w14:textId="4974C711">
      <w:pPr>
        <w:pStyle w:val="Standard"/>
      </w:pPr>
      <w:r w:rsidRPr="00866412">
        <w:t xml:space="preserve">Parties do not challenge or object to the requested LG costs and we find that the LG forecast is adequately supported by the evidence submitted which presents a monthly breakdown of the different </w:t>
      </w:r>
      <w:r w:rsidR="00D60086">
        <w:t>expenses</w:t>
      </w:r>
      <w:r w:rsidRPr="00866412">
        <w:t>.</w:t>
      </w:r>
    </w:p>
    <w:p w:rsidRPr="00370C3B" w:rsidR="00BB6F25" w:rsidP="00A023EA" w:rsidRDefault="00330D7D" w14:paraId="6A5F80D1" w14:textId="39DC5E6E">
      <w:pPr>
        <w:pStyle w:val="Standard"/>
        <w:rPr>
          <w:color w:val="FF0000"/>
        </w:rPr>
      </w:pPr>
      <w:r w:rsidRPr="00370C3B">
        <w:t xml:space="preserve">SDG&amp;E also </w:t>
      </w:r>
      <w:r w:rsidRPr="00370C3B" w:rsidR="00370C3B">
        <w:t xml:space="preserve">presents </w:t>
      </w:r>
      <w:r w:rsidRPr="00370C3B">
        <w:t xml:space="preserve">a </w:t>
      </w:r>
      <w:r w:rsidR="00D60086">
        <w:t>year-end balance of (</w:t>
      </w:r>
      <w:r w:rsidRPr="00370C3B">
        <w:t>$1</w:t>
      </w:r>
      <w:r w:rsidRPr="00370C3B" w:rsidR="00370C3B">
        <w:t>01.0</w:t>
      </w:r>
      <w:r w:rsidR="00D60086">
        <w:t>)</w:t>
      </w:r>
      <w:r w:rsidRPr="00370C3B">
        <w:t xml:space="preserve"> million in the 202</w:t>
      </w:r>
      <w:r w:rsidRPr="00370C3B" w:rsidR="00370C3B">
        <w:t>5</w:t>
      </w:r>
      <w:r w:rsidRPr="00370C3B">
        <w:t xml:space="preserve"> LGBA.</w:t>
      </w:r>
      <w:r w:rsidRPr="00370C3B" w:rsidR="008A1481">
        <w:t xml:space="preserve"> </w:t>
      </w:r>
      <w:r w:rsidRPr="00370C3B" w:rsidR="00BB6F25">
        <w:t xml:space="preserve">The LGBA records the LG costs and revenues received from SDG&amp;E’s LG rate and uses a sub-account for each generation resource. Resolution E-5217 requires SDG&amp;E to update year-end balances for each of its regulatory accounts. </w:t>
      </w:r>
    </w:p>
    <w:p w:rsidRPr="00370C3B" w:rsidR="00D15506" w:rsidP="00A023EA" w:rsidRDefault="00BB6F25" w14:paraId="2DC5EB9B" w14:textId="4D60A1A9">
      <w:pPr>
        <w:pStyle w:val="Standard"/>
      </w:pPr>
      <w:r w:rsidRPr="00370C3B">
        <w:t>The LGBA compares the LG costs with revenues received on a monthly basis and SDG&amp;E’s projected year-end balance utilizes the most recent recorded costs and updated forecast for the remaining months in 202</w:t>
      </w:r>
      <w:r w:rsidRPr="00370C3B" w:rsidR="00370C3B">
        <w:t>5</w:t>
      </w:r>
      <w:r w:rsidRPr="00370C3B">
        <w:t xml:space="preserve"> that do not yet have recorded costs.</w:t>
      </w:r>
    </w:p>
    <w:p w:rsidRPr="007A0EF8" w:rsidR="004C048A" w:rsidP="004C048A" w:rsidRDefault="004C048A" w14:paraId="5B91AC03" w14:textId="0A90B39A">
      <w:pPr>
        <w:pStyle w:val="Standard"/>
        <w:rPr>
          <w:color w:val="FF0000"/>
        </w:rPr>
      </w:pPr>
      <w:r w:rsidRPr="00370C3B">
        <w:t>There were no objections to the</w:t>
      </w:r>
      <w:r w:rsidRPr="00370C3B" w:rsidR="00BB6F25">
        <w:t xml:space="preserve"> projected 202</w:t>
      </w:r>
      <w:r w:rsidRPr="00370C3B" w:rsidR="00370C3B">
        <w:t>5</w:t>
      </w:r>
      <w:r w:rsidRPr="00370C3B" w:rsidR="00BB6F25">
        <w:t xml:space="preserve"> LGBA year-end </w:t>
      </w:r>
      <w:r w:rsidR="00D60086">
        <w:t>balance</w:t>
      </w:r>
      <w:r w:rsidR="00370C3B">
        <w:t xml:space="preserve"> </w:t>
      </w:r>
      <w:r w:rsidRPr="00370C3B" w:rsidR="00BB6F25">
        <w:t>and we find that the amount</w:t>
      </w:r>
      <w:r w:rsidRPr="00370C3B" w:rsidR="00F425DB">
        <w:t>s</w:t>
      </w:r>
      <w:r w:rsidRPr="00370C3B">
        <w:t xml:space="preserve"> </w:t>
      </w:r>
      <w:r w:rsidRPr="00370C3B" w:rsidR="00F425DB">
        <w:t>are</w:t>
      </w:r>
      <w:r w:rsidRPr="00370C3B">
        <w:t xml:space="preserve"> properly </w:t>
      </w:r>
      <w:r w:rsidRPr="00370C3B" w:rsidR="00BB6F25">
        <w:t>documented b</w:t>
      </w:r>
      <w:r w:rsidRPr="00370C3B">
        <w:t xml:space="preserve">y the </w:t>
      </w:r>
      <w:r w:rsidRPr="00370C3B" w:rsidR="00BB6F25">
        <w:t xml:space="preserve">testimony </w:t>
      </w:r>
      <w:r w:rsidRPr="00370C3B">
        <w:t>submitted by SDG&amp;E.</w:t>
      </w:r>
    </w:p>
    <w:p w:rsidRPr="000C19CA" w:rsidR="00067802" w:rsidP="00855898" w:rsidRDefault="0032212D" w14:paraId="1C73D754" w14:textId="655F05DD">
      <w:pPr>
        <w:pStyle w:val="Heading2"/>
        <w:numPr>
          <w:ilvl w:val="1"/>
          <w:numId w:val="21"/>
        </w:numPr>
      </w:pPr>
      <w:bookmarkStart w:name="_Toc120015215" w:id="41"/>
      <w:bookmarkStart w:name="_Toc215581845" w:id="42"/>
      <w:r>
        <w:t>MCAM</w:t>
      </w:r>
      <w:bookmarkEnd w:id="41"/>
      <w:r>
        <w:t xml:space="preserve"> Costs</w:t>
      </w:r>
      <w:bookmarkEnd w:id="42"/>
    </w:p>
    <w:p w:rsidR="00D35A77" w:rsidP="00067802" w:rsidRDefault="00D35A77" w14:paraId="3BD6E17D" w14:textId="47B9C647">
      <w:pPr>
        <w:pStyle w:val="Standard"/>
      </w:pPr>
      <w:r>
        <w:t xml:space="preserve">D.22-05-015 authorized the recovery of MCAM rates to ensure that net costs of electric resource procurement obligations mandated in D.19-11-016 and D.21-06-035 are recovered in a fair and economical manner. </w:t>
      </w:r>
      <w:r w:rsidRPr="00D35A77">
        <w:t xml:space="preserve">Resolution E-5241 approved SDG&amp;E’s </w:t>
      </w:r>
      <w:r>
        <w:t>implementation plan for cost recovery but required certain modifications which are addressed in advice letters 4151-E and 4151-E-A.</w:t>
      </w:r>
    </w:p>
    <w:p w:rsidR="00230733" w:rsidP="00067802" w:rsidRDefault="00BE0406" w14:paraId="392266DA" w14:textId="0ACBD948">
      <w:pPr>
        <w:pStyle w:val="Standard"/>
      </w:pPr>
      <w:r w:rsidRPr="00E54787">
        <w:lastRenderedPageBreak/>
        <w:t>SDG&amp;E’s proposed MCAM rates are specified in Table 1</w:t>
      </w:r>
      <w:r w:rsidRPr="00E54787" w:rsidR="00D51AB9">
        <w:t>0</w:t>
      </w:r>
      <w:r w:rsidRPr="00E54787">
        <w:t xml:space="preserve"> of Exhibit SDGE-</w:t>
      </w:r>
      <w:r w:rsidRPr="00E54787" w:rsidR="00E54787">
        <w:t>9</w:t>
      </w:r>
      <w:r w:rsidRPr="00E54787" w:rsidR="00D51AB9">
        <w:t xml:space="preserve"> </w:t>
      </w:r>
      <w:r w:rsidRPr="00E54787">
        <w:t xml:space="preserve">and we find the </w:t>
      </w:r>
      <w:r w:rsidRPr="00E54787" w:rsidR="00D51AB9">
        <w:t xml:space="preserve">updated </w:t>
      </w:r>
      <w:r w:rsidRPr="00E54787">
        <w:t>forecast amount for 202</w:t>
      </w:r>
      <w:r w:rsidRPr="00E54787" w:rsidR="00D51AB9">
        <w:t>6</w:t>
      </w:r>
      <w:r w:rsidRPr="00E54787">
        <w:t xml:space="preserve"> of $0.</w:t>
      </w:r>
      <w:r w:rsidRPr="00E54787" w:rsidR="00D51AB9">
        <w:t>3</w:t>
      </w:r>
      <w:r w:rsidRPr="00E54787">
        <w:t xml:space="preserve"> million</w:t>
      </w:r>
      <w:r w:rsidRPr="00E54787" w:rsidR="00D51AB9">
        <w:t xml:space="preserve"> reasonable and </w:t>
      </w:r>
      <w:r w:rsidRPr="00E54787">
        <w:t xml:space="preserve">should be authorized. </w:t>
      </w:r>
      <w:r w:rsidRPr="00E54787" w:rsidR="00D51AB9">
        <w:t xml:space="preserve">The </w:t>
      </w:r>
      <w:r w:rsidR="00D51AB9">
        <w:t>updated forecast is slightly higher than the current</w:t>
      </w:r>
      <w:r w:rsidR="007A0EF8">
        <w:t>ly effective revenue requirement of $0.1 million.</w:t>
      </w:r>
      <w:r w:rsidR="00D51AB9">
        <w:t xml:space="preserve"> </w:t>
      </w:r>
    </w:p>
    <w:p w:rsidR="00264A56" w:rsidP="00855898" w:rsidRDefault="00264A56" w14:paraId="5F35CD6B" w14:textId="20EC3C5B">
      <w:pPr>
        <w:pStyle w:val="Heading2"/>
        <w:numPr>
          <w:ilvl w:val="1"/>
          <w:numId w:val="21"/>
        </w:numPr>
      </w:pPr>
      <w:bookmarkStart w:name="_Toc120015216" w:id="43"/>
      <w:bookmarkStart w:name="_Toc215581846" w:id="44"/>
      <w:r w:rsidRPr="00264A56">
        <w:t xml:space="preserve">SDCP DAC-GT </w:t>
      </w:r>
      <w:bookmarkEnd w:id="43"/>
      <w:r w:rsidR="00C76196">
        <w:t>Costs</w:t>
      </w:r>
      <w:bookmarkEnd w:id="44"/>
    </w:p>
    <w:p w:rsidR="00D625BA" w:rsidP="00067802" w:rsidRDefault="007B0EE2" w14:paraId="4EFD81A5" w14:textId="274E239D">
      <w:pPr>
        <w:pStyle w:val="Standard"/>
      </w:pPr>
      <w:r>
        <w:t>As stated previously, t</w:t>
      </w:r>
      <w:r w:rsidRPr="007B0EE2">
        <w:t xml:space="preserve">he DAC-GT </w:t>
      </w:r>
      <w:r w:rsidR="00980E74">
        <w:t xml:space="preserve">is a </w:t>
      </w:r>
      <w:r w:rsidRPr="007B0EE2">
        <w:t>solar program offering discounts to qualified customers that are unable to install solar on their roof.</w:t>
      </w:r>
      <w:r w:rsidR="000F5A79">
        <w:t xml:space="preserve"> </w:t>
      </w:r>
      <w:r>
        <w:t>SDG&amp;E adopt</w:t>
      </w:r>
      <w:r w:rsidR="00980E74">
        <w:t>ed</w:t>
      </w:r>
      <w:r>
        <w:t xml:space="preserve"> the program revenue requirement of $0</w:t>
      </w:r>
      <w:r w:rsidR="00980E74">
        <w:t xml:space="preserve"> </w:t>
      </w:r>
      <w:r>
        <w:t xml:space="preserve">million for DAC-GT </w:t>
      </w:r>
      <w:r w:rsidR="00D625BA">
        <w:t xml:space="preserve">requested by SDCP in Advice Letter </w:t>
      </w:r>
      <w:r w:rsidR="00980E74">
        <w:t>32</w:t>
      </w:r>
      <w:r w:rsidR="00D625BA">
        <w:t>-E</w:t>
      </w:r>
      <w:r w:rsidR="00C5106F">
        <w:t xml:space="preserve"> dated </w:t>
      </w:r>
      <w:r w:rsidR="000F5A79">
        <w:t>April 1, 2025</w:t>
      </w:r>
      <w:r w:rsidR="00D625BA">
        <w:t>.</w:t>
      </w:r>
      <w:r w:rsidR="000F5A79">
        <w:rPr>
          <w:rStyle w:val="FootnoteReference"/>
        </w:rPr>
        <w:footnoteReference w:id="22"/>
      </w:r>
      <w:r w:rsidR="00D625BA">
        <w:t xml:space="preserve"> Parties do not oppose the forecast </w:t>
      </w:r>
      <w:r w:rsidR="00980E74">
        <w:t>which we find reasonable and is based on SDCP’s requested amount.</w:t>
      </w:r>
    </w:p>
    <w:p w:rsidRPr="000C19CA" w:rsidR="00293305" w:rsidP="00293305" w:rsidRDefault="00293305" w14:paraId="662F70E6" w14:textId="6943919F">
      <w:pPr>
        <w:pStyle w:val="Heading2"/>
        <w:numPr>
          <w:ilvl w:val="1"/>
          <w:numId w:val="21"/>
        </w:numPr>
      </w:pPr>
      <w:bookmarkStart w:name="_Toc215581847" w:id="45"/>
      <w:r>
        <w:t>BioMAT</w:t>
      </w:r>
      <w:bookmarkEnd w:id="45"/>
      <w:r>
        <w:t xml:space="preserve"> </w:t>
      </w:r>
    </w:p>
    <w:p w:rsidR="00293305" w:rsidP="00067802" w:rsidRDefault="004C2E67" w14:paraId="77874671" w14:textId="6C531C4A">
      <w:pPr>
        <w:pStyle w:val="Standard"/>
      </w:pPr>
      <w:r>
        <w:t>There are currently no costs recorded in the BNBCBA, which records BioMAT program costs.</w:t>
      </w:r>
      <w:r>
        <w:rPr>
          <w:rStyle w:val="FootnoteReference"/>
        </w:rPr>
        <w:footnoteReference w:id="23"/>
      </w:r>
      <w:r>
        <w:t xml:space="preserve"> Thus, SDG&amp;E has no forecasted costs for BioMAT. </w:t>
      </w:r>
    </w:p>
    <w:p w:rsidRPr="000C19CA" w:rsidR="00067802" w:rsidP="00855898" w:rsidRDefault="0032212D" w14:paraId="3671C090" w14:textId="4A14F831">
      <w:pPr>
        <w:pStyle w:val="Heading2"/>
        <w:numPr>
          <w:ilvl w:val="1"/>
          <w:numId w:val="21"/>
        </w:numPr>
      </w:pPr>
      <w:bookmarkStart w:name="_Toc215581848" w:id="46"/>
      <w:bookmarkStart w:name="_Toc120015219" w:id="47"/>
      <w:r>
        <w:t>TMNBC Costs</w:t>
      </w:r>
      <w:bookmarkEnd w:id="46"/>
      <w:r>
        <w:t xml:space="preserve"> </w:t>
      </w:r>
      <w:bookmarkEnd w:id="47"/>
    </w:p>
    <w:p w:rsidR="0032212D" w:rsidP="0032212D" w:rsidRDefault="0032212D" w14:paraId="4632E246" w14:textId="37323B84">
      <w:pPr>
        <w:pStyle w:val="Standard"/>
      </w:pPr>
      <w:r w:rsidRPr="00E54787">
        <w:t xml:space="preserve">The TMNBC Balancing Account records tree mortality related procurement costs. SDG&amp;E’s updated TMNBC costs are presented in </w:t>
      </w:r>
      <w:r w:rsidRPr="00E54787" w:rsidR="00E54787">
        <w:t xml:space="preserve">Table 5 of </w:t>
      </w:r>
      <w:r w:rsidRPr="00E54787">
        <w:t>Exhibit SDGE</w:t>
      </w:r>
      <w:r w:rsidRPr="00E54787" w:rsidR="00D647B1">
        <w:t>-</w:t>
      </w:r>
      <w:r w:rsidRPr="00E54787">
        <w:t>1</w:t>
      </w:r>
      <w:r w:rsidRPr="00E54787" w:rsidR="00E54787">
        <w:t>1</w:t>
      </w:r>
      <w:r w:rsidRPr="00E54787">
        <w:t xml:space="preserve">C. These costs have been granted confidential treatment following past Commission practice. We find the forecast costs reasonable and supported by the evidence. </w:t>
      </w:r>
      <w:r>
        <w:t>Parties did not raise any issues with SDG&amp;E’s TMNBC forecast. We find that SDG&amp;E’s TMNBC forecast as set forth in the testimony of SDG&amp;E’s witness reasonable and should be adopted.</w:t>
      </w:r>
      <w:r w:rsidR="004A3A27">
        <w:t xml:space="preserve"> </w:t>
      </w:r>
    </w:p>
    <w:p w:rsidR="0032212D" w:rsidP="0032212D" w:rsidRDefault="0032212D" w14:paraId="29B59954" w14:textId="35FFA2CC">
      <w:pPr>
        <w:pStyle w:val="Standard"/>
      </w:pPr>
      <w:r>
        <w:t>Pursuant to D.18</w:t>
      </w:r>
      <w:r w:rsidR="007728CE">
        <w:t>-</w:t>
      </w:r>
      <w:r>
        <w:t>12</w:t>
      </w:r>
      <w:r w:rsidR="007728CE">
        <w:t>-</w:t>
      </w:r>
      <w:r>
        <w:t xml:space="preserve">003, these costs are to be recovered through the public purpose programs. </w:t>
      </w:r>
    </w:p>
    <w:p w:rsidRPr="000C19CA" w:rsidR="00067802" w:rsidP="00855898" w:rsidRDefault="00BE0406" w14:paraId="561FF8C1" w14:textId="0F65D623">
      <w:pPr>
        <w:pStyle w:val="Heading2"/>
        <w:numPr>
          <w:ilvl w:val="1"/>
          <w:numId w:val="21"/>
        </w:numPr>
      </w:pPr>
      <w:bookmarkStart w:name="_Toc120015220" w:id="48"/>
      <w:bookmarkStart w:name="_Toc215581849" w:id="49"/>
      <w:r>
        <w:lastRenderedPageBreak/>
        <w:t>GHG Allowance Returns</w:t>
      </w:r>
      <w:bookmarkEnd w:id="48"/>
      <w:bookmarkEnd w:id="49"/>
    </w:p>
    <w:p w:rsidRPr="008552B9" w:rsidR="007504B7" w:rsidP="00BE0406" w:rsidRDefault="00BE0406" w14:paraId="7174990D" w14:textId="39645A8E">
      <w:pPr>
        <w:pStyle w:val="Standard"/>
      </w:pPr>
      <w:r w:rsidRPr="008552B9">
        <w:t>SDG&amp;E’s updated forecast for GHG Allowance Returns is $(</w:t>
      </w:r>
      <w:r w:rsidRPr="008552B9" w:rsidR="008552B9">
        <w:t>152</w:t>
      </w:r>
      <w:r w:rsidRPr="008552B9">
        <w:t>.</w:t>
      </w:r>
      <w:r w:rsidRPr="008552B9" w:rsidR="008552B9">
        <w:t>7</w:t>
      </w:r>
      <w:r w:rsidRPr="008552B9">
        <w:t>) million. Its initial forecast in its May application was $(</w:t>
      </w:r>
      <w:r w:rsidRPr="008552B9" w:rsidR="008552B9">
        <w:t>165.2</w:t>
      </w:r>
      <w:r w:rsidRPr="008552B9">
        <w:t xml:space="preserve">) million. By comparison, its current revenue </w:t>
      </w:r>
      <w:r w:rsidR="00605271">
        <w:t>allowance return</w:t>
      </w:r>
      <w:r w:rsidRPr="008552B9">
        <w:t xml:space="preserve"> is $(</w:t>
      </w:r>
      <w:r w:rsidRPr="008552B9" w:rsidR="008552B9">
        <w:t>249.4</w:t>
      </w:r>
      <w:r w:rsidRPr="008552B9">
        <w:t xml:space="preserve">) million. </w:t>
      </w:r>
    </w:p>
    <w:p w:rsidRPr="009538D1" w:rsidR="00BE0406" w:rsidP="00BE0406" w:rsidRDefault="00BE0406" w14:paraId="0E8560FC" w14:textId="50578D88">
      <w:pPr>
        <w:pStyle w:val="Standard"/>
      </w:pPr>
      <w:r w:rsidRPr="008552B9">
        <w:t>IOUs are required by the Commission to distribute GHG allowance revenues eligible for return to customers.</w:t>
      </w:r>
      <w:r w:rsidRPr="008552B9" w:rsidR="007504B7">
        <w:t xml:space="preserve"> </w:t>
      </w:r>
      <w:r w:rsidRPr="008552B9">
        <w:t xml:space="preserve">The returns are to be made to </w:t>
      </w:r>
      <w:r w:rsidRPr="008552B9" w:rsidR="00A5344A">
        <w:t>emission intensive and trade-exposed (</w:t>
      </w:r>
      <w:r w:rsidRPr="008552B9">
        <w:t>EITE</w:t>
      </w:r>
      <w:r w:rsidRPr="008552B9" w:rsidR="00A5344A">
        <w:t>)</w:t>
      </w:r>
      <w:r w:rsidRPr="008552B9">
        <w:t xml:space="preserve"> entities who will receive an annual fixed on</w:t>
      </w:r>
      <w:r w:rsidRPr="008552B9" w:rsidR="00A5344A">
        <w:t>-</w:t>
      </w:r>
      <w:r w:rsidRPr="008552B9">
        <w:t xml:space="preserve">bill credit based on Commission calculations. The EITE distribution will follow </w:t>
      </w:r>
      <w:r>
        <w:t>the manner prescribed in D.20</w:t>
      </w:r>
      <w:r w:rsidR="007504B7">
        <w:t>-</w:t>
      </w:r>
      <w:r>
        <w:t>10</w:t>
      </w:r>
      <w:r w:rsidR="007504B7">
        <w:t>-</w:t>
      </w:r>
      <w:r>
        <w:t>002 (modified by D.21</w:t>
      </w:r>
      <w:r w:rsidR="007504B7">
        <w:t>-</w:t>
      </w:r>
      <w:r>
        <w:t>08</w:t>
      </w:r>
      <w:r w:rsidR="007504B7">
        <w:t>-</w:t>
      </w:r>
      <w:r>
        <w:t xml:space="preserve">026). The remaining allowance distributions shall be made equally to all qualifying Small Business and Residential customers via a twice annual </w:t>
      </w:r>
      <w:r w:rsidR="00A5344A">
        <w:t>California Climate Credit (</w:t>
      </w:r>
      <w:r>
        <w:t>CCC</w:t>
      </w:r>
      <w:r w:rsidR="00A5344A">
        <w:t>)</w:t>
      </w:r>
      <w:r>
        <w:t xml:space="preserve"> of </w:t>
      </w:r>
      <w:r w:rsidRPr="009538D1">
        <w:t>$</w:t>
      </w:r>
      <w:r w:rsidR="00B734AB">
        <w:t>49</w:t>
      </w:r>
      <w:r w:rsidRPr="009538D1">
        <w:t>.</w:t>
      </w:r>
      <w:r w:rsidR="00B734AB">
        <w:t>36</w:t>
      </w:r>
      <w:r w:rsidRPr="009538D1">
        <w:t>.</w:t>
      </w:r>
      <w:r w:rsidRPr="009538D1" w:rsidR="00F7047E">
        <w:rPr>
          <w:rStyle w:val="FootnoteReference"/>
        </w:rPr>
        <w:footnoteReference w:id="24"/>
      </w:r>
      <w:r w:rsidRPr="009538D1">
        <w:t xml:space="preserve"> </w:t>
      </w:r>
      <w:r w:rsidR="00B734AB">
        <w:t xml:space="preserve">The projected CCC is lower than what is currently authorized ($81.38) because </w:t>
      </w:r>
      <w:r w:rsidR="00605271">
        <w:t>o</w:t>
      </w:r>
      <w:r w:rsidRPr="00605271" w:rsidR="00605271">
        <w:t>f lower forecast allowance proceeds due to market conditions and a negative balance rolling forward due to lower recorded allowance proceeds across 2025</w:t>
      </w:r>
      <w:r w:rsidR="00B734AB">
        <w:t>.</w:t>
      </w:r>
    </w:p>
    <w:p w:rsidR="00BE0406" w:rsidP="00BE0406" w:rsidRDefault="00BE0406" w14:paraId="5AF3B590" w14:textId="6D46B3F0">
      <w:pPr>
        <w:pStyle w:val="Standard"/>
      </w:pPr>
      <w:r>
        <w:t xml:space="preserve">Parties do not contest SDG&amp;E’s calculations and we find that the </w:t>
      </w:r>
      <w:r w:rsidR="00F7047E">
        <w:t xml:space="preserve">updated </w:t>
      </w:r>
      <w:r>
        <w:t xml:space="preserve">proposed GHG Allowance Returns are supported by Table 6 of </w:t>
      </w:r>
      <w:r w:rsidR="00F7047E">
        <w:t>Exhibit SDGE-</w:t>
      </w:r>
      <w:r w:rsidR="005A06AD">
        <w:t>9</w:t>
      </w:r>
      <w:r w:rsidR="00F7047E">
        <w:t xml:space="preserve"> </w:t>
      </w:r>
      <w:r>
        <w:t xml:space="preserve">which shows the breakdown of allowable returns. </w:t>
      </w:r>
      <w:r w:rsidR="00F7047E">
        <w:t>We find the</w:t>
      </w:r>
      <w:r>
        <w:t xml:space="preserve"> proposed GHG Allowance Returns for 202</w:t>
      </w:r>
      <w:r w:rsidR="005A06AD">
        <w:t>6</w:t>
      </w:r>
      <w:r>
        <w:t xml:space="preserve"> </w:t>
      </w:r>
      <w:r w:rsidR="00B734AB">
        <w:t xml:space="preserve">supported by the evidence and find that the forecast </w:t>
      </w:r>
      <w:r>
        <w:t>should be authorized.</w:t>
      </w:r>
    </w:p>
    <w:p w:rsidRPr="000C19CA" w:rsidR="00067802" w:rsidP="00855898" w:rsidRDefault="00DD14DC" w14:paraId="031FCE86" w14:textId="1766E269">
      <w:pPr>
        <w:pStyle w:val="Heading2"/>
        <w:numPr>
          <w:ilvl w:val="1"/>
          <w:numId w:val="21"/>
        </w:numPr>
      </w:pPr>
      <w:bookmarkStart w:name="_Toc120015223" w:id="50"/>
      <w:bookmarkStart w:name="_Toc215581850" w:id="51"/>
      <w:r>
        <w:t xml:space="preserve">Electric </w:t>
      </w:r>
      <w:r w:rsidR="00F7047E">
        <w:t>Sales Forecast</w:t>
      </w:r>
      <w:bookmarkEnd w:id="50"/>
      <w:bookmarkEnd w:id="51"/>
    </w:p>
    <w:p w:rsidRPr="000C19CA" w:rsidR="00F7047E" w:rsidP="00F7047E" w:rsidRDefault="00F7047E" w14:paraId="48CE0ED1" w14:textId="2B2D1BFE">
      <w:pPr>
        <w:pStyle w:val="Standard"/>
      </w:pPr>
      <w:r w:rsidRPr="000C19CA">
        <w:t>D.22</w:t>
      </w:r>
      <w:r w:rsidRPr="000C19CA">
        <w:noBreakHyphen/>
        <w:t>03</w:t>
      </w:r>
      <w:r w:rsidRPr="000C19CA">
        <w:noBreakHyphen/>
        <w:t>003 directed SDG&amp;E to include its 202</w:t>
      </w:r>
      <w:r w:rsidR="00100E71">
        <w:t>6</w:t>
      </w:r>
      <w:r w:rsidRPr="000C19CA">
        <w:t xml:space="preserve"> Electric Sales Forecast in this application. The table below shows SDG&amp;E’s 202</w:t>
      </w:r>
      <w:r w:rsidR="00100E71">
        <w:t>6</w:t>
      </w:r>
      <w:r w:rsidRPr="000C19CA">
        <w:t xml:space="preserve"> forecast and by comparison the </w:t>
      </w:r>
      <w:r w:rsidR="00D36FCB">
        <w:t>approved forecast in SDG&amp;E’s 2025 ERRA (D.24-12-040)</w:t>
      </w:r>
      <w:r w:rsidRPr="000C19CA">
        <w:t>.</w:t>
      </w:r>
    </w:p>
    <w:p w:rsidRPr="000C19CA" w:rsidR="00F7047E" w:rsidP="00C76196" w:rsidRDefault="00F7047E" w14:paraId="241B3FD2" w14:textId="77777777">
      <w:pPr>
        <w:pStyle w:val="TableTitleBodyH085"/>
        <w:spacing w:after="240"/>
        <w:rPr>
          <w:b/>
          <w:bCs w:val="0"/>
        </w:rPr>
      </w:pPr>
      <w:bookmarkStart w:name="Table2" w:id="52"/>
      <w:r w:rsidRPr="000C19CA">
        <w:rPr>
          <w:b/>
          <w:bCs w:val="0"/>
        </w:rPr>
        <w:lastRenderedPageBreak/>
        <w:t>Table 2.</w:t>
      </w:r>
      <w:r w:rsidRPr="000C19CA">
        <w:rPr>
          <w:b/>
          <w:bCs w:val="0"/>
        </w:rPr>
        <w:tab/>
      </w:r>
      <w:r w:rsidRPr="000C19CA">
        <w:rPr>
          <w:bCs w:val="0"/>
        </w:rPr>
        <w:t>Annual Electric Net Sales</w:t>
      </w:r>
      <w:bookmarkEnd w:id="52"/>
      <w:r w:rsidRPr="000C19CA">
        <w:rPr>
          <w:bCs w:val="0"/>
        </w:rPr>
        <w:t xml:space="preserve"> (gigawatt hours)</w:t>
      </w:r>
    </w:p>
    <w:tbl>
      <w:tblPr>
        <w:tblStyle w:val="TableGrid"/>
        <w:tblW w:w="0" w:type="auto"/>
        <w:jc w:val="center"/>
        <w:tblLayout w:type="fixed"/>
        <w:tblCellMar>
          <w:top w:w="58" w:type="dxa"/>
          <w:bottom w:w="58" w:type="dxa"/>
        </w:tblCellMar>
        <w:tblLook w:val="04A0" w:firstRow="1" w:lastRow="0" w:firstColumn="1" w:lastColumn="0" w:noHBand="0" w:noVBand="1"/>
      </w:tblPr>
      <w:tblGrid>
        <w:gridCol w:w="2012"/>
        <w:gridCol w:w="1653"/>
        <w:gridCol w:w="2697"/>
        <w:gridCol w:w="1292"/>
      </w:tblGrid>
      <w:tr w:rsidRPr="002455BC" w:rsidR="00F7047E" w:rsidTr="00714237" w14:paraId="6BB9075A" w14:textId="77777777">
        <w:trPr>
          <w:cantSplit/>
          <w:tblHeader/>
          <w:jc w:val="center"/>
        </w:trPr>
        <w:tc>
          <w:tcPr>
            <w:tcW w:w="2012" w:type="dxa"/>
            <w:vAlign w:val="bottom"/>
          </w:tcPr>
          <w:p w:rsidRPr="002455BC" w:rsidR="00F7047E" w:rsidP="00714237" w:rsidRDefault="00F7047E" w14:paraId="446C113D" w14:textId="77777777">
            <w:pPr>
              <w:pStyle w:val="Standard"/>
              <w:keepNext/>
              <w:spacing w:line="240" w:lineRule="auto"/>
              <w:ind w:firstLine="0"/>
              <w:jc w:val="center"/>
              <w:rPr>
                <w:b/>
                <w:bCs/>
                <w:sz w:val="22"/>
              </w:rPr>
            </w:pPr>
            <w:r w:rsidRPr="002455BC">
              <w:rPr>
                <w:b/>
                <w:bCs/>
                <w:sz w:val="22"/>
              </w:rPr>
              <w:t>Sector</w:t>
            </w:r>
          </w:p>
        </w:tc>
        <w:tc>
          <w:tcPr>
            <w:tcW w:w="1653" w:type="dxa"/>
            <w:vAlign w:val="bottom"/>
          </w:tcPr>
          <w:p w:rsidRPr="002455BC" w:rsidR="00F7047E" w:rsidP="00714237" w:rsidRDefault="00F7047E" w14:paraId="00DE229D" w14:textId="57DAA903">
            <w:pPr>
              <w:pStyle w:val="Standard"/>
              <w:keepNext/>
              <w:spacing w:line="240" w:lineRule="auto"/>
              <w:ind w:firstLine="0"/>
              <w:jc w:val="center"/>
              <w:rPr>
                <w:b/>
                <w:bCs/>
                <w:sz w:val="22"/>
              </w:rPr>
            </w:pPr>
            <w:r w:rsidRPr="002455BC">
              <w:rPr>
                <w:b/>
                <w:bCs/>
                <w:sz w:val="22"/>
              </w:rPr>
              <w:t>Proposed 202</w:t>
            </w:r>
            <w:r w:rsidR="00100E71">
              <w:rPr>
                <w:b/>
                <w:bCs/>
                <w:sz w:val="22"/>
              </w:rPr>
              <w:t>6</w:t>
            </w:r>
          </w:p>
        </w:tc>
        <w:tc>
          <w:tcPr>
            <w:tcW w:w="2697" w:type="dxa"/>
            <w:vAlign w:val="bottom"/>
          </w:tcPr>
          <w:p w:rsidRPr="002455BC" w:rsidR="00F7047E" w:rsidP="00714237" w:rsidRDefault="00D36FCB" w14:paraId="64E27F28" w14:textId="396AA64C">
            <w:pPr>
              <w:pStyle w:val="Standard"/>
              <w:keepNext/>
              <w:spacing w:line="240" w:lineRule="auto"/>
              <w:ind w:firstLine="0"/>
              <w:jc w:val="center"/>
              <w:rPr>
                <w:b/>
                <w:bCs/>
                <w:sz w:val="22"/>
              </w:rPr>
            </w:pPr>
            <w:r>
              <w:rPr>
                <w:b/>
                <w:bCs/>
                <w:sz w:val="22"/>
              </w:rPr>
              <w:t>Current Authorized 2025</w:t>
            </w:r>
          </w:p>
        </w:tc>
        <w:tc>
          <w:tcPr>
            <w:tcW w:w="1292" w:type="dxa"/>
            <w:vAlign w:val="bottom"/>
          </w:tcPr>
          <w:p w:rsidRPr="002455BC" w:rsidR="00F7047E" w:rsidP="00714237" w:rsidRDefault="00F7047E" w14:paraId="6034FC1E" w14:textId="77777777">
            <w:pPr>
              <w:pStyle w:val="Standard"/>
              <w:keepNext/>
              <w:spacing w:line="240" w:lineRule="auto"/>
              <w:ind w:firstLine="0"/>
              <w:jc w:val="center"/>
              <w:rPr>
                <w:b/>
                <w:bCs/>
                <w:sz w:val="22"/>
              </w:rPr>
            </w:pPr>
            <w:r w:rsidRPr="002455BC">
              <w:rPr>
                <w:b/>
                <w:bCs/>
                <w:sz w:val="22"/>
              </w:rPr>
              <w:t>Difference</w:t>
            </w:r>
          </w:p>
        </w:tc>
      </w:tr>
      <w:tr w:rsidRPr="002455BC" w:rsidR="00D36FCB" w:rsidTr="00714237" w14:paraId="7D8542C0" w14:textId="77777777">
        <w:trPr>
          <w:cantSplit/>
          <w:jc w:val="center"/>
        </w:trPr>
        <w:tc>
          <w:tcPr>
            <w:tcW w:w="2012" w:type="dxa"/>
          </w:tcPr>
          <w:p w:rsidRPr="002455BC" w:rsidR="00D36FCB" w:rsidP="00D36FCB" w:rsidRDefault="00D36FCB" w14:paraId="345BFC96" w14:textId="77777777">
            <w:pPr>
              <w:pStyle w:val="Standard"/>
              <w:spacing w:line="240" w:lineRule="auto"/>
              <w:ind w:firstLine="0"/>
              <w:rPr>
                <w:sz w:val="22"/>
              </w:rPr>
            </w:pPr>
            <w:r w:rsidRPr="002455BC">
              <w:rPr>
                <w:sz w:val="22"/>
              </w:rPr>
              <w:t>Residential</w:t>
            </w:r>
          </w:p>
        </w:tc>
        <w:tc>
          <w:tcPr>
            <w:tcW w:w="1653" w:type="dxa"/>
          </w:tcPr>
          <w:p w:rsidRPr="002455BC" w:rsidR="00D36FCB" w:rsidP="00D36FCB" w:rsidRDefault="00D36FCB" w14:paraId="47F5C7C1" w14:textId="01917979">
            <w:pPr>
              <w:pStyle w:val="Standard"/>
              <w:spacing w:line="240" w:lineRule="auto"/>
              <w:ind w:firstLine="0"/>
              <w:jc w:val="right"/>
              <w:rPr>
                <w:sz w:val="22"/>
              </w:rPr>
            </w:pPr>
            <w:r>
              <w:rPr>
                <w:sz w:val="22"/>
              </w:rPr>
              <w:t>5,529</w:t>
            </w:r>
          </w:p>
        </w:tc>
        <w:tc>
          <w:tcPr>
            <w:tcW w:w="2697" w:type="dxa"/>
          </w:tcPr>
          <w:p w:rsidRPr="002455BC" w:rsidR="00D36FCB" w:rsidP="00D36FCB" w:rsidRDefault="00D36FCB" w14:paraId="3AFD18F8" w14:textId="119C4E79">
            <w:pPr>
              <w:pStyle w:val="Standard"/>
              <w:spacing w:line="240" w:lineRule="auto"/>
              <w:ind w:firstLine="0"/>
              <w:jc w:val="right"/>
              <w:rPr>
                <w:sz w:val="22"/>
              </w:rPr>
            </w:pPr>
            <w:r w:rsidRPr="00B365B3">
              <w:rPr>
                <w:sz w:val="22"/>
              </w:rPr>
              <w:t>6,059</w:t>
            </w:r>
          </w:p>
        </w:tc>
        <w:tc>
          <w:tcPr>
            <w:tcW w:w="1292" w:type="dxa"/>
          </w:tcPr>
          <w:p w:rsidRPr="002455BC" w:rsidR="00D36FCB" w:rsidP="00D36FCB" w:rsidRDefault="00D36FCB" w14:paraId="1AB3C47A" w14:textId="59E25D3C">
            <w:pPr>
              <w:pStyle w:val="Standard"/>
              <w:spacing w:line="240" w:lineRule="auto"/>
              <w:ind w:firstLine="0"/>
              <w:jc w:val="right"/>
              <w:rPr>
                <w:sz w:val="22"/>
              </w:rPr>
            </w:pPr>
            <w:r>
              <w:rPr>
                <w:sz w:val="22"/>
              </w:rPr>
              <w:t>-530</w:t>
            </w:r>
          </w:p>
        </w:tc>
      </w:tr>
      <w:tr w:rsidRPr="002455BC" w:rsidR="00D36FCB" w:rsidTr="00714237" w14:paraId="280DDE4A" w14:textId="77777777">
        <w:trPr>
          <w:cantSplit/>
          <w:jc w:val="center"/>
        </w:trPr>
        <w:tc>
          <w:tcPr>
            <w:tcW w:w="2012" w:type="dxa"/>
          </w:tcPr>
          <w:p w:rsidRPr="002455BC" w:rsidR="00D36FCB" w:rsidP="00D36FCB" w:rsidRDefault="00D36FCB" w14:paraId="7C5EB60F" w14:textId="77777777">
            <w:pPr>
              <w:pStyle w:val="Standard"/>
              <w:spacing w:line="240" w:lineRule="auto"/>
              <w:ind w:firstLine="0"/>
              <w:rPr>
                <w:sz w:val="22"/>
              </w:rPr>
            </w:pPr>
            <w:r w:rsidRPr="002455BC">
              <w:rPr>
                <w:sz w:val="22"/>
              </w:rPr>
              <w:t>Small Commercial</w:t>
            </w:r>
          </w:p>
        </w:tc>
        <w:tc>
          <w:tcPr>
            <w:tcW w:w="1653" w:type="dxa"/>
          </w:tcPr>
          <w:p w:rsidRPr="002455BC" w:rsidR="00D36FCB" w:rsidP="00D36FCB" w:rsidRDefault="00D36FCB" w14:paraId="587B5675" w14:textId="63607611">
            <w:pPr>
              <w:pStyle w:val="Standard"/>
              <w:spacing w:line="240" w:lineRule="auto"/>
              <w:ind w:firstLine="0"/>
              <w:jc w:val="right"/>
              <w:rPr>
                <w:sz w:val="22"/>
              </w:rPr>
            </w:pPr>
            <w:r>
              <w:rPr>
                <w:sz w:val="22"/>
              </w:rPr>
              <w:t>2,442</w:t>
            </w:r>
          </w:p>
        </w:tc>
        <w:tc>
          <w:tcPr>
            <w:tcW w:w="2697" w:type="dxa"/>
          </w:tcPr>
          <w:p w:rsidRPr="002455BC" w:rsidR="00D36FCB" w:rsidP="00D36FCB" w:rsidRDefault="00D36FCB" w14:paraId="0EB0ADD5" w14:textId="73BCB8D0">
            <w:pPr>
              <w:pStyle w:val="Standard"/>
              <w:spacing w:line="240" w:lineRule="auto"/>
              <w:ind w:firstLine="0"/>
              <w:jc w:val="right"/>
              <w:rPr>
                <w:sz w:val="22"/>
              </w:rPr>
            </w:pPr>
            <w:r w:rsidRPr="00B365B3">
              <w:rPr>
                <w:sz w:val="22"/>
              </w:rPr>
              <w:t>2,428</w:t>
            </w:r>
          </w:p>
        </w:tc>
        <w:tc>
          <w:tcPr>
            <w:tcW w:w="1292" w:type="dxa"/>
          </w:tcPr>
          <w:p w:rsidRPr="002455BC" w:rsidR="00D36FCB" w:rsidP="00D36FCB" w:rsidRDefault="00D36FCB" w14:paraId="2B098A5D" w14:textId="614D0D02">
            <w:pPr>
              <w:pStyle w:val="Standard"/>
              <w:spacing w:line="240" w:lineRule="auto"/>
              <w:ind w:firstLine="0"/>
              <w:jc w:val="right"/>
              <w:rPr>
                <w:sz w:val="22"/>
              </w:rPr>
            </w:pPr>
            <w:r>
              <w:rPr>
                <w:sz w:val="22"/>
              </w:rPr>
              <w:t>+14</w:t>
            </w:r>
          </w:p>
        </w:tc>
      </w:tr>
      <w:tr w:rsidRPr="002455BC" w:rsidR="00D36FCB" w:rsidTr="00714237" w14:paraId="3A536F61" w14:textId="77777777">
        <w:trPr>
          <w:cantSplit/>
          <w:jc w:val="center"/>
        </w:trPr>
        <w:tc>
          <w:tcPr>
            <w:tcW w:w="2012" w:type="dxa"/>
          </w:tcPr>
          <w:p w:rsidRPr="002455BC" w:rsidR="00D36FCB" w:rsidP="00D36FCB" w:rsidRDefault="00D36FCB" w14:paraId="371581D1" w14:textId="77777777">
            <w:pPr>
              <w:pStyle w:val="Standard"/>
              <w:spacing w:line="240" w:lineRule="auto"/>
              <w:ind w:firstLine="0"/>
              <w:rPr>
                <w:sz w:val="22"/>
              </w:rPr>
            </w:pPr>
            <w:r w:rsidRPr="002455BC">
              <w:rPr>
                <w:sz w:val="22"/>
              </w:rPr>
              <w:t xml:space="preserve">Medium &amp; Large </w:t>
            </w:r>
          </w:p>
          <w:p w:rsidRPr="002455BC" w:rsidR="00D36FCB" w:rsidP="00D36FCB" w:rsidRDefault="00D36FCB" w14:paraId="4F220CF6" w14:textId="77777777">
            <w:pPr>
              <w:pStyle w:val="Standard"/>
              <w:spacing w:line="240" w:lineRule="auto"/>
              <w:ind w:firstLine="0"/>
              <w:rPr>
                <w:sz w:val="22"/>
              </w:rPr>
            </w:pPr>
            <w:r w:rsidRPr="002455BC">
              <w:rPr>
                <w:sz w:val="22"/>
              </w:rPr>
              <w:t>Com./Ind.</w:t>
            </w:r>
          </w:p>
        </w:tc>
        <w:tc>
          <w:tcPr>
            <w:tcW w:w="1653" w:type="dxa"/>
          </w:tcPr>
          <w:p w:rsidRPr="002455BC" w:rsidR="00D36FCB" w:rsidP="00D36FCB" w:rsidRDefault="00D36FCB" w14:paraId="685811A1" w14:textId="384E3711">
            <w:pPr>
              <w:pStyle w:val="Standard"/>
              <w:spacing w:line="240" w:lineRule="auto"/>
              <w:ind w:firstLine="0"/>
              <w:jc w:val="right"/>
              <w:rPr>
                <w:sz w:val="22"/>
              </w:rPr>
            </w:pPr>
            <w:r>
              <w:rPr>
                <w:sz w:val="22"/>
              </w:rPr>
              <w:t>8,987</w:t>
            </w:r>
          </w:p>
        </w:tc>
        <w:tc>
          <w:tcPr>
            <w:tcW w:w="2697" w:type="dxa"/>
          </w:tcPr>
          <w:p w:rsidRPr="002455BC" w:rsidR="00D36FCB" w:rsidP="00D36FCB" w:rsidRDefault="00D36FCB" w14:paraId="15A94CA5" w14:textId="0296B3A6">
            <w:pPr>
              <w:pStyle w:val="Standard"/>
              <w:spacing w:line="240" w:lineRule="auto"/>
              <w:ind w:firstLine="0"/>
              <w:jc w:val="right"/>
              <w:rPr>
                <w:sz w:val="22"/>
              </w:rPr>
            </w:pPr>
            <w:r w:rsidRPr="00B365B3">
              <w:rPr>
                <w:sz w:val="22"/>
              </w:rPr>
              <w:t>9,368</w:t>
            </w:r>
          </w:p>
        </w:tc>
        <w:tc>
          <w:tcPr>
            <w:tcW w:w="1292" w:type="dxa"/>
          </w:tcPr>
          <w:p w:rsidRPr="002455BC" w:rsidR="00D36FCB" w:rsidP="00D36FCB" w:rsidRDefault="00D36FCB" w14:paraId="1AEE12C9" w14:textId="2F84FD27">
            <w:pPr>
              <w:pStyle w:val="Standard"/>
              <w:spacing w:line="240" w:lineRule="auto"/>
              <w:ind w:firstLine="0"/>
              <w:jc w:val="right"/>
              <w:rPr>
                <w:sz w:val="22"/>
              </w:rPr>
            </w:pPr>
            <w:r>
              <w:rPr>
                <w:sz w:val="22"/>
              </w:rPr>
              <w:t>-381</w:t>
            </w:r>
          </w:p>
        </w:tc>
      </w:tr>
      <w:tr w:rsidRPr="002455BC" w:rsidR="00D36FCB" w:rsidTr="00714237" w14:paraId="7671B700" w14:textId="77777777">
        <w:trPr>
          <w:cantSplit/>
          <w:jc w:val="center"/>
        </w:trPr>
        <w:tc>
          <w:tcPr>
            <w:tcW w:w="2012" w:type="dxa"/>
          </w:tcPr>
          <w:p w:rsidRPr="002455BC" w:rsidR="00D36FCB" w:rsidP="00D36FCB" w:rsidRDefault="00D36FCB" w14:paraId="2DE4A538" w14:textId="77777777">
            <w:pPr>
              <w:pStyle w:val="Standard"/>
              <w:spacing w:line="240" w:lineRule="auto"/>
              <w:ind w:firstLine="0"/>
              <w:rPr>
                <w:sz w:val="22"/>
              </w:rPr>
            </w:pPr>
            <w:r w:rsidRPr="002455BC">
              <w:rPr>
                <w:sz w:val="22"/>
              </w:rPr>
              <w:t>Agricultural</w:t>
            </w:r>
          </w:p>
        </w:tc>
        <w:tc>
          <w:tcPr>
            <w:tcW w:w="1653" w:type="dxa"/>
          </w:tcPr>
          <w:p w:rsidRPr="002455BC" w:rsidR="00D36FCB" w:rsidP="00D36FCB" w:rsidRDefault="00D36FCB" w14:paraId="37A32C09" w14:textId="18EF8314">
            <w:pPr>
              <w:pStyle w:val="Standard"/>
              <w:spacing w:line="240" w:lineRule="auto"/>
              <w:ind w:firstLine="0"/>
              <w:jc w:val="right"/>
              <w:rPr>
                <w:sz w:val="22"/>
              </w:rPr>
            </w:pPr>
            <w:r>
              <w:rPr>
                <w:sz w:val="22"/>
              </w:rPr>
              <w:t>391</w:t>
            </w:r>
          </w:p>
        </w:tc>
        <w:tc>
          <w:tcPr>
            <w:tcW w:w="2697" w:type="dxa"/>
          </w:tcPr>
          <w:p w:rsidRPr="002455BC" w:rsidR="00D36FCB" w:rsidP="00D36FCB" w:rsidRDefault="00D36FCB" w14:paraId="09DD352E" w14:textId="61C0EBFA">
            <w:pPr>
              <w:pStyle w:val="Standard"/>
              <w:spacing w:line="240" w:lineRule="auto"/>
              <w:ind w:firstLine="0"/>
              <w:jc w:val="right"/>
              <w:rPr>
                <w:sz w:val="22"/>
              </w:rPr>
            </w:pPr>
            <w:r w:rsidRPr="00B365B3">
              <w:rPr>
                <w:sz w:val="22"/>
              </w:rPr>
              <w:t>355</w:t>
            </w:r>
          </w:p>
        </w:tc>
        <w:tc>
          <w:tcPr>
            <w:tcW w:w="1292" w:type="dxa"/>
          </w:tcPr>
          <w:p w:rsidRPr="002455BC" w:rsidR="00D36FCB" w:rsidP="00D36FCB" w:rsidRDefault="00D36FCB" w14:paraId="064DEC5F" w14:textId="66A38682">
            <w:pPr>
              <w:pStyle w:val="Standard"/>
              <w:spacing w:line="240" w:lineRule="auto"/>
              <w:ind w:firstLine="0"/>
              <w:jc w:val="right"/>
              <w:rPr>
                <w:sz w:val="22"/>
              </w:rPr>
            </w:pPr>
            <w:r>
              <w:rPr>
                <w:sz w:val="22"/>
              </w:rPr>
              <w:t>+36</w:t>
            </w:r>
          </w:p>
        </w:tc>
      </w:tr>
      <w:tr w:rsidRPr="002455BC" w:rsidR="00D36FCB" w:rsidTr="00714237" w14:paraId="37E0B5C1" w14:textId="77777777">
        <w:trPr>
          <w:cantSplit/>
          <w:jc w:val="center"/>
        </w:trPr>
        <w:tc>
          <w:tcPr>
            <w:tcW w:w="2012" w:type="dxa"/>
          </w:tcPr>
          <w:p w:rsidRPr="002455BC" w:rsidR="00D36FCB" w:rsidP="00D36FCB" w:rsidRDefault="00D36FCB" w14:paraId="03866793" w14:textId="77777777">
            <w:pPr>
              <w:pStyle w:val="Standard"/>
              <w:spacing w:line="240" w:lineRule="auto"/>
              <w:ind w:firstLine="0"/>
              <w:rPr>
                <w:sz w:val="22"/>
              </w:rPr>
            </w:pPr>
            <w:r w:rsidRPr="002455BC">
              <w:rPr>
                <w:sz w:val="22"/>
              </w:rPr>
              <w:t>Lighting</w:t>
            </w:r>
          </w:p>
        </w:tc>
        <w:tc>
          <w:tcPr>
            <w:tcW w:w="1653" w:type="dxa"/>
          </w:tcPr>
          <w:p w:rsidRPr="002455BC" w:rsidR="00D36FCB" w:rsidP="00D36FCB" w:rsidRDefault="00D36FCB" w14:paraId="56402D85" w14:textId="5D507638">
            <w:pPr>
              <w:pStyle w:val="Standard"/>
              <w:spacing w:line="240" w:lineRule="auto"/>
              <w:ind w:firstLine="0"/>
              <w:jc w:val="right"/>
              <w:rPr>
                <w:sz w:val="22"/>
              </w:rPr>
            </w:pPr>
            <w:r>
              <w:rPr>
                <w:sz w:val="22"/>
              </w:rPr>
              <w:t>82</w:t>
            </w:r>
          </w:p>
        </w:tc>
        <w:tc>
          <w:tcPr>
            <w:tcW w:w="2697" w:type="dxa"/>
          </w:tcPr>
          <w:p w:rsidRPr="002455BC" w:rsidR="00D36FCB" w:rsidP="00D36FCB" w:rsidRDefault="00D36FCB" w14:paraId="771F2D37" w14:textId="7AA31144">
            <w:pPr>
              <w:pStyle w:val="Standard"/>
              <w:spacing w:line="240" w:lineRule="auto"/>
              <w:ind w:firstLine="0"/>
              <w:jc w:val="right"/>
              <w:rPr>
                <w:sz w:val="22"/>
              </w:rPr>
            </w:pPr>
            <w:r w:rsidRPr="00B365B3">
              <w:rPr>
                <w:sz w:val="22"/>
              </w:rPr>
              <w:t>80</w:t>
            </w:r>
          </w:p>
        </w:tc>
        <w:tc>
          <w:tcPr>
            <w:tcW w:w="1292" w:type="dxa"/>
          </w:tcPr>
          <w:p w:rsidRPr="002455BC" w:rsidR="00D36FCB" w:rsidP="00D36FCB" w:rsidRDefault="00D36FCB" w14:paraId="02169863" w14:textId="117E5E25">
            <w:pPr>
              <w:pStyle w:val="Standard"/>
              <w:spacing w:line="240" w:lineRule="auto"/>
              <w:ind w:firstLine="0"/>
              <w:jc w:val="right"/>
              <w:rPr>
                <w:sz w:val="22"/>
              </w:rPr>
            </w:pPr>
            <w:r>
              <w:rPr>
                <w:sz w:val="22"/>
              </w:rPr>
              <w:t>+</w:t>
            </w:r>
            <w:r w:rsidRPr="002455BC">
              <w:rPr>
                <w:sz w:val="22"/>
              </w:rPr>
              <w:t>2</w:t>
            </w:r>
          </w:p>
        </w:tc>
      </w:tr>
      <w:tr w:rsidRPr="002455BC" w:rsidR="00D36FCB" w:rsidTr="00714237" w14:paraId="28824F56" w14:textId="77777777">
        <w:trPr>
          <w:cantSplit/>
          <w:jc w:val="center"/>
        </w:trPr>
        <w:tc>
          <w:tcPr>
            <w:tcW w:w="2012" w:type="dxa"/>
          </w:tcPr>
          <w:p w:rsidRPr="002455BC" w:rsidR="00D36FCB" w:rsidP="00D36FCB" w:rsidRDefault="00D36FCB" w14:paraId="42A971E6" w14:textId="77777777">
            <w:pPr>
              <w:pStyle w:val="Standard"/>
              <w:spacing w:line="240" w:lineRule="auto"/>
              <w:ind w:firstLine="0"/>
              <w:rPr>
                <w:b/>
                <w:bCs/>
                <w:sz w:val="22"/>
              </w:rPr>
            </w:pPr>
            <w:r w:rsidRPr="002455BC">
              <w:rPr>
                <w:b/>
                <w:bCs/>
                <w:sz w:val="22"/>
              </w:rPr>
              <w:t>Total</w:t>
            </w:r>
          </w:p>
        </w:tc>
        <w:tc>
          <w:tcPr>
            <w:tcW w:w="1653" w:type="dxa"/>
          </w:tcPr>
          <w:p w:rsidRPr="002455BC" w:rsidR="00D36FCB" w:rsidP="00D36FCB" w:rsidRDefault="00D36FCB" w14:paraId="79836BA7" w14:textId="7D141AC6">
            <w:pPr>
              <w:pStyle w:val="Standard"/>
              <w:spacing w:line="240" w:lineRule="auto"/>
              <w:ind w:firstLine="0"/>
              <w:jc w:val="right"/>
              <w:rPr>
                <w:b/>
                <w:bCs/>
                <w:sz w:val="22"/>
              </w:rPr>
            </w:pPr>
            <w:r>
              <w:rPr>
                <w:b/>
                <w:bCs/>
                <w:sz w:val="22"/>
              </w:rPr>
              <w:t>17,432</w:t>
            </w:r>
          </w:p>
        </w:tc>
        <w:tc>
          <w:tcPr>
            <w:tcW w:w="2697" w:type="dxa"/>
          </w:tcPr>
          <w:p w:rsidRPr="002455BC" w:rsidR="00D36FCB" w:rsidP="00D36FCB" w:rsidRDefault="00D36FCB" w14:paraId="41C5E379" w14:textId="3EF2AECE">
            <w:pPr>
              <w:pStyle w:val="Standard"/>
              <w:spacing w:line="240" w:lineRule="auto"/>
              <w:ind w:firstLine="0"/>
              <w:jc w:val="right"/>
              <w:rPr>
                <w:b/>
                <w:bCs/>
                <w:sz w:val="22"/>
              </w:rPr>
            </w:pPr>
            <w:r w:rsidRPr="00B365B3">
              <w:rPr>
                <w:b/>
                <w:bCs/>
                <w:sz w:val="22"/>
              </w:rPr>
              <w:t>18,291</w:t>
            </w:r>
          </w:p>
        </w:tc>
        <w:tc>
          <w:tcPr>
            <w:tcW w:w="1292" w:type="dxa"/>
          </w:tcPr>
          <w:p w:rsidRPr="002455BC" w:rsidR="00D36FCB" w:rsidP="00D36FCB" w:rsidRDefault="00D36FCB" w14:paraId="5FB471E5" w14:textId="1B9A68F2">
            <w:pPr>
              <w:pStyle w:val="Standard"/>
              <w:spacing w:line="240" w:lineRule="auto"/>
              <w:ind w:firstLine="0"/>
              <w:jc w:val="right"/>
              <w:rPr>
                <w:b/>
                <w:bCs/>
                <w:sz w:val="22"/>
              </w:rPr>
            </w:pPr>
            <w:r>
              <w:rPr>
                <w:b/>
                <w:bCs/>
                <w:sz w:val="22"/>
              </w:rPr>
              <w:t>-859</w:t>
            </w:r>
          </w:p>
        </w:tc>
      </w:tr>
    </w:tbl>
    <w:p w:rsidRPr="000C19CA" w:rsidR="00F7047E" w:rsidP="002A1685" w:rsidRDefault="00F7047E" w14:paraId="2A2A545C" w14:textId="6DBF55B0">
      <w:pPr>
        <w:pStyle w:val="Standard"/>
        <w:spacing w:before="240"/>
      </w:pPr>
      <w:r w:rsidRPr="000C19CA">
        <w:t>According to SDG&amp;E, the 202</w:t>
      </w:r>
      <w:r w:rsidR="003937A5">
        <w:t>6</w:t>
      </w:r>
      <w:r w:rsidRPr="000C19CA">
        <w:t xml:space="preserve"> Electric Sales Forecast is based on the </w:t>
      </w:r>
      <w:r w:rsidR="00E163F2">
        <w:t>California Energy Commission’s (</w:t>
      </w:r>
      <w:r w:rsidRPr="000C19CA">
        <w:t>CEC</w:t>
      </w:r>
      <w:r w:rsidR="00E163F2">
        <w:t>)</w:t>
      </w:r>
      <w:r w:rsidRPr="000C19CA">
        <w:t xml:space="preserve"> 202</w:t>
      </w:r>
      <w:r w:rsidR="00D36FCB">
        <w:t>4</w:t>
      </w:r>
      <w:r w:rsidRPr="000C19CA">
        <w:t xml:space="preserve"> California Demand </w:t>
      </w:r>
      <w:r w:rsidR="00D36FCB">
        <w:t xml:space="preserve">update </w:t>
      </w:r>
      <w:r w:rsidRPr="000C19CA">
        <w:t>forecast which was adopted by the CEC on January 2</w:t>
      </w:r>
      <w:r w:rsidR="00D36FCB">
        <w:t>1</w:t>
      </w:r>
      <w:r w:rsidRPr="000C19CA">
        <w:t>, 202</w:t>
      </w:r>
      <w:r w:rsidR="00D36FCB">
        <w:t>5</w:t>
      </w:r>
      <w:r w:rsidRPr="000C19CA">
        <w:t>.</w:t>
      </w:r>
      <w:r w:rsidRPr="000C19CA">
        <w:rPr>
          <w:vertAlign w:val="superscript"/>
        </w:rPr>
        <w:footnoteReference w:id="25"/>
      </w:r>
      <w:r w:rsidRPr="000C19CA">
        <w:t xml:space="preserve"> </w:t>
      </w:r>
    </w:p>
    <w:p w:rsidR="00E163F2" w:rsidP="00F7047E" w:rsidRDefault="00F7047E" w14:paraId="2EACD2FE" w14:textId="6A436329">
      <w:pPr>
        <w:pStyle w:val="Standard"/>
      </w:pPr>
      <w:r w:rsidRPr="000C19CA">
        <w:t>The 202</w:t>
      </w:r>
      <w:r w:rsidR="00E163F2">
        <w:t>4</w:t>
      </w:r>
      <w:r w:rsidRPr="000C19CA">
        <w:t xml:space="preserve"> forecast uses the impacts of factors that the CEC’s forecast considered such</w:t>
      </w:r>
      <w:r>
        <w:t xml:space="preserve"> as</w:t>
      </w:r>
      <w:r w:rsidRPr="000C19CA">
        <w:t xml:space="preserve"> </w:t>
      </w:r>
      <w:r w:rsidR="00E163F2">
        <w:t xml:space="preserve">the CEC’s private supply, </w:t>
      </w:r>
      <w:r w:rsidRPr="000C19CA">
        <w:t>achievable energy efficiency</w:t>
      </w:r>
      <w:r w:rsidR="00D36FCB">
        <w:t>,</w:t>
      </w:r>
      <w:r w:rsidRPr="000C19CA">
        <w:t xml:space="preserve"> </w:t>
      </w:r>
      <w:r w:rsidR="00D36FCB">
        <w:t>additional</w:t>
      </w:r>
      <w:r w:rsidRPr="000C19CA">
        <w:t xml:space="preserve"> achievable fuel substitution</w:t>
      </w:r>
      <w:r w:rsidR="00D36FCB">
        <w:t>, and additional achievable transportation electrification</w:t>
      </w:r>
      <w:r w:rsidRPr="000C19CA">
        <w:t xml:space="preserve">. </w:t>
      </w:r>
    </w:p>
    <w:p w:rsidR="00E163F2" w:rsidP="00F7047E" w:rsidRDefault="00E163F2" w14:paraId="76350C23" w14:textId="62D6F80E">
      <w:pPr>
        <w:pStyle w:val="Standard"/>
      </w:pPr>
      <w:r>
        <w:t>SDG&amp;E held a sales forecast workshop on March 2</w:t>
      </w:r>
      <w:r w:rsidR="00D9426E">
        <w:t>6</w:t>
      </w:r>
      <w:r>
        <w:t>, 202</w:t>
      </w:r>
      <w:r w:rsidR="00D9426E">
        <w:t>5,</w:t>
      </w:r>
      <w:r>
        <w:t xml:space="preserve"> and provided materials to the parties. The workshop discussed the CEC’s forecasting process, SDG&amp;E’s modifications to the forecast, and how the CEC’s forecast is used to establish the rate schedule level forecast. </w:t>
      </w:r>
      <w:r w:rsidR="002A1685">
        <w:t xml:space="preserve">SDG&amp;E </w:t>
      </w:r>
      <w:r w:rsidR="00D9426E">
        <w:t xml:space="preserve">considered input </w:t>
      </w:r>
      <w:r w:rsidR="002A1685">
        <w:t xml:space="preserve">from attending </w:t>
      </w:r>
      <w:r w:rsidR="00D9426E">
        <w:t>stakeholders</w:t>
      </w:r>
      <w:r w:rsidR="002A1685">
        <w:t>.</w:t>
      </w:r>
    </w:p>
    <w:p w:rsidRPr="000C19CA" w:rsidR="00F7047E" w:rsidP="00F7047E" w:rsidRDefault="00D36FCB" w14:paraId="6CCC02D0" w14:textId="318381F5">
      <w:pPr>
        <w:pStyle w:val="Standard"/>
      </w:pPr>
      <w:r w:rsidRPr="00D36FCB">
        <w:t xml:space="preserve">We reviewed SDG&amp;E’s forecast as well as the process for which SDG&amp;E developed its forecast as described in Exhibit SDGE 6. </w:t>
      </w:r>
      <w:r w:rsidRPr="00E163F2" w:rsidR="00E163F2">
        <w:t>We find SDG&amp;E’s 202</w:t>
      </w:r>
      <w:r>
        <w:t>6</w:t>
      </w:r>
      <w:r w:rsidRPr="00E163F2" w:rsidR="00E163F2">
        <w:t xml:space="preserve"> Electric Sales Forecast reasonable and adequately supported by the evidence presented in this proceeding. Parties do not oppose SDG&amp;E’s forecast.</w:t>
      </w:r>
      <w:r w:rsidR="00E163F2">
        <w:t xml:space="preserve"> </w:t>
      </w:r>
    </w:p>
    <w:p w:rsidRPr="000C19CA" w:rsidR="00934F69" w:rsidP="00855898" w:rsidRDefault="00934F69" w14:paraId="5400FB78" w14:textId="71559F83">
      <w:pPr>
        <w:pStyle w:val="Heading2"/>
        <w:numPr>
          <w:ilvl w:val="1"/>
          <w:numId w:val="21"/>
        </w:numPr>
      </w:pPr>
      <w:bookmarkStart w:name="_Toc120015224" w:id="53"/>
      <w:bookmarkStart w:name="_Toc215581851" w:id="54"/>
      <w:r w:rsidRPr="000C19CA">
        <w:lastRenderedPageBreak/>
        <w:t>Other Issues</w:t>
      </w:r>
      <w:bookmarkEnd w:id="53"/>
      <w:bookmarkEnd w:id="54"/>
    </w:p>
    <w:p w:rsidR="00A14908" w:rsidP="00855898" w:rsidRDefault="00A14908" w14:paraId="551DE5B3" w14:textId="688FA88A">
      <w:pPr>
        <w:pStyle w:val="Heading3"/>
        <w:numPr>
          <w:ilvl w:val="2"/>
          <w:numId w:val="21"/>
        </w:numPr>
      </w:pPr>
      <w:bookmarkStart w:name="_Toc215581852" w:id="55"/>
      <w:bookmarkStart w:name="_Toc120015225" w:id="56"/>
      <w:r>
        <w:t>Use of 2025 Benchmarks</w:t>
      </w:r>
      <w:bookmarkEnd w:id="55"/>
    </w:p>
    <w:p w:rsidR="00756F19" w:rsidP="006E2308" w:rsidRDefault="006E2308" w14:paraId="429768B6" w14:textId="394880C5">
      <w:pPr>
        <w:pStyle w:val="Standard"/>
      </w:pPr>
      <w:bookmarkStart w:name="_Hlk210474277" w:id="57"/>
      <w:r>
        <w:t>In D.25-06-049</w:t>
      </w:r>
      <w:r>
        <w:rPr>
          <w:rStyle w:val="FootnoteReference"/>
        </w:rPr>
        <w:footnoteReference w:id="26"/>
      </w:r>
      <w:r>
        <w:t xml:space="preserve">, the Commission directed </w:t>
      </w:r>
      <w:r w:rsidR="00756F19">
        <w:t xml:space="preserve">the Commission’s Energy Division to apply a revised methodology </w:t>
      </w:r>
      <w:r>
        <w:t xml:space="preserve">when calculating </w:t>
      </w:r>
      <w:r w:rsidR="00756F19">
        <w:t xml:space="preserve">the </w:t>
      </w:r>
      <w:r>
        <w:t>RA MPBs utilized in calculating PCIA.</w:t>
      </w:r>
      <w:r>
        <w:rPr>
          <w:rStyle w:val="FootnoteReference"/>
        </w:rPr>
        <w:footnoteReference w:id="27"/>
      </w:r>
      <w:r>
        <w:t xml:space="preserve"> And as stated in Ordering Paragraph 2 of said decision, the new methodology </w:t>
      </w:r>
      <w:r w:rsidR="00756F19">
        <w:t xml:space="preserve">took effect </w:t>
      </w:r>
      <w:r>
        <w:t>immediately.</w:t>
      </w:r>
      <w:r>
        <w:rPr>
          <w:rStyle w:val="FootnoteReference"/>
        </w:rPr>
        <w:footnoteReference w:id="28"/>
      </w:r>
      <w:r>
        <w:t xml:space="preserve"> </w:t>
      </w:r>
      <w:bookmarkStart w:name="_Hlk210642866" w:id="58"/>
      <w:r w:rsidR="00A5351A">
        <w:t>A</w:t>
      </w:r>
      <w:r w:rsidR="002C4E46">
        <w:t>pplication</w:t>
      </w:r>
      <w:r w:rsidR="00A5351A">
        <w:t>s</w:t>
      </w:r>
      <w:r w:rsidR="002C4E46">
        <w:t xml:space="preserve"> for rehearing of D.25-06-049</w:t>
      </w:r>
      <w:r w:rsidR="00A5351A">
        <w:t xml:space="preserve"> were filed on July 28, 2025</w:t>
      </w:r>
      <w:r w:rsidR="00AA5EB6">
        <w:rPr>
          <w:rStyle w:val="FootnoteReference"/>
        </w:rPr>
        <w:footnoteReference w:id="29"/>
      </w:r>
      <w:r w:rsidR="00AA5EB6">
        <w:t xml:space="preserve"> </w:t>
      </w:r>
      <w:r w:rsidR="00756F19">
        <w:t>and the Joint CCAs argue in</w:t>
      </w:r>
      <w:r w:rsidR="00A50F4E">
        <w:t xml:space="preserve"> their</w:t>
      </w:r>
      <w:r w:rsidR="00756F19">
        <w:t xml:space="preserve"> Opening Brief that the revised methodology for calculating the PCIA should not be applied in this proceeding until those rehearing applications are resolved. However, after opening briefs were filed in this proceeding, </w:t>
      </w:r>
      <w:r w:rsidRPr="00756F19" w:rsidR="00756F19">
        <w:t xml:space="preserve">the Commission issued an order denying </w:t>
      </w:r>
      <w:r w:rsidR="00756F19">
        <w:t xml:space="preserve">the </w:t>
      </w:r>
      <w:r w:rsidRPr="00756F19" w:rsidR="00756F19">
        <w:t>two applications for rehearing of D.25-06-049 on October 30, 2025</w:t>
      </w:r>
      <w:r w:rsidR="007F45B4">
        <w:t>, which renders the argument raised by the Joint CCAs on this matter as moot</w:t>
      </w:r>
      <w:r w:rsidRPr="00756F19" w:rsidR="00756F19">
        <w:t>.</w:t>
      </w:r>
      <w:r w:rsidR="00A50F4E">
        <w:t xml:space="preserve"> </w:t>
      </w:r>
      <w:r w:rsidR="007F45B4">
        <w:t xml:space="preserve"> </w:t>
      </w:r>
    </w:p>
    <w:p w:rsidRPr="000C19CA" w:rsidR="00067802" w:rsidP="00855898" w:rsidRDefault="00D911D7" w14:paraId="7AA6F6B4" w14:textId="244DBB79">
      <w:pPr>
        <w:pStyle w:val="Heading3"/>
        <w:numPr>
          <w:ilvl w:val="2"/>
          <w:numId w:val="21"/>
        </w:numPr>
      </w:pPr>
      <w:bookmarkStart w:name="_Toc215581853" w:id="59"/>
      <w:bookmarkEnd w:id="57"/>
      <w:bookmarkEnd w:id="58"/>
      <w:r>
        <w:t xml:space="preserve">PCIA </w:t>
      </w:r>
      <w:r w:rsidR="00FA74AE">
        <w:t>Rates</w:t>
      </w:r>
      <w:bookmarkEnd w:id="56"/>
      <w:bookmarkEnd w:id="59"/>
    </w:p>
    <w:p w:rsidR="00724EA3" w:rsidP="00067802" w:rsidRDefault="00FA74AE" w14:paraId="3D09E7F8" w14:textId="77777777">
      <w:pPr>
        <w:pStyle w:val="Standard"/>
      </w:pPr>
      <w:r w:rsidRPr="00D87FF5">
        <w:t>PCIA rates are based on applicable costs from SDG&amp;E’s total portfolio of resources. Pursuant to D.22-01-023, the Commission’s Energy Division issues updated PCIA benchmarks in the beginning of October</w:t>
      </w:r>
      <w:r w:rsidRPr="00D87FF5" w:rsidR="00960BD7">
        <w:rPr>
          <w:rStyle w:val="FootnoteReference"/>
        </w:rPr>
        <w:footnoteReference w:id="30"/>
      </w:r>
      <w:r w:rsidRPr="00D87FF5">
        <w:t xml:space="preserve"> which SDG&amp;E utilizes in order to calculate its </w:t>
      </w:r>
      <w:r w:rsidRPr="00D87FF5" w:rsidR="00960BD7">
        <w:t xml:space="preserve">updated </w:t>
      </w:r>
      <w:r w:rsidRPr="00D87FF5">
        <w:t xml:space="preserve">proposed </w:t>
      </w:r>
      <w:r w:rsidRPr="00D87FF5" w:rsidR="00960BD7">
        <w:t xml:space="preserve">vintage PCIA rates. </w:t>
      </w:r>
      <w:r w:rsidRPr="00724EA3" w:rsidR="00724EA3">
        <w:t xml:space="preserve">The MPB calculates the market value of the three revenue streams in the IOU portfolio: the Energy Index; RPS Adder; and RA Adder. </w:t>
      </w:r>
    </w:p>
    <w:p w:rsidR="00960BD7" w:rsidP="00067802" w:rsidRDefault="00960BD7" w14:paraId="2CD8B2AB" w14:textId="3BF7E2F4">
      <w:pPr>
        <w:pStyle w:val="Standard"/>
      </w:pPr>
      <w:r w:rsidRPr="00D87FF5">
        <w:lastRenderedPageBreak/>
        <w:t>The methodology for calculating PCIA rates as well as the 202</w:t>
      </w:r>
      <w:r w:rsidRPr="00D87FF5" w:rsidR="00D87FF5">
        <w:t>6</w:t>
      </w:r>
      <w:r w:rsidRPr="00D87FF5">
        <w:t xml:space="preserve"> forecast benchmarks are shown and explained in Exhibit SDGE-1</w:t>
      </w:r>
      <w:r w:rsidRPr="00D87FF5" w:rsidR="00D87FF5">
        <w:t>3</w:t>
      </w:r>
      <w:r w:rsidRPr="00D87FF5">
        <w:t>.</w:t>
      </w:r>
      <w:r w:rsidR="00724EA3">
        <w:t xml:space="preserve"> </w:t>
      </w:r>
      <w:r w:rsidRPr="00D87FF5">
        <w:t xml:space="preserve">Parties do not object to SDG&amp;E’s proposed vintage PCIA in rates </w:t>
      </w:r>
      <w:r w:rsidR="008E161E">
        <w:t xml:space="preserve">except for the Joint CCAs’ objection to the use of pre-2019 </w:t>
      </w:r>
      <w:r w:rsidR="00DD5215">
        <w:t>banked RECs</w:t>
      </w:r>
      <w:r w:rsidR="008E161E">
        <w:t>. Overall, w</w:t>
      </w:r>
      <w:r w:rsidRPr="00D87FF5">
        <w:t>e find that the evidence submitted supports SDG&amp;E’s PCIA forecasts for 202</w:t>
      </w:r>
      <w:r w:rsidRPr="00D87FF5" w:rsidR="00D87FF5">
        <w:t>6</w:t>
      </w:r>
      <w:r w:rsidRPr="00D87FF5">
        <w:t>.</w:t>
      </w:r>
      <w:r w:rsidR="008E161E">
        <w:t xml:space="preserve"> The issue concerning use of pre-2019 </w:t>
      </w:r>
      <w:r w:rsidR="00DD5215">
        <w:t>banked RECs</w:t>
      </w:r>
      <w:r w:rsidR="008E161E">
        <w:t xml:space="preserve"> is discussed below.</w:t>
      </w:r>
    </w:p>
    <w:p w:rsidR="008E161E" w:rsidP="008E161E" w:rsidRDefault="008E161E" w14:paraId="78B89960" w14:textId="070CD713">
      <w:pPr>
        <w:pStyle w:val="Heading3"/>
        <w:numPr>
          <w:ilvl w:val="2"/>
          <w:numId w:val="21"/>
        </w:numPr>
      </w:pPr>
      <w:bookmarkStart w:name="_Toc215581854" w:id="60"/>
      <w:bookmarkStart w:name="_Hlk215495579" w:id="61"/>
      <w:r>
        <w:t xml:space="preserve">Use of Pre-2019 </w:t>
      </w:r>
      <w:r w:rsidR="00DD5215">
        <w:t>Banked RECs</w:t>
      </w:r>
      <w:bookmarkEnd w:id="60"/>
    </w:p>
    <w:bookmarkEnd w:id="61"/>
    <w:p w:rsidRPr="00DD5215" w:rsidR="0069634D" w:rsidP="008E161E" w:rsidRDefault="0069634D" w14:paraId="1D9302B4" w14:textId="2BEA0002">
      <w:pPr>
        <w:pStyle w:val="Standard"/>
      </w:pPr>
      <w:r w:rsidRPr="00DD5215">
        <w:t xml:space="preserve">In its Opening Brief, SDG&amp;E forecasts that it will need to use </w:t>
      </w:r>
      <w:r w:rsidRPr="00DD5215" w:rsidR="00DD5215">
        <w:t>banked RECs</w:t>
      </w:r>
      <w:r w:rsidRPr="00DD5215">
        <w:t xml:space="preserve"> to meet its 2026 RPS requirement</w:t>
      </w:r>
      <w:r w:rsidRPr="00DD5215">
        <w:rPr>
          <w:rStyle w:val="FootnoteReference"/>
        </w:rPr>
        <w:footnoteReference w:id="31"/>
      </w:r>
      <w:r w:rsidRPr="00DD5215">
        <w:t xml:space="preserve"> despite initially anticipating that it w</w:t>
      </w:r>
      <w:r w:rsidR="00A50F4E">
        <w:t xml:space="preserve">ould </w:t>
      </w:r>
      <w:r w:rsidRPr="00DD5215">
        <w:t xml:space="preserve">not need to use any </w:t>
      </w:r>
      <w:r w:rsidR="00A50F4E">
        <w:t>b</w:t>
      </w:r>
      <w:r w:rsidRPr="00DD5215" w:rsidR="00DD5215">
        <w:t>anked RECs</w:t>
      </w:r>
      <w:r w:rsidRPr="00DD5215">
        <w:t>.</w:t>
      </w:r>
      <w:r w:rsidRPr="00DD5215">
        <w:rPr>
          <w:rStyle w:val="FootnoteReference"/>
        </w:rPr>
        <w:footnoteReference w:id="32"/>
      </w:r>
      <w:r w:rsidRPr="00DD5215" w:rsidR="00B013AD">
        <w:t xml:space="preserve"> </w:t>
      </w:r>
    </w:p>
    <w:p w:rsidR="002A46BF" w:rsidP="008E161E" w:rsidRDefault="008E161E" w14:paraId="14DAF01C" w14:textId="5E36ACD0">
      <w:pPr>
        <w:pStyle w:val="Standard"/>
      </w:pPr>
      <w:r w:rsidRPr="00DD5215">
        <w:t xml:space="preserve">The </w:t>
      </w:r>
      <w:r w:rsidRPr="00DD5215" w:rsidR="0069634D">
        <w:t xml:space="preserve">Joint CCAs </w:t>
      </w:r>
      <w:r w:rsidRPr="00DD5215" w:rsidR="00B013AD">
        <w:t xml:space="preserve">object to </w:t>
      </w:r>
      <w:r w:rsidRPr="00DD5215" w:rsidR="00EC47FA">
        <w:t xml:space="preserve">SDG&amp;E’s </w:t>
      </w:r>
      <w:r w:rsidR="00A50F4E">
        <w:t xml:space="preserve">potential </w:t>
      </w:r>
      <w:r w:rsidRPr="00DD5215" w:rsidR="00B013AD">
        <w:t xml:space="preserve">use </w:t>
      </w:r>
      <w:r w:rsidRPr="00DD5215" w:rsidR="00EC47FA">
        <w:t xml:space="preserve">of pre-2019 </w:t>
      </w:r>
      <w:r w:rsidRPr="00DD5215" w:rsidR="00DD5215">
        <w:t>banked RECs</w:t>
      </w:r>
      <w:r w:rsidRPr="00DD5215" w:rsidR="00EC47FA">
        <w:rPr>
          <w:rStyle w:val="FootnoteReference"/>
        </w:rPr>
        <w:footnoteReference w:id="33"/>
      </w:r>
      <w:r w:rsidRPr="00DD5215" w:rsidR="00EC47FA">
        <w:t xml:space="preserve"> </w:t>
      </w:r>
      <w:r w:rsidRPr="00A50F4E" w:rsidR="00A50F4E">
        <w:t>and its proposal to value pre-2019 banked RECs at $0</w:t>
      </w:r>
      <w:r w:rsidRPr="00DD5215" w:rsidR="00EC47FA">
        <w:t xml:space="preserve">. </w:t>
      </w:r>
      <w:r w:rsidR="003753C9">
        <w:t>An</w:t>
      </w:r>
      <w:r w:rsidRPr="00DD5215" w:rsidR="00DD5215">
        <w:t xml:space="preserve"> issue concerning pre-2019 banked RECs is </w:t>
      </w:r>
      <w:r w:rsidR="002A46BF">
        <w:t xml:space="preserve">how to value said RECs and </w:t>
      </w:r>
      <w:r w:rsidRPr="00DD5215" w:rsidR="00DD5215">
        <w:t>whether the treatment of banked RECs set forth by the Commission D.19-10-001 applies to RECs generated prior to 2019.</w:t>
      </w:r>
      <w:r w:rsidRPr="00DD5215" w:rsidR="00DD5215">
        <w:rPr>
          <w:rStyle w:val="FootnoteReference"/>
        </w:rPr>
        <w:footnoteReference w:id="34"/>
      </w:r>
      <w:r w:rsidRPr="00DD5215" w:rsidR="00DD5215">
        <w:t xml:space="preserve"> </w:t>
      </w:r>
    </w:p>
    <w:p w:rsidR="00DD5215" w:rsidP="008E161E" w:rsidRDefault="002B68BB" w14:paraId="55E2E014" w14:textId="63C95178">
      <w:pPr>
        <w:pStyle w:val="Standard"/>
      </w:pPr>
      <w:r>
        <w:t>The Joint CCAs contend they agreed to waive evidentiary hearings and further discovery on the pre-2019 banked RECs issue based on SDG&amp;E’s assertions that it will not need to use any banked RECs in 2026.</w:t>
      </w:r>
      <w:r>
        <w:rPr>
          <w:rStyle w:val="FootnoteReference"/>
        </w:rPr>
        <w:footnoteReference w:id="35"/>
      </w:r>
      <w:r>
        <w:t xml:space="preserve"> The Joint CCAs argue they were not afforded an opportunity to fully litigate this issue in hearings and in their Opening Brief because SDG&amp;E changed its RPS position and forecasted need to use banked RECs after evidentiary hearings had been </w:t>
      </w:r>
      <w:r>
        <w:lastRenderedPageBreak/>
        <w:t>canceled.</w:t>
      </w:r>
      <w:r w:rsidR="006369F9">
        <w:t xml:space="preserve"> </w:t>
      </w:r>
      <w:r w:rsidR="00D3515F">
        <w:t xml:space="preserve">In comments to the October update, the Joint CCAs add that </w:t>
      </w:r>
      <w:r w:rsidRPr="00D3515F" w:rsidR="00D3515F">
        <w:t>SDG&amp;E should be required to credit the value of all banked RECs (including pre-2019 ba</w:t>
      </w:r>
      <w:r w:rsidR="00605271">
        <w:t>n</w:t>
      </w:r>
      <w:r w:rsidRPr="00D3515F" w:rsidR="00D3515F">
        <w:t>ked RECs) to the PCIA vintage corresponding to the year in which those banked RECs were originally generated.</w:t>
      </w:r>
    </w:p>
    <w:p w:rsidR="00DD5215" w:rsidP="008E161E" w:rsidRDefault="002A46BF" w14:paraId="4DA93876" w14:textId="66FE67B3">
      <w:pPr>
        <w:pStyle w:val="Standard"/>
      </w:pPr>
      <w:r>
        <w:t xml:space="preserve">An examination of SDG&amp;E’s </w:t>
      </w:r>
      <w:r w:rsidR="008067E7">
        <w:t>rebuttal testimony</w:t>
      </w:r>
      <w:r>
        <w:t xml:space="preserve"> shows that while </w:t>
      </w:r>
      <w:r w:rsidR="00CC78ED">
        <w:t xml:space="preserve">SDG&amp;E </w:t>
      </w:r>
      <w:r>
        <w:t xml:space="preserve">specifically </w:t>
      </w:r>
      <w:r w:rsidR="00CC78ED">
        <w:t xml:space="preserve">states </w:t>
      </w:r>
      <w:r w:rsidR="008067E7">
        <w:t xml:space="preserve">that it has sufficient RECs to meet its </w:t>
      </w:r>
      <w:r w:rsidR="007F45B4">
        <w:t xml:space="preserve">2026 </w:t>
      </w:r>
      <w:r w:rsidR="008067E7">
        <w:t>RPS requirement</w:t>
      </w:r>
      <w:r>
        <w:t xml:space="preserve">, </w:t>
      </w:r>
      <w:r w:rsidR="00CC78ED">
        <w:t xml:space="preserve">in </w:t>
      </w:r>
      <w:r w:rsidR="007F45B4">
        <w:t xml:space="preserve">a </w:t>
      </w:r>
      <w:r w:rsidR="00CC78ED">
        <w:t>s</w:t>
      </w:r>
      <w:r w:rsidR="008067E7">
        <w:t xml:space="preserve">ucceeding subsection, </w:t>
      </w:r>
      <w:r w:rsidR="00CC78ED">
        <w:t>S</w:t>
      </w:r>
      <w:r w:rsidR="008067E7">
        <w:t>DG&amp;E mention</w:t>
      </w:r>
      <w:r w:rsidR="007F45B4">
        <w:t>s</w:t>
      </w:r>
      <w:r w:rsidR="008067E7">
        <w:t xml:space="preserve"> </w:t>
      </w:r>
      <w:r w:rsidR="00CC78ED">
        <w:t>the possibility</w:t>
      </w:r>
      <w:r w:rsidR="008067E7">
        <w:t xml:space="preserve"> of using banked RECs: </w:t>
      </w:r>
    </w:p>
    <w:p w:rsidRPr="00CC78ED" w:rsidR="00DD5215" w:rsidP="00961DDC" w:rsidRDefault="008067E7" w14:paraId="160E67EF" w14:textId="05167033">
      <w:pPr>
        <w:pStyle w:val="Standard"/>
        <w:tabs>
          <w:tab w:val="left" w:pos="7920"/>
        </w:tabs>
        <w:spacing w:after="120" w:line="240" w:lineRule="auto"/>
        <w:ind w:left="720" w:right="1440" w:firstLine="0"/>
        <w:rPr>
          <w:sz w:val="24"/>
          <w:szCs w:val="24"/>
        </w:rPr>
      </w:pPr>
      <w:r w:rsidRPr="00CC78ED">
        <w:rPr>
          <w:sz w:val="24"/>
          <w:szCs w:val="24"/>
        </w:rPr>
        <w:t>“In the event that SDG&amp;E does need to use banked RECs to meet its 2026 RPS requirement, SDG&amp;E should be permitted…”</w:t>
      </w:r>
      <w:r w:rsidRPr="00CC78ED">
        <w:rPr>
          <w:rStyle w:val="FootnoteReference"/>
          <w:sz w:val="24"/>
          <w:szCs w:val="24"/>
        </w:rPr>
        <w:footnoteReference w:id="36"/>
      </w:r>
    </w:p>
    <w:p w:rsidRPr="00961DDC" w:rsidR="00DD5215" w:rsidP="00CC78ED" w:rsidRDefault="00D3515F" w14:paraId="57797EC4" w14:textId="523EDF76">
      <w:pPr>
        <w:pStyle w:val="Standard"/>
      </w:pPr>
      <w:r>
        <w:t>A</w:t>
      </w:r>
      <w:r w:rsidRPr="00961DDC" w:rsidR="00CC78ED">
        <w:t xml:space="preserve">ccording to the Joint CCAs, SDG&amp;E subsequently provided new information to them that </w:t>
      </w:r>
      <w:r w:rsidR="007F45B4">
        <w:t xml:space="preserve">confirmed </w:t>
      </w:r>
      <w:r w:rsidRPr="00961DDC" w:rsidR="00CC78ED">
        <w:t>SDG&amp;E w</w:t>
      </w:r>
      <w:r w:rsidR="007F45B4">
        <w:t xml:space="preserve">ould </w:t>
      </w:r>
      <w:r w:rsidRPr="00961DDC" w:rsidR="00CC78ED">
        <w:t xml:space="preserve">not need to use </w:t>
      </w:r>
      <w:r w:rsidR="007F45B4">
        <w:t xml:space="preserve">any </w:t>
      </w:r>
      <w:r w:rsidRPr="00961DDC" w:rsidR="00CC78ED">
        <w:t>banked RECs in 2026. Th</w:t>
      </w:r>
      <w:r w:rsidR="002A46BF">
        <w:t>e</w:t>
      </w:r>
      <w:r w:rsidRPr="00961DDC" w:rsidR="00CC78ED">
        <w:t xml:space="preserve"> Joint Report</w:t>
      </w:r>
      <w:r w:rsidRPr="00961DDC" w:rsidR="00CC78ED">
        <w:rPr>
          <w:rStyle w:val="FootnoteReference"/>
        </w:rPr>
        <w:footnoteReference w:id="37"/>
      </w:r>
      <w:r w:rsidRPr="00961DDC" w:rsidR="00CC78ED">
        <w:t xml:space="preserve"> </w:t>
      </w:r>
      <w:r w:rsidR="002A46BF">
        <w:t xml:space="preserve">also states </w:t>
      </w:r>
      <w:r w:rsidRPr="00961DDC" w:rsidR="00CC78ED">
        <w:t xml:space="preserve">that there were no factual issues being contested. </w:t>
      </w:r>
      <w:r w:rsidRPr="00961DDC" w:rsidR="002B4DC0">
        <w:t>The Joint CCAs also set forth in their Opening Brief that use of banked RECs is an uncontested issue</w:t>
      </w:r>
      <w:r w:rsidR="007F45B4">
        <w:t>.</w:t>
      </w:r>
      <w:r w:rsidR="007F45B4">
        <w:rPr>
          <w:rStyle w:val="FootnoteReference"/>
        </w:rPr>
        <w:footnoteReference w:id="38"/>
      </w:r>
      <w:r w:rsidRPr="00961DDC" w:rsidR="002B4DC0">
        <w:t xml:space="preserve"> SDG&amp;E did not dispute this statement in its Reply Brief.</w:t>
      </w:r>
    </w:p>
    <w:p w:rsidR="00F45FFD" w:rsidP="008E161E" w:rsidRDefault="00AC4B52" w14:paraId="107ECBA5" w14:textId="2293BA99">
      <w:pPr>
        <w:pStyle w:val="Standard"/>
      </w:pPr>
      <w:bookmarkStart w:name="_Hlk151325836" w:id="62"/>
      <w:r>
        <w:t>B</w:t>
      </w:r>
      <w:r w:rsidRPr="00961DDC" w:rsidR="002B4DC0">
        <w:t xml:space="preserve">ased on the totality of the circumstances in this case, we find that the Joint CCAs were not able to </w:t>
      </w:r>
      <w:r>
        <w:t xml:space="preserve">fully </w:t>
      </w:r>
      <w:r w:rsidRPr="00961DDC" w:rsidR="002B4DC0">
        <w:t xml:space="preserve">litigate </w:t>
      </w:r>
      <w:r w:rsidR="00336F90">
        <w:t xml:space="preserve">SDG&amp;E’s potential </w:t>
      </w:r>
      <w:r w:rsidRPr="00961DDC" w:rsidR="002B4DC0">
        <w:t>use of pre-2019 banked RECs</w:t>
      </w:r>
      <w:r>
        <w:t>.</w:t>
      </w:r>
      <w:r w:rsidR="00806B83">
        <w:t xml:space="preserve"> As a result, w</w:t>
      </w:r>
      <w:r w:rsidRPr="00961DDC" w:rsidR="002B4DC0">
        <w:t xml:space="preserve">e find it reasonable to require SDG&amp;E to </w:t>
      </w:r>
      <w:r w:rsidRPr="00961DDC" w:rsidR="00961DDC">
        <w:t xml:space="preserve">first utilize </w:t>
      </w:r>
      <w:r w:rsidR="00503F31">
        <w:t xml:space="preserve">post-2018 </w:t>
      </w:r>
      <w:r w:rsidR="00FD5772">
        <w:t xml:space="preserve">banked RECs </w:t>
      </w:r>
      <w:r w:rsidRPr="00961DDC" w:rsidR="00961DDC">
        <w:t xml:space="preserve">to meet any </w:t>
      </w:r>
      <w:r w:rsidR="00FD5772">
        <w:t>RPS shortfall in 2026</w:t>
      </w:r>
      <w:r w:rsidRPr="00961DDC" w:rsidR="00961DDC">
        <w:t xml:space="preserve">. </w:t>
      </w:r>
    </w:p>
    <w:p w:rsidR="00582E5F" w:rsidP="00EA47EF" w:rsidRDefault="00582E5F" w14:paraId="532B513B" w14:textId="2DE8814B">
      <w:pPr>
        <w:pStyle w:val="Heading3"/>
        <w:numPr>
          <w:ilvl w:val="2"/>
          <w:numId w:val="21"/>
        </w:numPr>
      </w:pPr>
      <w:bookmarkStart w:name="_Toc215581855" w:id="63"/>
      <w:r>
        <w:t>Use of Post 2018 Banked RECs</w:t>
      </w:r>
      <w:bookmarkEnd w:id="63"/>
    </w:p>
    <w:p w:rsidR="008E161E" w:rsidP="008E161E" w:rsidRDefault="00806B83" w14:paraId="3E7CFEDF" w14:textId="2B154247">
      <w:pPr>
        <w:pStyle w:val="Standard"/>
      </w:pPr>
      <w:r>
        <w:t>Use of post-2018 banked RECs is not a contested issue</w:t>
      </w:r>
      <w:r w:rsidR="009B2389">
        <w:t>.</w:t>
      </w:r>
      <w:r w:rsidR="00F45FFD">
        <w:t xml:space="preserve"> SDG&amp;E does not claim to have insufficient post-2018 banked RECs to fill its 2026 RPS requirement</w:t>
      </w:r>
      <w:r>
        <w:t>.</w:t>
      </w:r>
      <w:r w:rsidR="00F45FFD">
        <w:t xml:space="preserve"> Instead, SDG&amp;E only seeks to have the flexibility to</w:t>
      </w:r>
      <w:r w:rsidR="007F45B4">
        <w:t xml:space="preserve"> use</w:t>
      </w:r>
      <w:r w:rsidR="00F45FFD">
        <w:t xml:space="preserve"> pre-2019 banked RECs. </w:t>
      </w:r>
      <w:r w:rsidRPr="00961DDC" w:rsidR="00961DDC">
        <w:lastRenderedPageBreak/>
        <w:t xml:space="preserve">We also note that </w:t>
      </w:r>
      <w:r w:rsidR="00FD5772">
        <w:t xml:space="preserve">as shown in Exhibit SDGE-13C, </w:t>
      </w:r>
      <w:r w:rsidRPr="00961DDC" w:rsidR="00961DDC">
        <w:t xml:space="preserve">the projected number of banked RECs needed </w:t>
      </w:r>
      <w:r w:rsidR="00FD5772">
        <w:t>to address a</w:t>
      </w:r>
      <w:r w:rsidR="007E5339">
        <w:t xml:space="preserve">ny </w:t>
      </w:r>
      <w:r w:rsidR="00FD5772">
        <w:t xml:space="preserve">shortfall </w:t>
      </w:r>
      <w:r w:rsidRPr="00961DDC" w:rsidR="00961DDC">
        <w:t>is relatively small compared to the</w:t>
      </w:r>
      <w:r w:rsidR="00503F31">
        <w:t xml:space="preserve"> total </w:t>
      </w:r>
      <w:r w:rsidRPr="00961DDC" w:rsidR="00961DDC">
        <w:t xml:space="preserve">number of RECs </w:t>
      </w:r>
      <w:r w:rsidR="00503F31">
        <w:t xml:space="preserve">needed </w:t>
      </w:r>
      <w:r w:rsidR="007E5339">
        <w:t xml:space="preserve">and what SDG&amp;E projects </w:t>
      </w:r>
      <w:r w:rsidR="007F45B4">
        <w:t xml:space="preserve">it will have </w:t>
      </w:r>
      <w:r w:rsidR="007E5339">
        <w:t>for RPS compliance</w:t>
      </w:r>
      <w:r w:rsidRPr="00961DDC" w:rsidR="00961DDC">
        <w:t>.</w:t>
      </w:r>
      <w:r w:rsidRPr="00961DDC" w:rsidR="00961DDC">
        <w:rPr>
          <w:rStyle w:val="FootnoteReference"/>
        </w:rPr>
        <w:footnoteReference w:id="39"/>
      </w:r>
      <w:r w:rsidRPr="00961DDC" w:rsidR="00961DDC">
        <w:t xml:space="preserve"> </w:t>
      </w:r>
      <w:r w:rsidR="002E558A">
        <w:t>I</w:t>
      </w:r>
      <w:r w:rsidR="00F45FFD">
        <w:t xml:space="preserve">n the event that </w:t>
      </w:r>
      <w:r w:rsidR="002E558A">
        <w:t xml:space="preserve">SDG&amp;E </w:t>
      </w:r>
      <w:r w:rsidR="00F32E7D">
        <w:t xml:space="preserve">forecasts that it will </w:t>
      </w:r>
      <w:r w:rsidR="002E558A">
        <w:t>nee</w:t>
      </w:r>
      <w:r w:rsidR="00F32E7D">
        <w:t>d</w:t>
      </w:r>
      <w:r w:rsidR="002E558A">
        <w:t xml:space="preserve"> to use pre-2019 banked RECs</w:t>
      </w:r>
      <w:r w:rsidR="00F32E7D">
        <w:t xml:space="preserve"> in 2026</w:t>
      </w:r>
      <w:r w:rsidR="002E558A">
        <w:t xml:space="preserve">, it </w:t>
      </w:r>
      <w:r w:rsidR="00F32E7D">
        <w:t xml:space="preserve">shall file </w:t>
      </w:r>
      <w:r w:rsidR="00F45FFD">
        <w:t xml:space="preserve">an application </w:t>
      </w:r>
      <w:r>
        <w:t>request</w:t>
      </w:r>
      <w:r w:rsidR="00F45FFD">
        <w:t xml:space="preserve">ing </w:t>
      </w:r>
      <w:r>
        <w:t xml:space="preserve"> Commission authorization </w:t>
      </w:r>
      <w:r w:rsidR="00F45FFD">
        <w:t>to do so</w:t>
      </w:r>
      <w:r w:rsidR="002E558A">
        <w:t>.</w:t>
      </w:r>
      <w:r w:rsidR="00F32E7D">
        <w:t xml:space="preserve"> </w:t>
      </w:r>
      <w:r w:rsidRPr="00F32E7D" w:rsidR="00F32E7D">
        <w:t>Such an application shall include a valuation proposal.</w:t>
      </w:r>
    </w:p>
    <w:p w:rsidR="00582E5F" w:rsidP="00F13F62" w:rsidRDefault="00582E5F" w14:paraId="7918FEAB" w14:textId="143BCE95">
      <w:pPr>
        <w:pStyle w:val="Heading3"/>
        <w:numPr>
          <w:ilvl w:val="2"/>
          <w:numId w:val="21"/>
        </w:numPr>
      </w:pPr>
      <w:bookmarkStart w:name="_Toc215581856" w:id="64"/>
      <w:r>
        <w:t>Valuation of RECs Banked in 2019</w:t>
      </w:r>
      <w:bookmarkEnd w:id="64"/>
    </w:p>
    <w:p w:rsidRPr="00961DDC" w:rsidR="00582E5F" w:rsidP="00196793" w:rsidRDefault="00582E5F" w14:paraId="36B57BC0" w14:textId="4407706B">
      <w:pPr>
        <w:pStyle w:val="Standard"/>
      </w:pPr>
      <w:r w:rsidRPr="00582E5F">
        <w:t>Consistent with D.24-12-040, SDG&amp;E shall calculate the incremental value of RECs banked in 2019 using the 2026 RPS MPB (difference between value of the 2026 RPS MPB less the value of the 2019 Adder MPB) and include the value as an expense to ERRA and credit to PABA vintages according to the same allocation used in the year the RECs were generated.</w:t>
      </w:r>
      <w:r>
        <w:rPr>
          <w:rStyle w:val="FootnoteReference"/>
        </w:rPr>
        <w:footnoteReference w:id="40"/>
      </w:r>
      <w:r w:rsidRPr="00582E5F">
        <w:t xml:space="preserve"> This exception applies only to RECs generated in 2019 due to SDG&amp;E’s valuation of unsold RECs in 2019</w:t>
      </w:r>
      <w:r>
        <w:t xml:space="preserve">. </w:t>
      </w:r>
      <w:r w:rsidRPr="00582E5F">
        <w:t>This exception applies indefinitely, and SDG&amp;E should continue to value RECs banked in 2019 only using this methodology going forward.</w:t>
      </w:r>
      <w:r>
        <w:t xml:space="preserve"> </w:t>
      </w:r>
      <w:r w:rsidRPr="00582E5F">
        <w:t>RECs generated in 2020 and onward shall be valued according to the methods of D.19-10-001.</w:t>
      </w:r>
    </w:p>
    <w:p w:rsidRPr="000C19CA" w:rsidR="00AE141F" w:rsidP="00855898" w:rsidRDefault="00AE141F" w14:paraId="1A0B67D9" w14:textId="445D79C1">
      <w:pPr>
        <w:pStyle w:val="Heading3"/>
        <w:numPr>
          <w:ilvl w:val="2"/>
          <w:numId w:val="21"/>
        </w:numPr>
      </w:pPr>
      <w:bookmarkStart w:name="_Toc120015226" w:id="65"/>
      <w:bookmarkStart w:name="_Toc215581857" w:id="66"/>
      <w:bookmarkEnd w:id="62"/>
      <w:r>
        <w:t>GTSR Rate Components</w:t>
      </w:r>
      <w:bookmarkEnd w:id="65"/>
      <w:bookmarkEnd w:id="66"/>
    </w:p>
    <w:p w:rsidR="00FA2226" w:rsidP="00AE141F" w:rsidRDefault="00FA2226" w14:paraId="2F263C8E" w14:textId="3FD10312">
      <w:pPr>
        <w:pStyle w:val="Standard"/>
      </w:pPr>
      <w:r w:rsidRPr="00FA2226">
        <w:t xml:space="preserve">The Commission required SDG&amp;E to establish the </w:t>
      </w:r>
      <w:r>
        <w:t>Green Tariff Shared Renewables (</w:t>
      </w:r>
      <w:r w:rsidRPr="00FA2226">
        <w:t>GTSR</w:t>
      </w:r>
      <w:r>
        <w:t>)</w:t>
      </w:r>
      <w:r w:rsidRPr="00FA2226">
        <w:t xml:space="preserve"> program in D.15</w:t>
      </w:r>
      <w:r>
        <w:t>-</w:t>
      </w:r>
      <w:r w:rsidRPr="00FA2226">
        <w:t>01</w:t>
      </w:r>
      <w:r>
        <w:t>-</w:t>
      </w:r>
      <w:r w:rsidRPr="00FA2226">
        <w:t>051</w:t>
      </w:r>
      <w:r>
        <w:t xml:space="preserve"> </w:t>
      </w:r>
      <w:r w:rsidRPr="00FA2226">
        <w:t xml:space="preserve">intended to promote renewable energy by expanding access to renewable energy resources for ratepayers who </w:t>
      </w:r>
      <w:r w:rsidRPr="00FA2226">
        <w:lastRenderedPageBreak/>
        <w:t xml:space="preserve">are currently unable to access the benefits of onsite generation such as residential customers who cannot install solar panels. </w:t>
      </w:r>
      <w:r>
        <w:t>SDG&amp;E’s GTSR</w:t>
      </w:r>
      <w:r w:rsidRPr="00FA2226">
        <w:t xml:space="preserve"> program has two features administered by the utilities: (a) an EcoChoice Green Tariff (GT) component which allows customers to purchase energy with a greater share of renewables procured by SDG&amp;E; and (b) an Enhanced Community Renewables (ECR) component which allows customers to purchase renewable energy from community</w:t>
      </w:r>
      <w:r>
        <w:t>-</w:t>
      </w:r>
      <w:r w:rsidRPr="00FA2226">
        <w:t>based projects.</w:t>
      </w:r>
      <w:r w:rsidR="004A3A27">
        <w:t xml:space="preserve"> </w:t>
      </w:r>
    </w:p>
    <w:p w:rsidR="00AE141F" w:rsidP="00AE141F" w:rsidRDefault="00FA2226" w14:paraId="429BC028" w14:textId="2D2DD464">
      <w:pPr>
        <w:pStyle w:val="Standard"/>
      </w:pPr>
      <w:r>
        <w:t>T</w:t>
      </w:r>
      <w:r w:rsidRPr="000C19CA" w:rsidR="00AE141F">
        <w:t xml:space="preserve">he GT program was suspended in </w:t>
      </w:r>
      <w:bookmarkStart w:name="_Hlk119671648" w:id="67"/>
      <w:r w:rsidRPr="000C19CA" w:rsidR="00AE141F">
        <w:t>A.22</w:t>
      </w:r>
      <w:r w:rsidRPr="000C19CA" w:rsidR="00AE141F">
        <w:noBreakHyphen/>
        <w:t>05</w:t>
      </w:r>
      <w:r w:rsidRPr="000C19CA" w:rsidR="00AE141F">
        <w:noBreakHyphen/>
      </w:r>
      <w:r w:rsidR="00AE141F">
        <w:t>0</w:t>
      </w:r>
      <w:r w:rsidRPr="000C19CA" w:rsidR="00AE141F">
        <w:t>22</w:t>
      </w:r>
      <w:bookmarkEnd w:id="67"/>
      <w:r w:rsidRPr="000C19CA" w:rsidR="00AE141F">
        <w:rPr>
          <w:vertAlign w:val="superscript"/>
        </w:rPr>
        <w:footnoteReference w:id="41"/>
      </w:r>
      <w:r w:rsidRPr="000C19CA" w:rsidR="00AE141F">
        <w:t xml:space="preserve"> and members were disenrolled from the program. </w:t>
      </w:r>
      <w:r>
        <w:t xml:space="preserve">The ECR </w:t>
      </w:r>
      <w:r w:rsidR="004B77E0">
        <w:t xml:space="preserve">program was closed in Advice Letter 4522-E. Accordingly, SDG&amp;E does not propose </w:t>
      </w:r>
      <w:r w:rsidR="00E20E88">
        <w:t>to use any rate components for the GTSR program in this application</w:t>
      </w:r>
      <w:r>
        <w:t>.</w:t>
      </w:r>
    </w:p>
    <w:p w:rsidRPr="006A7A68" w:rsidR="00696679" w:rsidP="00582E5F" w:rsidRDefault="00696679" w14:paraId="44567D6B" w14:textId="6B2C4E07">
      <w:pPr>
        <w:pStyle w:val="Heading3"/>
        <w:numPr>
          <w:ilvl w:val="2"/>
          <w:numId w:val="29"/>
        </w:numPr>
      </w:pPr>
      <w:bookmarkStart w:name="_Toc215581858" w:id="68"/>
      <w:bookmarkStart w:name="_Hlk213451911" w:id="69"/>
      <w:r w:rsidRPr="006A7A68">
        <w:t xml:space="preserve">Review of </w:t>
      </w:r>
      <w:r w:rsidRPr="006A7A68" w:rsidR="002839AF">
        <w:t xml:space="preserve">ALJ </w:t>
      </w:r>
      <w:r w:rsidRPr="006A7A68">
        <w:t>Ruling</w:t>
      </w:r>
      <w:bookmarkEnd w:id="68"/>
    </w:p>
    <w:p w:rsidR="00B9074A" w:rsidP="00696679" w:rsidRDefault="00B9074A" w14:paraId="7C8056B4" w14:textId="77777777">
      <w:pPr>
        <w:pStyle w:val="Standard"/>
      </w:pPr>
      <w:r>
        <w:t xml:space="preserve">On November 7, 2025, the Joint CCAs filed a motion for interlocutory review of the ALJ ruling on November 4, 2025, denying a motion to admit exhibits relating to pre-2019 banked RECs. </w:t>
      </w:r>
    </w:p>
    <w:p w:rsidRPr="000C19CA" w:rsidR="00696679" w:rsidP="00696679" w:rsidRDefault="00212619" w14:paraId="2C4DC15F" w14:textId="6EAED418">
      <w:pPr>
        <w:pStyle w:val="Standard"/>
      </w:pPr>
      <w:r>
        <w:t xml:space="preserve">Upon review, </w:t>
      </w:r>
      <w:r w:rsidR="00950F42">
        <w:t xml:space="preserve">we deny </w:t>
      </w:r>
      <w:r>
        <w:t>t</w:t>
      </w:r>
      <w:r w:rsidR="00696679">
        <w:t>he Joint CCAs</w:t>
      </w:r>
      <w:r w:rsidR="007D10AC">
        <w:t>’</w:t>
      </w:r>
      <w:r w:rsidR="00696679">
        <w:t xml:space="preserve"> motion. Section 6.11.3 </w:t>
      </w:r>
      <w:r w:rsidR="002839AF">
        <w:t>of this decision</w:t>
      </w:r>
      <w:r w:rsidR="00D55DDF">
        <w:t xml:space="preserve"> </w:t>
      </w:r>
      <w:r w:rsidR="00696679">
        <w:t xml:space="preserve">explains that </w:t>
      </w:r>
      <w:r w:rsidR="00F7506B">
        <w:t xml:space="preserve">because </w:t>
      </w:r>
      <w:r w:rsidR="002839AF">
        <w:t>the Joint CCAs were not</w:t>
      </w:r>
      <w:r w:rsidR="00696679">
        <w:t xml:space="preserve"> </w:t>
      </w:r>
      <w:r w:rsidR="002839AF">
        <w:t xml:space="preserve">able to </w:t>
      </w:r>
      <w:r w:rsidRPr="002839AF" w:rsidR="002839AF">
        <w:t>fully litigate SDG&amp;E’s potential use of pre-2019 banked RECs</w:t>
      </w:r>
      <w:r w:rsidR="00F7506B">
        <w:t xml:space="preserve"> </w:t>
      </w:r>
      <w:r w:rsidR="00950F42">
        <w:t>to meet its</w:t>
      </w:r>
      <w:r w:rsidR="00F7506B">
        <w:t xml:space="preserve"> 2026</w:t>
      </w:r>
      <w:r w:rsidR="00950F42">
        <w:t xml:space="preserve"> RPS requirements</w:t>
      </w:r>
      <w:r w:rsidR="007D10AC">
        <w:t>,</w:t>
      </w:r>
      <w:r w:rsidR="002839AF">
        <w:t xml:space="preserve"> SDG&amp;E</w:t>
      </w:r>
      <w:r w:rsidR="007D10AC">
        <w:t xml:space="preserve"> </w:t>
      </w:r>
      <w:r w:rsidR="00950F42">
        <w:t>is required</w:t>
      </w:r>
      <w:r w:rsidR="00D55DDF">
        <w:t xml:space="preserve"> to </w:t>
      </w:r>
      <w:r w:rsidR="002839AF">
        <w:t xml:space="preserve">file an application if it seeks to </w:t>
      </w:r>
      <w:r w:rsidR="003F5B23">
        <w:t>use said RECs</w:t>
      </w:r>
      <w:r w:rsidR="002839AF">
        <w:t xml:space="preserve">. </w:t>
      </w:r>
      <w:bookmarkStart w:name="_Hlk213667367" w:id="70"/>
      <w:r w:rsidR="002839AF">
        <w:t xml:space="preserve">If such an application is filed, the Joint CCAs </w:t>
      </w:r>
      <w:r w:rsidR="007D10AC">
        <w:t xml:space="preserve">will have the opportunity to </w:t>
      </w:r>
      <w:r w:rsidR="003937A5">
        <w:t xml:space="preserve">have </w:t>
      </w:r>
      <w:r w:rsidR="002839AF">
        <w:t xml:space="preserve">testimony and other evidence </w:t>
      </w:r>
      <w:r w:rsidR="003937A5">
        <w:t xml:space="preserve">admitted </w:t>
      </w:r>
      <w:r w:rsidR="002839AF">
        <w:t xml:space="preserve">in that proceeding. </w:t>
      </w:r>
    </w:p>
    <w:p w:rsidRPr="000C19CA" w:rsidR="00A34A91" w:rsidP="00855898" w:rsidRDefault="005939A5" w14:paraId="7912219A" w14:textId="18568509">
      <w:pPr>
        <w:pStyle w:val="Heading1"/>
        <w:numPr>
          <w:ilvl w:val="0"/>
          <w:numId w:val="21"/>
        </w:numPr>
      </w:pPr>
      <w:bookmarkStart w:name="_Toc8123723" w:id="71"/>
      <w:bookmarkStart w:name="_Toc12866693" w:id="72"/>
      <w:bookmarkStart w:name="_Toc120015229" w:id="73"/>
      <w:bookmarkStart w:name="_Toc215581859" w:id="74"/>
      <w:bookmarkEnd w:id="69"/>
      <w:bookmarkEnd w:id="70"/>
      <w:r w:rsidRPr="000C19CA">
        <w:t>Comments on Proposed Decision</w:t>
      </w:r>
      <w:bookmarkEnd w:id="71"/>
      <w:bookmarkEnd w:id="72"/>
      <w:bookmarkEnd w:id="73"/>
      <w:bookmarkEnd w:id="74"/>
    </w:p>
    <w:p w:rsidRPr="000C19CA" w:rsidR="00A34A91" w:rsidP="00A34A91" w:rsidRDefault="00A34A91" w14:paraId="75FA068B" w14:textId="22912C69">
      <w:pPr>
        <w:pStyle w:val="Standard"/>
      </w:pPr>
      <w:r w:rsidRPr="000C19CA">
        <w:t xml:space="preserve">The proposed decision in this matter was mailed to the parties in accordance with </w:t>
      </w:r>
      <w:r w:rsidRPr="000C19CA" w:rsidR="00BC1D8E">
        <w:t>Pub. Util.</w:t>
      </w:r>
      <w:r w:rsidRPr="000C19CA">
        <w:t xml:space="preserve"> Code </w:t>
      </w:r>
      <w:r w:rsidRPr="000C19CA" w:rsidR="00A23FC8">
        <w:t>Section </w:t>
      </w:r>
      <w:r w:rsidRPr="000C19CA">
        <w:t xml:space="preserve">311 and comments were allowed under </w:t>
      </w:r>
      <w:r w:rsidRPr="000C19CA">
        <w:lastRenderedPageBreak/>
        <w:t>Rule</w:t>
      </w:r>
      <w:r w:rsidRPr="000C19CA" w:rsidR="008734C6">
        <w:t> </w:t>
      </w:r>
      <w:r w:rsidRPr="000C19CA">
        <w:t>14.3</w:t>
      </w:r>
      <w:r w:rsidRPr="000C19CA" w:rsidR="008734C6">
        <w:t xml:space="preserve"> of the Commission’s Rules of Practice and Procedure</w:t>
      </w:r>
      <w:r w:rsidRPr="000C19CA">
        <w:t>. In developing the schedule for the proceeding, parties stipulated to reduce the 30</w:t>
      </w:r>
      <w:r w:rsidRPr="000C19CA" w:rsidR="00116648">
        <w:noBreakHyphen/>
      </w:r>
      <w:r w:rsidRPr="000C19CA">
        <w:t xml:space="preserve">day public review and comment period required by </w:t>
      </w:r>
      <w:r w:rsidRPr="000C19CA" w:rsidR="00BC1D8E">
        <w:t>Pub. Util.</w:t>
      </w:r>
      <w:r w:rsidRPr="000C19CA">
        <w:t xml:space="preserve"> Code </w:t>
      </w:r>
      <w:r w:rsidRPr="000C19CA" w:rsidR="00A23FC8">
        <w:t>Section </w:t>
      </w:r>
      <w:r w:rsidRPr="000C19CA">
        <w:t xml:space="preserve">311 to </w:t>
      </w:r>
      <w:r w:rsidRPr="000C19CA" w:rsidR="00D14269">
        <w:t>seven</w:t>
      </w:r>
      <w:r w:rsidRPr="000C19CA">
        <w:t xml:space="preserve"> days for </w:t>
      </w:r>
      <w:r w:rsidR="00C1595F">
        <w:t>O</w:t>
      </w:r>
      <w:r w:rsidRPr="000C19CA">
        <w:t xml:space="preserve">pening </w:t>
      </w:r>
      <w:r w:rsidR="00C1595F">
        <w:t>C</w:t>
      </w:r>
      <w:r w:rsidRPr="000C19CA">
        <w:t xml:space="preserve">omments and </w:t>
      </w:r>
      <w:r w:rsidR="00C1595F">
        <w:t>five</w:t>
      </w:r>
      <w:r w:rsidRPr="000C19CA">
        <w:t xml:space="preserve"> days for </w:t>
      </w:r>
      <w:r w:rsidR="00C1595F">
        <w:t>R</w:t>
      </w:r>
      <w:r w:rsidRPr="000C19CA">
        <w:t xml:space="preserve">eply </w:t>
      </w:r>
      <w:r w:rsidR="00C1595F">
        <w:t>C</w:t>
      </w:r>
      <w:r w:rsidRPr="000C19CA">
        <w:t>omments.</w:t>
      </w:r>
      <w:r w:rsidR="00B35484">
        <w:rPr>
          <w:rStyle w:val="FootnoteReference"/>
        </w:rPr>
        <w:footnoteReference w:id="42"/>
      </w:r>
    </w:p>
    <w:p w:rsidR="00DB094B" w:rsidP="00A34A91" w:rsidRDefault="00A34A91" w14:paraId="0570D27E" w14:textId="1794B5A9">
      <w:pPr>
        <w:pStyle w:val="Standard"/>
      </w:pPr>
      <w:r w:rsidRPr="00F77150">
        <w:t xml:space="preserve">Comments were filed </w:t>
      </w:r>
      <w:r w:rsidRPr="00F77150" w:rsidR="00DB094B">
        <w:t xml:space="preserve">by </w:t>
      </w:r>
      <w:r w:rsidR="00E514E0">
        <w:t xml:space="preserve">the Joint CCAs and SDG&amp;E </w:t>
      </w:r>
      <w:r w:rsidRPr="00F77150">
        <w:t>on</w:t>
      </w:r>
      <w:r w:rsidR="00E514E0">
        <w:t xml:space="preserve"> November 17, 2025</w:t>
      </w:r>
      <w:r w:rsidRPr="00F77150" w:rsidR="00AE702D">
        <w:t>.</w:t>
      </w:r>
      <w:r w:rsidRPr="00F77150">
        <w:t xml:space="preserve"> </w:t>
      </w:r>
      <w:r w:rsidRPr="00F77150" w:rsidR="00142A39">
        <w:t>R</w:t>
      </w:r>
      <w:r w:rsidRPr="00F77150">
        <w:t>eply comments were filed</w:t>
      </w:r>
      <w:r w:rsidRPr="00F77150" w:rsidR="00142A39">
        <w:t xml:space="preserve"> by </w:t>
      </w:r>
      <w:r w:rsidR="00E514E0">
        <w:t>the Joint CCAs and SDG&amp;E</w:t>
      </w:r>
      <w:r w:rsidRPr="00F77150" w:rsidR="00F77150">
        <w:t xml:space="preserve"> on </w:t>
      </w:r>
      <w:r w:rsidR="00E514E0">
        <w:t>November 24, 2025</w:t>
      </w:r>
      <w:r w:rsidRPr="00F77150" w:rsidR="003E1C04">
        <w:t>.</w:t>
      </w:r>
    </w:p>
    <w:p w:rsidRPr="00F77150" w:rsidR="00E514E0" w:rsidP="00A34A91" w:rsidRDefault="00E514E0" w14:paraId="70C93580" w14:textId="5B3EAD5C">
      <w:pPr>
        <w:pStyle w:val="Standard"/>
      </w:pPr>
      <w:r>
        <w:t>The comments were reviewed and appropriate changes to the decision have been made.</w:t>
      </w:r>
      <w:r w:rsidR="00C16833">
        <w:t xml:space="preserve"> Some of the comments reiterate positions made in briefs that had already been considered in the proposed decision.</w:t>
      </w:r>
    </w:p>
    <w:p w:rsidRPr="000C19CA" w:rsidR="005939A5" w:rsidP="00855898" w:rsidRDefault="005939A5" w14:paraId="440EC186" w14:textId="77777777">
      <w:pPr>
        <w:pStyle w:val="Heading1"/>
        <w:numPr>
          <w:ilvl w:val="0"/>
          <w:numId w:val="21"/>
        </w:numPr>
      </w:pPr>
      <w:bookmarkStart w:name="_Toc8123724" w:id="75"/>
      <w:bookmarkStart w:name="_Toc12866694" w:id="76"/>
      <w:bookmarkStart w:name="_Toc120015230" w:id="77"/>
      <w:bookmarkStart w:name="_Toc215581860" w:id="78"/>
      <w:r w:rsidRPr="000C19CA">
        <w:t>Assignment of Proceeding</w:t>
      </w:r>
      <w:bookmarkEnd w:id="75"/>
      <w:bookmarkEnd w:id="76"/>
      <w:bookmarkEnd w:id="77"/>
      <w:bookmarkEnd w:id="78"/>
    </w:p>
    <w:p w:rsidRPr="000C19CA" w:rsidR="005939A5" w:rsidP="006E6574" w:rsidRDefault="00A34A91" w14:paraId="052305C1" w14:textId="5AB0487F">
      <w:pPr>
        <w:pStyle w:val="Standard"/>
      </w:pPr>
      <w:r w:rsidRPr="000C19CA">
        <w:t>Commissioner John Reynolds is the assigned Commissioner and Rafael</w:t>
      </w:r>
      <w:r w:rsidRPr="000C19CA" w:rsidR="00032D0A">
        <w:t> </w:t>
      </w:r>
      <w:r w:rsidRPr="000C19CA">
        <w:t xml:space="preserve">Lirag is the assigned </w:t>
      </w:r>
      <w:r w:rsidRPr="000C19CA" w:rsidR="003E1C04">
        <w:t>ALJ</w:t>
      </w:r>
      <w:r w:rsidRPr="000C19CA">
        <w:t xml:space="preserve"> in this proceeding</w:t>
      </w:r>
      <w:r w:rsidRPr="000C19CA" w:rsidR="005939A5">
        <w:t>.</w:t>
      </w:r>
    </w:p>
    <w:p w:rsidRPr="000C19CA" w:rsidR="005939A5" w:rsidP="008A28AC" w:rsidRDefault="005939A5" w14:paraId="2BA068F3" w14:textId="77777777">
      <w:pPr>
        <w:pStyle w:val="Dummy"/>
      </w:pPr>
      <w:bookmarkStart w:name="_Toc8123725" w:id="79"/>
      <w:bookmarkStart w:name="_Toc12866695" w:id="80"/>
      <w:bookmarkStart w:name="_Toc120015231" w:id="81"/>
      <w:bookmarkStart w:name="_Toc215581861" w:id="82"/>
      <w:r w:rsidRPr="000C19CA">
        <w:t>Findings of Fact</w:t>
      </w:r>
      <w:bookmarkEnd w:id="79"/>
      <w:bookmarkEnd w:id="80"/>
      <w:bookmarkEnd w:id="81"/>
      <w:bookmarkEnd w:id="82"/>
    </w:p>
    <w:p w:rsidRPr="00B365B3" w:rsidR="002D16CB" w:rsidP="002D16CB" w:rsidRDefault="002D16CB" w14:paraId="5AD166E2" w14:textId="718D0AF0">
      <w:pPr>
        <w:numPr>
          <w:ilvl w:val="0"/>
          <w:numId w:val="3"/>
        </w:numPr>
        <w:ind w:firstLine="547"/>
      </w:pPr>
      <w:bookmarkStart w:name="_Hlk119525145" w:id="83"/>
      <w:r w:rsidRPr="00B365B3">
        <w:t xml:space="preserve">SDG&amp;E’s </w:t>
      </w:r>
      <w:r w:rsidR="003E1065">
        <w:t xml:space="preserve">2026 </w:t>
      </w:r>
      <w:r w:rsidRPr="00B365B3">
        <w:t>ERRA forecast is supported by the evidence presented.</w:t>
      </w:r>
    </w:p>
    <w:p w:rsidRPr="00B365B3" w:rsidR="002D16CB" w:rsidP="002D16CB" w:rsidRDefault="002D16CB" w14:paraId="2E64CE1C" w14:textId="7C91FB63">
      <w:pPr>
        <w:numPr>
          <w:ilvl w:val="0"/>
          <w:numId w:val="3"/>
        </w:numPr>
        <w:ind w:firstLine="547"/>
      </w:pPr>
      <w:r w:rsidRPr="00B365B3">
        <w:t>The 202</w:t>
      </w:r>
      <w:r w:rsidR="003E1065">
        <w:t>5</w:t>
      </w:r>
      <w:r w:rsidRPr="00B365B3">
        <w:t xml:space="preserve"> year</w:t>
      </w:r>
      <w:r w:rsidRPr="00B365B3">
        <w:noBreakHyphen/>
        <w:t>end forecast for the ERRA balancing account is supported by the evidence presented.</w:t>
      </w:r>
    </w:p>
    <w:p w:rsidRPr="0046678C" w:rsidR="002D16CB" w:rsidP="0046678C" w:rsidRDefault="002D16CB" w14:paraId="6C43D220" w14:textId="0D4BBE6C">
      <w:pPr>
        <w:numPr>
          <w:ilvl w:val="0"/>
          <w:numId w:val="3"/>
        </w:numPr>
        <w:ind w:firstLine="547"/>
      </w:pPr>
      <w:r w:rsidRPr="0046678C">
        <w:t>The 202</w:t>
      </w:r>
      <w:r w:rsidRPr="0046678C" w:rsidR="006C3AFE">
        <w:t>6</w:t>
      </w:r>
      <w:r w:rsidRPr="0046678C">
        <w:t xml:space="preserve"> ERRA revenue requirement and 202</w:t>
      </w:r>
      <w:r w:rsidRPr="0046678C" w:rsidR="006C3AFE">
        <w:t>5</w:t>
      </w:r>
      <w:r w:rsidRPr="0046678C">
        <w:t xml:space="preserve"> year-end balance </w:t>
      </w:r>
      <w:r w:rsidRPr="0046678C" w:rsidR="006C3AFE">
        <w:t xml:space="preserve">forecasts changed due to the 2026 forecast </w:t>
      </w:r>
      <w:r w:rsidRPr="0046678C" w:rsidR="0046678C">
        <w:t>RA and RPS MPBs released in October 2025 compared to the RA and RPS MPB values used in the May application.</w:t>
      </w:r>
    </w:p>
    <w:p w:rsidRPr="009A7E01" w:rsidR="002D16CB" w:rsidP="002D16CB" w:rsidRDefault="002D16CB" w14:paraId="00E0FA2F" w14:textId="2336B09D">
      <w:pPr>
        <w:numPr>
          <w:ilvl w:val="0"/>
          <w:numId w:val="3"/>
        </w:numPr>
      </w:pPr>
      <w:r w:rsidRPr="009A7E01">
        <w:t xml:space="preserve">The </w:t>
      </w:r>
      <w:r w:rsidRPr="009A7E01" w:rsidR="009A7E01">
        <w:t xml:space="preserve">2026 </w:t>
      </w:r>
      <w:r w:rsidRPr="009A7E01">
        <w:t>revenue requirement forecasts for PABA and the 202</w:t>
      </w:r>
      <w:r w:rsidRPr="009A7E01" w:rsidR="009A7E01">
        <w:t>5</w:t>
      </w:r>
      <w:r w:rsidRPr="009A7E01">
        <w:t xml:space="preserve"> PABA year-end balance </w:t>
      </w:r>
      <w:r w:rsidRPr="009A7E01" w:rsidR="009A7E01">
        <w:t xml:space="preserve">increased </w:t>
      </w:r>
      <w:r w:rsidRPr="009A7E01">
        <w:t xml:space="preserve">significantly </w:t>
      </w:r>
      <w:r w:rsidRPr="009A7E01" w:rsidR="009A7E01">
        <w:t xml:space="preserve">in large part due </w:t>
      </w:r>
      <w:r w:rsidRPr="009A7E01">
        <w:t xml:space="preserve">a true-up to the </w:t>
      </w:r>
      <w:r w:rsidRPr="009A7E01" w:rsidR="009A7E01">
        <w:t xml:space="preserve">lower </w:t>
      </w:r>
      <w:r w:rsidRPr="009A7E01">
        <w:t>202</w:t>
      </w:r>
      <w:r w:rsidRPr="009A7E01" w:rsidR="009A7E01">
        <w:t>5</w:t>
      </w:r>
      <w:r w:rsidRPr="009A7E01">
        <w:t xml:space="preserve"> Final MPBs.</w:t>
      </w:r>
    </w:p>
    <w:p w:rsidRPr="008E161E" w:rsidR="002D16CB" w:rsidP="002D16CB" w:rsidRDefault="002D16CB" w14:paraId="2D5F526B" w14:textId="4823F750">
      <w:pPr>
        <w:numPr>
          <w:ilvl w:val="0"/>
          <w:numId w:val="3"/>
        </w:numPr>
        <w:ind w:firstLine="547"/>
      </w:pPr>
      <w:r w:rsidRPr="008E161E">
        <w:lastRenderedPageBreak/>
        <w:t xml:space="preserve">The evidence SDG&amp;E presented supports the </w:t>
      </w:r>
      <w:r w:rsidRPr="008E161E" w:rsidR="003E1065">
        <w:t xml:space="preserve">2026 </w:t>
      </w:r>
      <w:r w:rsidRPr="008E161E">
        <w:t>PABA forecast and 202</w:t>
      </w:r>
      <w:r w:rsidRPr="008E161E" w:rsidR="003E1065">
        <w:t>5</w:t>
      </w:r>
      <w:r w:rsidRPr="008E161E">
        <w:t xml:space="preserve"> PABA year-end balance.</w:t>
      </w:r>
    </w:p>
    <w:p w:rsidRPr="00B365B3" w:rsidR="002D16CB" w:rsidP="002D16CB" w:rsidRDefault="002D16CB" w14:paraId="0B2DE5CB" w14:textId="767414CC">
      <w:pPr>
        <w:numPr>
          <w:ilvl w:val="0"/>
          <w:numId w:val="3"/>
        </w:numPr>
        <w:ind w:firstLine="547"/>
      </w:pPr>
      <w:r w:rsidRPr="00B365B3">
        <w:t xml:space="preserve">SDG&amp;E’s </w:t>
      </w:r>
      <w:r w:rsidR="00305964">
        <w:t xml:space="preserve">forecast for </w:t>
      </w:r>
      <w:r w:rsidRPr="00B365B3">
        <w:t xml:space="preserve">CTC costs </w:t>
      </w:r>
      <w:r w:rsidR="00305964">
        <w:t xml:space="preserve">in 2026 is </w:t>
      </w:r>
      <w:r w:rsidRPr="00B365B3">
        <w:t>reasonable.</w:t>
      </w:r>
    </w:p>
    <w:p w:rsidRPr="00B41F64" w:rsidR="002D16CB" w:rsidP="002D16CB" w:rsidRDefault="002D16CB" w14:paraId="7AD55AEF" w14:textId="77777777">
      <w:pPr>
        <w:numPr>
          <w:ilvl w:val="0"/>
          <w:numId w:val="3"/>
        </w:numPr>
        <w:ind w:firstLine="547"/>
      </w:pPr>
      <w:r w:rsidRPr="00B41F64">
        <w:t>Parties do not object to the requested LG costs and the LG forecast is adequately supported by the evidence submitted which presents a monthly breakdown of the different costs.</w:t>
      </w:r>
    </w:p>
    <w:p w:rsidRPr="00B41F64" w:rsidR="002D16CB" w:rsidP="002D16CB" w:rsidRDefault="002D16CB" w14:paraId="5466C511" w14:textId="04A791F6">
      <w:pPr>
        <w:numPr>
          <w:ilvl w:val="0"/>
          <w:numId w:val="3"/>
        </w:numPr>
        <w:ind w:firstLine="547"/>
      </w:pPr>
      <w:r w:rsidRPr="00B41F64">
        <w:t>There were no objections to the projected 202</w:t>
      </w:r>
      <w:r w:rsidRPr="00B41F64" w:rsidR="00B41F64">
        <w:t>5</w:t>
      </w:r>
      <w:r w:rsidRPr="00B41F64">
        <w:t xml:space="preserve"> LGBA year-end </w:t>
      </w:r>
      <w:r w:rsidRPr="00B41F64" w:rsidR="00B41F64">
        <w:t>balance</w:t>
      </w:r>
      <w:r w:rsidRPr="00B41F64">
        <w:t xml:space="preserve"> and the amounts are properly documented by the testimony submitted.</w:t>
      </w:r>
    </w:p>
    <w:p w:rsidRPr="007A0EF8" w:rsidR="002D16CB" w:rsidP="002D16CB" w:rsidRDefault="002D16CB" w14:paraId="5CAB5B44" w14:textId="473B1C14">
      <w:pPr>
        <w:numPr>
          <w:ilvl w:val="0"/>
          <w:numId w:val="3"/>
        </w:numPr>
        <w:ind w:firstLine="547"/>
      </w:pPr>
      <w:r w:rsidRPr="00B41F64">
        <w:t xml:space="preserve">The updated forecast for MCAM costs is reasonable and should be </w:t>
      </w:r>
      <w:r w:rsidRPr="007A0EF8">
        <w:t>authorized</w:t>
      </w:r>
      <w:r w:rsidRPr="007A0EF8" w:rsidR="007A0EF8">
        <w:t xml:space="preserve"> and is based on SDCP’s requested funding amount for the program</w:t>
      </w:r>
      <w:r w:rsidRPr="007A0EF8">
        <w:t>.</w:t>
      </w:r>
    </w:p>
    <w:p w:rsidRPr="00587218" w:rsidR="002D16CB" w:rsidP="002D16CB" w:rsidRDefault="002D16CB" w14:paraId="0BAC6D85" w14:textId="5DCFFEC1">
      <w:pPr>
        <w:numPr>
          <w:ilvl w:val="0"/>
          <w:numId w:val="3"/>
        </w:numPr>
        <w:ind w:firstLine="547"/>
      </w:pPr>
      <w:r w:rsidRPr="00587218">
        <w:t xml:space="preserve">SDG&amp;E’s updated revenue requirement of $0 for DAC-GT is reasonable </w:t>
      </w:r>
      <w:r w:rsidRPr="00587218" w:rsidR="00587218">
        <w:t>and is based on SDCP’s requested funding</w:t>
      </w:r>
      <w:r w:rsidRPr="00587218">
        <w:t>.</w:t>
      </w:r>
    </w:p>
    <w:p w:rsidRPr="004C2E67" w:rsidR="004C2E67" w:rsidP="002D16CB" w:rsidRDefault="004C2E67" w14:paraId="5164291E" w14:textId="5F83F860">
      <w:pPr>
        <w:numPr>
          <w:ilvl w:val="0"/>
          <w:numId w:val="3"/>
        </w:numPr>
        <w:ind w:firstLine="547"/>
      </w:pPr>
      <w:r w:rsidRPr="004C2E67">
        <w:t>The forecast costs for BioMAT</w:t>
      </w:r>
      <w:r w:rsidR="007A0EF8">
        <w:t xml:space="preserve"> is $0 million</w:t>
      </w:r>
      <w:r w:rsidRPr="004C2E67">
        <w:t>.</w:t>
      </w:r>
    </w:p>
    <w:p w:rsidRPr="00B365B3" w:rsidR="002D16CB" w:rsidP="002D16CB" w:rsidRDefault="002D16CB" w14:paraId="70F23D69" w14:textId="7CE41E5D">
      <w:pPr>
        <w:numPr>
          <w:ilvl w:val="0"/>
          <w:numId w:val="3"/>
        </w:numPr>
        <w:ind w:firstLine="547"/>
      </w:pPr>
      <w:r w:rsidRPr="00B365B3">
        <w:t xml:space="preserve">SDG&amp;E’s forecast for TMNBC costs as set forth in Exhibit SDGE-13C is reasonable and supported by the evidence. </w:t>
      </w:r>
    </w:p>
    <w:p w:rsidRPr="00B74CA4" w:rsidR="002D16CB" w:rsidP="0069044A" w:rsidRDefault="002D16CB" w14:paraId="3599D089" w14:textId="6B770DE0">
      <w:pPr>
        <w:numPr>
          <w:ilvl w:val="0"/>
          <w:numId w:val="3"/>
        </w:numPr>
        <w:ind w:firstLine="547"/>
      </w:pPr>
      <w:r w:rsidRPr="00B74CA4">
        <w:t xml:space="preserve">GHG returns are to be made to </w:t>
      </w:r>
      <w:r w:rsidRPr="00447707" w:rsidR="00447707">
        <w:t>qualifying EITE entities via CA Industry Assistance with</w:t>
      </w:r>
      <w:r w:rsidRPr="00B74CA4">
        <w:t xml:space="preserve"> the remaining allowance distributions to be made to all qualifying Small Business and Residential customers via a twice annual CCC.</w:t>
      </w:r>
    </w:p>
    <w:p w:rsidRPr="00B74CA4" w:rsidR="002D16CB" w:rsidP="002D16CB" w:rsidRDefault="002D16CB" w14:paraId="68E1D73B" w14:textId="2734C028">
      <w:pPr>
        <w:numPr>
          <w:ilvl w:val="0"/>
          <w:numId w:val="3"/>
        </w:numPr>
        <w:ind w:firstLine="547"/>
      </w:pPr>
      <w:r w:rsidRPr="00B74CA4">
        <w:t xml:space="preserve">SDG&amp;E’s proposed GHG Allowance Returns </w:t>
      </w:r>
      <w:r w:rsidRPr="00B74CA4" w:rsidR="00B74CA4">
        <w:t>is</w:t>
      </w:r>
      <w:r w:rsidRPr="00B74CA4">
        <w:t xml:space="preserve"> supported by the evidence presented such as Table 6 of Exhibit SDGE-</w:t>
      </w:r>
      <w:r w:rsidRPr="00B74CA4" w:rsidR="00B74CA4">
        <w:t>9</w:t>
      </w:r>
      <w:r w:rsidRPr="00B74CA4">
        <w:t xml:space="preserve"> which shows the breakdown of allowable returns</w:t>
      </w:r>
      <w:r w:rsidRPr="00B74CA4" w:rsidR="00B74CA4">
        <w:t>.</w:t>
      </w:r>
    </w:p>
    <w:p w:rsidRPr="00B365B3" w:rsidR="002D16CB" w:rsidP="002D16CB" w:rsidRDefault="002D16CB" w14:paraId="2D2DD2D9" w14:textId="682037C9">
      <w:pPr>
        <w:numPr>
          <w:ilvl w:val="0"/>
          <w:numId w:val="3"/>
        </w:numPr>
        <w:ind w:firstLine="547"/>
      </w:pPr>
      <w:r w:rsidRPr="00B365B3">
        <w:t>The 202</w:t>
      </w:r>
      <w:r w:rsidR="003467D7">
        <w:t>6</w:t>
      </w:r>
      <w:r w:rsidRPr="00B365B3">
        <w:t xml:space="preserve"> Electric Sales Forecast was based on the </w:t>
      </w:r>
      <w:r w:rsidR="003467D7">
        <w:t xml:space="preserve">CEC 2024 </w:t>
      </w:r>
      <w:r w:rsidRPr="00B365B3">
        <w:t xml:space="preserve">California Demand </w:t>
      </w:r>
      <w:r w:rsidR="003467D7">
        <w:t xml:space="preserve">update </w:t>
      </w:r>
      <w:r w:rsidRPr="00B365B3">
        <w:t>forecast which was adopted by the CEC on January 2</w:t>
      </w:r>
      <w:r w:rsidR="003467D7">
        <w:t>1</w:t>
      </w:r>
      <w:r w:rsidRPr="00B365B3">
        <w:t>, 202</w:t>
      </w:r>
      <w:r w:rsidR="003467D7">
        <w:t>5</w:t>
      </w:r>
      <w:r w:rsidRPr="00B365B3">
        <w:t>.</w:t>
      </w:r>
      <w:r w:rsidR="004A3A27">
        <w:t xml:space="preserve"> </w:t>
      </w:r>
    </w:p>
    <w:p w:rsidR="004B77E0" w:rsidP="002D16CB" w:rsidRDefault="004B77E0" w14:paraId="7A71298B" w14:textId="7A95FAC3">
      <w:pPr>
        <w:numPr>
          <w:ilvl w:val="0"/>
          <w:numId w:val="3"/>
        </w:numPr>
      </w:pPr>
      <w:r>
        <w:t xml:space="preserve">The new methodology to calculate RA MPBs in </w:t>
      </w:r>
      <w:r w:rsidRPr="004B77E0">
        <w:t>D.25-06-049</w:t>
      </w:r>
      <w:r>
        <w:t xml:space="preserve"> is effective immediately. </w:t>
      </w:r>
    </w:p>
    <w:p w:rsidR="002D16CB" w:rsidP="002D16CB" w:rsidRDefault="002D16CB" w14:paraId="6B7F5EB2" w14:textId="37196805">
      <w:pPr>
        <w:numPr>
          <w:ilvl w:val="0"/>
          <w:numId w:val="3"/>
        </w:numPr>
        <w:ind w:firstLine="547"/>
      </w:pPr>
      <w:r w:rsidRPr="00724EA3">
        <w:t>The evidence submitted supports SDG&amp;E’s PCIA forecasts for 202</w:t>
      </w:r>
      <w:r w:rsidRPr="00724EA3" w:rsidR="00724EA3">
        <w:t>6</w:t>
      </w:r>
      <w:r w:rsidRPr="00724EA3">
        <w:t>.</w:t>
      </w:r>
    </w:p>
    <w:p w:rsidRPr="00336F90" w:rsidR="003978E9" w:rsidP="00282F41" w:rsidRDefault="00336F90" w14:paraId="331E785D" w14:textId="01CF0393">
      <w:pPr>
        <w:numPr>
          <w:ilvl w:val="0"/>
          <w:numId w:val="3"/>
        </w:numPr>
        <w:ind w:firstLine="547"/>
      </w:pPr>
      <w:r w:rsidRPr="00336F90">
        <w:lastRenderedPageBreak/>
        <w:t xml:space="preserve">Based on the totality of the circumstances in this proceeding, the Joint CCAs were not able to </w:t>
      </w:r>
      <w:r w:rsidR="00521A39">
        <w:t>fully</w:t>
      </w:r>
      <w:r w:rsidRPr="00336F90">
        <w:t xml:space="preserve"> litigate SDG&amp;E’s potential use of pre-2019 banked RECs.</w:t>
      </w:r>
    </w:p>
    <w:p w:rsidR="007303C1" w:rsidP="00DF16A7" w:rsidRDefault="00E20E88" w14:paraId="556C9BFD" w14:textId="74BBFE98">
      <w:pPr>
        <w:numPr>
          <w:ilvl w:val="0"/>
          <w:numId w:val="3"/>
        </w:numPr>
        <w:ind w:firstLine="547"/>
      </w:pPr>
      <w:r>
        <w:t>SDG&amp;E does not propose to use rate components for the GTSR program in this application</w:t>
      </w:r>
      <w:r w:rsidRPr="00B365B3" w:rsidR="002D16CB">
        <w:t>.</w:t>
      </w:r>
      <w:bookmarkEnd w:id="83"/>
      <w:r w:rsidR="007303C1">
        <w:t xml:space="preserve"> </w:t>
      </w:r>
    </w:p>
    <w:p w:rsidRPr="000C19CA" w:rsidR="005939A5" w:rsidP="008A28AC" w:rsidRDefault="005939A5" w14:paraId="2DE72B57" w14:textId="77777777">
      <w:pPr>
        <w:pStyle w:val="Dummy"/>
      </w:pPr>
      <w:bookmarkStart w:name="_Toc8123726" w:id="84"/>
      <w:bookmarkStart w:name="_Toc12866696" w:id="85"/>
      <w:bookmarkStart w:name="_Toc120015232" w:id="86"/>
      <w:bookmarkStart w:name="_Toc215581862" w:id="87"/>
      <w:r w:rsidRPr="000C19CA">
        <w:t>Conclusions of Law</w:t>
      </w:r>
      <w:bookmarkEnd w:id="84"/>
      <w:bookmarkEnd w:id="85"/>
      <w:bookmarkEnd w:id="86"/>
      <w:bookmarkEnd w:id="87"/>
    </w:p>
    <w:p w:rsidR="00886B7E" w:rsidP="00886B7E" w:rsidRDefault="00886B7E" w14:paraId="4F12DB9C" w14:textId="7811DA79">
      <w:pPr>
        <w:pStyle w:val="CoL"/>
        <w:ind w:firstLine="360"/>
      </w:pPr>
      <w:r>
        <w:t>SDG&amp;E’s 20</w:t>
      </w:r>
      <w:r w:rsidR="007F4533">
        <w:t>26</w:t>
      </w:r>
      <w:r>
        <w:t xml:space="preserve"> ERRA forecast, as submitted in the initia</w:t>
      </w:r>
      <w:r w:rsidR="0046678C">
        <w:t xml:space="preserve">l </w:t>
      </w:r>
      <w:r>
        <w:t>Application and subsequent update, is reasonable and should be authorized.</w:t>
      </w:r>
    </w:p>
    <w:p w:rsidR="00886B7E" w:rsidP="00886B7E" w:rsidRDefault="00886B7E" w14:paraId="217FDB1F" w14:textId="08F41293">
      <w:pPr>
        <w:pStyle w:val="CoL"/>
        <w:ind w:firstLine="360"/>
      </w:pPr>
      <w:r>
        <w:t>SDG&amp;E’s forecast for the 202</w:t>
      </w:r>
      <w:r w:rsidR="007F4533">
        <w:t>5</w:t>
      </w:r>
      <w:r>
        <w:t xml:space="preserve"> year</w:t>
      </w:r>
      <w:r w:rsidR="00400415">
        <w:t>-</w:t>
      </w:r>
      <w:r>
        <w:t>end balance in the ERRA balancing account is reasonable and should be authorized.</w:t>
      </w:r>
    </w:p>
    <w:p w:rsidRPr="009A7E01" w:rsidR="00886B7E" w:rsidP="00886B7E" w:rsidRDefault="00886B7E" w14:paraId="4105F9DF" w14:textId="3B27D8DD">
      <w:pPr>
        <w:pStyle w:val="CoL"/>
        <w:ind w:firstLine="360"/>
      </w:pPr>
      <w:r w:rsidRPr="009A7E01">
        <w:t xml:space="preserve">SDG&amp;E’s </w:t>
      </w:r>
      <w:r w:rsidRPr="009A7E01" w:rsidR="007F4533">
        <w:t xml:space="preserve">2026 </w:t>
      </w:r>
      <w:r w:rsidRPr="009A7E01">
        <w:t>forecasts for the PABA and PABA 202</w:t>
      </w:r>
      <w:r w:rsidRPr="009A7E01" w:rsidR="007F4533">
        <w:t>5</w:t>
      </w:r>
      <w:r w:rsidRPr="009A7E01">
        <w:t xml:space="preserve"> year-end balance </w:t>
      </w:r>
      <w:r w:rsidRPr="009A7E01" w:rsidR="007F4533">
        <w:t>are</w:t>
      </w:r>
      <w:r w:rsidRPr="009A7E01">
        <w:t xml:space="preserve"> </w:t>
      </w:r>
      <w:r w:rsidRPr="009A7E01" w:rsidR="009A7E01">
        <w:t xml:space="preserve">supported by the record </w:t>
      </w:r>
      <w:r w:rsidRPr="009A7E01">
        <w:t>and should be authorized.</w:t>
      </w:r>
    </w:p>
    <w:p w:rsidR="00886B7E" w:rsidP="00886B7E" w:rsidRDefault="00886B7E" w14:paraId="33413B5D" w14:textId="2BBB1D3D">
      <w:pPr>
        <w:pStyle w:val="CoL"/>
        <w:ind w:firstLine="360"/>
      </w:pPr>
      <w:r>
        <w:t xml:space="preserve">SDG&amp;E’s forecast amount for </w:t>
      </w:r>
      <w:r w:rsidR="007F4533">
        <w:t xml:space="preserve">2026 </w:t>
      </w:r>
      <w:r>
        <w:t xml:space="preserve">CTC costs </w:t>
      </w:r>
      <w:r w:rsidR="00305964">
        <w:t>is</w:t>
      </w:r>
      <w:r>
        <w:t xml:space="preserve"> reasonable and should be authorized.</w:t>
      </w:r>
    </w:p>
    <w:p w:rsidRPr="00B41F64" w:rsidR="00886B7E" w:rsidP="00886B7E" w:rsidRDefault="00886B7E" w14:paraId="688F224B" w14:textId="3741F51B">
      <w:pPr>
        <w:pStyle w:val="CoL"/>
        <w:ind w:firstLine="360"/>
      </w:pPr>
      <w:r w:rsidRPr="00B41F64">
        <w:t>The LG forecast for 202</w:t>
      </w:r>
      <w:r w:rsidRPr="00B41F64" w:rsidR="007F4533">
        <w:t>6</w:t>
      </w:r>
      <w:r w:rsidRPr="00B41F64">
        <w:t xml:space="preserve"> and </w:t>
      </w:r>
      <w:r w:rsidRPr="00B41F64" w:rsidR="007F4533">
        <w:t xml:space="preserve">2025 </w:t>
      </w:r>
      <w:r w:rsidRPr="00B41F64">
        <w:t>LGBA year-end balance are reasonable and should be authorized.</w:t>
      </w:r>
    </w:p>
    <w:p w:rsidRPr="00E54787" w:rsidR="00886B7E" w:rsidP="00886B7E" w:rsidRDefault="00886B7E" w14:paraId="2C7EDF15" w14:textId="231AE31E">
      <w:pPr>
        <w:pStyle w:val="CoL"/>
        <w:ind w:firstLine="360"/>
      </w:pPr>
      <w:r w:rsidRPr="00E54787">
        <w:t xml:space="preserve">The forecast for </w:t>
      </w:r>
      <w:r w:rsidRPr="00E54787" w:rsidR="007F4533">
        <w:t xml:space="preserve">2026 </w:t>
      </w:r>
      <w:r w:rsidRPr="00E54787">
        <w:t>MCAM costs is reasonable and should be authorized.</w:t>
      </w:r>
    </w:p>
    <w:p w:rsidRPr="00E54787" w:rsidR="00886B7E" w:rsidP="00886B7E" w:rsidRDefault="00886B7E" w14:paraId="1A40FA4E" w14:textId="444A23B5">
      <w:pPr>
        <w:pStyle w:val="CoL"/>
        <w:ind w:firstLine="360"/>
      </w:pPr>
      <w:r w:rsidRPr="00E54787">
        <w:t xml:space="preserve">The </w:t>
      </w:r>
      <w:r w:rsidRPr="00E54787" w:rsidR="007F4533">
        <w:t xml:space="preserve">2026 </w:t>
      </w:r>
      <w:r w:rsidRPr="00E54787">
        <w:t>forecast for SDCP’s DAC-GT program is reasonable and should be authorized.</w:t>
      </w:r>
    </w:p>
    <w:p w:rsidRPr="004C2E67" w:rsidR="004C2E67" w:rsidP="00886B7E" w:rsidRDefault="004C2E67" w14:paraId="08F31CC8" w14:textId="1814170F">
      <w:pPr>
        <w:pStyle w:val="CoL"/>
        <w:ind w:firstLine="360"/>
      </w:pPr>
      <w:r w:rsidRPr="004C2E67">
        <w:t>The 2026 forecast for BioMAT should be adopted.</w:t>
      </w:r>
    </w:p>
    <w:p w:rsidRPr="00E54787" w:rsidR="00886B7E" w:rsidP="00886B7E" w:rsidRDefault="00886B7E" w14:paraId="49CF355D" w14:textId="2F944867">
      <w:pPr>
        <w:pStyle w:val="CoL"/>
        <w:ind w:firstLine="360"/>
      </w:pPr>
      <w:r>
        <w:t xml:space="preserve">SDG&amp;E’s </w:t>
      </w:r>
      <w:r w:rsidR="007F4533">
        <w:t xml:space="preserve">2026 </w:t>
      </w:r>
      <w:r>
        <w:t xml:space="preserve">forecast for TMNBC costs as set </w:t>
      </w:r>
      <w:r w:rsidRPr="00E54787">
        <w:t>forth in Exhibit SDGE-1</w:t>
      </w:r>
      <w:r w:rsidRPr="00E54787" w:rsidR="00E54787">
        <w:t>1</w:t>
      </w:r>
      <w:r w:rsidRPr="00E54787">
        <w:t xml:space="preserve">C is reasonable and should be adopted. </w:t>
      </w:r>
    </w:p>
    <w:p w:rsidRPr="00B74CA4" w:rsidR="00886B7E" w:rsidP="00886B7E" w:rsidRDefault="00886B7E" w14:paraId="2D3EFF03" w14:textId="14480A6D">
      <w:pPr>
        <w:pStyle w:val="CoL"/>
        <w:ind w:firstLine="360"/>
      </w:pPr>
      <w:r w:rsidRPr="00B74CA4">
        <w:t>SDG&amp;E’s proposed GHG Allowance Returns for 202</w:t>
      </w:r>
      <w:r w:rsidRPr="00B74CA4" w:rsidR="007F4533">
        <w:t>6</w:t>
      </w:r>
      <w:r w:rsidRPr="00B74CA4">
        <w:t xml:space="preserve"> </w:t>
      </w:r>
      <w:r w:rsidRPr="00B74CA4" w:rsidR="00B74CA4">
        <w:t xml:space="preserve">is supported by the evidence presented and </w:t>
      </w:r>
      <w:r w:rsidRPr="00B74CA4">
        <w:t>should be authorized.</w:t>
      </w:r>
    </w:p>
    <w:p w:rsidRPr="003467D7" w:rsidR="00886B7E" w:rsidP="00886B7E" w:rsidRDefault="00886B7E" w14:paraId="64C9E1D7" w14:textId="0BE4FDD9">
      <w:pPr>
        <w:pStyle w:val="CoL"/>
        <w:ind w:firstLine="360"/>
      </w:pPr>
      <w:r w:rsidRPr="00B74CA4">
        <w:t>SDG&amp;E’s 202</w:t>
      </w:r>
      <w:r w:rsidRPr="00B74CA4" w:rsidR="007F4533">
        <w:t>6</w:t>
      </w:r>
      <w:r w:rsidRPr="00B74CA4">
        <w:t xml:space="preserve"> Electric Sales Forecast is reasonable and </w:t>
      </w:r>
      <w:r w:rsidRPr="003467D7">
        <w:t>should be adopted.</w:t>
      </w:r>
    </w:p>
    <w:p w:rsidR="00886B7E" w:rsidP="00886B7E" w:rsidRDefault="00886B7E" w14:paraId="3B60E14C" w14:textId="5810B4E4">
      <w:pPr>
        <w:pStyle w:val="CoL"/>
        <w:ind w:firstLine="360"/>
      </w:pPr>
      <w:r w:rsidRPr="00724EA3">
        <w:t>SDG&amp;E’s PCIA forecasts for 202</w:t>
      </w:r>
      <w:r w:rsidRPr="00724EA3" w:rsidR="007F4533">
        <w:t>6</w:t>
      </w:r>
      <w:r w:rsidRPr="00724EA3">
        <w:t xml:space="preserve"> are reasonable and should be approved.</w:t>
      </w:r>
    </w:p>
    <w:p w:rsidRPr="00336F90" w:rsidR="008B66B0" w:rsidP="009635F4" w:rsidRDefault="00336F90" w14:paraId="7E7D68B6" w14:textId="612B926D">
      <w:pPr>
        <w:pStyle w:val="CoL"/>
        <w:ind w:firstLine="360"/>
      </w:pPr>
      <w:r w:rsidRPr="00336F90">
        <w:lastRenderedPageBreak/>
        <w:t>SDG&amp;E should be required to first utilize post-2018 banked RECs to meet its 2026 RPS compliance.</w:t>
      </w:r>
    </w:p>
    <w:p w:rsidRPr="00E20E88" w:rsidR="00886B7E" w:rsidP="00886B7E" w:rsidRDefault="00886B7E" w14:paraId="0EAFF522" w14:textId="5C7D5136">
      <w:pPr>
        <w:pStyle w:val="CoL"/>
        <w:ind w:firstLine="360"/>
      </w:pPr>
      <w:r w:rsidRPr="00E20E88">
        <w:t xml:space="preserve">SDG&amp;E’s forecast of $0 </w:t>
      </w:r>
      <w:r w:rsidRPr="00E20E88" w:rsidR="00E20E88">
        <w:t xml:space="preserve">for the GTSR program </w:t>
      </w:r>
      <w:r w:rsidRPr="00E20E88">
        <w:t>should be adopted.</w:t>
      </w:r>
    </w:p>
    <w:p w:rsidRPr="000C19CA" w:rsidR="00BB0243" w:rsidP="008A28AC" w:rsidRDefault="005939A5" w14:paraId="756C6C02" w14:textId="77777777">
      <w:pPr>
        <w:pStyle w:val="Mainex"/>
        <w:spacing w:before="240"/>
      </w:pPr>
      <w:bookmarkStart w:name="_Toc12866697" w:id="88"/>
      <w:bookmarkStart w:name="_Toc120015233" w:id="89"/>
      <w:bookmarkStart w:name="_Toc215581863" w:id="90"/>
      <w:r w:rsidRPr="000C19CA">
        <w:t>O</w:t>
      </w:r>
      <w:r w:rsidRPr="000C19CA" w:rsidR="00722850">
        <w:t>RDER</w:t>
      </w:r>
      <w:bookmarkEnd w:id="88"/>
      <w:bookmarkEnd w:id="89"/>
      <w:bookmarkEnd w:id="90"/>
    </w:p>
    <w:p w:rsidRPr="007F4533" w:rsidR="00BB0243" w:rsidP="000A6E05" w:rsidRDefault="00BB0243" w14:paraId="5B787DEA" w14:textId="77777777">
      <w:pPr>
        <w:keepNext/>
      </w:pPr>
      <w:r w:rsidRPr="000C19CA">
        <w:rPr>
          <w:b/>
        </w:rPr>
        <w:t>IT IS ORDERED</w:t>
      </w:r>
      <w:r w:rsidRPr="000C19CA">
        <w:t xml:space="preserve"> that:</w:t>
      </w:r>
    </w:p>
    <w:p w:rsidRPr="0046678C" w:rsidR="00400415" w:rsidP="007F4533" w:rsidRDefault="00400415" w14:paraId="4D2DB6FA" w14:textId="50DBE1BB">
      <w:pPr>
        <w:pStyle w:val="CoL"/>
        <w:numPr>
          <w:ilvl w:val="0"/>
          <w:numId w:val="24"/>
        </w:numPr>
      </w:pPr>
      <w:r w:rsidRPr="00400415">
        <w:t xml:space="preserve">San Diego Gas &amp; Electric Company is authorized a revenue requirement of </w:t>
      </w:r>
      <w:r w:rsidRPr="0046678C">
        <w:t>$</w:t>
      </w:r>
      <w:r w:rsidRPr="0046678C" w:rsidR="0046678C">
        <w:t>824.1</w:t>
      </w:r>
      <w:r w:rsidRPr="0046678C">
        <w:t> million for its 202</w:t>
      </w:r>
      <w:r w:rsidRPr="0046678C" w:rsidR="007F4533">
        <w:t>6</w:t>
      </w:r>
      <w:r w:rsidRPr="0046678C">
        <w:t xml:space="preserve"> Energy Resource Recovery Account (ERRA) Forecast effective January 1, 202</w:t>
      </w:r>
      <w:r w:rsidRPr="0046678C" w:rsidR="007F4533">
        <w:t>6</w:t>
      </w:r>
      <w:r w:rsidRPr="0046678C">
        <w:t>. Specifically, this decision adopts the following (negative balances are in parenthesis):</w:t>
      </w:r>
    </w:p>
    <w:p w:rsidRPr="0046678C" w:rsidR="00400415" w:rsidP="00A9785E" w:rsidRDefault="0046678C" w14:paraId="6DD167FD" w14:textId="401A9547">
      <w:pPr>
        <w:numPr>
          <w:ilvl w:val="0"/>
          <w:numId w:val="22"/>
        </w:numPr>
        <w:spacing w:after="120" w:line="240" w:lineRule="auto"/>
        <w:ind w:left="1080" w:right="1440"/>
      </w:pPr>
      <w:r w:rsidRPr="0046678C">
        <w:t xml:space="preserve">2026 </w:t>
      </w:r>
      <w:r w:rsidRPr="0046678C" w:rsidR="00400415">
        <w:t>ERRA revenue requirement of $</w:t>
      </w:r>
      <w:r w:rsidRPr="0046678C">
        <w:t>382.0</w:t>
      </w:r>
      <w:r w:rsidRPr="0046678C" w:rsidR="00400415">
        <w:t> million;</w:t>
      </w:r>
    </w:p>
    <w:p w:rsidRPr="0046678C" w:rsidR="00400415" w:rsidP="00A9785E" w:rsidRDefault="00400415" w14:paraId="158F4694" w14:textId="70CA329D">
      <w:pPr>
        <w:numPr>
          <w:ilvl w:val="0"/>
          <w:numId w:val="22"/>
        </w:numPr>
        <w:spacing w:after="120" w:line="240" w:lineRule="auto"/>
        <w:ind w:left="1080" w:right="1440"/>
      </w:pPr>
      <w:r w:rsidRPr="0046678C">
        <w:t>202</w:t>
      </w:r>
      <w:r w:rsidRPr="0046678C" w:rsidR="007F4533">
        <w:t>5</w:t>
      </w:r>
      <w:r w:rsidRPr="0046678C">
        <w:t xml:space="preserve"> ERRA year</w:t>
      </w:r>
      <w:r w:rsidRPr="0046678C">
        <w:noBreakHyphen/>
        <w:t xml:space="preserve">end balance of </w:t>
      </w:r>
      <w:r w:rsidRPr="0046678C" w:rsidR="0046678C">
        <w:t>(</w:t>
      </w:r>
      <w:r w:rsidRPr="0046678C">
        <w:t>$1</w:t>
      </w:r>
      <w:r w:rsidRPr="0046678C" w:rsidR="0046678C">
        <w:t>4</w:t>
      </w:r>
      <w:r w:rsidRPr="0046678C">
        <w:t>.</w:t>
      </w:r>
      <w:r w:rsidRPr="0046678C" w:rsidR="0046678C">
        <w:t>0</w:t>
      </w:r>
      <w:r w:rsidR="009A7E01">
        <w:t>)</w:t>
      </w:r>
      <w:r w:rsidRPr="0046678C">
        <w:t> million;</w:t>
      </w:r>
    </w:p>
    <w:p w:rsidRPr="009A7E01" w:rsidR="00400415" w:rsidP="00A9785E" w:rsidRDefault="00400415" w14:paraId="3493645F" w14:textId="46D599CB">
      <w:pPr>
        <w:numPr>
          <w:ilvl w:val="0"/>
          <w:numId w:val="22"/>
        </w:numPr>
        <w:spacing w:after="120" w:line="240" w:lineRule="auto"/>
        <w:ind w:left="1080" w:right="1440"/>
      </w:pPr>
      <w:r w:rsidRPr="009A7E01">
        <w:t>Portfolio Allocation Balancing Account (PABA) revenue requirement of $</w:t>
      </w:r>
      <w:r w:rsidRPr="009A7E01" w:rsidR="009A7E01">
        <w:t xml:space="preserve">187.5 </w:t>
      </w:r>
      <w:r w:rsidRPr="009A7E01">
        <w:t xml:space="preserve">million; </w:t>
      </w:r>
    </w:p>
    <w:p w:rsidRPr="009A7E01" w:rsidR="00400415" w:rsidP="00A9785E" w:rsidRDefault="00400415" w14:paraId="157E6ABA" w14:textId="19E13C12">
      <w:pPr>
        <w:numPr>
          <w:ilvl w:val="0"/>
          <w:numId w:val="22"/>
        </w:numPr>
        <w:spacing w:after="120" w:line="240" w:lineRule="auto"/>
        <w:ind w:left="1080" w:right="1440"/>
      </w:pPr>
      <w:r w:rsidRPr="009A7E01">
        <w:t>202</w:t>
      </w:r>
      <w:r w:rsidRPr="009A7E01" w:rsidR="007F4533">
        <w:t>5</w:t>
      </w:r>
      <w:r w:rsidRPr="009A7E01">
        <w:t xml:space="preserve"> PABA year</w:t>
      </w:r>
      <w:r w:rsidRPr="009A7E01">
        <w:noBreakHyphen/>
        <w:t>end balance of $</w:t>
      </w:r>
      <w:r w:rsidRPr="009A7E01" w:rsidR="009A7E01">
        <w:t>274.2</w:t>
      </w:r>
      <w:r w:rsidRPr="009A7E01">
        <w:t xml:space="preserve"> million;</w:t>
      </w:r>
    </w:p>
    <w:p w:rsidRPr="00305964" w:rsidR="00400415" w:rsidP="00A9785E" w:rsidRDefault="00400415" w14:paraId="2DD12FB9" w14:textId="71F2926E">
      <w:pPr>
        <w:numPr>
          <w:ilvl w:val="0"/>
          <w:numId w:val="22"/>
        </w:numPr>
        <w:spacing w:after="120" w:line="240" w:lineRule="auto"/>
        <w:ind w:left="1080" w:right="1440"/>
      </w:pPr>
      <w:r w:rsidRPr="00305964">
        <w:t>Competition Transition Charge revenue requirement of $</w:t>
      </w:r>
      <w:r w:rsidRPr="00305964" w:rsidR="00305964">
        <w:t>0</w:t>
      </w:r>
      <w:r w:rsidRPr="00305964">
        <w:t>.</w:t>
      </w:r>
      <w:r w:rsidRPr="00305964" w:rsidR="00305964">
        <w:t>5</w:t>
      </w:r>
      <w:r w:rsidRPr="00305964">
        <w:t> million;</w:t>
      </w:r>
    </w:p>
    <w:p w:rsidRPr="000206D2" w:rsidR="00400415" w:rsidP="00A9785E" w:rsidRDefault="00400415" w14:paraId="4D2090FE" w14:textId="76277687">
      <w:pPr>
        <w:numPr>
          <w:ilvl w:val="0"/>
          <w:numId w:val="22"/>
        </w:numPr>
        <w:tabs>
          <w:tab w:val="left" w:pos="7920"/>
        </w:tabs>
        <w:spacing w:after="120" w:line="240" w:lineRule="auto"/>
        <w:ind w:left="1080" w:right="1440"/>
      </w:pPr>
      <w:r w:rsidRPr="000206D2">
        <w:t>Local Generation (LG) revenue requirement of $</w:t>
      </w:r>
      <w:r w:rsidRPr="000206D2" w:rsidR="000206D2">
        <w:t>247.1</w:t>
      </w:r>
      <w:r w:rsidRPr="000206D2">
        <w:t xml:space="preserve"> million;</w:t>
      </w:r>
    </w:p>
    <w:p w:rsidRPr="000206D2" w:rsidR="00400415" w:rsidP="00A9785E" w:rsidRDefault="00400415" w14:paraId="7567305E" w14:textId="11097722">
      <w:pPr>
        <w:numPr>
          <w:ilvl w:val="0"/>
          <w:numId w:val="22"/>
        </w:numPr>
        <w:spacing w:after="120" w:line="240" w:lineRule="auto"/>
        <w:ind w:left="1080" w:right="1440"/>
      </w:pPr>
      <w:r w:rsidRPr="000206D2">
        <w:t>202</w:t>
      </w:r>
      <w:r w:rsidRPr="000206D2" w:rsidR="007F4533">
        <w:t>5</w:t>
      </w:r>
      <w:r w:rsidRPr="000206D2">
        <w:t xml:space="preserve"> LG Balancing Account </w:t>
      </w:r>
      <w:r w:rsidR="009A7E01">
        <w:t xml:space="preserve">balance </w:t>
      </w:r>
      <w:r w:rsidRPr="000206D2">
        <w:t>of ($</w:t>
      </w:r>
      <w:r w:rsidRPr="000206D2" w:rsidR="000206D2">
        <w:t>101.0</w:t>
      </w:r>
      <w:r w:rsidRPr="000206D2">
        <w:t>) million;</w:t>
      </w:r>
    </w:p>
    <w:p w:rsidRPr="00C124CA" w:rsidR="00400415" w:rsidP="00A9785E" w:rsidRDefault="00400415" w14:paraId="26A9D0DC" w14:textId="3A4BC254">
      <w:pPr>
        <w:numPr>
          <w:ilvl w:val="0"/>
          <w:numId w:val="22"/>
        </w:numPr>
        <w:spacing w:after="120" w:line="240" w:lineRule="auto"/>
        <w:ind w:left="1080" w:right="1440"/>
      </w:pPr>
      <w:r w:rsidRPr="00C124CA">
        <w:t>Modified Cost Allocation Mechanism revenue requirement of $0.</w:t>
      </w:r>
      <w:r w:rsidRPr="00C124CA" w:rsidR="00C124CA">
        <w:t>3</w:t>
      </w:r>
      <w:r w:rsidRPr="00C124CA">
        <w:t xml:space="preserve"> million; </w:t>
      </w:r>
    </w:p>
    <w:p w:rsidRPr="00C124CA" w:rsidR="00400415" w:rsidP="00A9785E" w:rsidRDefault="00400415" w14:paraId="5BBE4BCE" w14:textId="4972BBC7">
      <w:pPr>
        <w:numPr>
          <w:ilvl w:val="0"/>
          <w:numId w:val="22"/>
        </w:numPr>
        <w:spacing w:after="120" w:line="240" w:lineRule="auto"/>
        <w:ind w:left="1080" w:right="1440"/>
      </w:pPr>
      <w:r w:rsidRPr="00C124CA">
        <w:t>San Diego Community Power Disadvantaged Communities - Green Tariff revenue requirement of $0;</w:t>
      </w:r>
    </w:p>
    <w:p w:rsidRPr="00E54787" w:rsidR="00400415" w:rsidP="00A9785E" w:rsidRDefault="00C124CA" w14:paraId="2E6F0D68" w14:textId="7EFA387B">
      <w:pPr>
        <w:numPr>
          <w:ilvl w:val="0"/>
          <w:numId w:val="22"/>
        </w:numPr>
        <w:spacing w:after="120" w:line="240" w:lineRule="auto"/>
        <w:ind w:left="1080" w:right="1440"/>
      </w:pPr>
      <w:r w:rsidRPr="00C124CA">
        <w:t xml:space="preserve">Bioenergy Market Adjusting Tariff Nonbypassable Charge revenue </w:t>
      </w:r>
      <w:r w:rsidRPr="00E54787">
        <w:t>requirement of $0</w:t>
      </w:r>
      <w:r w:rsidRPr="00E54787" w:rsidR="00400415">
        <w:t xml:space="preserve">; </w:t>
      </w:r>
    </w:p>
    <w:p w:rsidRPr="00B74CA4" w:rsidR="00400415" w:rsidP="00A9785E" w:rsidRDefault="00C124CA" w14:paraId="75621403" w14:textId="2EC48367">
      <w:pPr>
        <w:numPr>
          <w:ilvl w:val="0"/>
          <w:numId w:val="22"/>
        </w:numPr>
        <w:spacing w:after="120" w:line="240" w:lineRule="auto"/>
        <w:ind w:left="1080" w:right="1440"/>
      </w:pPr>
      <w:r w:rsidRPr="00E54787">
        <w:t>Confidential Tree Mortality Non Bypassable Charge revenue requirement as specified in Exhibit SDGE</w:t>
      </w:r>
      <w:r w:rsidRPr="00E54787" w:rsidR="00E54787">
        <w:t>-</w:t>
      </w:r>
      <w:r w:rsidRPr="00E54787">
        <w:t>1</w:t>
      </w:r>
      <w:r w:rsidRPr="00E54787" w:rsidR="00E54787">
        <w:t>1</w:t>
      </w:r>
      <w:r w:rsidRPr="00E54787">
        <w:t>C</w:t>
      </w:r>
      <w:r w:rsidRPr="00E54787" w:rsidR="00400415">
        <w:t>; and</w:t>
      </w:r>
    </w:p>
    <w:p w:rsidRPr="00400415" w:rsidR="00400415" w:rsidP="00A9785E" w:rsidRDefault="00400415" w14:paraId="3008F25D" w14:textId="5165F567">
      <w:pPr>
        <w:numPr>
          <w:ilvl w:val="0"/>
          <w:numId w:val="22"/>
        </w:numPr>
        <w:spacing w:after="120" w:line="240" w:lineRule="auto"/>
        <w:ind w:left="1080" w:right="1440"/>
      </w:pPr>
      <w:r w:rsidRPr="00B74CA4">
        <w:t>Green House Gas Revenues for Return of $(</w:t>
      </w:r>
      <w:r w:rsidRPr="00B74CA4" w:rsidR="00B74CA4">
        <w:t>152</w:t>
      </w:r>
      <w:r w:rsidRPr="00B74CA4">
        <w:t>.</w:t>
      </w:r>
      <w:r w:rsidRPr="00B74CA4" w:rsidR="00B74CA4">
        <w:t>727</w:t>
      </w:r>
      <w:r w:rsidRPr="00B74CA4">
        <w:t xml:space="preserve">) million composed of Small Business and </w:t>
      </w:r>
      <w:r w:rsidRPr="00B74CA4">
        <w:lastRenderedPageBreak/>
        <w:t xml:space="preserve">Residential California Climate Credit </w:t>
      </w:r>
      <w:r w:rsidR="00447707">
        <w:t>Returns</w:t>
      </w:r>
      <w:r w:rsidRPr="00B74CA4">
        <w:t xml:space="preserve"> of $</w:t>
      </w:r>
      <w:r w:rsidRPr="00B74CA4" w:rsidR="00B74CA4">
        <w:t>1</w:t>
      </w:r>
      <w:r w:rsidRPr="00B74CA4">
        <w:t>4</w:t>
      </w:r>
      <w:r w:rsidRPr="00B74CA4" w:rsidR="00B74CA4">
        <w:t>9</w:t>
      </w:r>
      <w:r w:rsidRPr="00B74CA4">
        <w:t>.</w:t>
      </w:r>
      <w:r w:rsidRPr="00B74CA4" w:rsidR="00B74CA4">
        <w:t>109</w:t>
      </w:r>
      <w:r w:rsidRPr="00B74CA4">
        <w:t> million and Emissions</w:t>
      </w:r>
      <w:r w:rsidRPr="00B74CA4">
        <w:noBreakHyphen/>
        <w:t>Intensive and Trade</w:t>
      </w:r>
      <w:r w:rsidRPr="00B74CA4">
        <w:noBreakHyphen/>
        <w:t>Exposed costs of $</w:t>
      </w:r>
      <w:r w:rsidRPr="00B74CA4" w:rsidR="00B74CA4">
        <w:t>3</w:t>
      </w:r>
      <w:r w:rsidRPr="00B74CA4">
        <w:t>.</w:t>
      </w:r>
      <w:r w:rsidRPr="00B74CA4" w:rsidR="00B74CA4">
        <w:t>618</w:t>
      </w:r>
      <w:r w:rsidRPr="00B74CA4">
        <w:t> million.</w:t>
      </w:r>
    </w:p>
    <w:p w:rsidRPr="00400415" w:rsidR="00400415" w:rsidP="00400415" w:rsidRDefault="00400415" w14:paraId="6BE114DB" w14:textId="00E5E668">
      <w:pPr>
        <w:numPr>
          <w:ilvl w:val="0"/>
          <w:numId w:val="23"/>
        </w:numPr>
        <w:ind w:firstLine="547"/>
      </w:pPr>
      <w:r w:rsidRPr="00400415">
        <w:t xml:space="preserve">Within 30 days of </w:t>
      </w:r>
      <w:r w:rsidR="00542DA2">
        <w:t>the effective date of this decision</w:t>
      </w:r>
      <w:r w:rsidRPr="00400415">
        <w:t xml:space="preserve">, San Diego Gas &amp; Electric Company shall file a Tier 1 Advice Letter with tariffs to implement the rates authorized by this decision. The tariffs shall become effective on or after the filing of the advice letter subject to review by the Commission’s Energy Division. </w:t>
      </w:r>
    </w:p>
    <w:p w:rsidRPr="007F4533" w:rsidR="00400415" w:rsidP="00400415" w:rsidRDefault="00400415" w14:paraId="34E9F6D1" w14:textId="4EFA7A4C">
      <w:pPr>
        <w:pStyle w:val="CoL"/>
        <w:numPr>
          <w:ilvl w:val="0"/>
          <w:numId w:val="23"/>
        </w:numPr>
      </w:pPr>
      <w:r w:rsidRPr="00B74CA4">
        <w:t xml:space="preserve">San Diego Gas &amp; Electric Company’s 2026 Greenhouse Gas </w:t>
      </w:r>
      <w:r w:rsidR="00447707">
        <w:t>Amounts</w:t>
      </w:r>
      <w:r w:rsidRPr="00B74CA4">
        <w:t xml:space="preserve"> as provided in Exhibit SDGE-</w:t>
      </w:r>
      <w:r w:rsidRPr="00B74CA4" w:rsidR="00B74CA4">
        <w:t>9</w:t>
      </w:r>
      <w:r w:rsidRPr="00B74CA4">
        <w:t xml:space="preserve"> are adopted</w:t>
      </w:r>
      <w:r w:rsidRPr="007F4533">
        <w:t>.</w:t>
      </w:r>
    </w:p>
    <w:p w:rsidRPr="00724EA3" w:rsidR="00400415" w:rsidP="00400415" w:rsidRDefault="00400415" w14:paraId="0EAE8114" w14:textId="7CFBB10E">
      <w:pPr>
        <w:pStyle w:val="CoL"/>
      </w:pPr>
      <w:r w:rsidRPr="00724EA3">
        <w:t>San Diego Gas &amp; Electric Company’s Power Charge Indifference Adjustment rates as provided in Exhibit SDGE-</w:t>
      </w:r>
      <w:r w:rsidRPr="00724EA3" w:rsidR="00724EA3">
        <w:t>13</w:t>
      </w:r>
      <w:r w:rsidRPr="00724EA3">
        <w:t>C are adopted.</w:t>
      </w:r>
    </w:p>
    <w:p w:rsidR="00400415" w:rsidP="00400415" w:rsidRDefault="00400415" w14:paraId="579A84E0" w14:textId="145C9B3B">
      <w:pPr>
        <w:pStyle w:val="CoL"/>
      </w:pPr>
      <w:r w:rsidRPr="003467D7">
        <w:t>San Diego Gas &amp; Electric Company’s 2026 Electric Sales Forecast as described in Exhibit SDGE-6 is adopted.</w:t>
      </w:r>
    </w:p>
    <w:p w:rsidR="003978E9" w:rsidP="00400415" w:rsidRDefault="007E5339" w14:paraId="297D20E6" w14:textId="6CFEB4AF">
      <w:pPr>
        <w:pStyle w:val="CoL"/>
      </w:pPr>
      <w:r>
        <w:t xml:space="preserve">Relative to this proceeding, San Diego Gas </w:t>
      </w:r>
      <w:r w:rsidR="0043527D">
        <w:t>&amp;</w:t>
      </w:r>
      <w:r>
        <w:t xml:space="preserve"> Electric Company must utilize </w:t>
      </w:r>
      <w:r w:rsidR="003978E9">
        <w:t>post</w:t>
      </w:r>
      <w:r>
        <w:t>-</w:t>
      </w:r>
      <w:r w:rsidR="003978E9">
        <w:t xml:space="preserve">2018 banked </w:t>
      </w:r>
      <w:r>
        <w:t>renewable energy credits</w:t>
      </w:r>
      <w:r w:rsidR="00A10A66">
        <w:t xml:space="preserve"> (REC)</w:t>
      </w:r>
      <w:r w:rsidR="00036F5F">
        <w:t xml:space="preserve"> before pre-2019</w:t>
      </w:r>
      <w:r w:rsidR="00A10A66">
        <w:t xml:space="preserve"> banked RECs</w:t>
      </w:r>
      <w:r w:rsidR="003978E9">
        <w:t>.</w:t>
      </w:r>
      <w:r w:rsidR="00521A39">
        <w:t xml:space="preserve"> </w:t>
      </w:r>
    </w:p>
    <w:p w:rsidR="008F0AAC" w:rsidP="00400415" w:rsidRDefault="008F0AAC" w14:paraId="313877AE" w14:textId="11F3D207">
      <w:pPr>
        <w:pStyle w:val="CoL"/>
      </w:pPr>
      <w:r w:rsidRPr="008F0AAC">
        <w:t>S</w:t>
      </w:r>
      <w:r>
        <w:t>an Diego Gas and Electric Company s</w:t>
      </w:r>
      <w:r w:rsidRPr="008F0AAC">
        <w:t xml:space="preserve">hall calculate the incremental value of </w:t>
      </w:r>
      <w:r>
        <w:t xml:space="preserve">renewable energy credits (REC) </w:t>
      </w:r>
      <w:r w:rsidRPr="008F0AAC">
        <w:t xml:space="preserve">banked in 2019 only using the 2026 </w:t>
      </w:r>
      <w:r>
        <w:t>renewable portfolio standards (RPS) market price benchmark (MPB)</w:t>
      </w:r>
      <w:r w:rsidRPr="008F0AAC">
        <w:t xml:space="preserve"> (difference between value of the 2026 RPS MPB less the value of the 2019 Adder MPB) and include the value as an expense to </w:t>
      </w:r>
      <w:r>
        <w:t xml:space="preserve">the </w:t>
      </w:r>
      <w:r w:rsidRPr="008F0AAC">
        <w:t xml:space="preserve">Energy Resource Recovery Account and credit to Portfolio Allocation Balancing Account </w:t>
      </w:r>
      <w:r>
        <w:t>v</w:t>
      </w:r>
      <w:r w:rsidRPr="008F0AAC">
        <w:t>intages according to the same allocation used in the year the RECs were generated</w:t>
      </w:r>
      <w:r w:rsidR="00262038">
        <w:t xml:space="preserve">. </w:t>
      </w:r>
      <w:r w:rsidRPr="00262038" w:rsidR="00262038">
        <w:t>RECs generated in 2020 and onward shall be valued according to the methods of D.19-10-001</w:t>
      </w:r>
      <w:r w:rsidR="00262038">
        <w:t>.</w:t>
      </w:r>
    </w:p>
    <w:p w:rsidR="00C76EFA" w:rsidP="00C76EFA" w:rsidRDefault="00C76EFA" w14:paraId="019C90E8" w14:textId="67BDF7C1">
      <w:pPr>
        <w:pStyle w:val="CoL"/>
        <w:ind w:firstLine="540"/>
      </w:pPr>
      <w:r w:rsidRPr="00C76EFA">
        <w:t>In the event that S</w:t>
      </w:r>
      <w:r w:rsidR="006A04BF">
        <w:t xml:space="preserve">an Diego Gas </w:t>
      </w:r>
      <w:r w:rsidR="0043527D">
        <w:t>&amp;</w:t>
      </w:r>
      <w:r w:rsidR="006A04BF">
        <w:t xml:space="preserve"> Electric</w:t>
      </w:r>
      <w:r w:rsidR="0043527D">
        <w:t xml:space="preserve"> Company</w:t>
      </w:r>
      <w:r w:rsidRPr="00C76EFA">
        <w:t xml:space="preserve"> forecasts that it will need to use pre-2019 banked </w:t>
      </w:r>
      <w:r w:rsidR="006A04BF">
        <w:t>renewable energy credits</w:t>
      </w:r>
      <w:r w:rsidRPr="00C76EFA">
        <w:t xml:space="preserve"> in 2026, it shall file an </w:t>
      </w:r>
      <w:r w:rsidRPr="00C76EFA">
        <w:lastRenderedPageBreak/>
        <w:t>application requesting Commission authorization to do so. Such an application shall include a valuation proposal.</w:t>
      </w:r>
    </w:p>
    <w:p w:rsidR="003769FC" w:rsidP="00C76EFA" w:rsidRDefault="003769FC" w14:paraId="35544496" w14:textId="6AABB14F">
      <w:pPr>
        <w:pStyle w:val="CoL"/>
        <w:ind w:firstLine="540"/>
      </w:pPr>
      <w:r w:rsidRPr="003769FC">
        <w:t>The motion filed by San Diego Community Power and Clean Energy Alliance on November 7, 2025, for interlocutory review of the administrative law judge ruling on November 4, 2025, is denied.</w:t>
      </w:r>
    </w:p>
    <w:p w:rsidRPr="00C76EFA" w:rsidR="007D61A6" w:rsidP="007D61A6" w:rsidRDefault="007D61A6" w14:paraId="4E5D86CE" w14:textId="12E95E04">
      <w:pPr>
        <w:pStyle w:val="CoL"/>
        <w:ind w:firstLine="540"/>
      </w:pPr>
      <w:r w:rsidRPr="007D61A6">
        <w:t>Pursuant to Resolution E-5217, San Diego Gas and Electric Company is authorized to update its regulatory account balances and Power Charge Indifference Adjustment rates to reflect November 202</w:t>
      </w:r>
      <w:r>
        <w:t>5</w:t>
      </w:r>
      <w:r w:rsidRPr="007D61A6">
        <w:t xml:space="preserve"> actuals and December 202</w:t>
      </w:r>
      <w:r>
        <w:t>5</w:t>
      </w:r>
      <w:r w:rsidRPr="007D61A6">
        <w:t xml:space="preserve"> forecasts as part of the Tier 1 Advice Letter specified on Ordering Paragraph 2.</w:t>
      </w:r>
    </w:p>
    <w:p w:rsidRPr="000C19CA" w:rsidR="00F6397D" w:rsidP="00400415" w:rsidRDefault="00E23CBB" w14:paraId="25284FFC" w14:textId="611FEFD5">
      <w:pPr>
        <w:pStyle w:val="CoL"/>
      </w:pPr>
      <w:r w:rsidRPr="000C19CA">
        <w:t>Application</w:t>
      </w:r>
      <w:r w:rsidRPr="000C19CA" w:rsidR="00D039B9">
        <w:t xml:space="preserve"> 2</w:t>
      </w:r>
      <w:r w:rsidR="00631CC9">
        <w:t>5</w:t>
      </w:r>
      <w:r w:rsidRPr="000C19CA" w:rsidR="00116648">
        <w:noBreakHyphen/>
      </w:r>
      <w:r w:rsidRPr="000C19CA" w:rsidR="00D039B9">
        <w:t>05</w:t>
      </w:r>
      <w:r w:rsidRPr="000C19CA" w:rsidR="00116648">
        <w:noBreakHyphen/>
      </w:r>
      <w:r w:rsidRPr="000C19CA" w:rsidR="00D039B9">
        <w:t>0</w:t>
      </w:r>
      <w:r w:rsidR="00F81B30">
        <w:t>1</w:t>
      </w:r>
      <w:r w:rsidR="00631CC9">
        <w:t>2</w:t>
      </w:r>
      <w:r w:rsidRPr="000C19CA">
        <w:t xml:space="preserve"> is closed.</w:t>
      </w:r>
    </w:p>
    <w:p w:rsidRPr="000C19CA" w:rsidR="008F0116" w:rsidP="006B0515" w:rsidRDefault="008F0116" w14:paraId="169130C5" w14:textId="77777777">
      <w:pPr>
        <w:pStyle w:val="Standard"/>
        <w:keepNext/>
      </w:pPr>
      <w:r w:rsidRPr="000C19CA">
        <w:t>This order is effective today.</w:t>
      </w:r>
    </w:p>
    <w:p w:rsidRPr="000C19CA" w:rsidR="00714CF2" w:rsidP="006B0515" w:rsidRDefault="008F0116" w14:paraId="5B08AE36" w14:textId="436685A7">
      <w:pPr>
        <w:pStyle w:val="Standard"/>
        <w:keepNext/>
      </w:pPr>
      <w:r w:rsidRPr="000C19CA">
        <w:t xml:space="preserve">Dated </w:t>
      </w:r>
      <w:r w:rsidR="002125D1">
        <w:t>December 4</w:t>
      </w:r>
      <w:r w:rsidRPr="000C19CA">
        <w:t>,</w:t>
      </w:r>
      <w:r w:rsidR="002125D1">
        <w:t xml:space="preserve"> 2025,</w:t>
      </w:r>
      <w:r w:rsidRPr="000C19CA">
        <w:t xml:space="preserve"> at </w:t>
      </w:r>
      <w:r w:rsidRPr="000C19CA" w:rsidR="00B730A8">
        <w:t>San </w:t>
      </w:r>
      <w:r w:rsidRPr="000C19CA">
        <w:t>Francisco, California</w:t>
      </w:r>
      <w:r w:rsidRPr="000C19CA" w:rsidR="00FF110C">
        <w:t>.</w:t>
      </w:r>
    </w:p>
    <w:p w:rsidRPr="000C19CA" w:rsidR="002125D1" w:rsidP="002125D1" w:rsidRDefault="002125D1" w14:paraId="05D5100A" w14:textId="77777777">
      <w:pPr>
        <w:pStyle w:val="Standard"/>
        <w:keepNext/>
        <w:ind w:firstLine="0"/>
      </w:pPr>
    </w:p>
    <w:p w:rsidRPr="00143BC5" w:rsidR="002125D1" w:rsidP="002125D1" w:rsidRDefault="002125D1" w14:paraId="22F61C08" w14:textId="77777777">
      <w:pPr>
        <w:autoSpaceDE w:val="0"/>
        <w:autoSpaceDN w:val="0"/>
        <w:adjustRightInd w:val="0"/>
        <w:spacing w:line="240" w:lineRule="auto"/>
        <w:ind w:left="5040" w:firstLine="0"/>
        <w:jc w:val="both"/>
        <w:rPr>
          <w:rFonts w:cs="Times New Roman"/>
          <w:szCs w:val="20"/>
        </w:rPr>
      </w:pPr>
      <w:r w:rsidRPr="00143BC5">
        <w:rPr>
          <w:rFonts w:cs="Times New Roman"/>
          <w:szCs w:val="20"/>
        </w:rPr>
        <w:t>ALICE REYNOLDS</w:t>
      </w:r>
    </w:p>
    <w:p w:rsidRPr="00143BC5" w:rsidR="002125D1" w:rsidP="00B047FD" w:rsidRDefault="002125D1" w14:paraId="569E178D" w14:textId="023D0E90">
      <w:pPr>
        <w:autoSpaceDE w:val="0"/>
        <w:autoSpaceDN w:val="0"/>
        <w:adjustRightInd w:val="0"/>
        <w:spacing w:line="240" w:lineRule="auto"/>
        <w:ind w:left="5760"/>
        <w:jc w:val="both"/>
        <w:rPr>
          <w:rFonts w:cs="Times New Roman"/>
          <w:szCs w:val="20"/>
        </w:rPr>
      </w:pPr>
      <w:r w:rsidRPr="00143BC5">
        <w:rPr>
          <w:rFonts w:cs="Times New Roman"/>
          <w:szCs w:val="20"/>
        </w:rPr>
        <w:t>President</w:t>
      </w:r>
    </w:p>
    <w:p w:rsidRPr="00143BC5" w:rsidR="002125D1" w:rsidP="002125D1" w:rsidRDefault="002125D1" w14:paraId="09FA625B" w14:textId="77777777">
      <w:pPr>
        <w:autoSpaceDE w:val="0"/>
        <w:autoSpaceDN w:val="0"/>
        <w:adjustRightInd w:val="0"/>
        <w:spacing w:line="240" w:lineRule="auto"/>
        <w:ind w:left="5040" w:firstLine="0"/>
        <w:jc w:val="both"/>
        <w:rPr>
          <w:rFonts w:cs="Times New Roman"/>
          <w:szCs w:val="20"/>
        </w:rPr>
      </w:pPr>
      <w:r w:rsidRPr="00143BC5">
        <w:rPr>
          <w:rFonts w:cs="Times New Roman"/>
          <w:szCs w:val="20"/>
        </w:rPr>
        <w:t>DARCIE L. HOUCK</w:t>
      </w:r>
    </w:p>
    <w:p w:rsidRPr="00143BC5" w:rsidR="002125D1" w:rsidP="002125D1" w:rsidRDefault="002125D1" w14:paraId="659BE046" w14:textId="77777777">
      <w:pPr>
        <w:autoSpaceDE w:val="0"/>
        <w:autoSpaceDN w:val="0"/>
        <w:adjustRightInd w:val="0"/>
        <w:spacing w:line="240" w:lineRule="auto"/>
        <w:ind w:left="5040" w:firstLine="0"/>
        <w:jc w:val="both"/>
        <w:rPr>
          <w:rFonts w:cs="Times New Roman"/>
          <w:szCs w:val="20"/>
        </w:rPr>
      </w:pPr>
      <w:r w:rsidRPr="00143BC5">
        <w:rPr>
          <w:rFonts w:cs="Times New Roman"/>
          <w:szCs w:val="20"/>
        </w:rPr>
        <w:t>JOHN REYNOLDS</w:t>
      </w:r>
    </w:p>
    <w:p w:rsidR="002125D1" w:rsidP="002125D1" w:rsidRDefault="002125D1" w14:paraId="27F7C582" w14:textId="77777777">
      <w:pPr>
        <w:autoSpaceDE w:val="0"/>
        <w:autoSpaceDN w:val="0"/>
        <w:adjustRightInd w:val="0"/>
        <w:spacing w:line="240" w:lineRule="auto"/>
        <w:ind w:left="5040" w:firstLine="0"/>
        <w:jc w:val="both"/>
        <w:rPr>
          <w:rFonts w:eastAsia="Times New Roman" w:cs="Calibri"/>
          <w:color w:val="000000"/>
          <w:szCs w:val="26"/>
        </w:rPr>
      </w:pPr>
      <w:r w:rsidRPr="00143BC5">
        <w:rPr>
          <w:rFonts w:eastAsia="Times New Roman" w:cs="Calibri"/>
          <w:color w:val="000000"/>
          <w:szCs w:val="26"/>
        </w:rPr>
        <w:t>KAREN DOUGLAS</w:t>
      </w:r>
    </w:p>
    <w:p w:rsidRPr="00143BC5" w:rsidR="002125D1" w:rsidP="002125D1" w:rsidRDefault="002125D1" w14:paraId="6760CB2A" w14:textId="77777777">
      <w:pPr>
        <w:autoSpaceDE w:val="0"/>
        <w:autoSpaceDN w:val="0"/>
        <w:adjustRightInd w:val="0"/>
        <w:spacing w:line="240" w:lineRule="auto"/>
        <w:ind w:left="5040" w:firstLine="0"/>
        <w:jc w:val="both"/>
        <w:rPr>
          <w:rFonts w:cs="Times New Roman"/>
          <w:szCs w:val="20"/>
        </w:rPr>
      </w:pPr>
      <w:r>
        <w:rPr>
          <w:rFonts w:eastAsia="Times New Roman" w:cs="Calibri"/>
          <w:color w:val="000000"/>
          <w:szCs w:val="26"/>
        </w:rPr>
        <w:t>MATTHEW BAKER</w:t>
      </w:r>
    </w:p>
    <w:p w:rsidRPr="002125D1" w:rsidR="00C200A5" w:rsidP="00B047FD" w:rsidRDefault="002125D1" w14:paraId="615E1305" w14:textId="0DCC72C1">
      <w:pPr>
        <w:autoSpaceDE w:val="0"/>
        <w:autoSpaceDN w:val="0"/>
        <w:adjustRightInd w:val="0"/>
        <w:spacing w:line="240" w:lineRule="auto"/>
        <w:ind w:left="5760"/>
        <w:jc w:val="both"/>
        <w:rPr>
          <w:rFonts w:cs="Times New Roman"/>
          <w:szCs w:val="20"/>
        </w:rPr>
      </w:pPr>
      <w:r w:rsidRPr="00143BC5">
        <w:rPr>
          <w:rFonts w:cs="Times New Roman"/>
          <w:szCs w:val="20"/>
        </w:rPr>
        <w:t>Commissioners</w:t>
      </w:r>
    </w:p>
    <w:sectPr w:rsidRPr="002125D1" w:rsidR="00C200A5" w:rsidSect="00A079A7">
      <w:headerReference w:type="first" r:id="rId16"/>
      <w:footerReference w:type="first" r:id="rId17"/>
      <w:pgSz w:w="12240" w:h="15840"/>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9A97" w14:textId="77777777" w:rsidR="00026FB3" w:rsidRDefault="00026FB3" w:rsidP="0098138E">
      <w:pPr>
        <w:spacing w:line="240" w:lineRule="auto"/>
      </w:pPr>
      <w:r>
        <w:separator/>
      </w:r>
    </w:p>
  </w:endnote>
  <w:endnote w:type="continuationSeparator" w:id="0">
    <w:p w14:paraId="296F9F7F" w14:textId="77777777" w:rsidR="00026FB3" w:rsidRDefault="00026FB3" w:rsidP="0098138E">
      <w:pPr>
        <w:spacing w:line="240" w:lineRule="auto"/>
      </w:pPr>
      <w:r>
        <w:continuationSeparator/>
      </w:r>
    </w:p>
  </w:endnote>
  <w:endnote w:type="continuationNotice" w:id="1">
    <w:p w14:paraId="3E17F756" w14:textId="77777777" w:rsidR="00026FB3" w:rsidRDefault="00026F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853C" w14:textId="77777777" w:rsidR="009058E2" w:rsidRDefault="00905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011F" w14:textId="2C471B0C" w:rsidR="008C0788" w:rsidRDefault="00B80274" w:rsidP="00B80274">
    <w:pPr>
      <w:pStyle w:val="Footer"/>
      <w:ind w:firstLine="0"/>
      <w:jc w:val="center"/>
    </w:pPr>
    <w:r>
      <w:t xml:space="preserve">- </w:t>
    </w:r>
    <w:sdt>
      <w:sdtPr>
        <w:id w:val="1753074648"/>
        <w:docPartObj>
          <w:docPartGallery w:val="Page Numbers (Bottom of Page)"/>
          <w:docPartUnique/>
        </w:docPartObj>
      </w:sdtPr>
      <w:sdtEndPr>
        <w:rPr>
          <w:noProof/>
        </w:rPr>
      </w:sdtEndPr>
      <w:sdtContent>
        <w:r w:rsidR="008C0788">
          <w:fldChar w:fldCharType="begin"/>
        </w:r>
        <w:r w:rsidR="008C0788">
          <w:instrText xml:space="preserve"> PAGE   \* MERGEFORMAT </w:instrText>
        </w:r>
        <w:r w:rsidR="008C0788">
          <w:fldChar w:fldCharType="separate"/>
        </w:r>
        <w:r w:rsidR="008C0788">
          <w:rPr>
            <w:noProof/>
          </w:rPr>
          <w:t>2</w:t>
        </w:r>
        <w:r w:rsidR="008C0788">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357260"/>
      <w:docPartObj>
        <w:docPartGallery w:val="Page Numbers (Bottom of Page)"/>
        <w:docPartUnique/>
      </w:docPartObj>
    </w:sdtPr>
    <w:sdtEndPr>
      <w:rPr>
        <w:noProof/>
      </w:rPr>
    </w:sdtEndPr>
    <w:sdtContent>
      <w:p w14:paraId="2131C56D" w14:textId="189CC2F2" w:rsidR="005808EF" w:rsidRDefault="00B80274" w:rsidP="00184B1D">
        <w:pPr>
          <w:pStyle w:val="Footer"/>
          <w:ind w:firstLine="0"/>
          <w:jc w:val="center"/>
        </w:pPr>
        <w:r>
          <w:t>-</w:t>
        </w:r>
        <w:r w:rsidR="00184B1D">
          <w:t xml:space="preserve"> </w:t>
        </w:r>
        <w:r w:rsidR="005808EF">
          <w:fldChar w:fldCharType="begin"/>
        </w:r>
        <w:r w:rsidR="005808EF">
          <w:instrText xml:space="preserve"> PAGE   \* MERGEFORMAT </w:instrText>
        </w:r>
        <w:r w:rsidR="005808EF">
          <w:fldChar w:fldCharType="separate"/>
        </w:r>
        <w:r w:rsidR="005808EF">
          <w:rPr>
            <w:noProof/>
          </w:rPr>
          <w:t>2</w:t>
        </w:r>
        <w:r w:rsidR="005808EF">
          <w:rPr>
            <w:noProof/>
          </w:rPr>
          <w:fldChar w:fldCharType="end"/>
        </w:r>
        <w:r w:rsidR="00184B1D">
          <w:rPr>
            <w:noProof/>
          </w:rPr>
          <w:t xml:space="preserve"> </w:t>
        </w:r>
        <w:r>
          <w:rPr>
            <w:noProof/>
          </w:rPr>
          <w:t>-</w:t>
        </w:r>
      </w:p>
    </w:sdtContent>
  </w:sdt>
  <w:p w14:paraId="461B9F56" w14:textId="2431A8A5" w:rsidR="005808EF" w:rsidRPr="000F2448" w:rsidRDefault="009058E2" w:rsidP="00513DD6">
    <w:pPr>
      <w:pStyle w:val="Footer"/>
      <w:ind w:firstLine="0"/>
      <w:rPr>
        <w:noProof/>
        <w:sz w:val="16"/>
        <w:szCs w:val="16"/>
      </w:rPr>
    </w:pPr>
    <w:r w:rsidRPr="009058E2">
      <w:rPr>
        <w:noProof/>
        <w:sz w:val="16"/>
        <w:szCs w:val="16"/>
      </w:rPr>
      <w:t>590050370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681433"/>
      <w:docPartObj>
        <w:docPartGallery w:val="Page Numbers (Bottom of Page)"/>
        <w:docPartUnique/>
      </w:docPartObj>
    </w:sdtPr>
    <w:sdtEndPr>
      <w:rPr>
        <w:noProof/>
      </w:rPr>
    </w:sdtEndPr>
    <w:sdtContent>
      <w:p w14:paraId="358CE6A0" w14:textId="72DF13E7" w:rsidR="00747AE1" w:rsidRDefault="00184B1D" w:rsidP="00184B1D">
        <w:pPr>
          <w:pStyle w:val="Footer"/>
          <w:ind w:firstLine="0"/>
          <w:jc w:val="center"/>
        </w:pPr>
        <w:r>
          <w:t xml:space="preserve">- </w:t>
        </w:r>
        <w:r w:rsidR="00D944D4">
          <w:fldChar w:fldCharType="begin"/>
        </w:r>
        <w:r w:rsidR="00D944D4">
          <w:instrText xml:space="preserve"> PAGE   \* MERGEFORMAT </w:instrText>
        </w:r>
        <w:r w:rsidR="00D944D4">
          <w:fldChar w:fldCharType="separate"/>
        </w:r>
        <w:r w:rsidR="00D944D4">
          <w:rPr>
            <w:noProof/>
          </w:rPr>
          <w:t>2</w:t>
        </w:r>
        <w:r w:rsidR="00D944D4">
          <w:rPr>
            <w:noProof/>
          </w:rPr>
          <w:fldChar w:fldCharType="end"/>
        </w:r>
        <w:r>
          <w:rPr>
            <w:noProof/>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963403"/>
      <w:docPartObj>
        <w:docPartGallery w:val="Page Numbers (Bottom of Page)"/>
        <w:docPartUnique/>
      </w:docPartObj>
    </w:sdtPr>
    <w:sdtEndPr>
      <w:rPr>
        <w:noProof/>
      </w:rPr>
    </w:sdtEndPr>
    <w:sdtContent>
      <w:p w14:paraId="1D3D782C" w14:textId="627AC10B" w:rsidR="007D412B" w:rsidRDefault="00A079A7" w:rsidP="00184B1D">
        <w:pPr>
          <w:pStyle w:val="Footer"/>
          <w:ind w:firstLine="0"/>
          <w:jc w:val="center"/>
        </w:pPr>
        <w:r>
          <w:t>-</w:t>
        </w:r>
        <w:r w:rsidR="00184B1D">
          <w:t xml:space="preserve"> </w:t>
        </w:r>
        <w:r w:rsidR="00AF3D72">
          <w:fldChar w:fldCharType="begin"/>
        </w:r>
        <w:r w:rsidR="00AF3D72">
          <w:instrText xml:space="preserve"> PAGE   \* MERGEFORMAT </w:instrText>
        </w:r>
        <w:r w:rsidR="00AF3D72">
          <w:fldChar w:fldCharType="separate"/>
        </w:r>
        <w:r w:rsidR="00AF3D72">
          <w:rPr>
            <w:noProof/>
          </w:rPr>
          <w:t>2</w:t>
        </w:r>
        <w:r w:rsidR="00AF3D72">
          <w:rPr>
            <w:noProof/>
          </w:rPr>
          <w:fldChar w:fldCharType="end"/>
        </w:r>
        <w:r>
          <w:rPr>
            <w:noProof/>
          </w:rPr>
          <w:t xml:space="preserve"> </w:t>
        </w:r>
        <w:r w:rsidR="00B80274">
          <w:rPr>
            <w:noProof/>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CEB26" w14:textId="77777777" w:rsidR="00026FB3" w:rsidRDefault="00026FB3" w:rsidP="00DF58E7">
      <w:pPr>
        <w:spacing w:line="240" w:lineRule="auto"/>
        <w:ind w:firstLine="0"/>
      </w:pPr>
      <w:r>
        <w:separator/>
      </w:r>
    </w:p>
  </w:footnote>
  <w:footnote w:type="continuationSeparator" w:id="0">
    <w:p w14:paraId="2E3FD021" w14:textId="77777777" w:rsidR="00026FB3" w:rsidRDefault="00026FB3" w:rsidP="00DF58E7">
      <w:pPr>
        <w:spacing w:line="240" w:lineRule="auto"/>
        <w:ind w:firstLine="0"/>
      </w:pPr>
      <w:r>
        <w:continuationSeparator/>
      </w:r>
    </w:p>
  </w:footnote>
  <w:footnote w:type="continuationNotice" w:id="1">
    <w:p w14:paraId="31A6433B" w14:textId="77777777" w:rsidR="00026FB3" w:rsidRPr="00DF58E7" w:rsidRDefault="00026FB3" w:rsidP="00DF58E7">
      <w:pPr>
        <w:spacing w:line="240" w:lineRule="auto"/>
        <w:ind w:firstLine="0"/>
        <w:jc w:val="right"/>
        <w:rPr>
          <w:i/>
          <w:sz w:val="22"/>
        </w:rPr>
      </w:pPr>
      <w:r w:rsidRPr="00DF58E7">
        <w:rPr>
          <w:i/>
          <w:sz w:val="22"/>
        </w:rPr>
        <w:t>Footnote continued on next page.</w:t>
      </w:r>
    </w:p>
  </w:footnote>
  <w:footnote w:id="2">
    <w:p w14:paraId="2DE267D3" w14:textId="67F57779" w:rsidR="00537894" w:rsidRDefault="00537894" w:rsidP="00537894">
      <w:pPr>
        <w:pStyle w:val="FootnoteText"/>
      </w:pPr>
      <w:r>
        <w:rPr>
          <w:rStyle w:val="FootnoteReference"/>
        </w:rPr>
        <w:footnoteRef/>
      </w:r>
      <w:r>
        <w:t xml:space="preserve"> This total excludes franchise fees and uncollectibles. </w:t>
      </w:r>
    </w:p>
  </w:footnote>
  <w:footnote w:id="3">
    <w:p w14:paraId="61B5C811" w14:textId="54492A59" w:rsidR="00537894" w:rsidRDefault="00537894" w:rsidP="00537894">
      <w:pPr>
        <w:pStyle w:val="FootnoteText"/>
      </w:pPr>
      <w:r>
        <w:rPr>
          <w:rStyle w:val="FootnoteReference"/>
        </w:rPr>
        <w:footnoteRef/>
      </w:r>
      <w:r>
        <w:t xml:space="preserve"> Some of the ERRA components have 202</w:t>
      </w:r>
      <w:r w:rsidR="003F1016">
        <w:t>6</w:t>
      </w:r>
      <w:r>
        <w:t xml:space="preserve"> revenue requirements forecasts of $0. Table 1 at Section 3.1 of the decision provides the 202</w:t>
      </w:r>
      <w:r w:rsidR="003F1016">
        <w:t>6</w:t>
      </w:r>
      <w:r>
        <w:t xml:space="preserve"> revenue requirements for the different ERRA components.</w:t>
      </w:r>
    </w:p>
  </w:footnote>
  <w:footnote w:id="4">
    <w:p w14:paraId="72949ED8" w14:textId="3F3A7768" w:rsidR="005F52E8" w:rsidRDefault="005F52E8">
      <w:pPr>
        <w:pStyle w:val="FootnoteText"/>
      </w:pPr>
      <w:r>
        <w:rPr>
          <w:rStyle w:val="FootnoteReference"/>
        </w:rPr>
        <w:footnoteRef/>
      </w:r>
      <w:r>
        <w:t xml:space="preserve"> </w:t>
      </w:r>
      <w:r w:rsidRPr="005F52E8">
        <w:t xml:space="preserve">  Illustrative bill impact figures for both bundled and unbundled customers include the California Climate Credit.</w:t>
      </w:r>
    </w:p>
  </w:footnote>
  <w:footnote w:id="5">
    <w:p w14:paraId="25DF1139" w14:textId="4CD5A291" w:rsidR="003A0B19" w:rsidRDefault="003A0B19">
      <w:pPr>
        <w:pStyle w:val="FootnoteText"/>
      </w:pPr>
      <w:r>
        <w:rPr>
          <w:rStyle w:val="FootnoteReference"/>
        </w:rPr>
        <w:footnoteRef/>
      </w:r>
      <w:r>
        <w:t xml:space="preserve"> The confidential materials pertain to certain limited GHG-related information and energy sales forecasts appearing in Template D-2 which is included in Attachment G of the Application.</w:t>
      </w:r>
    </w:p>
  </w:footnote>
  <w:footnote w:id="6">
    <w:p w14:paraId="53C8AE83" w14:textId="77777777" w:rsidR="003A0B19" w:rsidRDefault="003A0B19" w:rsidP="003A0B19">
      <w:pPr>
        <w:pStyle w:val="FootnoteText"/>
      </w:pPr>
      <w:r>
        <w:rPr>
          <w:rStyle w:val="FootnoteReference"/>
        </w:rPr>
        <w:footnoteRef/>
      </w:r>
      <w:r>
        <w:t xml:space="preserve"> D.22-03-003 directed SDG&amp;E to file subsequent annual electric sales forecasts in its ERRA forecast applications.</w:t>
      </w:r>
    </w:p>
  </w:footnote>
  <w:footnote w:id="7">
    <w:p w14:paraId="6989C1B4" w14:textId="77777777" w:rsidR="00087A22" w:rsidRPr="00B2304B" w:rsidRDefault="00087A22" w:rsidP="00087A22">
      <w:pPr>
        <w:pStyle w:val="FootnoteText"/>
      </w:pPr>
      <w:r w:rsidRPr="00B2304B">
        <w:rPr>
          <w:rStyle w:val="FootnoteReference"/>
        </w:rPr>
        <w:footnoteRef/>
      </w:r>
      <w:r w:rsidRPr="00B2304B">
        <w:t xml:space="preserve"> Application at 2 to 3.</w:t>
      </w:r>
    </w:p>
  </w:footnote>
  <w:footnote w:id="8">
    <w:p w14:paraId="0B077C94" w14:textId="77777777" w:rsidR="003A0B19" w:rsidRPr="00087A22" w:rsidRDefault="003A0B19" w:rsidP="003A0B19">
      <w:pPr>
        <w:pStyle w:val="FootnoteText"/>
      </w:pPr>
      <w:r w:rsidRPr="00087A22">
        <w:rPr>
          <w:rStyle w:val="FootnoteReference"/>
        </w:rPr>
        <w:footnoteRef/>
      </w:r>
      <w:r w:rsidRPr="00087A22">
        <w:t xml:space="preserve"> AB 1890 became effective September 23, 1996.</w:t>
      </w:r>
    </w:p>
  </w:footnote>
  <w:footnote w:id="9">
    <w:p w14:paraId="3FF5EB9A" w14:textId="77777777" w:rsidR="00620461" w:rsidRDefault="00620461" w:rsidP="00620461">
      <w:pPr>
        <w:pStyle w:val="FootnoteText"/>
      </w:pPr>
      <w:r>
        <w:rPr>
          <w:rStyle w:val="FootnoteReference"/>
        </w:rPr>
        <w:footnoteRef/>
      </w:r>
      <w:r>
        <w:t xml:space="preserve"> </w:t>
      </w:r>
      <w:r w:rsidRPr="003766C1">
        <w:rPr>
          <w:i/>
          <w:iCs/>
        </w:rPr>
        <w:t>See</w:t>
      </w:r>
      <w:r>
        <w:t xml:space="preserve"> Resolution E-5241, Ordering Paragraph (OP) 1. </w:t>
      </w:r>
    </w:p>
  </w:footnote>
  <w:footnote w:id="10">
    <w:p w14:paraId="585C56E6" w14:textId="77777777" w:rsidR="00620461" w:rsidRDefault="00620461" w:rsidP="00620461">
      <w:pPr>
        <w:pStyle w:val="FootnoteText"/>
      </w:pPr>
      <w:r>
        <w:rPr>
          <w:rStyle w:val="FootnoteReference"/>
        </w:rPr>
        <w:footnoteRef/>
      </w:r>
      <w:r>
        <w:t xml:space="preserve"> </w:t>
      </w:r>
      <w:r w:rsidRPr="003766C1">
        <w:rPr>
          <w:i/>
          <w:iCs/>
        </w:rPr>
        <w:t>See</w:t>
      </w:r>
      <w:r>
        <w:t xml:space="preserve"> Resolution E-5246 issued on March 16, 2023. </w:t>
      </w:r>
    </w:p>
  </w:footnote>
  <w:footnote w:id="11">
    <w:p w14:paraId="1D66CCF8" w14:textId="77777777" w:rsidR="003A0B19" w:rsidRDefault="003A0B19" w:rsidP="003A0B19">
      <w:pPr>
        <w:pStyle w:val="FootnoteText"/>
      </w:pPr>
      <w:r>
        <w:rPr>
          <w:rStyle w:val="FootnoteReference"/>
        </w:rPr>
        <w:footnoteRef/>
      </w:r>
      <w:r>
        <w:t xml:space="preserve"> </w:t>
      </w:r>
      <w:r w:rsidRPr="007471B5">
        <w:rPr>
          <w:i/>
          <w:iCs/>
        </w:rPr>
        <w:t>See</w:t>
      </w:r>
      <w:r>
        <w:t xml:space="preserve"> D.12</w:t>
      </w:r>
      <w:r>
        <w:noBreakHyphen/>
        <w:t>12</w:t>
      </w:r>
      <w:r>
        <w:noBreakHyphen/>
        <w:t>033, OP 1; D.20</w:t>
      </w:r>
      <w:r>
        <w:noBreakHyphen/>
        <w:t>10</w:t>
      </w:r>
      <w:r>
        <w:noBreakHyphen/>
        <w:t>002, OP 1; and D.21</w:t>
      </w:r>
      <w:r>
        <w:noBreakHyphen/>
        <w:t>08</w:t>
      </w:r>
      <w:r>
        <w:noBreakHyphen/>
        <w:t>026, OP 6.</w:t>
      </w:r>
    </w:p>
  </w:footnote>
  <w:footnote w:id="12">
    <w:p w14:paraId="4C76BE79" w14:textId="5E0782DB" w:rsidR="00B2304B" w:rsidRDefault="00B2304B">
      <w:pPr>
        <w:pStyle w:val="FootnoteText"/>
      </w:pPr>
      <w:r>
        <w:rPr>
          <w:rStyle w:val="FootnoteReference"/>
        </w:rPr>
        <w:footnoteRef/>
      </w:r>
      <w:r>
        <w:t xml:space="preserve"> </w:t>
      </w:r>
      <w:r w:rsidRPr="00B2304B">
        <w:rPr>
          <w:i/>
          <w:iCs/>
        </w:rPr>
        <w:t>See</w:t>
      </w:r>
      <w:r>
        <w:t xml:space="preserve"> Advice Letter 4522-E which closed the ECR program.</w:t>
      </w:r>
    </w:p>
  </w:footnote>
  <w:footnote w:id="13">
    <w:p w14:paraId="6FE058FD" w14:textId="77777777" w:rsidR="0097022D" w:rsidRDefault="0097022D" w:rsidP="0097022D">
      <w:pPr>
        <w:pStyle w:val="FootnoteText"/>
      </w:pPr>
      <w:r>
        <w:rPr>
          <w:rStyle w:val="FootnoteReference"/>
        </w:rPr>
        <w:footnoteRef/>
      </w:r>
      <w:r>
        <w:t xml:space="preserve"> Application at 2.</w:t>
      </w:r>
    </w:p>
  </w:footnote>
  <w:footnote w:id="14">
    <w:p w14:paraId="0CC2D66D" w14:textId="73B91133" w:rsidR="0097022D" w:rsidRDefault="0097022D" w:rsidP="0097022D">
      <w:pPr>
        <w:pStyle w:val="FootnoteText"/>
      </w:pPr>
      <w:r>
        <w:rPr>
          <w:rStyle w:val="FootnoteReference"/>
        </w:rPr>
        <w:footnoteRef/>
      </w:r>
      <w:r>
        <w:t xml:space="preserve"> The </w:t>
      </w:r>
      <w:r w:rsidR="002A430B">
        <w:t xml:space="preserve">stated </w:t>
      </w:r>
      <w:r>
        <w:t>ERRA forecast does not include the TMNBC revenue requirement and franchise fees and uncollectibles due to confidentiality concerns regarding these amounts.</w:t>
      </w:r>
    </w:p>
  </w:footnote>
  <w:footnote w:id="15">
    <w:p w14:paraId="760B3502" w14:textId="6E1753BD" w:rsidR="0097022D" w:rsidRDefault="0097022D" w:rsidP="0097022D">
      <w:pPr>
        <w:pStyle w:val="FootnoteText"/>
      </w:pPr>
      <w:r>
        <w:rPr>
          <w:rStyle w:val="FootnoteReference"/>
        </w:rPr>
        <w:footnoteRef/>
      </w:r>
      <w:r>
        <w:t xml:space="preserve"> The 202</w:t>
      </w:r>
      <w:r w:rsidR="00684215">
        <w:t>6</w:t>
      </w:r>
      <w:r>
        <w:t xml:space="preserve"> ERRA Forecast Revenue Requirements exclude franchise fees and uncollectibles (except for GHG Revenues for Return) and the TMNBC revenue requirement due to confidentiality.</w:t>
      </w:r>
    </w:p>
  </w:footnote>
  <w:footnote w:id="16">
    <w:p w14:paraId="26FD7FC5" w14:textId="77777777" w:rsidR="0097022D" w:rsidRDefault="0097022D" w:rsidP="0097022D">
      <w:pPr>
        <w:pStyle w:val="FootnoteText"/>
      </w:pPr>
      <w:r>
        <w:rPr>
          <w:rStyle w:val="FootnoteReference"/>
        </w:rPr>
        <w:footnoteRef/>
      </w:r>
      <w:r>
        <w:t xml:space="preserve"> The GHG Revenues for Return figures include franchise fees and uncollectibles.</w:t>
      </w:r>
    </w:p>
  </w:footnote>
  <w:footnote w:id="17">
    <w:p w14:paraId="22E2D7C2" w14:textId="77777777" w:rsidR="001E566A" w:rsidRDefault="001E566A" w:rsidP="001E566A">
      <w:pPr>
        <w:pStyle w:val="FootnoteText"/>
      </w:pPr>
      <w:r>
        <w:rPr>
          <w:rStyle w:val="FootnoteReference"/>
        </w:rPr>
        <w:footnoteRef/>
      </w:r>
      <w:r>
        <w:t xml:space="preserve"> Exhibit SDG&amp;E</w:t>
      </w:r>
      <w:r>
        <w:noBreakHyphen/>
        <w:t>03 at LF</w:t>
      </w:r>
      <w:r>
        <w:noBreakHyphen/>
        <w:t>2.</w:t>
      </w:r>
    </w:p>
  </w:footnote>
  <w:footnote w:id="18">
    <w:p w14:paraId="72F9DD14" w14:textId="2E6BF4F2" w:rsidR="00D52BFF" w:rsidRDefault="00D52BFF">
      <w:pPr>
        <w:pStyle w:val="FootnoteText"/>
      </w:pPr>
      <w:r>
        <w:rPr>
          <w:rStyle w:val="FootnoteReference"/>
        </w:rPr>
        <w:footnoteRef/>
      </w:r>
      <w:r>
        <w:t xml:space="preserve"> A.24-05-010.</w:t>
      </w:r>
    </w:p>
  </w:footnote>
  <w:footnote w:id="19">
    <w:p w14:paraId="767B2EB3" w14:textId="5DABD7D3" w:rsidR="00D52BFF" w:rsidRDefault="00D52BFF">
      <w:pPr>
        <w:pStyle w:val="FootnoteText"/>
      </w:pPr>
      <w:r>
        <w:rPr>
          <w:rStyle w:val="FootnoteReference"/>
        </w:rPr>
        <w:footnoteRef/>
      </w:r>
      <w:r>
        <w:t xml:space="preserve"> </w:t>
      </w:r>
      <w:r w:rsidRPr="00A9785E">
        <w:rPr>
          <w:i/>
          <w:iCs/>
        </w:rPr>
        <w:t xml:space="preserve">See </w:t>
      </w:r>
      <w:r>
        <w:t>D.24-12-040 at 18.</w:t>
      </w:r>
    </w:p>
  </w:footnote>
  <w:footnote w:id="20">
    <w:p w14:paraId="6A90DB78" w14:textId="242061BB" w:rsidR="00F113EC" w:rsidRDefault="00F113EC" w:rsidP="00F113EC">
      <w:pPr>
        <w:pStyle w:val="FootnoteText"/>
      </w:pPr>
      <w:r>
        <w:rPr>
          <w:rStyle w:val="FootnoteReference"/>
        </w:rPr>
        <w:footnoteRef/>
      </w:r>
      <w:r>
        <w:t xml:space="preserve"> Exhibit SDGE</w:t>
      </w:r>
      <w:r>
        <w:noBreakHyphen/>
        <w:t>1</w:t>
      </w:r>
      <w:r w:rsidR="009A7E01">
        <w:t>1</w:t>
      </w:r>
      <w:r>
        <w:t>C</w:t>
      </w:r>
      <w:r w:rsidR="009A7E01">
        <w:t>,</w:t>
      </w:r>
      <w:r>
        <w:t xml:space="preserve"> Table 8</w:t>
      </w:r>
      <w:r w:rsidR="009A7E01">
        <w:t>,</w:t>
      </w:r>
      <w:r>
        <w:t xml:space="preserve"> at </w:t>
      </w:r>
      <w:r w:rsidR="009A7E01">
        <w:t>LF-14</w:t>
      </w:r>
      <w:r>
        <w:t>.</w:t>
      </w:r>
    </w:p>
  </w:footnote>
  <w:footnote w:id="21">
    <w:p w14:paraId="0F6FBBED" w14:textId="5A1A0AEF" w:rsidR="004C048A" w:rsidRDefault="004C048A" w:rsidP="004C048A">
      <w:pPr>
        <w:pStyle w:val="FootnoteText"/>
      </w:pPr>
      <w:r>
        <w:rPr>
          <w:rStyle w:val="FootnoteReference"/>
        </w:rPr>
        <w:footnoteRef/>
      </w:r>
      <w:r>
        <w:t xml:space="preserve"> </w:t>
      </w:r>
      <w:r w:rsidR="006D29F5">
        <w:t>Exhibit </w:t>
      </w:r>
      <w:r>
        <w:t>SDGE</w:t>
      </w:r>
      <w:r w:rsidR="00116648">
        <w:noBreakHyphen/>
      </w:r>
      <w:r>
        <w:t xml:space="preserve">2 </w:t>
      </w:r>
      <w:r w:rsidR="00D77E86">
        <w:t>at </w:t>
      </w:r>
      <w:r w:rsidR="00C17DF1">
        <w:t>JE</w:t>
      </w:r>
      <w:r w:rsidR="00116648">
        <w:noBreakHyphen/>
      </w:r>
      <w:r>
        <w:t>1</w:t>
      </w:r>
      <w:r w:rsidR="0060437B">
        <w:t>2</w:t>
      </w:r>
      <w:r>
        <w:t xml:space="preserve">. </w:t>
      </w:r>
    </w:p>
  </w:footnote>
  <w:footnote w:id="22">
    <w:p w14:paraId="442C755F" w14:textId="5929D71F" w:rsidR="000F5A79" w:rsidRDefault="000F5A79">
      <w:pPr>
        <w:pStyle w:val="FootnoteText"/>
      </w:pPr>
      <w:r>
        <w:rPr>
          <w:rStyle w:val="FootnoteReference"/>
        </w:rPr>
        <w:footnoteRef/>
      </w:r>
      <w:r>
        <w:t xml:space="preserve"> The exact funding request is $0.461 million but is subject to rounding as presented in Table 1.</w:t>
      </w:r>
    </w:p>
  </w:footnote>
  <w:footnote w:id="23">
    <w:p w14:paraId="798F1873" w14:textId="0B2C07AE" w:rsidR="004C2E67" w:rsidRPr="008552B9" w:rsidRDefault="004C2E67">
      <w:pPr>
        <w:pStyle w:val="FootnoteText"/>
      </w:pPr>
      <w:r w:rsidRPr="008552B9">
        <w:rPr>
          <w:rStyle w:val="FootnoteReference"/>
        </w:rPr>
        <w:footnoteRef/>
      </w:r>
      <w:r w:rsidRPr="008552B9">
        <w:t xml:space="preserve"> Exhibit SDGE-</w:t>
      </w:r>
      <w:r w:rsidR="008552B9" w:rsidRPr="008552B9">
        <w:t>11C</w:t>
      </w:r>
      <w:r w:rsidRPr="008552B9">
        <w:t xml:space="preserve"> at LF-17. </w:t>
      </w:r>
    </w:p>
  </w:footnote>
  <w:footnote w:id="24">
    <w:p w14:paraId="50C1940C" w14:textId="0FD57CBA" w:rsidR="00F7047E" w:rsidRDefault="00F7047E">
      <w:pPr>
        <w:pStyle w:val="FootnoteText"/>
      </w:pPr>
      <w:r>
        <w:rPr>
          <w:rStyle w:val="FootnoteReference"/>
        </w:rPr>
        <w:footnoteRef/>
      </w:r>
      <w:r w:rsidRPr="00A9785E">
        <w:rPr>
          <w:i/>
          <w:iCs/>
        </w:rPr>
        <w:t xml:space="preserve"> See </w:t>
      </w:r>
      <w:r>
        <w:t>Exhibit SDGE-</w:t>
      </w:r>
      <w:r w:rsidR="009538D1">
        <w:t>9</w:t>
      </w:r>
      <w:r>
        <w:t xml:space="preserve"> Table 7 at </w:t>
      </w:r>
      <w:r w:rsidR="009538D1">
        <w:t>EW-14</w:t>
      </w:r>
      <w:r>
        <w:t>.</w:t>
      </w:r>
    </w:p>
  </w:footnote>
  <w:footnote w:id="25">
    <w:p w14:paraId="6994E8FC" w14:textId="7B5240C9" w:rsidR="00F7047E" w:rsidRDefault="00F7047E" w:rsidP="00F7047E">
      <w:pPr>
        <w:pStyle w:val="FootnoteText"/>
      </w:pPr>
      <w:r>
        <w:rPr>
          <w:rStyle w:val="FootnoteReference"/>
        </w:rPr>
        <w:footnoteRef/>
      </w:r>
      <w:r>
        <w:t xml:space="preserve"> Exhibit SDGE</w:t>
      </w:r>
      <w:r>
        <w:noBreakHyphen/>
        <w:t>6 at </w:t>
      </w:r>
      <w:r w:rsidR="00D36FCB">
        <w:t>JS-2</w:t>
      </w:r>
      <w:r>
        <w:t>.</w:t>
      </w:r>
    </w:p>
  </w:footnote>
  <w:footnote w:id="26">
    <w:p w14:paraId="1705064D" w14:textId="4B2B6048" w:rsidR="006E2308" w:rsidRDefault="006E2308">
      <w:pPr>
        <w:pStyle w:val="FootnoteText"/>
      </w:pPr>
      <w:r>
        <w:rPr>
          <w:rStyle w:val="FootnoteReference"/>
        </w:rPr>
        <w:footnoteRef/>
      </w:r>
      <w:r>
        <w:t xml:space="preserve"> D.25-06-049 is an interim decision in R.25-02-005. </w:t>
      </w:r>
    </w:p>
  </w:footnote>
  <w:footnote w:id="27">
    <w:p w14:paraId="224B03E5" w14:textId="252032DB" w:rsidR="006E2308" w:rsidRDefault="006E2308">
      <w:pPr>
        <w:pStyle w:val="FootnoteText"/>
      </w:pPr>
      <w:r>
        <w:rPr>
          <w:rStyle w:val="FootnoteReference"/>
        </w:rPr>
        <w:footnoteRef/>
      </w:r>
      <w:r>
        <w:t xml:space="preserve"> D.25-06-049 OP 1 at 34 to 35.</w:t>
      </w:r>
    </w:p>
  </w:footnote>
  <w:footnote w:id="28">
    <w:p w14:paraId="7F353F45" w14:textId="7FFBD3D6" w:rsidR="006E2308" w:rsidRDefault="006E2308">
      <w:pPr>
        <w:pStyle w:val="FootnoteText"/>
      </w:pPr>
      <w:r>
        <w:rPr>
          <w:rStyle w:val="FootnoteReference"/>
        </w:rPr>
        <w:footnoteRef/>
      </w:r>
      <w:r>
        <w:t xml:space="preserve"> D.25-06-049 OP 2 at 35. </w:t>
      </w:r>
    </w:p>
  </w:footnote>
  <w:footnote w:id="29">
    <w:p w14:paraId="5E85DC07" w14:textId="09ECE3EB" w:rsidR="00AA5EB6" w:rsidRDefault="00AA5EB6" w:rsidP="00AA5EB6">
      <w:pPr>
        <w:pStyle w:val="FootnoteText"/>
      </w:pPr>
      <w:r>
        <w:rPr>
          <w:rStyle w:val="FootnoteReference"/>
        </w:rPr>
        <w:footnoteRef/>
      </w:r>
      <w:r>
        <w:t xml:space="preserve"> Applications for rehearing were filed by California Community Choice Association and jointly by Ava Community Energy Authority and San Jose Clean Energy.</w:t>
      </w:r>
    </w:p>
  </w:footnote>
  <w:footnote w:id="30">
    <w:p w14:paraId="225E37C8" w14:textId="020A45AC" w:rsidR="00960BD7" w:rsidRDefault="00960BD7">
      <w:pPr>
        <w:pStyle w:val="FootnoteText"/>
      </w:pPr>
      <w:r>
        <w:rPr>
          <w:rStyle w:val="FootnoteReference"/>
        </w:rPr>
        <w:footnoteRef/>
      </w:r>
      <w:r>
        <w:t xml:space="preserve"> The final 202</w:t>
      </w:r>
      <w:r w:rsidR="00D87FF5">
        <w:t>5</w:t>
      </w:r>
      <w:r>
        <w:t xml:space="preserve"> benchmarks were issued by </w:t>
      </w:r>
      <w:r w:rsidR="00D87FF5">
        <w:t xml:space="preserve">the Commission’s </w:t>
      </w:r>
      <w:r>
        <w:t xml:space="preserve">Energy Division on October </w:t>
      </w:r>
      <w:r w:rsidR="00D87FF5">
        <w:t>1</w:t>
      </w:r>
      <w:r>
        <w:t>, 202</w:t>
      </w:r>
      <w:r w:rsidR="00D87FF5">
        <w:t>5</w:t>
      </w:r>
      <w:r>
        <w:t>.</w:t>
      </w:r>
    </w:p>
  </w:footnote>
  <w:footnote w:id="31">
    <w:p w14:paraId="7B74BDCE" w14:textId="20C627F5" w:rsidR="0069634D" w:rsidRDefault="0069634D">
      <w:pPr>
        <w:pStyle w:val="FootnoteText"/>
      </w:pPr>
      <w:r>
        <w:rPr>
          <w:rStyle w:val="FootnoteReference"/>
        </w:rPr>
        <w:footnoteRef/>
      </w:r>
      <w:r>
        <w:t xml:space="preserve"> SDG&amp;E Opening Brief at 8.</w:t>
      </w:r>
    </w:p>
  </w:footnote>
  <w:footnote w:id="32">
    <w:p w14:paraId="19CB1C6A" w14:textId="2CCB6DC7" w:rsidR="0069634D" w:rsidRDefault="0069634D">
      <w:pPr>
        <w:pStyle w:val="FootnoteText"/>
      </w:pPr>
      <w:r>
        <w:rPr>
          <w:rStyle w:val="FootnoteReference"/>
        </w:rPr>
        <w:footnoteRef/>
      </w:r>
      <w:r>
        <w:t xml:space="preserve"> Exhibit SDGE-8 at SM-2.</w:t>
      </w:r>
    </w:p>
  </w:footnote>
  <w:footnote w:id="33">
    <w:p w14:paraId="5E5FF78B" w14:textId="2B43ED39" w:rsidR="00EC47FA" w:rsidRDefault="00EC47FA">
      <w:pPr>
        <w:pStyle w:val="FootnoteText"/>
      </w:pPr>
      <w:r>
        <w:rPr>
          <w:rStyle w:val="FootnoteReference"/>
        </w:rPr>
        <w:footnoteRef/>
      </w:r>
      <w:r>
        <w:t xml:space="preserve"> The issue raised by the Joint CCAs regarding pre-2019 Banked RECs </w:t>
      </w:r>
    </w:p>
  </w:footnote>
  <w:footnote w:id="34">
    <w:p w14:paraId="7F9AB85B" w14:textId="0243731A" w:rsidR="00DD5215" w:rsidRDefault="00DD5215">
      <w:pPr>
        <w:pStyle w:val="FootnoteText"/>
      </w:pPr>
      <w:r>
        <w:rPr>
          <w:rStyle w:val="FootnoteReference"/>
        </w:rPr>
        <w:footnoteRef/>
      </w:r>
      <w:r>
        <w:t xml:space="preserve"> D.</w:t>
      </w:r>
      <w:r w:rsidR="003753C9">
        <w:t>18-10-019 and D.</w:t>
      </w:r>
      <w:r>
        <w:t xml:space="preserve">19-10-001 </w:t>
      </w:r>
      <w:r w:rsidR="00CD5F1F">
        <w:t>revised the methods for determining PCIA rates</w:t>
      </w:r>
      <w:r>
        <w:t xml:space="preserve">. </w:t>
      </w:r>
    </w:p>
  </w:footnote>
  <w:footnote w:id="35">
    <w:p w14:paraId="330ABFC6" w14:textId="09955A5F" w:rsidR="002B68BB" w:rsidRDefault="002B68BB">
      <w:pPr>
        <w:pStyle w:val="FootnoteText"/>
      </w:pPr>
      <w:r>
        <w:rPr>
          <w:rStyle w:val="FootnoteReference"/>
        </w:rPr>
        <w:footnoteRef/>
      </w:r>
      <w:r>
        <w:t xml:space="preserve"> </w:t>
      </w:r>
      <w:r w:rsidR="006369F9">
        <w:t>Joint CCAs Reply Brief.</w:t>
      </w:r>
    </w:p>
  </w:footnote>
  <w:footnote w:id="36">
    <w:p w14:paraId="48DB09BA" w14:textId="03CE32B5" w:rsidR="008067E7" w:rsidRDefault="008067E7">
      <w:pPr>
        <w:pStyle w:val="FootnoteText"/>
      </w:pPr>
      <w:r>
        <w:rPr>
          <w:rStyle w:val="FootnoteReference"/>
        </w:rPr>
        <w:footnoteRef/>
      </w:r>
      <w:r>
        <w:t xml:space="preserve"> Exhibit SDGE-8 at SM-3.</w:t>
      </w:r>
    </w:p>
  </w:footnote>
  <w:footnote w:id="37">
    <w:p w14:paraId="26B9D56D" w14:textId="1613D594" w:rsidR="00CC78ED" w:rsidRDefault="00CC78ED">
      <w:pPr>
        <w:pStyle w:val="FootnoteText"/>
      </w:pPr>
      <w:r>
        <w:rPr>
          <w:rStyle w:val="FootnoteReference"/>
        </w:rPr>
        <w:footnoteRef/>
      </w:r>
      <w:r>
        <w:t xml:space="preserve"> Filed on September 19, 2025, which is subsequent to the serving of Exhibit SDGE-8.</w:t>
      </w:r>
    </w:p>
  </w:footnote>
  <w:footnote w:id="38">
    <w:p w14:paraId="510F8E8E" w14:textId="10D40AAE" w:rsidR="007F45B4" w:rsidRDefault="007F45B4">
      <w:pPr>
        <w:pStyle w:val="FootnoteText"/>
      </w:pPr>
      <w:r>
        <w:rPr>
          <w:rStyle w:val="FootnoteReference"/>
        </w:rPr>
        <w:footnoteRef/>
      </w:r>
      <w:r>
        <w:t xml:space="preserve"> </w:t>
      </w:r>
      <w:r w:rsidR="00FD7F2B">
        <w:t>Joint CCAs Opening Brief at 20.</w:t>
      </w:r>
    </w:p>
  </w:footnote>
  <w:footnote w:id="39">
    <w:p w14:paraId="702ADFF2" w14:textId="0EF110AB" w:rsidR="00961DDC" w:rsidRDefault="00961DDC">
      <w:pPr>
        <w:pStyle w:val="FootnoteText"/>
      </w:pPr>
      <w:r>
        <w:rPr>
          <w:rStyle w:val="FootnoteReference"/>
        </w:rPr>
        <w:footnoteRef/>
      </w:r>
      <w:r>
        <w:t xml:space="preserve"> Exhibit SDGE-13C, Table 3 at SM-8.</w:t>
      </w:r>
    </w:p>
  </w:footnote>
  <w:footnote w:id="40">
    <w:p w14:paraId="6F7DF3E1" w14:textId="0EA53B73" w:rsidR="00582E5F" w:rsidRDefault="00582E5F">
      <w:pPr>
        <w:pStyle w:val="FootnoteText"/>
      </w:pPr>
      <w:r>
        <w:rPr>
          <w:rStyle w:val="FootnoteReference"/>
        </w:rPr>
        <w:footnoteRef/>
      </w:r>
      <w:r>
        <w:t xml:space="preserve"> </w:t>
      </w:r>
      <w:r w:rsidRPr="00582E5F">
        <w:t>Typically, unsold banked RECs are not valued until the year of use. But in SDG&amp;E’s case, its bundled customers have already paid the 2019 MPB of $16.44/REC for 2019 banked RECs and made a corresponding credit to the PABA. Thus, when SDG&amp;E uses 2019 banked RECs for compliance in a future year it must account for the incremental difference in value between the 2019 MPB and current MPB as a credit to the PABA vintage and an expense to ERRA in proportion to the year the REC was generated to comply with the methodology in D.19-10-001.</w:t>
      </w:r>
    </w:p>
  </w:footnote>
  <w:footnote w:id="41">
    <w:p w14:paraId="6C278D94" w14:textId="77777777" w:rsidR="00AE141F" w:rsidRPr="004E2FAD" w:rsidRDefault="00AE141F" w:rsidP="00AE141F">
      <w:pPr>
        <w:pStyle w:val="FootnoteText"/>
        <w:rPr>
          <w:b/>
          <w:bCs/>
        </w:rPr>
      </w:pPr>
      <w:r>
        <w:rPr>
          <w:rStyle w:val="FootnoteReference"/>
        </w:rPr>
        <w:footnoteRef/>
      </w:r>
      <w:r>
        <w:t xml:space="preserve"> A.22</w:t>
      </w:r>
      <w:r>
        <w:noBreakHyphen/>
        <w:t>05</w:t>
      </w:r>
      <w:r>
        <w:noBreakHyphen/>
        <w:t xml:space="preserve">022 ALJ Ruling on August 25, 2022 Suspending GT Program. </w:t>
      </w:r>
    </w:p>
  </w:footnote>
  <w:footnote w:id="42">
    <w:p w14:paraId="1EFB1863" w14:textId="164DF090" w:rsidR="00B35484" w:rsidRDefault="00B35484">
      <w:pPr>
        <w:pStyle w:val="FootnoteText"/>
      </w:pPr>
      <w:r>
        <w:rPr>
          <w:rStyle w:val="FootnoteReference"/>
        </w:rPr>
        <w:footnoteRef/>
      </w:r>
      <w:r>
        <w:t xml:space="preserve"> The reduced comment period on the proposed decision is incorporated in the schedule adopted in the Scoping Memo.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8933" w14:textId="77777777" w:rsidR="009058E2" w:rsidRDefault="00905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7F92" w14:textId="4F9436D2" w:rsidR="00A079A7" w:rsidRDefault="00A079A7" w:rsidP="00A079A7">
    <w:pPr>
      <w:pStyle w:val="Header"/>
      <w:ind w:firstLine="0"/>
    </w:pPr>
    <w:r>
      <w:t xml:space="preserve">A.25-05-012 ALJ/RL8/kp7 </w:t>
    </w:r>
    <w:r>
      <w:tab/>
    </w:r>
    <w:r>
      <w:tab/>
    </w:r>
  </w:p>
  <w:p w14:paraId="0941FE89" w14:textId="77777777" w:rsidR="00A079A7" w:rsidRDefault="00A079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E032" w14:textId="26520573" w:rsidR="00167445" w:rsidRPr="00D944D4" w:rsidRDefault="00167445" w:rsidP="00CD5589">
    <w:pPr>
      <w:pStyle w:val="Header"/>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144E0" w14:textId="1D731277" w:rsidR="00A05690" w:rsidRDefault="00A05690" w:rsidP="00CD5589">
    <w:pPr>
      <w:pStyle w:val="Header"/>
      <w:ind w:firstLine="0"/>
    </w:pPr>
    <w:r>
      <w:t xml:space="preserve">A.25-05-012 ALJ/RL8/kp7 </w:t>
    </w: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E93F" w14:textId="3C1C9DC1" w:rsidR="007D412B" w:rsidRDefault="007D412B" w:rsidP="007D412B">
    <w:pPr>
      <w:pStyle w:val="Header"/>
      <w:ind w:firstLine="0"/>
    </w:pPr>
    <w:r>
      <w:t xml:space="preserve">A.25-05-012 ALJ/RL8/kp7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D4127"/>
    <w:multiLevelType w:val="multilevel"/>
    <w:tmpl w:val="2BB878E6"/>
    <w:lvl w:ilvl="0">
      <w:start w:val="6"/>
      <w:numFmt w:val="decimal"/>
      <w:lvlText w:val="%1"/>
      <w:lvlJc w:val="left"/>
      <w:pPr>
        <w:ind w:left="720" w:hanging="720"/>
      </w:pPr>
      <w:rPr>
        <w:rFonts w:hint="default"/>
      </w:rPr>
    </w:lvl>
    <w:lvl w:ilvl="1">
      <w:start w:val="11"/>
      <w:numFmt w:val="decimal"/>
      <w:lvlText w:val="%1.%2"/>
      <w:lvlJc w:val="left"/>
      <w:pPr>
        <w:ind w:left="1332" w:hanging="720"/>
      </w:pPr>
      <w:rPr>
        <w:rFonts w:hint="default"/>
      </w:rPr>
    </w:lvl>
    <w:lvl w:ilvl="2">
      <w:start w:val="7"/>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E2242C9"/>
    <w:multiLevelType w:val="multilevel"/>
    <w:tmpl w:val="8D8EF8EE"/>
    <w:numStyleLink w:val="Headings"/>
  </w:abstractNum>
  <w:abstractNum w:abstractNumId="5" w15:restartNumberingAfterBreak="0">
    <w:nsid w:val="331F6D42"/>
    <w:multiLevelType w:val="multilevel"/>
    <w:tmpl w:val="8D8EF8EE"/>
    <w:styleLink w:val="Headings"/>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736" w:hanging="1296"/>
      </w:pPr>
      <w:rPr>
        <w:rFonts w:ascii="Arial" w:hAnsi="Arial" w:hint="default"/>
        <w:b/>
        <w:i w:val="0"/>
        <w:sz w:val="26"/>
      </w:rPr>
    </w:lvl>
    <w:lvl w:ilvl="5">
      <w:start w:val="1"/>
      <w:numFmt w:val="decimal"/>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6" w15:restartNumberingAfterBreak="0">
    <w:nsid w:val="33F03033"/>
    <w:multiLevelType w:val="hybridMultilevel"/>
    <w:tmpl w:val="570E1E0E"/>
    <w:lvl w:ilvl="0" w:tplc="3ACC3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776B4F"/>
    <w:multiLevelType w:val="hybridMultilevel"/>
    <w:tmpl w:val="C5D06282"/>
    <w:lvl w:ilvl="0" w:tplc="31F28B7E">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803EA"/>
    <w:multiLevelType w:val="hybridMultilevel"/>
    <w:tmpl w:val="2F58A7FA"/>
    <w:lvl w:ilvl="0" w:tplc="22821B3C">
      <w:start w:val="1"/>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87C13"/>
    <w:multiLevelType w:val="hybridMultilevel"/>
    <w:tmpl w:val="718451AA"/>
    <w:lvl w:ilvl="0" w:tplc="FE140EE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C92D83"/>
    <w:multiLevelType w:val="hybridMultilevel"/>
    <w:tmpl w:val="58F628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647222B3"/>
    <w:multiLevelType w:val="multilevel"/>
    <w:tmpl w:val="09021328"/>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224" w:hanging="749"/>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160"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6F4C0020"/>
    <w:multiLevelType w:val="hybridMultilevel"/>
    <w:tmpl w:val="268C2544"/>
    <w:lvl w:ilvl="0" w:tplc="42C60286">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2E4B99"/>
    <w:multiLevelType w:val="multilevel"/>
    <w:tmpl w:val="5D4A5D4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ind w:left="720" w:firstLine="0"/>
      </w:pPr>
      <w:rPr>
        <w:rFonts w:hint="default"/>
      </w:rPr>
    </w:lvl>
    <w:lvl w:ilvl="7">
      <w:start w:val="1"/>
      <w:numFmt w:val="lowerLetter"/>
      <w:lvlText w:val="%8."/>
      <w:lvlJc w:val="left"/>
      <w:pPr>
        <w:ind w:left="10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75E6514A"/>
    <w:multiLevelType w:val="hybridMultilevel"/>
    <w:tmpl w:val="2070AF1A"/>
    <w:lvl w:ilvl="0" w:tplc="0409000F">
      <w:start w:val="1"/>
      <w:numFmt w:val="decimal"/>
      <w:lvlText w:val="%1."/>
      <w:lvlJc w:val="left"/>
      <w:pPr>
        <w:ind w:left="1915" w:hanging="360"/>
      </w:pPr>
      <w:rPr>
        <w:rFonts w:hint="default"/>
      </w:rPr>
    </w:lvl>
    <w:lvl w:ilvl="1" w:tplc="FFFFFFFF" w:tentative="1">
      <w:start w:val="1"/>
      <w:numFmt w:val="lowerLetter"/>
      <w:lvlText w:val="%2."/>
      <w:lvlJc w:val="left"/>
      <w:pPr>
        <w:ind w:left="2635" w:hanging="360"/>
      </w:pPr>
    </w:lvl>
    <w:lvl w:ilvl="2" w:tplc="FFFFFFFF" w:tentative="1">
      <w:start w:val="1"/>
      <w:numFmt w:val="lowerRoman"/>
      <w:lvlText w:val="%3."/>
      <w:lvlJc w:val="right"/>
      <w:pPr>
        <w:ind w:left="3355" w:hanging="180"/>
      </w:pPr>
    </w:lvl>
    <w:lvl w:ilvl="3" w:tplc="FFFFFFFF" w:tentative="1">
      <w:start w:val="1"/>
      <w:numFmt w:val="decimal"/>
      <w:lvlText w:val="%4."/>
      <w:lvlJc w:val="left"/>
      <w:pPr>
        <w:ind w:left="4075" w:hanging="360"/>
      </w:pPr>
    </w:lvl>
    <w:lvl w:ilvl="4" w:tplc="FFFFFFFF" w:tentative="1">
      <w:start w:val="1"/>
      <w:numFmt w:val="lowerLetter"/>
      <w:lvlText w:val="%5."/>
      <w:lvlJc w:val="left"/>
      <w:pPr>
        <w:ind w:left="4795" w:hanging="360"/>
      </w:pPr>
    </w:lvl>
    <w:lvl w:ilvl="5" w:tplc="FFFFFFFF" w:tentative="1">
      <w:start w:val="1"/>
      <w:numFmt w:val="lowerRoman"/>
      <w:lvlText w:val="%6."/>
      <w:lvlJc w:val="right"/>
      <w:pPr>
        <w:ind w:left="5515" w:hanging="180"/>
      </w:pPr>
    </w:lvl>
    <w:lvl w:ilvl="6" w:tplc="FFFFFFFF" w:tentative="1">
      <w:start w:val="1"/>
      <w:numFmt w:val="decimal"/>
      <w:lvlText w:val="%7."/>
      <w:lvlJc w:val="left"/>
      <w:pPr>
        <w:ind w:left="6235" w:hanging="360"/>
      </w:pPr>
    </w:lvl>
    <w:lvl w:ilvl="7" w:tplc="FFFFFFFF" w:tentative="1">
      <w:start w:val="1"/>
      <w:numFmt w:val="lowerLetter"/>
      <w:lvlText w:val="%8."/>
      <w:lvlJc w:val="left"/>
      <w:pPr>
        <w:ind w:left="6955" w:hanging="360"/>
      </w:pPr>
    </w:lvl>
    <w:lvl w:ilvl="8" w:tplc="FFFFFFFF" w:tentative="1">
      <w:start w:val="1"/>
      <w:numFmt w:val="lowerRoman"/>
      <w:lvlText w:val="%9."/>
      <w:lvlJc w:val="right"/>
      <w:pPr>
        <w:ind w:left="7675" w:hanging="180"/>
      </w:pPr>
    </w:lvl>
  </w:abstractNum>
  <w:abstractNum w:abstractNumId="19" w15:restartNumberingAfterBreak="0">
    <w:nsid w:val="789A0AFE"/>
    <w:multiLevelType w:val="multilevel"/>
    <w:tmpl w:val="18F4A5AC"/>
    <w:numStyleLink w:val="FoFCoLOP"/>
  </w:abstractNum>
  <w:abstractNum w:abstractNumId="20" w15:restartNumberingAfterBreak="0">
    <w:nsid w:val="7E1C5316"/>
    <w:multiLevelType w:val="hybridMultilevel"/>
    <w:tmpl w:val="7D604ED4"/>
    <w:lvl w:ilvl="0" w:tplc="CC9AACDC">
      <w:start w:val="1"/>
      <w:numFmt w:val="decimal"/>
      <w:lvlText w:val="(%1)"/>
      <w:lvlJc w:val="left"/>
      <w:pPr>
        <w:ind w:left="1915" w:hanging="360"/>
      </w:pPr>
      <w:rPr>
        <w:rFonts w:hint="default"/>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21" w15:restartNumberingAfterBreak="0">
    <w:nsid w:val="7E2763C9"/>
    <w:multiLevelType w:val="hybridMultilevel"/>
    <w:tmpl w:val="F6584D20"/>
    <w:lvl w:ilvl="0" w:tplc="B72ECD7E">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1549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706113">
    <w:abstractNumId w:val="2"/>
  </w:num>
  <w:num w:numId="3" w16cid:durableId="23214063">
    <w:abstractNumId w:val="10"/>
  </w:num>
  <w:num w:numId="4" w16cid:durableId="1192263537">
    <w:abstractNumId w:val="3"/>
    <w:lvlOverride w:ilvl="0">
      <w:lvl w:ilvl="0">
        <w:start w:val="1"/>
        <w:numFmt w:val="decimal"/>
        <w:pStyle w:val="CoL"/>
        <w:lvlText w:val="%1."/>
        <w:lvlJc w:val="right"/>
        <w:pPr>
          <w:ind w:left="0" w:firstLine="540"/>
        </w:pPr>
        <w:rPr>
          <w:rFonts w:hint="default"/>
          <w:color w:val="auto"/>
        </w:rPr>
      </w:lvl>
    </w:lvlOverride>
  </w:num>
  <w:num w:numId="5" w16cid:durableId="1799835810">
    <w:abstractNumId w:val="19"/>
  </w:num>
  <w:num w:numId="6" w16cid:durableId="1874147342">
    <w:abstractNumId w:val="5"/>
  </w:num>
  <w:num w:numId="7" w16cid:durableId="1772241983">
    <w:abstractNumId w:val="4"/>
  </w:num>
  <w:num w:numId="8" w16cid:durableId="1913931732">
    <w:abstractNumId w:val="16"/>
  </w:num>
  <w:num w:numId="9" w16cid:durableId="633295521">
    <w:abstractNumId w:val="0"/>
  </w:num>
  <w:num w:numId="10" w16cid:durableId="915936059">
    <w:abstractNumId w:val="5"/>
    <w:lvlOverride w:ilvl="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736" w:hanging="1296"/>
        </w:pPr>
        <w:rPr>
          <w:rFonts w:ascii="Arial" w:hAnsi="Arial" w:hint="default"/>
          <w:b/>
          <w:i w:val="0"/>
          <w:sz w:val="26"/>
        </w:rPr>
      </w:lvl>
    </w:lvlOverride>
    <w:lvlOverride w:ilvl="5">
      <w:lvl w:ilvl="5">
        <w:start w:val="1"/>
        <w:numFmt w:val="decimal"/>
        <w:lvlText w:val="%1.%2.%3.%4.%5.%6."/>
        <w:lvlJc w:val="left"/>
        <w:pPr>
          <w:tabs>
            <w:tab w:val="num" w:pos="3600"/>
          </w:tabs>
          <w:ind w:left="3312" w:hanging="1512"/>
        </w:pPr>
        <w:rPr>
          <w:rFonts w:ascii="Arial" w:hAnsi="Arial" w:hint="default"/>
          <w:b/>
          <w:i w:val="0"/>
          <w:sz w:val="26"/>
        </w:rPr>
      </w:lvl>
    </w:lvlOverride>
    <w:lvlOverride w:ilvl="6">
      <w:lvl w:ilvl="6">
        <w:start w:val="1"/>
        <w:numFmt w:val="decimal"/>
        <w:lvlText w:val="%1.%2.%3.%4.%5.%6.%7."/>
        <w:lvlJc w:val="left"/>
        <w:pPr>
          <w:tabs>
            <w:tab w:val="num" w:pos="4320"/>
          </w:tabs>
          <w:ind w:left="5760" w:hanging="1440"/>
        </w:pPr>
        <w:rPr>
          <w:rFonts w:ascii="Arial" w:hAnsi="Arial" w:hint="default"/>
          <w:b/>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1" w16cid:durableId="1068914955">
    <w:abstractNumId w:val="11"/>
  </w:num>
  <w:num w:numId="12" w16cid:durableId="506603570">
    <w:abstractNumId w:val="13"/>
  </w:num>
  <w:num w:numId="13" w16cid:durableId="1866212981">
    <w:abstractNumId w:val="5"/>
    <w:lvlOverride w:ilvl="0">
      <w:startOverride w:val="1"/>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lvlText w:val="%1.%2.%3.%4.%5."/>
        <w:lvlJc w:val="left"/>
        <w:pPr>
          <w:tabs>
            <w:tab w:val="num" w:pos="2880"/>
          </w:tabs>
          <w:ind w:left="2736" w:hanging="1296"/>
        </w:pPr>
        <w:rPr>
          <w:rFonts w:ascii="Arial" w:hAnsi="Arial" w:hint="default"/>
          <w:b/>
          <w:i w:val="0"/>
          <w:sz w:val="26"/>
        </w:rPr>
      </w:lvl>
    </w:lvlOverride>
    <w:lvlOverride w:ilvl="5">
      <w:startOverride w:val="1"/>
      <w:lvl w:ilvl="5">
        <w:start w:val="1"/>
        <w:numFmt w:val="decimal"/>
        <w:lvlText w:val="%1.%2.%3.%4.%5.%6."/>
        <w:lvlJc w:val="left"/>
        <w:pPr>
          <w:tabs>
            <w:tab w:val="num" w:pos="3600"/>
          </w:tabs>
          <w:ind w:left="3312" w:hanging="1512"/>
        </w:pPr>
        <w:rPr>
          <w:rFonts w:ascii="Arial" w:hAnsi="Arial" w:hint="default"/>
          <w:b/>
          <w:i w:val="0"/>
          <w:sz w:val="26"/>
        </w:rPr>
      </w:lvl>
    </w:lvlOverride>
    <w:lvlOverride w:ilvl="6">
      <w:startOverride w:val="1"/>
      <w:lvl w:ilvl="6">
        <w:start w:val="1"/>
        <w:numFmt w:val="decimal"/>
        <w:lvlText w:val="%1.%2.%3.%4.%5.%6.%7."/>
        <w:lvlJc w:val="left"/>
        <w:pPr>
          <w:tabs>
            <w:tab w:val="num" w:pos="4320"/>
          </w:tabs>
          <w:ind w:left="5760" w:hanging="1440"/>
        </w:pPr>
        <w:rPr>
          <w:rFonts w:ascii="Arial" w:hAnsi="Arial" w:hint="default"/>
          <w:b/>
          <w:i w:val="0"/>
          <w:sz w:val="26"/>
        </w:rPr>
      </w:lvl>
    </w:lvlOverride>
    <w:lvlOverride w:ilvl="7">
      <w:startOverride w:val="1"/>
      <w:lvl w:ilvl="7">
        <w:start w:val="1"/>
        <w:numFmt w:val="lowerLetter"/>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940332923">
    <w:abstractNumId w:val="14"/>
  </w:num>
  <w:num w:numId="15" w16cid:durableId="12896287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01606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7864666">
    <w:abstractNumId w:val="13"/>
    <w:lvlOverride w:ilvl="0">
      <w:lvl w:ilvl="0">
        <w:start w:val="1"/>
        <w:numFmt w:val="decimal"/>
        <w:lvlText w:val="%1."/>
        <w:lvlJc w:val="left"/>
        <w:pPr>
          <w:tabs>
            <w:tab w:val="num" w:pos="720"/>
          </w:tabs>
          <w:ind w:left="720" w:hanging="720"/>
        </w:pPr>
      </w:lvl>
    </w:lvlOverride>
    <w:lvlOverride w:ilvl="6">
      <w:lvl w:ilvl="6">
        <w:start w:val="1"/>
        <w:numFmt w:val="decimal"/>
        <w:lvlText w:val="%7."/>
        <w:lvlJc w:val="left"/>
        <w:pPr>
          <w:ind w:left="720" w:firstLine="0"/>
        </w:pPr>
      </w:lvl>
    </w:lvlOverride>
    <w:lvlOverride w:ilvl="7">
      <w:lvl w:ilvl="7">
        <w:start w:val="1"/>
        <w:numFmt w:val="lowerLetter"/>
        <w:lvlText w:val="%8."/>
        <w:lvlJc w:val="left"/>
        <w:pPr>
          <w:ind w:left="1080" w:hanging="360"/>
        </w:pPr>
      </w:lvl>
    </w:lvlOverride>
  </w:num>
  <w:num w:numId="18" w16cid:durableId="594941188">
    <w:abstractNumId w:val="20"/>
  </w:num>
  <w:num w:numId="19" w16cid:durableId="458302866">
    <w:abstractNumId w:val="6"/>
  </w:num>
  <w:num w:numId="20" w16cid:durableId="451635659">
    <w:abstractNumId w:val="9"/>
  </w:num>
  <w:num w:numId="21" w16cid:durableId="1675376779">
    <w:abstractNumId w:val="17"/>
  </w:num>
  <w:num w:numId="22" w16cid:durableId="399988006">
    <w:abstractNumId w:val="12"/>
  </w:num>
  <w:num w:numId="23" w16cid:durableId="1356924774">
    <w:abstractNumId w:val="3"/>
    <w:lvlOverride w:ilvl="0">
      <w:lvl w:ilvl="0">
        <w:start w:val="1"/>
        <w:numFmt w:val="decimal"/>
        <w:pStyle w:val="CoL"/>
        <w:lvlText w:val="%1."/>
        <w:lvlJc w:val="right"/>
        <w:pPr>
          <w:ind w:left="0" w:firstLine="540"/>
        </w:pPr>
        <w:rPr>
          <w:rFonts w:hint="default"/>
          <w:color w:val="auto"/>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24" w16cid:durableId="1495341599">
    <w:abstractNumId w:val="3"/>
    <w:lvlOverride w:ilvl="0">
      <w:startOverride w:val="1"/>
      <w:lvl w:ilvl="0">
        <w:start w:val="1"/>
        <w:numFmt w:val="decimal"/>
        <w:pStyle w:val="CoL"/>
        <w:lvlText w:val="%1."/>
        <w:lvlJc w:val="right"/>
        <w:pPr>
          <w:ind w:left="0" w:firstLine="540"/>
        </w:pPr>
        <w:rPr>
          <w:rFonts w:hint="default"/>
          <w:color w:val="auto"/>
        </w:rPr>
      </w:lvl>
    </w:lvlOverride>
    <w:lvlOverride w:ilvl="1">
      <w:startOverride w:val="1"/>
      <w:lvl w:ilvl="1">
        <w:start w:val="1"/>
        <w:numFmt w:val="lowerLetter"/>
        <w:lvlText w:val="(%2)"/>
        <w:lvlJc w:val="right"/>
        <w:pPr>
          <w:ind w:left="1152" w:hanging="72"/>
        </w:pPr>
        <w:rPr>
          <w:rFonts w:hint="default"/>
        </w:rPr>
      </w:lvl>
    </w:lvlOverride>
    <w:lvlOverride w:ilvl="2">
      <w:startOverride w:val="1"/>
      <w:lvl w:ilvl="2">
        <w:start w:val="1"/>
        <w:numFmt w:val="none"/>
        <w:lvlText w:val=""/>
        <w:lvlJc w:val="left"/>
        <w:pPr>
          <w:ind w:left="720" w:firstLine="0"/>
        </w:pPr>
        <w:rPr>
          <w:rFonts w:hint="default"/>
        </w:rPr>
      </w:lvl>
    </w:lvlOverride>
    <w:lvlOverride w:ilvl="3">
      <w:startOverride w:val="1"/>
      <w:lvl w:ilvl="3">
        <w:start w:val="1"/>
        <w:numFmt w:val="none"/>
        <w:lvlText w:val=""/>
        <w:lvlJc w:val="left"/>
        <w:pPr>
          <w:ind w:left="720" w:firstLine="0"/>
        </w:pPr>
        <w:rPr>
          <w:rFonts w:hint="default"/>
        </w:rPr>
      </w:lvl>
    </w:lvlOverride>
    <w:lvlOverride w:ilvl="4">
      <w:startOverride w:val="1"/>
      <w:lvl w:ilvl="4">
        <w:start w:val="1"/>
        <w:numFmt w:val="none"/>
        <w:lvlText w:val=""/>
        <w:lvlJc w:val="left"/>
        <w:pPr>
          <w:ind w:left="720" w:firstLine="0"/>
        </w:pPr>
        <w:rPr>
          <w:rFonts w:hint="default"/>
        </w:rPr>
      </w:lvl>
    </w:lvlOverride>
    <w:lvlOverride w:ilvl="5">
      <w:startOverride w:val="1"/>
      <w:lvl w:ilvl="5">
        <w:start w:val="1"/>
        <w:numFmt w:val="none"/>
        <w:lvlText w:val=""/>
        <w:lvlJc w:val="left"/>
        <w:pPr>
          <w:ind w:left="720" w:firstLine="0"/>
        </w:pPr>
        <w:rPr>
          <w:rFonts w:hint="default"/>
        </w:rPr>
      </w:lvl>
    </w:lvlOverride>
    <w:lvlOverride w:ilvl="6">
      <w:startOverride w:val="1"/>
      <w:lvl w:ilvl="6">
        <w:start w:val="1"/>
        <w:numFmt w:val="none"/>
        <w:lvlText w:val=""/>
        <w:lvlJc w:val="left"/>
        <w:pPr>
          <w:ind w:left="720" w:firstLine="0"/>
        </w:pPr>
        <w:rPr>
          <w:rFonts w:hint="default"/>
        </w:rPr>
      </w:lvl>
    </w:lvlOverride>
    <w:lvlOverride w:ilvl="7">
      <w:startOverride w:val="1"/>
      <w:lvl w:ilvl="7">
        <w:start w:val="1"/>
        <w:numFmt w:val="none"/>
        <w:lvlText w:val=""/>
        <w:lvlJc w:val="left"/>
        <w:pPr>
          <w:ind w:left="720" w:firstLine="0"/>
        </w:pPr>
        <w:rPr>
          <w:rFonts w:hint="default"/>
        </w:rPr>
      </w:lvl>
    </w:lvlOverride>
    <w:lvlOverride w:ilvl="8">
      <w:startOverride w:val="1"/>
      <w:lvl w:ilvl="8">
        <w:start w:val="1"/>
        <w:numFmt w:val="none"/>
        <w:lvlText w:val=""/>
        <w:lvlJc w:val="left"/>
        <w:pPr>
          <w:ind w:left="720" w:firstLine="0"/>
        </w:pPr>
        <w:rPr>
          <w:rFonts w:hint="default"/>
        </w:rPr>
      </w:lvl>
    </w:lvlOverride>
  </w:num>
  <w:num w:numId="25" w16cid:durableId="1454329247">
    <w:abstractNumId w:val="18"/>
  </w:num>
  <w:num w:numId="26" w16cid:durableId="1301881588">
    <w:abstractNumId w:val="15"/>
  </w:num>
  <w:num w:numId="27" w16cid:durableId="1357779937">
    <w:abstractNumId w:val="21"/>
  </w:num>
  <w:num w:numId="28" w16cid:durableId="963118897">
    <w:abstractNumId w:val="7"/>
  </w:num>
  <w:num w:numId="29" w16cid:durableId="1146430310">
    <w:abstractNumId w:val="1"/>
  </w:num>
  <w:num w:numId="30" w16cid:durableId="1765493644">
    <w:abstractNumId w:val="8"/>
  </w:num>
  <w:num w:numId="31" w16cid:durableId="1298533189">
    <w:abstractNumId w:val="14"/>
  </w:num>
  <w:num w:numId="32" w16cid:durableId="52075157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01"/>
    <w:rsid w:val="00000F6A"/>
    <w:rsid w:val="00003205"/>
    <w:rsid w:val="00006EAF"/>
    <w:rsid w:val="00016C34"/>
    <w:rsid w:val="000206D2"/>
    <w:rsid w:val="0002179A"/>
    <w:rsid w:val="00026FB3"/>
    <w:rsid w:val="00027398"/>
    <w:rsid w:val="0002761F"/>
    <w:rsid w:val="00031AFB"/>
    <w:rsid w:val="00032D0A"/>
    <w:rsid w:val="00033377"/>
    <w:rsid w:val="00036F5F"/>
    <w:rsid w:val="000400FE"/>
    <w:rsid w:val="000441F7"/>
    <w:rsid w:val="0005161C"/>
    <w:rsid w:val="000558BF"/>
    <w:rsid w:val="000559C4"/>
    <w:rsid w:val="0006164A"/>
    <w:rsid w:val="000619C5"/>
    <w:rsid w:val="00061FA3"/>
    <w:rsid w:val="0006684F"/>
    <w:rsid w:val="00067802"/>
    <w:rsid w:val="00070185"/>
    <w:rsid w:val="0007115A"/>
    <w:rsid w:val="00073497"/>
    <w:rsid w:val="00073761"/>
    <w:rsid w:val="00074E23"/>
    <w:rsid w:val="00081B6F"/>
    <w:rsid w:val="00084801"/>
    <w:rsid w:val="000869D7"/>
    <w:rsid w:val="00087A22"/>
    <w:rsid w:val="00095E60"/>
    <w:rsid w:val="00096FB7"/>
    <w:rsid w:val="000973C8"/>
    <w:rsid w:val="000A2AA9"/>
    <w:rsid w:val="000A357C"/>
    <w:rsid w:val="000A56F2"/>
    <w:rsid w:val="000A5C89"/>
    <w:rsid w:val="000A6E05"/>
    <w:rsid w:val="000B0CF3"/>
    <w:rsid w:val="000B12FA"/>
    <w:rsid w:val="000B14B4"/>
    <w:rsid w:val="000B1C98"/>
    <w:rsid w:val="000B5871"/>
    <w:rsid w:val="000B79E0"/>
    <w:rsid w:val="000C08BF"/>
    <w:rsid w:val="000C19CA"/>
    <w:rsid w:val="000C3B9A"/>
    <w:rsid w:val="000C5337"/>
    <w:rsid w:val="000D25A8"/>
    <w:rsid w:val="000D3AD0"/>
    <w:rsid w:val="000D3CB8"/>
    <w:rsid w:val="000D4C2E"/>
    <w:rsid w:val="000D6123"/>
    <w:rsid w:val="000E02B0"/>
    <w:rsid w:val="000E4C53"/>
    <w:rsid w:val="000E5771"/>
    <w:rsid w:val="000F03C9"/>
    <w:rsid w:val="000F2448"/>
    <w:rsid w:val="000F2596"/>
    <w:rsid w:val="000F2688"/>
    <w:rsid w:val="000F5A79"/>
    <w:rsid w:val="000F6723"/>
    <w:rsid w:val="00100E71"/>
    <w:rsid w:val="00102066"/>
    <w:rsid w:val="001031AC"/>
    <w:rsid w:val="00103430"/>
    <w:rsid w:val="001035BA"/>
    <w:rsid w:val="0011146A"/>
    <w:rsid w:val="001128C5"/>
    <w:rsid w:val="00115931"/>
    <w:rsid w:val="00116648"/>
    <w:rsid w:val="00121089"/>
    <w:rsid w:val="001211BE"/>
    <w:rsid w:val="00122C89"/>
    <w:rsid w:val="001245EE"/>
    <w:rsid w:val="00134D66"/>
    <w:rsid w:val="00135CA3"/>
    <w:rsid w:val="00142A39"/>
    <w:rsid w:val="00142AE5"/>
    <w:rsid w:val="00145A9D"/>
    <w:rsid w:val="00154040"/>
    <w:rsid w:val="00157B6C"/>
    <w:rsid w:val="00167445"/>
    <w:rsid w:val="0017044F"/>
    <w:rsid w:val="001709D8"/>
    <w:rsid w:val="001719E1"/>
    <w:rsid w:val="001820B2"/>
    <w:rsid w:val="00182F30"/>
    <w:rsid w:val="001842ED"/>
    <w:rsid w:val="00184B1D"/>
    <w:rsid w:val="0018551A"/>
    <w:rsid w:val="00185B7F"/>
    <w:rsid w:val="001959CC"/>
    <w:rsid w:val="00196793"/>
    <w:rsid w:val="001A736D"/>
    <w:rsid w:val="001A7871"/>
    <w:rsid w:val="001B0332"/>
    <w:rsid w:val="001B1D36"/>
    <w:rsid w:val="001B77D6"/>
    <w:rsid w:val="001C04DE"/>
    <w:rsid w:val="001C363F"/>
    <w:rsid w:val="001C4234"/>
    <w:rsid w:val="001D24A0"/>
    <w:rsid w:val="001D44DD"/>
    <w:rsid w:val="001D7531"/>
    <w:rsid w:val="001E2A62"/>
    <w:rsid w:val="001E3891"/>
    <w:rsid w:val="001E566A"/>
    <w:rsid w:val="001F0A5B"/>
    <w:rsid w:val="001F21D1"/>
    <w:rsid w:val="001F2819"/>
    <w:rsid w:val="001F6075"/>
    <w:rsid w:val="0020349F"/>
    <w:rsid w:val="002043EC"/>
    <w:rsid w:val="00207A7A"/>
    <w:rsid w:val="002102E7"/>
    <w:rsid w:val="00210529"/>
    <w:rsid w:val="002120E1"/>
    <w:rsid w:val="002125D1"/>
    <w:rsid w:val="00212619"/>
    <w:rsid w:val="00216541"/>
    <w:rsid w:val="002204C1"/>
    <w:rsid w:val="00222611"/>
    <w:rsid w:val="002246FF"/>
    <w:rsid w:val="002303A1"/>
    <w:rsid w:val="00230733"/>
    <w:rsid w:val="00232A92"/>
    <w:rsid w:val="002343A4"/>
    <w:rsid w:val="002365E4"/>
    <w:rsid w:val="00243626"/>
    <w:rsid w:val="00243DC0"/>
    <w:rsid w:val="002455BC"/>
    <w:rsid w:val="00247477"/>
    <w:rsid w:val="002564B7"/>
    <w:rsid w:val="00261A3B"/>
    <w:rsid w:val="00262034"/>
    <w:rsid w:val="00262038"/>
    <w:rsid w:val="00264A56"/>
    <w:rsid w:val="00267312"/>
    <w:rsid w:val="0026786F"/>
    <w:rsid w:val="00267EC9"/>
    <w:rsid w:val="00270440"/>
    <w:rsid w:val="00274DE2"/>
    <w:rsid w:val="00275250"/>
    <w:rsid w:val="00276A01"/>
    <w:rsid w:val="0027790E"/>
    <w:rsid w:val="00282901"/>
    <w:rsid w:val="002839AF"/>
    <w:rsid w:val="00285B87"/>
    <w:rsid w:val="002864BD"/>
    <w:rsid w:val="0028658C"/>
    <w:rsid w:val="00290A97"/>
    <w:rsid w:val="0029143C"/>
    <w:rsid w:val="002921F6"/>
    <w:rsid w:val="0029299E"/>
    <w:rsid w:val="00293305"/>
    <w:rsid w:val="00293331"/>
    <w:rsid w:val="00293DEE"/>
    <w:rsid w:val="002A0B5D"/>
    <w:rsid w:val="002A1685"/>
    <w:rsid w:val="002A29FD"/>
    <w:rsid w:val="002A430B"/>
    <w:rsid w:val="002A46BF"/>
    <w:rsid w:val="002A4FF8"/>
    <w:rsid w:val="002A55D6"/>
    <w:rsid w:val="002A5B18"/>
    <w:rsid w:val="002B112E"/>
    <w:rsid w:val="002B361E"/>
    <w:rsid w:val="002B405C"/>
    <w:rsid w:val="002B4601"/>
    <w:rsid w:val="002B4B77"/>
    <w:rsid w:val="002B4DC0"/>
    <w:rsid w:val="002B618C"/>
    <w:rsid w:val="002B68BB"/>
    <w:rsid w:val="002C0BF2"/>
    <w:rsid w:val="002C0D6D"/>
    <w:rsid w:val="002C16FA"/>
    <w:rsid w:val="002C4E46"/>
    <w:rsid w:val="002C64C9"/>
    <w:rsid w:val="002C7FE9"/>
    <w:rsid w:val="002D09BF"/>
    <w:rsid w:val="002D16CB"/>
    <w:rsid w:val="002D482E"/>
    <w:rsid w:val="002D4EFD"/>
    <w:rsid w:val="002E2088"/>
    <w:rsid w:val="002E3744"/>
    <w:rsid w:val="002E558A"/>
    <w:rsid w:val="002E59D6"/>
    <w:rsid w:val="002E5C47"/>
    <w:rsid w:val="002E6A66"/>
    <w:rsid w:val="002F08EB"/>
    <w:rsid w:val="002F2EBE"/>
    <w:rsid w:val="002F3441"/>
    <w:rsid w:val="002F4CB3"/>
    <w:rsid w:val="002F69E1"/>
    <w:rsid w:val="002F6FAA"/>
    <w:rsid w:val="0030576C"/>
    <w:rsid w:val="00305964"/>
    <w:rsid w:val="003140F3"/>
    <w:rsid w:val="003141E7"/>
    <w:rsid w:val="00315DE2"/>
    <w:rsid w:val="00316071"/>
    <w:rsid w:val="0032212D"/>
    <w:rsid w:val="00324099"/>
    <w:rsid w:val="003253D7"/>
    <w:rsid w:val="00330D7D"/>
    <w:rsid w:val="00331A5A"/>
    <w:rsid w:val="003348F7"/>
    <w:rsid w:val="00336F90"/>
    <w:rsid w:val="00337E0F"/>
    <w:rsid w:val="00343E5C"/>
    <w:rsid w:val="003467D7"/>
    <w:rsid w:val="003509E6"/>
    <w:rsid w:val="00350BC0"/>
    <w:rsid w:val="003562B8"/>
    <w:rsid w:val="0036017B"/>
    <w:rsid w:val="003611CA"/>
    <w:rsid w:val="00362755"/>
    <w:rsid w:val="00364651"/>
    <w:rsid w:val="00370C3B"/>
    <w:rsid w:val="00372D7A"/>
    <w:rsid w:val="00373B93"/>
    <w:rsid w:val="003753C9"/>
    <w:rsid w:val="00375B67"/>
    <w:rsid w:val="00376027"/>
    <w:rsid w:val="003766C1"/>
    <w:rsid w:val="003769FC"/>
    <w:rsid w:val="003773FC"/>
    <w:rsid w:val="003834C9"/>
    <w:rsid w:val="00385C4A"/>
    <w:rsid w:val="00387094"/>
    <w:rsid w:val="003875D0"/>
    <w:rsid w:val="00391EE0"/>
    <w:rsid w:val="003937A5"/>
    <w:rsid w:val="00395182"/>
    <w:rsid w:val="0039690B"/>
    <w:rsid w:val="003978E9"/>
    <w:rsid w:val="003A0B19"/>
    <w:rsid w:val="003A19DD"/>
    <w:rsid w:val="003A38F0"/>
    <w:rsid w:val="003A4BFB"/>
    <w:rsid w:val="003A520E"/>
    <w:rsid w:val="003A6254"/>
    <w:rsid w:val="003A6D60"/>
    <w:rsid w:val="003A7050"/>
    <w:rsid w:val="003B15DB"/>
    <w:rsid w:val="003B222D"/>
    <w:rsid w:val="003B353B"/>
    <w:rsid w:val="003B6E36"/>
    <w:rsid w:val="003B77CF"/>
    <w:rsid w:val="003C0F85"/>
    <w:rsid w:val="003C1625"/>
    <w:rsid w:val="003C36CF"/>
    <w:rsid w:val="003D242D"/>
    <w:rsid w:val="003D401C"/>
    <w:rsid w:val="003D450B"/>
    <w:rsid w:val="003D6300"/>
    <w:rsid w:val="003D69A4"/>
    <w:rsid w:val="003D6D68"/>
    <w:rsid w:val="003E1065"/>
    <w:rsid w:val="003E1C04"/>
    <w:rsid w:val="003F1016"/>
    <w:rsid w:val="003F33AE"/>
    <w:rsid w:val="003F4329"/>
    <w:rsid w:val="003F55EE"/>
    <w:rsid w:val="003F5B23"/>
    <w:rsid w:val="00400415"/>
    <w:rsid w:val="00411C88"/>
    <w:rsid w:val="00412534"/>
    <w:rsid w:val="00412C83"/>
    <w:rsid w:val="00413CA0"/>
    <w:rsid w:val="00413EF3"/>
    <w:rsid w:val="00414404"/>
    <w:rsid w:val="00416558"/>
    <w:rsid w:val="00424811"/>
    <w:rsid w:val="004249FC"/>
    <w:rsid w:val="00424DC7"/>
    <w:rsid w:val="004255B7"/>
    <w:rsid w:val="00426014"/>
    <w:rsid w:val="00426227"/>
    <w:rsid w:val="00426477"/>
    <w:rsid w:val="0042656C"/>
    <w:rsid w:val="00426F37"/>
    <w:rsid w:val="004303D8"/>
    <w:rsid w:val="0043283D"/>
    <w:rsid w:val="004350EB"/>
    <w:rsid w:val="0043527D"/>
    <w:rsid w:val="00436282"/>
    <w:rsid w:val="00437F51"/>
    <w:rsid w:val="004419B3"/>
    <w:rsid w:val="00441AFE"/>
    <w:rsid w:val="00442B54"/>
    <w:rsid w:val="00443F36"/>
    <w:rsid w:val="00447707"/>
    <w:rsid w:val="00447A55"/>
    <w:rsid w:val="0045512C"/>
    <w:rsid w:val="00460486"/>
    <w:rsid w:val="00460B7D"/>
    <w:rsid w:val="00463393"/>
    <w:rsid w:val="0046678C"/>
    <w:rsid w:val="00467986"/>
    <w:rsid w:val="00470622"/>
    <w:rsid w:val="00472E9E"/>
    <w:rsid w:val="00474165"/>
    <w:rsid w:val="00474F0B"/>
    <w:rsid w:val="00480CB0"/>
    <w:rsid w:val="00483432"/>
    <w:rsid w:val="00484533"/>
    <w:rsid w:val="00490CC3"/>
    <w:rsid w:val="00493E32"/>
    <w:rsid w:val="004957B6"/>
    <w:rsid w:val="004A0EA8"/>
    <w:rsid w:val="004A2F8D"/>
    <w:rsid w:val="004A3A27"/>
    <w:rsid w:val="004A4272"/>
    <w:rsid w:val="004B1AB2"/>
    <w:rsid w:val="004B34EA"/>
    <w:rsid w:val="004B5494"/>
    <w:rsid w:val="004B77E0"/>
    <w:rsid w:val="004C048A"/>
    <w:rsid w:val="004C1168"/>
    <w:rsid w:val="004C215B"/>
    <w:rsid w:val="004C2E67"/>
    <w:rsid w:val="004C7D3A"/>
    <w:rsid w:val="004D7BC6"/>
    <w:rsid w:val="004E0A09"/>
    <w:rsid w:val="004E1313"/>
    <w:rsid w:val="004E154C"/>
    <w:rsid w:val="004E1D66"/>
    <w:rsid w:val="004E2FAD"/>
    <w:rsid w:val="004E372F"/>
    <w:rsid w:val="004F3D04"/>
    <w:rsid w:val="004F7132"/>
    <w:rsid w:val="005018A8"/>
    <w:rsid w:val="005023C0"/>
    <w:rsid w:val="00503F31"/>
    <w:rsid w:val="0050463A"/>
    <w:rsid w:val="00505A39"/>
    <w:rsid w:val="005064BE"/>
    <w:rsid w:val="00507C97"/>
    <w:rsid w:val="0051326D"/>
    <w:rsid w:val="00513DD6"/>
    <w:rsid w:val="00521A39"/>
    <w:rsid w:val="005240BF"/>
    <w:rsid w:val="00526252"/>
    <w:rsid w:val="00526A60"/>
    <w:rsid w:val="00527239"/>
    <w:rsid w:val="00532B5D"/>
    <w:rsid w:val="00532CE2"/>
    <w:rsid w:val="00532E37"/>
    <w:rsid w:val="005346FD"/>
    <w:rsid w:val="00537894"/>
    <w:rsid w:val="00542DA2"/>
    <w:rsid w:val="00545C7F"/>
    <w:rsid w:val="00546240"/>
    <w:rsid w:val="00547A89"/>
    <w:rsid w:val="00547CDD"/>
    <w:rsid w:val="00550460"/>
    <w:rsid w:val="00552652"/>
    <w:rsid w:val="005535F1"/>
    <w:rsid w:val="005542DE"/>
    <w:rsid w:val="00561255"/>
    <w:rsid w:val="005622C0"/>
    <w:rsid w:val="00564F56"/>
    <w:rsid w:val="00566CCC"/>
    <w:rsid w:val="00567736"/>
    <w:rsid w:val="005752DB"/>
    <w:rsid w:val="005808EF"/>
    <w:rsid w:val="00580A0F"/>
    <w:rsid w:val="00582E5F"/>
    <w:rsid w:val="00584ED0"/>
    <w:rsid w:val="00585390"/>
    <w:rsid w:val="00587218"/>
    <w:rsid w:val="00591B23"/>
    <w:rsid w:val="005939A5"/>
    <w:rsid w:val="005952AE"/>
    <w:rsid w:val="005A06AD"/>
    <w:rsid w:val="005A148C"/>
    <w:rsid w:val="005A3C70"/>
    <w:rsid w:val="005A7DF1"/>
    <w:rsid w:val="005A7E7D"/>
    <w:rsid w:val="005B23D3"/>
    <w:rsid w:val="005B3DE6"/>
    <w:rsid w:val="005C2105"/>
    <w:rsid w:val="005C3C0B"/>
    <w:rsid w:val="005D3798"/>
    <w:rsid w:val="005D3A69"/>
    <w:rsid w:val="005D6EC0"/>
    <w:rsid w:val="005E7CC7"/>
    <w:rsid w:val="005E7E15"/>
    <w:rsid w:val="005F0ACF"/>
    <w:rsid w:val="005F1C79"/>
    <w:rsid w:val="005F2B02"/>
    <w:rsid w:val="005F382A"/>
    <w:rsid w:val="005F52E8"/>
    <w:rsid w:val="00602965"/>
    <w:rsid w:val="00602C49"/>
    <w:rsid w:val="0060437B"/>
    <w:rsid w:val="006047EB"/>
    <w:rsid w:val="00605271"/>
    <w:rsid w:val="00613D8D"/>
    <w:rsid w:val="006165D6"/>
    <w:rsid w:val="00616C0C"/>
    <w:rsid w:val="00620461"/>
    <w:rsid w:val="00620AAC"/>
    <w:rsid w:val="00620D1C"/>
    <w:rsid w:val="00621D07"/>
    <w:rsid w:val="00624500"/>
    <w:rsid w:val="006257CB"/>
    <w:rsid w:val="0063080B"/>
    <w:rsid w:val="0063185E"/>
    <w:rsid w:val="006318FD"/>
    <w:rsid w:val="00631CC9"/>
    <w:rsid w:val="00632207"/>
    <w:rsid w:val="00632CE9"/>
    <w:rsid w:val="006334BE"/>
    <w:rsid w:val="0063491C"/>
    <w:rsid w:val="00634D6F"/>
    <w:rsid w:val="006369F9"/>
    <w:rsid w:val="006375E1"/>
    <w:rsid w:val="00640313"/>
    <w:rsid w:val="00641E2E"/>
    <w:rsid w:val="006455C3"/>
    <w:rsid w:val="006468A9"/>
    <w:rsid w:val="006534AC"/>
    <w:rsid w:val="00656114"/>
    <w:rsid w:val="00656C87"/>
    <w:rsid w:val="00662004"/>
    <w:rsid w:val="006626AA"/>
    <w:rsid w:val="00673491"/>
    <w:rsid w:val="00682EA0"/>
    <w:rsid w:val="00683A10"/>
    <w:rsid w:val="00684215"/>
    <w:rsid w:val="00684FD8"/>
    <w:rsid w:val="00685372"/>
    <w:rsid w:val="006918DC"/>
    <w:rsid w:val="00693BD6"/>
    <w:rsid w:val="00695934"/>
    <w:rsid w:val="0069634D"/>
    <w:rsid w:val="00696679"/>
    <w:rsid w:val="006A04BF"/>
    <w:rsid w:val="006A28A5"/>
    <w:rsid w:val="006A36F4"/>
    <w:rsid w:val="006A7715"/>
    <w:rsid w:val="006A7A68"/>
    <w:rsid w:val="006B0354"/>
    <w:rsid w:val="006B0515"/>
    <w:rsid w:val="006B2FAA"/>
    <w:rsid w:val="006B423D"/>
    <w:rsid w:val="006B7A11"/>
    <w:rsid w:val="006C2726"/>
    <w:rsid w:val="006C3AFE"/>
    <w:rsid w:val="006C4AD9"/>
    <w:rsid w:val="006D031E"/>
    <w:rsid w:val="006D29F5"/>
    <w:rsid w:val="006D5A45"/>
    <w:rsid w:val="006D7E57"/>
    <w:rsid w:val="006E10C1"/>
    <w:rsid w:val="006E2308"/>
    <w:rsid w:val="006E52E8"/>
    <w:rsid w:val="006E5E28"/>
    <w:rsid w:val="006E6574"/>
    <w:rsid w:val="006F107D"/>
    <w:rsid w:val="006F6525"/>
    <w:rsid w:val="0070546B"/>
    <w:rsid w:val="00707215"/>
    <w:rsid w:val="0071124E"/>
    <w:rsid w:val="00714237"/>
    <w:rsid w:val="00714CDC"/>
    <w:rsid w:val="00714CF2"/>
    <w:rsid w:val="00714ED9"/>
    <w:rsid w:val="007156B9"/>
    <w:rsid w:val="0071580F"/>
    <w:rsid w:val="00717CFE"/>
    <w:rsid w:val="00720817"/>
    <w:rsid w:val="00721BE7"/>
    <w:rsid w:val="00722037"/>
    <w:rsid w:val="00722850"/>
    <w:rsid w:val="00722BD2"/>
    <w:rsid w:val="00722D3A"/>
    <w:rsid w:val="007244E8"/>
    <w:rsid w:val="00724EA3"/>
    <w:rsid w:val="00727FF0"/>
    <w:rsid w:val="007303C1"/>
    <w:rsid w:val="0073353F"/>
    <w:rsid w:val="00736054"/>
    <w:rsid w:val="007367D8"/>
    <w:rsid w:val="00742E45"/>
    <w:rsid w:val="00743641"/>
    <w:rsid w:val="007447AF"/>
    <w:rsid w:val="007451FC"/>
    <w:rsid w:val="007460B1"/>
    <w:rsid w:val="007471B5"/>
    <w:rsid w:val="00747AE1"/>
    <w:rsid w:val="007504B7"/>
    <w:rsid w:val="00750816"/>
    <w:rsid w:val="00752D54"/>
    <w:rsid w:val="00756F19"/>
    <w:rsid w:val="00760BA6"/>
    <w:rsid w:val="00762FD0"/>
    <w:rsid w:val="007638A6"/>
    <w:rsid w:val="0076396E"/>
    <w:rsid w:val="007649BD"/>
    <w:rsid w:val="00765773"/>
    <w:rsid w:val="007657C1"/>
    <w:rsid w:val="007728CE"/>
    <w:rsid w:val="00776203"/>
    <w:rsid w:val="007766FC"/>
    <w:rsid w:val="007770E8"/>
    <w:rsid w:val="00780A95"/>
    <w:rsid w:val="007816CC"/>
    <w:rsid w:val="0078649D"/>
    <w:rsid w:val="00793356"/>
    <w:rsid w:val="00796EAC"/>
    <w:rsid w:val="007A0B1B"/>
    <w:rsid w:val="007A0EF8"/>
    <w:rsid w:val="007A3825"/>
    <w:rsid w:val="007A406D"/>
    <w:rsid w:val="007A52D6"/>
    <w:rsid w:val="007A62B0"/>
    <w:rsid w:val="007A6329"/>
    <w:rsid w:val="007B0A43"/>
    <w:rsid w:val="007B0AC7"/>
    <w:rsid w:val="007B0EE2"/>
    <w:rsid w:val="007B1644"/>
    <w:rsid w:val="007B46DA"/>
    <w:rsid w:val="007B5212"/>
    <w:rsid w:val="007B5467"/>
    <w:rsid w:val="007C5A0C"/>
    <w:rsid w:val="007C652C"/>
    <w:rsid w:val="007D0C86"/>
    <w:rsid w:val="007D10AC"/>
    <w:rsid w:val="007D412B"/>
    <w:rsid w:val="007D58F1"/>
    <w:rsid w:val="007D61A6"/>
    <w:rsid w:val="007D691E"/>
    <w:rsid w:val="007D7AEE"/>
    <w:rsid w:val="007E084A"/>
    <w:rsid w:val="007E0FEE"/>
    <w:rsid w:val="007E5339"/>
    <w:rsid w:val="007E57F6"/>
    <w:rsid w:val="007F0335"/>
    <w:rsid w:val="007F2017"/>
    <w:rsid w:val="007F3BDA"/>
    <w:rsid w:val="007F4533"/>
    <w:rsid w:val="007F45B4"/>
    <w:rsid w:val="00801821"/>
    <w:rsid w:val="00803914"/>
    <w:rsid w:val="008067E7"/>
    <w:rsid w:val="00806B83"/>
    <w:rsid w:val="0081140C"/>
    <w:rsid w:val="00813601"/>
    <w:rsid w:val="008154A9"/>
    <w:rsid w:val="00815542"/>
    <w:rsid w:val="00823B49"/>
    <w:rsid w:val="00824D0F"/>
    <w:rsid w:val="008262EE"/>
    <w:rsid w:val="00826DC0"/>
    <w:rsid w:val="008315D0"/>
    <w:rsid w:val="00831956"/>
    <w:rsid w:val="008323C3"/>
    <w:rsid w:val="008339BB"/>
    <w:rsid w:val="0083464D"/>
    <w:rsid w:val="00834725"/>
    <w:rsid w:val="00834E05"/>
    <w:rsid w:val="00834E91"/>
    <w:rsid w:val="00835F58"/>
    <w:rsid w:val="00836FEB"/>
    <w:rsid w:val="00840C99"/>
    <w:rsid w:val="00841C04"/>
    <w:rsid w:val="00845CDE"/>
    <w:rsid w:val="0084657A"/>
    <w:rsid w:val="00847072"/>
    <w:rsid w:val="00852FB7"/>
    <w:rsid w:val="008552B9"/>
    <w:rsid w:val="00855530"/>
    <w:rsid w:val="00855898"/>
    <w:rsid w:val="008567AC"/>
    <w:rsid w:val="00857F65"/>
    <w:rsid w:val="00863A19"/>
    <w:rsid w:val="0086419A"/>
    <w:rsid w:val="00864540"/>
    <w:rsid w:val="00866412"/>
    <w:rsid w:val="00867ACD"/>
    <w:rsid w:val="00867C8B"/>
    <w:rsid w:val="0087023B"/>
    <w:rsid w:val="008727F2"/>
    <w:rsid w:val="008734C6"/>
    <w:rsid w:val="00884AD7"/>
    <w:rsid w:val="00885F1B"/>
    <w:rsid w:val="00886B7E"/>
    <w:rsid w:val="00892C10"/>
    <w:rsid w:val="008A1481"/>
    <w:rsid w:val="008A179F"/>
    <w:rsid w:val="008A28AC"/>
    <w:rsid w:val="008A2D86"/>
    <w:rsid w:val="008A795B"/>
    <w:rsid w:val="008B0864"/>
    <w:rsid w:val="008B1271"/>
    <w:rsid w:val="008B358C"/>
    <w:rsid w:val="008B3B2F"/>
    <w:rsid w:val="008B4351"/>
    <w:rsid w:val="008B5277"/>
    <w:rsid w:val="008B66B0"/>
    <w:rsid w:val="008C0788"/>
    <w:rsid w:val="008C0A40"/>
    <w:rsid w:val="008C1E8C"/>
    <w:rsid w:val="008C2577"/>
    <w:rsid w:val="008C5ADE"/>
    <w:rsid w:val="008C7413"/>
    <w:rsid w:val="008D16B7"/>
    <w:rsid w:val="008D16DA"/>
    <w:rsid w:val="008D209C"/>
    <w:rsid w:val="008E161E"/>
    <w:rsid w:val="008E19C0"/>
    <w:rsid w:val="008E2129"/>
    <w:rsid w:val="008E4E82"/>
    <w:rsid w:val="008E6572"/>
    <w:rsid w:val="008E6AE6"/>
    <w:rsid w:val="008F0116"/>
    <w:rsid w:val="008F02B7"/>
    <w:rsid w:val="008F0AAC"/>
    <w:rsid w:val="008F143D"/>
    <w:rsid w:val="008F4D1B"/>
    <w:rsid w:val="008F750D"/>
    <w:rsid w:val="00903F7D"/>
    <w:rsid w:val="009058E2"/>
    <w:rsid w:val="00917628"/>
    <w:rsid w:val="009177A6"/>
    <w:rsid w:val="00924061"/>
    <w:rsid w:val="009266F6"/>
    <w:rsid w:val="009324A8"/>
    <w:rsid w:val="00932865"/>
    <w:rsid w:val="00934F69"/>
    <w:rsid w:val="00935428"/>
    <w:rsid w:val="00936E3A"/>
    <w:rsid w:val="00936F19"/>
    <w:rsid w:val="00942528"/>
    <w:rsid w:val="00946969"/>
    <w:rsid w:val="009477A8"/>
    <w:rsid w:val="00947BC6"/>
    <w:rsid w:val="00947E75"/>
    <w:rsid w:val="00950F42"/>
    <w:rsid w:val="00953658"/>
    <w:rsid w:val="009538D1"/>
    <w:rsid w:val="00953A89"/>
    <w:rsid w:val="00954B74"/>
    <w:rsid w:val="009570AF"/>
    <w:rsid w:val="00957777"/>
    <w:rsid w:val="00960BD7"/>
    <w:rsid w:val="00960FC9"/>
    <w:rsid w:val="0096183B"/>
    <w:rsid w:val="00961DDC"/>
    <w:rsid w:val="00963B7A"/>
    <w:rsid w:val="00964661"/>
    <w:rsid w:val="00964DFA"/>
    <w:rsid w:val="00966D3E"/>
    <w:rsid w:val="00967B53"/>
    <w:rsid w:val="0097022D"/>
    <w:rsid w:val="0097185C"/>
    <w:rsid w:val="00972667"/>
    <w:rsid w:val="00975FA0"/>
    <w:rsid w:val="009763F9"/>
    <w:rsid w:val="00976A11"/>
    <w:rsid w:val="00980451"/>
    <w:rsid w:val="00980E74"/>
    <w:rsid w:val="0098138E"/>
    <w:rsid w:val="0098181F"/>
    <w:rsid w:val="00984B56"/>
    <w:rsid w:val="0098655A"/>
    <w:rsid w:val="0099017C"/>
    <w:rsid w:val="0099051F"/>
    <w:rsid w:val="009922DD"/>
    <w:rsid w:val="00993338"/>
    <w:rsid w:val="0099493F"/>
    <w:rsid w:val="0099720D"/>
    <w:rsid w:val="00997F31"/>
    <w:rsid w:val="009A3E24"/>
    <w:rsid w:val="009A60A2"/>
    <w:rsid w:val="009A629E"/>
    <w:rsid w:val="009A7E01"/>
    <w:rsid w:val="009B1560"/>
    <w:rsid w:val="009B2389"/>
    <w:rsid w:val="009B56D4"/>
    <w:rsid w:val="009B6C3E"/>
    <w:rsid w:val="009C1524"/>
    <w:rsid w:val="009C7774"/>
    <w:rsid w:val="009D0979"/>
    <w:rsid w:val="009D16F7"/>
    <w:rsid w:val="009D1CB7"/>
    <w:rsid w:val="009D2AC5"/>
    <w:rsid w:val="009D431B"/>
    <w:rsid w:val="009D5B80"/>
    <w:rsid w:val="009E0CB0"/>
    <w:rsid w:val="009E7C7F"/>
    <w:rsid w:val="009F14B0"/>
    <w:rsid w:val="00A00742"/>
    <w:rsid w:val="00A023EA"/>
    <w:rsid w:val="00A03C69"/>
    <w:rsid w:val="00A05690"/>
    <w:rsid w:val="00A06824"/>
    <w:rsid w:val="00A079A7"/>
    <w:rsid w:val="00A10A66"/>
    <w:rsid w:val="00A14908"/>
    <w:rsid w:val="00A16F9D"/>
    <w:rsid w:val="00A17CE0"/>
    <w:rsid w:val="00A202C7"/>
    <w:rsid w:val="00A23FC8"/>
    <w:rsid w:val="00A2586B"/>
    <w:rsid w:val="00A31DED"/>
    <w:rsid w:val="00A34A91"/>
    <w:rsid w:val="00A34E79"/>
    <w:rsid w:val="00A35CCD"/>
    <w:rsid w:val="00A42306"/>
    <w:rsid w:val="00A45B9A"/>
    <w:rsid w:val="00A479F5"/>
    <w:rsid w:val="00A50BA1"/>
    <w:rsid w:val="00A50F4E"/>
    <w:rsid w:val="00A519F3"/>
    <w:rsid w:val="00A5344A"/>
    <w:rsid w:val="00A5351A"/>
    <w:rsid w:val="00A55ACD"/>
    <w:rsid w:val="00A564D6"/>
    <w:rsid w:val="00A60B34"/>
    <w:rsid w:val="00A610FE"/>
    <w:rsid w:val="00A62240"/>
    <w:rsid w:val="00A637DD"/>
    <w:rsid w:val="00A65BC7"/>
    <w:rsid w:val="00A66576"/>
    <w:rsid w:val="00A72551"/>
    <w:rsid w:val="00A72AEE"/>
    <w:rsid w:val="00A72F12"/>
    <w:rsid w:val="00A747BE"/>
    <w:rsid w:val="00A74C05"/>
    <w:rsid w:val="00A8472D"/>
    <w:rsid w:val="00A85937"/>
    <w:rsid w:val="00A93EDC"/>
    <w:rsid w:val="00A94AA0"/>
    <w:rsid w:val="00A94AC2"/>
    <w:rsid w:val="00A9785E"/>
    <w:rsid w:val="00AA312F"/>
    <w:rsid w:val="00AA4D03"/>
    <w:rsid w:val="00AA5EB6"/>
    <w:rsid w:val="00AA62AB"/>
    <w:rsid w:val="00AB028A"/>
    <w:rsid w:val="00AC0EF2"/>
    <w:rsid w:val="00AC1865"/>
    <w:rsid w:val="00AC4B52"/>
    <w:rsid w:val="00AD1EA4"/>
    <w:rsid w:val="00AD5873"/>
    <w:rsid w:val="00AD7617"/>
    <w:rsid w:val="00AE0ABF"/>
    <w:rsid w:val="00AE104E"/>
    <w:rsid w:val="00AE141F"/>
    <w:rsid w:val="00AE154D"/>
    <w:rsid w:val="00AE702D"/>
    <w:rsid w:val="00AF06E4"/>
    <w:rsid w:val="00AF1508"/>
    <w:rsid w:val="00AF3D72"/>
    <w:rsid w:val="00AF7A3A"/>
    <w:rsid w:val="00B013AD"/>
    <w:rsid w:val="00B01F7E"/>
    <w:rsid w:val="00B03937"/>
    <w:rsid w:val="00B047FD"/>
    <w:rsid w:val="00B04939"/>
    <w:rsid w:val="00B04C04"/>
    <w:rsid w:val="00B16C35"/>
    <w:rsid w:val="00B21246"/>
    <w:rsid w:val="00B2304B"/>
    <w:rsid w:val="00B23207"/>
    <w:rsid w:val="00B24874"/>
    <w:rsid w:val="00B2569F"/>
    <w:rsid w:val="00B25DBE"/>
    <w:rsid w:val="00B2604E"/>
    <w:rsid w:val="00B262F0"/>
    <w:rsid w:val="00B27D73"/>
    <w:rsid w:val="00B3087D"/>
    <w:rsid w:val="00B31D49"/>
    <w:rsid w:val="00B32F82"/>
    <w:rsid w:val="00B34794"/>
    <w:rsid w:val="00B35484"/>
    <w:rsid w:val="00B3723E"/>
    <w:rsid w:val="00B41F64"/>
    <w:rsid w:val="00B43775"/>
    <w:rsid w:val="00B4421A"/>
    <w:rsid w:val="00B4541F"/>
    <w:rsid w:val="00B47808"/>
    <w:rsid w:val="00B5000E"/>
    <w:rsid w:val="00B53359"/>
    <w:rsid w:val="00B53D42"/>
    <w:rsid w:val="00B60421"/>
    <w:rsid w:val="00B70167"/>
    <w:rsid w:val="00B71632"/>
    <w:rsid w:val="00B730A8"/>
    <w:rsid w:val="00B734AB"/>
    <w:rsid w:val="00B74CA4"/>
    <w:rsid w:val="00B769B5"/>
    <w:rsid w:val="00B77FCE"/>
    <w:rsid w:val="00B80274"/>
    <w:rsid w:val="00B803FE"/>
    <w:rsid w:val="00B8759C"/>
    <w:rsid w:val="00B9074A"/>
    <w:rsid w:val="00B91B56"/>
    <w:rsid w:val="00B97F8C"/>
    <w:rsid w:val="00BA108D"/>
    <w:rsid w:val="00BA7983"/>
    <w:rsid w:val="00BB0243"/>
    <w:rsid w:val="00BB0A66"/>
    <w:rsid w:val="00BB359B"/>
    <w:rsid w:val="00BB474F"/>
    <w:rsid w:val="00BB6F25"/>
    <w:rsid w:val="00BC086D"/>
    <w:rsid w:val="00BC1D8E"/>
    <w:rsid w:val="00BC306F"/>
    <w:rsid w:val="00BC7DE9"/>
    <w:rsid w:val="00BD06C8"/>
    <w:rsid w:val="00BD0D2B"/>
    <w:rsid w:val="00BD1E68"/>
    <w:rsid w:val="00BD3904"/>
    <w:rsid w:val="00BD747F"/>
    <w:rsid w:val="00BE0406"/>
    <w:rsid w:val="00BE15EE"/>
    <w:rsid w:val="00BE4DBF"/>
    <w:rsid w:val="00BF0027"/>
    <w:rsid w:val="00BF5CF4"/>
    <w:rsid w:val="00BF7243"/>
    <w:rsid w:val="00C048B3"/>
    <w:rsid w:val="00C04D70"/>
    <w:rsid w:val="00C10B5F"/>
    <w:rsid w:val="00C116BE"/>
    <w:rsid w:val="00C11ADE"/>
    <w:rsid w:val="00C124CA"/>
    <w:rsid w:val="00C127F3"/>
    <w:rsid w:val="00C12F35"/>
    <w:rsid w:val="00C1595F"/>
    <w:rsid w:val="00C166D0"/>
    <w:rsid w:val="00C16833"/>
    <w:rsid w:val="00C17DF1"/>
    <w:rsid w:val="00C200A5"/>
    <w:rsid w:val="00C20388"/>
    <w:rsid w:val="00C219FF"/>
    <w:rsid w:val="00C27B7B"/>
    <w:rsid w:val="00C376A7"/>
    <w:rsid w:val="00C37ACB"/>
    <w:rsid w:val="00C37F1B"/>
    <w:rsid w:val="00C43EC2"/>
    <w:rsid w:val="00C458CF"/>
    <w:rsid w:val="00C46351"/>
    <w:rsid w:val="00C50F3B"/>
    <w:rsid w:val="00C5106F"/>
    <w:rsid w:val="00C52C38"/>
    <w:rsid w:val="00C56C00"/>
    <w:rsid w:val="00C61E0F"/>
    <w:rsid w:val="00C64B4A"/>
    <w:rsid w:val="00C6512C"/>
    <w:rsid w:val="00C673B2"/>
    <w:rsid w:val="00C728B9"/>
    <w:rsid w:val="00C72E9B"/>
    <w:rsid w:val="00C73BAC"/>
    <w:rsid w:val="00C76196"/>
    <w:rsid w:val="00C766E8"/>
    <w:rsid w:val="00C76EFA"/>
    <w:rsid w:val="00C800CE"/>
    <w:rsid w:val="00C84923"/>
    <w:rsid w:val="00C913A1"/>
    <w:rsid w:val="00C92FBC"/>
    <w:rsid w:val="00C94338"/>
    <w:rsid w:val="00C961B7"/>
    <w:rsid w:val="00CA5474"/>
    <w:rsid w:val="00CB1906"/>
    <w:rsid w:val="00CC0796"/>
    <w:rsid w:val="00CC19BD"/>
    <w:rsid w:val="00CC413F"/>
    <w:rsid w:val="00CC6A99"/>
    <w:rsid w:val="00CC7624"/>
    <w:rsid w:val="00CC7848"/>
    <w:rsid w:val="00CC78ED"/>
    <w:rsid w:val="00CD5589"/>
    <w:rsid w:val="00CD5F1F"/>
    <w:rsid w:val="00CD62DA"/>
    <w:rsid w:val="00CE0FE1"/>
    <w:rsid w:val="00CE1DC1"/>
    <w:rsid w:val="00CF0129"/>
    <w:rsid w:val="00CF03FF"/>
    <w:rsid w:val="00CF6FBA"/>
    <w:rsid w:val="00D00AA3"/>
    <w:rsid w:val="00D0191C"/>
    <w:rsid w:val="00D039B9"/>
    <w:rsid w:val="00D07F73"/>
    <w:rsid w:val="00D137B3"/>
    <w:rsid w:val="00D14269"/>
    <w:rsid w:val="00D14DB7"/>
    <w:rsid w:val="00D15506"/>
    <w:rsid w:val="00D2041C"/>
    <w:rsid w:val="00D20E20"/>
    <w:rsid w:val="00D2275C"/>
    <w:rsid w:val="00D24385"/>
    <w:rsid w:val="00D25ADE"/>
    <w:rsid w:val="00D3515F"/>
    <w:rsid w:val="00D35A77"/>
    <w:rsid w:val="00D363EB"/>
    <w:rsid w:val="00D36FCB"/>
    <w:rsid w:val="00D42F4B"/>
    <w:rsid w:val="00D43297"/>
    <w:rsid w:val="00D4440E"/>
    <w:rsid w:val="00D44DB6"/>
    <w:rsid w:val="00D50119"/>
    <w:rsid w:val="00D51213"/>
    <w:rsid w:val="00D51AB9"/>
    <w:rsid w:val="00D52BFF"/>
    <w:rsid w:val="00D551D6"/>
    <w:rsid w:val="00D55DDF"/>
    <w:rsid w:val="00D60086"/>
    <w:rsid w:val="00D6032D"/>
    <w:rsid w:val="00D62049"/>
    <w:rsid w:val="00D6227B"/>
    <w:rsid w:val="00D625BA"/>
    <w:rsid w:val="00D63426"/>
    <w:rsid w:val="00D647B1"/>
    <w:rsid w:val="00D7011A"/>
    <w:rsid w:val="00D72CEB"/>
    <w:rsid w:val="00D737D3"/>
    <w:rsid w:val="00D743FC"/>
    <w:rsid w:val="00D763C8"/>
    <w:rsid w:val="00D77E86"/>
    <w:rsid w:val="00D82A43"/>
    <w:rsid w:val="00D84535"/>
    <w:rsid w:val="00D85666"/>
    <w:rsid w:val="00D87FF5"/>
    <w:rsid w:val="00D908BC"/>
    <w:rsid w:val="00D911D7"/>
    <w:rsid w:val="00D915F5"/>
    <w:rsid w:val="00D91684"/>
    <w:rsid w:val="00D916BF"/>
    <w:rsid w:val="00D9426E"/>
    <w:rsid w:val="00D944D4"/>
    <w:rsid w:val="00D94893"/>
    <w:rsid w:val="00D9643A"/>
    <w:rsid w:val="00DA6E22"/>
    <w:rsid w:val="00DA7B5D"/>
    <w:rsid w:val="00DB094B"/>
    <w:rsid w:val="00DB410F"/>
    <w:rsid w:val="00DB5AA6"/>
    <w:rsid w:val="00DD14DC"/>
    <w:rsid w:val="00DD4C0F"/>
    <w:rsid w:val="00DD5215"/>
    <w:rsid w:val="00DE31D7"/>
    <w:rsid w:val="00DE54C1"/>
    <w:rsid w:val="00DE5D21"/>
    <w:rsid w:val="00DF58E7"/>
    <w:rsid w:val="00E07709"/>
    <w:rsid w:val="00E11876"/>
    <w:rsid w:val="00E13C4E"/>
    <w:rsid w:val="00E15D00"/>
    <w:rsid w:val="00E163F2"/>
    <w:rsid w:val="00E20E88"/>
    <w:rsid w:val="00E2232F"/>
    <w:rsid w:val="00E23CBB"/>
    <w:rsid w:val="00E264F1"/>
    <w:rsid w:val="00E27CAF"/>
    <w:rsid w:val="00E37B59"/>
    <w:rsid w:val="00E40284"/>
    <w:rsid w:val="00E43823"/>
    <w:rsid w:val="00E47290"/>
    <w:rsid w:val="00E514E0"/>
    <w:rsid w:val="00E5277F"/>
    <w:rsid w:val="00E54787"/>
    <w:rsid w:val="00E57CE4"/>
    <w:rsid w:val="00E64A2A"/>
    <w:rsid w:val="00E66FC4"/>
    <w:rsid w:val="00E706B9"/>
    <w:rsid w:val="00E70B55"/>
    <w:rsid w:val="00E70F0D"/>
    <w:rsid w:val="00E73670"/>
    <w:rsid w:val="00E73D1D"/>
    <w:rsid w:val="00E76B45"/>
    <w:rsid w:val="00E80562"/>
    <w:rsid w:val="00E82836"/>
    <w:rsid w:val="00E90D90"/>
    <w:rsid w:val="00E9358E"/>
    <w:rsid w:val="00E974F4"/>
    <w:rsid w:val="00E97525"/>
    <w:rsid w:val="00EA0194"/>
    <w:rsid w:val="00EA104D"/>
    <w:rsid w:val="00EA36C6"/>
    <w:rsid w:val="00EA47EF"/>
    <w:rsid w:val="00EB0FED"/>
    <w:rsid w:val="00EB288E"/>
    <w:rsid w:val="00EB2FF2"/>
    <w:rsid w:val="00EC1B59"/>
    <w:rsid w:val="00EC47FA"/>
    <w:rsid w:val="00EC6B7A"/>
    <w:rsid w:val="00EC7A59"/>
    <w:rsid w:val="00ED3145"/>
    <w:rsid w:val="00ED3F13"/>
    <w:rsid w:val="00ED5725"/>
    <w:rsid w:val="00ED7031"/>
    <w:rsid w:val="00EE3060"/>
    <w:rsid w:val="00EE32BB"/>
    <w:rsid w:val="00EE4315"/>
    <w:rsid w:val="00EE5C87"/>
    <w:rsid w:val="00EE6AF8"/>
    <w:rsid w:val="00EF04EE"/>
    <w:rsid w:val="00EF3E28"/>
    <w:rsid w:val="00EF514C"/>
    <w:rsid w:val="00EF58DC"/>
    <w:rsid w:val="00EF68AB"/>
    <w:rsid w:val="00F00FBB"/>
    <w:rsid w:val="00F04DBE"/>
    <w:rsid w:val="00F053FD"/>
    <w:rsid w:val="00F113EC"/>
    <w:rsid w:val="00F11BE6"/>
    <w:rsid w:val="00F13F62"/>
    <w:rsid w:val="00F15352"/>
    <w:rsid w:val="00F15DA5"/>
    <w:rsid w:val="00F26ED3"/>
    <w:rsid w:val="00F32E7D"/>
    <w:rsid w:val="00F36C52"/>
    <w:rsid w:val="00F425DB"/>
    <w:rsid w:val="00F43AF8"/>
    <w:rsid w:val="00F457AC"/>
    <w:rsid w:val="00F45FFD"/>
    <w:rsid w:val="00F51255"/>
    <w:rsid w:val="00F57B2D"/>
    <w:rsid w:val="00F6061D"/>
    <w:rsid w:val="00F62B7A"/>
    <w:rsid w:val="00F6397D"/>
    <w:rsid w:val="00F65745"/>
    <w:rsid w:val="00F6704B"/>
    <w:rsid w:val="00F677B4"/>
    <w:rsid w:val="00F67A49"/>
    <w:rsid w:val="00F7047E"/>
    <w:rsid w:val="00F7293E"/>
    <w:rsid w:val="00F7506B"/>
    <w:rsid w:val="00F7596B"/>
    <w:rsid w:val="00F76650"/>
    <w:rsid w:val="00F7689B"/>
    <w:rsid w:val="00F77150"/>
    <w:rsid w:val="00F81B30"/>
    <w:rsid w:val="00F824EB"/>
    <w:rsid w:val="00F8278F"/>
    <w:rsid w:val="00F90CD2"/>
    <w:rsid w:val="00F9187B"/>
    <w:rsid w:val="00F92385"/>
    <w:rsid w:val="00F95C8C"/>
    <w:rsid w:val="00FA1024"/>
    <w:rsid w:val="00FA1B47"/>
    <w:rsid w:val="00FA1B4F"/>
    <w:rsid w:val="00FA2226"/>
    <w:rsid w:val="00FA4567"/>
    <w:rsid w:val="00FA5C2F"/>
    <w:rsid w:val="00FA74AE"/>
    <w:rsid w:val="00FB0E9F"/>
    <w:rsid w:val="00FB2ADC"/>
    <w:rsid w:val="00FB343F"/>
    <w:rsid w:val="00FB38DF"/>
    <w:rsid w:val="00FC091F"/>
    <w:rsid w:val="00FC47F9"/>
    <w:rsid w:val="00FC7773"/>
    <w:rsid w:val="00FD5772"/>
    <w:rsid w:val="00FD6CEF"/>
    <w:rsid w:val="00FD7F2B"/>
    <w:rsid w:val="00FE0985"/>
    <w:rsid w:val="00FE3519"/>
    <w:rsid w:val="00FE434B"/>
    <w:rsid w:val="00FE5580"/>
    <w:rsid w:val="00FE5E46"/>
    <w:rsid w:val="00FE6238"/>
    <w:rsid w:val="00FE76E5"/>
    <w:rsid w:val="00FF110C"/>
    <w:rsid w:val="00FF5D2C"/>
    <w:rsid w:val="00FF6180"/>
    <w:rsid w:val="00FF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8EAC"/>
  <w15:docId w15:val="{B34CD353-12B1-4808-AFD3-2E11E08F14F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527239"/>
    <w:pPr>
      <w:numPr>
        <w:numId w:val="14"/>
      </w:numPr>
      <w:ind w:right="2160"/>
    </w:pPr>
    <w:rPr>
      <w:rFonts w:eastAsiaTheme="majorEastAsia" w:cstheme="majorBidi"/>
      <w:szCs w:val="32"/>
    </w:rPr>
  </w:style>
  <w:style w:type="paragraph" w:styleId="Heading2">
    <w:name w:val="heading 2"/>
    <w:basedOn w:val="Dummy"/>
    <w:next w:val="Standard"/>
    <w:link w:val="Heading2Char"/>
    <w:uiPriority w:val="4"/>
    <w:qFormat/>
    <w:rsid w:val="001128C5"/>
    <w:pPr>
      <w:numPr>
        <w:ilvl w:val="1"/>
        <w:numId w:val="14"/>
      </w:numPr>
      <w:ind w:right="2160"/>
      <w:outlineLvl w:val="1"/>
    </w:pPr>
  </w:style>
  <w:style w:type="paragraph" w:styleId="Heading3">
    <w:name w:val="heading 3"/>
    <w:basedOn w:val="Dummy"/>
    <w:next w:val="Standard"/>
    <w:link w:val="Heading3Char"/>
    <w:uiPriority w:val="4"/>
    <w:qFormat/>
    <w:rsid w:val="001128C5"/>
    <w:pPr>
      <w:numPr>
        <w:ilvl w:val="2"/>
        <w:numId w:val="14"/>
      </w:numPr>
      <w:ind w:right="3600"/>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14"/>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14"/>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14"/>
      </w:numPr>
      <w:spacing w:before="4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527239"/>
    <w:rPr>
      <w:rFonts w:ascii="Arial" w:eastAsiaTheme="majorEastAsia" w:hAnsi="Arial" w:cstheme="majorBidi"/>
      <w:b/>
      <w:sz w:val="26"/>
      <w:szCs w:val="32"/>
    </w:rPr>
  </w:style>
  <w:style w:type="paragraph" w:styleId="TOCHeading">
    <w:name w:val="TOC Heading"/>
    <w:next w:val="Normal"/>
    <w:uiPriority w:val="39"/>
    <w:unhideWhenUsed/>
    <w:qFormat/>
    <w:rsid w:val="009C7774"/>
    <w:pPr>
      <w:spacing w:after="0" w:line="36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1128C5"/>
    <w:rPr>
      <w:rFonts w:ascii="Arial" w:hAnsi="Arial" w:cs="Arial"/>
      <w:b/>
      <w:sz w:val="26"/>
      <w:szCs w:val="26"/>
    </w:rPr>
  </w:style>
  <w:style w:type="character" w:customStyle="1" w:styleId="Heading3Char">
    <w:name w:val="Heading 3 Char"/>
    <w:basedOn w:val="DefaultParagraphFont"/>
    <w:link w:val="Heading3"/>
    <w:uiPriority w:val="4"/>
    <w:rsid w:val="001128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2A29FD"/>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2A29FD"/>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2A29FD"/>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14"/>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character" w:styleId="CommentReference">
    <w:name w:val="annotation reference"/>
    <w:basedOn w:val="DefaultParagraphFont"/>
    <w:uiPriority w:val="99"/>
    <w:semiHidden/>
    <w:unhideWhenUsed/>
    <w:rsid w:val="001B1D36"/>
    <w:rPr>
      <w:sz w:val="16"/>
      <w:szCs w:val="16"/>
    </w:rPr>
  </w:style>
  <w:style w:type="paragraph" w:styleId="CommentText">
    <w:name w:val="annotation text"/>
    <w:basedOn w:val="Normal"/>
    <w:link w:val="CommentTextChar"/>
    <w:uiPriority w:val="99"/>
    <w:unhideWhenUsed/>
    <w:rsid w:val="004E372F"/>
    <w:pPr>
      <w:spacing w:line="240" w:lineRule="auto"/>
    </w:pPr>
    <w:rPr>
      <w:sz w:val="20"/>
      <w:szCs w:val="20"/>
    </w:rPr>
  </w:style>
  <w:style w:type="character" w:customStyle="1" w:styleId="CommentTextChar">
    <w:name w:val="Comment Text Char"/>
    <w:basedOn w:val="DefaultParagraphFont"/>
    <w:link w:val="CommentText"/>
    <w:uiPriority w:val="99"/>
    <w:rsid w:val="004E372F"/>
    <w:rPr>
      <w:rFonts w:ascii="Book Antiqua" w:hAnsi="Book Antiqua"/>
      <w:sz w:val="20"/>
      <w:szCs w:val="20"/>
    </w:rPr>
  </w:style>
  <w:style w:type="paragraph" w:customStyle="1" w:styleId="BlockQuoteH033">
    <w:name w:val="BlockQuoteH033"/>
    <w:basedOn w:val="Normal"/>
    <w:qFormat/>
    <w:rsid w:val="00033377"/>
    <w:pPr>
      <w:spacing w:after="120" w:line="240" w:lineRule="auto"/>
      <w:ind w:left="1195" w:right="1440" w:hanging="475"/>
    </w:pPr>
  </w:style>
  <w:style w:type="paragraph" w:customStyle="1" w:styleId="SubSection">
    <w:name w:val="SubSection"/>
    <w:basedOn w:val="Standard"/>
    <w:rsid w:val="00103430"/>
    <w:pPr>
      <w:keepNext/>
    </w:pPr>
    <w:rPr>
      <w:u w:val="single"/>
    </w:rPr>
  </w:style>
  <w:style w:type="paragraph" w:customStyle="1" w:styleId="BlockQuoteH033subH033">
    <w:name w:val="BlockQuoteH033subH033"/>
    <w:basedOn w:val="Normal"/>
    <w:qFormat/>
    <w:rsid w:val="00E70B55"/>
    <w:pPr>
      <w:spacing w:after="120" w:line="240" w:lineRule="auto"/>
      <w:ind w:left="1670" w:right="1440" w:hanging="475"/>
    </w:pPr>
  </w:style>
  <w:style w:type="paragraph" w:customStyle="1" w:styleId="TableTitleBodyH085">
    <w:name w:val="TableTitleBodyH085"/>
    <w:basedOn w:val="Normal"/>
    <w:qFormat/>
    <w:rsid w:val="00B71632"/>
    <w:pPr>
      <w:keepNext/>
      <w:spacing w:after="120" w:line="240" w:lineRule="auto"/>
      <w:ind w:left="1224" w:hanging="1224"/>
      <w:jc w:val="center"/>
    </w:pPr>
    <w:rPr>
      <w:bCs/>
    </w:rPr>
  </w:style>
  <w:style w:type="paragraph" w:customStyle="1" w:styleId="BlockQuoteH025">
    <w:name w:val="BlockQuoteH025"/>
    <w:basedOn w:val="BlockQuoteH033"/>
    <w:qFormat/>
    <w:rsid w:val="00B97F8C"/>
    <w:pPr>
      <w:ind w:left="1080" w:hanging="360"/>
    </w:pPr>
  </w:style>
  <w:style w:type="paragraph" w:customStyle="1" w:styleId="BlockQuoteH033subH025">
    <w:name w:val="BlockQuoteH033subH025"/>
    <w:basedOn w:val="BlockQuoteH033"/>
    <w:qFormat/>
    <w:rsid w:val="00BD0D2B"/>
    <w:pPr>
      <w:ind w:left="1555" w:hanging="360"/>
    </w:pPr>
  </w:style>
  <w:style w:type="paragraph" w:customStyle="1" w:styleId="TableTitleTOC">
    <w:name w:val="TableTitleTOC"/>
    <w:basedOn w:val="Normal"/>
    <w:qFormat/>
    <w:rsid w:val="00FF6180"/>
    <w:pPr>
      <w:spacing w:line="240" w:lineRule="auto"/>
      <w:ind w:left="1152" w:hanging="1152"/>
    </w:pPr>
    <w:rPr>
      <w:rFonts w:cs="Times New Roman"/>
      <w:bCs/>
      <w:szCs w:val="20"/>
    </w:rPr>
  </w:style>
  <w:style w:type="paragraph" w:styleId="BodyText">
    <w:name w:val="Body Text"/>
    <w:basedOn w:val="Normal"/>
    <w:link w:val="BodyTextChar"/>
    <w:unhideWhenUsed/>
    <w:rsid w:val="00A94AA0"/>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94AA0"/>
    <w:rPr>
      <w:rFonts w:ascii="Times New Roman" w:eastAsia="Times New Roman" w:hAnsi="Times New Roman" w:cs="Times New Roman"/>
      <w:sz w:val="24"/>
      <w:szCs w:val="20"/>
    </w:rPr>
  </w:style>
  <w:style w:type="paragraph" w:styleId="Revision">
    <w:name w:val="Revision"/>
    <w:hidden/>
    <w:uiPriority w:val="99"/>
    <w:semiHidden/>
    <w:rsid w:val="00D763C8"/>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4F7132"/>
    <w:rPr>
      <w:b/>
      <w:bCs/>
    </w:rPr>
  </w:style>
  <w:style w:type="character" w:customStyle="1" w:styleId="CommentSubjectChar">
    <w:name w:val="Comment Subject Char"/>
    <w:basedOn w:val="CommentTextChar"/>
    <w:link w:val="CommentSubject"/>
    <w:uiPriority w:val="99"/>
    <w:semiHidden/>
    <w:rsid w:val="004F7132"/>
    <w:rPr>
      <w:rFonts w:ascii="Book Antiqua" w:hAnsi="Book Antiqua"/>
      <w:b/>
      <w:bCs/>
      <w:sz w:val="20"/>
      <w:szCs w:val="20"/>
    </w:rPr>
  </w:style>
  <w:style w:type="paragraph" w:styleId="ListParagraph">
    <w:name w:val="List Paragraph"/>
    <w:basedOn w:val="Normal"/>
    <w:uiPriority w:val="34"/>
    <w:rsid w:val="00867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1830">
      <w:bodyDiv w:val="1"/>
      <w:marLeft w:val="0"/>
      <w:marRight w:val="0"/>
      <w:marTop w:val="0"/>
      <w:marBottom w:val="0"/>
      <w:divBdr>
        <w:top w:val="none" w:sz="0" w:space="0" w:color="auto"/>
        <w:left w:val="none" w:sz="0" w:space="0" w:color="auto"/>
        <w:bottom w:val="none" w:sz="0" w:space="0" w:color="auto"/>
        <w:right w:val="none" w:sz="0" w:space="0" w:color="auto"/>
      </w:divBdr>
    </w:div>
    <w:div w:id="1296328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35</ap:Pages>
  <ap:Words>7612</ap:Words>
  <ap:Characters>43393</ap:Characters>
  <ap:Application>Microsoft Office Word</ap:Application>
  <ap:DocSecurity>0</ap:DocSecurity>
  <ap:Lines>361</ap:Lines>
  <ap:Paragraphs>101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50904</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2025-12-05T15:36:11Z</dcterms:created>
  <dcterms:modified xsi:type="dcterms:W3CDTF">2025-12-05T15:36:11Z</dcterms:modified>
</cp:coreProperties>
</file>