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B719BA" w:rsidRDefault="006D2ECF" w14:paraId="56E488BC" w14:textId="21D9D4F0">
      <w:pPr>
        <w:tabs>
          <w:tab w:val="center" w:pos="4320"/>
          <w:tab w:val="right" w:pos="9360"/>
        </w:tabs>
        <w:spacing w:line="240" w:lineRule="auto"/>
        <w:ind w:firstLine="0"/>
      </w:pPr>
      <w:r>
        <w:t>ALJ/CJA/jnf</w:t>
      </w:r>
      <w:r w:rsidR="007E0FEE">
        <w:tab/>
      </w:r>
      <w:r w:rsidR="00DA7B5D">
        <w:tab/>
      </w:r>
      <w:r w:rsidR="005277B8">
        <w:rPr>
          <w:b/>
        </w:rPr>
        <w:t>Date of Issuance 12/9/2025</w:t>
      </w:r>
    </w:p>
    <w:p w:rsidR="00B719BA" w:rsidP="005277B8" w:rsidRDefault="00B719BA" w14:paraId="1D66F36E" w14:textId="77777777">
      <w:pPr>
        <w:spacing w:line="240" w:lineRule="auto"/>
        <w:ind w:firstLine="0"/>
        <w:jc w:val="right"/>
        <w:rPr>
          <w:b/>
          <w:bCs/>
        </w:rPr>
      </w:pPr>
    </w:p>
    <w:p w:rsidR="005277B8" w:rsidP="005277B8" w:rsidRDefault="005277B8" w14:paraId="4C14892B" w14:textId="77777777">
      <w:pPr>
        <w:spacing w:line="240" w:lineRule="auto"/>
        <w:ind w:firstLine="0"/>
        <w:jc w:val="right"/>
        <w:rPr>
          <w:b/>
          <w:bCs/>
        </w:rPr>
      </w:pPr>
    </w:p>
    <w:p w:rsidRPr="006D2ECF" w:rsidR="00DA7B5D" w:rsidP="006D2ECF" w:rsidRDefault="00DA7B5D" w14:paraId="5ACEAA1C" w14:textId="1D17D655">
      <w:pPr>
        <w:spacing w:line="240" w:lineRule="auto"/>
        <w:ind w:left="1080" w:hanging="1080"/>
        <w:rPr>
          <w:b/>
          <w:bCs/>
        </w:rPr>
      </w:pPr>
      <w:r>
        <w:t>Decision</w:t>
      </w:r>
      <w:r w:rsidR="005277B8">
        <w:t> 25-12-007  December 4, 2025</w:t>
      </w:r>
    </w:p>
    <w:p w:rsidR="00DA7B5D" w:rsidP="006D2ECF" w:rsidRDefault="00DA7B5D" w14:paraId="4560DE0C" w14:textId="77777777">
      <w:pPr>
        <w:spacing w:line="240" w:lineRule="auto"/>
        <w:ind w:firstLine="0"/>
        <w:jc w:val="both"/>
        <w:rPr>
          <w:u w:val="single"/>
        </w:rPr>
      </w:pPr>
    </w:p>
    <w:p w:rsidR="006D2ECF" w:rsidP="006D2ECF" w:rsidRDefault="006D2ECF" w14:paraId="4973CB34" w14:textId="77777777">
      <w:pPr>
        <w:spacing w:line="240" w:lineRule="auto"/>
        <w:ind w:firstLine="0"/>
        <w:jc w:val="both"/>
        <w:rPr>
          <w:u w:val="single"/>
        </w:rPr>
      </w:pPr>
    </w:p>
    <w:p w:rsidR="00DA7B5D" w:rsidP="00BB0243" w:rsidRDefault="00DA7B5D" w14:paraId="30333F16"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390808D5"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040"/>
        <w:gridCol w:w="4320"/>
      </w:tblGrid>
      <w:tr w:rsidR="00DA7B5D" w:rsidTr="000B222B" w14:paraId="7DCACFC2"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6D2ECF" w14:paraId="0447A50E" w14:textId="2AE2E96A">
            <w:pPr>
              <w:spacing w:line="240" w:lineRule="auto"/>
              <w:ind w:firstLine="0"/>
              <w:rPr>
                <w:rFonts w:cs="Arial"/>
                <w:szCs w:val="26"/>
              </w:rPr>
            </w:pPr>
            <w:r w:rsidRPr="006D2ECF">
              <w:rPr>
                <w:rFonts w:cs="Arial"/>
                <w:szCs w:val="26"/>
              </w:rPr>
              <w:t>Application of Pacific Gas and Electric Company to Recover in Customer Rates the Costs to Support Extended Operation of Diablo Canyon Power Plant from January 1 through December 31, 2026, and for Approval of Planned Expenditure of 2026Volumetric Performance Fees</w:t>
            </w:r>
            <w:r w:rsidR="000B222B">
              <w:rPr>
                <w:rFonts w:cs="Arial"/>
                <w:szCs w:val="26"/>
              </w:rPr>
              <w:t xml:space="preserve">. </w:t>
            </w:r>
            <w:r w:rsidRPr="006D2ECF">
              <w:rPr>
                <w:rFonts w:cs="Arial"/>
                <w:szCs w:val="26"/>
              </w:rPr>
              <w:t>(U39E</w:t>
            </w:r>
            <w:r>
              <w:rPr>
                <w:rFonts w:cs="Arial"/>
                <w:szCs w:val="26"/>
              </w:rPr>
              <w:t>.</w:t>
            </w:r>
            <w:r w:rsidRPr="006D2ECF">
              <w:rPr>
                <w:rFonts w:cs="Arial"/>
                <w:szCs w:val="26"/>
              </w:rPr>
              <w:t>)</w:t>
            </w:r>
            <w:r>
              <w:rPr>
                <w:rFonts w:cs="Arial"/>
                <w:szCs w:val="26"/>
              </w:rPr>
              <w:br/>
            </w:r>
          </w:p>
        </w:tc>
        <w:tc>
          <w:tcPr>
            <w:tcW w:w="4320" w:type="dxa"/>
            <w:tcBorders>
              <w:top w:val="nil"/>
              <w:left w:val="single" w:color="auto" w:sz="4" w:space="0"/>
              <w:bottom w:val="nil"/>
              <w:right w:val="nil"/>
            </w:tcBorders>
            <w:vAlign w:val="center"/>
          </w:tcPr>
          <w:p w:rsidRPr="00DA7B5D" w:rsidR="00DA7B5D" w:rsidP="00412C83" w:rsidRDefault="00A72122" w14:paraId="4B93BD1D" w14:textId="77CC36F8">
            <w:pPr>
              <w:spacing w:line="240" w:lineRule="auto"/>
              <w:ind w:firstLine="0"/>
              <w:jc w:val="center"/>
              <w:rPr>
                <w:rFonts w:cs="Arial"/>
                <w:szCs w:val="26"/>
              </w:rPr>
            </w:pPr>
            <w:r>
              <w:rPr>
                <w:rFonts w:cs="Arial"/>
                <w:szCs w:val="26"/>
              </w:rPr>
              <w:t>Application</w:t>
            </w:r>
            <w:r w:rsidR="000B222B">
              <w:rPr>
                <w:rFonts w:cs="Arial"/>
                <w:szCs w:val="26"/>
              </w:rPr>
              <w:t> </w:t>
            </w:r>
            <w:r>
              <w:rPr>
                <w:rFonts w:cs="Arial"/>
                <w:szCs w:val="26"/>
              </w:rPr>
              <w:t>25-03-015</w:t>
            </w:r>
          </w:p>
        </w:tc>
      </w:tr>
    </w:tbl>
    <w:p w:rsidR="00DA7B5D" w:rsidP="008F0116" w:rsidRDefault="00DA7B5D" w14:paraId="68913797" w14:textId="77777777">
      <w:pPr>
        <w:spacing w:line="240" w:lineRule="auto"/>
        <w:ind w:firstLine="0"/>
        <w:rPr>
          <w:rFonts w:ascii="Arial" w:hAnsi="Arial" w:cs="Arial"/>
          <w:sz w:val="24"/>
          <w:szCs w:val="24"/>
        </w:rPr>
      </w:pPr>
    </w:p>
    <w:p w:rsidR="00DA7B5D" w:rsidP="008F0116" w:rsidRDefault="00DA7B5D" w14:paraId="260E8E46" w14:textId="77777777">
      <w:pPr>
        <w:spacing w:line="240" w:lineRule="auto"/>
        <w:ind w:firstLine="0"/>
        <w:rPr>
          <w:rFonts w:ascii="Arial" w:hAnsi="Arial" w:cs="Arial"/>
          <w:sz w:val="24"/>
          <w:szCs w:val="24"/>
        </w:rPr>
      </w:pPr>
    </w:p>
    <w:p w:rsidRPr="00F92385" w:rsidR="00F92385" w:rsidP="006D2ECF" w:rsidRDefault="00A72122" w14:paraId="1774D4EB" w14:textId="1A4E3E20">
      <w:pPr>
        <w:pStyle w:val="PDTitle"/>
        <w:sectPr w:rsidRPr="00F92385" w:rsidR="00F92385" w:rsidSect="008926B4">
          <w:headerReference w:type="default" r:id="rId11"/>
          <w:footerReference w:type="default" r:id="rId12"/>
          <w:headerReference w:type="first" r:id="rId13"/>
          <w:pgSz w:w="12240" w:h="15840"/>
          <w:pgMar w:top="1728" w:right="1440" w:bottom="1440" w:left="1440" w:header="720" w:footer="720" w:gutter="0"/>
          <w:pgNumType w:start="1"/>
          <w:cols w:space="720"/>
          <w:docGrid w:linePitch="360"/>
        </w:sectPr>
      </w:pPr>
      <w:bookmarkStart w:name="_Toc216176790" w:id="0"/>
      <w:r w:rsidRPr="00A72122">
        <w:t>DECISION ON PACIFIC GAS AND ELECTRIC COMPANY’S</w:t>
      </w:r>
      <w:r w:rsidR="006D2ECF">
        <w:br/>
      </w:r>
      <w:r w:rsidRPr="00A72122">
        <w:t>REVENUE</w:t>
      </w:r>
      <w:r w:rsidR="00890E5F">
        <w:t xml:space="preserve"> </w:t>
      </w:r>
      <w:r w:rsidRPr="00A72122">
        <w:t>REQUIREMENT TO SUPPORT EXTENDED OPERATION</w:t>
      </w:r>
      <w:r w:rsidR="006D2ECF">
        <w:t xml:space="preserve"> </w:t>
      </w:r>
      <w:r w:rsidRPr="00A72122">
        <w:t>OF</w:t>
      </w:r>
      <w:r w:rsidR="006D2ECF">
        <w:t xml:space="preserve"> </w:t>
      </w:r>
      <w:r w:rsidRPr="00A72122">
        <w:t>DIABLO CANYON POWER PLANT AND</w:t>
      </w:r>
      <w:r w:rsidR="006D2ECF">
        <w:br/>
      </w:r>
      <w:r w:rsidRPr="00A72122">
        <w:t>202</w:t>
      </w:r>
      <w:r>
        <w:t>6</w:t>
      </w:r>
      <w:r w:rsidR="006D2ECF">
        <w:t> </w:t>
      </w:r>
      <w:r w:rsidRPr="00A72122">
        <w:t>VOLUMETRIC PERFORMANCE FEES PROPOSAL</w:t>
      </w:r>
      <w:bookmarkEnd w:id="0"/>
    </w:p>
    <w:p w:rsidRPr="001E2A62" w:rsidR="00D50119" w:rsidP="00F76650" w:rsidRDefault="00D50119" w14:paraId="78190BC4"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73E55A95"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B1501E" w:rsidP="00B1501E" w:rsidRDefault="008C7413" w14:paraId="583ABF94" w14:textId="6BA194D6">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6176790">
            <w:r w:rsidRPr="000E7221" w:rsidR="00B1501E">
              <w:rPr>
                <w:rStyle w:val="Hyperlink"/>
                <w:noProof/>
              </w:rPr>
              <w:t>DECISION ON PACIFIC GAS AND ELECTRIC COMPANY’S REVENUE REQUIREMENT TO SUPPORT EXTENDED OPERATION OF DIABLO CANYON POWER PLANT AND 2026 VOLUMETRIC PERFORMANCE FEES PROPOSAL</w:t>
            </w:r>
            <w:r w:rsidR="00B1501E">
              <w:rPr>
                <w:noProof/>
                <w:webHidden/>
              </w:rPr>
              <w:tab/>
            </w:r>
            <w:r w:rsidR="00B1501E">
              <w:rPr>
                <w:noProof/>
                <w:webHidden/>
              </w:rPr>
              <w:fldChar w:fldCharType="begin"/>
            </w:r>
            <w:r w:rsidR="00B1501E">
              <w:rPr>
                <w:noProof/>
                <w:webHidden/>
              </w:rPr>
              <w:instrText xml:space="preserve"> PAGEREF _Toc216176790 \h </w:instrText>
            </w:r>
            <w:r w:rsidR="00B1501E">
              <w:rPr>
                <w:noProof/>
                <w:webHidden/>
              </w:rPr>
            </w:r>
            <w:r w:rsidR="00B1501E">
              <w:rPr>
                <w:noProof/>
                <w:webHidden/>
              </w:rPr>
              <w:fldChar w:fldCharType="separate"/>
            </w:r>
            <w:r w:rsidR="00B1501E">
              <w:rPr>
                <w:noProof/>
                <w:webHidden/>
              </w:rPr>
              <w:t>1</w:t>
            </w:r>
            <w:r w:rsidR="00B1501E">
              <w:rPr>
                <w:noProof/>
                <w:webHidden/>
              </w:rPr>
              <w:fldChar w:fldCharType="end"/>
            </w:r>
          </w:hyperlink>
        </w:p>
        <w:p w:rsidR="00B1501E" w:rsidRDefault="00B1501E" w14:paraId="60D47937" w14:textId="62E6FA48">
          <w:pPr>
            <w:pStyle w:val="TOC1"/>
            <w:tabs>
              <w:tab w:val="right" w:leader="dot" w:pos="9350"/>
            </w:tabs>
            <w:rPr>
              <w:rFonts w:asciiTheme="minorHAnsi" w:hAnsiTheme="minorHAnsi" w:cstheme="minorBidi"/>
              <w:noProof/>
              <w:kern w:val="2"/>
              <w:sz w:val="24"/>
              <w:szCs w:val="24"/>
              <w14:ligatures w14:val="standardContextual"/>
            </w:rPr>
          </w:pPr>
          <w:hyperlink w:history="1" w:anchor="_Toc216176791">
            <w:r w:rsidRPr="000E7221">
              <w:rPr>
                <w:rStyle w:val="Hyperlink"/>
                <w:noProof/>
              </w:rPr>
              <w:t>Summary</w:t>
            </w:r>
            <w:r>
              <w:rPr>
                <w:noProof/>
                <w:webHidden/>
              </w:rPr>
              <w:tab/>
            </w:r>
            <w:r>
              <w:rPr>
                <w:noProof/>
                <w:webHidden/>
              </w:rPr>
              <w:fldChar w:fldCharType="begin"/>
            </w:r>
            <w:r>
              <w:rPr>
                <w:noProof/>
                <w:webHidden/>
              </w:rPr>
              <w:instrText xml:space="preserve"> PAGEREF _Toc216176791 \h </w:instrText>
            </w:r>
            <w:r>
              <w:rPr>
                <w:noProof/>
                <w:webHidden/>
              </w:rPr>
            </w:r>
            <w:r>
              <w:rPr>
                <w:noProof/>
                <w:webHidden/>
              </w:rPr>
              <w:fldChar w:fldCharType="separate"/>
            </w:r>
            <w:r>
              <w:rPr>
                <w:noProof/>
                <w:webHidden/>
              </w:rPr>
              <w:t>2</w:t>
            </w:r>
            <w:r>
              <w:rPr>
                <w:noProof/>
                <w:webHidden/>
              </w:rPr>
              <w:fldChar w:fldCharType="end"/>
            </w:r>
          </w:hyperlink>
        </w:p>
        <w:p w:rsidR="00B1501E" w:rsidRDefault="00B1501E" w14:paraId="523B14C3" w14:textId="29ED1D8B">
          <w:pPr>
            <w:pStyle w:val="TOC1"/>
            <w:tabs>
              <w:tab w:val="right" w:leader="dot" w:pos="9350"/>
            </w:tabs>
            <w:rPr>
              <w:rFonts w:asciiTheme="minorHAnsi" w:hAnsiTheme="minorHAnsi" w:cstheme="minorBidi"/>
              <w:noProof/>
              <w:kern w:val="2"/>
              <w:sz w:val="24"/>
              <w:szCs w:val="24"/>
              <w14:ligatures w14:val="standardContextual"/>
            </w:rPr>
          </w:pPr>
          <w:hyperlink w:history="1" w:anchor="_Toc216176792">
            <w:r w:rsidRPr="000E7221">
              <w:rPr>
                <w:rStyle w:val="Hyperlink"/>
                <w:noProof/>
              </w:rPr>
              <w:t>1.</w:t>
            </w:r>
            <w:r>
              <w:rPr>
                <w:rFonts w:asciiTheme="minorHAnsi" w:hAnsiTheme="minorHAnsi" w:cstheme="minorBidi"/>
                <w:noProof/>
                <w:kern w:val="2"/>
                <w:sz w:val="24"/>
                <w:szCs w:val="24"/>
                <w14:ligatures w14:val="standardContextual"/>
              </w:rPr>
              <w:tab/>
            </w:r>
            <w:r w:rsidRPr="000E7221">
              <w:rPr>
                <w:rStyle w:val="Hyperlink"/>
                <w:noProof/>
              </w:rPr>
              <w:t>Regulatory Background</w:t>
            </w:r>
            <w:r>
              <w:rPr>
                <w:noProof/>
                <w:webHidden/>
              </w:rPr>
              <w:tab/>
            </w:r>
            <w:r>
              <w:rPr>
                <w:noProof/>
                <w:webHidden/>
              </w:rPr>
              <w:fldChar w:fldCharType="begin"/>
            </w:r>
            <w:r>
              <w:rPr>
                <w:noProof/>
                <w:webHidden/>
              </w:rPr>
              <w:instrText xml:space="preserve"> PAGEREF _Toc216176792 \h </w:instrText>
            </w:r>
            <w:r>
              <w:rPr>
                <w:noProof/>
                <w:webHidden/>
              </w:rPr>
            </w:r>
            <w:r>
              <w:rPr>
                <w:noProof/>
                <w:webHidden/>
              </w:rPr>
              <w:fldChar w:fldCharType="separate"/>
            </w:r>
            <w:r>
              <w:rPr>
                <w:noProof/>
                <w:webHidden/>
              </w:rPr>
              <w:t>2</w:t>
            </w:r>
            <w:r>
              <w:rPr>
                <w:noProof/>
                <w:webHidden/>
              </w:rPr>
              <w:fldChar w:fldCharType="end"/>
            </w:r>
          </w:hyperlink>
        </w:p>
        <w:p w:rsidR="00B1501E" w:rsidRDefault="00B1501E" w14:paraId="3F985841" w14:textId="0E384409">
          <w:pPr>
            <w:pStyle w:val="TOC1"/>
            <w:tabs>
              <w:tab w:val="right" w:leader="dot" w:pos="9350"/>
            </w:tabs>
            <w:rPr>
              <w:rFonts w:asciiTheme="minorHAnsi" w:hAnsiTheme="minorHAnsi" w:cstheme="minorBidi"/>
              <w:noProof/>
              <w:kern w:val="2"/>
              <w:sz w:val="24"/>
              <w:szCs w:val="24"/>
              <w14:ligatures w14:val="standardContextual"/>
            </w:rPr>
          </w:pPr>
          <w:hyperlink w:history="1" w:anchor="_Toc216176793">
            <w:r w:rsidRPr="000E7221">
              <w:rPr>
                <w:rStyle w:val="Hyperlink"/>
                <w:noProof/>
              </w:rPr>
              <w:t>2.</w:t>
            </w:r>
            <w:r>
              <w:rPr>
                <w:rFonts w:asciiTheme="minorHAnsi" w:hAnsiTheme="minorHAnsi" w:cstheme="minorBidi"/>
                <w:noProof/>
                <w:kern w:val="2"/>
                <w:sz w:val="24"/>
                <w:szCs w:val="24"/>
                <w14:ligatures w14:val="standardContextual"/>
              </w:rPr>
              <w:tab/>
            </w:r>
            <w:r w:rsidRPr="000E7221">
              <w:rPr>
                <w:rStyle w:val="Hyperlink"/>
                <w:noProof/>
              </w:rPr>
              <w:t>Procedural Background</w:t>
            </w:r>
            <w:r>
              <w:rPr>
                <w:noProof/>
                <w:webHidden/>
              </w:rPr>
              <w:tab/>
            </w:r>
            <w:r>
              <w:rPr>
                <w:noProof/>
                <w:webHidden/>
              </w:rPr>
              <w:fldChar w:fldCharType="begin"/>
            </w:r>
            <w:r>
              <w:rPr>
                <w:noProof/>
                <w:webHidden/>
              </w:rPr>
              <w:instrText xml:space="preserve"> PAGEREF _Toc216176793 \h </w:instrText>
            </w:r>
            <w:r>
              <w:rPr>
                <w:noProof/>
                <w:webHidden/>
              </w:rPr>
            </w:r>
            <w:r>
              <w:rPr>
                <w:noProof/>
                <w:webHidden/>
              </w:rPr>
              <w:fldChar w:fldCharType="separate"/>
            </w:r>
            <w:r>
              <w:rPr>
                <w:noProof/>
                <w:webHidden/>
              </w:rPr>
              <w:t>4</w:t>
            </w:r>
            <w:r>
              <w:rPr>
                <w:noProof/>
                <w:webHidden/>
              </w:rPr>
              <w:fldChar w:fldCharType="end"/>
            </w:r>
          </w:hyperlink>
        </w:p>
        <w:p w:rsidR="00B1501E" w:rsidRDefault="00B1501E" w14:paraId="527E802B" w14:textId="77083E90">
          <w:pPr>
            <w:pStyle w:val="TOC2"/>
            <w:tabs>
              <w:tab w:val="right" w:leader="dot" w:pos="9350"/>
            </w:tabs>
            <w:rPr>
              <w:rFonts w:asciiTheme="minorHAnsi" w:hAnsiTheme="minorHAnsi" w:cstheme="minorBidi"/>
              <w:noProof/>
              <w:kern w:val="2"/>
              <w:sz w:val="24"/>
              <w:szCs w:val="24"/>
              <w14:ligatures w14:val="standardContextual"/>
            </w:rPr>
          </w:pPr>
          <w:hyperlink w:history="1" w:anchor="_Toc216176794">
            <w:r w:rsidRPr="000E7221">
              <w:rPr>
                <w:rStyle w:val="Hyperlink"/>
                <w:noProof/>
              </w:rPr>
              <w:t>2.1.</w:t>
            </w:r>
            <w:r>
              <w:rPr>
                <w:rFonts w:asciiTheme="minorHAnsi" w:hAnsiTheme="minorHAnsi" w:cstheme="minorBidi"/>
                <w:noProof/>
                <w:kern w:val="2"/>
                <w:sz w:val="24"/>
                <w:szCs w:val="24"/>
                <w14:ligatures w14:val="standardContextual"/>
              </w:rPr>
              <w:tab/>
            </w:r>
            <w:r w:rsidRPr="000E7221">
              <w:rPr>
                <w:rStyle w:val="Hyperlink"/>
                <w:noProof/>
              </w:rPr>
              <w:t>Submission Date</w:t>
            </w:r>
            <w:r>
              <w:rPr>
                <w:noProof/>
                <w:webHidden/>
              </w:rPr>
              <w:tab/>
            </w:r>
            <w:r>
              <w:rPr>
                <w:noProof/>
                <w:webHidden/>
              </w:rPr>
              <w:fldChar w:fldCharType="begin"/>
            </w:r>
            <w:r>
              <w:rPr>
                <w:noProof/>
                <w:webHidden/>
              </w:rPr>
              <w:instrText xml:space="preserve"> PAGEREF _Toc216176794 \h </w:instrText>
            </w:r>
            <w:r>
              <w:rPr>
                <w:noProof/>
                <w:webHidden/>
              </w:rPr>
            </w:r>
            <w:r>
              <w:rPr>
                <w:noProof/>
                <w:webHidden/>
              </w:rPr>
              <w:fldChar w:fldCharType="separate"/>
            </w:r>
            <w:r>
              <w:rPr>
                <w:noProof/>
                <w:webHidden/>
              </w:rPr>
              <w:t>7</w:t>
            </w:r>
            <w:r>
              <w:rPr>
                <w:noProof/>
                <w:webHidden/>
              </w:rPr>
              <w:fldChar w:fldCharType="end"/>
            </w:r>
          </w:hyperlink>
        </w:p>
        <w:p w:rsidR="00B1501E" w:rsidRDefault="00B1501E" w14:paraId="5A07C132" w14:textId="63C20453">
          <w:pPr>
            <w:pStyle w:val="TOC1"/>
            <w:tabs>
              <w:tab w:val="right" w:leader="dot" w:pos="9350"/>
            </w:tabs>
            <w:rPr>
              <w:rFonts w:asciiTheme="minorHAnsi" w:hAnsiTheme="minorHAnsi" w:cstheme="minorBidi"/>
              <w:noProof/>
              <w:kern w:val="2"/>
              <w:sz w:val="24"/>
              <w:szCs w:val="24"/>
              <w14:ligatures w14:val="standardContextual"/>
            </w:rPr>
          </w:pPr>
          <w:hyperlink w:history="1" w:anchor="_Toc216176795">
            <w:r w:rsidRPr="000E7221">
              <w:rPr>
                <w:rStyle w:val="Hyperlink"/>
                <w:noProof/>
              </w:rPr>
              <w:t>3.</w:t>
            </w:r>
            <w:r>
              <w:rPr>
                <w:rFonts w:asciiTheme="minorHAnsi" w:hAnsiTheme="minorHAnsi" w:cstheme="minorBidi"/>
                <w:noProof/>
                <w:kern w:val="2"/>
                <w:sz w:val="24"/>
                <w:szCs w:val="24"/>
                <w14:ligatures w14:val="standardContextual"/>
              </w:rPr>
              <w:tab/>
            </w:r>
            <w:r w:rsidRPr="000E7221">
              <w:rPr>
                <w:rStyle w:val="Hyperlink"/>
                <w:noProof/>
              </w:rPr>
              <w:t>PG&amp;E’s Revenue Requirement Request with the Fall Update</w:t>
            </w:r>
            <w:r>
              <w:rPr>
                <w:noProof/>
                <w:webHidden/>
              </w:rPr>
              <w:tab/>
            </w:r>
            <w:r>
              <w:rPr>
                <w:noProof/>
                <w:webHidden/>
              </w:rPr>
              <w:fldChar w:fldCharType="begin"/>
            </w:r>
            <w:r>
              <w:rPr>
                <w:noProof/>
                <w:webHidden/>
              </w:rPr>
              <w:instrText xml:space="preserve"> PAGEREF _Toc216176795 \h </w:instrText>
            </w:r>
            <w:r>
              <w:rPr>
                <w:noProof/>
                <w:webHidden/>
              </w:rPr>
            </w:r>
            <w:r>
              <w:rPr>
                <w:noProof/>
                <w:webHidden/>
              </w:rPr>
              <w:fldChar w:fldCharType="separate"/>
            </w:r>
            <w:r>
              <w:rPr>
                <w:noProof/>
                <w:webHidden/>
              </w:rPr>
              <w:t>7</w:t>
            </w:r>
            <w:r>
              <w:rPr>
                <w:noProof/>
                <w:webHidden/>
              </w:rPr>
              <w:fldChar w:fldCharType="end"/>
            </w:r>
          </w:hyperlink>
        </w:p>
        <w:p w:rsidR="00B1501E" w:rsidRDefault="00B1501E" w14:paraId="768B7141" w14:textId="436A0973">
          <w:pPr>
            <w:pStyle w:val="TOC1"/>
            <w:tabs>
              <w:tab w:val="right" w:leader="dot" w:pos="9350"/>
            </w:tabs>
            <w:rPr>
              <w:rFonts w:asciiTheme="minorHAnsi" w:hAnsiTheme="minorHAnsi" w:cstheme="minorBidi"/>
              <w:noProof/>
              <w:kern w:val="2"/>
              <w:sz w:val="24"/>
              <w:szCs w:val="24"/>
              <w14:ligatures w14:val="standardContextual"/>
            </w:rPr>
          </w:pPr>
          <w:hyperlink w:history="1" w:anchor="_Toc216176796">
            <w:r w:rsidRPr="000E7221">
              <w:rPr>
                <w:rStyle w:val="Hyperlink"/>
                <w:noProof/>
              </w:rPr>
              <w:t>4.</w:t>
            </w:r>
            <w:r>
              <w:rPr>
                <w:rFonts w:asciiTheme="minorHAnsi" w:hAnsiTheme="minorHAnsi" w:cstheme="minorBidi"/>
                <w:noProof/>
                <w:kern w:val="2"/>
                <w:sz w:val="24"/>
                <w:szCs w:val="24"/>
                <w14:ligatures w14:val="standardContextual"/>
              </w:rPr>
              <w:tab/>
            </w:r>
            <w:r w:rsidRPr="000E7221">
              <w:rPr>
                <w:rStyle w:val="Hyperlink"/>
                <w:noProof/>
              </w:rPr>
              <w:t>Issues Before the Commission</w:t>
            </w:r>
            <w:r>
              <w:rPr>
                <w:noProof/>
                <w:webHidden/>
              </w:rPr>
              <w:tab/>
            </w:r>
            <w:r>
              <w:rPr>
                <w:noProof/>
                <w:webHidden/>
              </w:rPr>
              <w:fldChar w:fldCharType="begin"/>
            </w:r>
            <w:r>
              <w:rPr>
                <w:noProof/>
                <w:webHidden/>
              </w:rPr>
              <w:instrText xml:space="preserve"> PAGEREF _Toc216176796 \h </w:instrText>
            </w:r>
            <w:r>
              <w:rPr>
                <w:noProof/>
                <w:webHidden/>
              </w:rPr>
            </w:r>
            <w:r>
              <w:rPr>
                <w:noProof/>
                <w:webHidden/>
              </w:rPr>
              <w:fldChar w:fldCharType="separate"/>
            </w:r>
            <w:r>
              <w:rPr>
                <w:noProof/>
                <w:webHidden/>
              </w:rPr>
              <w:t>9</w:t>
            </w:r>
            <w:r>
              <w:rPr>
                <w:noProof/>
                <w:webHidden/>
              </w:rPr>
              <w:fldChar w:fldCharType="end"/>
            </w:r>
          </w:hyperlink>
        </w:p>
        <w:p w:rsidR="00B1501E" w:rsidRDefault="00B1501E" w14:paraId="5E84BF80" w14:textId="5B0A8614">
          <w:pPr>
            <w:pStyle w:val="TOC1"/>
            <w:tabs>
              <w:tab w:val="right" w:leader="dot" w:pos="9350"/>
            </w:tabs>
            <w:rPr>
              <w:rFonts w:asciiTheme="minorHAnsi" w:hAnsiTheme="minorHAnsi" w:cstheme="minorBidi"/>
              <w:noProof/>
              <w:kern w:val="2"/>
              <w:sz w:val="24"/>
              <w:szCs w:val="24"/>
              <w14:ligatures w14:val="standardContextual"/>
            </w:rPr>
          </w:pPr>
          <w:hyperlink w:history="1" w:anchor="_Toc216176797">
            <w:r w:rsidRPr="000E7221">
              <w:rPr>
                <w:rStyle w:val="Hyperlink"/>
                <w:noProof/>
              </w:rPr>
              <w:t>5.</w:t>
            </w:r>
            <w:r>
              <w:rPr>
                <w:rFonts w:asciiTheme="minorHAnsi" w:hAnsiTheme="minorHAnsi" w:cstheme="minorBidi"/>
                <w:noProof/>
                <w:kern w:val="2"/>
                <w:sz w:val="24"/>
                <w:szCs w:val="24"/>
                <w14:ligatures w14:val="standardContextual"/>
              </w:rPr>
              <w:tab/>
            </w:r>
            <w:r w:rsidRPr="000E7221">
              <w:rPr>
                <w:rStyle w:val="Hyperlink"/>
                <w:noProof/>
              </w:rPr>
              <w:t>Burden of Proof and Evidentiary Standard</w:t>
            </w:r>
            <w:r>
              <w:rPr>
                <w:noProof/>
                <w:webHidden/>
              </w:rPr>
              <w:tab/>
            </w:r>
            <w:r>
              <w:rPr>
                <w:noProof/>
                <w:webHidden/>
              </w:rPr>
              <w:fldChar w:fldCharType="begin"/>
            </w:r>
            <w:r>
              <w:rPr>
                <w:noProof/>
                <w:webHidden/>
              </w:rPr>
              <w:instrText xml:space="preserve"> PAGEREF _Toc216176797 \h </w:instrText>
            </w:r>
            <w:r>
              <w:rPr>
                <w:noProof/>
                <w:webHidden/>
              </w:rPr>
            </w:r>
            <w:r>
              <w:rPr>
                <w:noProof/>
                <w:webHidden/>
              </w:rPr>
              <w:fldChar w:fldCharType="separate"/>
            </w:r>
            <w:r>
              <w:rPr>
                <w:noProof/>
                <w:webHidden/>
              </w:rPr>
              <w:t>11</w:t>
            </w:r>
            <w:r>
              <w:rPr>
                <w:noProof/>
                <w:webHidden/>
              </w:rPr>
              <w:fldChar w:fldCharType="end"/>
            </w:r>
          </w:hyperlink>
        </w:p>
        <w:p w:rsidR="00B1501E" w:rsidRDefault="00B1501E" w14:paraId="25B37921" w14:textId="036811ED">
          <w:pPr>
            <w:pStyle w:val="TOC1"/>
            <w:tabs>
              <w:tab w:val="right" w:leader="dot" w:pos="9350"/>
            </w:tabs>
            <w:rPr>
              <w:rFonts w:asciiTheme="minorHAnsi" w:hAnsiTheme="minorHAnsi" w:cstheme="minorBidi"/>
              <w:noProof/>
              <w:kern w:val="2"/>
              <w:sz w:val="24"/>
              <w:szCs w:val="24"/>
              <w14:ligatures w14:val="standardContextual"/>
            </w:rPr>
          </w:pPr>
          <w:hyperlink w:history="1" w:anchor="_Toc216176798">
            <w:r w:rsidRPr="000E7221">
              <w:rPr>
                <w:rStyle w:val="Hyperlink"/>
                <w:noProof/>
              </w:rPr>
              <w:t>6.</w:t>
            </w:r>
            <w:r>
              <w:rPr>
                <w:rFonts w:asciiTheme="minorHAnsi" w:hAnsiTheme="minorHAnsi" w:cstheme="minorBidi"/>
                <w:noProof/>
                <w:kern w:val="2"/>
                <w:sz w:val="24"/>
                <w:szCs w:val="24"/>
                <w14:ligatures w14:val="standardContextual"/>
              </w:rPr>
              <w:tab/>
            </w:r>
            <w:r w:rsidRPr="000E7221">
              <w:rPr>
                <w:rStyle w:val="Hyperlink"/>
                <w:noProof/>
              </w:rPr>
              <w:t>PG&amp;E’s Forecasted Cost and Requested Revenue Requirement</w:t>
            </w:r>
            <w:r>
              <w:rPr>
                <w:noProof/>
                <w:webHidden/>
              </w:rPr>
              <w:tab/>
            </w:r>
            <w:r>
              <w:rPr>
                <w:noProof/>
                <w:webHidden/>
              </w:rPr>
              <w:fldChar w:fldCharType="begin"/>
            </w:r>
            <w:r>
              <w:rPr>
                <w:noProof/>
                <w:webHidden/>
              </w:rPr>
              <w:instrText xml:space="preserve"> PAGEREF _Toc216176798 \h </w:instrText>
            </w:r>
            <w:r>
              <w:rPr>
                <w:noProof/>
                <w:webHidden/>
              </w:rPr>
            </w:r>
            <w:r>
              <w:rPr>
                <w:noProof/>
                <w:webHidden/>
              </w:rPr>
              <w:fldChar w:fldCharType="separate"/>
            </w:r>
            <w:r>
              <w:rPr>
                <w:noProof/>
                <w:webHidden/>
              </w:rPr>
              <w:t>12</w:t>
            </w:r>
            <w:r>
              <w:rPr>
                <w:noProof/>
                <w:webHidden/>
              </w:rPr>
              <w:fldChar w:fldCharType="end"/>
            </w:r>
          </w:hyperlink>
        </w:p>
        <w:p w:rsidR="00B1501E" w:rsidRDefault="00B1501E" w14:paraId="713AA27B" w14:textId="53191853">
          <w:pPr>
            <w:pStyle w:val="TOC2"/>
            <w:tabs>
              <w:tab w:val="right" w:leader="dot" w:pos="9350"/>
            </w:tabs>
            <w:rPr>
              <w:rFonts w:asciiTheme="minorHAnsi" w:hAnsiTheme="minorHAnsi" w:cstheme="minorBidi"/>
              <w:noProof/>
              <w:kern w:val="2"/>
              <w:sz w:val="24"/>
              <w:szCs w:val="24"/>
              <w14:ligatures w14:val="standardContextual"/>
            </w:rPr>
          </w:pPr>
          <w:hyperlink w:history="1" w:anchor="_Toc216176799">
            <w:r w:rsidRPr="000E7221">
              <w:rPr>
                <w:rStyle w:val="Hyperlink"/>
                <w:noProof/>
              </w:rPr>
              <w:t>6.1.</w:t>
            </w:r>
            <w:r>
              <w:rPr>
                <w:rFonts w:asciiTheme="minorHAnsi" w:hAnsiTheme="minorHAnsi" w:cstheme="minorBidi"/>
                <w:noProof/>
                <w:kern w:val="2"/>
                <w:sz w:val="24"/>
                <w:szCs w:val="24"/>
                <w14:ligatures w14:val="standardContextual"/>
              </w:rPr>
              <w:tab/>
            </w:r>
            <w:r w:rsidRPr="000E7221">
              <w:rPr>
                <w:rStyle w:val="Hyperlink"/>
                <w:noProof/>
              </w:rPr>
              <w:t>Operations and Maintenance Costs</w:t>
            </w:r>
            <w:r>
              <w:rPr>
                <w:noProof/>
                <w:webHidden/>
              </w:rPr>
              <w:tab/>
            </w:r>
            <w:r>
              <w:rPr>
                <w:noProof/>
                <w:webHidden/>
              </w:rPr>
              <w:fldChar w:fldCharType="begin"/>
            </w:r>
            <w:r>
              <w:rPr>
                <w:noProof/>
                <w:webHidden/>
              </w:rPr>
              <w:instrText xml:space="preserve"> PAGEREF _Toc216176799 \h </w:instrText>
            </w:r>
            <w:r>
              <w:rPr>
                <w:noProof/>
                <w:webHidden/>
              </w:rPr>
            </w:r>
            <w:r>
              <w:rPr>
                <w:noProof/>
                <w:webHidden/>
              </w:rPr>
              <w:fldChar w:fldCharType="separate"/>
            </w:r>
            <w:r>
              <w:rPr>
                <w:noProof/>
                <w:webHidden/>
              </w:rPr>
              <w:t>12</w:t>
            </w:r>
            <w:r>
              <w:rPr>
                <w:noProof/>
                <w:webHidden/>
              </w:rPr>
              <w:fldChar w:fldCharType="end"/>
            </w:r>
          </w:hyperlink>
        </w:p>
        <w:p w:rsidR="00B1501E" w:rsidRDefault="00B1501E" w14:paraId="71782B10" w14:textId="638FC8D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76800">
            <w:r w:rsidRPr="000E7221">
              <w:rPr>
                <w:rStyle w:val="Hyperlink"/>
                <w:noProof/>
              </w:rPr>
              <w:t>6.1.1.</w:t>
            </w:r>
            <w:r>
              <w:rPr>
                <w:rFonts w:asciiTheme="minorHAnsi" w:hAnsiTheme="minorHAnsi" w:cstheme="minorBidi"/>
                <w:noProof/>
                <w:kern w:val="2"/>
                <w:sz w:val="24"/>
                <w:szCs w:val="24"/>
                <w14:ligatures w14:val="standardContextual"/>
              </w:rPr>
              <w:tab/>
            </w:r>
            <w:r w:rsidRPr="000E7221">
              <w:rPr>
                <w:rStyle w:val="Hyperlink"/>
                <w:noProof/>
              </w:rPr>
              <w:t>PG&amp;E’s Forecasted O&amp;M Costs</w:t>
            </w:r>
            <w:r>
              <w:rPr>
                <w:noProof/>
                <w:webHidden/>
              </w:rPr>
              <w:tab/>
            </w:r>
            <w:r>
              <w:rPr>
                <w:noProof/>
                <w:webHidden/>
              </w:rPr>
              <w:fldChar w:fldCharType="begin"/>
            </w:r>
            <w:r>
              <w:rPr>
                <w:noProof/>
                <w:webHidden/>
              </w:rPr>
              <w:instrText xml:space="preserve"> PAGEREF _Toc216176800 \h </w:instrText>
            </w:r>
            <w:r>
              <w:rPr>
                <w:noProof/>
                <w:webHidden/>
              </w:rPr>
            </w:r>
            <w:r>
              <w:rPr>
                <w:noProof/>
                <w:webHidden/>
              </w:rPr>
              <w:fldChar w:fldCharType="separate"/>
            </w:r>
            <w:r>
              <w:rPr>
                <w:noProof/>
                <w:webHidden/>
              </w:rPr>
              <w:t>12</w:t>
            </w:r>
            <w:r>
              <w:rPr>
                <w:noProof/>
                <w:webHidden/>
              </w:rPr>
              <w:fldChar w:fldCharType="end"/>
            </w:r>
          </w:hyperlink>
        </w:p>
        <w:p w:rsidR="00B1501E" w:rsidRDefault="00B1501E" w14:paraId="2A18F1AF" w14:textId="27F2483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76801">
            <w:r w:rsidRPr="000E7221">
              <w:rPr>
                <w:rStyle w:val="Hyperlink"/>
                <w:noProof/>
              </w:rPr>
              <w:t>6.1.2.</w:t>
            </w:r>
            <w:r>
              <w:rPr>
                <w:rFonts w:asciiTheme="minorHAnsi" w:hAnsiTheme="minorHAnsi" w:cstheme="minorBidi"/>
                <w:noProof/>
                <w:kern w:val="2"/>
                <w:sz w:val="24"/>
                <w:szCs w:val="24"/>
                <w14:ligatures w14:val="standardContextual"/>
              </w:rPr>
              <w:tab/>
            </w:r>
            <w:r w:rsidRPr="000E7221">
              <w:rPr>
                <w:rStyle w:val="Hyperlink"/>
                <w:noProof/>
              </w:rPr>
              <w:t>Distinction Between Preparatory/Transition Costs and Extended Operation Costs</w:t>
            </w:r>
            <w:r>
              <w:rPr>
                <w:noProof/>
                <w:webHidden/>
              </w:rPr>
              <w:tab/>
            </w:r>
            <w:r>
              <w:rPr>
                <w:noProof/>
                <w:webHidden/>
              </w:rPr>
              <w:fldChar w:fldCharType="begin"/>
            </w:r>
            <w:r>
              <w:rPr>
                <w:noProof/>
                <w:webHidden/>
              </w:rPr>
              <w:instrText xml:space="preserve"> PAGEREF _Toc216176801 \h </w:instrText>
            </w:r>
            <w:r>
              <w:rPr>
                <w:noProof/>
                <w:webHidden/>
              </w:rPr>
            </w:r>
            <w:r>
              <w:rPr>
                <w:noProof/>
                <w:webHidden/>
              </w:rPr>
              <w:fldChar w:fldCharType="separate"/>
            </w:r>
            <w:r>
              <w:rPr>
                <w:noProof/>
                <w:webHidden/>
              </w:rPr>
              <w:t>15</w:t>
            </w:r>
            <w:r>
              <w:rPr>
                <w:noProof/>
                <w:webHidden/>
              </w:rPr>
              <w:fldChar w:fldCharType="end"/>
            </w:r>
          </w:hyperlink>
        </w:p>
        <w:p w:rsidR="00B1501E" w:rsidRDefault="00B1501E" w14:paraId="19FC9D92" w14:textId="2402062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76802">
            <w:r w:rsidRPr="000E7221">
              <w:rPr>
                <w:rStyle w:val="Hyperlink"/>
                <w:noProof/>
              </w:rPr>
              <w:t>6.1.3.</w:t>
            </w:r>
            <w:r>
              <w:rPr>
                <w:rFonts w:asciiTheme="minorHAnsi" w:hAnsiTheme="minorHAnsi" w:cstheme="minorBidi"/>
                <w:noProof/>
                <w:kern w:val="2"/>
                <w:sz w:val="24"/>
                <w:szCs w:val="24"/>
                <w14:ligatures w14:val="standardContextual"/>
              </w:rPr>
              <w:tab/>
            </w:r>
            <w:r w:rsidRPr="000E7221">
              <w:rPr>
                <w:rStyle w:val="Hyperlink"/>
                <w:noProof/>
              </w:rPr>
              <w:t>Conclusion – O&amp;M Costs</w:t>
            </w:r>
            <w:r>
              <w:rPr>
                <w:noProof/>
                <w:webHidden/>
              </w:rPr>
              <w:tab/>
            </w:r>
            <w:r>
              <w:rPr>
                <w:noProof/>
                <w:webHidden/>
              </w:rPr>
              <w:fldChar w:fldCharType="begin"/>
            </w:r>
            <w:r>
              <w:rPr>
                <w:noProof/>
                <w:webHidden/>
              </w:rPr>
              <w:instrText xml:space="preserve"> PAGEREF _Toc216176802 \h </w:instrText>
            </w:r>
            <w:r>
              <w:rPr>
                <w:noProof/>
                <w:webHidden/>
              </w:rPr>
            </w:r>
            <w:r>
              <w:rPr>
                <w:noProof/>
                <w:webHidden/>
              </w:rPr>
              <w:fldChar w:fldCharType="separate"/>
            </w:r>
            <w:r>
              <w:rPr>
                <w:noProof/>
                <w:webHidden/>
              </w:rPr>
              <w:t>25</w:t>
            </w:r>
            <w:r>
              <w:rPr>
                <w:noProof/>
                <w:webHidden/>
              </w:rPr>
              <w:fldChar w:fldCharType="end"/>
            </w:r>
          </w:hyperlink>
        </w:p>
        <w:p w:rsidR="00B1501E" w:rsidRDefault="00B1501E" w14:paraId="0B359919" w14:textId="78593B17">
          <w:pPr>
            <w:pStyle w:val="TOC2"/>
            <w:tabs>
              <w:tab w:val="right" w:leader="dot" w:pos="9350"/>
            </w:tabs>
            <w:rPr>
              <w:rFonts w:asciiTheme="minorHAnsi" w:hAnsiTheme="minorHAnsi" w:cstheme="minorBidi"/>
              <w:noProof/>
              <w:kern w:val="2"/>
              <w:sz w:val="24"/>
              <w:szCs w:val="24"/>
              <w14:ligatures w14:val="standardContextual"/>
            </w:rPr>
          </w:pPr>
          <w:hyperlink w:history="1" w:anchor="_Toc216176803">
            <w:r w:rsidRPr="000E7221">
              <w:rPr>
                <w:rStyle w:val="Hyperlink"/>
                <w:noProof/>
              </w:rPr>
              <w:t>6.2.</w:t>
            </w:r>
            <w:r>
              <w:rPr>
                <w:rFonts w:asciiTheme="minorHAnsi" w:hAnsiTheme="minorHAnsi" w:cstheme="minorBidi"/>
                <w:noProof/>
                <w:kern w:val="2"/>
                <w:sz w:val="24"/>
                <w:szCs w:val="24"/>
                <w14:ligatures w14:val="standardContextual"/>
              </w:rPr>
              <w:tab/>
            </w:r>
            <w:r w:rsidRPr="000E7221">
              <w:rPr>
                <w:rStyle w:val="Hyperlink"/>
                <w:noProof/>
              </w:rPr>
              <w:t>Statutory Fees</w:t>
            </w:r>
            <w:r>
              <w:rPr>
                <w:noProof/>
                <w:webHidden/>
              </w:rPr>
              <w:tab/>
            </w:r>
            <w:r>
              <w:rPr>
                <w:noProof/>
                <w:webHidden/>
              </w:rPr>
              <w:fldChar w:fldCharType="begin"/>
            </w:r>
            <w:r>
              <w:rPr>
                <w:noProof/>
                <w:webHidden/>
              </w:rPr>
              <w:instrText xml:space="preserve"> PAGEREF _Toc216176803 \h </w:instrText>
            </w:r>
            <w:r>
              <w:rPr>
                <w:noProof/>
                <w:webHidden/>
              </w:rPr>
            </w:r>
            <w:r>
              <w:rPr>
                <w:noProof/>
                <w:webHidden/>
              </w:rPr>
              <w:fldChar w:fldCharType="separate"/>
            </w:r>
            <w:r>
              <w:rPr>
                <w:noProof/>
                <w:webHidden/>
              </w:rPr>
              <w:t>25</w:t>
            </w:r>
            <w:r>
              <w:rPr>
                <w:noProof/>
                <w:webHidden/>
              </w:rPr>
              <w:fldChar w:fldCharType="end"/>
            </w:r>
          </w:hyperlink>
        </w:p>
        <w:p w:rsidR="00B1501E" w:rsidRDefault="00B1501E" w14:paraId="223F0A42" w14:textId="42B792F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76804">
            <w:r w:rsidRPr="000E7221">
              <w:rPr>
                <w:rStyle w:val="Hyperlink"/>
                <w:noProof/>
              </w:rPr>
              <w:t>6.2.1.</w:t>
            </w:r>
            <w:r>
              <w:rPr>
                <w:rFonts w:asciiTheme="minorHAnsi" w:hAnsiTheme="minorHAnsi" w:cstheme="minorBidi"/>
                <w:noProof/>
                <w:kern w:val="2"/>
                <w:sz w:val="24"/>
                <w:szCs w:val="24"/>
                <w14:ligatures w14:val="standardContextual"/>
              </w:rPr>
              <w:tab/>
            </w:r>
            <w:r w:rsidRPr="000E7221">
              <w:rPr>
                <w:rStyle w:val="Hyperlink"/>
                <w:noProof/>
              </w:rPr>
              <w:t>Fixed Management Fees</w:t>
            </w:r>
            <w:r>
              <w:rPr>
                <w:noProof/>
                <w:webHidden/>
              </w:rPr>
              <w:tab/>
            </w:r>
            <w:r>
              <w:rPr>
                <w:noProof/>
                <w:webHidden/>
              </w:rPr>
              <w:fldChar w:fldCharType="begin"/>
            </w:r>
            <w:r>
              <w:rPr>
                <w:noProof/>
                <w:webHidden/>
              </w:rPr>
              <w:instrText xml:space="preserve"> PAGEREF _Toc216176804 \h </w:instrText>
            </w:r>
            <w:r>
              <w:rPr>
                <w:noProof/>
                <w:webHidden/>
              </w:rPr>
            </w:r>
            <w:r>
              <w:rPr>
                <w:noProof/>
                <w:webHidden/>
              </w:rPr>
              <w:fldChar w:fldCharType="separate"/>
            </w:r>
            <w:r>
              <w:rPr>
                <w:noProof/>
                <w:webHidden/>
              </w:rPr>
              <w:t>25</w:t>
            </w:r>
            <w:r>
              <w:rPr>
                <w:noProof/>
                <w:webHidden/>
              </w:rPr>
              <w:fldChar w:fldCharType="end"/>
            </w:r>
          </w:hyperlink>
        </w:p>
        <w:p w:rsidR="00B1501E" w:rsidRDefault="00B1501E" w14:paraId="677945F7" w14:textId="1572E269">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16176805">
            <w:r w:rsidRPr="000E7221">
              <w:rPr>
                <w:rStyle w:val="Hyperlink"/>
                <w:noProof/>
              </w:rPr>
              <w:t>6.2.1.1.</w:t>
            </w:r>
            <w:r>
              <w:rPr>
                <w:rFonts w:asciiTheme="minorHAnsi" w:hAnsiTheme="minorHAnsi" w:eastAsiaTheme="minorEastAsia"/>
                <w:noProof/>
                <w:kern w:val="2"/>
                <w:sz w:val="24"/>
                <w:szCs w:val="24"/>
                <w14:ligatures w14:val="standardContextual"/>
              </w:rPr>
              <w:tab/>
            </w:r>
            <w:r w:rsidRPr="000E7221">
              <w:rPr>
                <w:rStyle w:val="Hyperlink"/>
                <w:noProof/>
              </w:rPr>
              <w:t>Discussion</w:t>
            </w:r>
            <w:r>
              <w:rPr>
                <w:noProof/>
                <w:webHidden/>
              </w:rPr>
              <w:tab/>
            </w:r>
            <w:r>
              <w:rPr>
                <w:noProof/>
                <w:webHidden/>
              </w:rPr>
              <w:fldChar w:fldCharType="begin"/>
            </w:r>
            <w:r>
              <w:rPr>
                <w:noProof/>
                <w:webHidden/>
              </w:rPr>
              <w:instrText xml:space="preserve"> PAGEREF _Toc216176805 \h </w:instrText>
            </w:r>
            <w:r>
              <w:rPr>
                <w:noProof/>
                <w:webHidden/>
              </w:rPr>
            </w:r>
            <w:r>
              <w:rPr>
                <w:noProof/>
                <w:webHidden/>
              </w:rPr>
              <w:fldChar w:fldCharType="separate"/>
            </w:r>
            <w:r>
              <w:rPr>
                <w:noProof/>
                <w:webHidden/>
              </w:rPr>
              <w:t>31</w:t>
            </w:r>
            <w:r>
              <w:rPr>
                <w:noProof/>
                <w:webHidden/>
              </w:rPr>
              <w:fldChar w:fldCharType="end"/>
            </w:r>
          </w:hyperlink>
        </w:p>
        <w:p w:rsidR="00B1501E" w:rsidRDefault="00B1501E" w14:paraId="327DF337" w14:textId="757BADD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76806">
            <w:r w:rsidRPr="000E7221">
              <w:rPr>
                <w:rStyle w:val="Hyperlink"/>
                <w:noProof/>
              </w:rPr>
              <w:t>6.2.2.</w:t>
            </w:r>
            <w:r>
              <w:rPr>
                <w:rFonts w:asciiTheme="minorHAnsi" w:hAnsiTheme="minorHAnsi" w:cstheme="minorBidi"/>
                <w:noProof/>
                <w:kern w:val="2"/>
                <w:sz w:val="24"/>
                <w:szCs w:val="24"/>
                <w14:ligatures w14:val="standardContextual"/>
              </w:rPr>
              <w:tab/>
            </w:r>
            <w:r w:rsidRPr="000E7221">
              <w:rPr>
                <w:rStyle w:val="Hyperlink"/>
                <w:noProof/>
              </w:rPr>
              <w:t>Volumetric Performance Fees</w:t>
            </w:r>
            <w:r>
              <w:rPr>
                <w:noProof/>
                <w:webHidden/>
              </w:rPr>
              <w:tab/>
            </w:r>
            <w:r>
              <w:rPr>
                <w:noProof/>
                <w:webHidden/>
              </w:rPr>
              <w:fldChar w:fldCharType="begin"/>
            </w:r>
            <w:r>
              <w:rPr>
                <w:noProof/>
                <w:webHidden/>
              </w:rPr>
              <w:instrText xml:space="preserve"> PAGEREF _Toc216176806 \h </w:instrText>
            </w:r>
            <w:r>
              <w:rPr>
                <w:noProof/>
                <w:webHidden/>
              </w:rPr>
            </w:r>
            <w:r>
              <w:rPr>
                <w:noProof/>
                <w:webHidden/>
              </w:rPr>
              <w:fldChar w:fldCharType="separate"/>
            </w:r>
            <w:r>
              <w:rPr>
                <w:noProof/>
                <w:webHidden/>
              </w:rPr>
              <w:t>33</w:t>
            </w:r>
            <w:r>
              <w:rPr>
                <w:noProof/>
                <w:webHidden/>
              </w:rPr>
              <w:fldChar w:fldCharType="end"/>
            </w:r>
          </w:hyperlink>
        </w:p>
        <w:p w:rsidR="00B1501E" w:rsidRDefault="00B1501E" w14:paraId="24E860B2" w14:textId="5D99407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76807">
            <w:r w:rsidRPr="000E7221">
              <w:rPr>
                <w:rStyle w:val="Hyperlink"/>
                <w:noProof/>
              </w:rPr>
              <w:t>6.2.3.</w:t>
            </w:r>
            <w:r>
              <w:rPr>
                <w:rFonts w:asciiTheme="minorHAnsi" w:hAnsiTheme="minorHAnsi" w:cstheme="minorBidi"/>
                <w:noProof/>
                <w:kern w:val="2"/>
                <w:sz w:val="24"/>
                <w:szCs w:val="24"/>
                <w14:ligatures w14:val="standardContextual"/>
              </w:rPr>
              <w:tab/>
            </w:r>
            <w:r w:rsidRPr="000E7221">
              <w:rPr>
                <w:rStyle w:val="Hyperlink"/>
                <w:noProof/>
              </w:rPr>
              <w:t>Liquidated Damages Fund</w:t>
            </w:r>
            <w:r>
              <w:rPr>
                <w:noProof/>
                <w:webHidden/>
              </w:rPr>
              <w:tab/>
            </w:r>
            <w:r>
              <w:rPr>
                <w:noProof/>
                <w:webHidden/>
              </w:rPr>
              <w:fldChar w:fldCharType="begin"/>
            </w:r>
            <w:r>
              <w:rPr>
                <w:noProof/>
                <w:webHidden/>
              </w:rPr>
              <w:instrText xml:space="preserve"> PAGEREF _Toc216176807 \h </w:instrText>
            </w:r>
            <w:r>
              <w:rPr>
                <w:noProof/>
                <w:webHidden/>
              </w:rPr>
            </w:r>
            <w:r>
              <w:rPr>
                <w:noProof/>
                <w:webHidden/>
              </w:rPr>
              <w:fldChar w:fldCharType="separate"/>
            </w:r>
            <w:r>
              <w:rPr>
                <w:noProof/>
                <w:webHidden/>
              </w:rPr>
              <w:t>34</w:t>
            </w:r>
            <w:r>
              <w:rPr>
                <w:noProof/>
                <w:webHidden/>
              </w:rPr>
              <w:fldChar w:fldCharType="end"/>
            </w:r>
          </w:hyperlink>
        </w:p>
        <w:p w:rsidR="00B1501E" w:rsidRDefault="00B1501E" w14:paraId="01D24CBB" w14:textId="616C9D9E">
          <w:pPr>
            <w:pStyle w:val="TOC2"/>
            <w:tabs>
              <w:tab w:val="right" w:leader="dot" w:pos="9350"/>
            </w:tabs>
            <w:rPr>
              <w:rFonts w:asciiTheme="minorHAnsi" w:hAnsiTheme="minorHAnsi" w:cstheme="minorBidi"/>
              <w:noProof/>
              <w:kern w:val="2"/>
              <w:sz w:val="24"/>
              <w:szCs w:val="24"/>
              <w14:ligatures w14:val="standardContextual"/>
            </w:rPr>
          </w:pPr>
          <w:hyperlink w:history="1" w:anchor="_Toc216176808">
            <w:r w:rsidRPr="000E7221">
              <w:rPr>
                <w:rStyle w:val="Hyperlink"/>
                <w:noProof/>
              </w:rPr>
              <w:t>6.3.</w:t>
            </w:r>
            <w:r>
              <w:rPr>
                <w:rFonts w:asciiTheme="minorHAnsi" w:hAnsiTheme="minorHAnsi" w:cstheme="minorBidi"/>
                <w:noProof/>
                <w:kern w:val="2"/>
                <w:sz w:val="24"/>
                <w:szCs w:val="24"/>
                <w14:ligatures w14:val="standardContextual"/>
              </w:rPr>
              <w:tab/>
            </w:r>
            <w:r w:rsidRPr="000E7221">
              <w:rPr>
                <w:rStyle w:val="Hyperlink"/>
                <w:noProof/>
              </w:rPr>
              <w:t>RA Substitution Capacity Costs</w:t>
            </w:r>
            <w:r>
              <w:rPr>
                <w:noProof/>
                <w:webHidden/>
              </w:rPr>
              <w:tab/>
            </w:r>
            <w:r>
              <w:rPr>
                <w:noProof/>
                <w:webHidden/>
              </w:rPr>
              <w:fldChar w:fldCharType="begin"/>
            </w:r>
            <w:r>
              <w:rPr>
                <w:noProof/>
                <w:webHidden/>
              </w:rPr>
              <w:instrText xml:space="preserve"> PAGEREF _Toc216176808 \h </w:instrText>
            </w:r>
            <w:r>
              <w:rPr>
                <w:noProof/>
                <w:webHidden/>
              </w:rPr>
            </w:r>
            <w:r>
              <w:rPr>
                <w:noProof/>
                <w:webHidden/>
              </w:rPr>
              <w:fldChar w:fldCharType="separate"/>
            </w:r>
            <w:r>
              <w:rPr>
                <w:noProof/>
                <w:webHidden/>
              </w:rPr>
              <w:t>35</w:t>
            </w:r>
            <w:r>
              <w:rPr>
                <w:noProof/>
                <w:webHidden/>
              </w:rPr>
              <w:fldChar w:fldCharType="end"/>
            </w:r>
          </w:hyperlink>
        </w:p>
        <w:p w:rsidR="00B1501E" w:rsidRDefault="00B1501E" w14:paraId="7BD66105" w14:textId="39B6EAB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76809">
            <w:r w:rsidRPr="000E7221">
              <w:rPr>
                <w:rStyle w:val="Hyperlink"/>
                <w:noProof/>
              </w:rPr>
              <w:t>6.3.1.</w:t>
            </w:r>
            <w:r>
              <w:rPr>
                <w:rFonts w:asciiTheme="minorHAnsi" w:hAnsiTheme="minorHAnsi" w:cstheme="minorBidi"/>
                <w:noProof/>
                <w:kern w:val="2"/>
                <w:sz w:val="24"/>
                <w:szCs w:val="24"/>
                <w14:ligatures w14:val="standardContextual"/>
              </w:rPr>
              <w:tab/>
            </w:r>
            <w:r w:rsidRPr="000E7221">
              <w:rPr>
                <w:rStyle w:val="Hyperlink"/>
                <w:noProof/>
              </w:rPr>
              <w:t>Background</w:t>
            </w:r>
            <w:r>
              <w:rPr>
                <w:noProof/>
                <w:webHidden/>
              </w:rPr>
              <w:tab/>
            </w:r>
            <w:r>
              <w:rPr>
                <w:noProof/>
                <w:webHidden/>
              </w:rPr>
              <w:fldChar w:fldCharType="begin"/>
            </w:r>
            <w:r>
              <w:rPr>
                <w:noProof/>
                <w:webHidden/>
              </w:rPr>
              <w:instrText xml:space="preserve"> PAGEREF _Toc216176809 \h </w:instrText>
            </w:r>
            <w:r>
              <w:rPr>
                <w:noProof/>
                <w:webHidden/>
              </w:rPr>
            </w:r>
            <w:r>
              <w:rPr>
                <w:noProof/>
                <w:webHidden/>
              </w:rPr>
              <w:fldChar w:fldCharType="separate"/>
            </w:r>
            <w:r>
              <w:rPr>
                <w:noProof/>
                <w:webHidden/>
              </w:rPr>
              <w:t>35</w:t>
            </w:r>
            <w:r>
              <w:rPr>
                <w:noProof/>
                <w:webHidden/>
              </w:rPr>
              <w:fldChar w:fldCharType="end"/>
            </w:r>
          </w:hyperlink>
        </w:p>
        <w:p w:rsidR="00B1501E" w:rsidRDefault="00B1501E" w14:paraId="6A54FAC5" w14:textId="7AE4E17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76810">
            <w:r w:rsidRPr="000E7221">
              <w:rPr>
                <w:rStyle w:val="Hyperlink"/>
                <w:noProof/>
              </w:rPr>
              <w:t>6.3.2.</w:t>
            </w:r>
            <w:r>
              <w:rPr>
                <w:rFonts w:asciiTheme="minorHAnsi" w:hAnsiTheme="minorHAnsi" w:cstheme="minorBidi"/>
                <w:noProof/>
                <w:kern w:val="2"/>
                <w:sz w:val="24"/>
                <w:szCs w:val="24"/>
                <w14:ligatures w14:val="standardContextual"/>
              </w:rPr>
              <w:tab/>
            </w:r>
            <w:r w:rsidRPr="000E7221">
              <w:rPr>
                <w:rStyle w:val="Hyperlink"/>
                <w:noProof/>
              </w:rPr>
              <w:t>PG&amp;E’s Proposal</w:t>
            </w:r>
            <w:r>
              <w:rPr>
                <w:noProof/>
                <w:webHidden/>
              </w:rPr>
              <w:tab/>
            </w:r>
            <w:r>
              <w:rPr>
                <w:noProof/>
                <w:webHidden/>
              </w:rPr>
              <w:fldChar w:fldCharType="begin"/>
            </w:r>
            <w:r>
              <w:rPr>
                <w:noProof/>
                <w:webHidden/>
              </w:rPr>
              <w:instrText xml:space="preserve"> PAGEREF _Toc216176810 \h </w:instrText>
            </w:r>
            <w:r>
              <w:rPr>
                <w:noProof/>
                <w:webHidden/>
              </w:rPr>
            </w:r>
            <w:r>
              <w:rPr>
                <w:noProof/>
                <w:webHidden/>
              </w:rPr>
              <w:fldChar w:fldCharType="separate"/>
            </w:r>
            <w:r>
              <w:rPr>
                <w:noProof/>
                <w:webHidden/>
              </w:rPr>
              <w:t>36</w:t>
            </w:r>
            <w:r>
              <w:rPr>
                <w:noProof/>
                <w:webHidden/>
              </w:rPr>
              <w:fldChar w:fldCharType="end"/>
            </w:r>
          </w:hyperlink>
        </w:p>
        <w:p w:rsidR="00B1501E" w:rsidRDefault="00B1501E" w14:paraId="5925555F" w14:textId="4CACB9B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76811">
            <w:r w:rsidRPr="000E7221">
              <w:rPr>
                <w:rStyle w:val="Hyperlink"/>
                <w:noProof/>
              </w:rPr>
              <w:t>6.3.3.</w:t>
            </w:r>
            <w:r>
              <w:rPr>
                <w:rFonts w:asciiTheme="minorHAnsi" w:hAnsiTheme="minorHAnsi" w:cstheme="minorBidi"/>
                <w:noProof/>
                <w:kern w:val="2"/>
                <w:sz w:val="24"/>
                <w:szCs w:val="24"/>
                <w14:ligatures w14:val="standardContextual"/>
              </w:rPr>
              <w:tab/>
            </w:r>
            <w:r w:rsidRPr="000E7221">
              <w:rPr>
                <w:rStyle w:val="Hyperlink"/>
                <w:noProof/>
              </w:rPr>
              <w:t>Party Comments</w:t>
            </w:r>
            <w:r>
              <w:rPr>
                <w:noProof/>
                <w:webHidden/>
              </w:rPr>
              <w:tab/>
            </w:r>
            <w:r>
              <w:rPr>
                <w:noProof/>
                <w:webHidden/>
              </w:rPr>
              <w:fldChar w:fldCharType="begin"/>
            </w:r>
            <w:r>
              <w:rPr>
                <w:noProof/>
                <w:webHidden/>
              </w:rPr>
              <w:instrText xml:space="preserve"> PAGEREF _Toc216176811 \h </w:instrText>
            </w:r>
            <w:r>
              <w:rPr>
                <w:noProof/>
                <w:webHidden/>
              </w:rPr>
            </w:r>
            <w:r>
              <w:rPr>
                <w:noProof/>
                <w:webHidden/>
              </w:rPr>
              <w:fldChar w:fldCharType="separate"/>
            </w:r>
            <w:r>
              <w:rPr>
                <w:noProof/>
                <w:webHidden/>
              </w:rPr>
              <w:t>38</w:t>
            </w:r>
            <w:r>
              <w:rPr>
                <w:noProof/>
                <w:webHidden/>
              </w:rPr>
              <w:fldChar w:fldCharType="end"/>
            </w:r>
          </w:hyperlink>
        </w:p>
        <w:p w:rsidR="00B1501E" w:rsidRDefault="00B1501E" w14:paraId="0848F661" w14:textId="3AED874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76812">
            <w:r w:rsidRPr="000E7221">
              <w:rPr>
                <w:rStyle w:val="Hyperlink"/>
                <w:noProof/>
              </w:rPr>
              <w:t>6.3.4.</w:t>
            </w:r>
            <w:r>
              <w:rPr>
                <w:rFonts w:asciiTheme="minorHAnsi" w:hAnsiTheme="minorHAnsi" w:cstheme="minorBidi"/>
                <w:noProof/>
                <w:kern w:val="2"/>
                <w:sz w:val="24"/>
                <w:szCs w:val="24"/>
                <w14:ligatures w14:val="standardContextual"/>
              </w:rPr>
              <w:tab/>
            </w:r>
            <w:r w:rsidRPr="000E7221">
              <w:rPr>
                <w:rStyle w:val="Hyperlink"/>
                <w:noProof/>
              </w:rPr>
              <w:t>Discussion</w:t>
            </w:r>
            <w:r>
              <w:rPr>
                <w:noProof/>
                <w:webHidden/>
              </w:rPr>
              <w:tab/>
            </w:r>
            <w:r>
              <w:rPr>
                <w:noProof/>
                <w:webHidden/>
              </w:rPr>
              <w:fldChar w:fldCharType="begin"/>
            </w:r>
            <w:r>
              <w:rPr>
                <w:noProof/>
                <w:webHidden/>
              </w:rPr>
              <w:instrText xml:space="preserve"> PAGEREF _Toc216176812 \h </w:instrText>
            </w:r>
            <w:r>
              <w:rPr>
                <w:noProof/>
                <w:webHidden/>
              </w:rPr>
            </w:r>
            <w:r>
              <w:rPr>
                <w:noProof/>
                <w:webHidden/>
              </w:rPr>
              <w:fldChar w:fldCharType="separate"/>
            </w:r>
            <w:r>
              <w:rPr>
                <w:noProof/>
                <w:webHidden/>
              </w:rPr>
              <w:t>41</w:t>
            </w:r>
            <w:r>
              <w:rPr>
                <w:noProof/>
                <w:webHidden/>
              </w:rPr>
              <w:fldChar w:fldCharType="end"/>
            </w:r>
          </w:hyperlink>
        </w:p>
        <w:p w:rsidR="00B1501E" w:rsidRDefault="00B1501E" w14:paraId="7220AB0C" w14:textId="3B92FFB9">
          <w:pPr>
            <w:pStyle w:val="TOC2"/>
            <w:tabs>
              <w:tab w:val="right" w:leader="dot" w:pos="9350"/>
            </w:tabs>
            <w:rPr>
              <w:rFonts w:asciiTheme="minorHAnsi" w:hAnsiTheme="minorHAnsi" w:cstheme="minorBidi"/>
              <w:noProof/>
              <w:kern w:val="2"/>
              <w:sz w:val="24"/>
              <w:szCs w:val="24"/>
              <w14:ligatures w14:val="standardContextual"/>
            </w:rPr>
          </w:pPr>
          <w:hyperlink w:history="1" w:anchor="_Toc216176813">
            <w:r w:rsidRPr="000E7221">
              <w:rPr>
                <w:rStyle w:val="Hyperlink"/>
                <w:noProof/>
              </w:rPr>
              <w:t>6.4.</w:t>
            </w:r>
            <w:r>
              <w:rPr>
                <w:rFonts w:asciiTheme="minorHAnsi" w:hAnsiTheme="minorHAnsi" w:cstheme="minorBidi"/>
                <w:noProof/>
                <w:kern w:val="2"/>
                <w:sz w:val="24"/>
                <w:szCs w:val="24"/>
                <w14:ligatures w14:val="standardContextual"/>
              </w:rPr>
              <w:tab/>
            </w:r>
            <w:r w:rsidRPr="000E7221">
              <w:rPr>
                <w:rStyle w:val="Hyperlink"/>
                <w:noProof/>
              </w:rPr>
              <w:t>Nuclear Fuel Costs</w:t>
            </w:r>
            <w:r>
              <w:rPr>
                <w:noProof/>
                <w:webHidden/>
              </w:rPr>
              <w:tab/>
            </w:r>
            <w:r>
              <w:rPr>
                <w:noProof/>
                <w:webHidden/>
              </w:rPr>
              <w:fldChar w:fldCharType="begin"/>
            </w:r>
            <w:r>
              <w:rPr>
                <w:noProof/>
                <w:webHidden/>
              </w:rPr>
              <w:instrText xml:space="preserve"> PAGEREF _Toc216176813 \h </w:instrText>
            </w:r>
            <w:r>
              <w:rPr>
                <w:noProof/>
                <w:webHidden/>
              </w:rPr>
            </w:r>
            <w:r>
              <w:rPr>
                <w:noProof/>
                <w:webHidden/>
              </w:rPr>
              <w:fldChar w:fldCharType="separate"/>
            </w:r>
            <w:r>
              <w:rPr>
                <w:noProof/>
                <w:webHidden/>
              </w:rPr>
              <w:t>42</w:t>
            </w:r>
            <w:r>
              <w:rPr>
                <w:noProof/>
                <w:webHidden/>
              </w:rPr>
              <w:fldChar w:fldCharType="end"/>
            </w:r>
          </w:hyperlink>
        </w:p>
        <w:p w:rsidR="00B1501E" w:rsidRDefault="00B1501E" w14:paraId="6A4ED3F5" w14:textId="0D95CD2A">
          <w:pPr>
            <w:pStyle w:val="TOC2"/>
            <w:tabs>
              <w:tab w:val="right" w:leader="dot" w:pos="9350"/>
            </w:tabs>
            <w:rPr>
              <w:rFonts w:asciiTheme="minorHAnsi" w:hAnsiTheme="minorHAnsi" w:cstheme="minorBidi"/>
              <w:noProof/>
              <w:kern w:val="2"/>
              <w:sz w:val="24"/>
              <w:szCs w:val="24"/>
              <w14:ligatures w14:val="standardContextual"/>
            </w:rPr>
          </w:pPr>
          <w:hyperlink w:history="1" w:anchor="_Toc216176814">
            <w:r w:rsidRPr="000E7221">
              <w:rPr>
                <w:rStyle w:val="Hyperlink"/>
                <w:noProof/>
              </w:rPr>
              <w:t>6.5.</w:t>
            </w:r>
            <w:r>
              <w:rPr>
                <w:rFonts w:asciiTheme="minorHAnsi" w:hAnsiTheme="minorHAnsi" w:cstheme="minorBidi"/>
                <w:noProof/>
                <w:kern w:val="2"/>
                <w:sz w:val="24"/>
                <w:szCs w:val="24"/>
                <w14:ligatures w14:val="standardContextual"/>
              </w:rPr>
              <w:tab/>
            </w:r>
            <w:r w:rsidRPr="000E7221">
              <w:rPr>
                <w:rStyle w:val="Hyperlink"/>
                <w:noProof/>
              </w:rPr>
              <w:t>PG&amp;E’s Generation and Generation Revenue Forecasts</w:t>
            </w:r>
            <w:r>
              <w:rPr>
                <w:noProof/>
                <w:webHidden/>
              </w:rPr>
              <w:tab/>
            </w:r>
            <w:r>
              <w:rPr>
                <w:noProof/>
                <w:webHidden/>
              </w:rPr>
              <w:fldChar w:fldCharType="begin"/>
            </w:r>
            <w:r>
              <w:rPr>
                <w:noProof/>
                <w:webHidden/>
              </w:rPr>
              <w:instrText xml:space="preserve"> PAGEREF _Toc216176814 \h </w:instrText>
            </w:r>
            <w:r>
              <w:rPr>
                <w:noProof/>
                <w:webHidden/>
              </w:rPr>
            </w:r>
            <w:r>
              <w:rPr>
                <w:noProof/>
                <w:webHidden/>
              </w:rPr>
              <w:fldChar w:fldCharType="separate"/>
            </w:r>
            <w:r>
              <w:rPr>
                <w:noProof/>
                <w:webHidden/>
              </w:rPr>
              <w:t>43</w:t>
            </w:r>
            <w:r>
              <w:rPr>
                <w:noProof/>
                <w:webHidden/>
              </w:rPr>
              <w:fldChar w:fldCharType="end"/>
            </w:r>
          </w:hyperlink>
        </w:p>
        <w:p w:rsidR="00B1501E" w:rsidRDefault="00B1501E" w14:paraId="6D264DB8" w14:textId="76A0B12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76815">
            <w:r w:rsidRPr="000E7221">
              <w:rPr>
                <w:rStyle w:val="Hyperlink"/>
                <w:noProof/>
              </w:rPr>
              <w:t>6.5.1.</w:t>
            </w:r>
            <w:r>
              <w:rPr>
                <w:rFonts w:asciiTheme="minorHAnsi" w:hAnsiTheme="minorHAnsi" w:cstheme="minorBidi"/>
                <w:noProof/>
                <w:kern w:val="2"/>
                <w:sz w:val="24"/>
                <w:szCs w:val="24"/>
                <w14:ligatures w14:val="standardContextual"/>
              </w:rPr>
              <w:tab/>
            </w:r>
            <w:r w:rsidRPr="000E7221">
              <w:rPr>
                <w:rStyle w:val="Hyperlink"/>
                <w:noProof/>
              </w:rPr>
              <w:t>PG&amp;E’s Methodology</w:t>
            </w:r>
            <w:r>
              <w:rPr>
                <w:noProof/>
                <w:webHidden/>
              </w:rPr>
              <w:tab/>
            </w:r>
            <w:r>
              <w:rPr>
                <w:noProof/>
                <w:webHidden/>
              </w:rPr>
              <w:fldChar w:fldCharType="begin"/>
            </w:r>
            <w:r>
              <w:rPr>
                <w:noProof/>
                <w:webHidden/>
              </w:rPr>
              <w:instrText xml:space="preserve"> PAGEREF _Toc216176815 \h </w:instrText>
            </w:r>
            <w:r>
              <w:rPr>
                <w:noProof/>
                <w:webHidden/>
              </w:rPr>
            </w:r>
            <w:r>
              <w:rPr>
                <w:noProof/>
                <w:webHidden/>
              </w:rPr>
              <w:fldChar w:fldCharType="separate"/>
            </w:r>
            <w:r>
              <w:rPr>
                <w:noProof/>
                <w:webHidden/>
              </w:rPr>
              <w:t>44</w:t>
            </w:r>
            <w:r>
              <w:rPr>
                <w:noProof/>
                <w:webHidden/>
              </w:rPr>
              <w:fldChar w:fldCharType="end"/>
            </w:r>
          </w:hyperlink>
        </w:p>
        <w:p w:rsidR="00B1501E" w:rsidRDefault="00B1501E" w14:paraId="71808560" w14:textId="0D8BDC8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176816">
            <w:r w:rsidRPr="000E7221">
              <w:rPr>
                <w:rStyle w:val="Hyperlink"/>
                <w:noProof/>
              </w:rPr>
              <w:t>6.5.2.</w:t>
            </w:r>
            <w:r>
              <w:rPr>
                <w:rFonts w:asciiTheme="minorHAnsi" w:hAnsiTheme="minorHAnsi" w:cstheme="minorBidi"/>
                <w:noProof/>
                <w:kern w:val="2"/>
                <w:sz w:val="24"/>
                <w:szCs w:val="24"/>
                <w14:ligatures w14:val="standardContextual"/>
              </w:rPr>
              <w:tab/>
            </w:r>
            <w:r w:rsidRPr="000E7221">
              <w:rPr>
                <w:rStyle w:val="Hyperlink"/>
                <w:noProof/>
              </w:rPr>
              <w:t>Party Comments and Discussion</w:t>
            </w:r>
            <w:r>
              <w:rPr>
                <w:noProof/>
                <w:webHidden/>
              </w:rPr>
              <w:tab/>
            </w:r>
            <w:r>
              <w:rPr>
                <w:noProof/>
                <w:webHidden/>
              </w:rPr>
              <w:fldChar w:fldCharType="begin"/>
            </w:r>
            <w:r>
              <w:rPr>
                <w:noProof/>
                <w:webHidden/>
              </w:rPr>
              <w:instrText xml:space="preserve"> PAGEREF _Toc216176816 \h </w:instrText>
            </w:r>
            <w:r>
              <w:rPr>
                <w:noProof/>
                <w:webHidden/>
              </w:rPr>
            </w:r>
            <w:r>
              <w:rPr>
                <w:noProof/>
                <w:webHidden/>
              </w:rPr>
              <w:fldChar w:fldCharType="separate"/>
            </w:r>
            <w:r>
              <w:rPr>
                <w:noProof/>
                <w:webHidden/>
              </w:rPr>
              <w:t>44</w:t>
            </w:r>
            <w:r>
              <w:rPr>
                <w:noProof/>
                <w:webHidden/>
              </w:rPr>
              <w:fldChar w:fldCharType="end"/>
            </w:r>
          </w:hyperlink>
        </w:p>
        <w:p w:rsidR="00B1501E" w:rsidRDefault="00B1501E" w14:paraId="6A89A5B0" w14:textId="45D6D254">
          <w:pPr>
            <w:pStyle w:val="TOC2"/>
            <w:tabs>
              <w:tab w:val="right" w:leader="dot" w:pos="9350"/>
            </w:tabs>
            <w:rPr>
              <w:rFonts w:asciiTheme="minorHAnsi" w:hAnsiTheme="minorHAnsi" w:cstheme="minorBidi"/>
              <w:noProof/>
              <w:kern w:val="2"/>
              <w:sz w:val="24"/>
              <w:szCs w:val="24"/>
              <w14:ligatures w14:val="standardContextual"/>
            </w:rPr>
          </w:pPr>
          <w:hyperlink w:history="1" w:anchor="_Toc216176817">
            <w:r w:rsidRPr="000E7221">
              <w:rPr>
                <w:rStyle w:val="Hyperlink"/>
                <w:noProof/>
              </w:rPr>
              <w:t>6.6.</w:t>
            </w:r>
            <w:r>
              <w:rPr>
                <w:rFonts w:asciiTheme="minorHAnsi" w:hAnsiTheme="minorHAnsi" w:cstheme="minorBidi"/>
                <w:noProof/>
                <w:kern w:val="2"/>
                <w:sz w:val="24"/>
                <w:szCs w:val="24"/>
                <w14:ligatures w14:val="standardContextual"/>
              </w:rPr>
              <w:tab/>
            </w:r>
            <w:r w:rsidRPr="000E7221">
              <w:rPr>
                <w:rStyle w:val="Hyperlink"/>
                <w:noProof/>
              </w:rPr>
              <w:t>Netting of CAISO Revenues</w:t>
            </w:r>
            <w:r>
              <w:rPr>
                <w:noProof/>
                <w:webHidden/>
              </w:rPr>
              <w:tab/>
            </w:r>
            <w:r>
              <w:rPr>
                <w:noProof/>
                <w:webHidden/>
              </w:rPr>
              <w:fldChar w:fldCharType="begin"/>
            </w:r>
            <w:r>
              <w:rPr>
                <w:noProof/>
                <w:webHidden/>
              </w:rPr>
              <w:instrText xml:space="preserve"> PAGEREF _Toc216176817 \h </w:instrText>
            </w:r>
            <w:r>
              <w:rPr>
                <w:noProof/>
                <w:webHidden/>
              </w:rPr>
            </w:r>
            <w:r>
              <w:rPr>
                <w:noProof/>
                <w:webHidden/>
              </w:rPr>
              <w:fldChar w:fldCharType="separate"/>
            </w:r>
            <w:r>
              <w:rPr>
                <w:noProof/>
                <w:webHidden/>
              </w:rPr>
              <w:t>45</w:t>
            </w:r>
            <w:r>
              <w:rPr>
                <w:noProof/>
                <w:webHidden/>
              </w:rPr>
              <w:fldChar w:fldCharType="end"/>
            </w:r>
          </w:hyperlink>
        </w:p>
        <w:p w:rsidR="00B1501E" w:rsidRDefault="00B1501E" w14:paraId="3DA64DD8" w14:textId="571761F2">
          <w:pPr>
            <w:pStyle w:val="TOC1"/>
            <w:tabs>
              <w:tab w:val="right" w:leader="dot" w:pos="9350"/>
            </w:tabs>
            <w:rPr>
              <w:rFonts w:asciiTheme="minorHAnsi" w:hAnsiTheme="minorHAnsi" w:cstheme="minorBidi"/>
              <w:noProof/>
              <w:kern w:val="2"/>
              <w:sz w:val="24"/>
              <w:szCs w:val="24"/>
              <w14:ligatures w14:val="standardContextual"/>
            </w:rPr>
          </w:pPr>
          <w:hyperlink w:history="1" w:anchor="_Toc216176818">
            <w:r w:rsidRPr="000E7221">
              <w:rPr>
                <w:rStyle w:val="Hyperlink"/>
                <w:noProof/>
              </w:rPr>
              <w:t>7.</w:t>
            </w:r>
            <w:r>
              <w:rPr>
                <w:rFonts w:asciiTheme="minorHAnsi" w:hAnsiTheme="minorHAnsi" w:cstheme="minorBidi"/>
                <w:noProof/>
                <w:kern w:val="2"/>
                <w:sz w:val="24"/>
                <w:szCs w:val="24"/>
                <w14:ligatures w14:val="standardContextual"/>
              </w:rPr>
              <w:tab/>
            </w:r>
            <w:r w:rsidRPr="000E7221">
              <w:rPr>
                <w:rStyle w:val="Hyperlink"/>
                <w:noProof/>
              </w:rPr>
              <w:t>Non-Bypassable Charge</w:t>
            </w:r>
            <w:r>
              <w:rPr>
                <w:noProof/>
                <w:webHidden/>
              </w:rPr>
              <w:tab/>
            </w:r>
            <w:r>
              <w:rPr>
                <w:noProof/>
                <w:webHidden/>
              </w:rPr>
              <w:fldChar w:fldCharType="begin"/>
            </w:r>
            <w:r>
              <w:rPr>
                <w:noProof/>
                <w:webHidden/>
              </w:rPr>
              <w:instrText xml:space="preserve"> PAGEREF _Toc216176818 \h </w:instrText>
            </w:r>
            <w:r>
              <w:rPr>
                <w:noProof/>
                <w:webHidden/>
              </w:rPr>
            </w:r>
            <w:r>
              <w:rPr>
                <w:noProof/>
                <w:webHidden/>
              </w:rPr>
              <w:fldChar w:fldCharType="separate"/>
            </w:r>
            <w:r>
              <w:rPr>
                <w:noProof/>
                <w:webHidden/>
              </w:rPr>
              <w:t>46</w:t>
            </w:r>
            <w:r>
              <w:rPr>
                <w:noProof/>
                <w:webHidden/>
              </w:rPr>
              <w:fldChar w:fldCharType="end"/>
            </w:r>
          </w:hyperlink>
        </w:p>
        <w:p w:rsidR="00B1501E" w:rsidRDefault="00B1501E" w14:paraId="30052971" w14:textId="495B8EE1">
          <w:pPr>
            <w:pStyle w:val="TOC2"/>
            <w:tabs>
              <w:tab w:val="right" w:leader="dot" w:pos="9350"/>
            </w:tabs>
            <w:rPr>
              <w:rFonts w:asciiTheme="minorHAnsi" w:hAnsiTheme="minorHAnsi" w:cstheme="minorBidi"/>
              <w:noProof/>
              <w:kern w:val="2"/>
              <w:sz w:val="24"/>
              <w:szCs w:val="24"/>
              <w14:ligatures w14:val="standardContextual"/>
            </w:rPr>
          </w:pPr>
          <w:hyperlink w:history="1" w:anchor="_Toc216176819">
            <w:r w:rsidRPr="000E7221">
              <w:rPr>
                <w:rStyle w:val="Hyperlink"/>
                <w:noProof/>
              </w:rPr>
              <w:t>7.1.</w:t>
            </w:r>
            <w:r>
              <w:rPr>
                <w:rFonts w:asciiTheme="minorHAnsi" w:hAnsiTheme="minorHAnsi" w:cstheme="minorBidi"/>
                <w:noProof/>
                <w:kern w:val="2"/>
                <w:sz w:val="24"/>
                <w:szCs w:val="24"/>
                <w14:ligatures w14:val="standardContextual"/>
              </w:rPr>
              <w:tab/>
            </w:r>
            <w:r w:rsidRPr="000E7221">
              <w:rPr>
                <w:rStyle w:val="Hyperlink"/>
                <w:noProof/>
              </w:rPr>
              <w:t>Background and the IOUs’ Joint Proposal</w:t>
            </w:r>
            <w:r>
              <w:rPr>
                <w:noProof/>
                <w:webHidden/>
              </w:rPr>
              <w:tab/>
            </w:r>
            <w:r>
              <w:rPr>
                <w:noProof/>
                <w:webHidden/>
              </w:rPr>
              <w:fldChar w:fldCharType="begin"/>
            </w:r>
            <w:r>
              <w:rPr>
                <w:noProof/>
                <w:webHidden/>
              </w:rPr>
              <w:instrText xml:space="preserve"> PAGEREF _Toc216176819 \h </w:instrText>
            </w:r>
            <w:r>
              <w:rPr>
                <w:noProof/>
                <w:webHidden/>
              </w:rPr>
            </w:r>
            <w:r>
              <w:rPr>
                <w:noProof/>
                <w:webHidden/>
              </w:rPr>
              <w:fldChar w:fldCharType="separate"/>
            </w:r>
            <w:r>
              <w:rPr>
                <w:noProof/>
                <w:webHidden/>
              </w:rPr>
              <w:t>46</w:t>
            </w:r>
            <w:r>
              <w:rPr>
                <w:noProof/>
                <w:webHidden/>
              </w:rPr>
              <w:fldChar w:fldCharType="end"/>
            </w:r>
          </w:hyperlink>
        </w:p>
        <w:p w:rsidR="00B1501E" w:rsidRDefault="00B1501E" w14:paraId="5113A2F3" w14:textId="08A7FACB">
          <w:pPr>
            <w:pStyle w:val="TOC2"/>
            <w:tabs>
              <w:tab w:val="right" w:leader="dot" w:pos="9350"/>
            </w:tabs>
            <w:rPr>
              <w:rFonts w:asciiTheme="minorHAnsi" w:hAnsiTheme="minorHAnsi" w:cstheme="minorBidi"/>
              <w:noProof/>
              <w:kern w:val="2"/>
              <w:sz w:val="24"/>
              <w:szCs w:val="24"/>
              <w14:ligatures w14:val="standardContextual"/>
            </w:rPr>
          </w:pPr>
          <w:hyperlink w:history="1" w:anchor="_Toc216176820">
            <w:r w:rsidRPr="000E7221">
              <w:rPr>
                <w:rStyle w:val="Hyperlink"/>
                <w:noProof/>
              </w:rPr>
              <w:t>7.2.</w:t>
            </w:r>
            <w:r>
              <w:rPr>
                <w:rFonts w:asciiTheme="minorHAnsi" w:hAnsiTheme="minorHAnsi" w:cstheme="minorBidi"/>
                <w:noProof/>
                <w:kern w:val="2"/>
                <w:sz w:val="24"/>
                <w:szCs w:val="24"/>
                <w14:ligatures w14:val="standardContextual"/>
              </w:rPr>
              <w:tab/>
            </w:r>
            <w:r w:rsidRPr="000E7221">
              <w:rPr>
                <w:rStyle w:val="Hyperlink"/>
                <w:noProof/>
              </w:rPr>
              <w:t>Party Positions</w:t>
            </w:r>
            <w:r>
              <w:rPr>
                <w:noProof/>
                <w:webHidden/>
              </w:rPr>
              <w:tab/>
            </w:r>
            <w:r>
              <w:rPr>
                <w:noProof/>
                <w:webHidden/>
              </w:rPr>
              <w:fldChar w:fldCharType="begin"/>
            </w:r>
            <w:r>
              <w:rPr>
                <w:noProof/>
                <w:webHidden/>
              </w:rPr>
              <w:instrText xml:space="preserve"> PAGEREF _Toc216176820 \h </w:instrText>
            </w:r>
            <w:r>
              <w:rPr>
                <w:noProof/>
                <w:webHidden/>
              </w:rPr>
            </w:r>
            <w:r>
              <w:rPr>
                <w:noProof/>
                <w:webHidden/>
              </w:rPr>
              <w:fldChar w:fldCharType="separate"/>
            </w:r>
            <w:r>
              <w:rPr>
                <w:noProof/>
                <w:webHidden/>
              </w:rPr>
              <w:t>48</w:t>
            </w:r>
            <w:r>
              <w:rPr>
                <w:noProof/>
                <w:webHidden/>
              </w:rPr>
              <w:fldChar w:fldCharType="end"/>
            </w:r>
          </w:hyperlink>
        </w:p>
        <w:p w:rsidR="00B1501E" w:rsidRDefault="00B1501E" w14:paraId="795F2861" w14:textId="35C08A07">
          <w:pPr>
            <w:pStyle w:val="TOC2"/>
            <w:tabs>
              <w:tab w:val="right" w:leader="dot" w:pos="9350"/>
            </w:tabs>
            <w:rPr>
              <w:rFonts w:asciiTheme="minorHAnsi" w:hAnsiTheme="minorHAnsi" w:cstheme="minorBidi"/>
              <w:noProof/>
              <w:kern w:val="2"/>
              <w:sz w:val="24"/>
              <w:szCs w:val="24"/>
              <w14:ligatures w14:val="standardContextual"/>
            </w:rPr>
          </w:pPr>
          <w:hyperlink w:history="1" w:anchor="_Toc216176821">
            <w:r w:rsidRPr="000E7221">
              <w:rPr>
                <w:rStyle w:val="Hyperlink"/>
                <w:noProof/>
              </w:rPr>
              <w:t>7.3.</w:t>
            </w:r>
            <w:r>
              <w:rPr>
                <w:rFonts w:asciiTheme="minorHAnsi" w:hAnsiTheme="minorHAnsi" w:cstheme="minorBidi"/>
                <w:noProof/>
                <w:kern w:val="2"/>
                <w:sz w:val="24"/>
                <w:szCs w:val="24"/>
                <w14:ligatures w14:val="standardContextual"/>
              </w:rPr>
              <w:tab/>
            </w:r>
            <w:r w:rsidRPr="000E7221">
              <w:rPr>
                <w:rStyle w:val="Hyperlink"/>
                <w:noProof/>
              </w:rPr>
              <w:t>Discussion</w:t>
            </w:r>
            <w:r>
              <w:rPr>
                <w:noProof/>
                <w:webHidden/>
              </w:rPr>
              <w:tab/>
            </w:r>
            <w:r>
              <w:rPr>
                <w:noProof/>
                <w:webHidden/>
              </w:rPr>
              <w:fldChar w:fldCharType="begin"/>
            </w:r>
            <w:r>
              <w:rPr>
                <w:noProof/>
                <w:webHidden/>
              </w:rPr>
              <w:instrText xml:space="preserve"> PAGEREF _Toc216176821 \h </w:instrText>
            </w:r>
            <w:r>
              <w:rPr>
                <w:noProof/>
                <w:webHidden/>
              </w:rPr>
            </w:r>
            <w:r>
              <w:rPr>
                <w:noProof/>
                <w:webHidden/>
              </w:rPr>
              <w:fldChar w:fldCharType="separate"/>
            </w:r>
            <w:r>
              <w:rPr>
                <w:noProof/>
                <w:webHidden/>
              </w:rPr>
              <w:t>48</w:t>
            </w:r>
            <w:r>
              <w:rPr>
                <w:noProof/>
                <w:webHidden/>
              </w:rPr>
              <w:fldChar w:fldCharType="end"/>
            </w:r>
          </w:hyperlink>
        </w:p>
        <w:p w:rsidR="00B1501E" w:rsidRDefault="00B1501E" w14:paraId="529D04DA" w14:textId="4C9FE8B3">
          <w:pPr>
            <w:pStyle w:val="TOC1"/>
            <w:tabs>
              <w:tab w:val="right" w:leader="dot" w:pos="9350"/>
            </w:tabs>
            <w:rPr>
              <w:rFonts w:asciiTheme="minorHAnsi" w:hAnsiTheme="minorHAnsi" w:cstheme="minorBidi"/>
              <w:noProof/>
              <w:kern w:val="2"/>
              <w:sz w:val="24"/>
              <w:szCs w:val="24"/>
              <w14:ligatures w14:val="standardContextual"/>
            </w:rPr>
          </w:pPr>
          <w:hyperlink w:history="1" w:anchor="_Toc216176822">
            <w:r w:rsidRPr="000E7221">
              <w:rPr>
                <w:rStyle w:val="Hyperlink"/>
                <w:noProof/>
              </w:rPr>
              <w:t>8.</w:t>
            </w:r>
            <w:r>
              <w:rPr>
                <w:rFonts w:asciiTheme="minorHAnsi" w:hAnsiTheme="minorHAnsi" w:cstheme="minorBidi"/>
                <w:noProof/>
                <w:kern w:val="2"/>
                <w:sz w:val="24"/>
                <w:szCs w:val="24"/>
                <w14:ligatures w14:val="standardContextual"/>
              </w:rPr>
              <w:tab/>
            </w:r>
            <w:r w:rsidRPr="000E7221">
              <w:rPr>
                <w:rStyle w:val="Hyperlink"/>
                <w:noProof/>
              </w:rPr>
              <w:t>Modification to DOELBA Preliminary Statement</w:t>
            </w:r>
            <w:r>
              <w:rPr>
                <w:noProof/>
                <w:webHidden/>
              </w:rPr>
              <w:tab/>
            </w:r>
            <w:r>
              <w:rPr>
                <w:noProof/>
                <w:webHidden/>
              </w:rPr>
              <w:fldChar w:fldCharType="begin"/>
            </w:r>
            <w:r>
              <w:rPr>
                <w:noProof/>
                <w:webHidden/>
              </w:rPr>
              <w:instrText xml:space="preserve"> PAGEREF _Toc216176822 \h </w:instrText>
            </w:r>
            <w:r>
              <w:rPr>
                <w:noProof/>
                <w:webHidden/>
              </w:rPr>
            </w:r>
            <w:r>
              <w:rPr>
                <w:noProof/>
                <w:webHidden/>
              </w:rPr>
              <w:fldChar w:fldCharType="separate"/>
            </w:r>
            <w:r>
              <w:rPr>
                <w:noProof/>
                <w:webHidden/>
              </w:rPr>
              <w:t>49</w:t>
            </w:r>
            <w:r>
              <w:rPr>
                <w:noProof/>
                <w:webHidden/>
              </w:rPr>
              <w:fldChar w:fldCharType="end"/>
            </w:r>
          </w:hyperlink>
        </w:p>
        <w:p w:rsidR="00B1501E" w:rsidRDefault="00B1501E" w14:paraId="6CD00386" w14:textId="2C7BD43E">
          <w:pPr>
            <w:pStyle w:val="TOC2"/>
            <w:tabs>
              <w:tab w:val="right" w:leader="dot" w:pos="9350"/>
            </w:tabs>
            <w:rPr>
              <w:rFonts w:asciiTheme="minorHAnsi" w:hAnsiTheme="minorHAnsi" w:cstheme="minorBidi"/>
              <w:noProof/>
              <w:kern w:val="2"/>
              <w:sz w:val="24"/>
              <w:szCs w:val="24"/>
              <w14:ligatures w14:val="standardContextual"/>
            </w:rPr>
          </w:pPr>
          <w:hyperlink w:history="1" w:anchor="_Toc216176823">
            <w:r w:rsidRPr="000E7221">
              <w:rPr>
                <w:rStyle w:val="Hyperlink"/>
                <w:noProof/>
              </w:rPr>
              <w:t>8.1.</w:t>
            </w:r>
            <w:r>
              <w:rPr>
                <w:rFonts w:asciiTheme="minorHAnsi" w:hAnsiTheme="minorHAnsi" w:cstheme="minorBidi"/>
                <w:noProof/>
                <w:kern w:val="2"/>
                <w:sz w:val="24"/>
                <w:szCs w:val="24"/>
                <w14:ligatures w14:val="standardContextual"/>
              </w:rPr>
              <w:tab/>
            </w:r>
            <w:r w:rsidRPr="000E7221">
              <w:rPr>
                <w:rStyle w:val="Hyperlink"/>
                <w:noProof/>
              </w:rPr>
              <w:t>Background</w:t>
            </w:r>
            <w:r>
              <w:rPr>
                <w:noProof/>
                <w:webHidden/>
              </w:rPr>
              <w:tab/>
            </w:r>
            <w:r>
              <w:rPr>
                <w:noProof/>
                <w:webHidden/>
              </w:rPr>
              <w:fldChar w:fldCharType="begin"/>
            </w:r>
            <w:r>
              <w:rPr>
                <w:noProof/>
                <w:webHidden/>
              </w:rPr>
              <w:instrText xml:space="preserve"> PAGEREF _Toc216176823 \h </w:instrText>
            </w:r>
            <w:r>
              <w:rPr>
                <w:noProof/>
                <w:webHidden/>
              </w:rPr>
            </w:r>
            <w:r>
              <w:rPr>
                <w:noProof/>
                <w:webHidden/>
              </w:rPr>
              <w:fldChar w:fldCharType="separate"/>
            </w:r>
            <w:r>
              <w:rPr>
                <w:noProof/>
                <w:webHidden/>
              </w:rPr>
              <w:t>49</w:t>
            </w:r>
            <w:r>
              <w:rPr>
                <w:noProof/>
                <w:webHidden/>
              </w:rPr>
              <w:fldChar w:fldCharType="end"/>
            </w:r>
          </w:hyperlink>
        </w:p>
        <w:p w:rsidR="00B1501E" w:rsidRDefault="00B1501E" w14:paraId="03240DD7" w14:textId="3FE22D77">
          <w:pPr>
            <w:pStyle w:val="TOC2"/>
            <w:tabs>
              <w:tab w:val="right" w:leader="dot" w:pos="9350"/>
            </w:tabs>
            <w:rPr>
              <w:rFonts w:asciiTheme="minorHAnsi" w:hAnsiTheme="minorHAnsi" w:cstheme="minorBidi"/>
              <w:noProof/>
              <w:kern w:val="2"/>
              <w:sz w:val="24"/>
              <w:szCs w:val="24"/>
              <w14:ligatures w14:val="standardContextual"/>
            </w:rPr>
          </w:pPr>
          <w:hyperlink w:history="1" w:anchor="_Toc216176824">
            <w:r w:rsidRPr="000E7221">
              <w:rPr>
                <w:rStyle w:val="Hyperlink"/>
                <w:noProof/>
              </w:rPr>
              <w:t>8.2.</w:t>
            </w:r>
            <w:r>
              <w:rPr>
                <w:rFonts w:asciiTheme="minorHAnsi" w:hAnsiTheme="minorHAnsi" w:cstheme="minorBidi"/>
                <w:noProof/>
                <w:kern w:val="2"/>
                <w:sz w:val="24"/>
                <w:szCs w:val="24"/>
                <w14:ligatures w14:val="standardContextual"/>
              </w:rPr>
              <w:tab/>
            </w:r>
            <w:r w:rsidRPr="000E7221">
              <w:rPr>
                <w:rStyle w:val="Hyperlink"/>
                <w:noProof/>
              </w:rPr>
              <w:t>Discussion</w:t>
            </w:r>
            <w:r>
              <w:rPr>
                <w:noProof/>
                <w:webHidden/>
              </w:rPr>
              <w:tab/>
            </w:r>
            <w:r>
              <w:rPr>
                <w:noProof/>
                <w:webHidden/>
              </w:rPr>
              <w:fldChar w:fldCharType="begin"/>
            </w:r>
            <w:r>
              <w:rPr>
                <w:noProof/>
                <w:webHidden/>
              </w:rPr>
              <w:instrText xml:space="preserve"> PAGEREF _Toc216176824 \h </w:instrText>
            </w:r>
            <w:r>
              <w:rPr>
                <w:noProof/>
                <w:webHidden/>
              </w:rPr>
            </w:r>
            <w:r>
              <w:rPr>
                <w:noProof/>
                <w:webHidden/>
              </w:rPr>
              <w:fldChar w:fldCharType="separate"/>
            </w:r>
            <w:r>
              <w:rPr>
                <w:noProof/>
                <w:webHidden/>
              </w:rPr>
              <w:t>52</w:t>
            </w:r>
            <w:r>
              <w:rPr>
                <w:noProof/>
                <w:webHidden/>
              </w:rPr>
              <w:fldChar w:fldCharType="end"/>
            </w:r>
          </w:hyperlink>
        </w:p>
        <w:p w:rsidR="00B1501E" w:rsidRDefault="00B1501E" w14:paraId="1933A2C9" w14:textId="3BD1F722">
          <w:pPr>
            <w:pStyle w:val="TOC1"/>
            <w:tabs>
              <w:tab w:val="right" w:leader="dot" w:pos="9350"/>
            </w:tabs>
            <w:rPr>
              <w:rFonts w:asciiTheme="minorHAnsi" w:hAnsiTheme="minorHAnsi" w:cstheme="minorBidi"/>
              <w:noProof/>
              <w:kern w:val="2"/>
              <w:sz w:val="24"/>
              <w:szCs w:val="24"/>
              <w14:ligatures w14:val="standardContextual"/>
            </w:rPr>
          </w:pPr>
          <w:hyperlink w:history="1" w:anchor="_Toc216176825">
            <w:r w:rsidRPr="000E7221">
              <w:rPr>
                <w:rStyle w:val="Hyperlink"/>
                <w:noProof/>
              </w:rPr>
              <w:t>9.</w:t>
            </w:r>
            <w:r>
              <w:rPr>
                <w:rFonts w:asciiTheme="minorHAnsi" w:hAnsiTheme="minorHAnsi" w:cstheme="minorBidi"/>
                <w:noProof/>
                <w:kern w:val="2"/>
                <w:sz w:val="24"/>
                <w:szCs w:val="24"/>
                <w14:ligatures w14:val="standardContextual"/>
              </w:rPr>
              <w:tab/>
            </w:r>
            <w:r w:rsidRPr="000E7221">
              <w:rPr>
                <w:rStyle w:val="Hyperlink"/>
                <w:noProof/>
              </w:rPr>
              <w:t>Volumetric Performance Fees Spending Plan</w:t>
            </w:r>
            <w:r>
              <w:rPr>
                <w:noProof/>
                <w:webHidden/>
              </w:rPr>
              <w:tab/>
            </w:r>
            <w:r>
              <w:rPr>
                <w:noProof/>
                <w:webHidden/>
              </w:rPr>
              <w:fldChar w:fldCharType="begin"/>
            </w:r>
            <w:r>
              <w:rPr>
                <w:noProof/>
                <w:webHidden/>
              </w:rPr>
              <w:instrText xml:space="preserve"> PAGEREF _Toc216176825 \h </w:instrText>
            </w:r>
            <w:r>
              <w:rPr>
                <w:noProof/>
                <w:webHidden/>
              </w:rPr>
            </w:r>
            <w:r>
              <w:rPr>
                <w:noProof/>
                <w:webHidden/>
              </w:rPr>
              <w:fldChar w:fldCharType="separate"/>
            </w:r>
            <w:r>
              <w:rPr>
                <w:noProof/>
                <w:webHidden/>
              </w:rPr>
              <w:t>52</w:t>
            </w:r>
            <w:r>
              <w:rPr>
                <w:noProof/>
                <w:webHidden/>
              </w:rPr>
              <w:fldChar w:fldCharType="end"/>
            </w:r>
          </w:hyperlink>
        </w:p>
        <w:p w:rsidR="00B1501E" w:rsidRDefault="00B1501E" w14:paraId="6CF8BCE8" w14:textId="5BBB8500">
          <w:pPr>
            <w:pStyle w:val="TOC2"/>
            <w:tabs>
              <w:tab w:val="right" w:leader="dot" w:pos="9350"/>
            </w:tabs>
            <w:rPr>
              <w:rFonts w:asciiTheme="minorHAnsi" w:hAnsiTheme="minorHAnsi" w:cstheme="minorBidi"/>
              <w:noProof/>
              <w:kern w:val="2"/>
              <w:sz w:val="24"/>
              <w:szCs w:val="24"/>
              <w14:ligatures w14:val="standardContextual"/>
            </w:rPr>
          </w:pPr>
          <w:hyperlink w:history="1" w:anchor="_Toc216176826">
            <w:r w:rsidRPr="000E7221">
              <w:rPr>
                <w:rStyle w:val="Hyperlink"/>
                <w:noProof/>
              </w:rPr>
              <w:t>9.1.</w:t>
            </w:r>
            <w:r>
              <w:rPr>
                <w:rFonts w:asciiTheme="minorHAnsi" w:hAnsiTheme="minorHAnsi" w:cstheme="minorBidi"/>
                <w:noProof/>
                <w:kern w:val="2"/>
                <w:sz w:val="24"/>
                <w:szCs w:val="24"/>
                <w14:ligatures w14:val="standardContextual"/>
              </w:rPr>
              <w:tab/>
            </w:r>
            <w:r w:rsidRPr="000E7221">
              <w:rPr>
                <w:rStyle w:val="Hyperlink"/>
                <w:noProof/>
              </w:rPr>
              <w:t>Background</w:t>
            </w:r>
            <w:r>
              <w:rPr>
                <w:noProof/>
                <w:webHidden/>
              </w:rPr>
              <w:tab/>
            </w:r>
            <w:r>
              <w:rPr>
                <w:noProof/>
                <w:webHidden/>
              </w:rPr>
              <w:fldChar w:fldCharType="begin"/>
            </w:r>
            <w:r>
              <w:rPr>
                <w:noProof/>
                <w:webHidden/>
              </w:rPr>
              <w:instrText xml:space="preserve"> PAGEREF _Toc216176826 \h </w:instrText>
            </w:r>
            <w:r>
              <w:rPr>
                <w:noProof/>
                <w:webHidden/>
              </w:rPr>
            </w:r>
            <w:r>
              <w:rPr>
                <w:noProof/>
                <w:webHidden/>
              </w:rPr>
              <w:fldChar w:fldCharType="separate"/>
            </w:r>
            <w:r>
              <w:rPr>
                <w:noProof/>
                <w:webHidden/>
              </w:rPr>
              <w:t>52</w:t>
            </w:r>
            <w:r>
              <w:rPr>
                <w:noProof/>
                <w:webHidden/>
              </w:rPr>
              <w:fldChar w:fldCharType="end"/>
            </w:r>
          </w:hyperlink>
        </w:p>
        <w:p w:rsidR="00B1501E" w:rsidRDefault="00B1501E" w14:paraId="1D73F07E" w14:textId="0D544AE3">
          <w:pPr>
            <w:pStyle w:val="TOC2"/>
            <w:tabs>
              <w:tab w:val="right" w:leader="dot" w:pos="9350"/>
            </w:tabs>
            <w:rPr>
              <w:rFonts w:asciiTheme="minorHAnsi" w:hAnsiTheme="minorHAnsi" w:cstheme="minorBidi"/>
              <w:noProof/>
              <w:kern w:val="2"/>
              <w:sz w:val="24"/>
              <w:szCs w:val="24"/>
              <w14:ligatures w14:val="standardContextual"/>
            </w:rPr>
          </w:pPr>
          <w:hyperlink w:history="1" w:anchor="_Toc216176827">
            <w:r w:rsidRPr="000E7221">
              <w:rPr>
                <w:rStyle w:val="Hyperlink"/>
                <w:noProof/>
              </w:rPr>
              <w:t>9.2.</w:t>
            </w:r>
            <w:r>
              <w:rPr>
                <w:rFonts w:asciiTheme="minorHAnsi" w:hAnsiTheme="minorHAnsi" w:cstheme="minorBidi"/>
                <w:noProof/>
                <w:kern w:val="2"/>
                <w:sz w:val="24"/>
                <w:szCs w:val="24"/>
                <w14:ligatures w14:val="standardContextual"/>
              </w:rPr>
              <w:tab/>
            </w:r>
            <w:r w:rsidRPr="000E7221">
              <w:rPr>
                <w:rStyle w:val="Hyperlink"/>
                <w:noProof/>
              </w:rPr>
              <w:t>Party Positions</w:t>
            </w:r>
            <w:r>
              <w:rPr>
                <w:noProof/>
                <w:webHidden/>
              </w:rPr>
              <w:tab/>
            </w:r>
            <w:r>
              <w:rPr>
                <w:noProof/>
                <w:webHidden/>
              </w:rPr>
              <w:fldChar w:fldCharType="begin"/>
            </w:r>
            <w:r>
              <w:rPr>
                <w:noProof/>
                <w:webHidden/>
              </w:rPr>
              <w:instrText xml:space="preserve"> PAGEREF _Toc216176827 \h </w:instrText>
            </w:r>
            <w:r>
              <w:rPr>
                <w:noProof/>
                <w:webHidden/>
              </w:rPr>
            </w:r>
            <w:r>
              <w:rPr>
                <w:noProof/>
                <w:webHidden/>
              </w:rPr>
              <w:fldChar w:fldCharType="separate"/>
            </w:r>
            <w:r>
              <w:rPr>
                <w:noProof/>
                <w:webHidden/>
              </w:rPr>
              <w:t>58</w:t>
            </w:r>
            <w:r>
              <w:rPr>
                <w:noProof/>
                <w:webHidden/>
              </w:rPr>
              <w:fldChar w:fldCharType="end"/>
            </w:r>
          </w:hyperlink>
        </w:p>
        <w:p w:rsidR="00B1501E" w:rsidRDefault="00B1501E" w14:paraId="03DDCDF2" w14:textId="51C1C89E">
          <w:pPr>
            <w:pStyle w:val="TOC2"/>
            <w:tabs>
              <w:tab w:val="right" w:leader="dot" w:pos="9350"/>
            </w:tabs>
            <w:rPr>
              <w:rFonts w:asciiTheme="minorHAnsi" w:hAnsiTheme="minorHAnsi" w:cstheme="minorBidi"/>
              <w:noProof/>
              <w:kern w:val="2"/>
              <w:sz w:val="24"/>
              <w:szCs w:val="24"/>
              <w14:ligatures w14:val="standardContextual"/>
            </w:rPr>
          </w:pPr>
          <w:hyperlink w:history="1" w:anchor="_Toc216176828">
            <w:r w:rsidRPr="000E7221">
              <w:rPr>
                <w:rStyle w:val="Hyperlink"/>
                <w:noProof/>
              </w:rPr>
              <w:t>9.3.</w:t>
            </w:r>
            <w:r>
              <w:rPr>
                <w:rFonts w:asciiTheme="minorHAnsi" w:hAnsiTheme="minorHAnsi" w:cstheme="minorBidi"/>
                <w:noProof/>
                <w:kern w:val="2"/>
                <w:sz w:val="24"/>
                <w:szCs w:val="24"/>
                <w14:ligatures w14:val="standardContextual"/>
              </w:rPr>
              <w:tab/>
            </w:r>
            <w:r w:rsidRPr="000E7221">
              <w:rPr>
                <w:rStyle w:val="Hyperlink"/>
                <w:noProof/>
              </w:rPr>
              <w:t>Conclusion</w:t>
            </w:r>
            <w:r>
              <w:rPr>
                <w:noProof/>
                <w:webHidden/>
              </w:rPr>
              <w:tab/>
            </w:r>
            <w:r>
              <w:rPr>
                <w:noProof/>
                <w:webHidden/>
              </w:rPr>
              <w:fldChar w:fldCharType="begin"/>
            </w:r>
            <w:r>
              <w:rPr>
                <w:noProof/>
                <w:webHidden/>
              </w:rPr>
              <w:instrText xml:space="preserve"> PAGEREF _Toc216176828 \h </w:instrText>
            </w:r>
            <w:r>
              <w:rPr>
                <w:noProof/>
                <w:webHidden/>
              </w:rPr>
            </w:r>
            <w:r>
              <w:rPr>
                <w:noProof/>
                <w:webHidden/>
              </w:rPr>
              <w:fldChar w:fldCharType="separate"/>
            </w:r>
            <w:r>
              <w:rPr>
                <w:noProof/>
                <w:webHidden/>
              </w:rPr>
              <w:t>65</w:t>
            </w:r>
            <w:r>
              <w:rPr>
                <w:noProof/>
                <w:webHidden/>
              </w:rPr>
              <w:fldChar w:fldCharType="end"/>
            </w:r>
          </w:hyperlink>
        </w:p>
        <w:p w:rsidR="00B1501E" w:rsidRDefault="00B1501E" w14:paraId="6F326AEB" w14:textId="60E1DE69">
          <w:pPr>
            <w:pStyle w:val="TOC1"/>
            <w:tabs>
              <w:tab w:val="right" w:leader="dot" w:pos="9350"/>
            </w:tabs>
            <w:rPr>
              <w:rFonts w:asciiTheme="minorHAnsi" w:hAnsiTheme="minorHAnsi" w:cstheme="minorBidi"/>
              <w:noProof/>
              <w:kern w:val="2"/>
              <w:sz w:val="24"/>
              <w:szCs w:val="24"/>
              <w14:ligatures w14:val="standardContextual"/>
            </w:rPr>
          </w:pPr>
          <w:hyperlink w:history="1" w:anchor="_Toc216176829">
            <w:r w:rsidRPr="000E7221">
              <w:rPr>
                <w:rStyle w:val="Hyperlink"/>
                <w:noProof/>
              </w:rPr>
              <w:t>10.</w:t>
            </w:r>
            <w:r>
              <w:rPr>
                <w:rFonts w:asciiTheme="minorHAnsi" w:hAnsiTheme="minorHAnsi" w:cstheme="minorBidi"/>
                <w:noProof/>
                <w:kern w:val="2"/>
                <w:sz w:val="24"/>
                <w:szCs w:val="24"/>
                <w14:ligatures w14:val="standardContextual"/>
              </w:rPr>
              <w:tab/>
            </w:r>
            <w:r w:rsidRPr="000E7221">
              <w:rPr>
                <w:rStyle w:val="Hyperlink"/>
                <w:noProof/>
              </w:rPr>
              <w:t>Compliance with Other Decisions</w:t>
            </w:r>
            <w:r>
              <w:rPr>
                <w:noProof/>
                <w:webHidden/>
              </w:rPr>
              <w:tab/>
            </w:r>
            <w:r>
              <w:rPr>
                <w:noProof/>
                <w:webHidden/>
              </w:rPr>
              <w:fldChar w:fldCharType="begin"/>
            </w:r>
            <w:r>
              <w:rPr>
                <w:noProof/>
                <w:webHidden/>
              </w:rPr>
              <w:instrText xml:space="preserve"> PAGEREF _Toc216176829 \h </w:instrText>
            </w:r>
            <w:r>
              <w:rPr>
                <w:noProof/>
                <w:webHidden/>
              </w:rPr>
            </w:r>
            <w:r>
              <w:rPr>
                <w:noProof/>
                <w:webHidden/>
              </w:rPr>
              <w:fldChar w:fldCharType="separate"/>
            </w:r>
            <w:r>
              <w:rPr>
                <w:noProof/>
                <w:webHidden/>
              </w:rPr>
              <w:t>69</w:t>
            </w:r>
            <w:r>
              <w:rPr>
                <w:noProof/>
                <w:webHidden/>
              </w:rPr>
              <w:fldChar w:fldCharType="end"/>
            </w:r>
          </w:hyperlink>
        </w:p>
        <w:p w:rsidR="00B1501E" w:rsidRDefault="00B1501E" w14:paraId="7C3CA770" w14:textId="2B45924D">
          <w:pPr>
            <w:pStyle w:val="TOC1"/>
            <w:tabs>
              <w:tab w:val="right" w:leader="dot" w:pos="9350"/>
            </w:tabs>
            <w:rPr>
              <w:rFonts w:asciiTheme="minorHAnsi" w:hAnsiTheme="minorHAnsi" w:cstheme="minorBidi"/>
              <w:noProof/>
              <w:kern w:val="2"/>
              <w:sz w:val="24"/>
              <w:szCs w:val="24"/>
              <w14:ligatures w14:val="standardContextual"/>
            </w:rPr>
          </w:pPr>
          <w:hyperlink w:history="1" w:anchor="_Toc216176830">
            <w:r w:rsidRPr="000E7221">
              <w:rPr>
                <w:rStyle w:val="Hyperlink"/>
                <w:noProof/>
              </w:rPr>
              <w:t>11.</w:t>
            </w:r>
            <w:r>
              <w:rPr>
                <w:rFonts w:asciiTheme="minorHAnsi" w:hAnsiTheme="minorHAnsi" w:cstheme="minorBidi"/>
                <w:noProof/>
                <w:kern w:val="2"/>
                <w:sz w:val="24"/>
                <w:szCs w:val="24"/>
                <w14:ligatures w14:val="standardContextual"/>
              </w:rPr>
              <w:tab/>
            </w:r>
            <w:r w:rsidRPr="000E7221">
              <w:rPr>
                <w:rStyle w:val="Hyperlink"/>
                <w:noProof/>
              </w:rPr>
              <w:t>Summary of Public Comment</w:t>
            </w:r>
            <w:r>
              <w:rPr>
                <w:noProof/>
                <w:webHidden/>
              </w:rPr>
              <w:tab/>
            </w:r>
            <w:r>
              <w:rPr>
                <w:noProof/>
                <w:webHidden/>
              </w:rPr>
              <w:fldChar w:fldCharType="begin"/>
            </w:r>
            <w:r>
              <w:rPr>
                <w:noProof/>
                <w:webHidden/>
              </w:rPr>
              <w:instrText xml:space="preserve"> PAGEREF _Toc216176830 \h </w:instrText>
            </w:r>
            <w:r>
              <w:rPr>
                <w:noProof/>
                <w:webHidden/>
              </w:rPr>
            </w:r>
            <w:r>
              <w:rPr>
                <w:noProof/>
                <w:webHidden/>
              </w:rPr>
              <w:fldChar w:fldCharType="separate"/>
            </w:r>
            <w:r>
              <w:rPr>
                <w:noProof/>
                <w:webHidden/>
              </w:rPr>
              <w:t>71</w:t>
            </w:r>
            <w:r>
              <w:rPr>
                <w:noProof/>
                <w:webHidden/>
              </w:rPr>
              <w:fldChar w:fldCharType="end"/>
            </w:r>
          </w:hyperlink>
        </w:p>
        <w:p w:rsidR="00B1501E" w:rsidRDefault="00B1501E" w14:paraId="3DF06D72" w14:textId="536635CA">
          <w:pPr>
            <w:pStyle w:val="TOC1"/>
            <w:tabs>
              <w:tab w:val="right" w:leader="dot" w:pos="9350"/>
            </w:tabs>
            <w:rPr>
              <w:rFonts w:asciiTheme="minorHAnsi" w:hAnsiTheme="minorHAnsi" w:cstheme="minorBidi"/>
              <w:noProof/>
              <w:kern w:val="2"/>
              <w:sz w:val="24"/>
              <w:szCs w:val="24"/>
              <w14:ligatures w14:val="standardContextual"/>
            </w:rPr>
          </w:pPr>
          <w:hyperlink w:history="1" w:anchor="_Toc216176831">
            <w:r w:rsidRPr="000E7221">
              <w:rPr>
                <w:rStyle w:val="Hyperlink"/>
                <w:noProof/>
              </w:rPr>
              <w:t>12.</w:t>
            </w:r>
            <w:r>
              <w:rPr>
                <w:rFonts w:asciiTheme="minorHAnsi" w:hAnsiTheme="minorHAnsi" w:cstheme="minorBidi"/>
                <w:noProof/>
                <w:kern w:val="2"/>
                <w:sz w:val="24"/>
                <w:szCs w:val="24"/>
                <w14:ligatures w14:val="standardContextual"/>
              </w:rPr>
              <w:tab/>
            </w:r>
            <w:r w:rsidRPr="000E7221">
              <w:rPr>
                <w:rStyle w:val="Hyperlink"/>
                <w:noProof/>
              </w:rPr>
              <w:t>Procedural Matters</w:t>
            </w:r>
            <w:r>
              <w:rPr>
                <w:noProof/>
                <w:webHidden/>
              </w:rPr>
              <w:tab/>
            </w:r>
            <w:r>
              <w:rPr>
                <w:noProof/>
                <w:webHidden/>
              </w:rPr>
              <w:fldChar w:fldCharType="begin"/>
            </w:r>
            <w:r>
              <w:rPr>
                <w:noProof/>
                <w:webHidden/>
              </w:rPr>
              <w:instrText xml:space="preserve"> PAGEREF _Toc216176831 \h </w:instrText>
            </w:r>
            <w:r>
              <w:rPr>
                <w:noProof/>
                <w:webHidden/>
              </w:rPr>
            </w:r>
            <w:r>
              <w:rPr>
                <w:noProof/>
                <w:webHidden/>
              </w:rPr>
              <w:fldChar w:fldCharType="separate"/>
            </w:r>
            <w:r>
              <w:rPr>
                <w:noProof/>
                <w:webHidden/>
              </w:rPr>
              <w:t>71</w:t>
            </w:r>
            <w:r>
              <w:rPr>
                <w:noProof/>
                <w:webHidden/>
              </w:rPr>
              <w:fldChar w:fldCharType="end"/>
            </w:r>
          </w:hyperlink>
        </w:p>
        <w:p w:rsidR="00B1501E" w:rsidRDefault="00B1501E" w14:paraId="4BA38EB2" w14:textId="5CDF6F30">
          <w:pPr>
            <w:pStyle w:val="TOC1"/>
            <w:tabs>
              <w:tab w:val="right" w:leader="dot" w:pos="9350"/>
            </w:tabs>
            <w:rPr>
              <w:rFonts w:asciiTheme="minorHAnsi" w:hAnsiTheme="minorHAnsi" w:cstheme="minorBidi"/>
              <w:noProof/>
              <w:kern w:val="2"/>
              <w:sz w:val="24"/>
              <w:szCs w:val="24"/>
              <w14:ligatures w14:val="standardContextual"/>
            </w:rPr>
          </w:pPr>
          <w:hyperlink w:history="1" w:anchor="_Toc216176832">
            <w:r w:rsidRPr="000E7221">
              <w:rPr>
                <w:rStyle w:val="Hyperlink"/>
                <w:noProof/>
              </w:rPr>
              <w:t>13.</w:t>
            </w:r>
            <w:r>
              <w:rPr>
                <w:rFonts w:asciiTheme="minorHAnsi" w:hAnsiTheme="minorHAnsi" w:cstheme="minorBidi"/>
                <w:noProof/>
                <w:kern w:val="2"/>
                <w:sz w:val="24"/>
                <w:szCs w:val="24"/>
                <w14:ligatures w14:val="standardContextual"/>
              </w:rPr>
              <w:tab/>
            </w:r>
            <w:r w:rsidRPr="000E7221">
              <w:rPr>
                <w:rStyle w:val="Hyperlink"/>
                <w:noProof/>
              </w:rPr>
              <w:t>Comments on Proposed Decision</w:t>
            </w:r>
            <w:r>
              <w:rPr>
                <w:noProof/>
                <w:webHidden/>
              </w:rPr>
              <w:tab/>
            </w:r>
            <w:r>
              <w:rPr>
                <w:noProof/>
                <w:webHidden/>
              </w:rPr>
              <w:fldChar w:fldCharType="begin"/>
            </w:r>
            <w:r>
              <w:rPr>
                <w:noProof/>
                <w:webHidden/>
              </w:rPr>
              <w:instrText xml:space="preserve"> PAGEREF _Toc216176832 \h </w:instrText>
            </w:r>
            <w:r>
              <w:rPr>
                <w:noProof/>
                <w:webHidden/>
              </w:rPr>
            </w:r>
            <w:r>
              <w:rPr>
                <w:noProof/>
                <w:webHidden/>
              </w:rPr>
              <w:fldChar w:fldCharType="separate"/>
            </w:r>
            <w:r>
              <w:rPr>
                <w:noProof/>
                <w:webHidden/>
              </w:rPr>
              <w:t>71</w:t>
            </w:r>
            <w:r>
              <w:rPr>
                <w:noProof/>
                <w:webHidden/>
              </w:rPr>
              <w:fldChar w:fldCharType="end"/>
            </w:r>
          </w:hyperlink>
        </w:p>
        <w:p w:rsidR="00B1501E" w:rsidRDefault="00B1501E" w14:paraId="5CA62C29" w14:textId="1C909966">
          <w:pPr>
            <w:pStyle w:val="TOC1"/>
            <w:tabs>
              <w:tab w:val="right" w:leader="dot" w:pos="9350"/>
            </w:tabs>
            <w:rPr>
              <w:rFonts w:asciiTheme="minorHAnsi" w:hAnsiTheme="minorHAnsi" w:cstheme="minorBidi"/>
              <w:noProof/>
              <w:kern w:val="2"/>
              <w:sz w:val="24"/>
              <w:szCs w:val="24"/>
              <w14:ligatures w14:val="standardContextual"/>
            </w:rPr>
          </w:pPr>
          <w:hyperlink w:history="1" w:anchor="_Toc216176833">
            <w:r w:rsidRPr="000E7221">
              <w:rPr>
                <w:rStyle w:val="Hyperlink"/>
                <w:noProof/>
              </w:rPr>
              <w:t>14.</w:t>
            </w:r>
            <w:r>
              <w:rPr>
                <w:rFonts w:asciiTheme="minorHAnsi" w:hAnsiTheme="minorHAnsi" w:cstheme="minorBidi"/>
                <w:noProof/>
                <w:kern w:val="2"/>
                <w:sz w:val="24"/>
                <w:szCs w:val="24"/>
                <w14:ligatures w14:val="standardContextual"/>
              </w:rPr>
              <w:tab/>
            </w:r>
            <w:r w:rsidRPr="000E7221">
              <w:rPr>
                <w:rStyle w:val="Hyperlink"/>
                <w:noProof/>
              </w:rPr>
              <w:t>Assignment of Proceeding</w:t>
            </w:r>
            <w:r>
              <w:rPr>
                <w:noProof/>
                <w:webHidden/>
              </w:rPr>
              <w:tab/>
            </w:r>
            <w:r>
              <w:rPr>
                <w:noProof/>
                <w:webHidden/>
              </w:rPr>
              <w:fldChar w:fldCharType="begin"/>
            </w:r>
            <w:r>
              <w:rPr>
                <w:noProof/>
                <w:webHidden/>
              </w:rPr>
              <w:instrText xml:space="preserve"> PAGEREF _Toc216176833 \h </w:instrText>
            </w:r>
            <w:r>
              <w:rPr>
                <w:noProof/>
                <w:webHidden/>
              </w:rPr>
            </w:r>
            <w:r>
              <w:rPr>
                <w:noProof/>
                <w:webHidden/>
              </w:rPr>
              <w:fldChar w:fldCharType="separate"/>
            </w:r>
            <w:r>
              <w:rPr>
                <w:noProof/>
                <w:webHidden/>
              </w:rPr>
              <w:t>73</w:t>
            </w:r>
            <w:r>
              <w:rPr>
                <w:noProof/>
                <w:webHidden/>
              </w:rPr>
              <w:fldChar w:fldCharType="end"/>
            </w:r>
          </w:hyperlink>
        </w:p>
        <w:p w:rsidR="00B1501E" w:rsidRDefault="00B1501E" w14:paraId="6DF91781" w14:textId="72BDA53B">
          <w:pPr>
            <w:pStyle w:val="TOC1"/>
            <w:tabs>
              <w:tab w:val="right" w:leader="dot" w:pos="9350"/>
            </w:tabs>
            <w:rPr>
              <w:rFonts w:asciiTheme="minorHAnsi" w:hAnsiTheme="minorHAnsi" w:cstheme="minorBidi"/>
              <w:noProof/>
              <w:kern w:val="2"/>
              <w:sz w:val="24"/>
              <w:szCs w:val="24"/>
              <w14:ligatures w14:val="standardContextual"/>
            </w:rPr>
          </w:pPr>
          <w:hyperlink w:history="1" w:anchor="_Toc216176834">
            <w:r w:rsidRPr="000E7221">
              <w:rPr>
                <w:rStyle w:val="Hyperlink"/>
                <w:noProof/>
              </w:rPr>
              <w:t>Findings of Fact</w:t>
            </w:r>
            <w:r>
              <w:rPr>
                <w:noProof/>
                <w:webHidden/>
              </w:rPr>
              <w:tab/>
            </w:r>
            <w:r>
              <w:rPr>
                <w:noProof/>
                <w:webHidden/>
              </w:rPr>
              <w:fldChar w:fldCharType="begin"/>
            </w:r>
            <w:r>
              <w:rPr>
                <w:noProof/>
                <w:webHidden/>
              </w:rPr>
              <w:instrText xml:space="preserve"> PAGEREF _Toc216176834 \h </w:instrText>
            </w:r>
            <w:r>
              <w:rPr>
                <w:noProof/>
                <w:webHidden/>
              </w:rPr>
            </w:r>
            <w:r>
              <w:rPr>
                <w:noProof/>
                <w:webHidden/>
              </w:rPr>
              <w:fldChar w:fldCharType="separate"/>
            </w:r>
            <w:r>
              <w:rPr>
                <w:noProof/>
                <w:webHidden/>
              </w:rPr>
              <w:t>73</w:t>
            </w:r>
            <w:r>
              <w:rPr>
                <w:noProof/>
                <w:webHidden/>
              </w:rPr>
              <w:fldChar w:fldCharType="end"/>
            </w:r>
          </w:hyperlink>
        </w:p>
        <w:p w:rsidR="00B1501E" w:rsidRDefault="00B1501E" w14:paraId="08079E50" w14:textId="644E6B9E">
          <w:pPr>
            <w:pStyle w:val="TOC1"/>
            <w:tabs>
              <w:tab w:val="right" w:leader="dot" w:pos="9350"/>
            </w:tabs>
            <w:rPr>
              <w:rFonts w:asciiTheme="minorHAnsi" w:hAnsiTheme="minorHAnsi" w:cstheme="minorBidi"/>
              <w:noProof/>
              <w:kern w:val="2"/>
              <w:sz w:val="24"/>
              <w:szCs w:val="24"/>
              <w14:ligatures w14:val="standardContextual"/>
            </w:rPr>
          </w:pPr>
          <w:hyperlink w:history="1" w:anchor="_Toc216176835">
            <w:r w:rsidRPr="000E7221">
              <w:rPr>
                <w:rStyle w:val="Hyperlink"/>
                <w:noProof/>
              </w:rPr>
              <w:t>Conclusions of Law</w:t>
            </w:r>
            <w:r>
              <w:rPr>
                <w:noProof/>
                <w:webHidden/>
              </w:rPr>
              <w:tab/>
            </w:r>
            <w:r>
              <w:rPr>
                <w:noProof/>
                <w:webHidden/>
              </w:rPr>
              <w:fldChar w:fldCharType="begin"/>
            </w:r>
            <w:r>
              <w:rPr>
                <w:noProof/>
                <w:webHidden/>
              </w:rPr>
              <w:instrText xml:space="preserve"> PAGEREF _Toc216176835 \h </w:instrText>
            </w:r>
            <w:r>
              <w:rPr>
                <w:noProof/>
                <w:webHidden/>
              </w:rPr>
            </w:r>
            <w:r>
              <w:rPr>
                <w:noProof/>
                <w:webHidden/>
              </w:rPr>
              <w:fldChar w:fldCharType="separate"/>
            </w:r>
            <w:r>
              <w:rPr>
                <w:noProof/>
                <w:webHidden/>
              </w:rPr>
              <w:t>75</w:t>
            </w:r>
            <w:r>
              <w:rPr>
                <w:noProof/>
                <w:webHidden/>
              </w:rPr>
              <w:fldChar w:fldCharType="end"/>
            </w:r>
          </w:hyperlink>
        </w:p>
        <w:p w:rsidR="00B1501E" w:rsidRDefault="00B1501E" w14:paraId="27510CA6" w14:textId="5F2F813E">
          <w:pPr>
            <w:pStyle w:val="TOC1"/>
            <w:tabs>
              <w:tab w:val="right" w:leader="dot" w:pos="9350"/>
            </w:tabs>
            <w:rPr>
              <w:rFonts w:asciiTheme="minorHAnsi" w:hAnsiTheme="minorHAnsi" w:cstheme="minorBidi"/>
              <w:noProof/>
              <w:kern w:val="2"/>
              <w:sz w:val="24"/>
              <w:szCs w:val="24"/>
              <w14:ligatures w14:val="standardContextual"/>
            </w:rPr>
          </w:pPr>
          <w:hyperlink w:history="1" w:anchor="_Toc216176836">
            <w:r w:rsidRPr="000E7221">
              <w:rPr>
                <w:rStyle w:val="Hyperlink"/>
                <w:noProof/>
              </w:rPr>
              <w:t>ORDER</w:t>
            </w:r>
            <w:r>
              <w:rPr>
                <w:noProof/>
                <w:webHidden/>
              </w:rPr>
              <w:tab/>
            </w:r>
            <w:r>
              <w:rPr>
                <w:noProof/>
                <w:webHidden/>
              </w:rPr>
              <w:fldChar w:fldCharType="begin"/>
            </w:r>
            <w:r>
              <w:rPr>
                <w:noProof/>
                <w:webHidden/>
              </w:rPr>
              <w:instrText xml:space="preserve"> PAGEREF _Toc216176836 \h </w:instrText>
            </w:r>
            <w:r>
              <w:rPr>
                <w:noProof/>
                <w:webHidden/>
              </w:rPr>
            </w:r>
            <w:r>
              <w:rPr>
                <w:noProof/>
                <w:webHidden/>
              </w:rPr>
              <w:fldChar w:fldCharType="separate"/>
            </w:r>
            <w:r>
              <w:rPr>
                <w:noProof/>
                <w:webHidden/>
              </w:rPr>
              <w:t>77</w:t>
            </w:r>
            <w:r>
              <w:rPr>
                <w:noProof/>
                <w:webHidden/>
              </w:rPr>
              <w:fldChar w:fldCharType="end"/>
            </w:r>
          </w:hyperlink>
        </w:p>
        <w:p w:rsidR="00D82A43" w:rsidP="008C7413" w:rsidRDefault="008C7413" w14:paraId="779BF413" w14:textId="6B5F0EE0">
          <w:pPr>
            <w:pStyle w:val="TOC1"/>
            <w:tabs>
              <w:tab w:val="right" w:leader="dot" w:pos="9350"/>
            </w:tabs>
          </w:pPr>
          <w:r>
            <w:rPr>
              <w:rFonts w:asciiTheme="minorHAnsi" w:hAnsiTheme="minorHAnsi"/>
              <w:sz w:val="22"/>
            </w:rPr>
            <w:fldChar w:fldCharType="end"/>
          </w:r>
        </w:p>
      </w:sdtContent>
    </w:sdt>
    <w:p w:rsidRPr="00D44DB6" w:rsidR="00D44DB6" w:rsidP="00D44DB6" w:rsidRDefault="00D44DB6" w14:paraId="772AE37F" w14:textId="4A86A5E3">
      <w:pPr>
        <w:spacing w:line="240" w:lineRule="auto"/>
        <w:ind w:firstLine="0"/>
        <w:rPr>
          <w:rFonts w:cs="Arial"/>
          <w:i/>
          <w:szCs w:val="26"/>
        </w:rPr>
        <w:sectPr w:rsidRPr="00D44DB6" w:rsidR="00D44DB6" w:rsidSect="00D44DB6">
          <w:headerReference w:type="default" r:id="rId14"/>
          <w:footerReference w:type="default" r:id="rId15"/>
          <w:pgSz w:w="12240" w:h="15840"/>
          <w:pgMar w:top="1728" w:right="1440" w:bottom="1440" w:left="1440" w:header="720" w:footer="720" w:gutter="0"/>
          <w:pgNumType w:fmt="lowerRoman" w:start="1"/>
          <w:cols w:space="720"/>
          <w:docGrid w:linePitch="360"/>
        </w:sectPr>
      </w:pPr>
    </w:p>
    <w:p w:rsidR="0098655A" w:rsidP="008926B4" w:rsidRDefault="00A72122" w14:paraId="43666CE8" w14:textId="111FC890">
      <w:pPr>
        <w:pStyle w:val="Main"/>
        <w:spacing w:after="240"/>
        <w:ind w:left="720" w:right="720"/>
      </w:pPr>
      <w:r>
        <w:lastRenderedPageBreak/>
        <w:t>decision on pacific gas and electric company’s revenue requirement to support extended operation of diablo canyon power plan and 202</w:t>
      </w:r>
      <w:r w:rsidR="00084B7E">
        <w:t>6</w:t>
      </w:r>
      <w:r w:rsidR="008926B4">
        <w:t> </w:t>
      </w:r>
      <w:r>
        <w:t>volumetric performance fees proposal</w:t>
      </w:r>
    </w:p>
    <w:p w:rsidR="005A148C" w:rsidP="005A148C" w:rsidRDefault="005A148C" w14:paraId="4B6CDE2B" w14:textId="77777777">
      <w:pPr>
        <w:pStyle w:val="Dummy"/>
      </w:pPr>
      <w:bookmarkStart w:name="_Toc8123714" w:id="1"/>
      <w:bookmarkStart w:name="_Toc216176791" w:id="2"/>
      <w:r>
        <w:t>Summary</w:t>
      </w:r>
      <w:bookmarkEnd w:id="1"/>
      <w:bookmarkEnd w:id="2"/>
    </w:p>
    <w:p w:rsidRPr="00A72122" w:rsidR="00A72122" w:rsidP="00222891" w:rsidRDefault="00A72122" w14:paraId="0921412B" w14:textId="3C774231">
      <w:pPr>
        <w:pStyle w:val="Standard"/>
      </w:pPr>
      <w:r w:rsidRPr="00A72122">
        <w:t>This decision approves Pacific Gas and Electric Company’s (PG&amp;E’s) 202</w:t>
      </w:r>
      <w:r w:rsidR="00BB5506">
        <w:t>6</w:t>
      </w:r>
      <w:r w:rsidR="00222891">
        <w:t xml:space="preserve"> </w:t>
      </w:r>
      <w:r w:rsidRPr="00A72122">
        <w:t>Diablo Canyon Power Plant extended operations revenue requirement of</w:t>
      </w:r>
      <w:r w:rsidR="00222891">
        <w:t xml:space="preserve"> </w:t>
      </w:r>
      <w:r w:rsidRPr="00A72122">
        <w:t>$</w:t>
      </w:r>
      <w:r w:rsidR="00BB5506">
        <w:t>382.</w:t>
      </w:r>
      <w:r w:rsidR="008C772F">
        <w:t>233</w:t>
      </w:r>
      <w:r w:rsidRPr="00A72122">
        <w:t xml:space="preserve"> million</w:t>
      </w:r>
      <w:r w:rsidR="00BB5506">
        <w:t xml:space="preserve">. </w:t>
      </w:r>
      <w:r w:rsidRPr="00A72122">
        <w:t>The</w:t>
      </w:r>
      <w:r w:rsidR="00BB5506">
        <w:t xml:space="preserve"> </w:t>
      </w:r>
      <w:r w:rsidRPr="00A72122">
        <w:t>revenue requirement is allocated to PG&amp;E, Southern California Edison</w:t>
      </w:r>
      <w:r w:rsidR="00BB5506">
        <w:t xml:space="preserve"> </w:t>
      </w:r>
      <w:r w:rsidRPr="00A72122">
        <w:t>Company, and San Diego Gas &amp; Electric Company</w:t>
      </w:r>
      <w:r w:rsidR="003126B7">
        <w:t xml:space="preserve"> </w:t>
      </w:r>
      <w:r w:rsidRPr="00A72122">
        <w:t>using the allocation factors</w:t>
      </w:r>
      <w:r w:rsidR="00BB5506">
        <w:t xml:space="preserve"> </w:t>
      </w:r>
      <w:r w:rsidRPr="00A72122">
        <w:t>44.</w:t>
      </w:r>
      <w:r w:rsidR="00BB5506">
        <w:t>1</w:t>
      </w:r>
      <w:r w:rsidRPr="00A72122">
        <w:t xml:space="preserve">9 </w:t>
      </w:r>
      <w:r w:rsidR="00E56071">
        <w:t>percent</w:t>
      </w:r>
      <w:r w:rsidRPr="00A72122">
        <w:t>, 45.</w:t>
      </w:r>
      <w:r w:rsidR="00BB5506">
        <w:t>86</w:t>
      </w:r>
      <w:r w:rsidRPr="00A72122">
        <w:t xml:space="preserve"> </w:t>
      </w:r>
      <w:r w:rsidR="00E56071">
        <w:t>percent</w:t>
      </w:r>
      <w:r w:rsidRPr="00A72122">
        <w:t>, and 9.</w:t>
      </w:r>
      <w:r w:rsidR="00BB5506">
        <w:t>95</w:t>
      </w:r>
      <w:r w:rsidRPr="00A72122">
        <w:t xml:space="preserve"> </w:t>
      </w:r>
      <w:r w:rsidR="00E56071">
        <w:t>percent</w:t>
      </w:r>
      <w:r w:rsidRPr="00A72122">
        <w:t>, respectively.</w:t>
      </w:r>
    </w:p>
    <w:p w:rsidR="00A72122" w:rsidP="00A72122" w:rsidRDefault="00A72122" w14:paraId="58EE24F3" w14:textId="15AB003E">
      <w:pPr>
        <w:pStyle w:val="Standard"/>
      </w:pPr>
      <w:r w:rsidRPr="00A72122">
        <w:t>This proceeding is closed.</w:t>
      </w:r>
    </w:p>
    <w:p w:rsidRPr="00B346A9" w:rsidR="005A148C" w:rsidP="00B346A9" w:rsidRDefault="001C2B6A" w14:paraId="214248EF" w14:textId="058AA0C9">
      <w:pPr>
        <w:pStyle w:val="Heading1"/>
      </w:pPr>
      <w:bookmarkStart w:name="_Toc8123715" w:id="3"/>
      <w:bookmarkStart w:name="_Toc216176792" w:id="4"/>
      <w:r w:rsidRPr="00B346A9">
        <w:t xml:space="preserve">Regulatory </w:t>
      </w:r>
      <w:r w:rsidRPr="00B346A9" w:rsidR="002C7FE9">
        <w:t>Background</w:t>
      </w:r>
      <w:bookmarkEnd w:id="3"/>
      <w:bookmarkEnd w:id="4"/>
    </w:p>
    <w:p w:rsidRPr="001C2B6A" w:rsidR="001C2B6A" w:rsidP="00222891" w:rsidRDefault="001C2B6A" w14:paraId="629271FD" w14:textId="3B9E2DA7">
      <w:pPr>
        <w:pStyle w:val="Standard"/>
      </w:pPr>
      <w:r w:rsidRPr="001C2B6A">
        <w:t>Senate Bill (SB) 846 (Dodd, 2022)</w:t>
      </w:r>
      <w:r w:rsidR="00DC1B02">
        <w:rPr>
          <w:rStyle w:val="FootnoteReference"/>
        </w:rPr>
        <w:footnoteReference w:id="2"/>
      </w:r>
      <w:r w:rsidRPr="001C2B6A">
        <w:t xml:space="preserve"> allows for the potential</w:t>
      </w:r>
      <w:r>
        <w:t xml:space="preserve"> </w:t>
      </w:r>
      <w:r w:rsidRPr="001C2B6A">
        <w:t>extension of operations at Diablo Canyon Power Plant (DCPP or DC) beyond the</w:t>
      </w:r>
      <w:r w:rsidR="00222891">
        <w:t xml:space="preserve"> </w:t>
      </w:r>
      <w:r w:rsidRPr="001C2B6A">
        <w:t>current federal license retirement dates, (2024 for Unit 1 and 2025 for Unit 2), up</w:t>
      </w:r>
      <w:r w:rsidR="00222891">
        <w:t xml:space="preserve"> </w:t>
      </w:r>
      <w:r w:rsidRPr="001C2B6A">
        <w:t>to five</w:t>
      </w:r>
      <w:r w:rsidR="00222891">
        <w:t> </w:t>
      </w:r>
      <w:r w:rsidRPr="001C2B6A">
        <w:t>additional years, under specified conditions.</w:t>
      </w:r>
    </w:p>
    <w:p w:rsidRPr="001C2B6A" w:rsidR="001C2B6A" w:rsidP="00222891" w:rsidRDefault="001C2B6A" w14:paraId="7F35E3AE" w14:textId="36432146">
      <w:pPr>
        <w:pStyle w:val="Standard"/>
      </w:pPr>
      <w:r w:rsidRPr="001C2B6A">
        <w:t>Pursuant to SB 846, Decision (D.) 23-12-036 directs and authorizes</w:t>
      </w:r>
      <w:r w:rsidR="00222891">
        <w:t xml:space="preserve"> </w:t>
      </w:r>
      <w:r w:rsidRPr="001C2B6A">
        <w:t>extended operations at DCPP until October 31, 2029 (Unit 1) and October 31,</w:t>
      </w:r>
      <w:r w:rsidR="00222891">
        <w:t xml:space="preserve"> </w:t>
      </w:r>
      <w:r w:rsidRPr="001C2B6A">
        <w:t>2030 (Unit 2). The a</w:t>
      </w:r>
      <w:r w:rsidR="003126B7">
        <w:t>uthorization</w:t>
      </w:r>
      <w:r w:rsidRPr="001C2B6A">
        <w:t xml:space="preserve"> in D.23-12-036 is subject to the following conditions:</w:t>
      </w:r>
      <w:r w:rsidR="00222891">
        <w:t xml:space="preserve"> </w:t>
      </w:r>
      <w:r w:rsidRPr="001C2B6A">
        <w:t>(1) the United States Nuclear Regulatory Commission (NRC) continues to</w:t>
      </w:r>
      <w:r w:rsidR="009E68BD">
        <w:t xml:space="preserve"> </w:t>
      </w:r>
      <w:r w:rsidRPr="001C2B6A">
        <w:t>authorize DCPP operations;</w:t>
      </w:r>
      <w:r w:rsidR="009E68BD">
        <w:t xml:space="preserve"> </w:t>
      </w:r>
      <w:r w:rsidRPr="001C2B6A">
        <w:t>(2) the $1.4 billion loan agreement authorized by</w:t>
      </w:r>
      <w:r>
        <w:t xml:space="preserve"> </w:t>
      </w:r>
      <w:r w:rsidRPr="001C2B6A">
        <w:t>SB</w:t>
      </w:r>
      <w:r w:rsidR="00222891">
        <w:t> </w:t>
      </w:r>
      <w:r w:rsidRPr="001C2B6A">
        <w:t xml:space="preserve">846 is not terminated; and (3) the Commission does not make a </w:t>
      </w:r>
      <w:r w:rsidRPr="001C2B6A">
        <w:lastRenderedPageBreak/>
        <w:t>future</w:t>
      </w:r>
      <w:r>
        <w:t xml:space="preserve"> </w:t>
      </w:r>
      <w:r w:rsidRPr="001C2B6A">
        <w:t>determination that DCPP extended operations are imprudent or unreasonable.</w:t>
      </w:r>
      <w:r w:rsidR="009E68BD">
        <w:rPr>
          <w:rStyle w:val="FootnoteReference"/>
        </w:rPr>
        <w:footnoteReference w:id="3"/>
      </w:r>
    </w:p>
    <w:p w:rsidR="001C2B6A" w:rsidP="00222891" w:rsidRDefault="001C2B6A" w14:paraId="68CBAD0C" w14:textId="6171D923">
      <w:pPr>
        <w:pStyle w:val="Standard"/>
        <w:rPr>
          <w:sz w:val="17"/>
          <w:szCs w:val="17"/>
        </w:rPr>
      </w:pPr>
      <w:r w:rsidRPr="001C2B6A">
        <w:t>Further, D.23-12-036 allocates the costs and benefits of extended DCPP</w:t>
      </w:r>
      <w:r w:rsidR="00222891">
        <w:t xml:space="preserve"> </w:t>
      </w:r>
      <w:r w:rsidRPr="001C2B6A">
        <w:t xml:space="preserve">operations among all load-serving entities </w:t>
      </w:r>
      <w:r w:rsidR="00B62D8D">
        <w:t xml:space="preserve">(LSEs) </w:t>
      </w:r>
      <w:r w:rsidRPr="001C2B6A">
        <w:t>subject to the Commission’s</w:t>
      </w:r>
      <w:r w:rsidR="00222891">
        <w:t xml:space="preserve"> </w:t>
      </w:r>
      <w:r w:rsidRPr="001C2B6A">
        <w:t>jurisdiction; creates a new non-</w:t>
      </w:r>
      <w:proofErr w:type="spellStart"/>
      <w:r w:rsidRPr="001C2B6A">
        <w:t>bypassable</w:t>
      </w:r>
      <w:proofErr w:type="spellEnd"/>
      <w:r w:rsidRPr="001C2B6A">
        <w:t xml:space="preserve"> charge (NBC) and associated</w:t>
      </w:r>
      <w:r w:rsidR="00222891">
        <w:t xml:space="preserve"> </w:t>
      </w:r>
      <w:r w:rsidRPr="001C2B6A">
        <w:t>processes to collect DCPP extended operations costs; and provides further</w:t>
      </w:r>
      <w:r w:rsidR="00222891">
        <w:t xml:space="preserve"> </w:t>
      </w:r>
      <w:r w:rsidRPr="001C2B6A">
        <w:t>direction on the use of surplus performance-based fees. In D.23-12-036, the</w:t>
      </w:r>
      <w:r w:rsidR="00222891">
        <w:t xml:space="preserve"> </w:t>
      </w:r>
      <w:r w:rsidRPr="001C2B6A">
        <w:t>Commission also establishes an application process, similar to the annual Energy</w:t>
      </w:r>
      <w:r w:rsidR="00222891">
        <w:t xml:space="preserve"> </w:t>
      </w:r>
      <w:r w:rsidRPr="001C2B6A">
        <w:t>Resource Recovery Account (ERRA) proceedings, to review and authorize</w:t>
      </w:r>
      <w:r w:rsidR="00222891">
        <w:t xml:space="preserve"> </w:t>
      </w:r>
      <w:r w:rsidRPr="001C2B6A">
        <w:t>forecasted DCPP extended operations costs, with subsequent true up to actual</w:t>
      </w:r>
      <w:r w:rsidR="00222891">
        <w:t xml:space="preserve"> </w:t>
      </w:r>
      <w:r>
        <w:t>costs and market revenues for the prior calendar year.</w:t>
      </w:r>
      <w:r w:rsidR="009E68BD">
        <w:rPr>
          <w:rStyle w:val="FootnoteReference"/>
        </w:rPr>
        <w:footnoteReference w:id="4"/>
      </w:r>
    </w:p>
    <w:p w:rsidR="009E68BD" w:rsidP="00222891" w:rsidRDefault="001C2B6A" w14:paraId="26D13F3A" w14:textId="6BBCC327">
      <w:pPr>
        <w:pStyle w:val="Standard"/>
        <w:keepNext/>
      </w:pPr>
      <w:r w:rsidRPr="001C2B6A">
        <w:t xml:space="preserve">D.23-12-036 directed that </w:t>
      </w:r>
      <w:r w:rsidR="006F12F3">
        <w:t xml:space="preserve">the </w:t>
      </w:r>
      <w:r w:rsidR="00AC5FC6">
        <w:t xml:space="preserve">annual DCPP </w:t>
      </w:r>
      <w:r w:rsidRPr="001C2B6A">
        <w:t>proceeding should:</w:t>
      </w:r>
    </w:p>
    <w:p w:rsidR="009E68BD" w:rsidP="00DA6954" w:rsidRDefault="00DA6954" w14:paraId="756D01C0" w14:textId="41A74136">
      <w:pPr>
        <w:pStyle w:val="1stList1"/>
        <w:numPr>
          <w:ilvl w:val="0"/>
          <w:numId w:val="0"/>
        </w:numPr>
        <w:ind w:left="1080" w:hanging="360"/>
      </w:pPr>
      <w:r>
        <w:t>1.</w:t>
      </w:r>
      <w:r>
        <w:tab/>
      </w:r>
      <w:r w:rsidRPr="001C2B6A" w:rsidR="001C2B6A">
        <w:t>Determine the allocation of costs and benefits of DCPP</w:t>
      </w:r>
      <w:r w:rsidR="009E68BD">
        <w:t xml:space="preserve"> </w:t>
      </w:r>
      <w:r w:rsidRPr="001C2B6A" w:rsidR="001C2B6A">
        <w:t>extended operations among the large electrical</w:t>
      </w:r>
      <w:r w:rsidR="009E68BD">
        <w:t xml:space="preserve"> </w:t>
      </w:r>
      <w:r w:rsidRPr="001C2B6A" w:rsidR="001C2B6A">
        <w:t>corporations’ service areas; and</w:t>
      </w:r>
    </w:p>
    <w:p w:rsidR="00B346A9" w:rsidP="00DA6954" w:rsidRDefault="00DA6954" w14:paraId="388DBF12" w14:textId="3F2F1BB7">
      <w:pPr>
        <w:pStyle w:val="1stList1"/>
        <w:numPr>
          <w:ilvl w:val="0"/>
          <w:numId w:val="0"/>
        </w:numPr>
        <w:ind w:left="1080" w:hanging="360"/>
      </w:pPr>
      <w:r>
        <w:t>2.</w:t>
      </w:r>
      <w:r>
        <w:tab/>
      </w:r>
      <w:r w:rsidRPr="001C2B6A" w:rsidR="001C2B6A">
        <w:t xml:space="preserve">Utilize a </w:t>
      </w:r>
      <w:r w:rsidRPr="00222891" w:rsidR="001C2B6A">
        <w:t>process</w:t>
      </w:r>
      <w:r w:rsidRPr="001C2B6A" w:rsidR="001C2B6A">
        <w:t xml:space="preserve"> that mirrors the Cost Allocation</w:t>
      </w:r>
      <w:r w:rsidR="009E68BD">
        <w:t xml:space="preserve"> </w:t>
      </w:r>
      <w:r w:rsidRPr="001C2B6A" w:rsidR="001C2B6A">
        <w:t>Mechanism (CAM) process to determine the price of the</w:t>
      </w:r>
      <w:r w:rsidR="009E68BD">
        <w:t xml:space="preserve"> </w:t>
      </w:r>
      <w:r w:rsidRPr="001C2B6A" w:rsidR="001C2B6A">
        <w:t>volumetric NBC to be charged by each of the large</w:t>
      </w:r>
      <w:r w:rsidR="009E68BD">
        <w:t xml:space="preserve"> </w:t>
      </w:r>
      <w:r w:rsidRPr="001C2B6A" w:rsidR="001C2B6A">
        <w:t>electrical corporations. Energy Division should utilize the</w:t>
      </w:r>
      <w:r w:rsidR="009E68BD">
        <w:t xml:space="preserve"> </w:t>
      </w:r>
      <w:r w:rsidRPr="001C2B6A" w:rsidR="001C2B6A">
        <w:t>CAM process to determine the allocation of R</w:t>
      </w:r>
      <w:r w:rsidR="00AC5FC6">
        <w:t xml:space="preserve">esource </w:t>
      </w:r>
      <w:r w:rsidRPr="001C2B6A" w:rsidR="001C2B6A">
        <w:t>A</w:t>
      </w:r>
      <w:r w:rsidR="00AC5FC6">
        <w:t>dequacy (RA)</w:t>
      </w:r>
      <w:r w:rsidRPr="001C2B6A" w:rsidR="001C2B6A">
        <w:t xml:space="preserve"> benefits to</w:t>
      </w:r>
      <w:r w:rsidR="00AC5FC6">
        <w:t xml:space="preserve"> Pacific Gas and Electric Company (PG&amp;E),</w:t>
      </w:r>
      <w:r w:rsidR="009E68BD">
        <w:t xml:space="preserve"> </w:t>
      </w:r>
      <w:r w:rsidRPr="001C2B6A" w:rsidR="001C2B6A">
        <w:t>S</w:t>
      </w:r>
      <w:r w:rsidR="00AC5FC6">
        <w:t xml:space="preserve">outhern </w:t>
      </w:r>
      <w:r w:rsidRPr="001C2B6A" w:rsidR="001C2B6A">
        <w:t>C</w:t>
      </w:r>
      <w:r w:rsidR="00AC5FC6">
        <w:t xml:space="preserve">alifornia </w:t>
      </w:r>
      <w:r w:rsidRPr="001C2B6A" w:rsidR="001C2B6A">
        <w:t>E</w:t>
      </w:r>
      <w:r w:rsidR="00AC5FC6">
        <w:t>dison Company (SCE)</w:t>
      </w:r>
      <w:r w:rsidRPr="001C2B6A" w:rsidR="001C2B6A">
        <w:t xml:space="preserve"> and </w:t>
      </w:r>
      <w:r w:rsidR="00AC5FC6">
        <w:t>San Diego Gas &amp; Electric Company (</w:t>
      </w:r>
      <w:r w:rsidRPr="001C2B6A" w:rsidR="001C2B6A">
        <w:t>SDG&amp;E</w:t>
      </w:r>
      <w:r w:rsidR="00AC5FC6">
        <w:t>)</w:t>
      </w:r>
      <w:r w:rsidRPr="001C2B6A" w:rsidR="001C2B6A">
        <w:t xml:space="preserve"> and among the load-serving entities</w:t>
      </w:r>
      <w:r w:rsidR="009E68BD">
        <w:t xml:space="preserve"> </w:t>
      </w:r>
      <w:r w:rsidRPr="001C2B6A" w:rsidR="001C2B6A">
        <w:t>(LSEs) in each large electrical corporation’s territory, and</w:t>
      </w:r>
      <w:r w:rsidR="009E68BD">
        <w:t xml:space="preserve"> </w:t>
      </w:r>
      <w:r w:rsidRPr="001C2B6A" w:rsidR="001C2B6A">
        <w:t>should endeavor to provide all LSEs with allocations of</w:t>
      </w:r>
      <w:r w:rsidR="009E68BD">
        <w:t xml:space="preserve"> </w:t>
      </w:r>
      <w:r w:rsidRPr="001C2B6A" w:rsidR="001C2B6A">
        <w:t xml:space="preserve">DCPP’s RA benefits for </w:t>
      </w:r>
      <w:r w:rsidRPr="001C2B6A" w:rsidR="001C2B6A">
        <w:lastRenderedPageBreak/>
        <w:t>the upcoming compliance year</w:t>
      </w:r>
      <w:r w:rsidR="009E68BD">
        <w:t xml:space="preserve"> </w:t>
      </w:r>
      <w:r w:rsidRPr="001C2B6A" w:rsidR="001C2B6A">
        <w:t>sufficiently in advance of the</w:t>
      </w:r>
      <w:r w:rsidRPr="009E68BD" w:rsidR="001C2B6A">
        <w:rPr>
          <w:rFonts w:ascii="BookAntiqua" w:hAnsi="BookAntiqua" w:cs="BookAntiqua"/>
          <w:szCs w:val="26"/>
        </w:rPr>
        <w:t xml:space="preserve"> </w:t>
      </w:r>
      <w:r w:rsidRPr="001C2B6A" w:rsidR="001C2B6A">
        <w:t>October 31 year-ahead RA</w:t>
      </w:r>
      <w:r w:rsidR="009E68BD">
        <w:t xml:space="preserve"> </w:t>
      </w:r>
      <w:r w:rsidRPr="001C2B6A" w:rsidR="001C2B6A">
        <w:t>compliance filing deadline.</w:t>
      </w:r>
      <w:r w:rsidR="009E68BD">
        <w:rPr>
          <w:rStyle w:val="FootnoteReference"/>
        </w:rPr>
        <w:footnoteReference w:id="5"/>
      </w:r>
    </w:p>
    <w:p w:rsidR="00AC5FC6" w:rsidP="00AC5FC6" w:rsidRDefault="00AC5FC6" w14:paraId="723F5571" w14:textId="51C902DB">
      <w:pPr>
        <w:pStyle w:val="Standard"/>
      </w:pPr>
      <w:r w:rsidRPr="00AC5FC6">
        <w:t>D.24-12-033 approved PG&amp;E’s 2024 DCPP extended operations revenue requirement of $722.6</w:t>
      </w:r>
      <w:r w:rsidR="000B222B">
        <w:t xml:space="preserve"> million </w:t>
      </w:r>
      <w:r>
        <w:t xml:space="preserve">and, among other </w:t>
      </w:r>
      <w:r w:rsidR="00B762BA">
        <w:t>requirements</w:t>
      </w:r>
      <w:r>
        <w:t>, ordered PG&amp;E to explain in detail why it did not seek government funding for extended operation cost</w:t>
      </w:r>
      <w:r w:rsidR="006F12F3">
        <w:t>s</w:t>
      </w:r>
      <w:r>
        <w:t xml:space="preserve"> in excess of $1</w:t>
      </w:r>
      <w:r w:rsidR="000B222B">
        <w:t> </w:t>
      </w:r>
      <w:r>
        <w:t>million.</w:t>
      </w:r>
    </w:p>
    <w:p w:rsidR="00AC5FC6" w:rsidP="00AC5FC6" w:rsidRDefault="00AC5FC6" w14:paraId="1C4D80CA" w14:textId="5AA7BA69">
      <w:pPr>
        <w:pStyle w:val="Standard"/>
      </w:pPr>
      <w:r>
        <w:t xml:space="preserve">D.25-06-002 resolved several pending DCPP issues, including requiring  PG&amp;E to </w:t>
      </w:r>
      <w:r w:rsidRPr="00716F97">
        <w:t xml:space="preserve">explain </w:t>
      </w:r>
      <w:r>
        <w:t>its</w:t>
      </w:r>
      <w:r w:rsidRPr="00716F97">
        <w:t xml:space="preserve"> alignment </w:t>
      </w:r>
      <w:r>
        <w:t xml:space="preserve">with the principle of reducing upward pressure on rates </w:t>
      </w:r>
      <w:r w:rsidRPr="00716F97">
        <w:t>in its spending plan submittals, starting with the 2026 V</w:t>
      </w:r>
      <w:r>
        <w:t xml:space="preserve">olumetric </w:t>
      </w:r>
      <w:r w:rsidRPr="00716F97">
        <w:t>P</w:t>
      </w:r>
      <w:r>
        <w:t xml:space="preserve">erformance </w:t>
      </w:r>
      <w:r w:rsidRPr="00716F97">
        <w:t>F</w:t>
      </w:r>
      <w:r>
        <w:t xml:space="preserve">ee (VPF) </w:t>
      </w:r>
      <w:r w:rsidRPr="00716F97">
        <w:t>spending plan</w:t>
      </w:r>
      <w:r>
        <w:t>.</w:t>
      </w:r>
      <w:r>
        <w:rPr>
          <w:rStyle w:val="FootnoteReference"/>
        </w:rPr>
        <w:footnoteReference w:id="6"/>
      </w:r>
    </w:p>
    <w:p w:rsidRPr="00AC5FC6" w:rsidR="00AC5FC6" w:rsidP="00AC5FC6" w:rsidRDefault="00AC5FC6" w14:paraId="12E86559" w14:textId="2B6E1719">
      <w:pPr>
        <w:pStyle w:val="Standard"/>
      </w:pPr>
      <w:r>
        <w:t>D.25-06-049 adopted changes to the methodology for calculating RA Market Price Benchmark (MPB) values.</w:t>
      </w:r>
    </w:p>
    <w:p w:rsidR="009E68BD" w:rsidP="008926B4" w:rsidRDefault="009E68BD" w14:paraId="17A7537C" w14:textId="76230542">
      <w:pPr>
        <w:pStyle w:val="Heading1"/>
      </w:pPr>
      <w:bookmarkStart w:name="_Toc216176793" w:id="5"/>
      <w:r>
        <w:t xml:space="preserve">Procedural </w:t>
      </w:r>
      <w:r w:rsidRPr="00121089">
        <w:t>Background</w:t>
      </w:r>
      <w:bookmarkEnd w:id="5"/>
    </w:p>
    <w:p w:rsidRPr="009E68BD" w:rsidR="009E68BD" w:rsidP="00222891" w:rsidRDefault="009E68BD" w14:paraId="7298D30A" w14:textId="5BEEFC68">
      <w:pPr>
        <w:pStyle w:val="Standard"/>
      </w:pPr>
      <w:r w:rsidRPr="009E68BD">
        <w:t xml:space="preserve">In compliance with D.23-12-036, on March </w:t>
      </w:r>
      <w:r>
        <w:t>28</w:t>
      </w:r>
      <w:r w:rsidRPr="009E68BD">
        <w:t>, 202</w:t>
      </w:r>
      <w:r>
        <w:t>5</w:t>
      </w:r>
      <w:r w:rsidRPr="009E68BD">
        <w:t>, PG&amp;E filed the</w:t>
      </w:r>
      <w:r>
        <w:t xml:space="preserve"> </w:t>
      </w:r>
      <w:r w:rsidRPr="009E68BD">
        <w:rPr>
          <w:rFonts w:ascii="BookAntiqua-Italic" w:hAnsi="BookAntiqua-Italic" w:cs="BookAntiqua-Italic"/>
          <w:i/>
          <w:iCs/>
        </w:rPr>
        <w:t>Application of the Pacific Gas &amp; Electric Company (U39 E) to Recover in Customer</w:t>
      </w:r>
      <w:r w:rsidR="00222891">
        <w:rPr>
          <w:rFonts w:ascii="BookAntiqua-Italic" w:hAnsi="BookAntiqua-Italic" w:cs="BookAntiqua-Italic"/>
          <w:i/>
          <w:iCs/>
        </w:rPr>
        <w:t xml:space="preserve"> </w:t>
      </w:r>
      <w:r w:rsidRPr="009E68BD">
        <w:rPr>
          <w:rFonts w:ascii="BookAntiqua-Italic" w:hAnsi="BookAntiqua-Italic" w:cs="BookAntiqua-Italic"/>
          <w:i/>
          <w:iCs/>
        </w:rPr>
        <w:t xml:space="preserve">Rates the Costs to Support Extended Operation of DCPP from </w:t>
      </w:r>
      <w:r>
        <w:rPr>
          <w:rFonts w:ascii="BookAntiqua-Italic" w:hAnsi="BookAntiqua-Italic" w:cs="BookAntiqua-Italic"/>
          <w:i/>
          <w:iCs/>
        </w:rPr>
        <w:t>Janua</w:t>
      </w:r>
      <w:r w:rsidR="006F12F3">
        <w:rPr>
          <w:rFonts w:ascii="BookAntiqua-Italic" w:hAnsi="BookAntiqua-Italic" w:cs="BookAntiqua-Italic"/>
          <w:i/>
          <w:iCs/>
        </w:rPr>
        <w:t xml:space="preserve">ry </w:t>
      </w:r>
      <w:r w:rsidRPr="009E68BD">
        <w:rPr>
          <w:rFonts w:ascii="BookAntiqua-Italic" w:hAnsi="BookAntiqua-Italic" w:cs="BookAntiqua-Italic"/>
          <w:i/>
          <w:iCs/>
        </w:rPr>
        <w:t>through December</w:t>
      </w:r>
      <w:r w:rsidR="000B222B">
        <w:rPr>
          <w:rFonts w:ascii="BookAntiqua-Italic" w:hAnsi="BookAntiqua-Italic" w:cs="BookAntiqua-Italic"/>
          <w:i/>
          <w:iCs/>
        </w:rPr>
        <w:t> </w:t>
      </w:r>
      <w:r w:rsidRPr="009E68BD">
        <w:rPr>
          <w:rFonts w:ascii="BookAntiqua-Italic" w:hAnsi="BookAntiqua-Italic" w:cs="BookAntiqua-Italic"/>
          <w:i/>
          <w:iCs/>
        </w:rPr>
        <w:t>31, 202</w:t>
      </w:r>
      <w:r>
        <w:rPr>
          <w:rFonts w:ascii="BookAntiqua-Italic" w:hAnsi="BookAntiqua-Italic" w:cs="BookAntiqua-Italic"/>
          <w:i/>
          <w:iCs/>
        </w:rPr>
        <w:t>6</w:t>
      </w:r>
      <w:r w:rsidRPr="009E68BD">
        <w:rPr>
          <w:rFonts w:ascii="BookAntiqua-Italic" w:hAnsi="BookAntiqua-Italic" w:cs="BookAntiqua-Italic"/>
          <w:i/>
          <w:iCs/>
        </w:rPr>
        <w:t xml:space="preserve"> and for Approval of Planned Expenditure of 202</w:t>
      </w:r>
      <w:r>
        <w:rPr>
          <w:rFonts w:ascii="BookAntiqua-Italic" w:hAnsi="BookAntiqua-Italic" w:cs="BookAntiqua-Italic"/>
          <w:i/>
          <w:iCs/>
        </w:rPr>
        <w:t>6</w:t>
      </w:r>
      <w:r w:rsidR="00222891">
        <w:rPr>
          <w:rFonts w:ascii="BookAntiqua-Italic" w:hAnsi="BookAntiqua-Italic" w:cs="BookAntiqua-Italic"/>
          <w:i/>
          <w:iCs/>
        </w:rPr>
        <w:t xml:space="preserve"> </w:t>
      </w:r>
      <w:r w:rsidRPr="009E68BD">
        <w:rPr>
          <w:rFonts w:ascii="BookAntiqua-Italic" w:hAnsi="BookAntiqua-Italic" w:cs="BookAntiqua-Italic"/>
          <w:i/>
          <w:iCs/>
        </w:rPr>
        <w:t xml:space="preserve">Volumetric Performance Fees </w:t>
      </w:r>
      <w:r w:rsidRPr="009E68BD">
        <w:t xml:space="preserve">(Application) and served associated testimony. </w:t>
      </w:r>
    </w:p>
    <w:p w:rsidRPr="009E68BD" w:rsidR="009E68BD" w:rsidP="00222891" w:rsidRDefault="009E68BD" w14:paraId="4D91B9A2" w14:textId="6C2BC162">
      <w:pPr>
        <w:pStyle w:val="Standard"/>
      </w:pPr>
      <w:r w:rsidRPr="009E68BD">
        <w:t xml:space="preserve">On April </w:t>
      </w:r>
      <w:r w:rsidR="00DC1B02">
        <w:t>24</w:t>
      </w:r>
      <w:r w:rsidRPr="009E68BD">
        <w:t>, 20</w:t>
      </w:r>
      <w:r>
        <w:t>25</w:t>
      </w:r>
      <w:r w:rsidRPr="009E68BD">
        <w:t>, Resolution ALJ</w:t>
      </w:r>
      <w:r w:rsidR="00DC1B02">
        <w:t xml:space="preserve"> 176-3652</w:t>
      </w:r>
      <w:r w:rsidRPr="009E68BD">
        <w:t xml:space="preserve"> preliminarily determined that</w:t>
      </w:r>
      <w:r w:rsidR="00222891">
        <w:t xml:space="preserve"> </w:t>
      </w:r>
      <w:r w:rsidRPr="009E68BD">
        <w:t xml:space="preserve">this proceeding was categorized as </w:t>
      </w:r>
      <w:proofErr w:type="spellStart"/>
      <w:r w:rsidRPr="009E68BD">
        <w:t>ratesetting</w:t>
      </w:r>
      <w:proofErr w:type="spellEnd"/>
      <w:r w:rsidRPr="009E68BD">
        <w:t>.</w:t>
      </w:r>
    </w:p>
    <w:p w:rsidR="009E68BD" w:rsidP="00DC1B02" w:rsidRDefault="009E68BD" w14:paraId="55D44F37" w14:textId="78D1CDC6">
      <w:pPr>
        <w:pStyle w:val="Standard"/>
      </w:pPr>
      <w:r w:rsidRPr="009E68BD">
        <w:t xml:space="preserve">On </w:t>
      </w:r>
      <w:r w:rsidR="00DC1B02">
        <w:t>April 28</w:t>
      </w:r>
      <w:r w:rsidRPr="009E68BD">
        <w:t>, 202</w:t>
      </w:r>
      <w:r>
        <w:t>5</w:t>
      </w:r>
      <w:r w:rsidRPr="009E68BD">
        <w:t xml:space="preserve">, </w:t>
      </w:r>
      <w:r w:rsidR="00DC1B02">
        <w:t xml:space="preserve">a </w:t>
      </w:r>
      <w:r w:rsidRPr="009E68BD">
        <w:t>protest w</w:t>
      </w:r>
      <w:r w:rsidR="00DC1B02">
        <w:t>as</w:t>
      </w:r>
      <w:r w:rsidRPr="009E68BD">
        <w:t xml:space="preserve"> filed by </w:t>
      </w:r>
      <w:proofErr w:type="spellStart"/>
      <w:r w:rsidRPr="009E68BD" w:rsidR="00DC1B02">
        <w:t>CAlifornians</w:t>
      </w:r>
      <w:proofErr w:type="spellEnd"/>
      <w:r w:rsidRPr="009E68BD" w:rsidR="00DC1B02">
        <w:t xml:space="preserve"> for</w:t>
      </w:r>
      <w:r w:rsidR="00DC1B02">
        <w:t xml:space="preserve"> Renewable Energy, Inc. (CARE). On April 30, 2025, protests were filed by San Luis Obispo Mothers for Peace</w:t>
      </w:r>
      <w:r w:rsidR="002F2478">
        <w:t xml:space="preserve"> (SLOMP)</w:t>
      </w:r>
      <w:r w:rsidR="00DC1B02">
        <w:t xml:space="preserve"> and The Utility Reform Network (TURN). On May</w:t>
      </w:r>
      <w:r w:rsidR="008D510D">
        <w:t> </w:t>
      </w:r>
      <w:r w:rsidR="00DC1B02">
        <w:t xml:space="preserve">1, 2025, protests were filed by the </w:t>
      </w:r>
      <w:r w:rsidRPr="009E68BD">
        <w:t>Alliance for Nuclear Responsibility</w:t>
      </w:r>
      <w:r w:rsidR="00DC1B02">
        <w:t xml:space="preserve"> </w:t>
      </w:r>
      <w:r w:rsidRPr="009E68BD">
        <w:lastRenderedPageBreak/>
        <w:t xml:space="preserve">(A4NR), California Community Choice Association </w:t>
      </w:r>
      <w:r w:rsidR="00DC1B02">
        <w:t xml:space="preserve">(CalCCA), </w:t>
      </w:r>
      <w:bookmarkStart w:name="_Hlk211516254" w:id="6"/>
      <w:r w:rsidR="00DC1B02">
        <w:t>Energy Producers and Users Coalition (EPUC), and the Public Advocates Office at the California Public Utilities Commission (Cal</w:t>
      </w:r>
      <w:r w:rsidR="00B762BA">
        <w:t xml:space="preserve"> </w:t>
      </w:r>
      <w:r w:rsidR="00DC1B02">
        <w:t>Advocates). On May 1, 2025, responses were filed by SCE, SDG&amp;E</w:t>
      </w:r>
      <w:r w:rsidR="003126B7">
        <w:t>,</w:t>
      </w:r>
      <w:r w:rsidR="00DC1B02">
        <w:t xml:space="preserve"> and the</w:t>
      </w:r>
      <w:r w:rsidR="00AC5FC6">
        <w:t xml:space="preserve"> </w:t>
      </w:r>
      <w:r w:rsidR="00DC1B02">
        <w:t xml:space="preserve">Coalition of </w:t>
      </w:r>
      <w:r w:rsidR="00AC5FC6">
        <w:t xml:space="preserve">California </w:t>
      </w:r>
      <w:r w:rsidR="00DC1B02">
        <w:t>Utility Employees (CUE). Californians for Green Nuclear Power</w:t>
      </w:r>
      <w:r w:rsidR="001009FD">
        <w:t xml:space="preserve"> (CGNP)</w:t>
      </w:r>
      <w:r w:rsidR="00DC1B02">
        <w:t xml:space="preserve">, </w:t>
      </w:r>
      <w:r w:rsidR="00AE4BCC">
        <w:t xml:space="preserve">Women’s Energy Matters </w:t>
      </w:r>
      <w:r w:rsidR="001009FD">
        <w:t>(WEM)</w:t>
      </w:r>
      <w:r w:rsidR="00DC1B02">
        <w:t xml:space="preserve">, and Small Business Utility Advocates </w:t>
      </w:r>
      <w:r w:rsidR="001009FD">
        <w:t xml:space="preserve">(SBUA) </w:t>
      </w:r>
      <w:bookmarkEnd w:id="6"/>
      <w:r w:rsidR="00DC1B02">
        <w:t>were granted party status in response to their motions filed on May 8, 2025, May 27, 2025, and May 30, 2025, respectively.</w:t>
      </w:r>
    </w:p>
    <w:p w:rsidRPr="009E68BD" w:rsidR="00DC1B02" w:rsidP="00DC1B02" w:rsidRDefault="00DC1B02" w14:paraId="720185F8" w14:textId="54420D7D">
      <w:pPr>
        <w:pStyle w:val="Standard"/>
      </w:pPr>
      <w:r>
        <w:t xml:space="preserve">On May 12, 2025, PG&amp;E filed a reply to </w:t>
      </w:r>
      <w:r w:rsidR="003126B7">
        <w:t xml:space="preserve">the </w:t>
      </w:r>
      <w:r>
        <w:t>protests and responses.</w:t>
      </w:r>
    </w:p>
    <w:p w:rsidR="00DC1B02" w:rsidP="006E6574" w:rsidRDefault="00DC1B02" w14:paraId="2DA56C56" w14:textId="2111D908">
      <w:pPr>
        <w:pStyle w:val="Standard"/>
      </w:pPr>
      <w:r>
        <w:t>A prehearing conference was held on May 30, 2025, to address the issues of law and fact, determine the need for hearing, set the schedule for resolving the matter, and address other matters as necessary. On July 2, 20</w:t>
      </w:r>
      <w:r w:rsidR="00B67819">
        <w:t>2</w:t>
      </w:r>
      <w:r>
        <w:t>5, the assigned Commissione</w:t>
      </w:r>
      <w:r w:rsidR="002F2478">
        <w:t>r</w:t>
      </w:r>
      <w:r>
        <w:t xml:space="preserve"> issued a Scoping Memo and Ruling (Scoping Memo).</w:t>
      </w:r>
    </w:p>
    <w:p w:rsidR="00DC1B02" w:rsidP="006E6574" w:rsidRDefault="00DC1B02" w14:paraId="4FA4BD84" w14:textId="2DE8F994">
      <w:pPr>
        <w:pStyle w:val="Standard"/>
      </w:pPr>
      <w:r>
        <w:t xml:space="preserve">PG&amp;E submitted amended testimony on July 8, 2025. </w:t>
      </w:r>
    </w:p>
    <w:p w:rsidR="00DC1B02" w:rsidP="00DC1B02" w:rsidRDefault="00DC1B02" w14:paraId="65C89C80" w14:textId="3749ED7C">
      <w:pPr>
        <w:pStyle w:val="Standard"/>
      </w:pPr>
      <w:r>
        <w:t>T</w:t>
      </w:r>
      <w:r w:rsidRPr="00DC1B02">
        <w:t>he parties to this proceeding submitted testimony on July 2</w:t>
      </w:r>
      <w:r>
        <w:t>4</w:t>
      </w:r>
      <w:r w:rsidRPr="00DC1B02">
        <w:t>, 202</w:t>
      </w:r>
      <w:r>
        <w:t>5</w:t>
      </w:r>
      <w:r w:rsidRPr="00DC1B02">
        <w:t>, followed by</w:t>
      </w:r>
      <w:r w:rsidR="00D35B04">
        <w:t xml:space="preserve"> </w:t>
      </w:r>
      <w:r w:rsidRPr="00DC1B02">
        <w:t>the submission of concurrent rebuttal testimon</w:t>
      </w:r>
      <w:r w:rsidR="00AC5FC6">
        <w:t>y</w:t>
      </w:r>
      <w:r w:rsidRPr="00DC1B02">
        <w:t xml:space="preserve"> on August </w:t>
      </w:r>
      <w:r w:rsidR="00D35B04">
        <w:t>15</w:t>
      </w:r>
      <w:r w:rsidRPr="00DC1B02">
        <w:t>, 202</w:t>
      </w:r>
      <w:r w:rsidR="00D35B04">
        <w:t>5</w:t>
      </w:r>
      <w:r w:rsidRPr="00DC1B02">
        <w:t>.</w:t>
      </w:r>
      <w:r w:rsidR="00D35B04">
        <w:t xml:space="preserve"> </w:t>
      </w:r>
    </w:p>
    <w:p w:rsidR="00DC1B02" w:rsidP="000B222B" w:rsidRDefault="00DC1B02" w14:paraId="626432AF" w14:textId="547F7C6F">
      <w:pPr>
        <w:pStyle w:val="Standard"/>
      </w:pPr>
      <w:r w:rsidRPr="00DC1B02">
        <w:t xml:space="preserve">The parties </w:t>
      </w:r>
      <w:r w:rsidR="00B67819">
        <w:t>filed</w:t>
      </w:r>
      <w:r w:rsidRPr="00DC1B02">
        <w:t xml:space="preserve"> their Joint Report of Meet and Confer and </w:t>
      </w:r>
      <w:r w:rsidR="00D35B04">
        <w:t>preliminary exhibit and witness list on August 27</w:t>
      </w:r>
      <w:r w:rsidRPr="00DC1B02">
        <w:t>, 202</w:t>
      </w:r>
      <w:r w:rsidR="00D35B04">
        <w:t>5</w:t>
      </w:r>
      <w:r w:rsidRPr="00DC1B02">
        <w:t xml:space="preserve"> and participated in</w:t>
      </w:r>
      <w:r w:rsidR="000B222B">
        <w:t xml:space="preserve"> </w:t>
      </w:r>
      <w:r w:rsidRPr="00DC1B02">
        <w:t xml:space="preserve">evidentiary hearings on September </w:t>
      </w:r>
      <w:r w:rsidR="00D35B04">
        <w:t>9 and 10, 2025</w:t>
      </w:r>
      <w:r w:rsidRPr="00DC1B02">
        <w:t>.</w:t>
      </w:r>
    </w:p>
    <w:p w:rsidR="00D91E3E" w:rsidP="00930FB2" w:rsidRDefault="00D91E3E" w14:paraId="22B2E12E" w14:textId="65A6BCEB">
      <w:pPr>
        <w:pStyle w:val="Standard"/>
      </w:pPr>
      <w:r>
        <w:t xml:space="preserve">The </w:t>
      </w:r>
      <w:bookmarkStart w:name="_Hlk211516305" w:id="7"/>
      <w:r>
        <w:t xml:space="preserve">Administrative Law Judge (ALJ) </w:t>
      </w:r>
      <w:bookmarkEnd w:id="7"/>
      <w:r>
        <w:t>assigned to this proceeding issued a ruling on August 29, 2025 ordering PG&amp;E to submit a calculation of and workpapers for the 2026 fixed management fees using the escalation factor methodology authorized in D.24-12-0</w:t>
      </w:r>
      <w:r w:rsidR="00AC5FC6">
        <w:t>3</w:t>
      </w:r>
      <w:r>
        <w:t xml:space="preserve">3 by no later than September 8, 2025. PG&amp;E </w:t>
      </w:r>
      <w:r w:rsidR="004B78EF">
        <w:t>filed</w:t>
      </w:r>
      <w:r>
        <w:t xml:space="preserve"> its response to the ruling on September 8, 2025. </w:t>
      </w:r>
    </w:p>
    <w:p w:rsidR="00D91E3E" w:rsidP="00D91E3E" w:rsidRDefault="00D91E3E" w14:paraId="7453CD13" w14:textId="40A48914">
      <w:pPr>
        <w:pStyle w:val="Standard"/>
      </w:pPr>
      <w:r>
        <w:t xml:space="preserve">A subsequent ALJ Ruling was issued on September 25, 2025 ordering PG&amp;E to provide more detail about how it calculated the 2026 fixed management </w:t>
      </w:r>
      <w:r>
        <w:lastRenderedPageBreak/>
        <w:t>fee using the escalation factor methodology authorized in D.24-12-003 and the data it used to calculate that 2026 fixed management fee as well as its reasons for proposing a new methodology for calculating the 2026 fixed management fee compared to the methodology authorized in D.24-12-0</w:t>
      </w:r>
      <w:r w:rsidR="00AC5FC6">
        <w:t>3</w:t>
      </w:r>
      <w:r>
        <w:t xml:space="preserve">3. The Ruling ordered PG&amp;E to respond to the Ruling on October 8, 2025. PG&amp;E </w:t>
      </w:r>
      <w:r w:rsidR="00766DFC">
        <w:t>served</w:t>
      </w:r>
      <w:r>
        <w:t xml:space="preserve"> its </w:t>
      </w:r>
      <w:r w:rsidR="000F05A0">
        <w:t xml:space="preserve">testimony in </w:t>
      </w:r>
      <w:r>
        <w:t xml:space="preserve">response to the Ruling on </w:t>
      </w:r>
      <w:r w:rsidR="00AC5FC6">
        <w:t>October 8, 2025</w:t>
      </w:r>
      <w:r>
        <w:t xml:space="preserve">. </w:t>
      </w:r>
    </w:p>
    <w:p w:rsidRPr="001009FD" w:rsidR="001009FD" w:rsidP="001009FD" w:rsidRDefault="001009FD" w14:paraId="10ABA494" w14:textId="032BABAC">
      <w:pPr>
        <w:pStyle w:val="Standard"/>
      </w:pPr>
      <w:r>
        <w:t xml:space="preserve">A subsequent ALJ Ruling was issued on October 3, 2025 allowing parties to </w:t>
      </w:r>
      <w:r w:rsidR="000B228F">
        <w:t>serve</w:t>
      </w:r>
      <w:r>
        <w:t xml:space="preserve"> additional testimony</w:t>
      </w:r>
      <w:r w:rsidRPr="001009FD">
        <w:t xml:space="preserve"> by October 20, 2025 directly and solely in response to PG&amp;E’s testimony of October 8, 2025 responding to the September 25, 2025 ALJ Ruling ordering PG&amp;E to provide more detail about how it calculated the 2026 fixed management fee using the escalation factor methodology authorized in D.24-12-0</w:t>
      </w:r>
      <w:r w:rsidR="00AC5FC6">
        <w:t>3</w:t>
      </w:r>
      <w:r w:rsidRPr="001009FD">
        <w:t>3. Th</w:t>
      </w:r>
      <w:r>
        <w:t>e</w:t>
      </w:r>
      <w:r w:rsidRPr="001009FD">
        <w:t xml:space="preserve"> ruling also allow</w:t>
      </w:r>
      <w:r>
        <w:t>ed</w:t>
      </w:r>
      <w:r w:rsidRPr="001009FD">
        <w:t xml:space="preserve"> PG&amp;E to serve reply testimony by October 27, 2025 solely in response to the October 20, 2025 intervenor testimony.</w:t>
      </w:r>
      <w:r>
        <w:t xml:space="preserve"> Party comments were allowed by October 20, 2025 </w:t>
      </w:r>
      <w:r w:rsidRPr="001009FD">
        <w:t xml:space="preserve">in response to the market benchmark update calculations. </w:t>
      </w:r>
    </w:p>
    <w:p w:rsidRPr="00C407FA" w:rsidR="00DC1B02" w:rsidP="00DC1B02" w:rsidRDefault="00DC1B02" w14:paraId="38F948CE" w14:textId="77777777">
      <w:pPr>
        <w:pStyle w:val="Standard"/>
      </w:pPr>
      <w:r w:rsidRPr="00DC1B02">
        <w:t xml:space="preserve">Opening briefs were filed by </w:t>
      </w:r>
      <w:r w:rsidRPr="00C407FA">
        <w:t>A4NR, Cal Advocates, CARE, CalCCA,</w:t>
      </w:r>
    </w:p>
    <w:p w:rsidRPr="00DC1B02" w:rsidR="00DC1B02" w:rsidP="002619E8" w:rsidRDefault="00DC1B02" w14:paraId="4FE1FFAC" w14:textId="642D46AA">
      <w:pPr>
        <w:pStyle w:val="Standard"/>
        <w:ind w:firstLine="0"/>
      </w:pPr>
      <w:r w:rsidRPr="00C407FA">
        <w:t>CGNP, CUE, EPUC, PG&amp;E, SBUA, SLO,</w:t>
      </w:r>
      <w:r w:rsidRPr="00C407FA" w:rsidR="001009FD">
        <w:t xml:space="preserve"> WEM,</w:t>
      </w:r>
      <w:r w:rsidRPr="00C407FA">
        <w:t xml:space="preserve"> and TURN</w:t>
      </w:r>
      <w:r w:rsidRPr="00DC1B02">
        <w:t xml:space="preserve"> on</w:t>
      </w:r>
      <w:r w:rsidR="001009FD">
        <w:t xml:space="preserve"> </w:t>
      </w:r>
      <w:r w:rsidRPr="00DC1B02">
        <w:t>October 1, 202</w:t>
      </w:r>
      <w:r w:rsidR="002619E8">
        <w:t>5</w:t>
      </w:r>
      <w:r w:rsidRPr="00DC1B02">
        <w:t xml:space="preserve">, and reply briefs were filed </w:t>
      </w:r>
      <w:r w:rsidRPr="003C170B">
        <w:t>by</w:t>
      </w:r>
      <w:r w:rsidRPr="005B5535" w:rsidR="005B5535">
        <w:t xml:space="preserve"> </w:t>
      </w:r>
      <w:r w:rsidRPr="003C170B" w:rsidR="005B5535">
        <w:t>A4NR, CalCCA, CGNP, CUE, EPUC, PG&amp;E, SBUA, SCE, TURN, and WEM</w:t>
      </w:r>
      <w:r w:rsidRPr="00DC1B02" w:rsidR="005B5535">
        <w:t xml:space="preserve"> on October </w:t>
      </w:r>
      <w:r w:rsidR="005B5535">
        <w:t>22</w:t>
      </w:r>
      <w:r w:rsidRPr="00DC1B02" w:rsidR="005B5535">
        <w:t>,</w:t>
      </w:r>
      <w:r w:rsidR="005B5535">
        <w:t xml:space="preserve"> </w:t>
      </w:r>
      <w:r w:rsidRPr="00DC1B02" w:rsidR="005B5535">
        <w:t>202</w:t>
      </w:r>
      <w:r w:rsidR="005B5535">
        <w:t>5</w:t>
      </w:r>
      <w:r w:rsidRPr="00DC1B02">
        <w:t>.</w:t>
      </w:r>
      <w:r w:rsidR="003C170B">
        <w:t xml:space="preserve"> </w:t>
      </w:r>
      <w:r w:rsidR="00C41785">
        <w:t>CARE filed a reply brief on October 23, 2025.</w:t>
      </w:r>
    </w:p>
    <w:p w:rsidR="003C170B" w:rsidP="003C170B" w:rsidRDefault="00DC1B02" w14:paraId="63AEE291" w14:textId="46332678">
      <w:pPr>
        <w:pStyle w:val="Standard"/>
      </w:pPr>
      <w:r w:rsidRPr="00DC1B02">
        <w:t xml:space="preserve">In accordance with the </w:t>
      </w:r>
      <w:r w:rsidR="008561C1">
        <w:t>Scoping Memo</w:t>
      </w:r>
      <w:r w:rsidRPr="00DC1B02">
        <w:t>, PG&amp;E updated its</w:t>
      </w:r>
      <w:r w:rsidR="001009FD">
        <w:t xml:space="preserve"> </w:t>
      </w:r>
      <w:r w:rsidRPr="00DC1B02">
        <w:t xml:space="preserve">prepared testimony on October </w:t>
      </w:r>
      <w:r w:rsidR="008561C1">
        <w:t>8</w:t>
      </w:r>
      <w:r w:rsidRPr="00DC1B02">
        <w:t>, 202</w:t>
      </w:r>
      <w:r w:rsidR="008561C1">
        <w:t>5</w:t>
      </w:r>
      <w:r w:rsidRPr="00DC1B02">
        <w:t>, to include any updated forecast and</w:t>
      </w:r>
      <w:r w:rsidR="001009FD">
        <w:t xml:space="preserve"> </w:t>
      </w:r>
      <w:r w:rsidRPr="00DC1B02">
        <w:t xml:space="preserve">recorded </w:t>
      </w:r>
      <w:bookmarkStart w:name="_Hlk211516531" w:id="8"/>
      <w:r w:rsidRPr="00DC1B02">
        <w:t>Diablo Canyon Extended Operations Balancing Account (DCEOBA)</w:t>
      </w:r>
      <w:r w:rsidR="001009FD">
        <w:t xml:space="preserve"> </w:t>
      </w:r>
      <w:bookmarkEnd w:id="8"/>
      <w:r w:rsidRPr="00DC1B02">
        <w:t>balances (Fall Update). Comments to the update were filed by</w:t>
      </w:r>
      <w:r w:rsidRPr="005B5535" w:rsidR="005B5535">
        <w:t xml:space="preserve"> </w:t>
      </w:r>
      <w:r w:rsidRPr="003C170B" w:rsidR="005B5535">
        <w:t>A4NR, CalCCA, TURN, WEM, and CGNP on October 20, 20</w:t>
      </w:r>
      <w:r w:rsidRPr="00DC1B02" w:rsidR="005B5535">
        <w:t>2</w:t>
      </w:r>
      <w:r w:rsidR="005B5535">
        <w:t>5</w:t>
      </w:r>
      <w:r w:rsidRPr="00DC1B02">
        <w:t xml:space="preserve">, </w:t>
      </w:r>
      <w:r w:rsidRPr="00E37CF1">
        <w:t>and repl</w:t>
      </w:r>
      <w:r w:rsidRPr="00E37CF1" w:rsidR="001009FD">
        <w:t xml:space="preserve">y </w:t>
      </w:r>
      <w:r w:rsidRPr="00E37CF1" w:rsidR="003C170B">
        <w:t>comment</w:t>
      </w:r>
      <w:r w:rsidRPr="00E37CF1">
        <w:t xml:space="preserve">s were filed </w:t>
      </w:r>
      <w:r w:rsidRPr="00E37CF1" w:rsidR="008C772F">
        <w:t xml:space="preserve">by </w:t>
      </w:r>
      <w:r w:rsidRPr="00E37CF1">
        <w:t>PG&amp;E on</w:t>
      </w:r>
      <w:r w:rsidRPr="00E37CF1" w:rsidR="001009FD">
        <w:t xml:space="preserve"> </w:t>
      </w:r>
      <w:r w:rsidRPr="00E37CF1">
        <w:t>October 2</w:t>
      </w:r>
      <w:r w:rsidRPr="00E37CF1" w:rsidR="003C170B">
        <w:t>7</w:t>
      </w:r>
      <w:r w:rsidRPr="00E37CF1">
        <w:t>, 202</w:t>
      </w:r>
      <w:r w:rsidRPr="00E37CF1" w:rsidR="003C170B">
        <w:t>5</w:t>
      </w:r>
      <w:r w:rsidRPr="00E37CF1">
        <w:t>.</w:t>
      </w:r>
    </w:p>
    <w:p w:rsidR="001009FD" w:rsidP="003C170B" w:rsidRDefault="005B5535" w14:paraId="1513DF78" w14:textId="3EBF4252">
      <w:pPr>
        <w:pStyle w:val="Standard"/>
      </w:pPr>
      <w:r>
        <w:lastRenderedPageBreak/>
        <w:t xml:space="preserve">Cal Advocates, TURN, </w:t>
      </w:r>
      <w:r w:rsidR="00F023A9">
        <w:t>and</w:t>
      </w:r>
      <w:r>
        <w:t xml:space="preserve"> EPUC served additional testimony on October 20, 2025 </w:t>
      </w:r>
      <w:r w:rsidR="001009FD">
        <w:t>on PG&amp;E’s calculation of the 2026 fixed management fee using the methodology authorized in D.24-12-0</w:t>
      </w:r>
      <w:r w:rsidR="00AC5FC6">
        <w:t>3</w:t>
      </w:r>
      <w:r w:rsidR="001009FD">
        <w:t xml:space="preserve">3. PG&amp;E </w:t>
      </w:r>
      <w:r w:rsidR="000B228F">
        <w:t>served</w:t>
      </w:r>
      <w:r w:rsidR="001009FD">
        <w:t xml:space="preserve"> reply testimony on </w:t>
      </w:r>
      <w:r w:rsidR="008C772F">
        <w:t>October 27, 2025</w:t>
      </w:r>
      <w:r w:rsidR="001009FD">
        <w:t>.</w:t>
      </w:r>
      <w:r w:rsidR="00C8009B">
        <w:t xml:space="preserve"> The assigned ALJ issued a ruling </w:t>
      </w:r>
      <w:r w:rsidR="00C1246A">
        <w:t xml:space="preserve">marking and identifying, and </w:t>
      </w:r>
      <w:r w:rsidR="00C8009B">
        <w:t>admitting the public and confidential versions of updated testimony on October</w:t>
      </w:r>
      <w:r w:rsidR="00455D37">
        <w:t> </w:t>
      </w:r>
      <w:r w:rsidR="00C8009B">
        <w:t xml:space="preserve">30, 2025.  </w:t>
      </w:r>
    </w:p>
    <w:p w:rsidRPr="00DC1B02" w:rsidR="00DC1B02" w:rsidP="008926B4" w:rsidRDefault="00DC1B02" w14:paraId="00E2D875" w14:textId="3F181FD6">
      <w:pPr>
        <w:pStyle w:val="Heading2"/>
      </w:pPr>
      <w:bookmarkStart w:name="_Toc216176794" w:id="9"/>
      <w:r w:rsidRPr="00DC1B02">
        <w:t>Submission Date</w:t>
      </w:r>
      <w:bookmarkEnd w:id="9"/>
    </w:p>
    <w:p w:rsidRPr="00DC1B02" w:rsidR="00DC1B02" w:rsidP="00222891" w:rsidRDefault="00DC1B02" w14:paraId="4B12EE3E" w14:textId="3357AD2D">
      <w:pPr>
        <w:pStyle w:val="Standard"/>
      </w:pPr>
      <w:r w:rsidRPr="00DC1B02">
        <w:t xml:space="preserve">This matter was </w:t>
      </w:r>
      <w:r w:rsidRPr="0062787E">
        <w:t>submitted on</w:t>
      </w:r>
      <w:r w:rsidRPr="0062787E" w:rsidR="00D91E3E">
        <w:t xml:space="preserve"> </w:t>
      </w:r>
      <w:r w:rsidRPr="0062787E" w:rsidR="008C772F">
        <w:t>October 30,</w:t>
      </w:r>
      <w:r w:rsidRPr="0062787E">
        <w:t xml:space="preserve"> 202</w:t>
      </w:r>
      <w:r w:rsidRPr="0062787E" w:rsidR="00D91E3E">
        <w:t>5</w:t>
      </w:r>
      <w:r w:rsidRPr="008C772F">
        <w:t>, upon</w:t>
      </w:r>
      <w:r w:rsidRPr="00DC1B02">
        <w:t xml:space="preserve"> the issuance of ALJ Ruling</w:t>
      </w:r>
      <w:r w:rsidR="003126B7">
        <w:t>s</w:t>
      </w:r>
      <w:r w:rsidRPr="00DC1B02">
        <w:t xml:space="preserve"> </w:t>
      </w:r>
      <w:r w:rsidR="00C1246A">
        <w:t xml:space="preserve">marking and identifying, and </w:t>
      </w:r>
      <w:r w:rsidRPr="00DC1B02">
        <w:t xml:space="preserve">admitting </w:t>
      </w:r>
      <w:r w:rsidR="00C1246A">
        <w:t xml:space="preserve">the public and confidential versions of </w:t>
      </w:r>
      <w:r w:rsidRPr="00DC1B02">
        <w:t xml:space="preserve">updated testimony </w:t>
      </w:r>
      <w:r w:rsidR="003126B7">
        <w:t xml:space="preserve">and workpapers </w:t>
      </w:r>
      <w:r w:rsidRPr="00DC1B02">
        <w:t>into the record of this</w:t>
      </w:r>
      <w:r w:rsidR="00222891">
        <w:t xml:space="preserve"> </w:t>
      </w:r>
      <w:r w:rsidRPr="00DC1B02">
        <w:t>proceeding.</w:t>
      </w:r>
    </w:p>
    <w:p w:rsidRPr="00D91E3E" w:rsidR="00DC1B02" w:rsidP="00B346A9" w:rsidRDefault="00DC1B02" w14:paraId="684FBB66" w14:textId="3EEEC604">
      <w:pPr>
        <w:pStyle w:val="Heading1"/>
      </w:pPr>
      <w:bookmarkStart w:name="_Toc216176795" w:id="10"/>
      <w:r w:rsidRPr="00DC1B02">
        <w:t>PG&amp;E’s Revenue Requirement Request with the Fall</w:t>
      </w:r>
      <w:r w:rsidR="00D91E3E">
        <w:t xml:space="preserve"> </w:t>
      </w:r>
      <w:r w:rsidRPr="00DC1B02">
        <w:t>Update</w:t>
      </w:r>
      <w:bookmarkEnd w:id="10"/>
    </w:p>
    <w:p w:rsidRPr="00D91E3E" w:rsidR="00D91E3E" w:rsidP="00222891" w:rsidRDefault="00D91E3E" w14:paraId="02B5F96A" w14:textId="1F57CCFA">
      <w:pPr>
        <w:pStyle w:val="Standard"/>
        <w:rPr>
          <w:rFonts w:cs="BookAntiqua"/>
        </w:rPr>
      </w:pPr>
      <w:r w:rsidRPr="00D91E3E">
        <w:rPr>
          <w:rFonts w:cs="BookAntiqua"/>
        </w:rPr>
        <w:t>PG&amp;E filed its application for Commission review and approval of its</w:t>
      </w:r>
      <w:r w:rsidR="00222891">
        <w:rPr>
          <w:rFonts w:cs="BookAntiqua"/>
        </w:rPr>
        <w:t xml:space="preserve"> </w:t>
      </w:r>
      <w:r w:rsidRPr="00D91E3E">
        <w:rPr>
          <w:rFonts w:cs="BookAntiqua"/>
        </w:rPr>
        <w:t xml:space="preserve">forecasted costs covering the period starting from </w:t>
      </w:r>
      <w:r w:rsidR="00B346A9">
        <w:rPr>
          <w:rFonts w:cs="BookAntiqua"/>
        </w:rPr>
        <w:t>January</w:t>
      </w:r>
      <w:r w:rsidRPr="00D91E3E">
        <w:rPr>
          <w:rFonts w:cs="BookAntiqua"/>
        </w:rPr>
        <w:t xml:space="preserve"> 1 through</w:t>
      </w:r>
      <w:r w:rsidR="00222891">
        <w:rPr>
          <w:rFonts w:cs="BookAntiqua"/>
        </w:rPr>
        <w:t xml:space="preserve"> </w:t>
      </w:r>
      <w:r w:rsidRPr="00D91E3E">
        <w:rPr>
          <w:rFonts w:cs="BookAntiqua"/>
        </w:rPr>
        <w:t>December</w:t>
      </w:r>
      <w:r w:rsidR="00222891">
        <w:rPr>
          <w:rFonts w:cs="BookAntiqua"/>
        </w:rPr>
        <w:t> </w:t>
      </w:r>
      <w:r w:rsidRPr="00D91E3E">
        <w:rPr>
          <w:rFonts w:cs="BookAntiqua"/>
        </w:rPr>
        <w:t>31, 202</w:t>
      </w:r>
      <w:r w:rsidR="00B346A9">
        <w:rPr>
          <w:rFonts w:cs="BookAntiqua"/>
        </w:rPr>
        <w:t>6</w:t>
      </w:r>
      <w:r w:rsidRPr="00D91E3E">
        <w:rPr>
          <w:rFonts w:cs="BookAntiqua"/>
        </w:rPr>
        <w:t xml:space="preserve"> (the Record Period) to support DCPP extended operations.</w:t>
      </w:r>
    </w:p>
    <w:p w:rsidRPr="00D91E3E" w:rsidR="00D91E3E" w:rsidP="00D91E3E" w:rsidRDefault="00D91E3E" w14:paraId="751D2390" w14:textId="175ACFC6">
      <w:pPr>
        <w:pStyle w:val="Standard"/>
        <w:rPr>
          <w:rFonts w:cs="BookAntiqua"/>
        </w:rPr>
      </w:pPr>
      <w:r w:rsidRPr="00D91E3E">
        <w:rPr>
          <w:rFonts w:cs="BookAntiqua"/>
        </w:rPr>
        <w:t>These forecasted costs will be reflected in statewide rates starting on January 1,</w:t>
      </w:r>
      <w:r w:rsidR="00B346A9">
        <w:rPr>
          <w:rFonts w:cs="BookAntiqua"/>
        </w:rPr>
        <w:t xml:space="preserve"> </w:t>
      </w:r>
      <w:r w:rsidRPr="00D91E3E">
        <w:rPr>
          <w:rFonts w:cs="BookAntiqua"/>
        </w:rPr>
        <w:t>202</w:t>
      </w:r>
      <w:r w:rsidR="00B346A9">
        <w:rPr>
          <w:rFonts w:cs="BookAntiqua"/>
        </w:rPr>
        <w:t>6</w:t>
      </w:r>
      <w:r w:rsidRPr="00D91E3E">
        <w:rPr>
          <w:rFonts w:cs="BookAntiqua"/>
        </w:rPr>
        <w:t>.</w:t>
      </w:r>
    </w:p>
    <w:p w:rsidRPr="00D91E3E" w:rsidR="00D91E3E" w:rsidP="00222891" w:rsidRDefault="00D91E3E" w14:paraId="1DA5A282" w14:textId="0A87E342">
      <w:pPr>
        <w:pStyle w:val="Standard"/>
        <w:rPr>
          <w:rFonts w:cs="BookAntiqua"/>
        </w:rPr>
      </w:pPr>
      <w:r w:rsidRPr="00D91E3E">
        <w:rPr>
          <w:rFonts w:cs="BookAntiqua"/>
        </w:rPr>
        <w:t>Consistent with the Commission’s directives in D.23-12-036, PG&amp;E’s</w:t>
      </w:r>
      <w:r w:rsidR="00222891">
        <w:rPr>
          <w:rFonts w:cs="BookAntiqua"/>
        </w:rPr>
        <w:t xml:space="preserve"> </w:t>
      </w:r>
      <w:r w:rsidRPr="00D91E3E">
        <w:rPr>
          <w:rFonts w:cs="BookAntiqua"/>
        </w:rPr>
        <w:t>application includes: (1) a forecast of costs of extended operations, (2) a forecast</w:t>
      </w:r>
      <w:r w:rsidR="00222891">
        <w:rPr>
          <w:rFonts w:cs="BookAntiqua"/>
        </w:rPr>
        <w:t xml:space="preserve"> </w:t>
      </w:r>
      <w:r w:rsidRPr="00D91E3E">
        <w:rPr>
          <w:rFonts w:cs="BookAntiqua"/>
        </w:rPr>
        <w:t xml:space="preserve">of market revenues for DCPP for the Record Period, </w:t>
      </w:r>
      <w:r w:rsidR="001B5F11">
        <w:rPr>
          <w:rFonts w:cs="BookAntiqua"/>
        </w:rPr>
        <w:t xml:space="preserve">and </w:t>
      </w:r>
      <w:r w:rsidR="001009FD">
        <w:rPr>
          <w:rFonts w:cs="BookAntiqua"/>
        </w:rPr>
        <w:t>(3)</w:t>
      </w:r>
      <w:r w:rsidR="001B5F11">
        <w:rPr>
          <w:rFonts w:cs="BookAntiqua"/>
        </w:rPr>
        <w:t xml:space="preserve"> proposals for spending the VPF collected in accordance with California Public </w:t>
      </w:r>
      <w:r w:rsidR="00C75D74">
        <w:rPr>
          <w:rFonts w:cs="BookAntiqua"/>
        </w:rPr>
        <w:t>Utilities</w:t>
      </w:r>
      <w:r w:rsidR="001B5F11">
        <w:rPr>
          <w:rFonts w:cs="BookAntiqua"/>
        </w:rPr>
        <w:t xml:space="preserve"> Code </w:t>
      </w:r>
      <w:r w:rsidR="006D7C12">
        <w:rPr>
          <w:rFonts w:cs="BookAntiqua"/>
        </w:rPr>
        <w:t xml:space="preserve">(Pub. Util. Code) </w:t>
      </w:r>
      <w:r w:rsidR="001B5F11">
        <w:rPr>
          <w:rFonts w:cs="BookAntiqua"/>
        </w:rPr>
        <w:t xml:space="preserve">Section 712.8(f)(5). PG&amp;E has also </w:t>
      </w:r>
      <w:r w:rsidRPr="000D0468" w:rsidR="001B5F11">
        <w:t>propose</w:t>
      </w:r>
      <w:r w:rsidR="001B5F11">
        <w:t>d an</w:t>
      </w:r>
      <w:r w:rsidRPr="000D0468" w:rsidR="001B5F11">
        <w:t xml:space="preserve"> escalation factor for its fixed management fees utilizing the 2026 cumulative Consumer Price </w:t>
      </w:r>
      <w:r w:rsidRPr="000D0468" w:rsidR="001B5F11">
        <w:lastRenderedPageBreak/>
        <w:t>Index - All Urban escalation factor</w:t>
      </w:r>
      <w:r w:rsidR="001B5F11">
        <w:rPr>
          <w:rStyle w:val="FootnoteReference"/>
        </w:rPr>
        <w:footnoteReference w:id="7"/>
      </w:r>
      <w:r w:rsidRPr="00D91E3E" w:rsidR="001009FD">
        <w:rPr>
          <w:rFonts w:cs="BookAntiqua"/>
        </w:rPr>
        <w:t xml:space="preserve"> </w:t>
      </w:r>
      <w:r w:rsidRPr="00D91E3E">
        <w:rPr>
          <w:rFonts w:cs="BookAntiqua"/>
        </w:rPr>
        <w:t xml:space="preserve">and </w:t>
      </w:r>
      <w:r w:rsidR="001B5F11">
        <w:rPr>
          <w:rFonts w:cs="BookAntiqua"/>
        </w:rPr>
        <w:t>a</w:t>
      </w:r>
      <w:r w:rsidRPr="00D91E3E">
        <w:rPr>
          <w:rFonts w:cs="BookAntiqua"/>
        </w:rPr>
        <w:t xml:space="preserve"> D</w:t>
      </w:r>
      <w:r w:rsidR="001B5F11">
        <w:rPr>
          <w:rFonts w:cs="BookAntiqua"/>
        </w:rPr>
        <w:t xml:space="preserve">iablo </w:t>
      </w:r>
      <w:r w:rsidRPr="00D91E3E">
        <w:rPr>
          <w:rFonts w:cs="BookAntiqua"/>
        </w:rPr>
        <w:t>C</w:t>
      </w:r>
      <w:r w:rsidR="001B5F11">
        <w:rPr>
          <w:rFonts w:cs="BookAntiqua"/>
        </w:rPr>
        <w:t>anyon</w:t>
      </w:r>
      <w:r w:rsidRPr="00D91E3E">
        <w:rPr>
          <w:rFonts w:cs="BookAntiqua"/>
        </w:rPr>
        <w:t xml:space="preserve"> </w:t>
      </w:r>
      <w:bookmarkStart w:name="_Hlk211516555" w:id="11"/>
      <w:r w:rsidR="000B228F">
        <w:rPr>
          <w:rFonts w:cs="BookAntiqua"/>
        </w:rPr>
        <w:t xml:space="preserve">NBC </w:t>
      </w:r>
      <w:bookmarkEnd w:id="11"/>
      <w:r w:rsidRPr="00D91E3E">
        <w:rPr>
          <w:rFonts w:cs="BookAntiqua"/>
        </w:rPr>
        <w:t>applicable to all Commission jurisdictional customers</w:t>
      </w:r>
      <w:r w:rsidR="001B5F11">
        <w:rPr>
          <w:rFonts w:cs="BookAntiqua"/>
        </w:rPr>
        <w:t xml:space="preserve"> </w:t>
      </w:r>
      <w:r w:rsidRPr="00D91E3E">
        <w:rPr>
          <w:rFonts w:cs="BookAntiqua"/>
        </w:rPr>
        <w:t>based on the forecasted net costs.</w:t>
      </w:r>
      <w:r w:rsidR="001B5F11">
        <w:rPr>
          <w:rStyle w:val="FootnoteReference"/>
          <w:rFonts w:cs="BookAntiqua"/>
        </w:rPr>
        <w:footnoteReference w:id="8"/>
      </w:r>
    </w:p>
    <w:p w:rsidRPr="00D91E3E" w:rsidR="00D91E3E" w:rsidP="00D91E3E" w:rsidRDefault="00D91E3E" w14:paraId="765810DE" w14:textId="14F17281">
      <w:pPr>
        <w:pStyle w:val="Standard"/>
        <w:rPr>
          <w:rFonts w:cs="BookAntiqua"/>
        </w:rPr>
      </w:pPr>
      <w:r w:rsidRPr="00D91E3E">
        <w:rPr>
          <w:rFonts w:cs="BookAntiqua"/>
        </w:rPr>
        <w:t xml:space="preserve">PG&amp;E served its Fall Update on October </w:t>
      </w:r>
      <w:r w:rsidR="00B346A9">
        <w:rPr>
          <w:rFonts w:cs="BookAntiqua"/>
        </w:rPr>
        <w:t xml:space="preserve">8, </w:t>
      </w:r>
      <w:r w:rsidRPr="00D91E3E">
        <w:rPr>
          <w:rFonts w:cs="BookAntiqua"/>
        </w:rPr>
        <w:t>202</w:t>
      </w:r>
      <w:r w:rsidR="00B346A9">
        <w:rPr>
          <w:rFonts w:cs="BookAntiqua"/>
        </w:rPr>
        <w:t>5</w:t>
      </w:r>
      <w:r w:rsidRPr="00D91E3E">
        <w:rPr>
          <w:rFonts w:cs="BookAntiqua"/>
        </w:rPr>
        <w:t>. PG&amp;E’s Fall</w:t>
      </w:r>
    </w:p>
    <w:p w:rsidRPr="00D91E3E" w:rsidR="00D91E3E" w:rsidP="00B346A9" w:rsidRDefault="00D91E3E" w14:paraId="6DB07AE1" w14:textId="1B282903">
      <w:pPr>
        <w:pStyle w:val="Standard"/>
        <w:ind w:firstLine="0"/>
        <w:rPr>
          <w:rFonts w:cs="BookAntiqua"/>
        </w:rPr>
      </w:pPr>
      <w:r w:rsidRPr="00D91E3E">
        <w:rPr>
          <w:rFonts w:cs="BookAntiqua"/>
        </w:rPr>
        <w:t>Update includes updated market and generation production information, and</w:t>
      </w:r>
      <w:r>
        <w:rPr>
          <w:rFonts w:cs="BookAntiqua"/>
        </w:rPr>
        <w:t xml:space="preserve"> </w:t>
      </w:r>
      <w:r w:rsidRPr="00D91E3E">
        <w:rPr>
          <w:rFonts w:cs="BookAntiqua"/>
        </w:rPr>
        <w:t>updated allocation of the statewide 202</w:t>
      </w:r>
      <w:r w:rsidR="00B346A9">
        <w:rPr>
          <w:rFonts w:cs="BookAntiqua"/>
        </w:rPr>
        <w:t>6</w:t>
      </w:r>
      <w:r w:rsidRPr="00D91E3E">
        <w:rPr>
          <w:rFonts w:cs="BookAntiqua"/>
        </w:rPr>
        <w:t xml:space="preserve"> DC NBC applicable to the </w:t>
      </w:r>
      <w:bookmarkStart w:name="_Hlk211516565" w:id="12"/>
      <w:r w:rsidRPr="00D91E3E">
        <w:rPr>
          <w:rFonts w:cs="BookAntiqua"/>
        </w:rPr>
        <w:t>investor</w:t>
      </w:r>
      <w:r w:rsidR="00B346A9">
        <w:rPr>
          <w:rFonts w:cs="BookAntiqua"/>
        </w:rPr>
        <w:t>-</w:t>
      </w:r>
      <w:r w:rsidRPr="00D91E3E">
        <w:rPr>
          <w:rFonts w:cs="BookAntiqua"/>
        </w:rPr>
        <w:t>owned</w:t>
      </w:r>
      <w:r w:rsidR="00B346A9">
        <w:rPr>
          <w:rFonts w:cs="BookAntiqua"/>
        </w:rPr>
        <w:t xml:space="preserve"> </w:t>
      </w:r>
      <w:r w:rsidRPr="00D91E3E">
        <w:rPr>
          <w:rFonts w:cs="BookAntiqua"/>
        </w:rPr>
        <w:t>utilities (IOUs)</w:t>
      </w:r>
      <w:bookmarkEnd w:id="12"/>
      <w:r w:rsidRPr="00D91E3E">
        <w:rPr>
          <w:rFonts w:cs="BookAntiqua"/>
        </w:rPr>
        <w:t>. These updates are based on updates to the Energy Index and R</w:t>
      </w:r>
      <w:r w:rsidR="006D7C12">
        <w:rPr>
          <w:rFonts w:cs="BookAntiqua"/>
        </w:rPr>
        <w:t>A</w:t>
      </w:r>
      <w:r w:rsidRPr="00D91E3E">
        <w:rPr>
          <w:rFonts w:cs="BookAntiqua"/>
        </w:rPr>
        <w:t xml:space="preserve"> </w:t>
      </w:r>
      <w:r w:rsidR="006D7C12">
        <w:rPr>
          <w:rFonts w:cs="BookAntiqua"/>
        </w:rPr>
        <w:t>MPBs</w:t>
      </w:r>
      <w:r w:rsidRPr="00D91E3E">
        <w:rPr>
          <w:rFonts w:cs="BookAntiqua"/>
        </w:rPr>
        <w:t xml:space="preserve"> issued by the Commission’s Energy Division on</w:t>
      </w:r>
      <w:r w:rsidR="00B346A9">
        <w:rPr>
          <w:rFonts w:cs="BookAntiqua"/>
        </w:rPr>
        <w:t xml:space="preserve"> </w:t>
      </w:r>
      <w:r w:rsidRPr="00D91E3E">
        <w:rPr>
          <w:rFonts w:cs="BookAntiqua"/>
        </w:rPr>
        <w:t xml:space="preserve">October </w:t>
      </w:r>
      <w:r w:rsidR="001B5F11">
        <w:rPr>
          <w:rFonts w:cs="BookAntiqua"/>
        </w:rPr>
        <w:t>1</w:t>
      </w:r>
      <w:r w:rsidRPr="00D91E3E">
        <w:rPr>
          <w:rFonts w:cs="BookAntiqua"/>
        </w:rPr>
        <w:t>, 202</w:t>
      </w:r>
      <w:r w:rsidR="006D7C12">
        <w:rPr>
          <w:rFonts w:cs="BookAntiqua"/>
        </w:rPr>
        <w:t>5</w:t>
      </w:r>
      <w:r w:rsidRPr="00D91E3E">
        <w:rPr>
          <w:rFonts w:cs="BookAntiqua"/>
        </w:rPr>
        <w:t>.</w:t>
      </w:r>
      <w:r w:rsidR="00B346A9">
        <w:rPr>
          <w:rStyle w:val="FootnoteReference"/>
          <w:rFonts w:cs="BookAntiqua"/>
        </w:rPr>
        <w:footnoteReference w:id="9"/>
      </w:r>
    </w:p>
    <w:p w:rsidRPr="00367915" w:rsidR="00D91E3E" w:rsidP="00222891" w:rsidRDefault="00D91E3E" w14:paraId="28725299" w14:textId="3101A0D5">
      <w:pPr>
        <w:pStyle w:val="Standard"/>
        <w:rPr>
          <w:rFonts w:cs="BookAntiqua"/>
        </w:rPr>
      </w:pPr>
      <w:r w:rsidRPr="00367915">
        <w:rPr>
          <w:rFonts w:cs="BookAntiqua"/>
        </w:rPr>
        <w:t xml:space="preserve">In the Fall Update, PG&amp;E reports that </w:t>
      </w:r>
      <w:r w:rsidR="000B228F">
        <w:rPr>
          <w:rFonts w:cs="BookAntiqua"/>
        </w:rPr>
        <w:t>it</w:t>
      </w:r>
      <w:r w:rsidRPr="00367915">
        <w:rPr>
          <w:rFonts w:cs="BookAntiqua"/>
        </w:rPr>
        <w:t xml:space="preserve">s forecast of </w:t>
      </w:r>
      <w:bookmarkStart w:name="_Hlk211516573" w:id="13"/>
      <w:r w:rsidRPr="00367915">
        <w:rPr>
          <w:rFonts w:cs="BookAntiqua"/>
        </w:rPr>
        <w:t>operations and</w:t>
      </w:r>
      <w:r w:rsidR="00222891">
        <w:rPr>
          <w:rFonts w:cs="BookAntiqua"/>
        </w:rPr>
        <w:t xml:space="preserve"> </w:t>
      </w:r>
      <w:r w:rsidRPr="00367915">
        <w:rPr>
          <w:rFonts w:cs="BookAntiqua"/>
        </w:rPr>
        <w:t xml:space="preserve">maintenance (O&amp;M) </w:t>
      </w:r>
      <w:bookmarkEnd w:id="13"/>
      <w:r w:rsidRPr="00367915">
        <w:rPr>
          <w:rFonts w:cs="BookAntiqua"/>
        </w:rPr>
        <w:t>cost presented in its Opening Prepared Testimony, as</w:t>
      </w:r>
      <w:r w:rsidR="00222891">
        <w:rPr>
          <w:rFonts w:cs="BookAntiqua"/>
        </w:rPr>
        <w:t xml:space="preserve"> </w:t>
      </w:r>
      <w:r w:rsidRPr="00367915">
        <w:rPr>
          <w:rFonts w:cs="BookAntiqua"/>
        </w:rPr>
        <w:t>corrected in the Ju</w:t>
      </w:r>
      <w:r w:rsidRPr="00367915" w:rsidR="00367915">
        <w:rPr>
          <w:rFonts w:cs="BookAntiqua"/>
        </w:rPr>
        <w:t>ly</w:t>
      </w:r>
      <w:r w:rsidRPr="00367915">
        <w:rPr>
          <w:rFonts w:cs="BookAntiqua"/>
        </w:rPr>
        <w:t xml:space="preserve"> 8, 202</w:t>
      </w:r>
      <w:r w:rsidRPr="00367915" w:rsidR="00367915">
        <w:rPr>
          <w:rFonts w:cs="BookAntiqua"/>
        </w:rPr>
        <w:t>5</w:t>
      </w:r>
      <w:r w:rsidRPr="00367915">
        <w:rPr>
          <w:rFonts w:cs="BookAntiqua"/>
        </w:rPr>
        <w:t xml:space="preserve"> errata and supplemental testimony, remains</w:t>
      </w:r>
      <w:r w:rsidR="00222891">
        <w:rPr>
          <w:rFonts w:cs="BookAntiqua"/>
        </w:rPr>
        <w:t xml:space="preserve"> </w:t>
      </w:r>
      <w:r w:rsidRPr="00367915">
        <w:rPr>
          <w:rFonts w:cs="BookAntiqua"/>
        </w:rPr>
        <w:t xml:space="preserve">unchanged. Due to </w:t>
      </w:r>
      <w:r w:rsidRPr="00367915" w:rsidR="00367915">
        <w:rPr>
          <w:rFonts w:cs="BookAntiqua"/>
        </w:rPr>
        <w:t xml:space="preserve">improvements in tunnel cleaning efficiency, </w:t>
      </w:r>
      <w:r w:rsidR="003126B7">
        <w:rPr>
          <w:rFonts w:cs="BookAntiqua"/>
        </w:rPr>
        <w:t xml:space="preserve">PG&amp;E </w:t>
      </w:r>
      <w:r w:rsidR="00D11985">
        <w:rPr>
          <w:rFonts w:cs="BookAntiqua"/>
        </w:rPr>
        <w:t>increased</w:t>
      </w:r>
      <w:r w:rsidR="003126B7">
        <w:rPr>
          <w:rFonts w:cs="BookAntiqua"/>
        </w:rPr>
        <w:t xml:space="preserve"> the </w:t>
      </w:r>
      <w:r w:rsidRPr="00367915">
        <w:rPr>
          <w:rFonts w:cs="BookAntiqua"/>
        </w:rPr>
        <w:t>generation production forecast, which in</w:t>
      </w:r>
      <w:r w:rsidRPr="00367915" w:rsidR="00367915">
        <w:rPr>
          <w:rFonts w:cs="BookAntiqua"/>
        </w:rPr>
        <w:t xml:space="preserve"> </w:t>
      </w:r>
      <w:r w:rsidRPr="00367915">
        <w:rPr>
          <w:rFonts w:cs="BookAntiqua"/>
        </w:rPr>
        <w:t xml:space="preserve">turn increases the </w:t>
      </w:r>
      <w:bookmarkStart w:name="_Hlk211516582" w:id="14"/>
      <w:r w:rsidRPr="00367915">
        <w:rPr>
          <w:rFonts w:cs="BookAntiqua"/>
        </w:rPr>
        <w:t xml:space="preserve">VPF </w:t>
      </w:r>
      <w:bookmarkEnd w:id="14"/>
      <w:r w:rsidRPr="00367915">
        <w:rPr>
          <w:rFonts w:cs="BookAntiqua"/>
        </w:rPr>
        <w:t>revenue forecast</w:t>
      </w:r>
      <w:r w:rsidR="003126B7">
        <w:rPr>
          <w:rFonts w:cs="BookAntiqua"/>
        </w:rPr>
        <w:t xml:space="preserve"> and </w:t>
      </w:r>
      <w:r w:rsidRPr="00367915">
        <w:rPr>
          <w:rFonts w:cs="BookAntiqua"/>
        </w:rPr>
        <w:t>the generation revenue forecast.</w:t>
      </w:r>
      <w:r w:rsidRPr="00367915" w:rsidR="00367915">
        <w:rPr>
          <w:rFonts w:cs="BookAntiqua"/>
        </w:rPr>
        <w:t xml:space="preserve"> </w:t>
      </w:r>
      <w:r w:rsidRPr="00367915">
        <w:rPr>
          <w:rFonts w:cs="BookAntiqua"/>
        </w:rPr>
        <w:t>As a result of the updates, for the Record Period, PG&amp;E estimates</w:t>
      </w:r>
      <w:r w:rsidRPr="00367915" w:rsidR="00B346A9">
        <w:rPr>
          <w:rFonts w:cs="BookAntiqua"/>
        </w:rPr>
        <w:t xml:space="preserve"> </w:t>
      </w:r>
      <w:r w:rsidRPr="00367915">
        <w:rPr>
          <w:rFonts w:cs="BookAntiqua"/>
        </w:rPr>
        <w:t>$1,</w:t>
      </w:r>
      <w:r w:rsidRPr="00367915" w:rsidR="00367915">
        <w:rPr>
          <w:rFonts w:cs="BookAntiqua"/>
        </w:rPr>
        <w:t>208</w:t>
      </w:r>
      <w:r w:rsidRPr="00367915">
        <w:rPr>
          <w:rFonts w:cs="BookAntiqua"/>
        </w:rPr>
        <w:t>.</w:t>
      </w:r>
      <w:r w:rsidRPr="00367915" w:rsidR="00367915">
        <w:rPr>
          <w:rFonts w:cs="BookAntiqua"/>
        </w:rPr>
        <w:t>1</w:t>
      </w:r>
      <w:r w:rsidR="000B222B">
        <w:rPr>
          <w:rFonts w:cs="BookAntiqua"/>
        </w:rPr>
        <w:t xml:space="preserve"> million </w:t>
      </w:r>
      <w:r w:rsidRPr="00367915">
        <w:rPr>
          <w:rFonts w:cs="BookAntiqua"/>
        </w:rPr>
        <w:t>for DCPP costs, statutory fees, and substitution capacity</w:t>
      </w:r>
      <w:r w:rsidRPr="00367915" w:rsidR="00B346A9">
        <w:rPr>
          <w:rFonts w:cs="BookAntiqua"/>
        </w:rPr>
        <w:t xml:space="preserve"> </w:t>
      </w:r>
      <w:r w:rsidRPr="00367915">
        <w:rPr>
          <w:rFonts w:cs="BookAntiqua"/>
        </w:rPr>
        <w:t>expenses, with an offsetting $</w:t>
      </w:r>
      <w:r w:rsidRPr="00367915" w:rsidR="00367915">
        <w:rPr>
          <w:rFonts w:cs="BookAntiqua"/>
        </w:rPr>
        <w:t>84</w:t>
      </w:r>
      <w:r w:rsidR="008C772F">
        <w:rPr>
          <w:rFonts w:cs="BookAntiqua"/>
        </w:rPr>
        <w:t>2.7</w:t>
      </w:r>
      <w:r w:rsidR="000B222B">
        <w:rPr>
          <w:rFonts w:cs="BookAntiqua"/>
        </w:rPr>
        <w:t xml:space="preserve"> million </w:t>
      </w:r>
      <w:r w:rsidRPr="00367915">
        <w:rPr>
          <w:rFonts w:cs="BookAntiqua"/>
        </w:rPr>
        <w:t xml:space="preserve">of </w:t>
      </w:r>
      <w:bookmarkStart w:name="_Hlk211516588" w:id="15"/>
      <w:r w:rsidRPr="00367915">
        <w:rPr>
          <w:rFonts w:cs="BookAntiqua"/>
        </w:rPr>
        <w:t>California Independent System</w:t>
      </w:r>
      <w:r w:rsidRPr="00367915" w:rsidR="00B346A9">
        <w:rPr>
          <w:rFonts w:cs="BookAntiqua"/>
        </w:rPr>
        <w:t xml:space="preserve"> </w:t>
      </w:r>
      <w:r w:rsidRPr="00367915">
        <w:rPr>
          <w:rFonts w:cs="BookAntiqua"/>
        </w:rPr>
        <w:t xml:space="preserve">Operator (CAISO) </w:t>
      </w:r>
      <w:bookmarkEnd w:id="15"/>
      <w:r w:rsidRPr="00367915">
        <w:rPr>
          <w:rFonts w:cs="BookAntiqua"/>
        </w:rPr>
        <w:t>net forecasted market revenue</w:t>
      </w:r>
      <w:r w:rsidRPr="00367915" w:rsidR="00367915">
        <w:rPr>
          <w:rFonts w:cs="BookAntiqua"/>
        </w:rPr>
        <w:t xml:space="preserve"> and an </w:t>
      </w:r>
      <w:r w:rsidR="000B228F">
        <w:rPr>
          <w:rFonts w:cs="BookAntiqua"/>
        </w:rPr>
        <w:t>$</w:t>
      </w:r>
      <w:r w:rsidRPr="00367915" w:rsidR="00367915">
        <w:rPr>
          <w:rFonts w:cs="BookAntiqua"/>
        </w:rPr>
        <w:t>11.4</w:t>
      </w:r>
      <w:r w:rsidR="000B222B">
        <w:rPr>
          <w:rFonts w:cs="BookAntiqua"/>
        </w:rPr>
        <w:t xml:space="preserve"> million </w:t>
      </w:r>
      <w:r w:rsidRPr="00367915" w:rsidR="00367915">
        <w:rPr>
          <w:rFonts w:cs="BookAntiqua"/>
        </w:rPr>
        <w:t xml:space="preserve">cost for </w:t>
      </w:r>
      <w:bookmarkStart w:name="_Hlk211516594" w:id="16"/>
      <w:r w:rsidRPr="00367915" w:rsidR="00367915">
        <w:rPr>
          <w:rFonts w:cs="BookAntiqua"/>
        </w:rPr>
        <w:t xml:space="preserve">DCEOBA </w:t>
      </w:r>
      <w:bookmarkEnd w:id="16"/>
      <w:r w:rsidRPr="00367915" w:rsidR="00367915">
        <w:rPr>
          <w:rFonts w:cs="BookAntiqua"/>
        </w:rPr>
        <w:t>amortization</w:t>
      </w:r>
      <w:r w:rsidRPr="00367915">
        <w:rPr>
          <w:rFonts w:cs="BookAntiqua"/>
        </w:rPr>
        <w:t>, for a net revenue requirement</w:t>
      </w:r>
      <w:r w:rsidRPr="00367915" w:rsidR="00B346A9">
        <w:rPr>
          <w:rFonts w:cs="BookAntiqua"/>
        </w:rPr>
        <w:t xml:space="preserve"> </w:t>
      </w:r>
      <w:r w:rsidRPr="00367915">
        <w:rPr>
          <w:rFonts w:cs="BookAntiqua"/>
        </w:rPr>
        <w:t>of $</w:t>
      </w:r>
      <w:r w:rsidRPr="00367915" w:rsidR="00367915">
        <w:rPr>
          <w:rFonts w:cs="BookAntiqua"/>
        </w:rPr>
        <w:t>382.</w:t>
      </w:r>
      <w:r w:rsidR="008C772F">
        <w:rPr>
          <w:rFonts w:cs="BookAntiqua"/>
        </w:rPr>
        <w:t>233</w:t>
      </w:r>
      <w:r w:rsidRPr="00367915">
        <w:rPr>
          <w:rFonts w:cs="BookAntiqua"/>
        </w:rPr>
        <w:t xml:space="preserve"> million.</w:t>
      </w:r>
      <w:r w:rsidRPr="00367915" w:rsidR="00B346A9">
        <w:rPr>
          <w:rStyle w:val="FootnoteReference"/>
          <w:rFonts w:cs="BookAntiqua"/>
        </w:rPr>
        <w:footnoteReference w:id="10"/>
      </w:r>
    </w:p>
    <w:p w:rsidRPr="00367915" w:rsidR="00D91E3E" w:rsidP="00861988" w:rsidRDefault="00D91E3E" w14:paraId="31E60EF8" w14:textId="0C3CE9F2">
      <w:pPr>
        <w:pStyle w:val="Standard"/>
        <w:ind w:right="-90"/>
        <w:rPr>
          <w:rFonts w:cs="BookAntiqua"/>
        </w:rPr>
      </w:pPr>
      <w:r w:rsidRPr="00367915">
        <w:rPr>
          <w:rFonts w:cs="BookAntiqua"/>
        </w:rPr>
        <w:t>If authorized as proposed, the requested revenue requirement would be</w:t>
      </w:r>
      <w:r w:rsidR="00222891">
        <w:rPr>
          <w:rFonts w:cs="BookAntiqua"/>
        </w:rPr>
        <w:t xml:space="preserve"> </w:t>
      </w:r>
      <w:r w:rsidRPr="00367915">
        <w:rPr>
          <w:rFonts w:cs="BookAntiqua"/>
        </w:rPr>
        <w:t>allocated to the IOUs as follows: (1) PG&amp;E, $</w:t>
      </w:r>
      <w:r w:rsidRPr="00367915" w:rsidR="00367915">
        <w:rPr>
          <w:rFonts w:cs="BookAntiqua"/>
        </w:rPr>
        <w:t>238.</w:t>
      </w:r>
      <w:r w:rsidR="008C772F">
        <w:rPr>
          <w:rFonts w:cs="BookAntiqua"/>
        </w:rPr>
        <w:t>6</w:t>
      </w:r>
      <w:r w:rsidRPr="00367915">
        <w:rPr>
          <w:rFonts w:cs="BookAntiqua"/>
        </w:rPr>
        <w:t xml:space="preserve"> million; (2) SCE, $</w:t>
      </w:r>
      <w:r w:rsidRPr="00367915" w:rsidR="00367915">
        <w:rPr>
          <w:rFonts w:cs="BookAntiqua"/>
        </w:rPr>
        <w:t>113</w:t>
      </w:r>
      <w:r w:rsidR="008C772F">
        <w:rPr>
          <w:rFonts w:cs="BookAntiqua"/>
        </w:rPr>
        <w:t>.3</w:t>
      </w:r>
      <w:r w:rsidR="00861988">
        <w:rPr>
          <w:rFonts w:cs="BookAntiqua"/>
        </w:rPr>
        <w:t> </w:t>
      </w:r>
      <w:r w:rsidRPr="00367915">
        <w:rPr>
          <w:rFonts w:cs="BookAntiqua"/>
        </w:rPr>
        <w:t xml:space="preserve">million; and </w:t>
      </w:r>
      <w:bookmarkStart w:name="_Hlk211516641" w:id="17"/>
      <w:r w:rsidRPr="00367915">
        <w:rPr>
          <w:rFonts w:cs="BookAntiqua"/>
        </w:rPr>
        <w:t>(3) SDG&amp;E</w:t>
      </w:r>
      <w:bookmarkEnd w:id="17"/>
      <w:r w:rsidRPr="00367915">
        <w:rPr>
          <w:rFonts w:cs="BookAntiqua"/>
        </w:rPr>
        <w:t>, $</w:t>
      </w:r>
      <w:r w:rsidRPr="00367915" w:rsidR="00367915">
        <w:rPr>
          <w:rFonts w:cs="BookAntiqua"/>
        </w:rPr>
        <w:t>30.</w:t>
      </w:r>
      <w:r w:rsidR="008C772F">
        <w:rPr>
          <w:rFonts w:cs="BookAntiqua"/>
        </w:rPr>
        <w:t>6</w:t>
      </w:r>
      <w:r w:rsidRPr="00367915">
        <w:rPr>
          <w:rFonts w:cs="BookAntiqua"/>
        </w:rPr>
        <w:t xml:space="preserve"> million.</w:t>
      </w:r>
      <w:r w:rsidRPr="00367915" w:rsidR="00B346A9">
        <w:rPr>
          <w:rStyle w:val="FootnoteReference"/>
          <w:rFonts w:cs="BookAntiqua"/>
        </w:rPr>
        <w:footnoteReference w:id="11"/>
      </w:r>
    </w:p>
    <w:p w:rsidRPr="00367915" w:rsidR="00D91E3E" w:rsidP="00D91E3E" w:rsidRDefault="00D91E3E" w14:paraId="61D90879" w14:textId="77777777">
      <w:pPr>
        <w:pStyle w:val="Standard"/>
        <w:rPr>
          <w:rFonts w:cs="BookAntiqua"/>
        </w:rPr>
      </w:pPr>
      <w:r w:rsidRPr="00367915">
        <w:rPr>
          <w:rFonts w:cs="BookAntiqua"/>
        </w:rPr>
        <w:lastRenderedPageBreak/>
        <w:t>PG&amp;E estimates that the requested revenue requirement, if approved,</w:t>
      </w:r>
    </w:p>
    <w:p w:rsidR="00B346A9" w:rsidP="00B346A9" w:rsidRDefault="00D91E3E" w14:paraId="2A970B47" w14:textId="68D39090">
      <w:pPr>
        <w:pStyle w:val="Standard"/>
        <w:ind w:firstLine="0"/>
        <w:rPr>
          <w:rFonts w:cs="BookAntiqua"/>
        </w:rPr>
      </w:pPr>
      <w:r w:rsidRPr="00367915">
        <w:rPr>
          <w:rFonts w:cs="BookAntiqua"/>
        </w:rPr>
        <w:t xml:space="preserve">would result in a system average bundled service rate </w:t>
      </w:r>
      <w:r w:rsidRPr="00367915" w:rsidR="00367915">
        <w:rPr>
          <w:rFonts w:cs="BookAntiqua"/>
        </w:rPr>
        <w:t>de</w:t>
      </w:r>
      <w:r w:rsidRPr="00367915">
        <w:rPr>
          <w:rFonts w:cs="BookAntiqua"/>
        </w:rPr>
        <w:t xml:space="preserve">crease by approximately </w:t>
      </w:r>
      <w:r w:rsidRPr="00367915" w:rsidR="00367915">
        <w:rPr>
          <w:rFonts w:cs="BookAntiqua"/>
        </w:rPr>
        <w:t>0.5</w:t>
      </w:r>
      <w:r w:rsidRPr="00367915">
        <w:rPr>
          <w:rFonts w:cs="BookAntiqua"/>
        </w:rPr>
        <w:t xml:space="preserve"> </w:t>
      </w:r>
      <w:r w:rsidR="000B228F">
        <w:rPr>
          <w:rFonts w:cs="BookAntiqua"/>
        </w:rPr>
        <w:t>percent</w:t>
      </w:r>
      <w:r w:rsidRPr="00367915">
        <w:rPr>
          <w:rFonts w:cs="BookAntiqua"/>
        </w:rPr>
        <w:t xml:space="preserve"> to</w:t>
      </w:r>
      <w:r w:rsidRPr="00367915" w:rsidR="00367915">
        <w:rPr>
          <w:rFonts w:cs="BookAntiqua"/>
        </w:rPr>
        <w:t xml:space="preserve"> approximately</w:t>
      </w:r>
      <w:r w:rsidRPr="00367915">
        <w:rPr>
          <w:rFonts w:cs="BookAntiqua"/>
        </w:rPr>
        <w:t xml:space="preserve"> 3</w:t>
      </w:r>
      <w:r w:rsidRPr="00367915" w:rsidR="00367915">
        <w:rPr>
          <w:rFonts w:cs="BookAntiqua"/>
        </w:rPr>
        <w:t>4</w:t>
      </w:r>
      <w:r w:rsidRPr="00367915">
        <w:rPr>
          <w:rFonts w:cs="BookAntiqua"/>
        </w:rPr>
        <w:t>.</w:t>
      </w:r>
      <w:r w:rsidRPr="00367915" w:rsidR="00367915">
        <w:rPr>
          <w:rFonts w:cs="BookAntiqua"/>
        </w:rPr>
        <w:t>6</w:t>
      </w:r>
      <w:r w:rsidRPr="00367915">
        <w:rPr>
          <w:rFonts w:cs="BookAntiqua"/>
        </w:rPr>
        <w:t xml:space="preserve"> cents per kWh when compared to the present system average</w:t>
      </w:r>
      <w:r w:rsidRPr="00367915" w:rsidR="00367915">
        <w:rPr>
          <w:rFonts w:cs="BookAntiqua"/>
        </w:rPr>
        <w:t xml:space="preserve"> </w:t>
      </w:r>
      <w:r w:rsidRPr="00367915">
        <w:rPr>
          <w:rFonts w:cs="BookAntiqua"/>
        </w:rPr>
        <w:t xml:space="preserve">bundled service rate of </w:t>
      </w:r>
      <w:r w:rsidRPr="00367915" w:rsidR="00367915">
        <w:rPr>
          <w:rFonts w:cs="BookAntiqua"/>
        </w:rPr>
        <w:t xml:space="preserve">approximately </w:t>
      </w:r>
      <w:r w:rsidRPr="00367915">
        <w:rPr>
          <w:rFonts w:cs="BookAntiqua"/>
        </w:rPr>
        <w:t>34.</w:t>
      </w:r>
      <w:r w:rsidRPr="00367915" w:rsidR="00367915">
        <w:rPr>
          <w:rFonts w:cs="BookAntiqua"/>
        </w:rPr>
        <w:t>8</w:t>
      </w:r>
      <w:r w:rsidRPr="00367915">
        <w:rPr>
          <w:rFonts w:cs="BookAntiqua"/>
        </w:rPr>
        <w:t xml:space="preserve"> cents per kWh.</w:t>
      </w:r>
      <w:r w:rsidRPr="00367915" w:rsidR="00367915">
        <w:rPr>
          <w:rStyle w:val="FootnoteReference"/>
          <w:rFonts w:cs="BookAntiqua"/>
        </w:rPr>
        <w:footnoteReference w:id="12"/>
      </w:r>
      <w:r w:rsidRPr="00367915">
        <w:rPr>
          <w:rFonts w:cs="BookAntiqua"/>
        </w:rPr>
        <w:t xml:space="preserve"> The system average rate for </w:t>
      </w:r>
      <w:bookmarkStart w:name="_Hlk211516653" w:id="18"/>
      <w:r w:rsidRPr="00367915">
        <w:rPr>
          <w:rFonts w:cs="BookAntiqua"/>
        </w:rPr>
        <w:t>Direct</w:t>
      </w:r>
      <w:r w:rsidRPr="00367915" w:rsidR="00367915">
        <w:rPr>
          <w:rFonts w:cs="BookAntiqua"/>
        </w:rPr>
        <w:t xml:space="preserve"> </w:t>
      </w:r>
      <w:r w:rsidRPr="00367915">
        <w:rPr>
          <w:rFonts w:cs="BookAntiqua"/>
        </w:rPr>
        <w:t xml:space="preserve">Access (DA) </w:t>
      </w:r>
      <w:bookmarkEnd w:id="18"/>
      <w:r w:rsidRPr="00367915">
        <w:rPr>
          <w:rFonts w:cs="BookAntiqua"/>
        </w:rPr>
        <w:t xml:space="preserve">and </w:t>
      </w:r>
      <w:bookmarkStart w:name="_Hlk211516659" w:id="19"/>
      <w:r w:rsidRPr="00367915">
        <w:rPr>
          <w:rFonts w:cs="BookAntiqua"/>
        </w:rPr>
        <w:t xml:space="preserve">Community Choice Aggregation (CCA) </w:t>
      </w:r>
      <w:bookmarkEnd w:id="19"/>
      <w:r w:rsidRPr="00367915">
        <w:rPr>
          <w:rFonts w:cs="BookAntiqua"/>
        </w:rPr>
        <w:t>customers would</w:t>
      </w:r>
      <w:r w:rsidRPr="00367915" w:rsidR="00367915">
        <w:rPr>
          <w:rFonts w:cs="BookAntiqua"/>
        </w:rPr>
        <w:t xml:space="preserve"> de</w:t>
      </w:r>
      <w:r w:rsidRPr="00367915">
        <w:rPr>
          <w:rFonts w:cs="BookAntiqua"/>
        </w:rPr>
        <w:t xml:space="preserve">crease by approximately </w:t>
      </w:r>
      <w:r w:rsidRPr="00367915" w:rsidR="00367915">
        <w:rPr>
          <w:rFonts w:cs="BookAntiqua"/>
        </w:rPr>
        <w:t>0.8</w:t>
      </w:r>
      <w:r w:rsidR="00222891">
        <w:rPr>
          <w:rFonts w:cs="BookAntiqua"/>
        </w:rPr>
        <w:t> </w:t>
      </w:r>
      <w:r w:rsidR="00BC58DA">
        <w:rPr>
          <w:rFonts w:cs="BookAntiqua"/>
        </w:rPr>
        <w:t>percent</w:t>
      </w:r>
      <w:r w:rsidRPr="00367915">
        <w:rPr>
          <w:rFonts w:cs="BookAntiqua"/>
        </w:rPr>
        <w:t xml:space="preserve"> to </w:t>
      </w:r>
      <w:r w:rsidRPr="00367915" w:rsidR="00367915">
        <w:rPr>
          <w:rFonts w:cs="BookAntiqua"/>
        </w:rPr>
        <w:t>19.6</w:t>
      </w:r>
      <w:r w:rsidRPr="00367915">
        <w:rPr>
          <w:rFonts w:cs="BookAntiqua"/>
        </w:rPr>
        <w:t xml:space="preserve"> cents per kWh, when compared to</w:t>
      </w:r>
      <w:r w:rsidRPr="00367915" w:rsidR="00B346A9">
        <w:rPr>
          <w:rFonts w:cs="BookAntiqua"/>
        </w:rPr>
        <w:t xml:space="preserve"> </w:t>
      </w:r>
      <w:r w:rsidRPr="00367915">
        <w:rPr>
          <w:rFonts w:cs="BookAntiqua"/>
        </w:rPr>
        <w:t xml:space="preserve">the present system average rate for DA and CCA customers of </w:t>
      </w:r>
      <w:r w:rsidRPr="00367915" w:rsidR="00367915">
        <w:rPr>
          <w:rFonts w:cs="BookAntiqua"/>
        </w:rPr>
        <w:t>19.8</w:t>
      </w:r>
      <w:r w:rsidRPr="00367915">
        <w:rPr>
          <w:rFonts w:cs="BookAntiqua"/>
        </w:rPr>
        <w:t xml:space="preserve"> cents per</w:t>
      </w:r>
      <w:r w:rsidRPr="00367915" w:rsidR="00367915">
        <w:rPr>
          <w:rFonts w:cs="BookAntiqua"/>
        </w:rPr>
        <w:t xml:space="preserve"> </w:t>
      </w:r>
      <w:r w:rsidRPr="00367915">
        <w:rPr>
          <w:rFonts w:cs="BookAntiqua"/>
        </w:rPr>
        <w:t>kWh.</w:t>
      </w:r>
      <w:r w:rsidRPr="00367915" w:rsidR="00B346A9">
        <w:rPr>
          <w:rStyle w:val="FootnoteReference"/>
          <w:rFonts w:cs="BookAntiqua"/>
        </w:rPr>
        <w:footnoteReference w:id="13"/>
      </w:r>
      <w:r w:rsidRPr="00367915">
        <w:rPr>
          <w:rFonts w:cs="BookAntiqua"/>
        </w:rPr>
        <w:t xml:space="preserve"> Similarly, SCE’s system average bundled service rate would </w:t>
      </w:r>
      <w:r w:rsidRPr="00367915" w:rsidR="00367915">
        <w:rPr>
          <w:rFonts w:cs="BookAntiqua"/>
        </w:rPr>
        <w:t>de</w:t>
      </w:r>
      <w:r w:rsidRPr="00367915">
        <w:rPr>
          <w:rFonts w:cs="BookAntiqua"/>
        </w:rPr>
        <w:t>crease by</w:t>
      </w:r>
      <w:r w:rsidRPr="00367915" w:rsidR="00367915">
        <w:rPr>
          <w:rFonts w:cs="BookAntiqua"/>
        </w:rPr>
        <w:t xml:space="preserve"> 0</w:t>
      </w:r>
      <w:r w:rsidRPr="00367915">
        <w:rPr>
          <w:rFonts w:cs="BookAntiqua"/>
        </w:rPr>
        <w:t>.</w:t>
      </w:r>
      <w:r w:rsidRPr="00367915" w:rsidR="00367915">
        <w:rPr>
          <w:rFonts w:cs="BookAntiqua"/>
        </w:rPr>
        <w:t>7</w:t>
      </w:r>
      <w:r w:rsidRPr="00367915">
        <w:rPr>
          <w:rFonts w:cs="BookAntiqua"/>
        </w:rPr>
        <w:t xml:space="preserve"> </w:t>
      </w:r>
      <w:r w:rsidR="000B228F">
        <w:rPr>
          <w:rFonts w:cs="BookAntiqua"/>
        </w:rPr>
        <w:t>percent</w:t>
      </w:r>
      <w:r w:rsidRPr="00367915">
        <w:rPr>
          <w:rFonts w:cs="BookAntiqua"/>
        </w:rPr>
        <w:t xml:space="preserve"> to 2</w:t>
      </w:r>
      <w:r w:rsidRPr="00367915" w:rsidR="00367915">
        <w:rPr>
          <w:rFonts w:cs="BookAntiqua"/>
        </w:rPr>
        <w:t>9.9</w:t>
      </w:r>
      <w:r w:rsidRPr="00367915">
        <w:rPr>
          <w:rFonts w:cs="BookAntiqua"/>
        </w:rPr>
        <w:t xml:space="preserve"> cents per kWh.</w:t>
      </w:r>
      <w:r w:rsidRPr="00367915" w:rsidR="00367915">
        <w:rPr>
          <w:rStyle w:val="FootnoteReference"/>
          <w:rFonts w:cs="BookAntiqua"/>
        </w:rPr>
        <w:footnoteReference w:id="14"/>
      </w:r>
      <w:r w:rsidRPr="00367915">
        <w:rPr>
          <w:rFonts w:cs="BookAntiqua"/>
        </w:rPr>
        <w:t xml:space="preserve"> SDG&amp;E’s system average</w:t>
      </w:r>
      <w:r w:rsidRPr="00367915" w:rsidR="00367915">
        <w:rPr>
          <w:rFonts w:cs="BookAntiqua"/>
        </w:rPr>
        <w:t xml:space="preserve"> </w:t>
      </w:r>
      <w:r w:rsidRPr="00367915">
        <w:rPr>
          <w:rFonts w:cs="BookAntiqua"/>
        </w:rPr>
        <w:t xml:space="preserve">bundled service rate would </w:t>
      </w:r>
      <w:r w:rsidRPr="00367915" w:rsidR="00367915">
        <w:rPr>
          <w:rFonts w:cs="BookAntiqua"/>
        </w:rPr>
        <w:t>de</w:t>
      </w:r>
      <w:r w:rsidRPr="00367915">
        <w:rPr>
          <w:rFonts w:cs="BookAntiqua"/>
        </w:rPr>
        <w:t xml:space="preserve">crease by </w:t>
      </w:r>
      <w:r w:rsidRPr="00367915" w:rsidR="00367915">
        <w:rPr>
          <w:rFonts w:cs="BookAntiqua"/>
        </w:rPr>
        <w:t>0.4</w:t>
      </w:r>
      <w:r w:rsidR="00455D37">
        <w:rPr>
          <w:rFonts w:cs="BookAntiqua"/>
        </w:rPr>
        <w:t> </w:t>
      </w:r>
      <w:r w:rsidR="00F763BB">
        <w:rPr>
          <w:rFonts w:cs="BookAntiqua"/>
        </w:rPr>
        <w:t>percent</w:t>
      </w:r>
      <w:r w:rsidRPr="00367915">
        <w:rPr>
          <w:rFonts w:cs="BookAntiqua"/>
        </w:rPr>
        <w:t xml:space="preserve"> to 3</w:t>
      </w:r>
      <w:r w:rsidRPr="00367915" w:rsidR="00367915">
        <w:rPr>
          <w:rFonts w:cs="BookAntiqua"/>
        </w:rPr>
        <w:t>5</w:t>
      </w:r>
      <w:r w:rsidRPr="00367915">
        <w:rPr>
          <w:rFonts w:cs="BookAntiqua"/>
        </w:rPr>
        <w:t xml:space="preserve"> cents per kWh.</w:t>
      </w:r>
      <w:r w:rsidRPr="00367915" w:rsidR="00B346A9">
        <w:rPr>
          <w:rStyle w:val="FootnoteReference"/>
          <w:rFonts w:cs="BookAntiqua"/>
        </w:rPr>
        <w:footnoteReference w:id="15"/>
      </w:r>
    </w:p>
    <w:p w:rsidRPr="00D91E3E" w:rsidR="00D91E3E" w:rsidP="008926B4" w:rsidRDefault="00D91E3E" w14:paraId="1F82CAE2" w14:textId="73E4C644">
      <w:pPr>
        <w:pStyle w:val="Heading1"/>
      </w:pPr>
      <w:bookmarkStart w:name="_Toc216176796" w:id="20"/>
      <w:r w:rsidRPr="00D91E3E">
        <w:t>Issues Before the Commission</w:t>
      </w:r>
      <w:bookmarkEnd w:id="20"/>
    </w:p>
    <w:p w:rsidRPr="00D91E3E" w:rsidR="00D91E3E" w:rsidP="00D91E3E" w:rsidRDefault="00D91E3E" w14:paraId="77ADF273" w14:textId="08BD638A">
      <w:pPr>
        <w:pStyle w:val="Standard"/>
        <w:rPr>
          <w:rFonts w:cs="BookAntiqua"/>
        </w:rPr>
      </w:pPr>
      <w:r w:rsidRPr="00D91E3E">
        <w:rPr>
          <w:rFonts w:cs="BookAntiqua"/>
        </w:rPr>
        <w:t>Pursuant to the Scoping Memo, dated Ju</w:t>
      </w:r>
      <w:r w:rsidR="00B346A9">
        <w:rPr>
          <w:rFonts w:cs="BookAntiqua"/>
        </w:rPr>
        <w:t>ly 2</w:t>
      </w:r>
      <w:r w:rsidRPr="00D91E3E">
        <w:rPr>
          <w:rFonts w:cs="BookAntiqua"/>
        </w:rPr>
        <w:t>, 202</w:t>
      </w:r>
      <w:r w:rsidR="00B346A9">
        <w:rPr>
          <w:rFonts w:cs="BookAntiqua"/>
        </w:rPr>
        <w:t>5</w:t>
      </w:r>
      <w:r w:rsidRPr="00D91E3E">
        <w:rPr>
          <w:rFonts w:cs="BookAntiqua"/>
        </w:rPr>
        <w:t>, the issues to be</w:t>
      </w:r>
    </w:p>
    <w:p w:rsidR="00DC1B02" w:rsidP="00B346A9" w:rsidRDefault="00D91E3E" w14:paraId="6BB75D5E" w14:textId="673B2860">
      <w:pPr>
        <w:pStyle w:val="Standard"/>
        <w:ind w:firstLine="0"/>
        <w:rPr>
          <w:rFonts w:cs="BookAntiqua"/>
        </w:rPr>
      </w:pPr>
      <w:r w:rsidRPr="00D91E3E">
        <w:rPr>
          <w:rFonts w:cs="BookAntiqua"/>
        </w:rPr>
        <w:t>determined in this proceeding are as follows:</w:t>
      </w:r>
    </w:p>
    <w:p w:rsidR="00B346A9" w:rsidP="004D5EFA" w:rsidRDefault="00D91E3E" w14:paraId="5CE2D01F" w14:textId="129403F0">
      <w:pPr>
        <w:pStyle w:val="1stLevel1"/>
      </w:pPr>
      <w:r w:rsidRPr="00D91E3E">
        <w:t>Whether PG&amp;E’s forecast cost of operations and requested revenue requirement of $410</w:t>
      </w:r>
      <w:r w:rsidR="000B222B">
        <w:t xml:space="preserve"> million </w:t>
      </w:r>
      <w:r w:rsidRPr="00D91E3E">
        <w:t>over the Record Period for DCPP is reasonable, including the following forecasts and their underlying financial assumptions and calculations, subject to PG&amp;E updating these forecasts in the Fall Update</w:t>
      </w:r>
      <w:r w:rsidR="00367915">
        <w:t>;</w:t>
      </w:r>
    </w:p>
    <w:p w:rsidR="00B346A9" w:rsidP="004D5EFA" w:rsidRDefault="00D91E3E" w14:paraId="3F523473" w14:textId="77777777">
      <w:pPr>
        <w:pStyle w:val="2ndLevela"/>
      </w:pPr>
      <w:r w:rsidRPr="004D5EFA">
        <w:t>Operations</w:t>
      </w:r>
      <w:r w:rsidRPr="00D91E3E">
        <w:t xml:space="preserve"> and maintenance costs (including expenses, project costs, and statutory costs and fees, as well as associated escalations);  </w:t>
      </w:r>
    </w:p>
    <w:p w:rsidR="00B346A9" w:rsidP="00951A82" w:rsidRDefault="00D91E3E" w14:paraId="5783B3E9" w14:textId="459B5A2F">
      <w:pPr>
        <w:pStyle w:val="ListNum"/>
        <w:numPr>
          <w:ilvl w:val="0"/>
          <w:numId w:val="6"/>
        </w:numPr>
      </w:pPr>
      <w:r w:rsidRPr="00D91E3E">
        <w:t xml:space="preserve">Charges for the liquidated damages account pursuant to Pub. Util. Code </w:t>
      </w:r>
      <w:r w:rsidR="00F92AD1">
        <w:t>S</w:t>
      </w:r>
      <w:r w:rsidRPr="00D91E3E">
        <w:t>ection 712.8(g);</w:t>
      </w:r>
    </w:p>
    <w:p w:rsidR="00B346A9" w:rsidP="00951A82" w:rsidRDefault="00D91E3E" w14:paraId="0E002CB3" w14:textId="6E52E73D">
      <w:pPr>
        <w:pStyle w:val="ListNum"/>
        <w:numPr>
          <w:ilvl w:val="0"/>
          <w:numId w:val="6"/>
        </w:numPr>
      </w:pPr>
      <w:r w:rsidRPr="00D91E3E">
        <w:lastRenderedPageBreak/>
        <w:t xml:space="preserve">RA substitution capacity forecast and true-up costs, including any updates from the results of </w:t>
      </w:r>
      <w:bookmarkStart w:name="_Hlk211516671" w:id="21"/>
      <w:r w:rsidR="00367915">
        <w:t xml:space="preserve">Rulemaking (R.) </w:t>
      </w:r>
      <w:r w:rsidRPr="00D91E3E">
        <w:t>25-02-005</w:t>
      </w:r>
      <w:bookmarkEnd w:id="21"/>
      <w:r w:rsidRPr="00D91E3E">
        <w:t>, or unless otherwise directed by the Commission;</w:t>
      </w:r>
    </w:p>
    <w:p w:rsidR="00B346A9" w:rsidP="00951A82" w:rsidRDefault="00D91E3E" w14:paraId="4FE1F3FD" w14:textId="77777777">
      <w:pPr>
        <w:pStyle w:val="ListNum"/>
        <w:numPr>
          <w:ilvl w:val="0"/>
          <w:numId w:val="6"/>
        </w:numPr>
      </w:pPr>
      <w:r w:rsidRPr="00D91E3E">
        <w:t>Operating expenses that would be amortized through 2030 (e.g., nuclear fuel procurement);</w:t>
      </w:r>
    </w:p>
    <w:p w:rsidR="00B346A9" w:rsidP="00951A82" w:rsidRDefault="00D91E3E" w14:paraId="787C9184" w14:textId="54E26104">
      <w:pPr>
        <w:pStyle w:val="ListNum"/>
        <w:numPr>
          <w:ilvl w:val="0"/>
          <w:numId w:val="6"/>
        </w:numPr>
      </w:pPr>
      <w:r w:rsidRPr="00D91E3E">
        <w:t xml:space="preserve">Netting of </w:t>
      </w:r>
      <w:r w:rsidR="00367915">
        <w:t>CAISO</w:t>
      </w:r>
      <w:r w:rsidRPr="00D91E3E">
        <w:t xml:space="preserve"> revenues for the period from January 1 to December 31, 2026.</w:t>
      </w:r>
    </w:p>
    <w:p w:rsidR="00B346A9" w:rsidP="004D5EFA" w:rsidRDefault="00D91E3E" w14:paraId="4FCE7058" w14:textId="77777777">
      <w:pPr>
        <w:pStyle w:val="1stLevel1"/>
      </w:pPr>
      <w:r w:rsidRPr="00D91E3E">
        <w:t>Whether the calculation of the non-</w:t>
      </w:r>
      <w:proofErr w:type="spellStart"/>
      <w:r w:rsidRPr="00D91E3E">
        <w:t>bypassable</w:t>
      </w:r>
      <w:proofErr w:type="spellEnd"/>
      <w:r w:rsidRPr="00D91E3E">
        <w:t xml:space="preserve"> charge and rate proposals by PG&amp;E, SCE, and SDG&amp;E comply with D.23-12-036 and should be approved.</w:t>
      </w:r>
    </w:p>
    <w:p w:rsidR="00B346A9" w:rsidP="004D5EFA" w:rsidRDefault="00D91E3E" w14:paraId="0DBD273E" w14:textId="2F700F03">
      <w:pPr>
        <w:pStyle w:val="1stLevel1"/>
      </w:pPr>
      <w:r w:rsidRPr="00D91E3E">
        <w:t xml:space="preserve">Whether PG&amp;E’s proposed modification to the </w:t>
      </w:r>
      <w:bookmarkStart w:name="_Hlk211516678" w:id="22"/>
      <w:r w:rsidR="00367915">
        <w:t>Department of Energy Litigation Balancing Account (</w:t>
      </w:r>
      <w:r w:rsidRPr="00D91E3E">
        <w:t>DOELBA</w:t>
      </w:r>
      <w:r w:rsidR="00367915">
        <w:t>)</w:t>
      </w:r>
      <w:r w:rsidRPr="00D91E3E">
        <w:t xml:space="preserve"> </w:t>
      </w:r>
      <w:bookmarkEnd w:id="22"/>
      <w:r w:rsidRPr="00D91E3E">
        <w:t>preliminary statement to be implemented in a Tier 1 advice letter within 60 days following the issuance of the decision is reasonable.</w:t>
      </w:r>
    </w:p>
    <w:p w:rsidR="00B346A9" w:rsidP="004D5EFA" w:rsidRDefault="00D91E3E" w14:paraId="40DA71F7" w14:textId="77777777">
      <w:pPr>
        <w:pStyle w:val="1stLevel1"/>
      </w:pPr>
      <w:r w:rsidRPr="00D91E3E">
        <w:t>Whether the Market Price Benchmark is the right method for calculating RA substitution capacity and true-up costs for DCPP or whether an alternative method is more appropriate.</w:t>
      </w:r>
    </w:p>
    <w:p w:rsidR="00B346A9" w:rsidP="004D5EFA" w:rsidRDefault="00D91E3E" w14:paraId="57560FF2" w14:textId="73DF97CF">
      <w:pPr>
        <w:pStyle w:val="1stLevel1"/>
      </w:pPr>
      <w:r w:rsidRPr="00D91E3E">
        <w:t>Whether PG&amp;E’s proposed VPF spending plan for the January 1</w:t>
      </w:r>
      <w:r w:rsidR="00B762BA">
        <w:t xml:space="preserve"> </w:t>
      </w:r>
      <w:r w:rsidRPr="00D91E3E">
        <w:t xml:space="preserve">to December 31, 2026 period complies with Pub. Util. Code </w:t>
      </w:r>
      <w:r w:rsidR="008A3344">
        <w:t>S</w:t>
      </w:r>
      <w:r w:rsidRPr="00D91E3E">
        <w:t>ection 712.8(s) and all Commission requirements and should be approved.</w:t>
      </w:r>
    </w:p>
    <w:p w:rsidR="00B346A9" w:rsidP="004D5EFA" w:rsidRDefault="00D91E3E" w14:paraId="166F25B2" w14:textId="1C7F8579">
      <w:pPr>
        <w:pStyle w:val="1stLevel1"/>
      </w:pPr>
      <w:r w:rsidRPr="00D91E3E">
        <w:t>Whether PG&amp;E's testimony satisfies all the regulatory requirements set forth, including D.23-12-036 and D.24</w:t>
      </w:r>
      <w:r w:rsidR="00EC460E">
        <w:noBreakHyphen/>
      </w:r>
      <w:r w:rsidRPr="00D91E3E">
        <w:t>12</w:t>
      </w:r>
      <w:r w:rsidR="00EC460E">
        <w:noBreakHyphen/>
      </w:r>
      <w:r w:rsidR="00367915">
        <w:t>0</w:t>
      </w:r>
      <w:r w:rsidRPr="00D91E3E">
        <w:t xml:space="preserve">33. </w:t>
      </w:r>
    </w:p>
    <w:p w:rsidR="00B346A9" w:rsidP="00EC460E" w:rsidRDefault="00D91E3E" w14:paraId="1B28F63B" w14:textId="2B5ED76B">
      <w:pPr>
        <w:pStyle w:val="Standard"/>
        <w:keepNext/>
      </w:pPr>
      <w:r w:rsidRPr="00D91E3E">
        <w:t>The</w:t>
      </w:r>
      <w:r w:rsidR="00AD1472">
        <w:t xml:space="preserve"> July 2, 2025 Scoping Memo identified the</w:t>
      </w:r>
      <w:r w:rsidRPr="00D91E3E">
        <w:t xml:space="preserve"> following issues </w:t>
      </w:r>
      <w:r w:rsidR="00AD1472">
        <w:t>as</w:t>
      </w:r>
      <w:r w:rsidRPr="00D91E3E">
        <w:t xml:space="preserve"> out o</w:t>
      </w:r>
      <w:r w:rsidR="00AD1472">
        <w:t xml:space="preserve">f </w:t>
      </w:r>
      <w:r w:rsidRPr="00D91E3E">
        <w:t xml:space="preserve">scope: </w:t>
      </w:r>
    </w:p>
    <w:p w:rsidR="00B346A9" w:rsidP="00951A82" w:rsidRDefault="00D91E3E" w14:paraId="221E474A" w14:textId="63CFDF20">
      <w:pPr>
        <w:pStyle w:val="1stLevel1"/>
        <w:numPr>
          <w:ilvl w:val="0"/>
          <w:numId w:val="13"/>
        </w:numPr>
      </w:pPr>
      <w:r w:rsidRPr="00D91E3E">
        <w:t>Whether PG&amp;E’s proposed modified regulatory process for PG&amp;E to</w:t>
      </w:r>
      <w:r w:rsidR="00B346A9">
        <w:t xml:space="preserve"> </w:t>
      </w:r>
      <w:r w:rsidRPr="00D91E3E">
        <w:t>utilize a Tier 3 advice letter for reporting on the amount of VPFs, explaining how the funds were spent, and</w:t>
      </w:r>
      <w:r>
        <w:t xml:space="preserve"> </w:t>
      </w:r>
      <w:r w:rsidRPr="00D91E3E">
        <w:t xml:space="preserve">proposing a plan for prioritizing the uses of such funds pursuant to Pub. Util. Code </w:t>
      </w:r>
      <w:r w:rsidR="006779A7">
        <w:t>S</w:t>
      </w:r>
      <w:r w:rsidRPr="00D91E3E">
        <w:t>ections 712.8(f)(5) and 712.8(s)(1), is reasonable and should be approved.</w:t>
      </w:r>
    </w:p>
    <w:p w:rsidR="00B346A9" w:rsidP="00951A82" w:rsidRDefault="00D91E3E" w14:paraId="63490E1C" w14:textId="31AAD392">
      <w:pPr>
        <w:pStyle w:val="1stLevel1"/>
        <w:numPr>
          <w:ilvl w:val="0"/>
          <w:numId w:val="13"/>
        </w:numPr>
      </w:pPr>
      <w:r w:rsidRPr="00D91E3E">
        <w:lastRenderedPageBreak/>
        <w:t xml:space="preserve">Whether the Commission should review VPF spending plans beyond evaluating whether they comply with </w:t>
      </w:r>
      <w:r w:rsidR="00367915">
        <w:t>Pub. Util. Code Section</w:t>
      </w:r>
      <w:r w:rsidRPr="00D91E3E">
        <w:t xml:space="preserve"> 712.8(s) requirements and procedural requirements from D.23-12-036.</w:t>
      </w:r>
    </w:p>
    <w:p w:rsidR="00B346A9" w:rsidP="00951A82" w:rsidRDefault="00D91E3E" w14:paraId="5DEBBE0D" w14:textId="77777777">
      <w:pPr>
        <w:pStyle w:val="1stLevel1"/>
        <w:numPr>
          <w:ilvl w:val="0"/>
          <w:numId w:val="13"/>
        </w:numPr>
      </w:pPr>
      <w:r w:rsidRPr="00D91E3E">
        <w:t xml:space="preserve">Whether the Commission should review historical DCPP costs. </w:t>
      </w:r>
    </w:p>
    <w:p w:rsidR="00B346A9" w:rsidP="00951A82" w:rsidRDefault="00D91E3E" w14:paraId="4FC18709" w14:textId="77777777">
      <w:pPr>
        <w:pStyle w:val="1stLevel1"/>
        <w:numPr>
          <w:ilvl w:val="0"/>
          <w:numId w:val="13"/>
        </w:numPr>
      </w:pPr>
      <w:r w:rsidRPr="00D91E3E">
        <w:t>Whether PG&amp;E’s extended operations of DCPP are prudent and cost-effective.</w:t>
      </w:r>
    </w:p>
    <w:p w:rsidR="00B346A9" w:rsidP="00951A82" w:rsidRDefault="00D91E3E" w14:paraId="448EBCA7" w14:textId="77777777">
      <w:pPr>
        <w:pStyle w:val="1stLevel1"/>
        <w:numPr>
          <w:ilvl w:val="0"/>
          <w:numId w:val="13"/>
        </w:numPr>
      </w:pPr>
      <w:r w:rsidRPr="00D91E3E">
        <w:t xml:space="preserve">Whether the federal and state income tax gross-up of fixed management fees should be included in PG&amp;E’s forecast cost of operations and requested revenue requirement for DCPP. </w:t>
      </w:r>
    </w:p>
    <w:p w:rsidR="00AD1472" w:rsidP="004D5EFA" w:rsidRDefault="00AD1472" w14:paraId="66B4F952" w14:textId="1B6450B5">
      <w:pPr>
        <w:pStyle w:val="Standard"/>
      </w:pPr>
      <w:r w:rsidRPr="00AD1472">
        <w:t xml:space="preserve">The Commission </w:t>
      </w:r>
      <w:r w:rsidR="00367915">
        <w:t>reiterates</w:t>
      </w:r>
      <w:r w:rsidRPr="00AD1472">
        <w:t xml:space="preserve"> that</w:t>
      </w:r>
      <w:r w:rsidR="00925063">
        <w:t>,</w:t>
      </w:r>
      <w:r w:rsidRPr="00AD1472">
        <w:t xml:space="preserve"> in D.23-12-036</w:t>
      </w:r>
      <w:r w:rsidR="00925063">
        <w:t>,</w:t>
      </w:r>
      <w:r w:rsidRPr="00AD1472">
        <w:t xml:space="preserve"> the Commission concluded</w:t>
      </w:r>
      <w:r w:rsidR="004D5EFA">
        <w:t xml:space="preserve"> </w:t>
      </w:r>
      <w:r w:rsidRPr="00AD1472">
        <w:t>that it will not revisit issues concerning the electric system reliability need for</w:t>
      </w:r>
      <w:r w:rsidR="004D5EFA">
        <w:t xml:space="preserve"> </w:t>
      </w:r>
      <w:r w:rsidRPr="00AD1472">
        <w:t>DCPP.</w:t>
      </w:r>
      <w:r>
        <w:rPr>
          <w:rStyle w:val="FootnoteReference"/>
        </w:rPr>
        <w:footnoteReference w:id="16"/>
      </w:r>
      <w:r>
        <w:rPr>
          <w:sz w:val="17"/>
          <w:szCs w:val="17"/>
        </w:rPr>
        <w:t xml:space="preserve"> </w:t>
      </w:r>
      <w:r w:rsidRPr="00AD1472">
        <w:t>Ongoing long-term system reliability needs are already considered and</w:t>
      </w:r>
      <w:r w:rsidR="004D5EFA">
        <w:t xml:space="preserve"> </w:t>
      </w:r>
      <w:r w:rsidRPr="00AD1472">
        <w:t>addressed through the Commission’s I</w:t>
      </w:r>
      <w:r w:rsidR="00836890">
        <w:t xml:space="preserve">ntegrated </w:t>
      </w:r>
      <w:r w:rsidRPr="00AD1472">
        <w:t>R</w:t>
      </w:r>
      <w:r w:rsidR="00836890">
        <w:t xml:space="preserve">esource </w:t>
      </w:r>
      <w:r w:rsidRPr="00AD1472">
        <w:t>P</w:t>
      </w:r>
      <w:r w:rsidR="00836890">
        <w:t>lanning</w:t>
      </w:r>
      <w:r w:rsidRPr="00AD1472">
        <w:t xml:space="preserve"> proceeding. Hence, they are out of</w:t>
      </w:r>
      <w:r>
        <w:t xml:space="preserve"> scope for this proceeding.</w:t>
      </w:r>
    </w:p>
    <w:p w:rsidRPr="000E56B4" w:rsidR="000E56B4" w:rsidP="00B346A9" w:rsidRDefault="000E56B4" w14:paraId="562A0A78" w14:textId="77777777">
      <w:pPr>
        <w:pStyle w:val="Heading1"/>
      </w:pPr>
      <w:bookmarkStart w:name="_Toc216176797" w:id="23"/>
      <w:r w:rsidRPr="000E56B4">
        <w:t>Burden of Proof and Evidentiary Standard</w:t>
      </w:r>
      <w:bookmarkEnd w:id="23"/>
    </w:p>
    <w:p w:rsidRPr="000E56B4" w:rsidR="000E56B4" w:rsidP="004D5EFA" w:rsidRDefault="000E56B4" w14:paraId="1A8840B2" w14:textId="391F4A7C">
      <w:pPr>
        <w:pStyle w:val="Standard"/>
        <w:rPr>
          <w:rFonts w:cs="BookAntiqua"/>
        </w:rPr>
      </w:pPr>
      <w:r w:rsidRPr="000E56B4">
        <w:rPr>
          <w:rFonts w:cs="BookAntiqua"/>
        </w:rPr>
        <w:t>Pub. Util. Code Section 451 requires that “</w:t>
      </w:r>
      <w:r w:rsidR="00001D44">
        <w:rPr>
          <w:rFonts w:cs="BookAntiqua"/>
        </w:rPr>
        <w:t>[</w:t>
      </w:r>
      <w:r w:rsidRPr="000E56B4">
        <w:rPr>
          <w:rFonts w:cs="BookAntiqua"/>
        </w:rPr>
        <w:t>a</w:t>
      </w:r>
      <w:r w:rsidR="00001D44">
        <w:rPr>
          <w:rFonts w:cs="BookAntiqua"/>
        </w:rPr>
        <w:t>]</w:t>
      </w:r>
      <w:proofErr w:type="spellStart"/>
      <w:r w:rsidRPr="000E56B4">
        <w:rPr>
          <w:rFonts w:cs="BookAntiqua"/>
        </w:rPr>
        <w:t>ll</w:t>
      </w:r>
      <w:proofErr w:type="spellEnd"/>
      <w:r w:rsidRPr="000E56B4">
        <w:rPr>
          <w:rFonts w:cs="BookAntiqua"/>
        </w:rPr>
        <w:t xml:space="preserve"> charges demanded or</w:t>
      </w:r>
      <w:r w:rsidR="004D5EFA">
        <w:rPr>
          <w:rFonts w:cs="BookAntiqua"/>
        </w:rPr>
        <w:t xml:space="preserve"> </w:t>
      </w:r>
      <w:r w:rsidRPr="000E56B4">
        <w:rPr>
          <w:rFonts w:cs="BookAntiqua"/>
        </w:rPr>
        <w:t xml:space="preserve">received by any </w:t>
      </w:r>
      <w:r w:rsidR="00001D44">
        <w:rPr>
          <w:rFonts w:cs="BookAntiqua"/>
        </w:rPr>
        <w:t xml:space="preserve">public </w:t>
      </w:r>
      <w:r w:rsidRPr="000E56B4">
        <w:rPr>
          <w:rFonts w:cs="BookAntiqua"/>
        </w:rPr>
        <w:t>utility…shall be just and reasonable.” As the applicant, PG&amp;E</w:t>
      </w:r>
      <w:r w:rsidR="004D5EFA">
        <w:rPr>
          <w:rFonts w:cs="BookAntiqua"/>
        </w:rPr>
        <w:t xml:space="preserve"> </w:t>
      </w:r>
      <w:r w:rsidRPr="000E56B4">
        <w:rPr>
          <w:rFonts w:cs="BookAntiqua"/>
        </w:rPr>
        <w:t xml:space="preserve">bears the </w:t>
      </w:r>
      <w:r w:rsidRPr="00367915">
        <w:rPr>
          <w:rFonts w:cs="BookAntiqua"/>
        </w:rPr>
        <w:t>burden of establishing reasonableness of all issues within the scope of</w:t>
      </w:r>
      <w:r w:rsidR="004D5EFA">
        <w:rPr>
          <w:rFonts w:cs="BookAntiqua"/>
        </w:rPr>
        <w:t xml:space="preserve"> </w:t>
      </w:r>
      <w:r w:rsidRPr="00367915">
        <w:rPr>
          <w:rFonts w:cs="BookAntiqua"/>
        </w:rPr>
        <w:t xml:space="preserve">this proceeding as listed in Section </w:t>
      </w:r>
      <w:r w:rsidRPr="00367915" w:rsidR="00367915">
        <w:rPr>
          <w:rFonts w:cs="BookAntiqua"/>
        </w:rPr>
        <w:t>4</w:t>
      </w:r>
      <w:r w:rsidRPr="00367915">
        <w:rPr>
          <w:rFonts w:cs="BookAntiqua"/>
        </w:rPr>
        <w:t xml:space="preserve"> of this decision</w:t>
      </w:r>
      <w:r w:rsidRPr="000E56B4">
        <w:rPr>
          <w:rFonts w:cs="BookAntiqua"/>
        </w:rPr>
        <w:t>.</w:t>
      </w:r>
    </w:p>
    <w:p w:rsidRPr="000E56B4" w:rsidR="000E56B4" w:rsidP="004D5EFA" w:rsidRDefault="000E56B4" w14:paraId="566480EA" w14:textId="5F1783CD">
      <w:pPr>
        <w:pStyle w:val="Standard"/>
        <w:rPr>
          <w:rFonts w:cs="BookAntiqua"/>
        </w:rPr>
      </w:pPr>
      <w:r w:rsidRPr="000E56B4">
        <w:rPr>
          <w:rFonts w:cs="BookAntiqua"/>
        </w:rPr>
        <w:t>The Commission has held that the standard of proof the applicant must</w:t>
      </w:r>
      <w:r w:rsidR="004D5EFA">
        <w:rPr>
          <w:rFonts w:cs="BookAntiqua"/>
        </w:rPr>
        <w:t xml:space="preserve"> </w:t>
      </w:r>
      <w:r w:rsidRPr="000E56B4">
        <w:rPr>
          <w:rFonts w:cs="BookAntiqua"/>
        </w:rPr>
        <w:t>meet in rate cases is that of a preponderance of the evidence.</w:t>
      </w:r>
      <w:r w:rsidR="00AD1472">
        <w:rPr>
          <w:rStyle w:val="FootnoteReference"/>
          <w:rFonts w:cs="BookAntiqua"/>
        </w:rPr>
        <w:footnoteReference w:id="17"/>
      </w:r>
      <w:r w:rsidRPr="000E56B4">
        <w:rPr>
          <w:rFonts w:cs="BookAntiqua"/>
        </w:rPr>
        <w:t xml:space="preserve"> Preponderance of</w:t>
      </w:r>
      <w:r w:rsidR="004D5EFA">
        <w:rPr>
          <w:rFonts w:cs="BookAntiqua"/>
        </w:rPr>
        <w:t xml:space="preserve"> </w:t>
      </w:r>
      <w:r w:rsidRPr="000E56B4">
        <w:rPr>
          <w:rFonts w:cs="BookAntiqua"/>
        </w:rPr>
        <w:t xml:space="preserve">the evidence is usually defined “in terms of probability of truth, </w:t>
      </w:r>
      <w:r w:rsidRPr="000E56B4">
        <w:rPr>
          <w:rFonts w:cs="BookAntiqua"/>
          <w:i/>
          <w:iCs/>
        </w:rPr>
        <w:t xml:space="preserve">e.g. </w:t>
      </w:r>
      <w:r w:rsidRPr="000E56B4">
        <w:rPr>
          <w:rFonts w:cs="BookAntiqua"/>
        </w:rPr>
        <w:t>‘such</w:t>
      </w:r>
      <w:r w:rsidR="004D5EFA">
        <w:rPr>
          <w:rFonts w:cs="BookAntiqua"/>
        </w:rPr>
        <w:t xml:space="preserve"> </w:t>
      </w:r>
      <w:r w:rsidRPr="000E56B4">
        <w:rPr>
          <w:rFonts w:cs="BookAntiqua"/>
        </w:rPr>
        <w:lastRenderedPageBreak/>
        <w:t>evidence as, when weighed with that opposed to it, has more convincing force</w:t>
      </w:r>
      <w:r w:rsidR="004D5EFA">
        <w:rPr>
          <w:rFonts w:cs="BookAntiqua"/>
        </w:rPr>
        <w:t xml:space="preserve"> </w:t>
      </w:r>
      <w:r w:rsidRPr="000E56B4">
        <w:rPr>
          <w:rFonts w:cs="BookAntiqua"/>
        </w:rPr>
        <w:t>and the greater probability of truth.</w:t>
      </w:r>
      <w:r w:rsidR="00084B7E">
        <w:rPr>
          <w:rFonts w:cs="BookAntiqua"/>
        </w:rPr>
        <w:t>’</w:t>
      </w:r>
      <w:r w:rsidRPr="000E56B4">
        <w:rPr>
          <w:rFonts w:cs="BookAntiqua"/>
        </w:rPr>
        <w:t>”</w:t>
      </w:r>
      <w:r w:rsidR="00B346A9">
        <w:rPr>
          <w:rStyle w:val="FootnoteReference"/>
          <w:rFonts w:cs="BookAntiqua"/>
        </w:rPr>
        <w:footnoteReference w:id="18"/>
      </w:r>
    </w:p>
    <w:p w:rsidRPr="000E56B4" w:rsidR="000E56B4" w:rsidP="00B346A9" w:rsidRDefault="000E56B4" w14:paraId="22015E41" w14:textId="32399AB4">
      <w:pPr>
        <w:pStyle w:val="Heading1"/>
      </w:pPr>
      <w:bookmarkStart w:name="_Toc216176798" w:id="24"/>
      <w:r w:rsidRPr="000E56B4">
        <w:t>PG&amp;E’s Forecasted Cost and Requested Revenue</w:t>
      </w:r>
      <w:r w:rsidR="00B346A9">
        <w:t xml:space="preserve"> </w:t>
      </w:r>
      <w:r w:rsidRPr="000E56B4">
        <w:t>Requirement</w:t>
      </w:r>
      <w:bookmarkEnd w:id="24"/>
    </w:p>
    <w:p w:rsidR="00D91E3E" w:rsidP="004D5EFA" w:rsidRDefault="000E56B4" w14:paraId="761CFCD1" w14:textId="32102C8D">
      <w:pPr>
        <w:pStyle w:val="Standard"/>
        <w:rPr>
          <w:rFonts w:cs="BookAntiqua"/>
        </w:rPr>
      </w:pPr>
      <w:r w:rsidRPr="000E56B4">
        <w:rPr>
          <w:rFonts w:cs="BookAntiqua"/>
        </w:rPr>
        <w:t>The Commission approves PG&amp;E’s 202</w:t>
      </w:r>
      <w:r w:rsidR="00F956D0">
        <w:rPr>
          <w:rFonts w:cs="BookAntiqua"/>
        </w:rPr>
        <w:t>5</w:t>
      </w:r>
      <w:r w:rsidRPr="000E56B4">
        <w:rPr>
          <w:rFonts w:cs="BookAntiqua"/>
        </w:rPr>
        <w:t xml:space="preserve"> DCPP extended operations</w:t>
      </w:r>
      <w:r w:rsidR="004D5EFA">
        <w:rPr>
          <w:rFonts w:cs="BookAntiqua"/>
        </w:rPr>
        <w:t xml:space="preserve"> </w:t>
      </w:r>
      <w:r w:rsidRPr="000E56B4">
        <w:rPr>
          <w:rFonts w:cs="BookAntiqua"/>
        </w:rPr>
        <w:t>revenue requirement of $</w:t>
      </w:r>
      <w:r w:rsidR="00367915">
        <w:rPr>
          <w:rFonts w:cs="BookAntiqua"/>
        </w:rPr>
        <w:t>382.</w:t>
      </w:r>
      <w:r w:rsidR="008C772F">
        <w:rPr>
          <w:rFonts w:cs="BookAntiqua"/>
        </w:rPr>
        <w:t>233</w:t>
      </w:r>
      <w:r w:rsidR="00455D37">
        <w:rPr>
          <w:rFonts w:cs="BookAntiqua"/>
        </w:rPr>
        <w:t> </w:t>
      </w:r>
      <w:r w:rsidRPr="000E56B4">
        <w:rPr>
          <w:rFonts w:cs="BookAntiqua"/>
        </w:rPr>
        <w:t>million. Forecasted cost</w:t>
      </w:r>
      <w:r w:rsidR="00F956D0">
        <w:rPr>
          <w:rFonts w:cs="BookAntiqua"/>
        </w:rPr>
        <w:t xml:space="preserve"> </w:t>
      </w:r>
      <w:r w:rsidRPr="000E56B4">
        <w:rPr>
          <w:rFonts w:cs="BookAntiqua"/>
        </w:rPr>
        <w:t xml:space="preserve">categories and modifications are discussed in </w:t>
      </w:r>
      <w:r w:rsidRPr="00A47FD6">
        <w:rPr>
          <w:rFonts w:cs="BookAntiqua"/>
        </w:rPr>
        <w:t>Sections 6.1 through 6.</w:t>
      </w:r>
      <w:r w:rsidRPr="00A47FD6" w:rsidR="00AE7222">
        <w:rPr>
          <w:rFonts w:cs="BookAntiqua"/>
        </w:rPr>
        <w:t>5</w:t>
      </w:r>
      <w:r w:rsidRPr="00A47FD6" w:rsidR="00A47FD6">
        <w:rPr>
          <w:rFonts w:cs="BookAntiqua"/>
        </w:rPr>
        <w:t>.</w:t>
      </w:r>
    </w:p>
    <w:p w:rsidR="00D91E3E" w:rsidP="008926B4" w:rsidRDefault="00F956D0" w14:paraId="3965DBEC" w14:textId="417C4E6B">
      <w:pPr>
        <w:pStyle w:val="Heading2"/>
      </w:pPr>
      <w:bookmarkStart w:name="_Toc216176799" w:id="25"/>
      <w:r>
        <w:t>Operations and Maintenance Costs</w:t>
      </w:r>
      <w:bookmarkEnd w:id="25"/>
    </w:p>
    <w:p w:rsidRPr="00710512" w:rsidR="00710512" w:rsidP="00710512" w:rsidRDefault="00710512" w14:paraId="54BCCD68" w14:textId="6CCB8193">
      <w:pPr>
        <w:pStyle w:val="Standard"/>
      </w:pPr>
      <w:r>
        <w:t xml:space="preserve">The Commission approves PG&amp;E’s request to recover </w:t>
      </w:r>
      <w:r w:rsidRPr="00E37CF1">
        <w:t>$</w:t>
      </w:r>
      <w:r w:rsidRPr="00E37CF1" w:rsidR="008C772F">
        <w:t>563.934</w:t>
      </w:r>
      <w:r w:rsidRPr="00E37CF1" w:rsidR="000B222B">
        <w:t xml:space="preserve"> million </w:t>
      </w:r>
      <w:r>
        <w:t>in</w:t>
      </w:r>
      <w:r w:rsidR="003E1028">
        <w:t xml:space="preserve"> </w:t>
      </w:r>
      <w:r>
        <w:t>O&amp;M</w:t>
      </w:r>
      <w:r w:rsidR="003E1028">
        <w:t xml:space="preserve"> </w:t>
      </w:r>
      <w:r>
        <w:t>costs for the period January 1 to December 31, 2026.</w:t>
      </w:r>
    </w:p>
    <w:p w:rsidR="00F956D0" w:rsidP="008926B4" w:rsidRDefault="00F956D0" w14:paraId="22A055ED" w14:textId="1AA38A0A">
      <w:pPr>
        <w:pStyle w:val="Heading3"/>
      </w:pPr>
      <w:bookmarkStart w:name="_Toc216176800" w:id="26"/>
      <w:r>
        <w:t>PG&amp;E’s Forecasted O&amp;M Costs</w:t>
      </w:r>
      <w:bookmarkEnd w:id="26"/>
    </w:p>
    <w:p w:rsidR="00FD3491" w:rsidP="004D5EFA" w:rsidRDefault="00FD3491" w14:paraId="175B95BE" w14:textId="2D65F2E1">
      <w:pPr>
        <w:pStyle w:val="Standard"/>
      </w:pPr>
      <w:r>
        <w:t>In its Application with the Fall Update, PG&amp;E requests the Commission</w:t>
      </w:r>
      <w:r w:rsidR="004D5EFA">
        <w:t xml:space="preserve"> </w:t>
      </w:r>
      <w:r>
        <w:t>adopt its forecast for total extended operations and maintenance expense</w:t>
      </w:r>
      <w:r w:rsidR="00367915">
        <w:t xml:space="preserve">, excluding nuclear fuel </w:t>
      </w:r>
      <w:r w:rsidR="00B762BA">
        <w:t>procurement</w:t>
      </w:r>
      <w:r w:rsidR="00367915">
        <w:t>)</w:t>
      </w:r>
      <w:r>
        <w:t xml:space="preserve"> of</w:t>
      </w:r>
      <w:r w:rsidR="00367915">
        <w:t xml:space="preserve"> </w:t>
      </w:r>
      <w:r w:rsidRPr="00367915">
        <w:t>$</w:t>
      </w:r>
      <w:r w:rsidRPr="00367915" w:rsidR="00367915">
        <w:t>563.934</w:t>
      </w:r>
      <w:r w:rsidR="000B222B">
        <w:t xml:space="preserve"> million </w:t>
      </w:r>
      <w:r>
        <w:t>for the period January 1 to December 31, 2026.</w:t>
      </w:r>
      <w:r>
        <w:rPr>
          <w:rStyle w:val="FootnoteReference"/>
        </w:rPr>
        <w:footnoteReference w:id="19"/>
      </w:r>
      <w:r>
        <w:rPr>
          <w:sz w:val="17"/>
          <w:szCs w:val="17"/>
        </w:rPr>
        <w:t xml:space="preserve"> </w:t>
      </w:r>
      <w:r>
        <w:t>PG&amp;E’s</w:t>
      </w:r>
      <w:r w:rsidR="00367915">
        <w:t xml:space="preserve"> </w:t>
      </w:r>
      <w:r>
        <w:t xml:space="preserve">forecasted O&amp;M expense </w:t>
      </w:r>
      <w:r w:rsidR="006E7156">
        <w:t xml:space="preserve">are comprised of </w:t>
      </w:r>
      <w:r w:rsidR="00606933">
        <w:t>nine</w:t>
      </w:r>
      <w:r w:rsidR="00B62D8D">
        <w:t> </w:t>
      </w:r>
      <w:bookmarkStart w:name="_Hlk211516714" w:id="27"/>
      <w:r w:rsidR="00367915">
        <w:t>Major W</w:t>
      </w:r>
      <w:r w:rsidR="006E7156">
        <w:t xml:space="preserve">ork </w:t>
      </w:r>
      <w:r w:rsidR="00367915">
        <w:t>C</w:t>
      </w:r>
      <w:r w:rsidR="006E7156">
        <w:t xml:space="preserve">ategories </w:t>
      </w:r>
      <w:r w:rsidR="00367915">
        <w:t xml:space="preserve">(MWC) </w:t>
      </w:r>
      <w:bookmarkEnd w:id="27"/>
      <w:r w:rsidR="006E7156">
        <w:t>– manage environmental operation, manage DCPP business, operate DCPP plant, loss prevention, maintain DCPP plant assets, enhance DCPP personnel performance, maintain DCPP plant configuration, provide nuclear support, and manage balancing account processes</w:t>
      </w:r>
      <w:r>
        <w:t>.</w:t>
      </w:r>
      <w:r w:rsidR="006E7156">
        <w:rPr>
          <w:rStyle w:val="FootnoteReference"/>
        </w:rPr>
        <w:footnoteReference w:id="20"/>
      </w:r>
    </w:p>
    <w:p w:rsidR="00FD3491" w:rsidP="004D5EFA" w:rsidRDefault="00FD3491" w14:paraId="0600CDE9" w14:textId="148160B6">
      <w:pPr>
        <w:pStyle w:val="Standard"/>
        <w:rPr>
          <w:sz w:val="17"/>
          <w:szCs w:val="17"/>
        </w:rPr>
      </w:pPr>
      <w:r>
        <w:t>In D.23-12-036, the Commission directed that “costs associated with</w:t>
      </w:r>
      <w:r w:rsidR="004D5EFA">
        <w:t xml:space="preserve"> </w:t>
      </w:r>
      <w:bookmarkStart w:name="_Hlk211516726" w:id="28"/>
      <w:r>
        <w:t>D</w:t>
      </w:r>
      <w:r w:rsidR="006E7156">
        <w:t xml:space="preserve">iablo </w:t>
      </w:r>
      <w:r>
        <w:t>C</w:t>
      </w:r>
      <w:r w:rsidR="006E7156">
        <w:t xml:space="preserve">anyon </w:t>
      </w:r>
      <w:r>
        <w:t>I</w:t>
      </w:r>
      <w:r w:rsidR="006E7156">
        <w:t xml:space="preserve">ndependent </w:t>
      </w:r>
      <w:r>
        <w:t>S</w:t>
      </w:r>
      <w:r w:rsidR="006E7156">
        <w:t xml:space="preserve">afety </w:t>
      </w:r>
      <w:r>
        <w:t>C</w:t>
      </w:r>
      <w:r w:rsidR="006E7156">
        <w:t>ommission</w:t>
      </w:r>
      <w:r>
        <w:t xml:space="preserve"> </w:t>
      </w:r>
      <w:r w:rsidR="00367915">
        <w:t xml:space="preserve">(DCISC) </w:t>
      </w:r>
      <w:bookmarkEnd w:id="28"/>
      <w:r>
        <w:t xml:space="preserve">recommendations or </w:t>
      </w:r>
      <w:bookmarkStart w:name="_Hlk211516731" w:id="29"/>
      <w:r w:rsidR="00367915">
        <w:t>NRC</w:t>
      </w:r>
      <w:r w:rsidR="003E1028">
        <w:t>’s</w:t>
      </w:r>
      <w:r w:rsidR="00367915">
        <w:t xml:space="preserve"> </w:t>
      </w:r>
      <w:bookmarkEnd w:id="29"/>
      <w:r>
        <w:t>conditions of license renewal shall only be</w:t>
      </w:r>
      <w:r w:rsidR="00367915">
        <w:t xml:space="preserve"> </w:t>
      </w:r>
      <w:r>
        <w:t xml:space="preserve">included to the extent there are actual </w:t>
      </w:r>
      <w:r>
        <w:lastRenderedPageBreak/>
        <w:t>recommendations and conditions from the</w:t>
      </w:r>
      <w:r w:rsidR="00367915">
        <w:t xml:space="preserve"> </w:t>
      </w:r>
      <w:r>
        <w:t>DCISC and NRC.</w:t>
      </w:r>
      <w:r w:rsidR="006E7156">
        <w:rPr>
          <w:rStyle w:val="FootnoteReference"/>
        </w:rPr>
        <w:footnoteReference w:id="21"/>
      </w:r>
      <w:r>
        <w:rPr>
          <w:sz w:val="17"/>
          <w:szCs w:val="17"/>
        </w:rPr>
        <w:t xml:space="preserve"> </w:t>
      </w:r>
      <w:r>
        <w:t>PG&amp;E reports that there are no actual or known forecastable</w:t>
      </w:r>
      <w:r w:rsidR="00367915">
        <w:t xml:space="preserve"> </w:t>
      </w:r>
      <w:r>
        <w:t>costs for NRC license renewal conditions or any DCISC recommendations during</w:t>
      </w:r>
      <w:r w:rsidR="00367915">
        <w:t xml:space="preserve"> </w:t>
      </w:r>
      <w:r>
        <w:t>the record period.</w:t>
      </w:r>
      <w:r w:rsidR="006E7156">
        <w:rPr>
          <w:rStyle w:val="FootnoteReference"/>
        </w:rPr>
        <w:footnoteReference w:id="22"/>
      </w:r>
    </w:p>
    <w:p w:rsidR="00723C80" w:rsidP="00367915" w:rsidRDefault="00FD3491" w14:paraId="38490542" w14:textId="4438288E">
      <w:pPr>
        <w:pStyle w:val="Standard"/>
        <w:rPr>
          <w:sz w:val="17"/>
          <w:szCs w:val="17"/>
        </w:rPr>
      </w:pPr>
      <w:r>
        <w:t xml:space="preserve">In its Application, PG&amp;E explains that similar to PG&amp;E’s </w:t>
      </w:r>
      <w:bookmarkStart w:name="_Hlk211516740" w:id="30"/>
      <w:r>
        <w:t>G</w:t>
      </w:r>
      <w:r w:rsidR="00367915">
        <w:t xml:space="preserve">eneral </w:t>
      </w:r>
      <w:r>
        <w:t>R</w:t>
      </w:r>
      <w:r w:rsidR="00367915">
        <w:t xml:space="preserve">ate </w:t>
      </w:r>
      <w:r>
        <w:t>C</w:t>
      </w:r>
      <w:r w:rsidR="00367915">
        <w:t>ase (GRC)</w:t>
      </w:r>
      <w:r>
        <w:t xml:space="preserve"> </w:t>
      </w:r>
      <w:bookmarkEnd w:id="30"/>
      <w:r>
        <w:t>cost</w:t>
      </w:r>
      <w:r w:rsidR="00367915">
        <w:t xml:space="preserve"> </w:t>
      </w:r>
      <w:r>
        <w:t>structure, the forecasted costs are presented in the MWC</w:t>
      </w:r>
      <w:r w:rsidR="00367915">
        <w:t xml:space="preserve"> </w:t>
      </w:r>
      <w:r>
        <w:t>level.</w:t>
      </w:r>
      <w:r w:rsidR="00723C80">
        <w:rPr>
          <w:rStyle w:val="FootnoteReference"/>
        </w:rPr>
        <w:footnoteReference w:id="23"/>
      </w:r>
      <w:r>
        <w:rPr>
          <w:sz w:val="17"/>
          <w:szCs w:val="17"/>
        </w:rPr>
        <w:t xml:space="preserve"> </w:t>
      </w:r>
      <w:r>
        <w:t>An overview of PG&amp;E’s O&amp;M cost forecast is shown below in Table 1.</w:t>
      </w:r>
    </w:p>
    <w:p w:rsidRPr="00723C80" w:rsidR="00723C80" w:rsidP="00760F91" w:rsidRDefault="00723C80" w14:paraId="534A87EF" w14:textId="536CB49B">
      <w:pPr>
        <w:pStyle w:val="Standard"/>
        <w:keepNext/>
        <w:spacing w:before="120" w:after="200" w:line="240" w:lineRule="auto"/>
        <w:rPr>
          <w:b/>
          <w:bCs/>
        </w:rPr>
      </w:pPr>
      <w:r w:rsidRPr="00723C80">
        <w:rPr>
          <w:b/>
          <w:bCs/>
        </w:rPr>
        <w:t>Table 1: PG&amp;E’s O&amp;M Cost Forecast (thousands of nominal dollars)</w:t>
      </w:r>
    </w:p>
    <w:tbl>
      <w:tblPr>
        <w:tblStyle w:val="TableGrid"/>
        <w:tblW w:w="0" w:type="auto"/>
        <w:tblCellMar>
          <w:top w:w="58" w:type="dxa"/>
          <w:bottom w:w="58" w:type="dxa"/>
        </w:tblCellMar>
        <w:tblLook w:val="04A0" w:firstRow="1" w:lastRow="0" w:firstColumn="1" w:lastColumn="0" w:noHBand="0" w:noVBand="1"/>
      </w:tblPr>
      <w:tblGrid>
        <w:gridCol w:w="2330"/>
        <w:gridCol w:w="1533"/>
        <w:gridCol w:w="1405"/>
        <w:gridCol w:w="1251"/>
        <w:gridCol w:w="1445"/>
        <w:gridCol w:w="1386"/>
      </w:tblGrid>
      <w:tr w:rsidR="00723C80" w:rsidTr="00760F91" w14:paraId="62DCEAD9" w14:textId="56FDBF33">
        <w:trPr>
          <w:trHeight w:val="625"/>
          <w:tblHeader/>
        </w:trPr>
        <w:tc>
          <w:tcPr>
            <w:tcW w:w="2372" w:type="dxa"/>
            <w:vAlign w:val="center"/>
          </w:tcPr>
          <w:p w:rsidRPr="00861988" w:rsidR="00723C80" w:rsidP="00C8206D" w:rsidRDefault="00723C80" w14:paraId="1A51013C" w14:textId="4F91707D">
            <w:pPr>
              <w:pStyle w:val="Standard"/>
              <w:keepNext/>
              <w:spacing w:line="240" w:lineRule="auto"/>
              <w:ind w:firstLine="0"/>
              <w:jc w:val="center"/>
              <w:rPr>
                <w:b/>
                <w:bCs/>
              </w:rPr>
            </w:pPr>
            <w:r w:rsidRPr="00861988">
              <w:rPr>
                <w:b/>
                <w:bCs/>
              </w:rPr>
              <w:t>Cost Type</w:t>
            </w:r>
          </w:p>
        </w:tc>
        <w:tc>
          <w:tcPr>
            <w:tcW w:w="1556" w:type="dxa"/>
            <w:vAlign w:val="center"/>
          </w:tcPr>
          <w:p w:rsidRPr="00861988" w:rsidR="00723C80" w:rsidP="00C8206D" w:rsidRDefault="00723C80" w14:paraId="30A91D7C" w14:textId="40E16547">
            <w:pPr>
              <w:pStyle w:val="Standard"/>
              <w:keepNext/>
              <w:spacing w:line="240" w:lineRule="auto"/>
              <w:ind w:firstLine="0"/>
              <w:jc w:val="center"/>
              <w:rPr>
                <w:b/>
                <w:bCs/>
              </w:rPr>
            </w:pPr>
            <w:r w:rsidRPr="00861988">
              <w:rPr>
                <w:b/>
                <w:bCs/>
              </w:rPr>
              <w:t>2023 Recorded</w:t>
            </w:r>
          </w:p>
        </w:tc>
        <w:tc>
          <w:tcPr>
            <w:tcW w:w="1432" w:type="dxa"/>
            <w:vAlign w:val="center"/>
          </w:tcPr>
          <w:p w:rsidRPr="00861988" w:rsidR="00723C80" w:rsidP="00C8206D" w:rsidRDefault="00723C80" w14:paraId="04F67C05" w14:textId="64A0A3A5">
            <w:pPr>
              <w:pStyle w:val="Standard"/>
              <w:keepNext/>
              <w:spacing w:line="240" w:lineRule="auto"/>
              <w:ind w:firstLine="0"/>
              <w:jc w:val="center"/>
              <w:rPr>
                <w:b/>
                <w:bCs/>
              </w:rPr>
            </w:pPr>
            <w:r w:rsidRPr="00861988">
              <w:rPr>
                <w:b/>
                <w:bCs/>
              </w:rPr>
              <w:t>2024 Forecast</w:t>
            </w:r>
          </w:p>
        </w:tc>
        <w:tc>
          <w:tcPr>
            <w:tcW w:w="1258" w:type="dxa"/>
            <w:vAlign w:val="center"/>
          </w:tcPr>
          <w:p w:rsidRPr="00861988" w:rsidR="00723C80" w:rsidP="00C8206D" w:rsidRDefault="00723C80" w14:paraId="4A365248" w14:textId="6BD1DAF6">
            <w:pPr>
              <w:pStyle w:val="Standard"/>
              <w:keepNext/>
              <w:spacing w:line="240" w:lineRule="auto"/>
              <w:ind w:firstLine="0"/>
              <w:jc w:val="center"/>
              <w:rPr>
                <w:b/>
                <w:bCs/>
              </w:rPr>
            </w:pPr>
            <w:r w:rsidRPr="00861988">
              <w:rPr>
                <w:b/>
                <w:bCs/>
              </w:rPr>
              <w:t>2025 Forecast</w:t>
            </w:r>
          </w:p>
        </w:tc>
        <w:tc>
          <w:tcPr>
            <w:tcW w:w="1476" w:type="dxa"/>
            <w:vAlign w:val="center"/>
          </w:tcPr>
          <w:p w:rsidRPr="00861988" w:rsidR="00723C80" w:rsidP="00C8206D" w:rsidRDefault="00723C80" w14:paraId="3D0C8883" w14:textId="6E61D308">
            <w:pPr>
              <w:pStyle w:val="Standard"/>
              <w:keepNext/>
              <w:spacing w:line="240" w:lineRule="auto"/>
              <w:ind w:firstLine="0"/>
              <w:jc w:val="center"/>
              <w:rPr>
                <w:b/>
                <w:bCs/>
              </w:rPr>
            </w:pPr>
            <w:r w:rsidRPr="00861988">
              <w:rPr>
                <w:b/>
                <w:bCs/>
              </w:rPr>
              <w:t>2026 Forecast</w:t>
            </w:r>
          </w:p>
        </w:tc>
        <w:tc>
          <w:tcPr>
            <w:tcW w:w="1256" w:type="dxa"/>
            <w:vAlign w:val="center"/>
          </w:tcPr>
          <w:p w:rsidRPr="00861988" w:rsidR="00723C80" w:rsidP="00C8206D" w:rsidRDefault="00723C80" w14:paraId="5F9CE1E4" w14:textId="6906E2E3">
            <w:pPr>
              <w:pStyle w:val="Standard"/>
              <w:keepNext/>
              <w:spacing w:line="240" w:lineRule="auto"/>
              <w:ind w:firstLine="0"/>
              <w:jc w:val="center"/>
              <w:rPr>
                <w:b/>
                <w:bCs/>
              </w:rPr>
            </w:pPr>
            <w:r w:rsidRPr="00861988">
              <w:rPr>
                <w:b/>
                <w:bCs/>
              </w:rPr>
              <w:t>Total Period Forecast</w:t>
            </w:r>
          </w:p>
        </w:tc>
      </w:tr>
      <w:tr w:rsidR="00723C80" w:rsidTr="00861988" w14:paraId="1C61E7C1" w14:textId="2092C3EB">
        <w:tc>
          <w:tcPr>
            <w:tcW w:w="2372" w:type="dxa"/>
          </w:tcPr>
          <w:p w:rsidR="00723C80" w:rsidP="00861988" w:rsidRDefault="00723C80" w14:paraId="502A67A4" w14:textId="203F26C8">
            <w:pPr>
              <w:pStyle w:val="Standard"/>
              <w:spacing w:line="240" w:lineRule="auto"/>
              <w:ind w:firstLine="0"/>
            </w:pPr>
            <w:r>
              <w:t>O&amp;M Expense</w:t>
            </w:r>
          </w:p>
        </w:tc>
        <w:tc>
          <w:tcPr>
            <w:tcW w:w="1556" w:type="dxa"/>
          </w:tcPr>
          <w:p w:rsidR="00723C80" w:rsidP="00861988" w:rsidRDefault="00BB484B" w14:paraId="05D6CC22" w14:textId="64C0901F">
            <w:pPr>
              <w:pStyle w:val="Standard"/>
              <w:spacing w:line="240" w:lineRule="auto"/>
              <w:ind w:firstLine="0"/>
            </w:pPr>
            <w:r>
              <w:t>N/A</w:t>
            </w:r>
          </w:p>
        </w:tc>
        <w:tc>
          <w:tcPr>
            <w:tcW w:w="1432" w:type="dxa"/>
          </w:tcPr>
          <w:p w:rsidR="00723C80" w:rsidP="00861988" w:rsidRDefault="00723C80" w14:paraId="5250E435" w14:textId="007C3BF0">
            <w:pPr>
              <w:pStyle w:val="Standard"/>
              <w:spacing w:line="240" w:lineRule="auto"/>
              <w:ind w:firstLine="0"/>
            </w:pPr>
            <w:r>
              <w:t>$6,121</w:t>
            </w:r>
          </w:p>
        </w:tc>
        <w:tc>
          <w:tcPr>
            <w:tcW w:w="1258" w:type="dxa"/>
          </w:tcPr>
          <w:p w:rsidR="00723C80" w:rsidP="00861988" w:rsidRDefault="00723C80" w14:paraId="0173A997" w14:textId="3110472A">
            <w:pPr>
              <w:pStyle w:val="Standard"/>
              <w:spacing w:line="240" w:lineRule="auto"/>
              <w:ind w:firstLine="0"/>
            </w:pPr>
            <w:r>
              <w:t>$298,484</w:t>
            </w:r>
          </w:p>
        </w:tc>
        <w:tc>
          <w:tcPr>
            <w:tcW w:w="1476" w:type="dxa"/>
          </w:tcPr>
          <w:p w:rsidR="00723C80" w:rsidP="00861988" w:rsidRDefault="00723C80" w14:paraId="70A6F667" w14:textId="270A4A67">
            <w:pPr>
              <w:pStyle w:val="Standard"/>
              <w:spacing w:line="240" w:lineRule="auto"/>
              <w:ind w:firstLine="0"/>
            </w:pPr>
            <w:r>
              <w:t>$449,286</w:t>
            </w:r>
          </w:p>
        </w:tc>
        <w:tc>
          <w:tcPr>
            <w:tcW w:w="1256" w:type="dxa"/>
          </w:tcPr>
          <w:p w:rsidR="00723C80" w:rsidP="00861988" w:rsidRDefault="00AE7222" w14:paraId="3972CAEA" w14:textId="115C7649">
            <w:pPr>
              <w:pStyle w:val="Standard"/>
              <w:spacing w:line="240" w:lineRule="auto"/>
              <w:ind w:firstLine="0"/>
            </w:pPr>
            <w:r>
              <w:t>$</w:t>
            </w:r>
            <w:r w:rsidR="00723C80">
              <w:t>753,891</w:t>
            </w:r>
          </w:p>
        </w:tc>
      </w:tr>
      <w:tr w:rsidR="00723C80" w:rsidTr="00861988" w14:paraId="61A41289" w14:textId="03DF43DC">
        <w:tc>
          <w:tcPr>
            <w:tcW w:w="2372" w:type="dxa"/>
          </w:tcPr>
          <w:p w:rsidR="00723C80" w:rsidP="00861988" w:rsidRDefault="00723C80" w14:paraId="7304A1D0" w14:textId="31B1682D">
            <w:pPr>
              <w:pStyle w:val="Standard"/>
              <w:spacing w:line="240" w:lineRule="auto"/>
              <w:ind w:firstLine="0"/>
            </w:pPr>
            <w:r>
              <w:t>Project Expense</w:t>
            </w:r>
          </w:p>
        </w:tc>
        <w:tc>
          <w:tcPr>
            <w:tcW w:w="1556" w:type="dxa"/>
          </w:tcPr>
          <w:p w:rsidR="00723C80" w:rsidP="00861988" w:rsidRDefault="00BB484B" w14:paraId="13C0AC70" w14:textId="4E2E491B">
            <w:pPr>
              <w:pStyle w:val="Standard"/>
              <w:spacing w:line="240" w:lineRule="auto"/>
              <w:ind w:firstLine="0"/>
            </w:pPr>
            <w:r>
              <w:t>N/A</w:t>
            </w:r>
          </w:p>
        </w:tc>
        <w:tc>
          <w:tcPr>
            <w:tcW w:w="1432" w:type="dxa"/>
          </w:tcPr>
          <w:p w:rsidR="00723C80" w:rsidP="00861988" w:rsidRDefault="00723C80" w14:paraId="010C8590" w14:textId="5A51AF6D">
            <w:pPr>
              <w:pStyle w:val="Standard"/>
              <w:spacing w:line="240" w:lineRule="auto"/>
              <w:ind w:firstLine="0"/>
            </w:pPr>
            <w:r>
              <w:t>$2,197</w:t>
            </w:r>
          </w:p>
        </w:tc>
        <w:tc>
          <w:tcPr>
            <w:tcW w:w="1258" w:type="dxa"/>
          </w:tcPr>
          <w:p w:rsidR="00723C80" w:rsidP="00861988" w:rsidRDefault="00723C80" w14:paraId="53328C9B" w14:textId="08BFB337">
            <w:pPr>
              <w:pStyle w:val="Standard"/>
              <w:spacing w:line="240" w:lineRule="auto"/>
              <w:ind w:firstLine="0"/>
            </w:pPr>
            <w:r>
              <w:t>$63,030</w:t>
            </w:r>
          </w:p>
        </w:tc>
        <w:tc>
          <w:tcPr>
            <w:tcW w:w="1476" w:type="dxa"/>
          </w:tcPr>
          <w:p w:rsidR="00723C80" w:rsidP="00861988" w:rsidRDefault="00723C80" w14:paraId="6EA51320" w14:textId="65072A89">
            <w:pPr>
              <w:pStyle w:val="Standard"/>
              <w:spacing w:line="240" w:lineRule="auto"/>
              <w:ind w:firstLine="0"/>
            </w:pPr>
            <w:r>
              <w:t>$60,496</w:t>
            </w:r>
          </w:p>
        </w:tc>
        <w:tc>
          <w:tcPr>
            <w:tcW w:w="1256" w:type="dxa"/>
          </w:tcPr>
          <w:p w:rsidR="00723C80" w:rsidP="00861988" w:rsidRDefault="00AE7222" w14:paraId="273B0206" w14:textId="13F0E497">
            <w:pPr>
              <w:pStyle w:val="Standard"/>
              <w:spacing w:line="240" w:lineRule="auto"/>
              <w:ind w:firstLine="0"/>
            </w:pPr>
            <w:r>
              <w:t>$</w:t>
            </w:r>
            <w:r w:rsidR="00723C80">
              <w:t>125,723</w:t>
            </w:r>
          </w:p>
        </w:tc>
      </w:tr>
      <w:tr w:rsidR="00723C80" w:rsidTr="00861988" w14:paraId="0DFE46CD" w14:textId="77777777">
        <w:tc>
          <w:tcPr>
            <w:tcW w:w="2372" w:type="dxa"/>
          </w:tcPr>
          <w:p w:rsidR="00723C80" w:rsidP="00861988" w:rsidRDefault="00723C80" w14:paraId="22D818F0" w14:textId="62752BA7">
            <w:pPr>
              <w:pStyle w:val="Standard"/>
              <w:spacing w:line="240" w:lineRule="auto"/>
              <w:ind w:firstLine="0"/>
            </w:pPr>
            <w:r>
              <w:t>Fuel Administration</w:t>
            </w:r>
          </w:p>
        </w:tc>
        <w:tc>
          <w:tcPr>
            <w:tcW w:w="1556" w:type="dxa"/>
          </w:tcPr>
          <w:p w:rsidR="00723C80" w:rsidP="00861988" w:rsidRDefault="00BB484B" w14:paraId="574170C0" w14:textId="7D93FE02">
            <w:pPr>
              <w:pStyle w:val="Standard"/>
              <w:spacing w:line="240" w:lineRule="auto"/>
              <w:ind w:firstLine="0"/>
            </w:pPr>
            <w:r>
              <w:t>N/A</w:t>
            </w:r>
          </w:p>
        </w:tc>
        <w:tc>
          <w:tcPr>
            <w:tcW w:w="1432" w:type="dxa"/>
          </w:tcPr>
          <w:p w:rsidR="00723C80" w:rsidP="00861988" w:rsidRDefault="00BB484B" w14:paraId="048F4D1F" w14:textId="4D8796D2">
            <w:pPr>
              <w:pStyle w:val="Standard"/>
              <w:spacing w:line="240" w:lineRule="auto"/>
              <w:ind w:firstLine="0"/>
            </w:pPr>
            <w:r>
              <w:t>N/A</w:t>
            </w:r>
          </w:p>
        </w:tc>
        <w:tc>
          <w:tcPr>
            <w:tcW w:w="1258" w:type="dxa"/>
          </w:tcPr>
          <w:p w:rsidR="00723C80" w:rsidP="00861988" w:rsidRDefault="00BB484B" w14:paraId="088E49CC" w14:textId="60BF8B82">
            <w:pPr>
              <w:pStyle w:val="Standard"/>
              <w:spacing w:line="240" w:lineRule="auto"/>
              <w:ind w:firstLine="0"/>
            </w:pPr>
            <w:r>
              <w:t>N/A</w:t>
            </w:r>
          </w:p>
        </w:tc>
        <w:tc>
          <w:tcPr>
            <w:tcW w:w="1476" w:type="dxa"/>
          </w:tcPr>
          <w:p w:rsidR="00723C80" w:rsidP="00861988" w:rsidRDefault="00723C80" w14:paraId="55B1DF0A" w14:textId="49A33599">
            <w:pPr>
              <w:pStyle w:val="Standard"/>
              <w:spacing w:line="240" w:lineRule="auto"/>
              <w:ind w:firstLine="0"/>
            </w:pPr>
            <w:r>
              <w:t>$1,092</w:t>
            </w:r>
          </w:p>
        </w:tc>
        <w:tc>
          <w:tcPr>
            <w:tcW w:w="1256" w:type="dxa"/>
          </w:tcPr>
          <w:p w:rsidR="00723C80" w:rsidP="00861988" w:rsidRDefault="00AE7222" w14:paraId="23C66ADC" w14:textId="3E1FA721">
            <w:pPr>
              <w:pStyle w:val="Standard"/>
              <w:spacing w:line="240" w:lineRule="auto"/>
              <w:ind w:firstLine="0"/>
            </w:pPr>
            <w:r>
              <w:t>$</w:t>
            </w:r>
            <w:r w:rsidR="00723C80">
              <w:t>1,092</w:t>
            </w:r>
          </w:p>
        </w:tc>
      </w:tr>
      <w:tr w:rsidR="00723C80" w:rsidTr="00861988" w14:paraId="63CE2BDE" w14:textId="1DC97560">
        <w:tc>
          <w:tcPr>
            <w:tcW w:w="2372" w:type="dxa"/>
          </w:tcPr>
          <w:p w:rsidR="00723C80" w:rsidP="00861988" w:rsidRDefault="00723C80" w14:paraId="6E680768" w14:textId="65B570D5">
            <w:pPr>
              <w:pStyle w:val="Standard"/>
              <w:spacing w:line="240" w:lineRule="auto"/>
              <w:ind w:firstLine="0"/>
            </w:pPr>
            <w:r>
              <w:t>Retention Program Expense</w:t>
            </w:r>
          </w:p>
        </w:tc>
        <w:tc>
          <w:tcPr>
            <w:tcW w:w="1556" w:type="dxa"/>
          </w:tcPr>
          <w:p w:rsidR="00723C80" w:rsidP="00861988" w:rsidRDefault="00723C80" w14:paraId="27F1015E" w14:textId="09D67C72">
            <w:pPr>
              <w:pStyle w:val="Standard"/>
              <w:spacing w:line="240" w:lineRule="auto"/>
              <w:ind w:firstLine="0"/>
            </w:pPr>
            <w:r>
              <w:t>$17,025</w:t>
            </w:r>
          </w:p>
        </w:tc>
        <w:tc>
          <w:tcPr>
            <w:tcW w:w="1432" w:type="dxa"/>
          </w:tcPr>
          <w:p w:rsidR="00723C80" w:rsidP="00861988" w:rsidRDefault="00723C80" w14:paraId="589E9585" w14:textId="33F73C52">
            <w:pPr>
              <w:pStyle w:val="Standard"/>
              <w:spacing w:line="240" w:lineRule="auto"/>
              <w:ind w:firstLine="0"/>
            </w:pPr>
            <w:r>
              <w:t>$55,277</w:t>
            </w:r>
          </w:p>
        </w:tc>
        <w:tc>
          <w:tcPr>
            <w:tcW w:w="1258" w:type="dxa"/>
          </w:tcPr>
          <w:p w:rsidR="00723C80" w:rsidP="00861988" w:rsidRDefault="00723C80" w14:paraId="69152047" w14:textId="0CB8CE46">
            <w:pPr>
              <w:pStyle w:val="Standard"/>
              <w:spacing w:line="240" w:lineRule="auto"/>
              <w:ind w:firstLine="0"/>
            </w:pPr>
            <w:r>
              <w:t>$56,210</w:t>
            </w:r>
          </w:p>
        </w:tc>
        <w:tc>
          <w:tcPr>
            <w:tcW w:w="1476" w:type="dxa"/>
          </w:tcPr>
          <w:p w:rsidR="00723C80" w:rsidP="00861988" w:rsidRDefault="00723C80" w14:paraId="7EC77396" w14:textId="3F0EFEB1">
            <w:pPr>
              <w:pStyle w:val="Standard"/>
              <w:spacing w:line="240" w:lineRule="auto"/>
              <w:ind w:firstLine="0"/>
            </w:pPr>
            <w:r>
              <w:t>$53,061</w:t>
            </w:r>
          </w:p>
        </w:tc>
        <w:tc>
          <w:tcPr>
            <w:tcW w:w="1256" w:type="dxa"/>
          </w:tcPr>
          <w:p w:rsidR="00723C80" w:rsidP="00861988" w:rsidRDefault="00AE7222" w14:paraId="54A8AB81" w14:textId="1FCEC196">
            <w:pPr>
              <w:pStyle w:val="Standard"/>
              <w:spacing w:line="240" w:lineRule="auto"/>
              <w:ind w:firstLine="0"/>
            </w:pPr>
            <w:r>
              <w:t>$</w:t>
            </w:r>
            <w:r w:rsidR="00723C80">
              <w:t>181,573</w:t>
            </w:r>
          </w:p>
        </w:tc>
      </w:tr>
      <w:tr w:rsidRPr="00723C80" w:rsidR="00723C80" w:rsidTr="00861988" w14:paraId="141EEAFF" w14:textId="65C86694">
        <w:tc>
          <w:tcPr>
            <w:tcW w:w="2372" w:type="dxa"/>
          </w:tcPr>
          <w:p w:rsidRPr="00723C80" w:rsidR="00723C80" w:rsidP="00861988" w:rsidRDefault="00723C80" w14:paraId="7775D0BE" w14:textId="66B9B0BE">
            <w:pPr>
              <w:pStyle w:val="Standard"/>
              <w:spacing w:line="240" w:lineRule="auto"/>
              <w:ind w:firstLine="0"/>
            </w:pPr>
            <w:r w:rsidRPr="00723C80">
              <w:t>Total O&amp;M Expense (excluding nuc</w:t>
            </w:r>
            <w:r>
              <w:t>lear fuel procurement)</w:t>
            </w:r>
          </w:p>
        </w:tc>
        <w:tc>
          <w:tcPr>
            <w:tcW w:w="1556" w:type="dxa"/>
          </w:tcPr>
          <w:p w:rsidRPr="00723C80" w:rsidR="00723C80" w:rsidP="00861988" w:rsidRDefault="00723C80" w14:paraId="7DD5F4D8" w14:textId="57468306">
            <w:pPr>
              <w:pStyle w:val="Standard"/>
              <w:spacing w:line="240" w:lineRule="auto"/>
              <w:ind w:firstLine="0"/>
            </w:pPr>
            <w:r>
              <w:t>$17,025</w:t>
            </w:r>
          </w:p>
        </w:tc>
        <w:tc>
          <w:tcPr>
            <w:tcW w:w="1432" w:type="dxa"/>
          </w:tcPr>
          <w:p w:rsidRPr="00723C80" w:rsidR="00723C80" w:rsidP="00861988" w:rsidRDefault="00723C80" w14:paraId="2AF8299F" w14:textId="51747139">
            <w:pPr>
              <w:pStyle w:val="Standard"/>
              <w:spacing w:line="240" w:lineRule="auto"/>
              <w:ind w:firstLine="0"/>
            </w:pPr>
            <w:r>
              <w:t>$63,596</w:t>
            </w:r>
          </w:p>
        </w:tc>
        <w:tc>
          <w:tcPr>
            <w:tcW w:w="1258" w:type="dxa"/>
          </w:tcPr>
          <w:p w:rsidRPr="00723C80" w:rsidR="00723C80" w:rsidP="00861988" w:rsidRDefault="00723C80" w14:paraId="6D069844" w14:textId="2F8786E4">
            <w:pPr>
              <w:pStyle w:val="Standard"/>
              <w:spacing w:line="240" w:lineRule="auto"/>
              <w:ind w:firstLine="0"/>
            </w:pPr>
            <w:r>
              <w:t>$417,724</w:t>
            </w:r>
          </w:p>
        </w:tc>
        <w:tc>
          <w:tcPr>
            <w:tcW w:w="1476" w:type="dxa"/>
          </w:tcPr>
          <w:p w:rsidRPr="00723C80" w:rsidR="00723C80" w:rsidP="00861988" w:rsidRDefault="00723C80" w14:paraId="523CC045" w14:textId="2ABB0DA5">
            <w:pPr>
              <w:pStyle w:val="Standard"/>
              <w:spacing w:line="240" w:lineRule="auto"/>
              <w:ind w:firstLine="0"/>
            </w:pPr>
            <w:r>
              <w:t>$563,934</w:t>
            </w:r>
          </w:p>
        </w:tc>
        <w:tc>
          <w:tcPr>
            <w:tcW w:w="1256" w:type="dxa"/>
          </w:tcPr>
          <w:p w:rsidRPr="00723C80" w:rsidR="00723C80" w:rsidP="00861988" w:rsidRDefault="00AE7222" w14:paraId="54141920" w14:textId="22A75C02">
            <w:pPr>
              <w:pStyle w:val="Standard"/>
              <w:spacing w:line="240" w:lineRule="auto"/>
              <w:ind w:firstLine="0"/>
            </w:pPr>
            <w:r>
              <w:t>$</w:t>
            </w:r>
            <w:r w:rsidR="00723C80">
              <w:t>1,062,279</w:t>
            </w:r>
          </w:p>
        </w:tc>
      </w:tr>
    </w:tbl>
    <w:p w:rsidR="00723C80" w:rsidP="00760F91" w:rsidRDefault="00723C80" w14:paraId="23C2A4CB" w14:textId="77777777">
      <w:pPr>
        <w:pStyle w:val="Standard"/>
        <w:spacing w:line="240" w:lineRule="auto"/>
        <w:ind w:firstLine="0"/>
      </w:pPr>
    </w:p>
    <w:p w:rsidRPr="00723C80" w:rsidR="00723C80" w:rsidP="00760F91" w:rsidRDefault="00723C80" w14:paraId="4DD3D942" w14:textId="6C3AA548">
      <w:pPr>
        <w:pStyle w:val="Standard"/>
      </w:pPr>
      <w:r w:rsidRPr="00723C80">
        <w:t>PG&amp;E states that the first component, the base O&amp;M expense, reflects the</w:t>
      </w:r>
      <w:r w:rsidR="004D5EFA">
        <w:t xml:space="preserve"> </w:t>
      </w:r>
      <w:r w:rsidRPr="00723C80">
        <w:t xml:space="preserve">incremental costs in excess of the </w:t>
      </w:r>
      <w:bookmarkStart w:name="_Hlk211516750" w:id="31"/>
      <w:r w:rsidRPr="00723C80">
        <w:t xml:space="preserve">Department of Water Resources (DWR) </w:t>
      </w:r>
      <w:bookmarkEnd w:id="31"/>
      <w:r w:rsidRPr="00723C80">
        <w:t>loan for the</w:t>
      </w:r>
      <w:r>
        <w:t xml:space="preserve"> </w:t>
      </w:r>
      <w:r w:rsidRPr="00723C80">
        <w:t xml:space="preserve">period </w:t>
      </w:r>
      <w:r>
        <w:t>January 1</w:t>
      </w:r>
      <w:r w:rsidRPr="00723C80">
        <w:t xml:space="preserve"> through December 31, 202</w:t>
      </w:r>
      <w:r>
        <w:t>6</w:t>
      </w:r>
      <w:r w:rsidRPr="00723C80">
        <w:t>.</w:t>
      </w:r>
      <w:r>
        <w:rPr>
          <w:rStyle w:val="FootnoteReference"/>
        </w:rPr>
        <w:footnoteReference w:id="24"/>
      </w:r>
      <w:r w:rsidRPr="00723C80">
        <w:t xml:space="preserve"> The O&amp;M expense covers</w:t>
      </w:r>
      <w:r>
        <w:t xml:space="preserve"> </w:t>
      </w:r>
      <w:r w:rsidRPr="00723C80">
        <w:lastRenderedPageBreak/>
        <w:t>labor costs and non-labor costs (materials, contracts, and other costs).</w:t>
      </w:r>
      <w:r>
        <w:rPr>
          <w:rStyle w:val="FootnoteReference"/>
        </w:rPr>
        <w:footnoteReference w:id="25"/>
      </w:r>
      <w:r w:rsidR="00EF319D">
        <w:t xml:space="preserve"> No party has challenged PG&amp;E’s forecasted O&amp;M expenses.</w:t>
      </w:r>
    </w:p>
    <w:p w:rsidRPr="00723C80" w:rsidR="00723C80" w:rsidP="00723C80" w:rsidRDefault="00723C80" w14:paraId="3CE1A3C5" w14:textId="6C93E7F8">
      <w:pPr>
        <w:pStyle w:val="Standard"/>
      </w:pPr>
      <w:r w:rsidRPr="00723C80">
        <w:t>Regarding the second component, the project expense, PG&amp;E provides the</w:t>
      </w:r>
      <w:r>
        <w:t xml:space="preserve"> </w:t>
      </w:r>
      <w:r w:rsidRPr="00723C80">
        <w:t>following information:</w:t>
      </w:r>
    </w:p>
    <w:p w:rsidR="00723C80" w:rsidP="004D5EFA" w:rsidRDefault="00723C80" w14:paraId="2906938C" w14:textId="1FA0EFE8">
      <w:pPr>
        <w:pStyle w:val="BlockQuote"/>
      </w:pPr>
      <w:r>
        <w:t xml:space="preserve">All of the project expenses included in PG&amp;E’s forecast comply with the Commission-adopted framework for project expenses as extended operations costs to be recorded to DCEOBA and recovered in customer rates: a project that is not required as part of the </w:t>
      </w:r>
      <w:r w:rsidR="00367915">
        <w:t>NRC</w:t>
      </w:r>
      <w:r>
        <w:t xml:space="preserve"> license renewal process or as a condition of PG&amp;E’s license renewal application and “(1) [is] expected to be placed in service on or after January 1, 2027 and/or (2) the project scoping, design, engineering, procurement and implementation efforts </w:t>
      </w:r>
      <w:r w:rsidRPr="00723C80">
        <w:t>generally begin after the original Unit 1 license expiration date of November 2, 2024.”</w:t>
      </w:r>
    </w:p>
    <w:p w:rsidR="00606933" w:rsidP="00D11985" w:rsidRDefault="00606933" w14:paraId="3679D443" w14:textId="115F9354">
      <w:pPr>
        <w:pStyle w:val="BlockQuote"/>
        <w:spacing w:line="360" w:lineRule="auto"/>
        <w:ind w:left="0" w:firstLine="720"/>
      </w:pPr>
      <w:r>
        <w:t>As discussed in the following section, CARE, WEM, A4NR, TURN, EPUC, and SBUA challenge several aspects of this assertion by PG&amp;E.</w:t>
      </w:r>
    </w:p>
    <w:p w:rsidRPr="00723C80" w:rsidR="00723C80" w:rsidP="004D5EFA" w:rsidRDefault="00723C80" w14:paraId="662B60D9" w14:textId="42CE2F96">
      <w:pPr>
        <w:pStyle w:val="Standard"/>
      </w:pPr>
      <w:r w:rsidRPr="00723C80">
        <w:t>The third component, the retention program expense, reflects the proposed</w:t>
      </w:r>
      <w:r w:rsidR="004D5EFA">
        <w:t xml:space="preserve"> </w:t>
      </w:r>
      <w:r w:rsidRPr="00723C80">
        <w:t>DCPP retention program established to retain the personnel necessary for safe</w:t>
      </w:r>
      <w:r w:rsidR="004D5EFA">
        <w:t xml:space="preserve"> </w:t>
      </w:r>
      <w:r w:rsidRPr="00723C80">
        <w:t xml:space="preserve">and reliable operation of the plant through the </w:t>
      </w:r>
      <w:r w:rsidR="00A323AD">
        <w:t>R</w:t>
      </w:r>
      <w:r w:rsidRPr="00723C80">
        <w:t xml:space="preserve">ecord </w:t>
      </w:r>
      <w:r w:rsidR="00A323AD">
        <w:t>P</w:t>
      </w:r>
      <w:r w:rsidRPr="00723C80">
        <w:t>eriod. In D.24-09-002, the</w:t>
      </w:r>
      <w:r w:rsidR="004D5EFA">
        <w:t xml:space="preserve"> </w:t>
      </w:r>
      <w:r w:rsidRPr="00723C80">
        <w:t>Commission approved an uncontested settlement agreement in which the</w:t>
      </w:r>
      <w:r w:rsidR="004D5EFA">
        <w:t xml:space="preserve"> </w:t>
      </w:r>
      <w:r w:rsidRPr="00723C80">
        <w:t>settling parties agreed that a reasonable total cost estimate for the employee</w:t>
      </w:r>
      <w:r w:rsidR="004D5EFA">
        <w:t xml:space="preserve"> </w:t>
      </w:r>
      <w:r w:rsidRPr="00723C80">
        <w:t>retention program for September 1, 2023, through November 1, 2030 is</w:t>
      </w:r>
      <w:r w:rsidR="004D5EFA">
        <w:t xml:space="preserve"> </w:t>
      </w:r>
      <w:r w:rsidRPr="00723C80">
        <w:t>$390</w:t>
      </w:r>
      <w:r w:rsidR="004D5EFA">
        <w:t> </w:t>
      </w:r>
      <w:r w:rsidRPr="00723C80">
        <w:t xml:space="preserve">million. </w:t>
      </w:r>
      <w:r w:rsidR="00A323AD">
        <w:t xml:space="preserve">In total, </w:t>
      </w:r>
      <w:r w:rsidRPr="00723C80">
        <w:t>$</w:t>
      </w:r>
      <w:r w:rsidR="00A323AD">
        <w:t>53.061</w:t>
      </w:r>
      <w:r w:rsidR="000B222B">
        <w:t xml:space="preserve"> million </w:t>
      </w:r>
      <w:r w:rsidRPr="00723C80">
        <w:t>of $390</w:t>
      </w:r>
      <w:r w:rsidR="000B222B">
        <w:t xml:space="preserve"> million </w:t>
      </w:r>
      <w:r w:rsidRPr="00723C80">
        <w:t>is included in the O&amp;M expense and</w:t>
      </w:r>
      <w:r w:rsidR="00A323AD">
        <w:t xml:space="preserve"> </w:t>
      </w:r>
      <w:r w:rsidRPr="00723C80">
        <w:t>will be recovered during the Record Period.</w:t>
      </w:r>
      <w:r w:rsidR="00A323AD">
        <w:t xml:space="preserve"> </w:t>
      </w:r>
      <w:r w:rsidRPr="00723C80">
        <w:t xml:space="preserve">The </w:t>
      </w:r>
      <w:r w:rsidR="00A323AD">
        <w:t xml:space="preserve">forecasted </w:t>
      </w:r>
      <w:r w:rsidRPr="00723C80">
        <w:t>2026 amount reflects</w:t>
      </w:r>
      <w:r>
        <w:t xml:space="preserve"> </w:t>
      </w:r>
      <w:r w:rsidRPr="00723C80">
        <w:t>adjustments to the number of DCPP personnel eligible to receive retention payments.</w:t>
      </w:r>
      <w:r>
        <w:rPr>
          <w:rStyle w:val="FootnoteReference"/>
        </w:rPr>
        <w:footnoteReference w:id="26"/>
      </w:r>
      <w:r w:rsidR="00EF319D">
        <w:t xml:space="preserve"> No part</w:t>
      </w:r>
      <w:r w:rsidR="00A323AD">
        <w:t>y</w:t>
      </w:r>
      <w:r w:rsidR="00EF319D">
        <w:t xml:space="preserve"> has challenged PG&amp;E’s forecasted employee retention costs.</w:t>
      </w:r>
    </w:p>
    <w:p w:rsidR="00F956D0" w:rsidP="00D446E5" w:rsidRDefault="00F956D0" w14:paraId="18CBC480" w14:textId="4EB0E885">
      <w:pPr>
        <w:pStyle w:val="Heading3"/>
        <w:numPr>
          <w:ilvl w:val="2"/>
          <w:numId w:val="8"/>
        </w:numPr>
      </w:pPr>
      <w:bookmarkStart w:name="_Toc216176801" w:id="32"/>
      <w:r>
        <w:lastRenderedPageBreak/>
        <w:t>Distinction Between Prep</w:t>
      </w:r>
      <w:r w:rsidR="00AE7222">
        <w:t>ar</w:t>
      </w:r>
      <w:r>
        <w:t>atory/Transition Costs and Extended Operation Costs</w:t>
      </w:r>
      <w:bookmarkEnd w:id="32"/>
    </w:p>
    <w:p w:rsidR="009E0CCF" w:rsidP="009E0CCF" w:rsidRDefault="00723C80" w14:paraId="10A2E109" w14:textId="3B23761C">
      <w:pPr>
        <w:pStyle w:val="Standard"/>
      </w:pPr>
      <w:r>
        <w:t xml:space="preserve">Similar to the discussion </w:t>
      </w:r>
      <w:r w:rsidR="009E0CCF">
        <w:t>in</w:t>
      </w:r>
      <w:r>
        <w:t xml:space="preserve"> A.24-03-018, several parties in this proceeding dispute PG&amp;E’s forecasted O&amp;M cost components and argue that these cost components support activities in preparation or transition to operation, and therefore, they should not be recovered from ratepayers and should instead be </w:t>
      </w:r>
      <w:r w:rsidR="009E0CCF">
        <w:t>re</w:t>
      </w:r>
      <w:r>
        <w:t xml:space="preserve">covered </w:t>
      </w:r>
      <w:r w:rsidR="009E0CCF">
        <w:t>through</w:t>
      </w:r>
      <w:r>
        <w:t xml:space="preserve"> government funding. For example, A4NR questions the ineligibility of the O&amp;M Project Expense for recovery under </w:t>
      </w:r>
      <w:r w:rsidRPr="00723C80">
        <w:t xml:space="preserve">PG&amp;E’s executed agreements with DWR or the </w:t>
      </w:r>
      <w:r w:rsidR="009747FC">
        <w:t>U.S. Department of Energy (</w:t>
      </w:r>
      <w:r w:rsidRPr="00723C80">
        <w:t>DOE</w:t>
      </w:r>
      <w:r w:rsidR="009747FC">
        <w:t>)</w:t>
      </w:r>
      <w:r w:rsidRPr="00723C80">
        <w:t xml:space="preserve"> Civil Nuclear Credit</w:t>
      </w:r>
      <w:r>
        <w:t xml:space="preserve"> </w:t>
      </w:r>
      <w:r w:rsidRPr="00723C80">
        <w:t xml:space="preserve">program. </w:t>
      </w:r>
      <w:r>
        <w:t xml:space="preserve">In particular, </w:t>
      </w:r>
      <w:r w:rsidRPr="00723C80">
        <w:t xml:space="preserve">A4NR </w:t>
      </w:r>
      <w:r>
        <w:t xml:space="preserve">disputes the inclusion in the current application of $55,461,049 in forecast project costs, stating that $42,787,244 is for projects identified by PG&amp;E’s </w:t>
      </w:r>
      <w:bookmarkStart w:name="_Hlk211516763" w:id="33"/>
      <w:r>
        <w:t xml:space="preserve">Preventative Maintenance Optimization (PMO++) </w:t>
      </w:r>
      <w:bookmarkEnd w:id="33"/>
      <w:r>
        <w:t>Review and $12,673,805 is for dry cask storage already funded by Senate Bill 846 and Assembly Bill 180 in 2022.</w:t>
      </w:r>
      <w:r>
        <w:rPr>
          <w:rStyle w:val="FootnoteReference"/>
        </w:rPr>
        <w:footnoteReference w:id="27"/>
      </w:r>
      <w:r w:rsidR="00606933">
        <w:t xml:space="preserve"> </w:t>
      </w:r>
      <w:r w:rsidRPr="00723C80">
        <w:t xml:space="preserve"> </w:t>
      </w:r>
      <w:r w:rsidR="000E0232">
        <w:t xml:space="preserve">A4NR </w:t>
      </w:r>
      <w:r w:rsidR="00606933">
        <w:t xml:space="preserve">points to PG&amp;E’s use of a date-based framework for distinguishing between transition and extended operational costs, as approved in D.24-12-033,  and </w:t>
      </w:r>
      <w:r w:rsidR="000E0232">
        <w:t xml:space="preserve"> argues that “PG&amp;E data responses in this proceeding have demonstrated the easy manipulability of using arbitrary dates, rat</w:t>
      </w:r>
      <w:r w:rsidR="00AE7222">
        <w:t>h</w:t>
      </w:r>
      <w:r w:rsidR="000E0232">
        <w:t xml:space="preserve">er than the statute’s focus on motivating purpose, to distinguish </w:t>
      </w:r>
      <w:r w:rsidR="00C75D74">
        <w:t>between</w:t>
      </w:r>
      <w:r w:rsidR="000E0232">
        <w:t xml:space="preserve"> ‘transitional or preparatory costs’ recorded in </w:t>
      </w:r>
      <w:bookmarkStart w:name="_Hlk211516770" w:id="34"/>
      <w:r w:rsidR="009E0CCF">
        <w:t>Diablo Canyon Transition and Relicensing Memorandum Account (</w:t>
      </w:r>
      <w:r w:rsidR="000E0232">
        <w:t>DCTRMA</w:t>
      </w:r>
      <w:r w:rsidR="009E0CCF">
        <w:t>)</w:t>
      </w:r>
      <w:r w:rsidR="000E0232">
        <w:t xml:space="preserve"> </w:t>
      </w:r>
      <w:bookmarkEnd w:id="34"/>
      <w:r w:rsidR="000E0232">
        <w:t>and ‘extended operations costs’ recorded in DCEOBA.”</w:t>
      </w:r>
      <w:r w:rsidR="00606933">
        <w:rPr>
          <w:rStyle w:val="FootnoteReference"/>
        </w:rPr>
        <w:footnoteReference w:id="28"/>
      </w:r>
      <w:r w:rsidR="00606933">
        <w:t xml:space="preserve"> </w:t>
      </w:r>
      <w:r w:rsidR="000E0232">
        <w:rPr>
          <w:rStyle w:val="FootnoteReference"/>
        </w:rPr>
        <w:footnoteReference w:id="29"/>
      </w:r>
      <w:r w:rsidR="000E0232">
        <w:t xml:space="preserve"> </w:t>
      </w:r>
      <w:r w:rsidR="009E0CCF">
        <w:t xml:space="preserve">EPUC cites testimony by TURN and A4NR to argue that “PG&amp;E’s two-pronged proposal therefore seeks to enable the company to </w:t>
      </w:r>
      <w:r w:rsidR="009E0CCF">
        <w:lastRenderedPageBreak/>
        <w:t>shift transitional or preparatory costs to the ratepayers, in direct contradiction to the Commission’s previous rulings.”</w:t>
      </w:r>
      <w:r w:rsidR="009E0CCF">
        <w:rPr>
          <w:rStyle w:val="FootnoteReference"/>
        </w:rPr>
        <w:footnoteReference w:id="30"/>
      </w:r>
    </w:p>
    <w:p w:rsidRPr="00723C80" w:rsidR="00723C80" w:rsidP="00723C80" w:rsidRDefault="00723C80" w14:paraId="207544DE" w14:textId="3E1DA10B">
      <w:pPr>
        <w:pStyle w:val="Standard"/>
      </w:pPr>
      <w:r w:rsidRPr="00723C80">
        <w:t xml:space="preserve">PG&amp;E does not agree with A4NR’s assertion and </w:t>
      </w:r>
      <w:r>
        <w:t>cites D.24-12-033</w:t>
      </w:r>
      <w:r w:rsidR="00AE7222">
        <w:t>’s</w:t>
      </w:r>
      <w:r>
        <w:t xml:space="preserve"> finding that PG&amp;E’s </w:t>
      </w:r>
      <w:r w:rsidR="009E0CCF">
        <w:t>time</w:t>
      </w:r>
      <w:r>
        <w:t>-based framework for differentiating between projects implemented in preparation for extended operations and projects to support extended operations to be “workable and reasonable.”</w:t>
      </w:r>
      <w:r>
        <w:rPr>
          <w:rStyle w:val="FootnoteReference"/>
        </w:rPr>
        <w:footnoteReference w:id="31"/>
      </w:r>
      <w:r>
        <w:t xml:space="preserve"> Additionally, PG&amp;E argues that “[t]he fact that most of these projects </w:t>
      </w:r>
      <w:r w:rsidRPr="00723C80">
        <w:t>needed to support extended operations were identified between</w:t>
      </w:r>
      <w:r>
        <w:t xml:space="preserve"> </w:t>
      </w:r>
      <w:r w:rsidRPr="00723C80">
        <w:t>December 2022 and December 2023 through the PMO++ process does not transform the</w:t>
      </w:r>
      <w:r>
        <w:t xml:space="preserve"> </w:t>
      </w:r>
      <w:r w:rsidRPr="00723C80">
        <w:t>projects, which are necessary to implement safe and reliable operations through 2030, into</w:t>
      </w:r>
      <w:r>
        <w:t xml:space="preserve"> </w:t>
      </w:r>
      <w:r w:rsidRPr="00723C80">
        <w:t>projects necessary to prepare for extended operations as A4NR suggests.</w:t>
      </w:r>
      <w:r>
        <w:t>”</w:t>
      </w:r>
      <w:r>
        <w:rPr>
          <w:rStyle w:val="FootnoteReference"/>
        </w:rPr>
        <w:footnoteReference w:id="32"/>
      </w:r>
    </w:p>
    <w:p w:rsidR="003434BC" w:rsidP="00723C80" w:rsidRDefault="00723C80" w14:paraId="1C085067" w14:textId="38AFC370">
      <w:pPr>
        <w:pStyle w:val="Standard"/>
      </w:pPr>
      <w:r w:rsidRPr="00723C80">
        <w:t xml:space="preserve">Similarly, CARE argues that PG&amp;E is attempting to </w:t>
      </w:r>
      <w:r>
        <w:t xml:space="preserve">recover $112,767,000 in costs for 17 projects that were identified by </w:t>
      </w:r>
      <w:bookmarkStart w:name="_Hlk211516778" w:id="35"/>
      <w:r>
        <w:t xml:space="preserve">the DCISC </w:t>
      </w:r>
      <w:bookmarkEnd w:id="35"/>
      <w:r>
        <w:t>in 2024.</w:t>
      </w:r>
      <w:r>
        <w:rPr>
          <w:rStyle w:val="FootnoteReference"/>
        </w:rPr>
        <w:footnoteReference w:id="33"/>
      </w:r>
      <w:r>
        <w:t xml:space="preserve"> CARE </w:t>
      </w:r>
      <w:r w:rsidR="00D11985">
        <w:t>sta</w:t>
      </w:r>
      <w:r>
        <w:t xml:space="preserve">tes: </w:t>
      </w:r>
      <w:r w:rsidR="003434BC">
        <w:t>“</w:t>
      </w:r>
      <w:r w:rsidRPr="003434BC" w:rsidR="003434BC">
        <w:t xml:space="preserve">The truth is the DCISC has made many recommendations which PG&amp;E is now seeking ratepayer funding for over the next </w:t>
      </w:r>
      <w:r w:rsidR="00256345">
        <w:t>four</w:t>
      </w:r>
      <w:r w:rsidRPr="003434BC" w:rsidR="003434BC">
        <w:t xml:space="preserve"> years. These costs are also identified by the DWR loan as transitional costs that should be funded by the 1.4</w:t>
      </w:r>
      <w:r w:rsidR="00455D37">
        <w:t> </w:t>
      </w:r>
      <w:r w:rsidRPr="003434BC" w:rsidR="003434BC">
        <w:t>billion-dollar State of California loan not by ratepayers as PG&amp;E proposes in its application. The commission should not allow PG&amp;E to continue to shift transition projects costs on to ratepayers</w:t>
      </w:r>
      <w:r w:rsidR="003434BC">
        <w:t>.”</w:t>
      </w:r>
      <w:r w:rsidR="003434BC">
        <w:rPr>
          <w:rStyle w:val="FootnoteReference"/>
        </w:rPr>
        <w:footnoteReference w:id="34"/>
      </w:r>
      <w:r w:rsidR="003434BC">
        <w:t xml:space="preserve"> PG&amp;E responds that CARE’s argument is a “mischaracterization of the DCISC’s 34</w:t>
      </w:r>
      <w:r w:rsidRPr="00760F91" w:rsidR="003434BC">
        <w:t>th</w:t>
      </w:r>
      <w:r w:rsidR="003434BC">
        <w:t xml:space="preserve"> Annual Report” and points again to </w:t>
      </w:r>
      <w:r w:rsidR="009E0CCF">
        <w:t>the time</w:t>
      </w:r>
      <w:r w:rsidR="003434BC">
        <w:t xml:space="preserve">-based framework that D.24-12-033 found to be </w:t>
      </w:r>
      <w:r w:rsidR="003434BC">
        <w:lastRenderedPageBreak/>
        <w:t xml:space="preserve">“reasonable and workable” to distinguish projects and costs deemed </w:t>
      </w:r>
      <w:r w:rsidR="00C75D74">
        <w:t>preparatory</w:t>
      </w:r>
      <w:r w:rsidR="003434BC">
        <w:t xml:space="preserve"> that can be recovered from government funding and costs for extended operations that are recoverable from customers.</w:t>
      </w:r>
      <w:r w:rsidR="003434BC">
        <w:rPr>
          <w:rStyle w:val="FootnoteReference"/>
        </w:rPr>
        <w:footnoteReference w:id="35"/>
      </w:r>
    </w:p>
    <w:p w:rsidR="005751F8" w:rsidP="009E0CCF" w:rsidRDefault="00A772A4" w14:paraId="07F7571B" w14:textId="49E98058">
      <w:pPr>
        <w:pStyle w:val="Standard"/>
      </w:pPr>
      <w:r>
        <w:t xml:space="preserve">Additionally, CARE argues that </w:t>
      </w:r>
      <w:r w:rsidR="009E0CCF">
        <w:t xml:space="preserve">PG&amp;E </w:t>
      </w:r>
      <w:r>
        <w:t xml:space="preserve">must include higher property tax expenses for DCPP </w:t>
      </w:r>
      <w:r w:rsidR="009E0CCF">
        <w:t xml:space="preserve">to </w:t>
      </w:r>
      <w:r>
        <w:t>account for “the increase in property taxes that will be assessed on the expensive upgrades that have been installed on DCPP to support extende</w:t>
      </w:r>
      <w:r w:rsidR="009E0CCF">
        <w:t>d</w:t>
      </w:r>
      <w:r>
        <w:t xml:space="preserve"> operations.”</w:t>
      </w:r>
      <w:r>
        <w:rPr>
          <w:rStyle w:val="FootnoteReference"/>
        </w:rPr>
        <w:footnoteReference w:id="36"/>
      </w:r>
      <w:r>
        <w:t xml:space="preserve"> PG&amp;E responds in its Opening Brief that “[b]</w:t>
      </w:r>
      <w:proofErr w:type="spellStart"/>
      <w:r w:rsidRPr="00A772A4">
        <w:t>ecause</w:t>
      </w:r>
      <w:proofErr w:type="spellEnd"/>
      <w:r w:rsidRPr="00A772A4">
        <w:t xml:space="preserve"> DCPP</w:t>
      </w:r>
      <w:r w:rsidR="009E0CCF">
        <w:t xml:space="preserve"> </w:t>
      </w:r>
      <w:r w:rsidRPr="00A772A4">
        <w:t>extended operations costs are treated as operating expenses and do not contribute to PG&amp;E’s rate</w:t>
      </w:r>
      <w:r>
        <w:t xml:space="preserve"> </w:t>
      </w:r>
      <w:r w:rsidRPr="00A772A4">
        <w:t>base, PG&amp;E does not forecast any incremental property tax for 2026.</w:t>
      </w:r>
      <w:r>
        <w:t>”</w:t>
      </w:r>
      <w:r>
        <w:rPr>
          <w:rStyle w:val="FootnoteReference"/>
        </w:rPr>
        <w:footnoteReference w:id="37"/>
      </w:r>
      <w:r>
        <w:t xml:space="preserve"> CARE also argues that PG&amp;E should not be allowed to recover $130,660 in license renewal costs</w:t>
      </w:r>
      <w:r w:rsidR="00791A74">
        <w:t>,</w:t>
      </w:r>
      <w:r>
        <w:t xml:space="preserve"> </w:t>
      </w:r>
      <w:r w:rsidR="00AE3E53">
        <w:t>$</w:t>
      </w:r>
      <w:r>
        <w:t>97,054 in DCPP incremental overtime and temporary additional labor related to license renewal</w:t>
      </w:r>
      <w:r w:rsidR="00791A74">
        <w:t>,</w:t>
      </w:r>
      <w:r>
        <w:t xml:space="preserve"> and $33,606 in license renewal costs associated with the provider cost center from 2024 to 2030.</w:t>
      </w:r>
      <w:r w:rsidRPr="00A772A4">
        <w:rPr>
          <w:rStyle w:val="FootnoteReference"/>
        </w:rPr>
        <w:t xml:space="preserve"> </w:t>
      </w:r>
      <w:r>
        <w:rPr>
          <w:rStyle w:val="FootnoteReference"/>
        </w:rPr>
        <w:footnoteReference w:id="38"/>
      </w:r>
      <w:r>
        <w:t xml:space="preserve"> CARE cites Pub</w:t>
      </w:r>
      <w:r w:rsidR="009E0CCF">
        <w:t>.</w:t>
      </w:r>
      <w:r>
        <w:t xml:space="preserve"> Util</w:t>
      </w:r>
      <w:r w:rsidR="009E0CCF">
        <w:t>.</w:t>
      </w:r>
      <w:r>
        <w:t xml:space="preserve"> Code Section 712.8(c)(1)(C) stating “[t]</w:t>
      </w:r>
      <w:r w:rsidRPr="00A772A4">
        <w:t>he commission shall not allow the recovery from ratepayers of costs incurred by the operator to prepare for, seek, or receive any extended license to operate by the United States Nuclear Regulatory Commission.</w:t>
      </w:r>
      <w:r>
        <w:t>”</w:t>
      </w:r>
      <w:r>
        <w:rPr>
          <w:rStyle w:val="FootnoteReference"/>
        </w:rPr>
        <w:footnoteReference w:id="39"/>
      </w:r>
      <w:r>
        <w:t xml:space="preserve"> CARE’s argument erroneously cites the license renewal amount associated with the provider cost center, which actually totals 34,172</w:t>
      </w:r>
      <w:r w:rsidR="005751F8">
        <w:t xml:space="preserve"> hours.</w:t>
      </w:r>
      <w:r>
        <w:rPr>
          <w:rStyle w:val="FootnoteReference"/>
        </w:rPr>
        <w:footnoteReference w:id="40"/>
      </w:r>
    </w:p>
    <w:p w:rsidR="00A772A4" w:rsidP="005751F8" w:rsidRDefault="005751F8" w14:paraId="165F1B9C" w14:textId="2072B088">
      <w:pPr>
        <w:pStyle w:val="Standard"/>
      </w:pPr>
      <w:r>
        <w:lastRenderedPageBreak/>
        <w:t xml:space="preserve">In rebuttal testimony, </w:t>
      </w:r>
      <w:r w:rsidR="00A772A4">
        <w:t xml:space="preserve">PG&amp;E </w:t>
      </w:r>
      <w:r>
        <w:t xml:space="preserve">responds that the $97,054 cited by CARE is related to extended operations activities. PG&amp;E </w:t>
      </w:r>
      <w:r w:rsidR="00D11985">
        <w:t>asserts</w:t>
      </w:r>
      <w:r>
        <w:t xml:space="preserve"> that employees reporting to the License Renewal Budget Center perform diverse responsibilities including license renewal applications and extended operations.</w:t>
      </w:r>
      <w:r>
        <w:rPr>
          <w:rStyle w:val="FootnoteReference"/>
        </w:rPr>
        <w:footnoteReference w:id="41"/>
      </w:r>
      <w:r>
        <w:t xml:space="preserve"> PG&amp;E </w:t>
      </w:r>
      <w:r w:rsidR="00076B6A">
        <w:t>sta</w:t>
      </w:r>
      <w:r>
        <w:t>tes that the $97,054 amount is specifically for extended operations overtime hours related to the 1R26 outage and that the License Renewal Budget Center should be retired</w:t>
      </w:r>
      <w:r w:rsidR="009E0CCF">
        <w:t xml:space="preserve"> by the 2027 DCPP cost recovery filing</w:t>
      </w:r>
      <w:r w:rsidR="00A772A4">
        <w:t>.</w:t>
      </w:r>
      <w:r>
        <w:rPr>
          <w:rStyle w:val="FootnoteReference"/>
        </w:rPr>
        <w:footnoteReference w:id="42"/>
      </w:r>
      <w:r>
        <w:t xml:space="preserve"> PG&amp;E also </w:t>
      </w:r>
      <w:r w:rsidR="00D11985">
        <w:t>sta</w:t>
      </w:r>
      <w:r>
        <w:t>tes that the $33,606 in license renewal Provider Cost Center Productive Hours cited by CARE actually refers to 34,172 hours in license renewal costs associated with its provider cost center that are part of the calculation</w:t>
      </w:r>
      <w:r w:rsidR="009E0CCF">
        <w:t xml:space="preserve"> to</w:t>
      </w:r>
      <w:r>
        <w:t xml:space="preserve"> determin</w:t>
      </w:r>
      <w:r w:rsidR="009E0CCF">
        <w:t>e</w:t>
      </w:r>
      <w:r>
        <w:t xml:space="preserve"> a standard rate for each center.</w:t>
      </w:r>
      <w:r>
        <w:rPr>
          <w:rStyle w:val="FootnoteReference"/>
        </w:rPr>
        <w:footnoteReference w:id="43"/>
      </w:r>
      <w:r>
        <w:t xml:space="preserve"> PG&amp;E </w:t>
      </w:r>
      <w:r w:rsidR="00076B6A">
        <w:t>sta</w:t>
      </w:r>
      <w:r>
        <w:t>tes: “</w:t>
      </w:r>
      <w:r w:rsidRPr="005751F8">
        <w:t xml:space="preserve">Although PG&amp;E’s request in this proceeding excludes license renewal cost recovery, for developing a standard rate for each PCC across the plant, the license renewal hours must be included as part of the standard rate estimating calculation. Importantly, only costs from employees in the </w:t>
      </w:r>
      <w:bookmarkStart w:name="_Hlk211516792" w:id="36"/>
      <w:r w:rsidRPr="005751F8">
        <w:t xml:space="preserve">License Renewal </w:t>
      </w:r>
      <w:r w:rsidR="009E0CCF">
        <w:t xml:space="preserve">(Provider Cost Center) </w:t>
      </w:r>
      <w:bookmarkEnd w:id="36"/>
      <w:r w:rsidRPr="005751F8">
        <w:t>who are supporting extended operations and charging to a DCEOBA order are included for recovery in this proceeding.</w:t>
      </w:r>
      <w:r>
        <w:t>”</w:t>
      </w:r>
      <w:r>
        <w:rPr>
          <w:rStyle w:val="FootnoteReference"/>
        </w:rPr>
        <w:footnoteReference w:id="44"/>
      </w:r>
    </w:p>
    <w:p w:rsidR="00E94032" w:rsidP="00E94032" w:rsidRDefault="00E94032" w14:paraId="13EE64EF" w14:textId="49D59CC4">
      <w:pPr>
        <w:pStyle w:val="Standard"/>
      </w:pPr>
      <w:r>
        <w:t>WEM</w:t>
      </w:r>
      <w:r w:rsidR="005751F8">
        <w:t xml:space="preserve"> cites</w:t>
      </w:r>
      <w:r>
        <w:t xml:space="preserve"> arguments made by CARE and A4NR about projects identified by the PMO++ and the DCISC reports, </w:t>
      </w:r>
      <w:r w:rsidR="009E0CCF">
        <w:t xml:space="preserve">writing </w:t>
      </w:r>
      <w:r>
        <w:t>that “[t]he</w:t>
      </w:r>
      <w:r w:rsidRPr="00E94032">
        <w:t xml:space="preserve"> record contains evidence that PG&amp;E’s 2026 Diablo Canyon revenue request includes costs which, without a doubt, should be paid through government funding streams, but PG&amp;E has instead tracked them to the </w:t>
      </w:r>
      <w:bookmarkStart w:name="_Hlk211516799" w:id="37"/>
      <w:r>
        <w:t>DCEOBA</w:t>
      </w:r>
      <w:r w:rsidRPr="00E94032">
        <w:t xml:space="preserve">, </w:t>
      </w:r>
      <w:bookmarkEnd w:id="37"/>
      <w:r w:rsidRPr="00E94032">
        <w:t xml:space="preserve">labeling them as operating </w:t>
      </w:r>
      <w:r w:rsidRPr="00E94032">
        <w:lastRenderedPageBreak/>
        <w:t>expenses to be paid by ratepayers.</w:t>
      </w:r>
      <w:r>
        <w:t>”</w:t>
      </w:r>
      <w:r>
        <w:rPr>
          <w:rStyle w:val="FootnoteReference"/>
        </w:rPr>
        <w:footnoteReference w:id="45"/>
      </w:r>
      <w:r>
        <w:t xml:space="preserve"> </w:t>
      </w:r>
      <w:r w:rsidR="00C109D7">
        <w:t>Additiona</w:t>
      </w:r>
      <w:r>
        <w:t xml:space="preserve">lly, WEM argues that the </w:t>
      </w:r>
      <w:r w:rsidR="009E0CCF">
        <w:t>DWR</w:t>
      </w:r>
      <w:r>
        <w:t xml:space="preserve"> review process established by SB 846 only reviews Diablo Canyon expenses record in the DCTRMA</w:t>
      </w:r>
      <w:r w:rsidR="009E0CCF">
        <w:t xml:space="preserve"> </w:t>
      </w:r>
      <w:r>
        <w:t xml:space="preserve">and does not examine the costs PG&amp;E has tracked to the DCEOBA to see if they </w:t>
      </w:r>
      <w:r w:rsidR="009E0CCF">
        <w:t xml:space="preserve">instead </w:t>
      </w:r>
      <w:r>
        <w:t>should be recorded in the DCTRMA.</w:t>
      </w:r>
      <w:r>
        <w:rPr>
          <w:rStyle w:val="FootnoteReference"/>
        </w:rPr>
        <w:footnoteReference w:id="46"/>
      </w:r>
      <w:r w:rsidR="00C109D7">
        <w:t xml:space="preserve">  WEM </w:t>
      </w:r>
      <w:r w:rsidR="008D3FD1">
        <w:t xml:space="preserve">also </w:t>
      </w:r>
      <w:r w:rsidR="00C109D7">
        <w:t>argues that PG&amp;E is straying from the date-based method for distinguishing between transition and operational costs approved in D.24-12-033 by stating in A.25-03-015 testimony by PG&amp;E witness Brian Ketelsen that “[p]</w:t>
      </w:r>
      <w:proofErr w:type="spellStart"/>
      <w:r w:rsidR="00C109D7">
        <w:t>roject</w:t>
      </w:r>
      <w:proofErr w:type="spellEnd"/>
      <w:r w:rsidR="00C109D7">
        <w:t xml:space="preserve"> cost forecast to be incurred earlier than November 3, 2024, not funded by reserves from the 2023 GRC, and forecast to be complete and in service earlier than December 31, 2026, are generally tracked to the Diablo Canyon Transition Memorandum Account and funded through the DWR Loan.” </w:t>
      </w:r>
      <w:r w:rsidR="00C109D7">
        <w:rPr>
          <w:rStyle w:val="FootnoteReference"/>
        </w:rPr>
        <w:footnoteReference w:id="47"/>
      </w:r>
      <w:r w:rsidRPr="0062787E" w:rsidR="00CF43B3">
        <w:rPr>
          <w:vertAlign w:val="superscript"/>
        </w:rPr>
        <w:t>,</w:t>
      </w:r>
      <w:r w:rsidR="00C109D7">
        <w:t xml:space="preserve"> </w:t>
      </w:r>
      <w:r w:rsidR="00C109D7">
        <w:rPr>
          <w:rStyle w:val="FootnoteReference"/>
        </w:rPr>
        <w:footnoteReference w:id="48"/>
      </w:r>
      <w:r w:rsidR="00C109D7">
        <w:t xml:space="preserve"> WEM points out that D.24-12-033 had defined extended operations costs as “project scoping, design, engineering, procurement and implementation efforts [that] </w:t>
      </w:r>
      <w:r w:rsidRPr="00723C80" w:rsidR="00C109D7">
        <w:t>generally begin after the original Unit 1 license expiration date of November 2, 202</w:t>
      </w:r>
      <w:r w:rsidR="00C109D7">
        <w:t>4.”</w:t>
      </w:r>
      <w:r w:rsidR="00C109D7">
        <w:rPr>
          <w:rStyle w:val="FootnoteReference"/>
        </w:rPr>
        <w:footnoteReference w:id="49"/>
      </w:r>
      <w:r w:rsidR="00C109D7">
        <w:t xml:space="preserve"> WEM then </w:t>
      </w:r>
      <w:r w:rsidR="00D11985">
        <w:t>sta</w:t>
      </w:r>
      <w:r w:rsidR="00C109D7">
        <w:t xml:space="preserve">tes about the use of the verb “incurred” in Mr. Ketelsen’s testimony: “This is entirely new. Ketelsen has morphed the Commission’s </w:t>
      </w:r>
      <w:r w:rsidR="00CF43B3">
        <w:t>[</w:t>
      </w:r>
      <w:r w:rsidR="00C109D7">
        <w:t>D</w:t>
      </w:r>
      <w:r w:rsidR="00CF43B3">
        <w:t>.</w:t>
      </w:r>
      <w:r w:rsidR="00C109D7">
        <w:t>24</w:t>
      </w:r>
      <w:r w:rsidR="00455D37">
        <w:noBreakHyphen/>
      </w:r>
      <w:r w:rsidR="00C109D7">
        <w:t>12</w:t>
      </w:r>
      <w:r w:rsidR="00455D37">
        <w:noBreakHyphen/>
      </w:r>
      <w:r w:rsidR="00C109D7">
        <w:t>033</w:t>
      </w:r>
      <w:r w:rsidR="00CF43B3">
        <w:t>]</w:t>
      </w:r>
      <w:r w:rsidR="00C109D7">
        <w:t xml:space="preserve"> language into a new framework that would allow PG&amp;E to illegally shift transition cost onto ratepayers in this proceeding.”</w:t>
      </w:r>
      <w:r w:rsidR="00C109D7">
        <w:rPr>
          <w:rStyle w:val="FootnoteReference"/>
        </w:rPr>
        <w:footnoteReference w:id="50"/>
      </w:r>
    </w:p>
    <w:p w:rsidR="000E0232" w:rsidP="00E94032" w:rsidRDefault="00E94032" w14:paraId="1CA4522F" w14:textId="1DED95F3">
      <w:pPr>
        <w:pStyle w:val="Standard"/>
      </w:pPr>
      <w:r>
        <w:t xml:space="preserve">Finally, SBUA argues that PG&amp;E has not offered enough information to determine whether the proposed </w:t>
      </w:r>
      <w:r w:rsidR="009E0CCF">
        <w:t>O&amp;M</w:t>
      </w:r>
      <w:r>
        <w:t xml:space="preserve"> costs overlap with expenses using DWR </w:t>
      </w:r>
      <w:r>
        <w:lastRenderedPageBreak/>
        <w:t>funding.</w:t>
      </w:r>
      <w:r>
        <w:rPr>
          <w:rStyle w:val="FootnoteReference"/>
        </w:rPr>
        <w:footnoteReference w:id="51"/>
      </w:r>
      <w:r>
        <w:t xml:space="preserve"> SBUA points to Attachment G in A4NR-01 including a declaration from </w:t>
      </w:r>
      <w:r w:rsidR="00546E11">
        <w:t>Mr.</w:t>
      </w:r>
      <w:r>
        <w:t xml:space="preserve"> Ketelsen, PG&amp;E’s director of nuclear business and technical services, in </w:t>
      </w:r>
      <w:r w:rsidRPr="009E0CCF">
        <w:rPr>
          <w:i/>
          <w:iCs/>
        </w:rPr>
        <w:t>Friends of the Earth vs. Jennifer Granholm</w:t>
      </w:r>
      <w:r>
        <w:t>, and a spreadsheet that shows the DWR loan funds were used for license renewal, dry cask storage, upgrade projects, programs, operational enhancements, fuel, and performance based disbursements.</w:t>
      </w:r>
      <w:r>
        <w:rPr>
          <w:rStyle w:val="FootnoteReference"/>
        </w:rPr>
        <w:footnoteReference w:id="52"/>
      </w:r>
      <w:r>
        <w:t xml:space="preserve"> </w:t>
      </w:r>
      <w:r w:rsidR="005C4B85">
        <w:t xml:space="preserve">SBUA </w:t>
      </w:r>
      <w:r w:rsidR="00D11985">
        <w:t>sta</w:t>
      </w:r>
      <w:r w:rsidR="005C4B85">
        <w:t>tes: “It remains unclear how the excess $410</w:t>
      </w:r>
      <w:r w:rsidR="000B222B">
        <w:t xml:space="preserve"> million </w:t>
      </w:r>
      <w:r w:rsidR="005C4B85">
        <w:t>(those funds beyond monies secure through the federal DOE grant) are clearly distinct, necessary, and justified.”</w:t>
      </w:r>
      <w:r w:rsidR="005C4B85">
        <w:rPr>
          <w:rStyle w:val="FootnoteReference"/>
        </w:rPr>
        <w:footnoteReference w:id="53"/>
      </w:r>
    </w:p>
    <w:p w:rsidR="009E0CCF" w:rsidP="009E0CCF" w:rsidRDefault="000E0232" w14:paraId="2DD265FE" w14:textId="5F62657D">
      <w:pPr>
        <w:pStyle w:val="Standard"/>
      </w:pPr>
      <w:r>
        <w:t xml:space="preserve">TURN also cites the declaration made by Mr. Ketelsen in </w:t>
      </w:r>
      <w:r w:rsidRPr="009E0CCF">
        <w:rPr>
          <w:i/>
          <w:iCs/>
        </w:rPr>
        <w:t>Friends of the Earth vs. Jennifer Granholm</w:t>
      </w:r>
      <w:r>
        <w:t xml:space="preserve"> and the attached spreadsheet</w:t>
      </w:r>
      <w:r w:rsidR="00AE3E53">
        <w:t>, Transition and License Renewal Expenditure Summary (TLRES),</w:t>
      </w:r>
      <w:r>
        <w:t xml:space="preserve"> showing $1.487 billion in transition and license renewal spending forecast </w:t>
      </w:r>
      <w:r w:rsidR="00043FC9">
        <w:t>through</w:t>
      </w:r>
      <w:r>
        <w:t xml:space="preserve"> 2026, which is $</w:t>
      </w:r>
      <w:r w:rsidR="00D25105">
        <w:t>15</w:t>
      </w:r>
      <w:r w:rsidR="00305D02">
        <w:t>7</w:t>
      </w:r>
      <w:r w:rsidR="000B222B">
        <w:t xml:space="preserve"> million </w:t>
      </w:r>
      <w:r>
        <w:t>more than the $1.4 billion allocated in the DWR loan</w:t>
      </w:r>
      <w:r w:rsidR="00D25105">
        <w:t xml:space="preserve"> after accounting for administrative costs that DWR is authorized to retain</w:t>
      </w:r>
      <w:r>
        <w:t>.</w:t>
      </w:r>
      <w:r>
        <w:rPr>
          <w:rStyle w:val="FootnoteReference"/>
        </w:rPr>
        <w:footnoteReference w:id="54"/>
      </w:r>
      <w:r w:rsidR="00E94032">
        <w:t xml:space="preserve"> </w:t>
      </w:r>
      <w:r>
        <w:t xml:space="preserve">TURN also points to PG&amp;E’s refusal to respond to TURN’s data request seeking more </w:t>
      </w:r>
      <w:r w:rsidR="00C75D74">
        <w:t>detail</w:t>
      </w:r>
      <w:r>
        <w:t xml:space="preserve"> about the spending listed in </w:t>
      </w:r>
      <w:r w:rsidR="00AE3E53">
        <w:t>the TLRES</w:t>
      </w:r>
      <w:r>
        <w:t>, with PG&amp;E stating</w:t>
      </w:r>
      <w:r w:rsidR="009E0CCF">
        <w:t xml:space="preserve"> in its response:</w:t>
      </w:r>
      <w:r>
        <w:t xml:space="preserve"> “PG&amp;E objects </w:t>
      </w:r>
      <w:r w:rsidR="009E0CCF">
        <w:t xml:space="preserve">[sic] </w:t>
      </w:r>
      <w:r>
        <w:t>this data request on grounds that the information requested is outside of the scope of this proceeding. Subject to that objection, PG&amp;E responds that its record period foreca</w:t>
      </w:r>
      <w:r w:rsidR="00C75D74">
        <w:t>s</w:t>
      </w:r>
      <w:r>
        <w:t>t for costs to be recovered through the DCEOBA is presented in prepared testimony Chapter 2.”</w:t>
      </w:r>
      <w:r>
        <w:rPr>
          <w:rStyle w:val="FootnoteReference"/>
        </w:rPr>
        <w:footnoteReference w:id="55"/>
      </w:r>
      <w:r>
        <w:t xml:space="preserve"> Overall, TURN argues that PG&amp;E has not provided information about all DCPP costs in A.25</w:t>
      </w:r>
      <w:r w:rsidR="004D5EFA">
        <w:noBreakHyphen/>
      </w:r>
      <w:r>
        <w:t>03</w:t>
      </w:r>
      <w:r w:rsidR="004D5EFA">
        <w:noBreakHyphen/>
      </w:r>
      <w:r>
        <w:t xml:space="preserve">015, and in particular any </w:t>
      </w:r>
      <w:r>
        <w:lastRenderedPageBreak/>
        <w:t>costs recovered through the DWR loan authorized in SB 846.</w:t>
      </w:r>
      <w:r>
        <w:rPr>
          <w:rStyle w:val="FootnoteReference"/>
        </w:rPr>
        <w:footnoteReference w:id="56"/>
      </w:r>
      <w:r>
        <w:t xml:space="preserve"> TURN </w:t>
      </w:r>
      <w:r w:rsidR="009E0CCF">
        <w:t xml:space="preserve">also </w:t>
      </w:r>
      <w:r>
        <w:t xml:space="preserve">cites PG&amp;E’s refusal to provide information about DCPP costs between 2023-2030, including “all GRC and ERRA costs associated with Diablo Canyon </w:t>
      </w:r>
      <w:r w:rsidR="00C75D74">
        <w:t>prior</w:t>
      </w:r>
      <w:r>
        <w:t xml:space="preserve"> to, and during, extended operations.” In its response</w:t>
      </w:r>
      <w:r w:rsidR="009E0CCF">
        <w:t xml:space="preserve"> to TURN’s data response about DCPP costs between 2023 and 2030</w:t>
      </w:r>
      <w:r>
        <w:t xml:space="preserve">, PG&amp;E </w:t>
      </w:r>
      <w:r w:rsidR="00D11985">
        <w:t>sta</w:t>
      </w:r>
      <w:r>
        <w:t>tes it “objects to this request on the grounds that the request for historic information is out of scope for this proceeding. Subject to and without waiving this objection, PG&amp;E responds that there are no DCPP period of extended operations costs in the pending GRC or ERRA proceedings.”</w:t>
      </w:r>
      <w:r>
        <w:rPr>
          <w:rStyle w:val="FootnoteReference"/>
        </w:rPr>
        <w:footnoteReference w:id="57"/>
      </w:r>
      <w:r w:rsidR="009E0CCF">
        <w:t xml:space="preserve"> PG&amp;E does not otherwise respond to TURN’s arguments in its Rebuttal Testimony or Opening Brief.</w:t>
      </w:r>
    </w:p>
    <w:p w:rsidRPr="00723C80" w:rsidR="00723C80" w:rsidP="002342E9" w:rsidRDefault="00723C80" w14:paraId="1E7C52E1" w14:textId="6461B17A">
      <w:pPr>
        <w:pStyle w:val="Standard"/>
      </w:pPr>
      <w:r w:rsidRPr="00723C80">
        <w:t xml:space="preserve">Upon review of the testimony on this matter, the Commission </w:t>
      </w:r>
      <w:r w:rsidR="00E94032">
        <w:t xml:space="preserve">continues to </w:t>
      </w:r>
      <w:r w:rsidRPr="00723C80">
        <w:t>find</w:t>
      </w:r>
      <w:r w:rsidR="002342E9">
        <w:t xml:space="preserve"> that</w:t>
      </w:r>
      <w:r>
        <w:t xml:space="preserve"> </w:t>
      </w:r>
      <w:r w:rsidRPr="00723C80">
        <w:t>PG&amp;E’s approach to distinguishing between transition costs and extended</w:t>
      </w:r>
      <w:r w:rsidR="002342E9">
        <w:t xml:space="preserve"> </w:t>
      </w:r>
      <w:r w:rsidRPr="00723C80">
        <w:t>operations costs for the purpose of tracking costs in the DCTRMA for recovery</w:t>
      </w:r>
      <w:r w:rsidR="002342E9">
        <w:t xml:space="preserve"> </w:t>
      </w:r>
      <w:r w:rsidRPr="00723C80">
        <w:t>via government funding and recording costs to DCEOBA for recovery in</w:t>
      </w:r>
      <w:r w:rsidR="002342E9">
        <w:t xml:space="preserve"> </w:t>
      </w:r>
      <w:r w:rsidRPr="00723C80">
        <w:t xml:space="preserve">customer rates </w:t>
      </w:r>
      <w:r w:rsidR="00E94032">
        <w:t xml:space="preserve">to be </w:t>
      </w:r>
      <w:r w:rsidRPr="00723C80">
        <w:t>reasonable and consistent with the intent of SB 846 and compliant</w:t>
      </w:r>
      <w:r w:rsidR="00E94032">
        <w:t xml:space="preserve"> </w:t>
      </w:r>
      <w:r w:rsidRPr="00723C80">
        <w:t>with Commission decisions.</w:t>
      </w:r>
    </w:p>
    <w:p w:rsidRPr="00723C80" w:rsidR="00723C80" w:rsidP="00314BFB" w:rsidRDefault="00314BFB" w14:paraId="788D9F7F" w14:textId="277AE085">
      <w:pPr>
        <w:pStyle w:val="Standard"/>
      </w:pPr>
      <w:r>
        <w:t>As described in D.24-12-033, “[t]</w:t>
      </w:r>
      <w:r w:rsidRPr="00723C80" w:rsidR="00723C80">
        <w:t>he distinction between transitional or preparatory costs versus extended</w:t>
      </w:r>
      <w:r>
        <w:t xml:space="preserve"> </w:t>
      </w:r>
      <w:r w:rsidRPr="00723C80" w:rsidR="00723C80">
        <w:t>operations costs has not been clearly made by the relevant statute. However,</w:t>
      </w:r>
      <w:r>
        <w:t xml:space="preserve"> </w:t>
      </w:r>
      <w:r w:rsidRPr="00723C80" w:rsidR="00723C80">
        <w:t xml:space="preserve">PG&amp;E notes, and we agree, that Pub. Util. Code Section 712.8(d) refers to </w:t>
      </w:r>
      <w:r>
        <w:t>‘</w:t>
      </w:r>
      <w:r w:rsidRPr="00723C80" w:rsidR="00723C80">
        <w:t>O&amp;M</w:t>
      </w:r>
      <w:r>
        <w:t xml:space="preserve"> </w:t>
      </w:r>
      <w:r w:rsidRPr="00723C80" w:rsidR="00723C80">
        <w:t>expense</w:t>
      </w:r>
      <w:r>
        <w:t>’</w:t>
      </w:r>
      <w:r w:rsidRPr="00723C80" w:rsidR="00723C80">
        <w:t xml:space="preserve"> as that term is used in traditional cost of service ratemaking and is</w:t>
      </w:r>
      <w:r>
        <w:t xml:space="preserve"> </w:t>
      </w:r>
      <w:r w:rsidRPr="00723C80" w:rsidR="00723C80">
        <w:t>meant to preclude recovery of additional/incremental costs to those authorized</w:t>
      </w:r>
      <w:r>
        <w:t xml:space="preserve"> </w:t>
      </w:r>
      <w:r w:rsidRPr="00723C80" w:rsidR="00723C80">
        <w:t>in PG&amp;E’s 2023 GRC, which assumed DCPP retirement dates of 2024 and 2025.</w:t>
      </w:r>
      <w:r>
        <w:t xml:space="preserve"> … </w:t>
      </w:r>
      <w:r w:rsidRPr="00723C80" w:rsidR="00723C80">
        <w:t xml:space="preserve">Given that all costs of DCPP extended operations must </w:t>
      </w:r>
      <w:r w:rsidRPr="00723C80" w:rsidR="00723C80">
        <w:lastRenderedPageBreak/>
        <w:t>be recovered as O&amp;M</w:t>
      </w:r>
      <w:r w:rsidR="00723C80">
        <w:t xml:space="preserve"> </w:t>
      </w:r>
      <w:r w:rsidRPr="00723C80" w:rsidR="00723C80">
        <w:t>expense (i.e., none of the costs can be capitalized or rate-based) any other</w:t>
      </w:r>
      <w:r>
        <w:t xml:space="preserve"> </w:t>
      </w:r>
      <w:r w:rsidRPr="00723C80" w:rsidR="00723C80">
        <w:t>interpretation of Pub. Util. Code Section 712.8(d) renders moot Pub. Util. Code</w:t>
      </w:r>
      <w:r>
        <w:t xml:space="preserve"> </w:t>
      </w:r>
      <w:r w:rsidRPr="00723C80" w:rsidR="00723C80">
        <w:t>Sections 712.8(h)(1), (f)(2), (f)(5) and (f)(6)</w:t>
      </w:r>
      <w:r>
        <w:t xml:space="preserve">” governing the ability of PG&amp;E to recover reasonable costs from </w:t>
      </w:r>
      <w:r w:rsidR="00DE1E1A">
        <w:t>DCPP</w:t>
      </w:r>
      <w:r>
        <w:t xml:space="preserve"> as well as its ability to operate an employee retention program and receive </w:t>
      </w:r>
      <w:r w:rsidR="00DE1E1A">
        <w:t>VPF</w:t>
      </w:r>
      <w:r>
        <w:t xml:space="preserve"> and Fixed Management Fees.</w:t>
      </w:r>
      <w:r>
        <w:rPr>
          <w:rStyle w:val="FootnoteReference"/>
        </w:rPr>
        <w:footnoteReference w:id="58"/>
      </w:r>
    </w:p>
    <w:p w:rsidRPr="005751F8" w:rsidR="00A772A4" w:rsidP="0024440A" w:rsidRDefault="00723C80" w14:paraId="0B67FD35" w14:textId="652624EF">
      <w:pPr>
        <w:pStyle w:val="Standard"/>
      </w:pPr>
      <w:r w:rsidRPr="00723C80">
        <w:t xml:space="preserve">The Commission finds </w:t>
      </w:r>
      <w:r w:rsidR="00314BFB">
        <w:t xml:space="preserve">persuasive PG&amp;E’s argument that the identification of </w:t>
      </w:r>
      <w:r w:rsidR="00DE1E1A">
        <w:t>DCPP</w:t>
      </w:r>
      <w:r w:rsidR="00314BFB">
        <w:t xml:space="preserve"> projects in the PMO++ and DCISC reports before November 2, 2024 does not automatically render those projects transition spending that should be recorded in the DCTRMA. In particular, the DCISC report </w:t>
      </w:r>
      <w:r w:rsidR="0024440A">
        <w:t xml:space="preserve">described approximately 250 projects identified in the PMO++ program “for consideration of </w:t>
      </w:r>
      <w:r w:rsidR="00C75D74">
        <w:t>prioritization</w:t>
      </w:r>
      <w:r w:rsidR="0024440A">
        <w:t xml:space="preserve"> for implementation during the extension of operations” with the project list “envisioned to be a ‘living document’ that would be used in the future to inform outage planning, maintenance planning, and engineering decisions made during the routine project planning meetings.”</w:t>
      </w:r>
      <w:r w:rsidR="0024440A">
        <w:rPr>
          <w:rStyle w:val="FootnoteReference"/>
        </w:rPr>
        <w:footnoteReference w:id="59"/>
      </w:r>
      <w:r w:rsidR="0024440A">
        <w:t xml:space="preserve"> The report continues: “The preliminary results called </w:t>
      </w:r>
      <w:r w:rsidR="007E0085">
        <w:t>for</w:t>
      </w:r>
      <w:r w:rsidR="0024440A">
        <w:t xml:space="preserve"> about 50 projects to be completed within the next three years with about 12 of those 50 to be performed during the upcoming Refueling Outage 1R24 in the fall of 2023.”</w:t>
      </w:r>
      <w:r w:rsidR="00DE1E1A">
        <w:rPr>
          <w:rStyle w:val="FootnoteReference"/>
        </w:rPr>
        <w:footnoteReference w:id="60"/>
      </w:r>
      <w:r w:rsidR="0024440A">
        <w:t xml:space="preserve"> While CARE’s Opening Brief references the projects identified in the DCISC report as those that should be excluded from A.25-03-015 cost recovery, the report itself identifies those projects as part of “preliminary results” and a “living document.” </w:t>
      </w:r>
      <w:r w:rsidR="00DE1E1A">
        <w:t>Through this language, t</w:t>
      </w:r>
      <w:r w:rsidR="0024440A">
        <w:t xml:space="preserve">he DCISC report is clear that the </w:t>
      </w:r>
      <w:r w:rsidR="00DE1E1A">
        <w:t xml:space="preserve">projects are identified largely for planning purposes and are </w:t>
      </w:r>
      <w:r w:rsidR="0024440A">
        <w:t xml:space="preserve">subject to </w:t>
      </w:r>
      <w:r w:rsidR="00DE1E1A">
        <w:t>modification</w:t>
      </w:r>
      <w:r w:rsidRPr="005751F8" w:rsidR="0024440A">
        <w:t>.</w:t>
      </w:r>
    </w:p>
    <w:p w:rsidR="0024440A" w:rsidP="0024440A" w:rsidRDefault="00A772A4" w14:paraId="33C72F5D" w14:textId="6C42B7CA">
      <w:pPr>
        <w:pStyle w:val="Standard"/>
      </w:pPr>
      <w:r w:rsidRPr="005751F8">
        <w:lastRenderedPageBreak/>
        <w:t>The license</w:t>
      </w:r>
      <w:r>
        <w:t xml:space="preserve"> renewal costs that CARE highlights appear to be </w:t>
      </w:r>
      <w:r w:rsidR="005751F8">
        <w:t xml:space="preserve">for extended operations, as stated by PG&amp;E in Rebuttal Testimony, and are allowed </w:t>
      </w:r>
      <w:r>
        <w:t>by Pub</w:t>
      </w:r>
      <w:r w:rsidR="00DE1E1A">
        <w:t>.</w:t>
      </w:r>
      <w:r>
        <w:t xml:space="preserve"> Util</w:t>
      </w:r>
      <w:r w:rsidR="00DE1E1A">
        <w:t>.</w:t>
      </w:r>
      <w:r>
        <w:t xml:space="preserve"> Code Section 712.8(c)(1)(C).</w:t>
      </w:r>
    </w:p>
    <w:p w:rsidR="0024440A" w:rsidP="0024440A" w:rsidRDefault="0024440A" w14:paraId="669CCAAD" w14:textId="0B733957">
      <w:pPr>
        <w:pStyle w:val="Standard"/>
      </w:pPr>
      <w:r>
        <w:t xml:space="preserve">Additionally, </w:t>
      </w:r>
      <w:r w:rsidR="00DE1E1A">
        <w:t xml:space="preserve">in its argument that PG&amp;E is not disclosing all required DCPP costs, </w:t>
      </w:r>
      <w:r>
        <w:t xml:space="preserve">TURN cites instructions in D.23-12-036 that PG&amp;E </w:t>
      </w:r>
      <w:r w:rsidR="00AE7222">
        <w:t xml:space="preserve">must </w:t>
      </w:r>
      <w:r>
        <w:t>describe “as part of its 2024 DCPP Extended Operations Cost Forecast Application” “[a]</w:t>
      </w:r>
      <w:proofErr w:type="spellStart"/>
      <w:r>
        <w:t>ny</w:t>
      </w:r>
      <w:proofErr w:type="spellEnd"/>
      <w:r>
        <w:t xml:space="preserve"> government-funded transition costs.”</w:t>
      </w:r>
      <w:r>
        <w:rPr>
          <w:rStyle w:val="FootnoteReference"/>
        </w:rPr>
        <w:footnoteReference w:id="61"/>
      </w:r>
      <w:r>
        <w:t xml:space="preserve"> TURN, however, omits in its Opening Brief that the instruction applied only to the 2024 DCPP application.</w:t>
      </w:r>
      <w:r>
        <w:rPr>
          <w:rStyle w:val="FootnoteReference"/>
        </w:rPr>
        <w:footnoteReference w:id="62"/>
      </w:r>
      <w:r>
        <w:t xml:space="preserve"> While such detail would have been helpful in evaluating A.25-03-015, D.23-12-036 did not require PG&amp;E</w:t>
      </w:r>
      <w:r w:rsidR="00AE7222">
        <w:t xml:space="preserve"> to</w:t>
      </w:r>
      <w:r>
        <w:t xml:space="preserve"> include that detail in this application.</w:t>
      </w:r>
      <w:r w:rsidR="003A6006">
        <w:t xml:space="preserve"> D.23-12-036 does not prohibit PG&amp;E from including detail about government-funded transition costs in future applications.</w:t>
      </w:r>
    </w:p>
    <w:p w:rsidR="008629D4" w:rsidP="0024440A" w:rsidRDefault="004D3B16" w14:paraId="6D446BA9" w14:textId="3746A0BC">
      <w:pPr>
        <w:pStyle w:val="Standard"/>
      </w:pPr>
      <w:r>
        <w:t xml:space="preserve">Finally, </w:t>
      </w:r>
      <w:r w:rsidR="008629D4">
        <w:t xml:space="preserve">TURN, WEM, </w:t>
      </w:r>
      <w:r w:rsidR="003A6006">
        <w:t xml:space="preserve">SBUA, and A4NR raise legitimate </w:t>
      </w:r>
      <w:r w:rsidR="004360B8">
        <w:t>concerns</w:t>
      </w:r>
      <w:r w:rsidR="003A6006">
        <w:t xml:space="preserve"> </w:t>
      </w:r>
      <w:r w:rsidR="00274D99">
        <w:t>that PG&amp;E may be recovering</w:t>
      </w:r>
      <w:r w:rsidR="00424F66">
        <w:t>,</w:t>
      </w:r>
      <w:r w:rsidR="00274D99">
        <w:t xml:space="preserve"> in this application</w:t>
      </w:r>
      <w:r w:rsidR="00424F66">
        <w:t>,</w:t>
      </w:r>
      <w:r w:rsidR="00274D99">
        <w:t xml:space="preserve"> </w:t>
      </w:r>
      <w:r w:rsidR="004360B8">
        <w:t>overspending on DCPP transition and renewal costs in excess of the $1.4 billion DWR loan</w:t>
      </w:r>
      <w:r w:rsidR="00F035AD">
        <w:t>, as</w:t>
      </w:r>
      <w:r w:rsidR="004360B8">
        <w:t xml:space="preserve"> referenced in </w:t>
      </w:r>
      <w:r w:rsidR="00AE3E53">
        <w:t>the TLRES</w:t>
      </w:r>
      <w:r w:rsidR="004360B8">
        <w:t>. In oral arguments, Mr. Ketelsen stated that PG&amp;E was “</w:t>
      </w:r>
      <w:r w:rsidRPr="004360B8" w:rsidR="004360B8">
        <w:t>in the process of a reprioritization to ensure we utilized the full [DWR] amount without going over.”</w:t>
      </w:r>
      <w:r w:rsidR="004360B8">
        <w:rPr>
          <w:rStyle w:val="FootnoteReference"/>
        </w:rPr>
        <w:footnoteReference w:id="63"/>
      </w:r>
      <w:r w:rsidR="004360B8">
        <w:t xml:space="preserve"> While the DWR and CPUC are required to conduct a semiannual true-up to review PG&amp;E’s use of DWR loan proceeds, </w:t>
      </w:r>
      <w:r>
        <w:t xml:space="preserve">which includes Advice Letter submittals by PG&amp;E </w:t>
      </w:r>
      <w:r w:rsidR="000C481A">
        <w:t>summariz</w:t>
      </w:r>
      <w:r>
        <w:t>ing DWR spending</w:t>
      </w:r>
      <w:r w:rsidR="000D1153">
        <w:t>;</w:t>
      </w:r>
      <w:r>
        <w:t xml:space="preserve"> </w:t>
      </w:r>
      <w:r w:rsidR="004360B8">
        <w:t>the parties appropriately raise questions a</w:t>
      </w:r>
      <w:r>
        <w:t>s to</w:t>
      </w:r>
      <w:r w:rsidR="004360B8">
        <w:t xml:space="preserve"> whether PG&amp;E’s reprioritization of transition and renewal funds might be </w:t>
      </w:r>
      <w:r w:rsidR="00274D99">
        <w:t xml:space="preserve">improperly </w:t>
      </w:r>
      <w:r w:rsidR="004360B8">
        <w:t>shifting those costs to the current application</w:t>
      </w:r>
      <w:r w:rsidR="00A46D18">
        <w:t xml:space="preserve"> a</w:t>
      </w:r>
      <w:r w:rsidR="0087590C">
        <w:t>s</w:t>
      </w:r>
      <w:r w:rsidR="00A46D18">
        <w:t xml:space="preserve"> </w:t>
      </w:r>
      <w:r w:rsidR="007B392F">
        <w:t xml:space="preserve">funding for </w:t>
      </w:r>
      <w:r w:rsidR="00A46D18">
        <w:t xml:space="preserve">DCPP </w:t>
      </w:r>
      <w:r w:rsidR="007B392F">
        <w:t>extended operations</w:t>
      </w:r>
      <w:r w:rsidR="004360B8">
        <w:t xml:space="preserve">. In future </w:t>
      </w:r>
      <w:r w:rsidR="004D0A39">
        <w:t xml:space="preserve">DCPP cost recovery </w:t>
      </w:r>
      <w:r w:rsidR="004360B8">
        <w:lastRenderedPageBreak/>
        <w:t xml:space="preserve">applications, it is reasonable to require PG&amp;E </w:t>
      </w:r>
      <w:r w:rsidR="004D0A39">
        <w:rPr>
          <w:rFonts w:cs="BookAntiqua"/>
          <w:color w:val="21201E"/>
          <w:szCs w:val="26"/>
        </w:rPr>
        <w:t xml:space="preserve">to </w:t>
      </w:r>
      <w:r w:rsidRPr="005E113C" w:rsidR="005E113C">
        <w:rPr>
          <w:rFonts w:cs="BookAntiqua"/>
          <w:color w:val="21201E"/>
          <w:szCs w:val="26"/>
        </w:rPr>
        <w:t>disclose</w:t>
      </w:r>
      <w:r w:rsidR="005E113C">
        <w:rPr>
          <w:rFonts w:cs="BookAntiqua"/>
          <w:color w:val="21201E"/>
          <w:szCs w:val="26"/>
        </w:rPr>
        <w:t xml:space="preserve"> </w:t>
      </w:r>
      <w:r w:rsidRPr="005E113C" w:rsidR="005E113C">
        <w:rPr>
          <w:rFonts w:cs="BookAntiqua"/>
          <w:color w:val="21201E"/>
          <w:szCs w:val="26"/>
        </w:rPr>
        <w:t>whenever any transition and license renewal costs that were part of the amounts included in the</w:t>
      </w:r>
      <w:r w:rsidR="00AE3E53">
        <w:rPr>
          <w:rFonts w:cs="BookAntiqua"/>
          <w:color w:val="21201E"/>
          <w:szCs w:val="26"/>
        </w:rPr>
        <w:t xml:space="preserve"> TLRES </w:t>
      </w:r>
      <w:r w:rsidRPr="005E113C" w:rsidR="005E113C">
        <w:rPr>
          <w:rFonts w:cs="BookAntiqua"/>
          <w:color w:val="21201E"/>
          <w:szCs w:val="26"/>
        </w:rPr>
        <w:t>are proposed for recovery in any future DCPP forecast proceedings</w:t>
      </w:r>
      <w:r w:rsidR="00530271">
        <w:rPr>
          <w:rFonts w:cs="BookAntiqua"/>
          <w:color w:val="21201E"/>
          <w:szCs w:val="26"/>
        </w:rPr>
        <w:t xml:space="preserve"> for DCPP extended operations</w:t>
      </w:r>
      <w:r w:rsidRPr="005E113C" w:rsidR="005E113C">
        <w:rPr>
          <w:rFonts w:cs="BookAntiqua"/>
          <w:color w:val="21201E"/>
          <w:szCs w:val="26"/>
        </w:rPr>
        <w:t xml:space="preserve">, along with explanations for why those costs were originally proposed as transition and license renewal costs and why those costs are now eligible for recovery </w:t>
      </w:r>
      <w:r w:rsidR="00E92E26">
        <w:rPr>
          <w:rFonts w:cs="BookAntiqua"/>
          <w:color w:val="21201E"/>
          <w:szCs w:val="26"/>
        </w:rPr>
        <w:t>for</w:t>
      </w:r>
      <w:r w:rsidRPr="005E113C" w:rsidR="005E113C">
        <w:rPr>
          <w:rFonts w:cs="BookAntiqua"/>
          <w:color w:val="21201E"/>
          <w:szCs w:val="26"/>
        </w:rPr>
        <w:t xml:space="preserve"> extended operations.</w:t>
      </w:r>
    </w:p>
    <w:p w:rsidR="00A67C1D" w:rsidP="004D5EFA" w:rsidRDefault="00314BFB" w14:paraId="4F6DA150" w14:textId="628B536E">
      <w:pPr>
        <w:pStyle w:val="Standard"/>
      </w:pPr>
      <w:r>
        <w:t>Finally, D.24-12-033 found that “[e]</w:t>
      </w:r>
      <w:proofErr w:type="spellStart"/>
      <w:r w:rsidRPr="00314BFB">
        <w:t>ven</w:t>
      </w:r>
      <w:proofErr w:type="spellEnd"/>
      <w:r w:rsidRPr="00314BFB">
        <w:t xml:space="preserve"> though PG&amp;E provided a workable framework to distinguish</w:t>
      </w:r>
      <w:r>
        <w:t xml:space="preserve"> </w:t>
      </w:r>
      <w:r w:rsidRPr="00314BFB">
        <w:t>transitional costs from extended operations costs, PG&amp;E failed to provide in its</w:t>
      </w:r>
      <w:r>
        <w:t xml:space="preserve"> </w:t>
      </w:r>
      <w:r w:rsidRPr="00314BFB">
        <w:t>application a detailed explanation why PG&amp;E did not seek government funding,</w:t>
      </w:r>
      <w:r>
        <w:t xml:space="preserve"> </w:t>
      </w:r>
      <w:r w:rsidRPr="00314BFB">
        <w:t>or was otherwise unable to anticipate the need for the investments and activities</w:t>
      </w:r>
      <w:r>
        <w:t xml:space="preserve"> </w:t>
      </w:r>
      <w:r w:rsidRPr="00314BFB">
        <w:t>at the time government funding was being requested.</w:t>
      </w:r>
      <w:r>
        <w:t xml:space="preserve"> … </w:t>
      </w:r>
      <w:r w:rsidRPr="00314BFB">
        <w:t>Therefore, in its next application, PG&amp;E must provide this</w:t>
      </w:r>
      <w:r w:rsidR="004D5EFA">
        <w:t xml:space="preserve"> </w:t>
      </w:r>
      <w:r w:rsidRPr="00314BFB">
        <w:t>information as directed by the Commission in D.22-12-005.</w:t>
      </w:r>
      <w:r>
        <w:t>”</w:t>
      </w:r>
      <w:r>
        <w:rPr>
          <w:rStyle w:val="FootnoteReference"/>
        </w:rPr>
        <w:footnoteReference w:id="64"/>
      </w:r>
      <w:r>
        <w:t xml:space="preserve"> </w:t>
      </w:r>
      <w:r w:rsidR="00EB1F2A">
        <w:t>D.24-12-033 also states: “In its next Application, PG&amp;E must: (1) provide detailed information</w:t>
      </w:r>
      <w:r w:rsidR="004D5EFA">
        <w:t xml:space="preserve"> </w:t>
      </w:r>
      <w:r w:rsidR="00EB1F2A">
        <w:t>for all projects with costs more than $1 million; and (2) provide a detailed</w:t>
      </w:r>
      <w:r w:rsidR="004D5EFA">
        <w:t xml:space="preserve"> </w:t>
      </w:r>
      <w:r w:rsidR="00EB1F2A">
        <w:t>account of why it did not seek government funding for the costs being requested</w:t>
      </w:r>
      <w:r w:rsidR="004D5EFA">
        <w:t xml:space="preserve"> </w:t>
      </w:r>
      <w:r w:rsidR="00EB1F2A">
        <w:t>to be recovered from ratepayers, or was otherwise unable to anticipate the need</w:t>
      </w:r>
      <w:r w:rsidR="004D5EFA">
        <w:t xml:space="preserve"> </w:t>
      </w:r>
      <w:r w:rsidR="00EB1F2A">
        <w:t>for the investments and activities at the time government funding was being</w:t>
      </w:r>
      <w:r w:rsidR="004D5EFA">
        <w:t xml:space="preserve"> </w:t>
      </w:r>
      <w:r w:rsidR="00EB1F2A">
        <w:t>requested.”</w:t>
      </w:r>
      <w:r w:rsidR="00A67C1D">
        <w:rPr>
          <w:rStyle w:val="FootnoteReference"/>
        </w:rPr>
        <w:footnoteReference w:id="65"/>
      </w:r>
      <w:r w:rsidR="00A67C1D">
        <w:t xml:space="preserve"> </w:t>
      </w:r>
      <w:r w:rsidR="00EB1F2A">
        <w:t xml:space="preserve"> </w:t>
      </w:r>
    </w:p>
    <w:p w:rsidR="00A67C1D" w:rsidP="00A67C1D" w:rsidRDefault="00314BFB" w14:paraId="134A7314" w14:textId="67A75496">
      <w:pPr>
        <w:pStyle w:val="Standard"/>
      </w:pPr>
      <w:r>
        <w:t xml:space="preserve">PG&amp;E addresses this requirement in </w:t>
      </w:r>
      <w:r w:rsidR="00A67C1D">
        <w:t>Chapter 2 of its Prepared Testimony by stating: “</w:t>
      </w:r>
      <w:r w:rsidRPr="00A67C1D" w:rsidR="00A67C1D">
        <w:t>PG&amp;E provides this information in the Projects Summaries in Workpapers Supporting Chapter 2</w:t>
      </w:r>
      <w:r w:rsidR="00A67C1D">
        <w:t>.”</w:t>
      </w:r>
      <w:r w:rsidR="00A67C1D">
        <w:rPr>
          <w:rStyle w:val="FootnoteReference"/>
        </w:rPr>
        <w:footnoteReference w:id="66"/>
      </w:r>
      <w:r w:rsidR="00A67C1D">
        <w:t xml:space="preserve"> In </w:t>
      </w:r>
      <w:r>
        <w:t xml:space="preserve">the </w:t>
      </w:r>
      <w:r w:rsidR="00DE1E1A">
        <w:t>“</w:t>
      </w:r>
      <w:r>
        <w:t>Projects Summaries for Projects &gt; $1 Million</w:t>
      </w:r>
      <w:r w:rsidR="00DE1E1A">
        <w:t>”</w:t>
      </w:r>
      <w:r>
        <w:t xml:space="preserve"> section of its Corrected Workpapers Supporting Chapter 2</w:t>
      </w:r>
      <w:r w:rsidR="00A67C1D">
        <w:t>,</w:t>
      </w:r>
      <w:r>
        <w:t xml:space="preserve"> PG&amp;E </w:t>
      </w:r>
      <w:r>
        <w:lastRenderedPageBreak/>
        <w:t>states</w:t>
      </w:r>
      <w:r w:rsidR="00A67C1D">
        <w:t xml:space="preserve"> for each project</w:t>
      </w:r>
      <w:r>
        <w:t>: “</w:t>
      </w:r>
      <w:r w:rsidRPr="00314BFB">
        <w:t>This project is classified as an extended operations cost recoverable in customer rates through the Diablo Canyon Extended Operations Balancing Account because most of the expenditures in 2024 were incurred after November 2, 2024</w:t>
      </w:r>
      <w:r>
        <w:t>”</w:t>
      </w:r>
      <w:r w:rsidR="00EB1F2A">
        <w:t xml:space="preserve"> and “</w:t>
      </w:r>
      <w:r w:rsidRPr="00EB1F2A" w:rsidR="00EB1F2A">
        <w:t>is not a condition of PG&amp;E’s License Renewal Application before the U.S. Nuclear Regulatory Commission</w:t>
      </w:r>
      <w:r w:rsidR="00EB1F2A">
        <w:t>.”</w:t>
      </w:r>
      <w:r w:rsidR="00A67C1D">
        <w:rPr>
          <w:rStyle w:val="FootnoteReference"/>
        </w:rPr>
        <w:footnoteReference w:id="67"/>
      </w:r>
      <w:r w:rsidR="00A67C1D">
        <w:t xml:space="preserve"> </w:t>
      </w:r>
      <w:r w:rsidR="00EB1F2A">
        <w:t xml:space="preserve">PG&amp;E also details the amounts spent before </w:t>
      </w:r>
      <w:r w:rsidR="00C75D74">
        <w:t>November</w:t>
      </w:r>
      <w:r w:rsidR="00EB1F2A">
        <w:t xml:space="preserve"> 2, 2024 on each project as a r</w:t>
      </w:r>
      <w:r w:rsidR="00DE1E1A">
        <w:t xml:space="preserve">ationale </w:t>
      </w:r>
      <w:r w:rsidR="00EB1F2A">
        <w:t>for not using government funding for the whole project.</w:t>
      </w:r>
    </w:p>
    <w:p w:rsidR="00F956D0" w:rsidP="008926B4" w:rsidRDefault="00F956D0" w14:paraId="57575336" w14:textId="428B8C02">
      <w:pPr>
        <w:pStyle w:val="Heading3"/>
      </w:pPr>
      <w:bookmarkStart w:name="_Toc216176802" w:id="38"/>
      <w:r>
        <w:t>Conclusion – O&amp;M Costs</w:t>
      </w:r>
      <w:bookmarkEnd w:id="38"/>
    </w:p>
    <w:p w:rsidRPr="0024440A" w:rsidR="0024440A" w:rsidP="004C1664" w:rsidRDefault="0024440A" w14:paraId="7EAD56EC" w14:textId="0051793D">
      <w:pPr>
        <w:pStyle w:val="Standard"/>
      </w:pPr>
      <w:r>
        <w:t>Upon consideration and based on the discussion presented in Section 6</w:t>
      </w:r>
      <w:r w:rsidR="004C1664">
        <w:t xml:space="preserve"> of this decision</w:t>
      </w:r>
      <w:r>
        <w:t>,</w:t>
      </w:r>
      <w:r w:rsidR="004C1664">
        <w:t xml:space="preserve"> </w:t>
      </w:r>
      <w:r>
        <w:t xml:space="preserve">the Commission finds that PG&amp;E’s forecasted O&amp;M </w:t>
      </w:r>
      <w:r w:rsidR="004C1664">
        <w:t>costs</w:t>
      </w:r>
      <w:r>
        <w:t xml:space="preserve"> comply with the</w:t>
      </w:r>
      <w:r w:rsidR="00A772A4">
        <w:t xml:space="preserve"> </w:t>
      </w:r>
      <w:r>
        <w:t xml:space="preserve">applicable statute and Commission </w:t>
      </w:r>
      <w:proofErr w:type="gramStart"/>
      <w:r>
        <w:t>orders,</w:t>
      </w:r>
      <w:proofErr w:type="gramEnd"/>
      <w:r>
        <w:t xml:space="preserve"> are reasonable, and should be</w:t>
      </w:r>
      <w:r w:rsidR="004C1664">
        <w:t xml:space="preserve"> </w:t>
      </w:r>
      <w:r>
        <w:t>approved.</w:t>
      </w:r>
      <w:r w:rsidR="00092CC2">
        <w:t xml:space="preserve"> </w:t>
      </w:r>
    </w:p>
    <w:p w:rsidR="00F956D0" w:rsidP="008926B4" w:rsidRDefault="00F956D0" w14:paraId="1DE1962F" w14:textId="417F8E27">
      <w:pPr>
        <w:pStyle w:val="Heading2"/>
      </w:pPr>
      <w:bookmarkStart w:name="_Toc216176803" w:id="39"/>
      <w:r>
        <w:t>Statutory Fees</w:t>
      </w:r>
      <w:bookmarkEnd w:id="39"/>
    </w:p>
    <w:p w:rsidRPr="00F213DF" w:rsidR="00F213DF" w:rsidP="004D5EFA" w:rsidRDefault="00F213DF" w14:paraId="26C22D7F" w14:textId="0FB3E51A">
      <w:pPr>
        <w:pStyle w:val="Standard"/>
      </w:pPr>
      <w:r>
        <w:t>The Commission approves the following statutory fees authorized by SB</w:t>
      </w:r>
      <w:r w:rsidR="004D5EFA">
        <w:t> </w:t>
      </w:r>
      <w:r>
        <w:t>846 and requested by PG&amp;E for the extended operations period of November</w:t>
      </w:r>
      <w:r w:rsidR="004D5EFA">
        <w:t> </w:t>
      </w:r>
      <w:r>
        <w:t>3,</w:t>
      </w:r>
      <w:r w:rsidR="004D5EFA">
        <w:t xml:space="preserve"> </w:t>
      </w:r>
      <w:r>
        <w:t xml:space="preserve">2024 through December 31, 2025: (1) </w:t>
      </w:r>
      <w:r w:rsidRPr="004C1664">
        <w:t>$</w:t>
      </w:r>
      <w:r w:rsidRPr="004C1664" w:rsidR="004C1664">
        <w:t>113.</w:t>
      </w:r>
      <w:r w:rsidR="004C1664">
        <w:t>997</w:t>
      </w:r>
      <w:r w:rsidR="000B222B">
        <w:t xml:space="preserve"> million </w:t>
      </w:r>
      <w:r w:rsidRPr="004C1664">
        <w:t xml:space="preserve">in </w:t>
      </w:r>
      <w:r w:rsidRPr="004C1664" w:rsidR="004C1664">
        <w:t xml:space="preserve">the Fixed Management </w:t>
      </w:r>
      <w:r w:rsidRPr="004C1664" w:rsidR="00B762BA">
        <w:t>Fee</w:t>
      </w:r>
      <w:r w:rsidRPr="004C1664">
        <w:t xml:space="preserve">; </w:t>
      </w:r>
      <w:r w:rsidRPr="004C1664" w:rsidR="004C1664">
        <w:t>(2) $113</w:t>
      </w:r>
      <w:r w:rsidR="008C772F">
        <w:t>.</w:t>
      </w:r>
      <w:r w:rsidRPr="004C1664" w:rsidR="004C1664">
        <w:t>283</w:t>
      </w:r>
      <w:r w:rsidR="000B222B">
        <w:t xml:space="preserve"> million </w:t>
      </w:r>
      <w:r w:rsidRPr="004C1664" w:rsidR="004C1664">
        <w:t>in the VP</w:t>
      </w:r>
      <w:r w:rsidR="00B762BA">
        <w:t>F; and</w:t>
      </w:r>
      <w:r w:rsidRPr="004C1664">
        <w:t xml:space="preserve"> (3) </w:t>
      </w:r>
      <w:r w:rsidRPr="004C1664" w:rsidR="004C1664">
        <w:t>$75</w:t>
      </w:r>
      <w:r w:rsidR="000B222B">
        <w:t xml:space="preserve"> million </w:t>
      </w:r>
      <w:r w:rsidRPr="004C1664">
        <w:t>to be recorded to the liquidated damages subaccount of the DCEOBA.</w:t>
      </w:r>
      <w:r w:rsidRPr="004C1664" w:rsidR="004C1664">
        <w:rPr>
          <w:rStyle w:val="FootnoteReference"/>
        </w:rPr>
        <w:footnoteReference w:id="68"/>
      </w:r>
    </w:p>
    <w:p w:rsidR="00F956D0" w:rsidP="008926B4" w:rsidRDefault="00F956D0" w14:paraId="760D2C15" w14:textId="1476ED41">
      <w:pPr>
        <w:pStyle w:val="Heading3"/>
      </w:pPr>
      <w:bookmarkStart w:name="_Toc216176804" w:id="40"/>
      <w:r>
        <w:t>Fixed Management Fees</w:t>
      </w:r>
      <w:bookmarkEnd w:id="40"/>
    </w:p>
    <w:p w:rsidR="00F95936" w:rsidP="004D5EFA" w:rsidRDefault="00F95936" w14:paraId="4EF059BF" w14:textId="244CA223">
      <w:pPr>
        <w:pStyle w:val="Standard"/>
      </w:pPr>
      <w:r w:rsidRPr="004C1664">
        <w:t>The Commission approves PG&amp;E’s fixed management fees in the amount</w:t>
      </w:r>
      <w:r w:rsidR="004D5EFA">
        <w:t xml:space="preserve"> </w:t>
      </w:r>
      <w:r w:rsidRPr="004C1664">
        <w:t>of $</w:t>
      </w:r>
      <w:r w:rsidRPr="004C1664" w:rsidR="004C1664">
        <w:t>113.997</w:t>
      </w:r>
      <w:r w:rsidRPr="004C1664">
        <w:t xml:space="preserve"> millio</w:t>
      </w:r>
      <w:r w:rsidRPr="004C1664" w:rsidR="004C1664">
        <w:t>n.</w:t>
      </w:r>
    </w:p>
    <w:p w:rsidR="00F95936" w:rsidP="004D5EFA" w:rsidRDefault="00F95936" w14:paraId="4BDC5C48" w14:textId="42E95E87">
      <w:pPr>
        <w:pStyle w:val="Standard"/>
        <w:rPr>
          <w:sz w:val="17"/>
          <w:szCs w:val="17"/>
        </w:rPr>
      </w:pPr>
      <w:r>
        <w:t>SB 846 authorizes PG&amp;E to collect a fixed payment of $50</w:t>
      </w:r>
      <w:r w:rsidR="000B222B">
        <w:t xml:space="preserve"> million </w:t>
      </w:r>
      <w:r>
        <w:t>per unit</w:t>
      </w:r>
      <w:r w:rsidR="004D5EFA">
        <w:t xml:space="preserve"> </w:t>
      </w:r>
      <w:r>
        <w:t>per year of extended operations</w:t>
      </w:r>
      <w:r w:rsidR="00A67C1D">
        <w:t xml:space="preserve"> “[</w:t>
      </w:r>
      <w:proofErr w:type="spellStart"/>
      <w:r w:rsidR="00A67C1D">
        <w:t>i</w:t>
      </w:r>
      <w:proofErr w:type="spellEnd"/>
      <w:r w:rsidR="00A67C1D">
        <w:t>]</w:t>
      </w:r>
      <w:r w:rsidRPr="00A67C1D" w:rsidR="00A67C1D">
        <w:t xml:space="preserve">n lieu of a rate-based return on investment and in acknowledgment of the greater risk of outages in an older plant that the </w:t>
      </w:r>
      <w:r w:rsidRPr="00A67C1D" w:rsidR="00A67C1D">
        <w:lastRenderedPageBreak/>
        <w:t>operator could be held liable for</w:t>
      </w:r>
      <w:r w:rsidR="00A67C1D">
        <w:t>.”</w:t>
      </w:r>
      <w:r>
        <w:rPr>
          <w:rStyle w:val="FootnoteReference"/>
        </w:rPr>
        <w:footnoteReference w:id="69"/>
      </w:r>
      <w:r>
        <w:rPr>
          <w:sz w:val="17"/>
          <w:szCs w:val="17"/>
        </w:rPr>
        <w:t xml:space="preserve"> </w:t>
      </w:r>
      <w:r w:rsidR="00A67C1D">
        <w:t>The statute also order</w:t>
      </w:r>
      <w:r w:rsidR="004C1664">
        <w:t>s</w:t>
      </w:r>
      <w:r w:rsidR="00A67C1D">
        <w:t xml:space="preserve"> that “[t]</w:t>
      </w:r>
      <w:r w:rsidRPr="00A67C1D" w:rsidR="00A67C1D">
        <w:t>he amount of the fixed payment shall be adjusted annually by the commission using commission-approved escalation methodologies and adjustment factors.</w:t>
      </w:r>
      <w:r w:rsidR="00A67C1D">
        <w:t>”</w:t>
      </w:r>
      <w:r w:rsidR="00A67C1D">
        <w:rPr>
          <w:rStyle w:val="FootnoteReference"/>
        </w:rPr>
        <w:footnoteReference w:id="70"/>
      </w:r>
      <w:r w:rsidR="00A67C1D">
        <w:t xml:space="preserve"> T</w:t>
      </w:r>
      <w:r>
        <w:t>he Commission determined that the Fixed</w:t>
      </w:r>
      <w:r w:rsidR="00A67C1D">
        <w:t xml:space="preserve"> </w:t>
      </w:r>
      <w:r>
        <w:t>Management Fee, referred to in statute as a “fixed payment,” would be</w:t>
      </w:r>
      <w:r w:rsidR="00A67C1D">
        <w:t xml:space="preserve"> </w:t>
      </w:r>
      <w:r>
        <w:t>recovered from ratepayers of all LSEs through the DC NBC.</w:t>
      </w:r>
      <w:r>
        <w:rPr>
          <w:rStyle w:val="FootnoteReference"/>
        </w:rPr>
        <w:footnoteReference w:id="71"/>
      </w:r>
      <w:r w:rsidR="00A67C1D">
        <w:t xml:space="preserve"> D.24-12-033 ordered PG&amp;E to use a Fixed Management Fee escalation factor based on electric generation capital costs</w:t>
      </w:r>
      <w:r w:rsidR="004C1664">
        <w:t xml:space="preserve"> as proposed by TURN</w:t>
      </w:r>
      <w:r w:rsidR="00A67C1D">
        <w:t>.</w:t>
      </w:r>
      <w:r w:rsidR="00A67C1D">
        <w:rPr>
          <w:rStyle w:val="FootnoteReference"/>
        </w:rPr>
        <w:footnoteReference w:id="72"/>
      </w:r>
      <w:r w:rsidR="00870B03">
        <w:t xml:space="preserve"> </w:t>
      </w:r>
      <w:r w:rsidRPr="00870B03" w:rsidR="00870B03">
        <w:t xml:space="preserve">SB 846 also requires the Commission to approve recovery on a forecast basis </w:t>
      </w:r>
      <w:r w:rsidR="00870B03">
        <w:t>“</w:t>
      </w:r>
      <w:r w:rsidRPr="00870B03" w:rsidR="00870B03">
        <w:t>with a subsequent true-up to actual costs and market revenues for the prior calendar year via an expedited Tier 3 advice letter process.</w:t>
      </w:r>
      <w:r w:rsidR="000C743D">
        <w:t>”</w:t>
      </w:r>
      <w:r w:rsidR="000C743D">
        <w:rPr>
          <w:rStyle w:val="FootnoteReference"/>
        </w:rPr>
        <w:footnoteReference w:id="73"/>
      </w:r>
    </w:p>
    <w:p w:rsidR="00F95936" w:rsidP="004C1664" w:rsidRDefault="00F95936" w14:paraId="02215245" w14:textId="0DDC43BA">
      <w:pPr>
        <w:pStyle w:val="Standard"/>
      </w:pPr>
      <w:r>
        <w:t xml:space="preserve">In its </w:t>
      </w:r>
      <w:r w:rsidR="00A67C1D">
        <w:t>prepared testimony for A.25-03-015</w:t>
      </w:r>
      <w:r>
        <w:t xml:space="preserve">, PG&amp;E proposes </w:t>
      </w:r>
      <w:r w:rsidR="00A67C1D">
        <w:t xml:space="preserve">another method </w:t>
      </w:r>
      <w:r>
        <w:t>to</w:t>
      </w:r>
      <w:r w:rsidR="00A67C1D">
        <w:t xml:space="preserve"> calculate the Fixed Management Fee rather than the methodology ordered in D.24-12-033, </w:t>
      </w:r>
      <w:r w:rsidR="00C75D74">
        <w:t>resulting</w:t>
      </w:r>
      <w:r w:rsidR="00A67C1D">
        <w:t xml:space="preserve"> in a total forecasted Fixed Management Fee of $113.884</w:t>
      </w:r>
      <w:r w:rsidR="000B222B">
        <w:t xml:space="preserve"> million </w:t>
      </w:r>
      <w:r w:rsidR="00A67C1D">
        <w:t>in 2026.</w:t>
      </w:r>
      <w:r w:rsidR="00A67C1D">
        <w:rPr>
          <w:rStyle w:val="FootnoteReference"/>
        </w:rPr>
        <w:footnoteReference w:id="74"/>
      </w:r>
      <w:r w:rsidR="00A67C1D">
        <w:t xml:space="preserve"> PG&amp;E proposes </w:t>
      </w:r>
      <w:r>
        <w:t>apply</w:t>
      </w:r>
      <w:r w:rsidR="00A67C1D">
        <w:t>ing</w:t>
      </w:r>
      <w:r>
        <w:t xml:space="preserve"> a</w:t>
      </w:r>
      <w:r w:rsidR="00A67C1D">
        <w:t xml:space="preserve"> 2026 Fixed Payment average cumulative</w:t>
      </w:r>
      <w:r>
        <w:t xml:space="preserve"> escalation </w:t>
      </w:r>
      <w:r w:rsidR="00A67C1D">
        <w:t>rate</w:t>
      </w:r>
      <w:r>
        <w:t xml:space="preserve"> of </w:t>
      </w:r>
      <w:r w:rsidR="00A67C1D">
        <w:t xml:space="preserve">1.1388, which PG&amp;E </w:t>
      </w:r>
      <w:r w:rsidR="00D11985">
        <w:t>stat</w:t>
      </w:r>
      <w:r w:rsidR="00A67C1D">
        <w:t xml:space="preserve">es is the </w:t>
      </w:r>
      <w:r w:rsidR="004C1664">
        <w:t xml:space="preserve">forecast </w:t>
      </w:r>
      <w:r w:rsidR="00A67C1D">
        <w:t xml:space="preserve">2026 cumulative </w:t>
      </w:r>
      <w:bookmarkStart w:name="_Hlk211516820" w:id="41"/>
      <w:r w:rsidR="00A67C1D">
        <w:t xml:space="preserve">Consumer Price Index-All Urban (CPI-U) </w:t>
      </w:r>
      <w:bookmarkEnd w:id="41"/>
      <w:r w:rsidR="00A67C1D">
        <w:t>escalation factor.</w:t>
      </w:r>
      <w:r w:rsidR="00A67C1D">
        <w:rPr>
          <w:rStyle w:val="FootnoteReference"/>
        </w:rPr>
        <w:footnoteReference w:id="75"/>
      </w:r>
      <w:r w:rsidR="00A67C1D">
        <w:t xml:space="preserve"> PG&amp;E proposes to use 2022 as the base year for its cumulative escalation rate circulation “to properly adjust the Fixed Management Fee to account for the loss </w:t>
      </w:r>
      <w:r w:rsidR="00A67C1D">
        <w:lastRenderedPageBreak/>
        <w:t>in the value of the dollar since 2022.”</w:t>
      </w:r>
      <w:r w:rsidR="00A67C1D">
        <w:rPr>
          <w:rStyle w:val="FootnoteReference"/>
        </w:rPr>
        <w:footnoteReference w:id="76"/>
      </w:r>
      <w:r w:rsidR="00A67C1D">
        <w:t xml:space="preserve"> PG&amp;E explains that the “[u]se</w:t>
      </w:r>
      <w:r w:rsidRPr="00A67C1D" w:rsidR="00A67C1D">
        <w:t xml:space="preserve"> of CPI-U to escalate the Fixed Management Fee is appropriate because it is a measure of inflation that is widely used across the United States for measuring the change in the value of the dollar.</w:t>
      </w:r>
      <w:r w:rsidR="00A67C1D">
        <w:t>”</w:t>
      </w:r>
      <w:r w:rsidR="00A67C1D">
        <w:rPr>
          <w:rStyle w:val="FootnoteReference"/>
        </w:rPr>
        <w:footnoteReference w:id="77"/>
      </w:r>
      <w:r w:rsidR="00A67C1D">
        <w:t xml:space="preserve"> In response to an August 29, 2025 ALJ Ruling, PG&amp;E calculated that using the methodology approved in D.24-12-</w:t>
      </w:r>
      <w:r w:rsidRPr="00A47FD6" w:rsidR="00A67C1D">
        <w:t>033 would produce a Fixed Management Fee of $121.3</w:t>
      </w:r>
      <w:r w:rsidRPr="00A47FD6" w:rsidR="000B222B">
        <w:t xml:space="preserve"> million </w:t>
      </w:r>
      <w:r w:rsidRPr="00A47FD6" w:rsidR="00A67C1D">
        <w:t>for the 2026 record per</w:t>
      </w:r>
      <w:r w:rsidR="00A67C1D">
        <w:t>iod</w:t>
      </w:r>
      <w:r w:rsidR="00E810B8">
        <w:t xml:space="preserve"> - $7.416</w:t>
      </w:r>
      <w:r w:rsidR="000B222B">
        <w:t xml:space="preserve"> million </w:t>
      </w:r>
      <w:r w:rsidR="00E810B8">
        <w:t>higher than the forecast Fixed Management Fee using the escalation method proposed by PG&amp;E in A.25-03-015</w:t>
      </w:r>
      <w:r w:rsidR="00A67C1D">
        <w:t>.</w:t>
      </w:r>
      <w:r w:rsidR="00E810B8">
        <w:rPr>
          <w:rStyle w:val="FootnoteReference"/>
        </w:rPr>
        <w:footnoteReference w:id="78"/>
      </w:r>
      <w:r w:rsidR="004C1664">
        <w:t xml:space="preserve"> In its response to the September 25, 2025 ALJ Ruling </w:t>
      </w:r>
      <w:r w:rsidR="00B762BA">
        <w:t>regarding</w:t>
      </w:r>
      <w:r w:rsidR="004C1664">
        <w:t xml:space="preserve"> the Fixed Management Fee, PG&amp;E further explains that “</w:t>
      </w:r>
      <w:r w:rsidRPr="004C1664" w:rsidR="004C1664">
        <w:t>the capital generation-only escalation rate adopted in D.24</w:t>
      </w:r>
      <w:r w:rsidR="002D4260">
        <w:noBreakHyphen/>
      </w:r>
      <w:r w:rsidRPr="004C1664" w:rsidR="004C1664">
        <w:t>12</w:t>
      </w:r>
      <w:r w:rsidR="002D4260">
        <w:noBreakHyphen/>
      </w:r>
      <w:r w:rsidRPr="004C1664" w:rsidR="004C1664">
        <w:t xml:space="preserve">033 was deflationary, applying a cumulative escalation factor </w:t>
      </w:r>
      <w:r w:rsidRPr="009343FC" w:rsidR="004C1664">
        <w:t xml:space="preserve">of </w:t>
      </w:r>
      <w:r w:rsidRPr="00760F91" w:rsidR="004C1664">
        <w:t xml:space="preserve"> .976</w:t>
      </w:r>
      <w:r w:rsidRPr="009343FC" w:rsidR="004C1664">
        <w:t xml:space="preserve"> for</w:t>
      </w:r>
      <w:r w:rsidRPr="004C1664" w:rsidR="004C1664">
        <w:t xml:space="preserve"> 2024 and .986 for 2025. Applying these factors to a $1 dollar value suggest that 97.6 cents ($1*.976=97.6 cents) in 2024 and 98.6 cents ($1*.986=98.6 cents) in 2025 has the same value/buying power as $1 would in 2022. This is simply not so, as there has been no such deflation in the value of the dollar between 2022—the inflationary base year—and 2024 and 2025, contrary to what the escalation factors adopted in D.24-12-033 18 suggest.</w:t>
      </w:r>
      <w:r w:rsidR="004C1664">
        <w:t>”</w:t>
      </w:r>
      <w:r w:rsidR="004C1664">
        <w:rPr>
          <w:rStyle w:val="FootnoteReference"/>
        </w:rPr>
        <w:footnoteReference w:id="79"/>
      </w:r>
      <w:r w:rsidR="004C1664">
        <w:t xml:space="preserve"> PG&amp;E also</w:t>
      </w:r>
      <w:r w:rsidR="00D11985">
        <w:t xml:space="preserve"> sta</w:t>
      </w:r>
      <w:r w:rsidR="004C1664">
        <w:t>tes that the increase in the Fixed Management Fee calculated with the D.24-12-033 capital costs escalation methodology reflects continued high prices as “since Q3 2023 shortages have continued in some categories (in particular electrical equipment) and sufficient demand in others (such as machinery).”</w:t>
      </w:r>
      <w:r w:rsidR="004C1664">
        <w:rPr>
          <w:rStyle w:val="FootnoteReference"/>
        </w:rPr>
        <w:footnoteReference w:id="80"/>
      </w:r>
      <w:r w:rsidR="000A4143">
        <w:t xml:space="preserve"> PG&amp;E also </w:t>
      </w:r>
      <w:r w:rsidR="00D11985">
        <w:t>assert</w:t>
      </w:r>
      <w:r w:rsidR="000A4143">
        <w:t xml:space="preserve">s that </w:t>
      </w:r>
      <w:r w:rsidR="000A4143">
        <w:lastRenderedPageBreak/>
        <w:t xml:space="preserve">“the </w:t>
      </w:r>
      <w:r w:rsidRPr="000A4143" w:rsidR="000A4143">
        <w:t>difference between 2018-2021 generation escalation rates between those presented in A.24-03-018 and those presented on September 8 2025, is that the 2018-2021 generation escalation rates captured mid-year escalation rate</w:t>
      </w:r>
      <w:r w:rsidR="000A4143">
        <w:t>s</w:t>
      </w:r>
      <w:r w:rsidRPr="000A4143" w:rsidR="000A4143">
        <w:t xml:space="preserve"> where they should have captured full year recorded escalation rates.</w:t>
      </w:r>
      <w:r w:rsidR="000A4143">
        <w:t>”</w:t>
      </w:r>
      <w:r w:rsidR="000A4143">
        <w:rPr>
          <w:rStyle w:val="FootnoteReference"/>
        </w:rPr>
        <w:footnoteReference w:id="81"/>
      </w:r>
    </w:p>
    <w:p w:rsidR="00A905C9" w:rsidP="00A905C9" w:rsidRDefault="00A905C9" w14:paraId="1F284B7D" w14:textId="7C4A716A">
      <w:pPr>
        <w:pStyle w:val="Standard"/>
      </w:pPr>
      <w:r>
        <w:t xml:space="preserve">Several parties challenge PG&amp;E’s proposed methodology for </w:t>
      </w:r>
      <w:r w:rsidR="00C75D74">
        <w:t>calculating</w:t>
      </w:r>
      <w:r>
        <w:t xml:space="preserve"> Fixed Management Fee escalation rates. TURN </w:t>
      </w:r>
      <w:r w:rsidR="00D11985">
        <w:t>sta</w:t>
      </w:r>
      <w:r>
        <w:t>tes that “a</w:t>
      </w:r>
      <w:r w:rsidRPr="00A905C9">
        <w:t>llowing PG&amp;E to apply different historical escalators</w:t>
      </w:r>
      <w:r>
        <w:t xml:space="preserve"> </w:t>
      </w:r>
      <w:r w:rsidRPr="00A905C9">
        <w:t>(prior to 2025) would create a substantial disconnect between the 2025 adopted value</w:t>
      </w:r>
      <w:r>
        <w:t xml:space="preserve"> </w:t>
      </w:r>
      <w:r w:rsidRPr="00A905C9">
        <w:t>and the adopted 2026 value, effectively allowing PG&amp;E to circumvent D.24-12-033 and</w:t>
      </w:r>
      <w:r>
        <w:t xml:space="preserve"> </w:t>
      </w:r>
      <w:r w:rsidRPr="00A905C9">
        <w:t xml:space="preserve">significantly increasing the </w:t>
      </w:r>
      <w:r>
        <w:t>(Fixed Management Fee)</w:t>
      </w:r>
      <w:r w:rsidRPr="00A905C9">
        <w:t xml:space="preserve"> in 2026</w:t>
      </w:r>
      <w:r>
        <w:t>.”</w:t>
      </w:r>
      <w:r>
        <w:rPr>
          <w:rStyle w:val="FootnoteReference"/>
        </w:rPr>
        <w:footnoteReference w:id="82"/>
      </w:r>
      <w:r>
        <w:t xml:space="preserve"> TURN also offers its own calculation of the 2026 Fixed Management Fee using the escalation methodology approved in D.24-12-033</w:t>
      </w:r>
      <w:r>
        <w:rPr>
          <w:rFonts w:ascii="TimesNewRomanPSMT" w:hAnsi="TimesNewRomanPSMT" w:cs="TimesNewRomanPSMT"/>
          <w:sz w:val="24"/>
          <w:szCs w:val="24"/>
        </w:rPr>
        <w:t xml:space="preserve">, </w:t>
      </w:r>
      <w:r w:rsidRPr="00A905C9">
        <w:t>the adopted</w:t>
      </w:r>
      <w:r>
        <w:t xml:space="preserve"> </w:t>
      </w:r>
      <w:r w:rsidRPr="00A905C9">
        <w:t>escalators from D.24-12-033 for 2022-2025</w:t>
      </w:r>
      <w:r>
        <w:t xml:space="preserve">, </w:t>
      </w:r>
      <w:r w:rsidRPr="00A905C9">
        <w:t>the annual escalators from</w:t>
      </w:r>
      <w:r>
        <w:t xml:space="preserve"> </w:t>
      </w:r>
      <w:r w:rsidRPr="00A905C9">
        <w:t>PG&amp;E’s current GRC for 2026-2030 for hyd</w:t>
      </w:r>
      <w:r w:rsidR="00774CB0">
        <w:t>r</w:t>
      </w:r>
      <w:r w:rsidR="00345191">
        <w:t>oelectr</w:t>
      </w:r>
      <w:r>
        <w:t>ic-</w:t>
      </w:r>
      <w:r w:rsidRPr="00A905C9">
        <w:t xml:space="preserve"> and fossil</w:t>
      </w:r>
      <w:r>
        <w:t>-based energy, and the nuclear</w:t>
      </w:r>
      <w:r w:rsidRPr="00A905C9">
        <w:t xml:space="preserve"> escalators adopted in D.24-12-033 for all years</w:t>
      </w:r>
      <w:r>
        <w:t>, forecasting a $99.290</w:t>
      </w:r>
      <w:r w:rsidR="000B222B">
        <w:t xml:space="preserve"> million </w:t>
      </w:r>
      <w:r>
        <w:t>2026 Fixed Management Fee.</w:t>
      </w:r>
      <w:r>
        <w:rPr>
          <w:rStyle w:val="FootnoteReference"/>
        </w:rPr>
        <w:footnoteReference w:id="83"/>
      </w:r>
      <w:r>
        <w:t xml:space="preserve"> </w:t>
      </w:r>
      <w:r w:rsidR="00092CC2">
        <w:t>In supplemental testimony filed on October 20, 2025, TURN argues that PG&amp;E should apply the escalation method adopted in D.24-12-033 only on the 2025 Fixed Management Fee value.</w:t>
      </w:r>
      <w:r w:rsidR="00092CC2">
        <w:rPr>
          <w:rStyle w:val="FootnoteReference"/>
        </w:rPr>
        <w:footnoteReference w:id="84"/>
      </w:r>
      <w:r w:rsidR="00092CC2">
        <w:t xml:space="preserve"> TURN also offers an alternative method applying the CPI-U-based escalation rate on the 2025 Fixed Management Fee value, which it calculates would produce a 2026 fee of $101.88 million.</w:t>
      </w:r>
      <w:r w:rsidR="00092CC2">
        <w:rPr>
          <w:rStyle w:val="FootnoteReference"/>
        </w:rPr>
        <w:footnoteReference w:id="85"/>
      </w:r>
      <w:r w:rsidR="00092CC2">
        <w:t xml:space="preserve"> TURN also questions PG&amp;E’s explanation for the difference between the </w:t>
      </w:r>
      <w:r w:rsidRPr="000A4143" w:rsidR="00092CC2">
        <w:t xml:space="preserve">2018-2021 </w:t>
      </w:r>
      <w:r w:rsidRPr="000A4143" w:rsidR="00092CC2">
        <w:lastRenderedPageBreak/>
        <w:t xml:space="preserve">generation escalation rates presented in A.24-03-018 and those presented </w:t>
      </w:r>
      <w:r w:rsidR="00092CC2">
        <w:t>i</w:t>
      </w:r>
      <w:r w:rsidRPr="000A4143" w:rsidR="00092CC2">
        <w:t xml:space="preserve">n </w:t>
      </w:r>
      <w:r w:rsidR="00092CC2">
        <w:t xml:space="preserve">PG&amp;E’s </w:t>
      </w:r>
      <w:r w:rsidRPr="000A4143" w:rsidR="00092CC2">
        <w:t>September 8</w:t>
      </w:r>
      <w:r w:rsidR="00092CC2">
        <w:t>,</w:t>
      </w:r>
      <w:r w:rsidRPr="000A4143" w:rsidR="00092CC2">
        <w:t xml:space="preserve"> 2025</w:t>
      </w:r>
      <w:r w:rsidR="00092CC2">
        <w:t xml:space="preserve"> response to the ALJ ruling requesting PG&amp;E’s estimate of the 2026 Fixed Management Fee using the methodology approved in D.24-12-033. In particular, TURN </w:t>
      </w:r>
      <w:r w:rsidR="00D11985">
        <w:t>sta</w:t>
      </w:r>
      <w:r w:rsidR="00092CC2">
        <w:t xml:space="preserve">tes that PG&amp;E’s citing of the previous escalation rate using mid-year estimates compared to whole-year estimates doesn’t explain why the annual </w:t>
      </w:r>
      <w:r w:rsidR="00F6689C">
        <w:t>escalators</w:t>
      </w:r>
      <w:r w:rsidR="00092CC2">
        <w:t xml:space="preserve"> for nuclear- and hydro-powered electricity generation in 2014 and 2015 didn’t change using the whole-year methodology while fossil-fuel-powered generation fluctuated by -56.98 percent in 2014 and 73.2 percent in 2015.</w:t>
      </w:r>
      <w:r w:rsidR="00092CC2">
        <w:rPr>
          <w:rStyle w:val="FootnoteReference"/>
        </w:rPr>
        <w:footnoteReference w:id="86"/>
      </w:r>
    </w:p>
    <w:p w:rsidR="00092CC2" w:rsidP="00092CC2" w:rsidRDefault="00A905C9" w14:paraId="7D604205" w14:textId="77777777">
      <w:pPr>
        <w:pStyle w:val="Standard"/>
      </w:pPr>
      <w:r>
        <w:t xml:space="preserve">EPUC and </w:t>
      </w:r>
      <w:r w:rsidR="00C51102">
        <w:t>Cal Advocates</w:t>
      </w:r>
      <w:r>
        <w:t xml:space="preserve"> support continuing to use the escalation fee methodology approved in D.24-12-033. EPUC argues that setting 2022 as the base year for the proposed CPI-U-based Fixed Management Fee escalation calculation  “</w:t>
      </w:r>
      <w:r w:rsidRPr="00A905C9">
        <w:t>reflects changes in the value of the dollar from 2023 and 2024 that should have already been recovered in the prior fixed payment fee the Commission approved.</w:t>
      </w:r>
      <w:r>
        <w:t>”</w:t>
      </w:r>
      <w:r>
        <w:rPr>
          <w:rStyle w:val="FootnoteReference"/>
        </w:rPr>
        <w:footnoteReference w:id="87"/>
      </w:r>
      <w:r>
        <w:t xml:space="preserve"> Cal Advocates argues that the CPI-U used in PG&amp;E’s proposed 2026 escalation </w:t>
      </w:r>
      <w:r w:rsidR="00C75D74">
        <w:t>methodology</w:t>
      </w:r>
      <w:r>
        <w:t xml:space="preserve"> estimates “the relative change in price of a basket of goods and services from an urban consumer’s perspective” whereas “investment items, such as business expenses, are excluded from the CPI-U.”</w:t>
      </w:r>
      <w:r>
        <w:rPr>
          <w:rStyle w:val="FootnoteReference"/>
        </w:rPr>
        <w:footnoteReference w:id="88"/>
      </w:r>
      <w:r>
        <w:t xml:space="preserve"> Cal Advocates cites the </w:t>
      </w:r>
      <w:r w:rsidRPr="00A905C9">
        <w:t>U.S. Bureau of Labor Statistics Handbook of Methods</w:t>
      </w:r>
      <w:r>
        <w:t xml:space="preserve"> for this definition of the CPI-U.</w:t>
      </w:r>
      <w:r>
        <w:rPr>
          <w:rStyle w:val="FootnoteReference"/>
        </w:rPr>
        <w:footnoteReference w:id="89"/>
      </w:r>
      <w:r>
        <w:t xml:space="preserve"> Cal Advocates concludes</w:t>
      </w:r>
      <w:r w:rsidR="004C1664">
        <w:t xml:space="preserve"> that</w:t>
      </w:r>
      <w:r>
        <w:t xml:space="preserve"> “[t]</w:t>
      </w:r>
      <w:r w:rsidRPr="00A905C9">
        <w:t>he lack of any</w:t>
      </w:r>
      <w:r>
        <w:t xml:space="preserve"> </w:t>
      </w:r>
      <w:r w:rsidRPr="00A905C9">
        <w:t>connection to investment in generation assets means the CPI-U should not reasonably be</w:t>
      </w:r>
      <w:r>
        <w:t xml:space="preserve"> </w:t>
      </w:r>
      <w:r w:rsidRPr="00A905C9">
        <w:t xml:space="preserve">used </w:t>
      </w:r>
      <w:r w:rsidRPr="00A905C9">
        <w:lastRenderedPageBreak/>
        <w:t xml:space="preserve">as the cumulative escalation factor for the </w:t>
      </w:r>
      <w:r>
        <w:t>(Fixed Management Fee)</w:t>
      </w:r>
      <w:r w:rsidRPr="00A905C9">
        <w:t>.</w:t>
      </w:r>
      <w:r>
        <w:t>”</w:t>
      </w:r>
      <w:r>
        <w:rPr>
          <w:rStyle w:val="FootnoteReference"/>
        </w:rPr>
        <w:footnoteReference w:id="90"/>
      </w:r>
      <w:r w:rsidR="00C941E6">
        <w:t xml:space="preserve"> </w:t>
      </w:r>
      <w:r w:rsidR="00092CC2">
        <w:t>In supplemental testimony filed October 20, 2025, Cal Advocates suggests using the Producer Price Index (PPI) issued by the U.S. Bureau of Labor Statistics over the S&amp;P Power Planner escalation factor used by PG&amp;E to calculate the Fixed Management Fee using the methodology approved in D.24-12-033 given the “</w:t>
      </w:r>
      <w:r w:rsidRPr="00C941E6" w:rsidR="00092CC2">
        <w:t>opacity of its calculation and inconsistency with similar publicly available data</w:t>
      </w:r>
      <w:r w:rsidR="00092CC2">
        <w:t>.”</w:t>
      </w:r>
      <w:r w:rsidR="00092CC2">
        <w:rPr>
          <w:rStyle w:val="FootnoteReference"/>
        </w:rPr>
        <w:footnoteReference w:id="91"/>
      </w:r>
      <w:r w:rsidR="00092CC2">
        <w:t xml:space="preserve"> Cal Advocates estimates using the PPI to escalate the Fixed Management Fee would produce a 2026 fee of $100.4 million.</w:t>
      </w:r>
      <w:r w:rsidR="00092CC2">
        <w:rPr>
          <w:rStyle w:val="FootnoteReference"/>
        </w:rPr>
        <w:footnoteReference w:id="92"/>
      </w:r>
    </w:p>
    <w:p w:rsidRPr="00A905C9" w:rsidR="00A905C9" w:rsidP="00A905C9" w:rsidRDefault="00A905C9" w14:paraId="1329D4F8" w14:textId="79BA0CB5">
      <w:pPr>
        <w:pStyle w:val="Standard"/>
      </w:pPr>
      <w:r>
        <w:t>PG&amp;E responds in its Opening Brief that “</w:t>
      </w:r>
      <w:r w:rsidRPr="00A905C9">
        <w:t>PG&amp;E was not</w:t>
      </w:r>
      <w:r>
        <w:t xml:space="preserve"> </w:t>
      </w:r>
      <w:r w:rsidRPr="00A905C9">
        <w:t>required to use the escalation factor adopted for the years 2024 and 2025 in its forecast of 2026</w:t>
      </w:r>
    </w:p>
    <w:p w:rsidR="0013514E" w:rsidP="00A905C9" w:rsidRDefault="00A905C9" w14:paraId="7CB7E0AB" w14:textId="77777777">
      <w:pPr>
        <w:pStyle w:val="Standard"/>
        <w:ind w:firstLine="0"/>
      </w:pPr>
      <w:r w:rsidRPr="00A905C9">
        <w:t>fixed payments</w:t>
      </w:r>
      <w:r>
        <w:t xml:space="preserve">,” citing the language in </w:t>
      </w:r>
      <w:r w:rsidRPr="00A905C9">
        <w:t>Pub</w:t>
      </w:r>
      <w:r w:rsidR="004C1664">
        <w:t>.</w:t>
      </w:r>
      <w:r w:rsidRPr="00A905C9">
        <w:t xml:space="preserve"> Util</w:t>
      </w:r>
      <w:r w:rsidR="004C1664">
        <w:t>.</w:t>
      </w:r>
      <w:r w:rsidRPr="00A905C9">
        <w:t xml:space="preserve"> Code </w:t>
      </w:r>
      <w:r w:rsidR="004C1664">
        <w:t>S</w:t>
      </w:r>
      <w:r w:rsidRPr="00A905C9">
        <w:t>ection 712.8(f)(6)(A)</w:t>
      </w:r>
      <w:r>
        <w:t>.</w:t>
      </w:r>
      <w:r>
        <w:rPr>
          <w:rStyle w:val="FootnoteReference"/>
        </w:rPr>
        <w:footnoteReference w:id="93"/>
      </w:r>
      <w:r>
        <w:t xml:space="preserve"> PG&amp;E also cites its September 8, 2025 response to the August 29, 2025 ALJ Ruling finding that escalating the Fixed Management Fee using the methodology approved in D.24-12-033 produces a fee that is $7.4</w:t>
      </w:r>
      <w:r w:rsidR="000B222B">
        <w:t xml:space="preserve"> million </w:t>
      </w:r>
      <w:r>
        <w:t xml:space="preserve">higher than the fee calculated using the </w:t>
      </w:r>
      <w:r w:rsidR="00C75D74">
        <w:t>methodology</w:t>
      </w:r>
      <w:r>
        <w:t xml:space="preserve"> proposed in A.2</w:t>
      </w:r>
      <w:r w:rsidR="004C1664">
        <w:t>5</w:t>
      </w:r>
      <w:r>
        <w:t>-03-015.</w:t>
      </w:r>
      <w:r>
        <w:rPr>
          <w:rStyle w:val="FootnoteReference"/>
        </w:rPr>
        <w:footnoteReference w:id="94"/>
      </w:r>
      <w:r>
        <w:t xml:space="preserve"> </w:t>
      </w:r>
      <w:r w:rsidR="0013514E">
        <w:t>PG&amp;E also states that “[t]</w:t>
      </w:r>
      <w:r w:rsidRPr="0013514E" w:rsidR="0013514E">
        <w:t>he purpose of applying the CPI-U cumulative escalation factor to the Fixed Management Fee is to properly adjust the Fixed Management Fee to account for the loss in the value of the dollar since 2022, the base year for the Fixed Management Fee.</w:t>
      </w:r>
      <w:r w:rsidR="0013514E">
        <w:t>”</w:t>
      </w:r>
      <w:r w:rsidR="0013514E">
        <w:rPr>
          <w:rStyle w:val="FootnoteReference"/>
        </w:rPr>
        <w:footnoteReference w:id="95"/>
      </w:r>
      <w:r w:rsidRPr="0013514E" w:rsidR="0013514E">
        <w:t xml:space="preserve"> </w:t>
      </w:r>
    </w:p>
    <w:p w:rsidR="00A905C9" w:rsidP="00760F91" w:rsidRDefault="00A905C9" w14:paraId="05BC8F3D" w14:textId="73D63B8F">
      <w:pPr>
        <w:pStyle w:val="Standard"/>
      </w:pPr>
      <w:r>
        <w:lastRenderedPageBreak/>
        <w:t>Finally, PG&amp;E responds to Cal Advocates’ argument about the applicability of the CPI-U by stating in rebuttal testimony: “(CPI-U)</w:t>
      </w:r>
      <w:r w:rsidRPr="00A905C9">
        <w:t xml:space="preserve"> is an annual payment to PG&amp;E, not an expense or capital expenditure by PG&amp;E, instituted by the state of California for the safe and reliable operation of DCPP</w:t>
      </w:r>
      <w:r w:rsidR="000B222B">
        <w:t xml:space="preserve">. </w:t>
      </w:r>
      <w:r w:rsidRPr="00A905C9">
        <w:t>CPI-U is an appropriate escalation factor of the Fixed Payment given CPI-U’s broad use across the U.S. economy.</w:t>
      </w:r>
      <w:r>
        <w:t>”</w:t>
      </w:r>
      <w:r>
        <w:rPr>
          <w:rStyle w:val="FootnoteReference"/>
        </w:rPr>
        <w:footnoteReference w:id="96"/>
      </w:r>
      <w:r>
        <w:t xml:space="preserve"> Finally, PG&amp;E argues that the Fixed Management Fee is not a capital expenditure so it should not be escalated using electricity generation capital escalation rates.</w:t>
      </w:r>
      <w:r>
        <w:rPr>
          <w:rStyle w:val="FootnoteReference"/>
        </w:rPr>
        <w:footnoteReference w:id="97"/>
      </w:r>
      <w:r>
        <w:t xml:space="preserve"> PG&amp;E witness Conor Doyle states: “[T]</w:t>
      </w:r>
      <w:r w:rsidRPr="00A905C9">
        <w:t>he Fixed Payment is provided as a financial payment to PG&amp;E for its safe and reliable operation of DCPP</w:t>
      </w:r>
      <w:r w:rsidR="000B222B">
        <w:t xml:space="preserve">. </w:t>
      </w:r>
      <w:r w:rsidRPr="00A905C9">
        <w:t>During the period of extended operations, there are no capital expenditures incurred at DCPP</w:t>
      </w:r>
      <w:r>
        <w:t>.”</w:t>
      </w:r>
      <w:r>
        <w:rPr>
          <w:rStyle w:val="FootnoteReference"/>
        </w:rPr>
        <w:footnoteReference w:id="98"/>
      </w:r>
    </w:p>
    <w:p w:rsidR="004C1664" w:rsidP="008926B4" w:rsidRDefault="004C1664" w14:paraId="5DC9EA89" w14:textId="7FC8A39D">
      <w:pPr>
        <w:pStyle w:val="Heading4"/>
      </w:pPr>
      <w:bookmarkStart w:name="_Toc216176805" w:id="42"/>
      <w:r>
        <w:t>Discussion</w:t>
      </w:r>
      <w:bookmarkEnd w:id="42"/>
    </w:p>
    <w:p w:rsidR="0013514E" w:rsidP="00930FB2" w:rsidRDefault="004C1664" w14:paraId="753D192D" w14:textId="65FDA79E">
      <w:pPr>
        <w:pStyle w:val="Standard"/>
      </w:pPr>
      <w:r>
        <w:t xml:space="preserve">The Commission finds PG&amp;E’s argument persuasive that the Fixed Management Fee should be calculated using the CPI-U rather than the electricity generation capital cost methodology adopted in D.24-12-033. The large fluctuations seen in the </w:t>
      </w:r>
      <w:r w:rsidR="00D60074">
        <w:t xml:space="preserve">yearly </w:t>
      </w:r>
      <w:r>
        <w:t>electricity generation capital escalation rate</w:t>
      </w:r>
      <w:r w:rsidR="00D60074">
        <w:t xml:space="preserve"> forecasts</w:t>
      </w:r>
      <w:r>
        <w:t xml:space="preserve"> </w:t>
      </w:r>
      <w:r w:rsidR="00D60074">
        <w:t xml:space="preserve">revealed by PG&amp;E’s Response to the August 29, 2025 ALJ Ruling </w:t>
      </w:r>
      <w:r>
        <w:t xml:space="preserve">point to higher potential volatility in using that measure of the Fixed Management Fee, as opposed to the overall stabler CPI-U measure. PG&amp;E </w:t>
      </w:r>
      <w:r w:rsidR="00245E21">
        <w:t xml:space="preserve">further </w:t>
      </w:r>
      <w:r>
        <w:t>argues</w:t>
      </w:r>
      <w:r w:rsidR="00245E21">
        <w:t xml:space="preserve"> that</w:t>
      </w:r>
      <w:r w:rsidR="00C535CA">
        <w:t xml:space="preserve"> </w:t>
      </w:r>
      <w:r>
        <w:t>D.24</w:t>
      </w:r>
      <w:r w:rsidR="002D4260">
        <w:noBreakHyphen/>
      </w:r>
      <w:r>
        <w:t>12-033 did not specify that the capital escalation rate methodology that it adopted necessarily applied to every DCPP cost recovery application going forward. Additionally,</w:t>
      </w:r>
      <w:r w:rsidRPr="004C1664">
        <w:t xml:space="preserve"> </w:t>
      </w:r>
      <w:r w:rsidR="00D60074">
        <w:t xml:space="preserve">PG&amp;E cites </w:t>
      </w:r>
      <w:r w:rsidRPr="00A905C9">
        <w:t>Pub</w:t>
      </w:r>
      <w:r>
        <w:t>.</w:t>
      </w:r>
      <w:r w:rsidRPr="00A905C9">
        <w:t xml:space="preserve"> Util</w:t>
      </w:r>
      <w:r>
        <w:t>.</w:t>
      </w:r>
      <w:r w:rsidRPr="00A905C9">
        <w:t xml:space="preserve"> Code </w:t>
      </w:r>
      <w:r>
        <w:t>S</w:t>
      </w:r>
      <w:r w:rsidRPr="00A905C9">
        <w:t>ection 712.8(f)(6)(A</w:t>
      </w:r>
      <w:r>
        <w:t xml:space="preserve">) only </w:t>
      </w:r>
      <w:r w:rsidR="00D60074">
        <w:t>requiring</w:t>
      </w:r>
      <w:r>
        <w:t xml:space="preserve"> that “[t]</w:t>
      </w:r>
      <w:r w:rsidRPr="004C1664">
        <w:t xml:space="preserve">he amount of the fixed payment shall be adjusted annually by </w:t>
      </w:r>
      <w:r w:rsidRPr="004C1664">
        <w:lastRenderedPageBreak/>
        <w:t>the commission using commission-approved escalation methodologies and adjustment factors</w:t>
      </w:r>
      <w:r>
        <w:t xml:space="preserve">.” </w:t>
      </w:r>
      <w:r w:rsidR="0013514E">
        <w:t xml:space="preserve">It is appropriate to escalate the Fixed Management Fee using 2022 as the base year since </w:t>
      </w:r>
      <w:r w:rsidRPr="00A905C9" w:rsidR="0013514E">
        <w:t>Pub</w:t>
      </w:r>
      <w:r w:rsidR="0013514E">
        <w:t>.</w:t>
      </w:r>
      <w:r w:rsidRPr="00A905C9" w:rsidR="0013514E">
        <w:t xml:space="preserve"> Util</w:t>
      </w:r>
      <w:r w:rsidR="0013514E">
        <w:t>.</w:t>
      </w:r>
      <w:r w:rsidRPr="00A905C9" w:rsidR="0013514E">
        <w:t xml:space="preserve"> Code </w:t>
      </w:r>
      <w:r w:rsidR="0013514E">
        <w:t>S</w:t>
      </w:r>
      <w:r w:rsidRPr="00A905C9" w:rsidR="0013514E">
        <w:t>ection 712.8(f)(6)(A</w:t>
      </w:r>
      <w:r w:rsidR="0013514E">
        <w:t>) orders the Commission to “authorize the operator to recover in rates a fixed payment of fifty million dollars ($50,000,000), in 2022 dollars, for each unit for each year of extended operations.” Additionally, using the CPI-based method to escalate the Fixed Management Fee amount approved in D.24-12-033, as TURN suggests, would improperly mix two different escalation methods to calculate the 2026 fee</w:t>
      </w:r>
      <w:r w:rsidR="008B5A76">
        <w:t xml:space="preserve"> – the electricity general capital cost escalator and the CPI-U</w:t>
      </w:r>
      <w:r w:rsidR="0013514E">
        <w:t>.</w:t>
      </w:r>
      <w:r w:rsidR="000C481A">
        <w:t xml:space="preserve"> In particular, mixing two different escalation methods would confuse the true-up process for the Fixed Management Fee.</w:t>
      </w:r>
      <w:r w:rsidR="0013514E">
        <w:t xml:space="preserve"> </w:t>
      </w:r>
    </w:p>
    <w:p w:rsidR="00A905C9" w:rsidP="00E1162A" w:rsidRDefault="0013514E" w14:paraId="1373315C" w14:textId="341B4F83">
      <w:pPr>
        <w:pStyle w:val="Standard"/>
      </w:pPr>
      <w:r>
        <w:t xml:space="preserve"> We also find that</w:t>
      </w:r>
      <w:r w:rsidR="00C535CA">
        <w:t xml:space="preserve"> the CPI-U-based escalation method is more transparent than the electricity generation capital</w:t>
      </w:r>
      <w:r>
        <w:t>-based</w:t>
      </w:r>
      <w:r w:rsidR="00C535CA">
        <w:t xml:space="preserve"> escalation rate </w:t>
      </w:r>
      <w:r w:rsidR="00C03B47">
        <w:t>approved in D.24</w:t>
      </w:r>
      <w:r w:rsidR="002D4260">
        <w:noBreakHyphen/>
      </w:r>
      <w:r w:rsidR="00C03B47">
        <w:t>12</w:t>
      </w:r>
      <w:r w:rsidR="002D4260">
        <w:noBreakHyphen/>
      </w:r>
      <w:r w:rsidR="00C03B47">
        <w:t xml:space="preserve">033 </w:t>
      </w:r>
      <w:r w:rsidR="00C535CA">
        <w:t xml:space="preserve">since </w:t>
      </w:r>
      <w:r w:rsidR="00C03B47">
        <w:t>the CPI-U-based method</w:t>
      </w:r>
      <w:r w:rsidR="00C535CA">
        <w:t xml:space="preserve"> uses an indicator produced by the U.S. Bureau of Labor Statistics as opposed to the proprietary capital escalation rate </w:t>
      </w:r>
      <w:r w:rsidR="008B5A76">
        <w:t>calculat</w:t>
      </w:r>
      <w:r w:rsidR="00C535CA">
        <w:t xml:space="preserve">ed by S&amp;P. </w:t>
      </w:r>
      <w:r w:rsidR="004C1664">
        <w:t>Finally, as PG&amp;E argues, the Fixed Management Fee is not a business or capital expense, but a statutory fee paid to PG&amp;E “[</w:t>
      </w:r>
      <w:proofErr w:type="spellStart"/>
      <w:r w:rsidR="004C1664">
        <w:t>i</w:t>
      </w:r>
      <w:proofErr w:type="spellEnd"/>
      <w:r w:rsidR="004C1664">
        <w:t>]</w:t>
      </w:r>
      <w:r w:rsidRPr="004C1664" w:rsidR="004C1664">
        <w:t>n lieu of a rate-based return on investment and in acknowledgment of the greater risk of outages in an older plant that the operator could be held liable for</w:t>
      </w:r>
      <w:r w:rsidR="004C1664">
        <w:t>.”</w:t>
      </w:r>
      <w:r w:rsidR="004C1664">
        <w:rPr>
          <w:rStyle w:val="FootnoteReference"/>
        </w:rPr>
        <w:footnoteReference w:id="99"/>
      </w:r>
      <w:r w:rsidR="00E1162A">
        <w:t xml:space="preserve"> While D.24</w:t>
      </w:r>
      <w:r w:rsidR="002D4260">
        <w:noBreakHyphen/>
      </w:r>
      <w:r w:rsidR="00E1162A">
        <w:t>12</w:t>
      </w:r>
      <w:r w:rsidR="002D4260">
        <w:noBreakHyphen/>
      </w:r>
      <w:r w:rsidR="00E1162A">
        <w:t>038 found that</w:t>
      </w:r>
      <w:r w:rsidRPr="00E1162A" w:rsidR="00E1162A">
        <w:rPr>
          <w:rFonts w:ascii="BookAntiqua" w:hAnsi="BookAntiqua" w:cs="BookAntiqua"/>
          <w:szCs w:val="26"/>
        </w:rPr>
        <w:t xml:space="preserve"> </w:t>
      </w:r>
      <w:r w:rsidR="00E1162A">
        <w:rPr>
          <w:rFonts w:ascii="BookAntiqua" w:hAnsi="BookAntiqua" w:cs="BookAntiqua"/>
          <w:szCs w:val="26"/>
        </w:rPr>
        <w:t>“</w:t>
      </w:r>
      <w:r w:rsidRPr="00E1162A" w:rsidR="00E1162A">
        <w:t>DCPP is a generation asset and the purpose of the Fixed</w:t>
      </w:r>
      <w:r w:rsidR="00E1162A">
        <w:t xml:space="preserve"> </w:t>
      </w:r>
      <w:r w:rsidRPr="00E1162A" w:rsidR="00E1162A">
        <w:t>Management Fee is to compensate PG&amp;E shareholders for the risks associated</w:t>
      </w:r>
      <w:r w:rsidR="00E1162A">
        <w:t xml:space="preserve"> </w:t>
      </w:r>
      <w:r w:rsidRPr="00E1162A" w:rsidR="00E1162A">
        <w:t>with generation assets</w:t>
      </w:r>
      <w:r w:rsidR="00E1162A">
        <w:t>,” the fee itself is a statutory fee and not a capital cost.</w:t>
      </w:r>
      <w:r w:rsidR="00E1162A">
        <w:rPr>
          <w:rStyle w:val="FootnoteReference"/>
        </w:rPr>
        <w:footnoteReference w:id="100"/>
      </w:r>
    </w:p>
    <w:p w:rsidR="004C1664" w:rsidP="00930FB2" w:rsidRDefault="004C1664" w14:paraId="017682B6" w14:textId="197B6E02">
      <w:pPr>
        <w:pStyle w:val="Standard"/>
      </w:pPr>
      <w:r>
        <w:lastRenderedPageBreak/>
        <w:t>For the reasons described</w:t>
      </w:r>
      <w:r w:rsidR="00B364D8">
        <w:t xml:space="preserve"> above</w:t>
      </w:r>
      <w:r>
        <w:t>, it is appropriate for PG&amp;E to calculate its 2026 DCPP Fixed Management Fee using the methodology described in its Application</w:t>
      </w:r>
      <w:r w:rsidR="00584E3C">
        <w:t>.</w:t>
      </w:r>
      <w:r w:rsidR="00D60074">
        <w:t xml:space="preserve"> To promote consistency and provide additional clarity in the process, we also direct PG&amp;E to use the CPI methodology in future DCPP forecast applications as well</w:t>
      </w:r>
      <w:r w:rsidR="000C743D">
        <w:t xml:space="preserve"> to incrementally escalate the Fixed Management Fee approved in the previous year’s DCPP application.</w:t>
      </w:r>
      <w:r w:rsidR="000C481A">
        <w:t xml:space="preserve"> </w:t>
      </w:r>
    </w:p>
    <w:p w:rsidR="00F956D0" w:rsidP="008926B4" w:rsidRDefault="00F956D0" w14:paraId="1C18FCE3" w14:textId="237085E7">
      <w:pPr>
        <w:pStyle w:val="Heading3"/>
      </w:pPr>
      <w:bookmarkStart w:name="_Toc216176806" w:id="43"/>
      <w:r>
        <w:t>Volumetric Performance Fees</w:t>
      </w:r>
      <w:bookmarkEnd w:id="43"/>
    </w:p>
    <w:p w:rsidR="0079654B" w:rsidP="0079654B" w:rsidRDefault="0079654B" w14:paraId="5E78E5FE" w14:textId="4E556E57">
      <w:pPr>
        <w:pStyle w:val="Standard"/>
      </w:pPr>
      <w:r>
        <w:t>Pub. Util. Code Section 712.8(f)(5) established VPFs for recovery in rates</w:t>
      </w:r>
      <w:r>
        <w:rPr>
          <w:rFonts w:ascii="Verdana" w:hAnsi="Verdana"/>
          <w:color w:val="333333"/>
          <w:sz w:val="22"/>
          <w:shd w:val="clear" w:color="auto" w:fill="FFFFFF"/>
        </w:rPr>
        <w:t xml:space="preserve"> </w:t>
      </w:r>
      <w:r w:rsidRPr="0079654B">
        <w:t>for DCPP “in lieu of a rate-based return on investment and in acknowledgment of the greater risk of outages in an older plant that the operator could be held liable for</w:t>
      </w:r>
      <w:r>
        <w:t>.”</w:t>
      </w:r>
      <w:r>
        <w:rPr>
          <w:rStyle w:val="FootnoteReference"/>
        </w:rPr>
        <w:footnoteReference w:id="101"/>
      </w:r>
      <w:r>
        <w:t xml:space="preserve"> The statute </w:t>
      </w:r>
      <w:r w:rsidRPr="0079654B">
        <w:t>authorize</w:t>
      </w:r>
      <w:r>
        <w:t>s</w:t>
      </w:r>
      <w:r w:rsidRPr="0079654B">
        <w:t xml:space="preserve"> </w:t>
      </w:r>
      <w:r>
        <w:t>PG&amp;E</w:t>
      </w:r>
      <w:r w:rsidRPr="0079654B">
        <w:t xml:space="preserve"> </w:t>
      </w:r>
      <w:r>
        <w:t>“</w:t>
      </w:r>
      <w:r w:rsidRPr="0079654B">
        <w:t xml:space="preserve">to recover in rates a volumetric payment equal to six dollars and fifty cents $6.50, in 2022 dollars, for each </w:t>
      </w:r>
      <w:r w:rsidRPr="0079654B" w:rsidR="00C75D74">
        <w:t>megawatt hour</w:t>
      </w:r>
      <w:r w:rsidRPr="0079654B">
        <w:t xml:space="preserve"> generated by</w:t>
      </w:r>
      <w:r>
        <w:t xml:space="preserve"> DCPP</w:t>
      </w:r>
      <w:r w:rsidRPr="0079654B">
        <w:t xml:space="preserve"> during the period of extended operations beyond the current expiration dates, to be borne by customers of all </w:t>
      </w:r>
      <w:r w:rsidR="00B62D8D">
        <w:t>load-serving entities</w:t>
      </w:r>
      <w:r w:rsidRPr="0079654B">
        <w:t xml:space="preserve">, and an additional volumetric payment </w:t>
      </w:r>
      <w:r>
        <w:t xml:space="preserve">of </w:t>
      </w:r>
      <w:r w:rsidRPr="0079654B">
        <w:t>$6.50, in 2022 dollars, to be borne by customers in the service territory of the operator.</w:t>
      </w:r>
      <w:r>
        <w:t>”</w:t>
      </w:r>
      <w:r>
        <w:rPr>
          <w:rStyle w:val="FootnoteReference"/>
        </w:rPr>
        <w:footnoteReference w:id="102"/>
      </w:r>
      <w:r>
        <w:t xml:space="preserve"> </w:t>
      </w:r>
      <w:r w:rsidR="00B364D8">
        <w:t>Also similar to the Fixed Management Fee, t</w:t>
      </w:r>
      <w:r>
        <w:t>he statute dictates that</w:t>
      </w:r>
      <w:r w:rsidR="00B364D8">
        <w:t xml:space="preserve"> for VPFs,</w:t>
      </w:r>
      <w:r>
        <w:t xml:space="preserve"> “</w:t>
      </w:r>
      <w:r w:rsidRPr="0079654B">
        <w:t>the operating risk payment shall be adjusted annually by the commission using commission-approved escalation methodologies and adjustment factors</w:t>
      </w:r>
      <w:r>
        <w:t>.”</w:t>
      </w:r>
    </w:p>
    <w:p w:rsidR="0079654B" w:rsidP="0079654B" w:rsidRDefault="0079654B" w14:paraId="5462D80B" w14:textId="47402467">
      <w:pPr>
        <w:pStyle w:val="Standard"/>
      </w:pPr>
      <w:r>
        <w:t>PG&amp;E requests the Commission’s approval to recover a total combined VPF for DCPP Units 1 and 2 of $26</w:t>
      </w:r>
      <w:r w:rsidR="00B364D8">
        <w:t>6</w:t>
      </w:r>
      <w:r>
        <w:t>.</w:t>
      </w:r>
      <w:r w:rsidR="00B364D8">
        <w:t>566</w:t>
      </w:r>
      <w:r w:rsidR="000B222B">
        <w:t xml:space="preserve"> million </w:t>
      </w:r>
      <w:r>
        <w:t>for</w:t>
      </w:r>
      <w:r w:rsidR="00B364D8">
        <w:t xml:space="preserve"> the R</w:t>
      </w:r>
      <w:r>
        <w:t xml:space="preserve">ecord </w:t>
      </w:r>
      <w:r w:rsidR="00B364D8">
        <w:t>P</w:t>
      </w:r>
      <w:r>
        <w:t>eriod.</w:t>
      </w:r>
      <w:r w:rsidR="00B364D8">
        <w:rPr>
          <w:rStyle w:val="FootnoteReference"/>
        </w:rPr>
        <w:footnoteReference w:id="103"/>
      </w:r>
    </w:p>
    <w:p w:rsidRPr="0079654B" w:rsidR="0079654B" w:rsidP="00CD0B11" w:rsidRDefault="0079654B" w14:paraId="689A06C5" w14:textId="516DE444">
      <w:pPr>
        <w:pStyle w:val="Standard"/>
      </w:pPr>
      <w:r>
        <w:t xml:space="preserve">Several parties disputed PG&amp;E’s proposed use of the VPF revenues, </w:t>
      </w:r>
      <w:r w:rsidR="00AE7222">
        <w:t xml:space="preserve">as discussed in Section 10, </w:t>
      </w:r>
      <w:r>
        <w:t>but no</w:t>
      </w:r>
      <w:r w:rsidR="00AE7222">
        <w:t xml:space="preserve"> </w:t>
      </w:r>
      <w:r>
        <w:t xml:space="preserve">party objected to PG&amp;E’s methodology for </w:t>
      </w:r>
      <w:r>
        <w:lastRenderedPageBreak/>
        <w:t>calculating the VPFs or the escalation</w:t>
      </w:r>
      <w:r w:rsidR="00AE7222">
        <w:t xml:space="preserve"> </w:t>
      </w:r>
      <w:r>
        <w:t xml:space="preserve">factors applied to the total. PG&amp;E’s VPF request of </w:t>
      </w:r>
      <w:r w:rsidR="00B364D8">
        <w:t>$266.566</w:t>
      </w:r>
      <w:r w:rsidR="000B222B">
        <w:t xml:space="preserve"> million </w:t>
      </w:r>
      <w:r>
        <w:t>for the 2026 record period is reasonable and approved.</w:t>
      </w:r>
    </w:p>
    <w:p w:rsidR="00F956D0" w:rsidP="008926B4" w:rsidRDefault="00F956D0" w14:paraId="2265C828" w14:textId="70761AB0">
      <w:pPr>
        <w:pStyle w:val="Heading3"/>
      </w:pPr>
      <w:bookmarkStart w:name="_Toc216176807" w:id="44"/>
      <w:r>
        <w:t>Liquidated Damages Fund</w:t>
      </w:r>
      <w:bookmarkEnd w:id="44"/>
    </w:p>
    <w:p w:rsidR="0079654B" w:rsidP="0079654B" w:rsidRDefault="0079654B" w14:paraId="713360A6" w14:textId="0B059E43">
      <w:pPr>
        <w:pStyle w:val="Standard"/>
      </w:pPr>
      <w:r>
        <w:t>PG&amp;E’s liquidated damages funding request of $</w:t>
      </w:r>
      <w:r w:rsidR="00BE3CBC">
        <w:t>75</w:t>
      </w:r>
      <w:r w:rsidR="000B222B">
        <w:t xml:space="preserve"> million </w:t>
      </w:r>
      <w:r>
        <w:t>complies with</w:t>
      </w:r>
    </w:p>
    <w:p w:rsidR="0079654B" w:rsidP="0079654B" w:rsidRDefault="0079654B" w14:paraId="5B0FA6E1" w14:textId="77777777">
      <w:pPr>
        <w:pStyle w:val="Standard"/>
        <w:ind w:firstLine="0"/>
      </w:pPr>
      <w:r>
        <w:t xml:space="preserve">the </w:t>
      </w:r>
      <w:proofErr w:type="gramStart"/>
      <w:r>
        <w:t>statute,</w:t>
      </w:r>
      <w:proofErr w:type="gramEnd"/>
      <w:r>
        <w:t xml:space="preserve"> is reasonable, and should be approved.</w:t>
      </w:r>
    </w:p>
    <w:p w:rsidR="0079654B" w:rsidP="004D5EFA" w:rsidRDefault="0079654B" w14:paraId="0281F935" w14:textId="77777777">
      <w:pPr>
        <w:pStyle w:val="Standard"/>
        <w:keepNext/>
      </w:pPr>
      <w:r>
        <w:t>Pub. Util. Code Section 712.8(g) establishes the liquidated damages fund:</w:t>
      </w:r>
    </w:p>
    <w:p w:rsidR="00BE3CBC" w:rsidP="004D5EFA" w:rsidRDefault="0079654B" w14:paraId="343C2AFB" w14:textId="3946546F">
      <w:pPr>
        <w:pStyle w:val="BlockQuote"/>
      </w:pPr>
      <w:r>
        <w:t>The commission shall authorize and fund as part of the charge</w:t>
      </w:r>
      <w:r w:rsidR="00BE3CBC">
        <w:t xml:space="preserve"> </w:t>
      </w:r>
      <w:r>
        <w:t>under paragraph (1) of subdivision (l), the Diablo Canyon Extended</w:t>
      </w:r>
      <w:r w:rsidR="00BE3CBC">
        <w:t xml:space="preserve"> </w:t>
      </w:r>
      <w:r>
        <w:t>Operations liquidated damages balancing account in the amount of</w:t>
      </w:r>
      <w:r w:rsidR="00BE3CBC">
        <w:t xml:space="preserve"> </w:t>
      </w:r>
      <w:r>
        <w:t>twelve</w:t>
      </w:r>
      <w:r w:rsidR="000B222B">
        <w:t xml:space="preserve"> million </w:t>
      </w:r>
      <w:r>
        <w:t>five hundred thousand dollars ($12,500,000) each</w:t>
      </w:r>
      <w:r w:rsidR="00BE3CBC">
        <w:t xml:space="preserve"> </w:t>
      </w:r>
      <w:r>
        <w:t>month for each unit until the liquidated damages balancing account</w:t>
      </w:r>
      <w:r w:rsidR="00BE3CBC">
        <w:t xml:space="preserve"> </w:t>
      </w:r>
      <w:r>
        <w:t>has a balance of three hundred</w:t>
      </w:r>
      <w:r w:rsidR="000B222B">
        <w:t xml:space="preserve"> million </w:t>
      </w:r>
      <w:r>
        <w:t>dollars ($300,000,000).</w:t>
      </w:r>
      <w:r w:rsidR="00BE3CBC">
        <w:t xml:space="preserve"> </w:t>
      </w:r>
    </w:p>
    <w:p w:rsidR="0079654B" w:rsidP="004D5EFA" w:rsidRDefault="0079654B" w14:paraId="1966C209" w14:textId="64FB4D73">
      <w:pPr>
        <w:pStyle w:val="Standard"/>
      </w:pPr>
      <w:r>
        <w:t>Pub. Util. Code Section 712.8(</w:t>
      </w:r>
      <w:proofErr w:type="spellStart"/>
      <w:r>
        <w:t>i</w:t>
      </w:r>
      <w:proofErr w:type="spellEnd"/>
      <w:r>
        <w:t>)(1) provides that the purpose of this</w:t>
      </w:r>
      <w:r w:rsidR="00BE3CBC">
        <w:t xml:space="preserve"> </w:t>
      </w:r>
      <w:r>
        <w:t>liquidated damages funding is to offset potential replacement power costs</w:t>
      </w:r>
      <w:r w:rsidR="004D5EFA">
        <w:t xml:space="preserve"> </w:t>
      </w:r>
      <w:r>
        <w:t>resulting from an unplanned outage at DCPP when the Commission determines</w:t>
      </w:r>
      <w:r w:rsidR="004D5EFA">
        <w:t xml:space="preserve"> </w:t>
      </w:r>
      <w:r>
        <w:t>PG&amp;E failed to meet the reasonable manager standard:</w:t>
      </w:r>
    </w:p>
    <w:p w:rsidR="0079654B" w:rsidP="002D4260" w:rsidRDefault="0079654B" w14:paraId="3BF545C2" w14:textId="757CED7D">
      <w:pPr>
        <w:pStyle w:val="BlockQuote"/>
      </w:pPr>
      <w:r>
        <w:t>During any unplanned outage periods, the commission shall</w:t>
      </w:r>
      <w:r w:rsidR="00BE3CBC">
        <w:t xml:space="preserve"> </w:t>
      </w:r>
      <w:r>
        <w:t>authorize the operator to recover reasonable replacement power</w:t>
      </w:r>
      <w:r w:rsidR="00BE3CBC">
        <w:t xml:space="preserve"> </w:t>
      </w:r>
      <w:r>
        <w:t>costs, if incurred associated with Diablo Canyon powerplant</w:t>
      </w:r>
      <w:r w:rsidR="00B364D8">
        <w:t xml:space="preserve"> [sic]</w:t>
      </w:r>
      <w:r w:rsidR="00BE3CBC">
        <w:t xml:space="preserve"> </w:t>
      </w:r>
      <w:r>
        <w:t>operations. If the commission finds that replacement power costs</w:t>
      </w:r>
      <w:r w:rsidR="00BE3CBC">
        <w:t xml:space="preserve"> </w:t>
      </w:r>
      <w:r>
        <w:t>incurred when a unit is out of service due to an unplanned outage</w:t>
      </w:r>
      <w:r w:rsidR="00BE3CBC">
        <w:t xml:space="preserve"> </w:t>
      </w:r>
      <w:r>
        <w:t>are the result of a failure of the operator to meet the reasonable</w:t>
      </w:r>
      <w:r w:rsidR="00BE3CBC">
        <w:t xml:space="preserve"> </w:t>
      </w:r>
      <w:r>
        <w:t>manager standard, then the commission shall authorize payment of</w:t>
      </w:r>
      <w:r w:rsidR="00BE3CBC">
        <w:t xml:space="preserve"> </w:t>
      </w:r>
      <w:r>
        <w:t xml:space="preserve">the replacement power costs from the Diablo Canyon Extended </w:t>
      </w:r>
      <w:r w:rsidRPr="0079654B">
        <w:t>Operations liquidated damages balancing account described in</w:t>
      </w:r>
      <w:r w:rsidR="00BE3CBC">
        <w:t xml:space="preserve"> </w:t>
      </w:r>
      <w:r w:rsidRPr="0079654B">
        <w:t>subdivision (g).</w:t>
      </w:r>
    </w:p>
    <w:p w:rsidRPr="0079654B" w:rsidR="0079654B" w:rsidP="004D5EFA" w:rsidRDefault="0079654B" w14:paraId="4C298E64" w14:textId="7C04C077">
      <w:pPr>
        <w:pStyle w:val="Standard"/>
        <w:spacing w:before="180"/>
      </w:pPr>
      <w:r w:rsidRPr="0079654B">
        <w:t>In the event it is not necessary to use the liquidated damages funding to</w:t>
      </w:r>
      <w:r w:rsidR="004D5EFA">
        <w:t xml:space="preserve"> </w:t>
      </w:r>
      <w:r w:rsidRPr="0079654B">
        <w:t>offset replacement power costs as provided in Pub. Util. Code Section 712.8(</w:t>
      </w:r>
      <w:proofErr w:type="spellStart"/>
      <w:r w:rsidRPr="0079654B">
        <w:t>i</w:t>
      </w:r>
      <w:proofErr w:type="spellEnd"/>
      <w:r w:rsidRPr="0079654B">
        <w:t>)(1),</w:t>
      </w:r>
      <w:r w:rsidR="004D5EFA">
        <w:t xml:space="preserve"> </w:t>
      </w:r>
      <w:r w:rsidRPr="0079654B">
        <w:t>the funds will be returned to customers in PG&amp;E’s service territory, as required</w:t>
      </w:r>
      <w:r w:rsidR="004D5EFA">
        <w:t xml:space="preserve"> </w:t>
      </w:r>
      <w:r w:rsidRPr="0079654B">
        <w:t>by Pub. Util. Code Section 712.8(t). Rather than creating a new balancing account</w:t>
      </w:r>
      <w:r w:rsidR="004D5EFA">
        <w:t xml:space="preserve"> </w:t>
      </w:r>
      <w:r w:rsidRPr="0079654B">
        <w:lastRenderedPageBreak/>
        <w:t>for the liquidated damages fund, the Commission approved in Resolution 5299-E</w:t>
      </w:r>
      <w:r w:rsidR="004D5EFA">
        <w:t xml:space="preserve"> </w:t>
      </w:r>
      <w:r w:rsidRPr="0079654B">
        <w:t>PG&amp;E’s request to include a subaccount in the DCEOBA to record the liquidated</w:t>
      </w:r>
      <w:r w:rsidR="004D5EFA">
        <w:t xml:space="preserve"> </w:t>
      </w:r>
      <w:r w:rsidRPr="0079654B">
        <w:t>damages amounts and recover them in customer rates.</w:t>
      </w:r>
    </w:p>
    <w:p w:rsidRPr="0079654B" w:rsidR="0079654B" w:rsidP="004D5EFA" w:rsidRDefault="0079654B" w14:paraId="7A4D9E13" w14:textId="29E5D3DC">
      <w:pPr>
        <w:pStyle w:val="Standard"/>
      </w:pPr>
      <w:r w:rsidRPr="0079654B">
        <w:t>In its Application, PG&amp;E requests that the Commission approve its</w:t>
      </w:r>
      <w:r w:rsidR="00BE3CBC">
        <w:t xml:space="preserve"> </w:t>
      </w:r>
      <w:r w:rsidRPr="0079654B">
        <w:t>requested total combined liquidated damages funding forecast of $</w:t>
      </w:r>
      <w:r w:rsidR="002B1B3E">
        <w:t>7</w:t>
      </w:r>
      <w:r w:rsidRPr="0079654B">
        <w:t>5</w:t>
      </w:r>
      <w:r w:rsidR="000B222B">
        <w:t xml:space="preserve"> million </w:t>
      </w:r>
      <w:r w:rsidRPr="0079654B">
        <w:t>for the Record Period.</w:t>
      </w:r>
      <w:r w:rsidR="00EF319D">
        <w:rPr>
          <w:rStyle w:val="FootnoteReference"/>
        </w:rPr>
        <w:footnoteReference w:id="104"/>
      </w:r>
      <w:r w:rsidRPr="0079654B">
        <w:t xml:space="preserve"> This total request is the sum of: (1) the DCPP Unit 1</w:t>
      </w:r>
      <w:r w:rsidR="004D5EFA">
        <w:t xml:space="preserve"> </w:t>
      </w:r>
      <w:r w:rsidRPr="0079654B">
        <w:t>liquidated damages funding in the amount of $</w:t>
      </w:r>
      <w:r w:rsidR="002B1B3E">
        <w:t>37.5</w:t>
      </w:r>
      <w:r w:rsidR="000B222B">
        <w:t xml:space="preserve"> million </w:t>
      </w:r>
      <w:r w:rsidRPr="0079654B">
        <w:t>for the DCPP Unit 1</w:t>
      </w:r>
      <w:r w:rsidR="004D5EFA">
        <w:t xml:space="preserve"> </w:t>
      </w:r>
      <w:r w:rsidRPr="0079654B">
        <w:t xml:space="preserve">extended operations period of </w:t>
      </w:r>
      <w:r w:rsidR="002B1B3E">
        <w:t>January 1</w:t>
      </w:r>
      <w:r w:rsidRPr="0079654B">
        <w:t xml:space="preserve"> through December 31, 202</w:t>
      </w:r>
      <w:r w:rsidR="002B1B3E">
        <w:t>6</w:t>
      </w:r>
      <w:r w:rsidRPr="0079654B">
        <w:t>,</w:t>
      </w:r>
      <w:r w:rsidR="004D5EFA">
        <w:t xml:space="preserve"> </w:t>
      </w:r>
      <w:r w:rsidRPr="0079654B">
        <w:t>and (2) the DCPP Unit 2 liquidated damages funding in the amount of</w:t>
      </w:r>
      <w:r w:rsidR="004D5EFA">
        <w:t xml:space="preserve"> </w:t>
      </w:r>
      <w:r w:rsidRPr="0079654B">
        <w:t>$</w:t>
      </w:r>
      <w:r w:rsidR="002B1B3E">
        <w:t>37.5</w:t>
      </w:r>
      <w:r w:rsidR="000B222B">
        <w:t xml:space="preserve"> million </w:t>
      </w:r>
      <w:r w:rsidRPr="0079654B">
        <w:t xml:space="preserve">for the Unit 2 extended operations period of </w:t>
      </w:r>
      <w:r w:rsidR="002B1B3E">
        <w:t>January 1</w:t>
      </w:r>
      <w:r w:rsidR="004D5EFA">
        <w:t xml:space="preserve"> </w:t>
      </w:r>
      <w:r w:rsidRPr="0079654B">
        <w:t>through December 31, 202</w:t>
      </w:r>
      <w:r w:rsidR="002B1B3E">
        <w:t>6</w:t>
      </w:r>
      <w:r w:rsidRPr="0079654B">
        <w:t>.</w:t>
      </w:r>
      <w:r w:rsidR="00EF319D">
        <w:rPr>
          <w:rStyle w:val="FootnoteReference"/>
        </w:rPr>
        <w:footnoteReference w:id="105"/>
      </w:r>
    </w:p>
    <w:p w:rsidR="0079654B" w:rsidP="007C5BAF" w:rsidRDefault="007C5BAF" w14:paraId="03030BEB" w14:textId="45739501">
      <w:pPr>
        <w:pStyle w:val="Standard"/>
      </w:pPr>
      <w:r>
        <w:t>No</w:t>
      </w:r>
      <w:r w:rsidRPr="0079654B" w:rsidR="0079654B">
        <w:t xml:space="preserve"> intervenor object</w:t>
      </w:r>
      <w:r>
        <w:t>ed</w:t>
      </w:r>
      <w:r w:rsidRPr="0079654B" w:rsidR="0079654B">
        <w:t xml:space="preserve"> to PG&amp;E’s calculations.</w:t>
      </w:r>
      <w:r>
        <w:t xml:space="preserve"> </w:t>
      </w:r>
      <w:r w:rsidRPr="007C5BAF">
        <w:t>PG&amp;E’s liquidated damages funding request of $</w:t>
      </w:r>
      <w:r>
        <w:t>75</w:t>
      </w:r>
      <w:r w:rsidR="000B222B">
        <w:t xml:space="preserve"> million </w:t>
      </w:r>
      <w:r w:rsidRPr="007C5BAF">
        <w:t>complies</w:t>
      </w:r>
      <w:r>
        <w:t xml:space="preserve"> </w:t>
      </w:r>
      <w:r w:rsidRPr="007C5BAF">
        <w:t>with the statute, is reasonable and should be approved.</w:t>
      </w:r>
    </w:p>
    <w:p w:rsidR="00367915" w:rsidP="008926B4" w:rsidRDefault="00367915" w14:paraId="46B10487" w14:textId="77777777">
      <w:pPr>
        <w:pStyle w:val="Heading2"/>
      </w:pPr>
      <w:bookmarkStart w:name="_Toc216176808" w:id="45"/>
      <w:r>
        <w:t>RA Substitution Capacity Costs</w:t>
      </w:r>
      <w:bookmarkEnd w:id="45"/>
    </w:p>
    <w:p w:rsidRPr="00EF319D" w:rsidR="00367915" w:rsidP="004D5EFA" w:rsidRDefault="00367915" w14:paraId="26114469" w14:textId="66940248">
      <w:pPr>
        <w:pStyle w:val="Standard"/>
      </w:pPr>
      <w:r>
        <w:t>PG&amp;E’s RA substitution capacity cost forecast of $</w:t>
      </w:r>
      <w:r w:rsidR="00B364D8">
        <w:t>26.28</w:t>
      </w:r>
      <w:r>
        <w:t>8</w:t>
      </w:r>
      <w:r w:rsidR="000B222B">
        <w:t xml:space="preserve"> million </w:t>
      </w:r>
      <w:r>
        <w:t>for the</w:t>
      </w:r>
      <w:r w:rsidR="004D5EFA">
        <w:t xml:space="preserve"> </w:t>
      </w:r>
      <w:r>
        <w:t>extended operations period of January 1 through December 31, 2026 is</w:t>
      </w:r>
      <w:r w:rsidR="004D5EFA">
        <w:t xml:space="preserve"> </w:t>
      </w:r>
      <w:r>
        <w:t>approved.</w:t>
      </w:r>
      <w:r w:rsidR="00B364D8">
        <w:rPr>
          <w:rStyle w:val="FootnoteReference"/>
        </w:rPr>
        <w:footnoteReference w:id="106"/>
      </w:r>
    </w:p>
    <w:p w:rsidRPr="00F956D0" w:rsidR="00367915" w:rsidP="008926B4" w:rsidRDefault="00367915" w14:paraId="7F7A4902" w14:textId="77777777">
      <w:pPr>
        <w:pStyle w:val="Heading3"/>
      </w:pPr>
      <w:bookmarkStart w:name="_Toc216176809" w:id="46"/>
      <w:r>
        <w:t>Background</w:t>
      </w:r>
      <w:bookmarkEnd w:id="46"/>
    </w:p>
    <w:p w:rsidR="00367915" w:rsidP="004D5EFA" w:rsidRDefault="00367915" w14:paraId="4CADE7E0" w14:textId="09AF5841">
      <w:pPr>
        <w:pStyle w:val="Standard"/>
      </w:pPr>
      <w:r w:rsidRPr="00F956D0">
        <w:t>In D.23-12-036, the Commission determined that PG&amp;E would retain the</w:t>
      </w:r>
      <w:r w:rsidR="00930FB2">
        <w:t xml:space="preserve"> </w:t>
      </w:r>
      <w:r w:rsidRPr="00F956D0">
        <w:t>responsibility, as the scheduling coordinator, to procure substitution RA capacity</w:t>
      </w:r>
      <w:r w:rsidR="00930FB2">
        <w:t xml:space="preserve"> </w:t>
      </w:r>
      <w:r w:rsidRPr="00F956D0">
        <w:t>during periods when the DCPP units are on planned outages.</w:t>
      </w:r>
      <w:r>
        <w:rPr>
          <w:rStyle w:val="FootnoteReference"/>
        </w:rPr>
        <w:footnoteReference w:id="107"/>
      </w:r>
      <w:r w:rsidRPr="00F956D0">
        <w:t xml:space="preserve"> The Commission</w:t>
      </w:r>
      <w:r w:rsidR="004D5EFA">
        <w:t xml:space="preserve"> </w:t>
      </w:r>
      <w:r w:rsidRPr="00F956D0">
        <w:t>further specified that to ensure against potential cost shifts to PG&amp;E’s bundled</w:t>
      </w:r>
      <w:r w:rsidR="004D5EFA">
        <w:t xml:space="preserve"> </w:t>
      </w:r>
      <w:r w:rsidRPr="00F956D0">
        <w:lastRenderedPageBreak/>
        <w:t xml:space="preserve">service customers, PG&amp;E would be authorized to recover from all </w:t>
      </w:r>
      <w:r w:rsidR="00B62D8D">
        <w:t xml:space="preserve">LSEs </w:t>
      </w:r>
      <w:r w:rsidRPr="00F956D0">
        <w:t>the administrative and procurement costs associated with meeting DCPP’s substitution RA capacity obligations, including associated penalties and</w:t>
      </w:r>
      <w:r w:rsidR="004D5EFA">
        <w:t xml:space="preserve"> </w:t>
      </w:r>
      <w:r w:rsidRPr="00F956D0">
        <w:t>costs borne by non-DCPP resources.</w:t>
      </w:r>
      <w:r>
        <w:rPr>
          <w:rStyle w:val="FootnoteReference"/>
        </w:rPr>
        <w:footnoteReference w:id="108"/>
      </w:r>
    </w:p>
    <w:p w:rsidR="00367915" w:rsidP="00CD0B11" w:rsidRDefault="00367915" w14:paraId="4F1D424C" w14:textId="385EA7AB">
      <w:pPr>
        <w:pStyle w:val="Standard"/>
      </w:pPr>
      <w:r>
        <w:t xml:space="preserve">D.24-12-033 determined that “the Commission has already determined that the use of the RA MPB is appropriate. The use of PCIA benchmarks is more transparent and </w:t>
      </w:r>
      <w:r w:rsidRPr="004C4F61">
        <w:t>aligns with the regulatory precedent, e.g., ERRA. Therefore, it is</w:t>
      </w:r>
      <w:r w:rsidR="00AE7222">
        <w:t xml:space="preserve"> a </w:t>
      </w:r>
      <w:r w:rsidRPr="004C4F61">
        <w:t>reasonable and consistent choice to use in this proceeding.</w:t>
      </w:r>
      <w:r>
        <w:t>”</w:t>
      </w:r>
      <w:r>
        <w:rPr>
          <w:rStyle w:val="FootnoteReference"/>
        </w:rPr>
        <w:footnoteReference w:id="109"/>
      </w:r>
      <w:r>
        <w:t xml:space="preserve"> Additionally, D.25-06-049 established a new methodology for calculating the RA </w:t>
      </w:r>
      <w:bookmarkStart w:name="_Hlk211516876" w:id="47"/>
      <w:r>
        <w:t>MPB</w:t>
      </w:r>
      <w:bookmarkEnd w:id="47"/>
      <w:r w:rsidR="003E1028">
        <w:t xml:space="preserve"> </w:t>
      </w:r>
      <w:r>
        <w:t>authorized in D.24-12-</w:t>
      </w:r>
      <w:r w:rsidR="00AE7222">
        <w:t>0</w:t>
      </w:r>
      <w:r>
        <w:t xml:space="preserve">33 to calculate DCPP substitution capacity. The new methodology </w:t>
      </w:r>
      <w:r w:rsidRPr="00E97349">
        <w:t>utilize</w:t>
      </w:r>
      <w:r>
        <w:t>s</w:t>
      </w:r>
      <w:r w:rsidRPr="00E97349">
        <w:t xml:space="preserve"> three</w:t>
      </w:r>
      <w:r w:rsidR="00904077">
        <w:t xml:space="preserve"> </w:t>
      </w:r>
      <w:r w:rsidRPr="00E97349">
        <w:t>years’ transaction data when adopting the annual forecast RA MPB and four</w:t>
      </w:r>
      <w:r w:rsidR="00904077">
        <w:t xml:space="preserve"> </w:t>
      </w:r>
      <w:r w:rsidRPr="00E97349">
        <w:t>years’ transaction data when adopting the annual final RA MPB.</w:t>
      </w:r>
      <w:r>
        <w:rPr>
          <w:rStyle w:val="FootnoteReference"/>
        </w:rPr>
        <w:footnoteReference w:id="110"/>
      </w:r>
      <w:r w:rsidRPr="00E97349">
        <w:t xml:space="preserve"> The </w:t>
      </w:r>
      <w:r>
        <w:t xml:space="preserve">decision also ordered </w:t>
      </w:r>
      <w:r w:rsidRPr="00E97349">
        <w:t xml:space="preserve">Energy Division </w:t>
      </w:r>
      <w:r>
        <w:t xml:space="preserve">to </w:t>
      </w:r>
      <w:r w:rsidRPr="00E97349">
        <w:t xml:space="preserve">exclude from the </w:t>
      </w:r>
      <w:r>
        <w:t xml:space="preserve">MPB </w:t>
      </w:r>
      <w:r w:rsidRPr="00E97349">
        <w:t>calculation affiliate and swap transaction data</w:t>
      </w:r>
      <w:r>
        <w:t xml:space="preserve"> and to utilize </w:t>
      </w:r>
      <w:r w:rsidRPr="00E97349">
        <w:t>a single transaction within a sleeve transaction in the RA MPB calculation.</w:t>
      </w:r>
      <w:r>
        <w:rPr>
          <w:rStyle w:val="FootnoteReference"/>
        </w:rPr>
        <w:footnoteReference w:id="111"/>
      </w:r>
      <w:r w:rsidRPr="00E97349">
        <w:t xml:space="preserve">  </w:t>
      </w:r>
    </w:p>
    <w:p w:rsidR="00367915" w:rsidP="008926B4" w:rsidRDefault="00367915" w14:paraId="30854709" w14:textId="77777777">
      <w:pPr>
        <w:pStyle w:val="Heading3"/>
      </w:pPr>
      <w:bookmarkStart w:name="_Toc216176810" w:id="48"/>
      <w:r w:rsidRPr="00F956D0">
        <w:t>PG&amp;E’s Proposal</w:t>
      </w:r>
      <w:bookmarkEnd w:id="48"/>
    </w:p>
    <w:p w:rsidR="004D5EFA" w:rsidP="004D5EFA" w:rsidRDefault="00367915" w14:paraId="28B4A489" w14:textId="77777777">
      <w:pPr>
        <w:pStyle w:val="Standard"/>
      </w:pPr>
      <w:r>
        <w:t>To develop its RA substitution capacity cost forecast, PG&amp;E first</w:t>
      </w:r>
      <w:r w:rsidR="004D5EFA">
        <w:t xml:space="preserve"> </w:t>
      </w:r>
      <w:r>
        <w:t>determines the amount of RA substitution capacity needed during times when</w:t>
      </w:r>
      <w:r w:rsidR="004D5EFA">
        <w:t xml:space="preserve"> </w:t>
      </w:r>
      <w:r>
        <w:t>Diablo Canyon is expected to be offline or curtailed due to planned outages,</w:t>
      </w:r>
      <w:r w:rsidR="004D5EFA">
        <w:t xml:space="preserve"> </w:t>
      </w:r>
      <w:r>
        <w:t>tunnel cleaning, and/or other short-term curtailment events. This required</w:t>
      </w:r>
      <w:r w:rsidR="004D5EFA">
        <w:t xml:space="preserve"> </w:t>
      </w:r>
      <w:r>
        <w:lastRenderedPageBreak/>
        <w:t>capacity is then multiplied by a market reference price to estimate the total</w:t>
      </w:r>
      <w:r w:rsidR="004D5EFA">
        <w:t xml:space="preserve"> </w:t>
      </w:r>
      <w:r>
        <w:t>procurement costs for meeting DCPP’s RA substitution capacity obligations.</w:t>
      </w:r>
      <w:r>
        <w:rPr>
          <w:rStyle w:val="FootnoteReference"/>
        </w:rPr>
        <w:footnoteReference w:id="112"/>
      </w:r>
      <w:r w:rsidR="004D5EFA">
        <w:t xml:space="preserve"> </w:t>
      </w:r>
    </w:p>
    <w:p w:rsidRPr="00904077" w:rsidR="00367915" w:rsidP="004D5EFA" w:rsidRDefault="00367915" w14:paraId="2DDDD2B7" w14:textId="45E4D913">
      <w:pPr>
        <w:pStyle w:val="Standard"/>
      </w:pPr>
      <w:r>
        <w:t>PG&amp;E uses the outage and curtailment schedules from the generation forecast</w:t>
      </w:r>
      <w:r w:rsidR="004D5EFA">
        <w:t xml:space="preserve"> </w:t>
      </w:r>
      <w:r>
        <w:t xml:space="preserve">and multiplies that amount with the 2025 </w:t>
      </w:r>
      <w:bookmarkStart w:name="_Hlk211516898" w:id="49"/>
      <w:r w:rsidR="00904077">
        <w:t>Power Charge Indifference Adjustment (</w:t>
      </w:r>
      <w:r>
        <w:t>P</w:t>
      </w:r>
      <w:r w:rsidR="00904077">
        <w:t>CIA)</w:t>
      </w:r>
      <w:r>
        <w:t xml:space="preserve"> </w:t>
      </w:r>
      <w:bookmarkEnd w:id="49"/>
      <w:r>
        <w:t xml:space="preserve">system RA MPB, similar to the practice used in the </w:t>
      </w:r>
      <w:r w:rsidR="00904077">
        <w:t>ERRA</w:t>
      </w:r>
      <w:r>
        <w:t xml:space="preserve"> Forecast proceeding.</w:t>
      </w:r>
      <w:r>
        <w:rPr>
          <w:rStyle w:val="FootnoteReference"/>
        </w:rPr>
        <w:footnoteReference w:id="113"/>
      </w:r>
      <w:r>
        <w:t xml:space="preserve"> Consistent with traditional ERRA Forecast modeling practices, PG&amp;E will true-up the 2025 substitution capacity cost to reflect the final 2025 PCIA system RA </w:t>
      </w:r>
      <w:r w:rsidR="003E1028">
        <w:t>MPB</w:t>
      </w:r>
      <w:r>
        <w:t xml:space="preserve"> and update </w:t>
      </w:r>
      <w:r w:rsidRPr="0066553B">
        <w:t xml:space="preserve">the DCPP RA substitution capacity cost forecast in the Fall using the forecast 2026 PCIA system RA </w:t>
      </w:r>
      <w:r w:rsidR="003E1028">
        <w:t>MPB</w:t>
      </w:r>
      <w:r w:rsidRPr="0066553B">
        <w:t>, unless otherwise directed by the Commission</w:t>
      </w:r>
      <w:r>
        <w:t>.</w:t>
      </w:r>
      <w:r>
        <w:rPr>
          <w:rStyle w:val="FootnoteReference"/>
        </w:rPr>
        <w:footnoteReference w:id="114"/>
      </w:r>
      <w:r>
        <w:t xml:space="preserve"> PG&amp;E notes that its forecast does not include any additional administrative costs or potential compliance penalties costs and/or costs borne due to non-DCPP resources within PG&amp;E’s generation portfolio.</w:t>
      </w:r>
      <w:r>
        <w:rPr>
          <w:rStyle w:val="FootnoteReference"/>
        </w:rPr>
        <w:footnoteReference w:id="115"/>
      </w:r>
    </w:p>
    <w:p w:rsidR="00367915" w:rsidP="00367915" w:rsidRDefault="00367915" w14:paraId="31E98348" w14:textId="77777777">
      <w:pPr>
        <w:pStyle w:val="Standard"/>
      </w:pPr>
      <w:r>
        <w:t>As a result, PG&amp;E seeks recovery from ratepayers of forecast RA</w:t>
      </w:r>
    </w:p>
    <w:p w:rsidR="00367915" w:rsidP="00367915" w:rsidRDefault="00367915" w14:paraId="665E41F6" w14:textId="31615D33">
      <w:pPr>
        <w:pStyle w:val="Standard"/>
        <w:ind w:firstLine="0"/>
      </w:pPr>
      <w:r>
        <w:t xml:space="preserve">Substitution Capacity </w:t>
      </w:r>
      <w:r w:rsidRPr="00904077">
        <w:t>Costs of $</w:t>
      </w:r>
      <w:r w:rsidRPr="00904077" w:rsidR="00904077">
        <w:t>26.288</w:t>
      </w:r>
      <w:r w:rsidR="000B222B">
        <w:t xml:space="preserve"> million </w:t>
      </w:r>
      <w:r w:rsidRPr="00904077">
        <w:t>for 2026 as shown in Table</w:t>
      </w:r>
      <w:r w:rsidRPr="00904077" w:rsidR="00904077">
        <w:t xml:space="preserve"> 2</w:t>
      </w:r>
      <w:r w:rsidRPr="00904077">
        <w:t>. Due to the decrease in the system RA MPB</w:t>
      </w:r>
      <w:r w:rsidR="00973030">
        <w:t xml:space="preserve"> as well as the updated outage schedule</w:t>
      </w:r>
      <w:r w:rsidRPr="00904077">
        <w:t>, the forecasted RA substitution capacity costs decreased from $160.8</w:t>
      </w:r>
      <w:r w:rsidR="000B222B">
        <w:t xml:space="preserve"> million </w:t>
      </w:r>
      <w:r w:rsidRPr="00904077">
        <w:t>to $</w:t>
      </w:r>
      <w:r w:rsidRPr="00904077" w:rsidR="00904077">
        <w:t>26.288</w:t>
      </w:r>
      <w:r w:rsidR="000B222B">
        <w:t xml:space="preserve"> million </w:t>
      </w:r>
      <w:r w:rsidRPr="00F956D0">
        <w:t>in the Fall</w:t>
      </w:r>
      <w:r>
        <w:t xml:space="preserve"> </w:t>
      </w:r>
      <w:r w:rsidRPr="00F956D0">
        <w:t>Update.</w:t>
      </w:r>
    </w:p>
    <w:p w:rsidRPr="0066553B" w:rsidR="00367915" w:rsidP="002D4260" w:rsidRDefault="00367915" w14:paraId="49156E48" w14:textId="12A4E6A6">
      <w:pPr>
        <w:pStyle w:val="Standard"/>
        <w:keepNext/>
        <w:ind w:firstLine="0"/>
        <w:jc w:val="center"/>
        <w:rPr>
          <w:b/>
          <w:bCs/>
        </w:rPr>
      </w:pPr>
      <w:r w:rsidRPr="0066553B">
        <w:rPr>
          <w:b/>
          <w:bCs/>
        </w:rPr>
        <w:lastRenderedPageBreak/>
        <w:t xml:space="preserve">Table </w:t>
      </w:r>
      <w:r w:rsidR="00904077">
        <w:rPr>
          <w:b/>
          <w:bCs/>
        </w:rPr>
        <w:t>2</w:t>
      </w:r>
      <w:r w:rsidRPr="0066553B">
        <w:rPr>
          <w:b/>
          <w:bCs/>
        </w:rPr>
        <w:t>: RA Substitution Capacity Cost Forecast</w:t>
      </w:r>
    </w:p>
    <w:tbl>
      <w:tblPr>
        <w:tblStyle w:val="TableGrid"/>
        <w:tblW w:w="0" w:type="auto"/>
        <w:jc w:val="center"/>
        <w:tblLook w:val="04A0" w:firstRow="1" w:lastRow="0" w:firstColumn="1" w:lastColumn="0" w:noHBand="0" w:noVBand="1"/>
      </w:tblPr>
      <w:tblGrid>
        <w:gridCol w:w="3600"/>
        <w:gridCol w:w="3600"/>
      </w:tblGrid>
      <w:tr w:rsidR="00367915" w:rsidTr="00CA1F86" w14:paraId="4CCD4F33" w14:textId="77777777">
        <w:trPr>
          <w:tblHeader/>
          <w:jc w:val="center"/>
        </w:trPr>
        <w:tc>
          <w:tcPr>
            <w:tcW w:w="3600" w:type="dxa"/>
            <w:tcMar>
              <w:top w:w="58" w:type="dxa"/>
              <w:left w:w="115" w:type="dxa"/>
              <w:bottom w:w="58" w:type="dxa"/>
              <w:right w:w="115" w:type="dxa"/>
            </w:tcMar>
          </w:tcPr>
          <w:p w:rsidRPr="0066553B" w:rsidR="00367915" w:rsidP="002D4260" w:rsidRDefault="00367915" w14:paraId="563499EB" w14:textId="77777777">
            <w:pPr>
              <w:pStyle w:val="Standard"/>
              <w:keepNext/>
              <w:spacing w:line="240" w:lineRule="auto"/>
              <w:ind w:firstLine="0"/>
              <w:jc w:val="center"/>
              <w:rPr>
                <w:b/>
                <w:bCs/>
              </w:rPr>
            </w:pPr>
            <w:r w:rsidRPr="0066553B">
              <w:rPr>
                <w:b/>
                <w:bCs/>
              </w:rPr>
              <w:t>Year</w:t>
            </w:r>
          </w:p>
        </w:tc>
        <w:tc>
          <w:tcPr>
            <w:tcW w:w="3600" w:type="dxa"/>
            <w:tcMar>
              <w:top w:w="58" w:type="dxa"/>
              <w:left w:w="115" w:type="dxa"/>
              <w:bottom w:w="58" w:type="dxa"/>
              <w:right w:w="115" w:type="dxa"/>
            </w:tcMar>
          </w:tcPr>
          <w:p w:rsidRPr="0066553B" w:rsidR="00367915" w:rsidP="002D4260" w:rsidRDefault="00367915" w14:paraId="3B01BD70" w14:textId="77777777">
            <w:pPr>
              <w:pStyle w:val="Standard"/>
              <w:keepNext/>
              <w:spacing w:line="240" w:lineRule="auto"/>
              <w:ind w:firstLine="0"/>
              <w:jc w:val="center"/>
              <w:rPr>
                <w:b/>
                <w:bCs/>
              </w:rPr>
            </w:pPr>
            <w:r w:rsidRPr="0066553B">
              <w:rPr>
                <w:b/>
                <w:bCs/>
              </w:rPr>
              <w:t>Total</w:t>
            </w:r>
          </w:p>
        </w:tc>
      </w:tr>
      <w:tr w:rsidR="00367915" w:rsidTr="00FB4020" w14:paraId="6F118752" w14:textId="77777777">
        <w:trPr>
          <w:jc w:val="center"/>
        </w:trPr>
        <w:tc>
          <w:tcPr>
            <w:tcW w:w="3600" w:type="dxa"/>
            <w:tcMar>
              <w:top w:w="58" w:type="dxa"/>
              <w:left w:w="115" w:type="dxa"/>
              <w:bottom w:w="58" w:type="dxa"/>
              <w:right w:w="115" w:type="dxa"/>
            </w:tcMar>
          </w:tcPr>
          <w:p w:rsidR="00367915" w:rsidP="002D4260" w:rsidRDefault="00367915" w14:paraId="7B642560" w14:textId="77777777">
            <w:pPr>
              <w:pStyle w:val="Standard"/>
              <w:keepNext/>
              <w:spacing w:line="240" w:lineRule="auto"/>
              <w:ind w:firstLine="0"/>
              <w:jc w:val="center"/>
            </w:pPr>
            <w:r>
              <w:t>2024</w:t>
            </w:r>
          </w:p>
        </w:tc>
        <w:tc>
          <w:tcPr>
            <w:tcW w:w="3600" w:type="dxa"/>
            <w:tcMar>
              <w:top w:w="58" w:type="dxa"/>
              <w:left w:w="115" w:type="dxa"/>
              <w:bottom w:w="58" w:type="dxa"/>
              <w:right w:w="115" w:type="dxa"/>
            </w:tcMar>
          </w:tcPr>
          <w:p w:rsidR="00367915" w:rsidP="002D4260" w:rsidRDefault="00367915" w14:paraId="4BFAC983" w14:textId="77777777">
            <w:pPr>
              <w:pStyle w:val="Standard"/>
              <w:keepNext/>
              <w:spacing w:line="240" w:lineRule="auto"/>
              <w:ind w:firstLine="0"/>
              <w:jc w:val="right"/>
            </w:pPr>
            <w:r>
              <w:t>$16,340,100</w:t>
            </w:r>
          </w:p>
        </w:tc>
      </w:tr>
      <w:tr w:rsidR="00367915" w:rsidTr="00FB4020" w14:paraId="5FF74025" w14:textId="77777777">
        <w:trPr>
          <w:jc w:val="center"/>
        </w:trPr>
        <w:tc>
          <w:tcPr>
            <w:tcW w:w="3600" w:type="dxa"/>
            <w:tcMar>
              <w:top w:w="58" w:type="dxa"/>
              <w:left w:w="115" w:type="dxa"/>
              <w:bottom w:w="58" w:type="dxa"/>
              <w:right w:w="115" w:type="dxa"/>
            </w:tcMar>
          </w:tcPr>
          <w:p w:rsidR="00367915" w:rsidP="002D4260" w:rsidRDefault="00367915" w14:paraId="0E8141BD" w14:textId="77777777">
            <w:pPr>
              <w:pStyle w:val="Standard"/>
              <w:keepNext/>
              <w:spacing w:line="240" w:lineRule="auto"/>
              <w:ind w:firstLine="0"/>
              <w:jc w:val="center"/>
            </w:pPr>
            <w:r>
              <w:t>2025</w:t>
            </w:r>
          </w:p>
        </w:tc>
        <w:tc>
          <w:tcPr>
            <w:tcW w:w="3600" w:type="dxa"/>
            <w:tcMar>
              <w:top w:w="58" w:type="dxa"/>
              <w:left w:w="115" w:type="dxa"/>
              <w:bottom w:w="58" w:type="dxa"/>
              <w:right w:w="115" w:type="dxa"/>
            </w:tcMar>
          </w:tcPr>
          <w:p w:rsidR="00367915" w:rsidP="002D4260" w:rsidRDefault="00367915" w14:paraId="0FC3A756" w14:textId="77777777">
            <w:pPr>
              <w:pStyle w:val="Standard"/>
              <w:keepNext/>
              <w:spacing w:line="240" w:lineRule="auto"/>
              <w:ind w:firstLine="0"/>
              <w:jc w:val="right"/>
            </w:pPr>
            <w:r>
              <w:t>$193,800,800</w:t>
            </w:r>
          </w:p>
        </w:tc>
      </w:tr>
      <w:tr w:rsidR="00367915" w:rsidTr="00FB4020" w14:paraId="66BEAFEF" w14:textId="77777777">
        <w:trPr>
          <w:jc w:val="center"/>
        </w:trPr>
        <w:tc>
          <w:tcPr>
            <w:tcW w:w="3600" w:type="dxa"/>
            <w:tcMar>
              <w:top w:w="58" w:type="dxa"/>
              <w:left w:w="115" w:type="dxa"/>
              <w:bottom w:w="58" w:type="dxa"/>
              <w:right w:w="115" w:type="dxa"/>
            </w:tcMar>
          </w:tcPr>
          <w:p w:rsidR="00367915" w:rsidP="002D4260" w:rsidRDefault="00367915" w14:paraId="2B64A43C" w14:textId="77777777">
            <w:pPr>
              <w:pStyle w:val="Standard"/>
              <w:keepNext/>
              <w:spacing w:line="240" w:lineRule="auto"/>
              <w:ind w:firstLine="0"/>
              <w:jc w:val="center"/>
            </w:pPr>
            <w:r>
              <w:t>2026</w:t>
            </w:r>
          </w:p>
        </w:tc>
        <w:tc>
          <w:tcPr>
            <w:tcW w:w="3600" w:type="dxa"/>
            <w:tcMar>
              <w:top w:w="58" w:type="dxa"/>
              <w:left w:w="115" w:type="dxa"/>
              <w:bottom w:w="58" w:type="dxa"/>
              <w:right w:w="115" w:type="dxa"/>
            </w:tcMar>
          </w:tcPr>
          <w:p w:rsidR="00367915" w:rsidP="002D4260" w:rsidRDefault="00904077" w14:paraId="4EFD4EA3" w14:textId="14C99BEF">
            <w:pPr>
              <w:pStyle w:val="Standard"/>
              <w:keepNext/>
              <w:spacing w:line="240" w:lineRule="auto"/>
              <w:ind w:firstLine="0"/>
              <w:jc w:val="right"/>
            </w:pPr>
            <w:r>
              <w:t>$26,288,000</w:t>
            </w:r>
          </w:p>
        </w:tc>
      </w:tr>
      <w:tr w:rsidR="00367915" w:rsidTr="00FB4020" w14:paraId="1C422FF9" w14:textId="77777777">
        <w:trPr>
          <w:jc w:val="center"/>
        </w:trPr>
        <w:tc>
          <w:tcPr>
            <w:tcW w:w="3600" w:type="dxa"/>
            <w:tcMar>
              <w:top w:w="58" w:type="dxa"/>
              <w:left w:w="115" w:type="dxa"/>
              <w:bottom w:w="58" w:type="dxa"/>
              <w:right w:w="115" w:type="dxa"/>
            </w:tcMar>
          </w:tcPr>
          <w:p w:rsidRPr="0066553B" w:rsidR="00367915" w:rsidP="00FB4020" w:rsidRDefault="00367915" w14:paraId="3C70532B" w14:textId="77777777">
            <w:pPr>
              <w:pStyle w:val="Standard"/>
              <w:tabs>
                <w:tab w:val="center" w:pos="2229"/>
              </w:tabs>
              <w:spacing w:line="240" w:lineRule="auto"/>
              <w:ind w:firstLine="0"/>
              <w:jc w:val="right"/>
              <w:rPr>
                <w:b/>
                <w:bCs/>
              </w:rPr>
            </w:pPr>
            <w:r>
              <w:rPr>
                <w:b/>
                <w:bCs/>
              </w:rPr>
              <w:t>Total</w:t>
            </w:r>
          </w:p>
        </w:tc>
        <w:tc>
          <w:tcPr>
            <w:tcW w:w="3600" w:type="dxa"/>
            <w:tcMar>
              <w:top w:w="58" w:type="dxa"/>
              <w:left w:w="115" w:type="dxa"/>
              <w:bottom w:w="58" w:type="dxa"/>
              <w:right w:w="115" w:type="dxa"/>
            </w:tcMar>
          </w:tcPr>
          <w:p w:rsidRPr="0066553B" w:rsidR="008926B4" w:rsidP="00FB4020" w:rsidRDefault="00367915" w14:paraId="3C336F50" w14:textId="3518F59C">
            <w:pPr>
              <w:pStyle w:val="Standard"/>
              <w:spacing w:line="240" w:lineRule="auto"/>
              <w:ind w:firstLine="0"/>
              <w:jc w:val="right"/>
              <w:rPr>
                <w:b/>
                <w:bCs/>
              </w:rPr>
            </w:pPr>
            <w:r>
              <w:rPr>
                <w:b/>
                <w:bCs/>
              </w:rPr>
              <w:t>$</w:t>
            </w:r>
            <w:r w:rsidR="00904077">
              <w:rPr>
                <w:b/>
                <w:bCs/>
              </w:rPr>
              <w:t>236,428,900</w:t>
            </w:r>
          </w:p>
        </w:tc>
      </w:tr>
    </w:tbl>
    <w:p w:rsidR="008926B4" w:rsidP="00CA1F86" w:rsidRDefault="008926B4" w14:paraId="4056DA01" w14:textId="77777777">
      <w:pPr>
        <w:pStyle w:val="Standard"/>
        <w:spacing w:line="240" w:lineRule="auto"/>
      </w:pPr>
    </w:p>
    <w:p w:rsidR="00367915" w:rsidP="008926B4" w:rsidRDefault="00904077" w14:paraId="09577F64" w14:textId="726FA697">
      <w:pPr>
        <w:pStyle w:val="Heading3"/>
      </w:pPr>
      <w:bookmarkStart w:name="_Toc216176811" w:id="50"/>
      <w:r w:rsidRPr="008926B4">
        <w:t>Party</w:t>
      </w:r>
      <w:r>
        <w:t xml:space="preserve"> </w:t>
      </w:r>
      <w:r w:rsidRPr="008926B4">
        <w:t>Comments</w:t>
      </w:r>
      <w:bookmarkEnd w:id="50"/>
    </w:p>
    <w:p w:rsidRPr="004C4F61" w:rsidR="00367915" w:rsidP="00367915" w:rsidRDefault="00367915" w14:paraId="7CBEE588" w14:textId="413F4284">
      <w:pPr>
        <w:pStyle w:val="Standard"/>
      </w:pPr>
      <w:r w:rsidRPr="004C4F61">
        <w:t xml:space="preserve">Several parties </w:t>
      </w:r>
      <w:r>
        <w:t>–</w:t>
      </w:r>
      <w:r w:rsidRPr="004C4F61">
        <w:t xml:space="preserve"> </w:t>
      </w:r>
      <w:r>
        <w:t xml:space="preserve">TURN, </w:t>
      </w:r>
      <w:r w:rsidRPr="004C4F61">
        <w:t xml:space="preserve">SBUA, EPUC, and CalCCA </w:t>
      </w:r>
      <w:r>
        <w:t>–</w:t>
      </w:r>
      <w:r w:rsidRPr="004C4F61">
        <w:t xml:space="preserve"> </w:t>
      </w:r>
      <w:r>
        <w:t xml:space="preserve">support using the RA MPB to calculate forecast RA substitution capacity although they recommend </w:t>
      </w:r>
      <w:r w:rsidR="00904077">
        <w:t>modifications to the MPB</w:t>
      </w:r>
      <w:r>
        <w:t>. TURN recommends using monthly RA MPB values that it estimates could save between $2.582</w:t>
      </w:r>
      <w:r w:rsidR="000B222B">
        <w:t xml:space="preserve"> million </w:t>
      </w:r>
      <w:r>
        <w:t>and $6.686</w:t>
      </w:r>
      <w:r w:rsidR="000B222B">
        <w:t xml:space="preserve"> million </w:t>
      </w:r>
      <w:r>
        <w:t>per year from 2026-2030, based on the 2025 forecast modifications modeled by Energy Division.</w:t>
      </w:r>
      <w:r>
        <w:rPr>
          <w:rStyle w:val="FootnoteReference"/>
        </w:rPr>
        <w:footnoteReference w:id="116"/>
      </w:r>
      <w:r>
        <w:t xml:space="preserve"> EPUC also recommends using monthly RA MPB values in place of the annual average price PG&amp;E uses in its forecast and cites TURN’s estimated savings calculations.</w:t>
      </w:r>
      <w:r>
        <w:rPr>
          <w:rStyle w:val="FootnoteReference"/>
        </w:rPr>
        <w:footnoteReference w:id="117"/>
      </w:r>
      <w:r>
        <w:t xml:space="preserve"> CalCCA argues that DCPP’s 2026 substitution capacity </w:t>
      </w:r>
      <w:r w:rsidR="00904077">
        <w:t xml:space="preserve">forecast </w:t>
      </w:r>
      <w:r>
        <w:t>should be calculated using the methodology adopted prior to D.25-06</w:t>
      </w:r>
      <w:r w:rsidR="002D4260">
        <w:noBreakHyphen/>
      </w:r>
      <w:r>
        <w:t>049 because “[t]</w:t>
      </w:r>
      <w:proofErr w:type="spellStart"/>
      <w:r w:rsidRPr="00E97349">
        <w:t>hough</w:t>
      </w:r>
      <w:proofErr w:type="spellEnd"/>
      <w:r w:rsidRPr="00E97349">
        <w:t xml:space="preserve"> the Commission is generally authorized to revise the RA MPB, it cannot do</w:t>
      </w:r>
      <w:r>
        <w:t xml:space="preserve"> </w:t>
      </w:r>
      <w:r w:rsidRPr="00E97349">
        <w:t>so with retroactive effect.</w:t>
      </w:r>
      <w:r>
        <w:t>”</w:t>
      </w:r>
      <w:r>
        <w:rPr>
          <w:rStyle w:val="FootnoteReference"/>
        </w:rPr>
        <w:footnoteReference w:id="118"/>
      </w:r>
      <w:r>
        <w:t xml:space="preserve"> </w:t>
      </w:r>
      <w:r w:rsidR="000C5B07">
        <w:t xml:space="preserve">SCE </w:t>
      </w:r>
      <w:r w:rsidR="00D11985">
        <w:t>sta</w:t>
      </w:r>
      <w:r w:rsidR="000C5B07">
        <w:t xml:space="preserve">tes in its Reply Brief that </w:t>
      </w:r>
      <w:proofErr w:type="spellStart"/>
      <w:r w:rsidR="000C5B07">
        <w:t>CalCCA’s</w:t>
      </w:r>
      <w:proofErr w:type="spellEnd"/>
      <w:r w:rsidR="000C5B07">
        <w:t xml:space="preserve"> proposal has already been litigated and rejected in R.25-02-005 and represents “an impermissible collateral attack on (D.25-06-049) and should also be rejected.”</w:t>
      </w:r>
      <w:r w:rsidR="000C5B07">
        <w:rPr>
          <w:rStyle w:val="FootnoteReference"/>
        </w:rPr>
        <w:footnoteReference w:id="119"/>
      </w:r>
      <w:r w:rsidR="000C5B07">
        <w:t xml:space="preserve"> </w:t>
      </w:r>
      <w:r>
        <w:t xml:space="preserve">SBUA supports using the RA MPB methodology updated in D.25-06-049 but suggests additional changes to the methodology such as </w:t>
      </w:r>
      <w:r>
        <w:lastRenderedPageBreak/>
        <w:t>including data from longer term power purchase agreements, “arms-length” power purchase agreements, and pricing from the Western Electric Coordinating Council and other balancing authorities.</w:t>
      </w:r>
      <w:r>
        <w:rPr>
          <w:rStyle w:val="FootnoteReference"/>
        </w:rPr>
        <w:footnoteReference w:id="120"/>
      </w:r>
      <w:r>
        <w:t xml:space="preserve"> </w:t>
      </w:r>
    </w:p>
    <w:p w:rsidR="00367915" w:rsidP="00367915" w:rsidRDefault="00367915" w14:paraId="42789A2D" w14:textId="3D87B44A">
      <w:pPr>
        <w:pStyle w:val="Standard"/>
      </w:pPr>
      <w:r>
        <w:t xml:space="preserve">A4NR offers its own 2026 DCPP RA substitution capacity forecast of $8,618,400 using PG&amp;E’s 2026 confidential forward price curve figures from system RA capacity contained in PG&amp;E’s response to </w:t>
      </w:r>
      <w:r w:rsidR="001C5C26">
        <w:t xml:space="preserve">Exhibit </w:t>
      </w:r>
      <w:r>
        <w:t xml:space="preserve">A4NR-01-Q001 and applying them to the 2026 scheduled outages identified in </w:t>
      </w:r>
      <w:r w:rsidR="001C5C26">
        <w:t xml:space="preserve">Exhibit </w:t>
      </w:r>
      <w:r>
        <w:t>PG&amp;E-01-WP-C Resource Adequacy Substitution Capacity Cost Forecast supporting Chapter 3 of PG&amp;E’s prepared testimony.</w:t>
      </w:r>
      <w:r>
        <w:rPr>
          <w:rStyle w:val="FootnoteReference"/>
        </w:rPr>
        <w:footnoteReference w:id="121"/>
      </w:r>
      <w:r>
        <w:t xml:space="preserve"> A4NR </w:t>
      </w:r>
      <w:r w:rsidR="00D11985">
        <w:t>sta</w:t>
      </w:r>
      <w:r>
        <w:t>tes: “</w:t>
      </w:r>
      <w:r w:rsidRPr="005C4B85">
        <w:t xml:space="preserve">Based upon this hard evidence, PG&amp;E’s </w:t>
      </w:r>
      <w:r>
        <w:t>‘</w:t>
      </w:r>
      <w:r w:rsidRPr="005C4B85">
        <w:t>forecast</w:t>
      </w:r>
      <w:r>
        <w:t>’</w:t>
      </w:r>
      <w:r w:rsidRPr="005C4B85">
        <w:t xml:space="preserve"> of RA subs</w:t>
      </w:r>
      <w:r>
        <w:rPr>
          <w:rFonts w:eastAsia="Book Antiqua" w:cs="Book Antiqua"/>
        </w:rPr>
        <w:t>ti</w:t>
      </w:r>
      <w:r w:rsidRPr="005C4B85">
        <w:t>tu</w:t>
      </w:r>
      <w:r>
        <w:rPr>
          <w:rFonts w:eastAsia="Book Antiqua" w:cs="Book Antiqua"/>
        </w:rPr>
        <w:t>ti</w:t>
      </w:r>
      <w:r w:rsidRPr="005C4B85">
        <w:t xml:space="preserve">on capacity costs is </w:t>
      </w:r>
      <w:r w:rsidRPr="005C4B85">
        <w:rPr>
          <w:i/>
          <w:iCs/>
        </w:rPr>
        <w:t xml:space="preserve">per se </w:t>
      </w:r>
      <w:r w:rsidRPr="005C4B85">
        <w:t>unreasonable</w:t>
      </w:r>
      <w:r>
        <w:t>.”</w:t>
      </w:r>
      <w:r>
        <w:rPr>
          <w:rStyle w:val="FootnoteReference"/>
        </w:rPr>
        <w:footnoteReference w:id="122"/>
      </w:r>
    </w:p>
    <w:p w:rsidR="00367915" w:rsidP="00367915" w:rsidRDefault="00367915" w14:paraId="27BF8F49" w14:textId="77777777">
      <w:pPr>
        <w:pStyle w:val="Standard"/>
      </w:pPr>
      <w:r>
        <w:t>CARE states in its Opening Brief that “[t]</w:t>
      </w:r>
      <w:r w:rsidRPr="001F06AE">
        <w:t>he Market Price benchmark utilized by PG&amp;E is not appropria</w:t>
      </w:r>
      <w:r>
        <w:t>te …</w:t>
      </w:r>
      <w:r w:rsidRPr="001F06AE">
        <w:t xml:space="preserve"> because there exists a mismatch between the peak summer pricing and the timing of Diablo Canyon outages. The Commission should require PG&amp;E to utilize their own internal monthly forward RA price curves in calculating RA substitution costs.</w:t>
      </w:r>
      <w:r>
        <w:t>”</w:t>
      </w:r>
      <w:r>
        <w:rPr>
          <w:rStyle w:val="FootnoteReference"/>
        </w:rPr>
        <w:footnoteReference w:id="123"/>
      </w:r>
    </w:p>
    <w:p w:rsidRPr="001009FD" w:rsidR="00367915" w:rsidP="00367915" w:rsidRDefault="00367915" w14:paraId="7AE89C50" w14:textId="2E524E28">
      <w:pPr>
        <w:pStyle w:val="Standard"/>
      </w:pPr>
      <w:r>
        <w:t>PG&amp;E argues in its Opening Brief that the RA MPB is “</w:t>
      </w:r>
      <w:r w:rsidRPr="001F06AE">
        <w:t>aligned with a series of Commission decisions related to other cost</w:t>
      </w:r>
      <w:r>
        <w:t xml:space="preserve"> </w:t>
      </w:r>
      <w:r w:rsidRPr="001F06AE">
        <w:t>recovery treatment methods such as ERRA (i.e., bundled service generation rate), PCIA, and</w:t>
      </w:r>
      <w:r w:rsidR="00904077">
        <w:t xml:space="preserve"> </w:t>
      </w:r>
      <w:bookmarkStart w:name="_Hlk211516906" w:id="51"/>
      <w:r w:rsidRPr="001F06AE">
        <w:t>C</w:t>
      </w:r>
      <w:r>
        <w:t xml:space="preserve">ost </w:t>
      </w:r>
      <w:r w:rsidRPr="001F06AE">
        <w:t>A</w:t>
      </w:r>
      <w:r>
        <w:t xml:space="preserve">llocation </w:t>
      </w:r>
      <w:r w:rsidRPr="001F06AE">
        <w:t>M</w:t>
      </w:r>
      <w:r>
        <w:t>echanism</w:t>
      </w:r>
      <w:r w:rsidR="00904077">
        <w:t xml:space="preserve"> (CAM)</w:t>
      </w:r>
      <w:r w:rsidRPr="001F06AE">
        <w:t xml:space="preserve"> </w:t>
      </w:r>
      <w:bookmarkEnd w:id="51"/>
      <w:r w:rsidRPr="001F06AE">
        <w:t>ratemaking practices.</w:t>
      </w:r>
      <w:r>
        <w:t>”</w:t>
      </w:r>
      <w:r>
        <w:rPr>
          <w:rStyle w:val="FootnoteReference"/>
        </w:rPr>
        <w:footnoteReference w:id="124"/>
      </w:r>
      <w:r>
        <w:t xml:space="preserve"> PG&amp;E also cites D.23-12-036 that stated “the DCPP Extended Operations Cost Forecast proceeding should … utilize a process that mirrors the CAM process to determine the price of the </w:t>
      </w:r>
      <w:r>
        <w:lastRenderedPageBreak/>
        <w:t>volumetric NBC to be charged by each of the corporations.”</w:t>
      </w:r>
      <w:r>
        <w:rPr>
          <w:rStyle w:val="FootnoteReference"/>
        </w:rPr>
        <w:footnoteReference w:id="125"/>
      </w:r>
      <w:r>
        <w:t xml:space="preserve"> Additionally, PG&amp;E argues that its bundled service customers who receive both generation and transmission and distribution services are already </w:t>
      </w:r>
      <w:r w:rsidRPr="001F06AE">
        <w:t>required to pay the PCIA system RA MPB, for ratemaking purposes, when</w:t>
      </w:r>
      <w:r>
        <w:t xml:space="preserve"> </w:t>
      </w:r>
      <w:r w:rsidRPr="001F06AE">
        <w:t>using RA capacity from PG&amp;E’s PCIA-eligible portfolio to meet their RA compliance</w:t>
      </w:r>
      <w:r>
        <w:t xml:space="preserve"> </w:t>
      </w:r>
      <w:r w:rsidRPr="001F06AE">
        <w:t>obligations</w:t>
      </w:r>
      <w:r>
        <w:t>. PG&amp;E argues: “</w:t>
      </w:r>
      <w:r w:rsidRPr="001009FD">
        <w:t>Whether PG&amp;E’s bundled service customers use RA capacity from the</w:t>
      </w:r>
      <w:r>
        <w:t xml:space="preserve"> </w:t>
      </w:r>
      <w:r w:rsidRPr="001009FD">
        <w:t>PCIA-eligible portfolio to meet an RA substitution capacity obligation for DCPP or a non-DCPP</w:t>
      </w:r>
      <w:r>
        <w:t xml:space="preserve"> </w:t>
      </w:r>
      <w:r w:rsidRPr="001009FD">
        <w:t>resource, the same reference price must be used for ratemaking purposes to ensure a fair and</w:t>
      </w:r>
      <w:r>
        <w:t xml:space="preserve"> </w:t>
      </w:r>
      <w:r w:rsidRPr="001009FD">
        <w:t>equitable outcome. In other words, it would be discriminatory and arguably in violation of</w:t>
      </w:r>
      <w:r>
        <w:t xml:space="preserve"> </w:t>
      </w:r>
      <w:r w:rsidRPr="001009FD">
        <w:t>Pub</w:t>
      </w:r>
      <w:r w:rsidR="001C5C26">
        <w:t>.</w:t>
      </w:r>
      <w:r w:rsidRPr="001009FD">
        <w:t xml:space="preserve"> Util</w:t>
      </w:r>
      <w:r w:rsidR="001C5C26">
        <w:t>.</w:t>
      </w:r>
      <w:r w:rsidRPr="001009FD">
        <w:t xml:space="preserve"> Code </w:t>
      </w:r>
      <w:r w:rsidR="001C5C26">
        <w:t>Section</w:t>
      </w:r>
      <w:r w:rsidRPr="001009FD">
        <w:t xml:space="preserve"> 453(c) if the Commission requires PG&amp;E’s bundled service customers to</w:t>
      </w:r>
      <w:r>
        <w:t xml:space="preserve"> </w:t>
      </w:r>
      <w:r w:rsidRPr="001009FD">
        <w:t>pay one price to use PCIA-eligible resources for RA substitution capacity purposes while</w:t>
      </w:r>
    </w:p>
    <w:p w:rsidR="00367915" w:rsidP="00367915" w:rsidRDefault="00367915" w14:paraId="48C19D20" w14:textId="77777777">
      <w:pPr>
        <w:pStyle w:val="Standard"/>
        <w:ind w:firstLine="0"/>
      </w:pPr>
      <w:r w:rsidRPr="001009FD">
        <w:t>requiring DCPP customers to pay a different price for precisely the same product.</w:t>
      </w:r>
      <w:r>
        <w:t>”</w:t>
      </w:r>
      <w:r>
        <w:rPr>
          <w:rStyle w:val="FootnoteReference"/>
        </w:rPr>
        <w:footnoteReference w:id="126"/>
      </w:r>
    </w:p>
    <w:p w:rsidR="00367915" w:rsidP="00367915" w:rsidRDefault="00367915" w14:paraId="46B5BC67" w14:textId="2AF13A3F">
      <w:pPr>
        <w:pStyle w:val="Standard"/>
      </w:pPr>
      <w:r>
        <w:t>Finally, PG&amp;E argues that no party has presented a “comprehensive methodology that could serve as a viable alternative reference price to the Commission’s PCIA System RA MPB.”</w:t>
      </w:r>
      <w:r>
        <w:rPr>
          <w:rStyle w:val="FootnoteReference"/>
        </w:rPr>
        <w:footnoteReference w:id="127"/>
      </w:r>
      <w:r>
        <w:t xml:space="preserve"> PG&amp;E </w:t>
      </w:r>
      <w:r w:rsidR="00D11985">
        <w:t>sta</w:t>
      </w:r>
      <w:r>
        <w:t>tes that A4NR’s proposal would effectively cap the RA substitution capacity forecast for DCPP at “levels available in the marketplace at the time the outages are forecast.”</w:t>
      </w:r>
      <w:r>
        <w:rPr>
          <w:rStyle w:val="FootnoteReference"/>
        </w:rPr>
        <w:footnoteReference w:id="128"/>
      </w:r>
      <w:r>
        <w:t xml:space="preserve"> PG&amp;E continues: “Requiring </w:t>
      </w:r>
      <w:r w:rsidRPr="001F06AE">
        <w:t>PG&amp;E to effectively disregard capacity from its existing generation portfolio and solely rely on</w:t>
      </w:r>
      <w:r>
        <w:t xml:space="preserve"> </w:t>
      </w:r>
      <w:r w:rsidRPr="001F06AE">
        <w:t xml:space="preserve">the RA market for DCPP’s RA </w:t>
      </w:r>
      <w:r w:rsidRPr="001F06AE">
        <w:lastRenderedPageBreak/>
        <w:t>substitution capacity</w:t>
      </w:r>
      <w:r>
        <w:t xml:space="preserve"> is nonsensical and would increase the total cost for customers.”</w:t>
      </w:r>
      <w:r>
        <w:rPr>
          <w:rStyle w:val="FootnoteReference"/>
        </w:rPr>
        <w:footnoteReference w:id="129"/>
      </w:r>
    </w:p>
    <w:p w:rsidR="00367915" w:rsidP="008926B4" w:rsidRDefault="00367915" w14:paraId="450984D9" w14:textId="77777777">
      <w:pPr>
        <w:pStyle w:val="Heading3"/>
      </w:pPr>
      <w:bookmarkStart w:name="_Toc216176812" w:id="52"/>
      <w:r>
        <w:t>Discussion</w:t>
      </w:r>
      <w:bookmarkEnd w:id="52"/>
    </w:p>
    <w:p w:rsidR="00367915" w:rsidP="00367915" w:rsidRDefault="00367915" w14:paraId="193A52F9" w14:textId="3E76EBE1">
      <w:pPr>
        <w:pStyle w:val="Standard"/>
      </w:pPr>
      <w:r>
        <w:t>As stated in D.24-12-033, the Commission “</w:t>
      </w:r>
      <w:r w:rsidRPr="001F06AE">
        <w:t>is cognizant of the pros and cons of the use of a PG&amp;E</w:t>
      </w:r>
      <w:r>
        <w:t xml:space="preserve"> </w:t>
      </w:r>
      <w:r w:rsidRPr="001F06AE">
        <w:t>estimated benchmark versus an administratively set price benchmark</w:t>
      </w:r>
      <w:r>
        <w:t xml:space="preserve">.” Since that decision, however, D.25-06-049 has implemented substantial modifications to the RA MPB calculation methodology, which is reflected in the significantly lower 2026 Forecast </w:t>
      </w:r>
      <w:r w:rsidRPr="003E1028" w:rsidR="003E1028">
        <w:t>MPB</w:t>
      </w:r>
      <w:r w:rsidR="003E1028">
        <w:t xml:space="preserve"> </w:t>
      </w:r>
      <w:r>
        <w:t xml:space="preserve">of $11.53 compared to the 2025 Forecast </w:t>
      </w:r>
      <w:r w:rsidRPr="003E1028" w:rsidR="003E1028">
        <w:t>MPB</w:t>
      </w:r>
      <w:r w:rsidR="003E1028">
        <w:t xml:space="preserve"> </w:t>
      </w:r>
      <w:r>
        <w:t>of $42.54 calculated using the previous methodology. That decrease in the Forecast MPB has lowered the total requested revenue requirement amount for DCPP 2026 extended operations from $410</w:t>
      </w:r>
      <w:r w:rsidR="000B222B">
        <w:t xml:space="preserve"> million </w:t>
      </w:r>
      <w:r>
        <w:t>to $</w:t>
      </w:r>
      <w:r w:rsidR="00904077">
        <w:t>382.</w:t>
      </w:r>
      <w:r w:rsidR="00FC59F3">
        <w:t>233</w:t>
      </w:r>
      <w:r>
        <w:t xml:space="preserve"> million. PG&amp;E also makes a persuasive argument that the same RA calculation methodology should be used </w:t>
      </w:r>
      <w:r w:rsidR="00C17FDF">
        <w:t>across</w:t>
      </w:r>
      <w:r>
        <w:t xml:space="preserve"> Commission proceedings incorporating RA values. TURN, EPUC, and SBUA agree in concept with using the updated RA MPB value to calculate RA substitution capacity costs for DCPP while offering ideas for further improving the RA MPB calculation.</w:t>
      </w:r>
    </w:p>
    <w:p w:rsidR="00367915" w:rsidP="00367915" w:rsidRDefault="00367915" w14:paraId="6D8DE1A3" w14:textId="2053784E">
      <w:pPr>
        <w:pStyle w:val="Standard"/>
      </w:pPr>
      <w:r>
        <w:t>Finally, as stated in D.24-12-033, “the Commission has already determined that the use of RA MPB is appropriate.”</w:t>
      </w:r>
      <w:r>
        <w:rPr>
          <w:rStyle w:val="FootnoteReference"/>
        </w:rPr>
        <w:footnoteReference w:id="130"/>
      </w:r>
      <w:r>
        <w:t xml:space="preserve"> In particular, D.24-06-004 states that “</w:t>
      </w:r>
      <w:r w:rsidRPr="001F06AE">
        <w:t xml:space="preserve">Energy Division will allocate the </w:t>
      </w:r>
      <w:bookmarkStart w:name="_Hlk211516917" w:id="53"/>
      <w:r w:rsidRPr="001F06AE">
        <w:t>Resource Adequacy (RA)</w:t>
      </w:r>
      <w:bookmarkEnd w:id="53"/>
      <w:r w:rsidRPr="001F06AE">
        <w:t xml:space="preserve"> benefits of the </w:t>
      </w:r>
      <w:bookmarkStart w:name="_Hlk211516922" w:id="54"/>
      <w:r w:rsidRPr="001F06AE">
        <w:t xml:space="preserve">Diablo Canyon Power Plant (DCPP) </w:t>
      </w:r>
      <w:bookmarkEnd w:id="54"/>
      <w:r w:rsidRPr="001F06AE">
        <w:t>to all load-serving entities within each investor-owned utilities’ service territory using the Cost Allocation Mechanism.</w:t>
      </w:r>
      <w:r>
        <w:t>”</w:t>
      </w:r>
      <w:r>
        <w:rPr>
          <w:rStyle w:val="FootnoteReference"/>
        </w:rPr>
        <w:footnoteReference w:id="131"/>
      </w:r>
      <w:r>
        <w:t xml:space="preserve"> D.24-06-004 then states: “</w:t>
      </w:r>
      <w:r w:rsidRPr="001F06AE">
        <w:t xml:space="preserve">If an </w:t>
      </w:r>
      <w:bookmarkStart w:name="_Hlk211516933" w:id="55"/>
      <w:r w:rsidRPr="001F06AE">
        <w:t xml:space="preserve">investor-owned utility (IOU) </w:t>
      </w:r>
      <w:bookmarkEnd w:id="55"/>
      <w:r w:rsidRPr="001F06AE">
        <w:t xml:space="preserve">uses resources from an IOU’s </w:t>
      </w:r>
      <w:bookmarkStart w:name="_Hlk211516940" w:id="56"/>
      <w:r w:rsidRPr="001F06AE">
        <w:t>Power Charge Indifference Adjustment (PCIA)</w:t>
      </w:r>
      <w:bookmarkEnd w:id="56"/>
      <w:r w:rsidRPr="001F06AE">
        <w:t xml:space="preserve">-eligible </w:t>
      </w:r>
      <w:r w:rsidRPr="001F06AE">
        <w:lastRenderedPageBreak/>
        <w:t xml:space="preserve">portfolio, the IOU may use the PCIA </w:t>
      </w:r>
      <w:r w:rsidRPr="003E1028" w:rsidR="003E1028">
        <w:t>MPB</w:t>
      </w:r>
      <w:r w:rsidRPr="001F06AE">
        <w:t xml:space="preserve"> to determine substitution ca</w:t>
      </w:r>
      <w:r>
        <w:t>p</w:t>
      </w:r>
      <w:r w:rsidRPr="001F06AE">
        <w:t>acity costs for Cost Allocation Mechanism resources.</w:t>
      </w:r>
      <w:r>
        <w:t>”</w:t>
      </w:r>
      <w:r>
        <w:rPr>
          <w:rStyle w:val="FootnoteReference"/>
        </w:rPr>
        <w:footnoteReference w:id="132"/>
      </w:r>
      <w:r>
        <w:t xml:space="preserve"> In light of these two past Commission decisions, A4NR’s proposed methodology for calculating DCPP RA substitution capacity costs is not an appropriate alternative.</w:t>
      </w:r>
      <w:r w:rsidR="004D3B16">
        <w:t xml:space="preserve"> Finally, we find </w:t>
      </w:r>
      <w:r w:rsidR="00FC3285">
        <w:t xml:space="preserve">overly speculative </w:t>
      </w:r>
      <w:r w:rsidR="004D3B16">
        <w:t xml:space="preserve">the arguments made by TURN and EPUC to adopt the monthly RA MPB </w:t>
      </w:r>
      <w:r w:rsidR="00FC3285">
        <w:t>to</w:t>
      </w:r>
      <w:r w:rsidR="004D3B16">
        <w:t xml:space="preserve"> calculat</w:t>
      </w:r>
      <w:r w:rsidR="00FC3285">
        <w:t xml:space="preserve">e </w:t>
      </w:r>
      <w:r w:rsidR="004D3B16">
        <w:t>the DCPP RA substitution capacity cost</w:t>
      </w:r>
      <w:r w:rsidR="00112181">
        <w:t>,</w:t>
      </w:r>
      <w:r w:rsidR="004D3B16">
        <w:t xml:space="preserve"> once the monthly</w:t>
      </w:r>
      <w:r w:rsidR="00FC3285">
        <w:t xml:space="preserve"> RA</w:t>
      </w:r>
      <w:r w:rsidR="004D3B16">
        <w:t xml:space="preserve"> MPB is available</w:t>
      </w:r>
      <w:r w:rsidR="00112181">
        <w:t>,</w:t>
      </w:r>
      <w:r w:rsidR="004D3B16">
        <w:t xml:space="preserve"> as it is not evident now when such a </w:t>
      </w:r>
      <w:r w:rsidR="00FC3285">
        <w:t xml:space="preserve">Commission-produced </w:t>
      </w:r>
      <w:r w:rsidR="004D3B16">
        <w:t xml:space="preserve">monthly </w:t>
      </w:r>
      <w:r w:rsidR="00FC3285">
        <w:t xml:space="preserve">RA </w:t>
      </w:r>
      <w:r w:rsidR="004D3B16">
        <w:t xml:space="preserve">MPB will become </w:t>
      </w:r>
      <w:r w:rsidR="00FC3285">
        <w:t xml:space="preserve">publicly </w:t>
      </w:r>
      <w:r w:rsidR="004D3B16">
        <w:t>available or exactly how it will be calculated and used if it ever does become available.</w:t>
      </w:r>
    </w:p>
    <w:p w:rsidRPr="0079654B" w:rsidR="00367915" w:rsidP="00904077" w:rsidRDefault="00367915" w14:paraId="418C6399" w14:textId="1662ED1D">
      <w:pPr>
        <w:pStyle w:val="Standard"/>
      </w:pPr>
      <w:r w:rsidRPr="001F06AE">
        <w:t xml:space="preserve">Therefore, </w:t>
      </w:r>
      <w:r>
        <w:t xml:space="preserve">the RA MPB remains the </w:t>
      </w:r>
      <w:r w:rsidRPr="001F06AE">
        <w:t>reasonable and consistent choice to use in this proceeding.</w:t>
      </w:r>
    </w:p>
    <w:p w:rsidR="00F956D0" w:rsidP="008926B4" w:rsidRDefault="00F956D0" w14:paraId="4CF0C8A3" w14:textId="741C09D2">
      <w:pPr>
        <w:pStyle w:val="Heading2"/>
      </w:pPr>
      <w:bookmarkStart w:name="_Toc216176813" w:id="57"/>
      <w:r>
        <w:t>Nuclear Fuel Costs</w:t>
      </w:r>
      <w:bookmarkEnd w:id="57"/>
    </w:p>
    <w:p w:rsidR="00EF319D" w:rsidP="00FB4020" w:rsidRDefault="00EF319D" w14:paraId="5CE06A57" w14:textId="090072E3">
      <w:pPr>
        <w:pStyle w:val="Standard"/>
      </w:pPr>
      <w:r>
        <w:t xml:space="preserve">PG&amp;E’s nuclear fuel cost forecast and </w:t>
      </w:r>
      <w:proofErr w:type="spellStart"/>
      <w:r>
        <w:t>straightline</w:t>
      </w:r>
      <w:proofErr w:type="spellEnd"/>
      <w:r>
        <w:t xml:space="preserve"> amortization proposal</w:t>
      </w:r>
      <w:r w:rsidR="00FB4020">
        <w:t xml:space="preserve"> </w:t>
      </w:r>
      <w:r>
        <w:t>are reasonable, comply with Pub. Util. Code Section 712.8(c)(1)(C), 712.8(h)(1)</w:t>
      </w:r>
      <w:r w:rsidR="00904077">
        <w:t>,</w:t>
      </w:r>
      <w:r w:rsidR="00FB4020">
        <w:t xml:space="preserve"> </w:t>
      </w:r>
      <w:r>
        <w:t>and Commission decisions and resolutions interpreting those statutory sections,</w:t>
      </w:r>
      <w:r w:rsidR="00FB4020">
        <w:t xml:space="preserve"> </w:t>
      </w:r>
      <w:r>
        <w:t>and are approved.</w:t>
      </w:r>
    </w:p>
    <w:p w:rsidR="00EF319D" w:rsidP="00EF319D" w:rsidRDefault="00EF319D" w14:paraId="01EEEAC4" w14:textId="7A68F8F5">
      <w:pPr>
        <w:pStyle w:val="Standard"/>
        <w:rPr>
          <w:sz w:val="17"/>
          <w:szCs w:val="17"/>
        </w:rPr>
      </w:pPr>
      <w:r>
        <w:t>PG&amp;E requests that the Commission adopt its nuclear fuel expense forecast of $135.7</w:t>
      </w:r>
      <w:r w:rsidR="00904077">
        <w:t>34</w:t>
      </w:r>
      <w:r w:rsidR="000B222B">
        <w:t xml:space="preserve"> million </w:t>
      </w:r>
      <w:r>
        <w:t>for 2026</w:t>
      </w:r>
      <w:r>
        <w:rPr>
          <w:rStyle w:val="FootnoteReference"/>
        </w:rPr>
        <w:footnoteReference w:id="133"/>
      </w:r>
      <w:r>
        <w:t>. PG&amp;E explains that these expenses stem from the contracted purchases of nuclear materials to support the nuclear fuel reload needs for each unit and cover the costs of uranium, conversion services, enrichment services, fabrication, and sales and use taxes, for the specific core design. Additionally, there are miscellaneous engineering expenses associated with the core nuclear fuel analysis.</w:t>
      </w:r>
      <w:r>
        <w:rPr>
          <w:rStyle w:val="FootnoteReference"/>
        </w:rPr>
        <w:footnoteReference w:id="134"/>
      </w:r>
    </w:p>
    <w:p w:rsidR="00EF319D" w:rsidP="00FB4020" w:rsidRDefault="00EF319D" w14:paraId="18584DD9" w14:textId="7D9D4E54">
      <w:pPr>
        <w:pStyle w:val="Standard"/>
      </w:pPr>
      <w:r>
        <w:lastRenderedPageBreak/>
        <w:t>In addition to its forecast, PG&amp;E requests that the Commission approve a</w:t>
      </w:r>
      <w:r w:rsidR="00FB4020">
        <w:t xml:space="preserve"> </w:t>
      </w:r>
      <w:proofErr w:type="spellStart"/>
      <w:r>
        <w:t>straightline</w:t>
      </w:r>
      <w:proofErr w:type="spellEnd"/>
      <w:r>
        <w:t xml:space="preserve"> amortization method for recovering nuclear fuel expenses over the</w:t>
      </w:r>
      <w:r w:rsidR="00FB4020">
        <w:t xml:space="preserve"> </w:t>
      </w:r>
      <w:r>
        <w:t>2025-2030 period. PG&amp;E presents both the 2024 through 2030 as-spent nuclear</w:t>
      </w:r>
      <w:r w:rsidR="00FB4020">
        <w:t xml:space="preserve"> </w:t>
      </w:r>
      <w:r>
        <w:t xml:space="preserve">fuel expenditures as well as PG&amp;E’s 2025 through 2030 </w:t>
      </w:r>
      <w:proofErr w:type="spellStart"/>
      <w:r>
        <w:t>straightline</w:t>
      </w:r>
      <w:proofErr w:type="spellEnd"/>
      <w:r>
        <w:t xml:space="preserve"> amortization</w:t>
      </w:r>
      <w:r w:rsidR="00FB4020">
        <w:t xml:space="preserve"> </w:t>
      </w:r>
      <w:r>
        <w:t>cost recovery proposal. According to PG&amp;E, straight-line amortization offers the</w:t>
      </w:r>
      <w:r w:rsidR="00FB4020">
        <w:t xml:space="preserve"> </w:t>
      </w:r>
      <w:r>
        <w:t>lowest financing cost compared to as-spent recovery and smooths rates for all</w:t>
      </w:r>
      <w:r w:rsidR="00FB4020">
        <w:t xml:space="preserve"> </w:t>
      </w:r>
      <w:r>
        <w:t>California electric customers during the extended operations period.</w:t>
      </w:r>
    </w:p>
    <w:p w:rsidRPr="00EF319D" w:rsidR="00EF319D" w:rsidP="00FB4020" w:rsidRDefault="00EF319D" w14:paraId="66B61129" w14:textId="11490BDD">
      <w:pPr>
        <w:pStyle w:val="Standard"/>
      </w:pPr>
      <w:r>
        <w:t xml:space="preserve">A4NR states in its </w:t>
      </w:r>
      <w:r w:rsidRPr="00FB4020">
        <w:t>Opening</w:t>
      </w:r>
      <w:r>
        <w:t xml:space="preserve"> Brief that it will not relitigate in this proceeding the compatibility of PG&amp;E’s treatment of the amortized fuel procurement obligations with P</w:t>
      </w:r>
      <w:r w:rsidR="001C5C26">
        <w:t xml:space="preserve">ub. </w:t>
      </w:r>
      <w:r>
        <w:t>U</w:t>
      </w:r>
      <w:r w:rsidR="001C5C26">
        <w:t>til.</w:t>
      </w:r>
      <w:r>
        <w:t xml:space="preserve"> Code Section 712.8(c)(1)(C) as the issue is the subject of a pending Petition </w:t>
      </w:r>
      <w:r w:rsidR="00904077">
        <w:t xml:space="preserve">A4NR </w:t>
      </w:r>
      <w:r>
        <w:t>Seeking Writ of Review of D.24-12-033 and D.25-07-041.</w:t>
      </w:r>
      <w:r>
        <w:rPr>
          <w:rStyle w:val="FootnoteReference"/>
        </w:rPr>
        <w:footnoteReference w:id="135"/>
      </w:r>
    </w:p>
    <w:p w:rsidR="00F956D0" w:rsidP="00F956D0" w:rsidRDefault="00F956D0" w14:paraId="24B73F71" w14:textId="441EE047">
      <w:pPr>
        <w:pStyle w:val="Heading2"/>
      </w:pPr>
      <w:bookmarkStart w:name="_Toc216176814" w:id="58"/>
      <w:r>
        <w:t xml:space="preserve">PG&amp;E’s Generation and Generation Revenue </w:t>
      </w:r>
      <w:r w:rsidR="001B4048">
        <w:t>F</w:t>
      </w:r>
      <w:r>
        <w:t>orecasts</w:t>
      </w:r>
      <w:bookmarkEnd w:id="58"/>
    </w:p>
    <w:p w:rsidRPr="001B4048" w:rsidR="001B4048" w:rsidP="001B4048" w:rsidRDefault="001B4048" w14:paraId="6F55DE5A" w14:textId="2F37F142">
      <w:pPr>
        <w:pStyle w:val="Standard"/>
      </w:pPr>
      <w:r>
        <w:t>The Commission finds PG&amp;E’s methodology to calculate forecast CAISO energy market revenues reasonable and approves the forecast of $</w:t>
      </w:r>
      <w:r w:rsidR="000B2A28">
        <w:t>84</w:t>
      </w:r>
      <w:r w:rsidR="008C772F">
        <w:t>2.676</w:t>
      </w:r>
      <w:r w:rsidR="000B222B">
        <w:t xml:space="preserve"> million </w:t>
      </w:r>
      <w:r>
        <w:t>in 2026 revenues.</w:t>
      </w:r>
      <w:r w:rsidR="00C038DA">
        <w:rPr>
          <w:rStyle w:val="FootnoteReference"/>
        </w:rPr>
        <w:footnoteReference w:id="136"/>
      </w:r>
      <w:r w:rsidR="00C038DA">
        <w:t xml:space="preserve"> </w:t>
      </w:r>
      <w:r w:rsidR="008C772F">
        <w:t>This figure incorporates the $728,958  undercounting of CAISO revenues in PG&amp;E’s original forecast revealed by CalCCA and accepted by PG&amp;E.</w:t>
      </w:r>
      <w:r w:rsidR="008C772F">
        <w:rPr>
          <w:rStyle w:val="FootnoteReference"/>
        </w:rPr>
        <w:footnoteReference w:id="137"/>
      </w:r>
      <w:r w:rsidR="008C772F">
        <w:t xml:space="preserve"> </w:t>
      </w:r>
      <w:r w:rsidR="008C772F">
        <w:rPr>
          <w:rStyle w:val="FootnoteReference"/>
        </w:rPr>
        <w:footnoteReference w:id="138"/>
      </w:r>
      <w:r w:rsidR="008C772F">
        <w:t xml:space="preserve"> </w:t>
      </w:r>
      <w:r w:rsidR="00C038DA">
        <w:t xml:space="preserve">The revised </w:t>
      </w:r>
      <w:r w:rsidR="00973030">
        <w:t>Energy Index</w:t>
      </w:r>
      <w:r w:rsidR="00C038DA">
        <w:t xml:space="preserve"> MPB calculated by Energy Division decreased DCPP energy market revenue forecast from $934.925</w:t>
      </w:r>
      <w:r w:rsidR="000B222B">
        <w:t xml:space="preserve"> million </w:t>
      </w:r>
      <w:r w:rsidR="00C038DA">
        <w:t>originally forecast.</w:t>
      </w:r>
    </w:p>
    <w:p w:rsidR="00F956D0" w:rsidP="008926B4" w:rsidRDefault="00F956D0" w14:paraId="503BD4BB" w14:textId="170413F3">
      <w:pPr>
        <w:pStyle w:val="Heading3"/>
      </w:pPr>
      <w:bookmarkStart w:name="_Toc216176815" w:id="59"/>
      <w:r>
        <w:lastRenderedPageBreak/>
        <w:t>PG&amp;E’s Methodology</w:t>
      </w:r>
      <w:bookmarkEnd w:id="59"/>
    </w:p>
    <w:p w:rsidR="001B4048" w:rsidP="00FB4020" w:rsidRDefault="001B4048" w14:paraId="74FAC41B" w14:textId="15B3A365">
      <w:pPr>
        <w:pStyle w:val="Standard"/>
        <w:rPr>
          <w:sz w:val="17"/>
          <w:szCs w:val="17"/>
        </w:rPr>
      </w:pPr>
      <w:r>
        <w:t>In its Application, PG&amp;E describes the methodology used to forecast</w:t>
      </w:r>
      <w:r w:rsidR="00FB4020">
        <w:t xml:space="preserve"> </w:t>
      </w:r>
      <w:r>
        <w:t>CAISO energy market revenues as follows: The forecast for generation volumes</w:t>
      </w:r>
      <w:r w:rsidR="00FB4020">
        <w:t xml:space="preserve"> </w:t>
      </w:r>
      <w:r>
        <w:t>is multiplied by a market reference price to produce the energy market revenue</w:t>
      </w:r>
      <w:r w:rsidR="00FB4020">
        <w:t xml:space="preserve"> </w:t>
      </w:r>
      <w:r>
        <w:t>forecast. PG&amp;E uses a market reference price that is analogous to the PCIA</w:t>
      </w:r>
      <w:r w:rsidR="00FB4020">
        <w:t xml:space="preserve"> </w:t>
      </w:r>
      <w:r>
        <w:t>energy index benchmark used in the ERRA forecast proceeding, using a portfolio</w:t>
      </w:r>
      <w:r w:rsidR="00FB4020">
        <w:t xml:space="preserve"> </w:t>
      </w:r>
      <w:r>
        <w:t>weighting factor calculation based on actual DCPP CAISO generation and</w:t>
      </w:r>
      <w:r w:rsidR="00FB4020">
        <w:t xml:space="preserve"> </w:t>
      </w:r>
      <w:r>
        <w:t>revenue data as opposed to the entire PCIA-eligible portfolio.</w:t>
      </w:r>
      <w:r w:rsidR="00C038DA">
        <w:rPr>
          <w:rStyle w:val="FootnoteReference"/>
        </w:rPr>
        <w:footnoteReference w:id="139"/>
      </w:r>
    </w:p>
    <w:p w:rsidR="001B4048" w:rsidP="00FB4020" w:rsidRDefault="001B4048" w14:paraId="3652FE74" w14:textId="71DBC796">
      <w:pPr>
        <w:pStyle w:val="Standard"/>
      </w:pPr>
      <w:r>
        <w:t>PG&amp;E updated the market reference price calculation in the Fall Update</w:t>
      </w:r>
      <w:r w:rsidR="00FB4020">
        <w:t xml:space="preserve"> </w:t>
      </w:r>
      <w:r>
        <w:t>using the latest NP15 Platts price curves provided by the Commission as part of</w:t>
      </w:r>
      <w:r w:rsidR="00FB4020">
        <w:t xml:space="preserve"> </w:t>
      </w:r>
      <w:r>
        <w:t>its standard PCIA energy index benchmark updating process. PG&amp;E’s forecast of</w:t>
      </w:r>
      <w:r w:rsidR="00FB4020">
        <w:t xml:space="preserve"> </w:t>
      </w:r>
      <w:r>
        <w:t>CAISO energy market revenues is as follows:</w:t>
      </w:r>
    </w:p>
    <w:p w:rsidRPr="00C038DA" w:rsidR="00C038DA" w:rsidP="00FB4020" w:rsidRDefault="00C038DA" w14:paraId="17EBBEC3" w14:textId="69A821AD">
      <w:pPr>
        <w:pStyle w:val="Standard"/>
        <w:keepNext/>
        <w:ind w:firstLine="0"/>
        <w:jc w:val="center"/>
        <w:rPr>
          <w:b/>
          <w:bCs/>
        </w:rPr>
      </w:pPr>
      <w:r w:rsidRPr="00C038DA">
        <w:rPr>
          <w:b/>
          <w:bCs/>
        </w:rPr>
        <w:t>Table 3: DCPP CAISO Energy Market Revenues</w:t>
      </w:r>
    </w:p>
    <w:tbl>
      <w:tblPr>
        <w:tblStyle w:val="TableGrid"/>
        <w:tblW w:w="9360" w:type="dxa"/>
        <w:tblCellMar>
          <w:top w:w="58" w:type="dxa"/>
          <w:bottom w:w="58" w:type="dxa"/>
        </w:tblCellMar>
        <w:tblLook w:val="04A0" w:firstRow="1" w:lastRow="0" w:firstColumn="1" w:lastColumn="0" w:noHBand="0" w:noVBand="1"/>
      </w:tblPr>
      <w:tblGrid>
        <w:gridCol w:w="2340"/>
        <w:gridCol w:w="2160"/>
        <w:gridCol w:w="2793"/>
        <w:gridCol w:w="2067"/>
      </w:tblGrid>
      <w:tr w:rsidR="001B4048" w:rsidTr="00FB4020" w14:paraId="053F440C" w14:textId="77777777">
        <w:trPr>
          <w:tblHeader/>
        </w:trPr>
        <w:tc>
          <w:tcPr>
            <w:tcW w:w="2337" w:type="dxa"/>
            <w:vAlign w:val="bottom"/>
          </w:tcPr>
          <w:p w:rsidRPr="00FB4020" w:rsidR="001B4048" w:rsidP="00FB4020" w:rsidRDefault="001B4048" w14:paraId="1CE746BA" w14:textId="0965FAA9">
            <w:pPr>
              <w:pStyle w:val="Standard"/>
              <w:keepNext/>
              <w:spacing w:line="240" w:lineRule="auto"/>
              <w:ind w:firstLine="0"/>
              <w:jc w:val="center"/>
              <w:rPr>
                <w:b/>
                <w:bCs/>
              </w:rPr>
            </w:pPr>
            <w:r w:rsidRPr="00FB4020">
              <w:rPr>
                <w:b/>
                <w:bCs/>
              </w:rPr>
              <w:t>Year</w:t>
            </w:r>
          </w:p>
        </w:tc>
        <w:tc>
          <w:tcPr>
            <w:tcW w:w="2158" w:type="dxa"/>
            <w:vAlign w:val="bottom"/>
          </w:tcPr>
          <w:p w:rsidRPr="00FB4020" w:rsidR="001B4048" w:rsidP="00FB4020" w:rsidRDefault="001B4048" w14:paraId="6F911FD7" w14:textId="3D21F9B8">
            <w:pPr>
              <w:pStyle w:val="Standard"/>
              <w:keepNext/>
              <w:spacing w:line="240" w:lineRule="auto"/>
              <w:ind w:firstLine="0"/>
              <w:jc w:val="center"/>
              <w:rPr>
                <w:b/>
                <w:bCs/>
              </w:rPr>
            </w:pPr>
            <w:r w:rsidRPr="00FB4020">
              <w:rPr>
                <w:b/>
                <w:bCs/>
              </w:rPr>
              <w:t>Total generation (GWh)</w:t>
            </w:r>
          </w:p>
        </w:tc>
        <w:tc>
          <w:tcPr>
            <w:tcW w:w="2790" w:type="dxa"/>
            <w:vAlign w:val="bottom"/>
          </w:tcPr>
          <w:p w:rsidRPr="00FB4020" w:rsidR="001B4048" w:rsidP="00FB4020" w:rsidRDefault="001B4048" w14:paraId="2D7F65E1" w14:textId="591111E4">
            <w:pPr>
              <w:pStyle w:val="Standard"/>
              <w:keepNext/>
              <w:spacing w:line="240" w:lineRule="auto"/>
              <w:ind w:firstLine="0"/>
              <w:jc w:val="center"/>
              <w:rPr>
                <w:b/>
                <w:bCs/>
              </w:rPr>
            </w:pPr>
            <w:r w:rsidRPr="00FB4020">
              <w:rPr>
                <w:b/>
                <w:bCs/>
              </w:rPr>
              <w:t>CAISO Market Reference Price ($/Megawatt-Hour)</w:t>
            </w:r>
          </w:p>
        </w:tc>
        <w:tc>
          <w:tcPr>
            <w:tcW w:w="2065" w:type="dxa"/>
            <w:vAlign w:val="bottom"/>
          </w:tcPr>
          <w:p w:rsidRPr="00FB4020" w:rsidR="001B4048" w:rsidP="00FB4020" w:rsidRDefault="001B4048" w14:paraId="0B743C70" w14:textId="2D2053E8">
            <w:pPr>
              <w:pStyle w:val="Standard"/>
              <w:keepNext/>
              <w:spacing w:line="240" w:lineRule="auto"/>
              <w:ind w:firstLine="0"/>
              <w:jc w:val="center"/>
              <w:rPr>
                <w:b/>
                <w:bCs/>
              </w:rPr>
            </w:pPr>
            <w:r w:rsidRPr="00FB4020">
              <w:rPr>
                <w:b/>
                <w:bCs/>
              </w:rPr>
              <w:t>Generation Revenues $000</w:t>
            </w:r>
          </w:p>
        </w:tc>
      </w:tr>
      <w:tr w:rsidR="001B4048" w:rsidTr="00FB4020" w14:paraId="5A843C08" w14:textId="77777777">
        <w:tc>
          <w:tcPr>
            <w:tcW w:w="2337" w:type="dxa"/>
          </w:tcPr>
          <w:p w:rsidR="001B4048" w:rsidP="00FB4020" w:rsidRDefault="001B4048" w14:paraId="67222C0A" w14:textId="0519CFE6">
            <w:pPr>
              <w:pStyle w:val="Standard"/>
              <w:spacing w:line="240" w:lineRule="auto"/>
              <w:ind w:firstLine="0"/>
              <w:jc w:val="center"/>
            </w:pPr>
            <w:r>
              <w:t>2024</w:t>
            </w:r>
          </w:p>
        </w:tc>
        <w:tc>
          <w:tcPr>
            <w:tcW w:w="2158" w:type="dxa"/>
          </w:tcPr>
          <w:p w:rsidR="001B4048" w:rsidP="00FB4020" w:rsidRDefault="001B4048" w14:paraId="250077DE" w14:textId="773C069C">
            <w:pPr>
              <w:pStyle w:val="Standard"/>
              <w:spacing w:line="240" w:lineRule="auto"/>
              <w:ind w:firstLine="0"/>
              <w:jc w:val="center"/>
            </w:pPr>
            <w:r>
              <w:t>1,442</w:t>
            </w:r>
          </w:p>
        </w:tc>
        <w:tc>
          <w:tcPr>
            <w:tcW w:w="2790" w:type="dxa"/>
          </w:tcPr>
          <w:p w:rsidR="001B4048" w:rsidP="00FB4020" w:rsidRDefault="001B4048" w14:paraId="1E033945" w14:textId="4D41FF52">
            <w:pPr>
              <w:pStyle w:val="Standard"/>
              <w:spacing w:line="240" w:lineRule="auto"/>
              <w:ind w:firstLine="0"/>
              <w:jc w:val="center"/>
            </w:pPr>
            <w:r>
              <w:t>55.52</w:t>
            </w:r>
          </w:p>
        </w:tc>
        <w:tc>
          <w:tcPr>
            <w:tcW w:w="2065" w:type="dxa"/>
          </w:tcPr>
          <w:p w:rsidR="001B4048" w:rsidP="00FB4020" w:rsidRDefault="001B4048" w14:paraId="7CB8D9B0" w14:textId="5E4DE243">
            <w:pPr>
              <w:pStyle w:val="Standard"/>
              <w:spacing w:line="240" w:lineRule="auto"/>
              <w:ind w:firstLine="0"/>
              <w:jc w:val="center"/>
            </w:pPr>
            <w:r>
              <w:t>80,044</w:t>
            </w:r>
          </w:p>
        </w:tc>
      </w:tr>
      <w:tr w:rsidR="001B4048" w:rsidTr="00FB4020" w14:paraId="0EA35A0B" w14:textId="77777777">
        <w:tc>
          <w:tcPr>
            <w:tcW w:w="2337" w:type="dxa"/>
          </w:tcPr>
          <w:p w:rsidR="001B4048" w:rsidP="00FB4020" w:rsidRDefault="001B4048" w14:paraId="1DFFEBEE" w14:textId="3DA095E3">
            <w:pPr>
              <w:pStyle w:val="Standard"/>
              <w:spacing w:line="240" w:lineRule="auto"/>
              <w:ind w:firstLine="0"/>
              <w:jc w:val="center"/>
            </w:pPr>
            <w:r>
              <w:t>2025</w:t>
            </w:r>
          </w:p>
        </w:tc>
        <w:tc>
          <w:tcPr>
            <w:tcW w:w="2158" w:type="dxa"/>
          </w:tcPr>
          <w:p w:rsidR="001B4048" w:rsidP="00FB4020" w:rsidRDefault="001B4048" w14:paraId="7E0AC7F3" w14:textId="245EB83F">
            <w:pPr>
              <w:pStyle w:val="Standard"/>
              <w:spacing w:line="240" w:lineRule="auto"/>
              <w:ind w:firstLine="0"/>
              <w:jc w:val="center"/>
            </w:pPr>
            <w:r>
              <w:t>10,753</w:t>
            </w:r>
          </w:p>
        </w:tc>
        <w:tc>
          <w:tcPr>
            <w:tcW w:w="2790" w:type="dxa"/>
          </w:tcPr>
          <w:p w:rsidR="001B4048" w:rsidP="00FB4020" w:rsidRDefault="001B4048" w14:paraId="7EA5A1D8" w14:textId="62DE7BE2">
            <w:pPr>
              <w:pStyle w:val="Standard"/>
              <w:spacing w:line="240" w:lineRule="auto"/>
              <w:ind w:firstLine="0"/>
              <w:jc w:val="center"/>
            </w:pPr>
            <w:r>
              <w:t>50.61</w:t>
            </w:r>
          </w:p>
        </w:tc>
        <w:tc>
          <w:tcPr>
            <w:tcW w:w="2065" w:type="dxa"/>
          </w:tcPr>
          <w:p w:rsidR="001B4048" w:rsidP="00FB4020" w:rsidRDefault="001B4048" w14:paraId="333EE351" w14:textId="6054484C">
            <w:pPr>
              <w:pStyle w:val="Standard"/>
              <w:spacing w:line="240" w:lineRule="auto"/>
              <w:ind w:firstLine="0"/>
              <w:jc w:val="center"/>
            </w:pPr>
            <w:r>
              <w:t>544,205</w:t>
            </w:r>
          </w:p>
        </w:tc>
      </w:tr>
      <w:tr w:rsidR="001B4048" w:rsidTr="00FB4020" w14:paraId="545F5D15" w14:textId="77777777">
        <w:tc>
          <w:tcPr>
            <w:tcW w:w="2337" w:type="dxa"/>
          </w:tcPr>
          <w:p w:rsidR="001B4048" w:rsidP="00FB4020" w:rsidRDefault="001B4048" w14:paraId="3EED1FA3" w14:textId="43CC7BCA">
            <w:pPr>
              <w:pStyle w:val="Standard"/>
              <w:spacing w:line="240" w:lineRule="auto"/>
              <w:ind w:firstLine="0"/>
              <w:jc w:val="center"/>
            </w:pPr>
            <w:r>
              <w:t>2026</w:t>
            </w:r>
          </w:p>
        </w:tc>
        <w:tc>
          <w:tcPr>
            <w:tcW w:w="2158" w:type="dxa"/>
          </w:tcPr>
          <w:p w:rsidR="001B4048" w:rsidP="00FB4020" w:rsidRDefault="001B4048" w14:paraId="29E38FAD" w14:textId="776A4DE2">
            <w:pPr>
              <w:pStyle w:val="Standard"/>
              <w:spacing w:line="240" w:lineRule="auto"/>
              <w:ind w:firstLine="0"/>
              <w:jc w:val="center"/>
            </w:pPr>
            <w:r>
              <w:t>18,203</w:t>
            </w:r>
          </w:p>
        </w:tc>
        <w:tc>
          <w:tcPr>
            <w:tcW w:w="2790" w:type="dxa"/>
          </w:tcPr>
          <w:p w:rsidR="001B4048" w:rsidP="00FB4020" w:rsidRDefault="001B4048" w14:paraId="1A0BA310" w14:textId="09EC1809">
            <w:pPr>
              <w:pStyle w:val="Standard"/>
              <w:spacing w:line="240" w:lineRule="auto"/>
              <w:ind w:firstLine="0"/>
              <w:jc w:val="center"/>
            </w:pPr>
            <w:r>
              <w:t>51.36</w:t>
            </w:r>
          </w:p>
        </w:tc>
        <w:tc>
          <w:tcPr>
            <w:tcW w:w="2065" w:type="dxa"/>
          </w:tcPr>
          <w:p w:rsidR="001B4048" w:rsidP="00FB4020" w:rsidRDefault="008C772F" w14:paraId="4B7B4DAA" w14:textId="3B91485B">
            <w:pPr>
              <w:pStyle w:val="Standard"/>
              <w:spacing w:line="240" w:lineRule="auto"/>
              <w:ind w:firstLine="0"/>
              <w:jc w:val="center"/>
            </w:pPr>
            <w:r>
              <w:t>842,676</w:t>
            </w:r>
          </w:p>
        </w:tc>
      </w:tr>
    </w:tbl>
    <w:p w:rsidRPr="00FB4020" w:rsidR="001B4048" w:rsidP="001B4048" w:rsidRDefault="001B4048" w14:paraId="00E35E36" w14:textId="77777777">
      <w:pPr>
        <w:pStyle w:val="Standard"/>
        <w:rPr>
          <w:sz w:val="10"/>
          <w:szCs w:val="10"/>
        </w:rPr>
      </w:pPr>
    </w:p>
    <w:p w:rsidR="001B4048" w:rsidP="00FB4020" w:rsidRDefault="001B4048" w14:paraId="5DDDB546" w14:textId="37F2FFAB">
      <w:pPr>
        <w:pStyle w:val="Standard"/>
        <w:spacing w:before="120"/>
        <w:rPr>
          <w:szCs w:val="26"/>
        </w:rPr>
      </w:pPr>
      <w:r w:rsidRPr="001B4048">
        <w:rPr>
          <w:szCs w:val="26"/>
        </w:rPr>
        <w:t>The generation energy market revenue forecast serves to offset the costs of</w:t>
      </w:r>
      <w:r>
        <w:rPr>
          <w:szCs w:val="26"/>
        </w:rPr>
        <w:t xml:space="preserve"> </w:t>
      </w:r>
      <w:r w:rsidRPr="001B4048">
        <w:rPr>
          <w:szCs w:val="26"/>
        </w:rPr>
        <w:t>DCPP’s extended operations.</w:t>
      </w:r>
    </w:p>
    <w:p w:rsidRPr="001B4048" w:rsidR="001B4048" w:rsidP="001B4048" w:rsidRDefault="001B4048" w14:paraId="7888EF11" w14:textId="731E15C4">
      <w:pPr>
        <w:pStyle w:val="Heading3"/>
      </w:pPr>
      <w:bookmarkStart w:name="_Toc216176816" w:id="60"/>
      <w:r w:rsidRPr="001B4048">
        <w:t>Party Comments and Discussion</w:t>
      </w:r>
      <w:bookmarkEnd w:id="60"/>
    </w:p>
    <w:p w:rsidR="001B4048" w:rsidP="001B4048" w:rsidRDefault="001B4048" w14:paraId="7BFA59A0" w14:textId="102F431A">
      <w:pPr>
        <w:pStyle w:val="Standard"/>
        <w:rPr>
          <w:szCs w:val="26"/>
        </w:rPr>
      </w:pPr>
      <w:r w:rsidRPr="001B4048">
        <w:rPr>
          <w:szCs w:val="26"/>
        </w:rPr>
        <w:t xml:space="preserve">EPUC </w:t>
      </w:r>
      <w:r w:rsidR="00D11985">
        <w:rPr>
          <w:szCs w:val="26"/>
        </w:rPr>
        <w:t>stat</w:t>
      </w:r>
      <w:r>
        <w:rPr>
          <w:szCs w:val="26"/>
        </w:rPr>
        <w:t>es in its Opening Brief that “[t]</w:t>
      </w:r>
      <w:r w:rsidRPr="001B4048">
        <w:rPr>
          <w:szCs w:val="26"/>
        </w:rPr>
        <w:t xml:space="preserve">he record in this proceeding demonstrates that PG&amp;E’s forecast cost of operations and requested revenue </w:t>
      </w:r>
      <w:r w:rsidRPr="001B4048">
        <w:rPr>
          <w:szCs w:val="26"/>
        </w:rPr>
        <w:lastRenderedPageBreak/>
        <w:t>requirement of $410</w:t>
      </w:r>
      <w:r w:rsidR="000B222B">
        <w:rPr>
          <w:szCs w:val="26"/>
        </w:rPr>
        <w:t xml:space="preserve"> million </w:t>
      </w:r>
      <w:r w:rsidRPr="001B4048">
        <w:rPr>
          <w:szCs w:val="26"/>
        </w:rPr>
        <w:t>for 2026 are not just and reasonable</w:t>
      </w:r>
      <w:r>
        <w:rPr>
          <w:szCs w:val="26"/>
        </w:rPr>
        <w:t>.”</w:t>
      </w:r>
      <w:r>
        <w:rPr>
          <w:rStyle w:val="FootnoteReference"/>
          <w:szCs w:val="26"/>
        </w:rPr>
        <w:footnoteReference w:id="140"/>
      </w:r>
      <w:r w:rsidRPr="001B4048">
        <w:rPr>
          <w:szCs w:val="26"/>
        </w:rPr>
        <w:t xml:space="preserve"> </w:t>
      </w:r>
      <w:r>
        <w:rPr>
          <w:szCs w:val="26"/>
        </w:rPr>
        <w:t xml:space="preserve">EPUC witness James Leyko testifies that PG&amp;E is forecasting 18,203 GWh of extended operations generation in 2026 compared to 10,753 GWh of </w:t>
      </w:r>
      <w:r w:rsidR="00C75D74">
        <w:rPr>
          <w:szCs w:val="26"/>
        </w:rPr>
        <w:t>generation</w:t>
      </w:r>
      <w:r>
        <w:rPr>
          <w:szCs w:val="26"/>
        </w:rPr>
        <w:t xml:space="preserve"> in 2025 and 1,442 GWh of generation in 2024.</w:t>
      </w:r>
      <w:r>
        <w:rPr>
          <w:rStyle w:val="FootnoteReference"/>
          <w:szCs w:val="26"/>
        </w:rPr>
        <w:footnoteReference w:id="141"/>
      </w:r>
      <w:r>
        <w:rPr>
          <w:szCs w:val="26"/>
        </w:rPr>
        <w:t xml:space="preserve"> Mr. Leyko also notes that the net operational revenue requirement increased by 4</w:t>
      </w:r>
      <w:r w:rsidR="000103F1">
        <w:rPr>
          <w:szCs w:val="26"/>
        </w:rPr>
        <w:t xml:space="preserve"> percent</w:t>
      </w:r>
      <w:r>
        <w:rPr>
          <w:szCs w:val="26"/>
        </w:rPr>
        <w:t xml:space="preserve"> from $851,334 in the September 1, 2023 through December 31, 2025 record period to $887,082 in the 2026 record period driven by an increase in O&amp;M costs. Other than stating trends in such operational costs, EPUC </w:t>
      </w:r>
      <w:r w:rsidR="00C038DA">
        <w:rPr>
          <w:szCs w:val="26"/>
        </w:rPr>
        <w:t>does not otherwise explain how the market revenue forecast is inaccurate.</w:t>
      </w:r>
      <w:r>
        <w:rPr>
          <w:rStyle w:val="FootnoteReference"/>
          <w:szCs w:val="26"/>
        </w:rPr>
        <w:footnoteReference w:id="142"/>
      </w:r>
    </w:p>
    <w:p w:rsidRPr="001B4048" w:rsidR="008C772F" w:rsidP="001B4048" w:rsidRDefault="008C772F" w14:paraId="2F45B29C" w14:textId="487B6D9D">
      <w:pPr>
        <w:pStyle w:val="Standard"/>
        <w:rPr>
          <w:szCs w:val="26"/>
        </w:rPr>
      </w:pPr>
      <w:r>
        <w:rPr>
          <w:szCs w:val="26"/>
        </w:rPr>
        <w:t xml:space="preserve">CalCCA </w:t>
      </w:r>
      <w:r w:rsidR="00D11985">
        <w:rPr>
          <w:szCs w:val="26"/>
        </w:rPr>
        <w:t>sta</w:t>
      </w:r>
      <w:r>
        <w:rPr>
          <w:szCs w:val="26"/>
        </w:rPr>
        <w:t>tes in its October 20, 2025 on the Fall Update that PG&amp;E had undercounted 2026 CAISO revenue by $728,958 by entering the incorrect off-peak energy MPB into its calculation.</w:t>
      </w:r>
      <w:r>
        <w:rPr>
          <w:rStyle w:val="FootnoteReference"/>
          <w:szCs w:val="26"/>
        </w:rPr>
        <w:footnoteReference w:id="143"/>
      </w:r>
      <w:r>
        <w:rPr>
          <w:szCs w:val="26"/>
        </w:rPr>
        <w:t xml:space="preserve"> PG&amp;E accepted that correction in its Reply Comments on the Fall Update.</w:t>
      </w:r>
      <w:r>
        <w:rPr>
          <w:rStyle w:val="FootnoteReference"/>
          <w:szCs w:val="26"/>
        </w:rPr>
        <w:footnoteReference w:id="144"/>
      </w:r>
    </w:p>
    <w:p w:rsidR="001B4048" w:rsidP="001B4048" w:rsidRDefault="001B4048" w14:paraId="6C069D29" w14:textId="34B17201">
      <w:pPr>
        <w:pStyle w:val="Standard"/>
        <w:rPr>
          <w:szCs w:val="26"/>
        </w:rPr>
      </w:pPr>
      <w:r w:rsidRPr="001B4048">
        <w:rPr>
          <w:szCs w:val="26"/>
        </w:rPr>
        <w:t>Upon review</w:t>
      </w:r>
      <w:r>
        <w:rPr>
          <w:szCs w:val="26"/>
        </w:rPr>
        <w:t xml:space="preserve"> of PG&amp;E’s request and party comments</w:t>
      </w:r>
      <w:r w:rsidRPr="001B4048">
        <w:rPr>
          <w:szCs w:val="26"/>
        </w:rPr>
        <w:t>, the Commission finds PG&amp;E’s forecasted CAISO energy</w:t>
      </w:r>
      <w:r>
        <w:rPr>
          <w:szCs w:val="26"/>
        </w:rPr>
        <w:t xml:space="preserve"> </w:t>
      </w:r>
      <w:r w:rsidRPr="001B4048">
        <w:rPr>
          <w:szCs w:val="26"/>
        </w:rPr>
        <w:t>market revenues reasonable and approves them</w:t>
      </w:r>
      <w:r w:rsidR="008C772F">
        <w:rPr>
          <w:szCs w:val="26"/>
        </w:rPr>
        <w:t xml:space="preserve"> adjusted for the corrected 2026 CAISO revenue amount</w:t>
      </w:r>
      <w:r w:rsidRPr="001B4048">
        <w:rPr>
          <w:szCs w:val="26"/>
        </w:rPr>
        <w:t>.</w:t>
      </w:r>
    </w:p>
    <w:p w:rsidR="00D17F8D" w:rsidP="00D17F8D" w:rsidRDefault="00D17F8D" w14:paraId="15F27B0F" w14:textId="2977E2B3">
      <w:pPr>
        <w:pStyle w:val="Heading2"/>
      </w:pPr>
      <w:bookmarkStart w:name="_Toc216176817" w:id="61"/>
      <w:r>
        <w:t>Netting of CAISO Revenues</w:t>
      </w:r>
      <w:bookmarkEnd w:id="61"/>
    </w:p>
    <w:p w:rsidRPr="00FF52F2" w:rsidR="00FF52F2" w:rsidP="00FB4020" w:rsidRDefault="00FF52F2" w14:paraId="322C2235" w14:textId="1FEBCEB0">
      <w:pPr>
        <w:pStyle w:val="Standard"/>
      </w:pPr>
      <w:r>
        <w:t>PG&amp;E requests that the Commission approve the consolidated net revenue</w:t>
      </w:r>
      <w:r w:rsidR="00FB4020">
        <w:t xml:space="preserve"> </w:t>
      </w:r>
      <w:r>
        <w:t xml:space="preserve">requirement </w:t>
      </w:r>
      <w:r w:rsidRPr="00C038DA">
        <w:t>of $</w:t>
      </w:r>
      <w:r w:rsidRPr="00C038DA" w:rsidR="00C038DA">
        <w:t>38</w:t>
      </w:r>
      <w:r w:rsidR="008C772F">
        <w:t>2.233</w:t>
      </w:r>
      <w:r w:rsidR="000B222B">
        <w:t xml:space="preserve"> million </w:t>
      </w:r>
      <w:r>
        <w:t xml:space="preserve">that will be used to allocate costs to the three </w:t>
      </w:r>
      <w:r>
        <w:lastRenderedPageBreak/>
        <w:t>large</w:t>
      </w:r>
      <w:r w:rsidR="00EB71D1">
        <w:t xml:space="preserve"> </w:t>
      </w:r>
      <w:r>
        <w:t>IOUs and will be the basis for setting rates.</w:t>
      </w:r>
      <w:r w:rsidR="00C038DA">
        <w:rPr>
          <w:rStyle w:val="FootnoteReference"/>
        </w:rPr>
        <w:footnoteReference w:id="145"/>
      </w:r>
      <w:r>
        <w:t xml:space="preserve"> The Commission approves a </w:t>
      </w:r>
      <w:r w:rsidRPr="00FF52F2">
        <w:t xml:space="preserve">consolidated net revenue requirement </w:t>
      </w:r>
      <w:r w:rsidRPr="00C038DA">
        <w:t>of $</w:t>
      </w:r>
      <w:r w:rsidRPr="00C038DA" w:rsidR="00C038DA">
        <w:t>382.</w:t>
      </w:r>
      <w:r w:rsidR="008C772F">
        <w:t>233</w:t>
      </w:r>
      <w:r w:rsidRPr="00C038DA">
        <w:t xml:space="preserve"> million.</w:t>
      </w:r>
    </w:p>
    <w:p w:rsidRPr="00FF52F2" w:rsidR="00FF52F2" w:rsidP="00FB4020" w:rsidRDefault="00FF52F2" w14:paraId="08DC9688" w14:textId="402F784D">
      <w:pPr>
        <w:pStyle w:val="Standard"/>
      </w:pPr>
      <w:r w:rsidRPr="00FF52F2">
        <w:t>In its Fall Update, PG&amp;E consolidates PG&amp;E’s Diablo Canyon Extended</w:t>
      </w:r>
      <w:r w:rsidR="00FB4020">
        <w:t xml:space="preserve"> </w:t>
      </w:r>
      <w:r w:rsidRPr="00FF52F2">
        <w:t>Operations cost updates, DCPP Electric Generation Revenue Forecast Update,</w:t>
      </w:r>
      <w:r w:rsidR="00FB4020">
        <w:t xml:space="preserve"> </w:t>
      </w:r>
      <w:r w:rsidRPr="00FF52F2">
        <w:t>VPF Update, RA Substitution</w:t>
      </w:r>
      <w:r w:rsidR="00FB4020">
        <w:t xml:space="preserve"> </w:t>
      </w:r>
      <w:r w:rsidRPr="00FF52F2">
        <w:t>Cost Forecast with the cost forecasts presented in PG&amp;E’s Ju</w:t>
      </w:r>
      <w:r w:rsidR="00EB71D1">
        <w:t>ly</w:t>
      </w:r>
      <w:r w:rsidRPr="00FF52F2">
        <w:t xml:space="preserve"> 8,</w:t>
      </w:r>
      <w:r w:rsidR="00FB4020">
        <w:t xml:space="preserve"> </w:t>
      </w:r>
      <w:r w:rsidRPr="00FF52F2">
        <w:t>202</w:t>
      </w:r>
      <w:r w:rsidR="00B762BA">
        <w:t>5</w:t>
      </w:r>
      <w:r w:rsidRPr="00FF52F2">
        <w:t xml:space="preserve"> errata testimony. Then, the DCEOBA balance from the end of year 202</w:t>
      </w:r>
      <w:r w:rsidR="00B762BA">
        <w:t>5</w:t>
      </w:r>
      <w:r w:rsidRPr="00FF52F2">
        <w:t xml:space="preserve"> and</w:t>
      </w:r>
      <w:r w:rsidR="00FB4020">
        <w:t xml:space="preserve"> </w:t>
      </w:r>
      <w:bookmarkStart w:name="_Hlk211516952" w:id="62"/>
      <w:r w:rsidRPr="00FF52F2">
        <w:t xml:space="preserve">Revenue Fees and </w:t>
      </w:r>
      <w:proofErr w:type="spellStart"/>
      <w:r w:rsidRPr="00FF52F2">
        <w:t>Uncollectibles</w:t>
      </w:r>
      <w:proofErr w:type="spellEnd"/>
      <w:r w:rsidRPr="00FF52F2">
        <w:t xml:space="preserve"> (RF&amp;U) </w:t>
      </w:r>
      <w:bookmarkEnd w:id="62"/>
      <w:r w:rsidRPr="00FF52F2">
        <w:t xml:space="preserve">and the </w:t>
      </w:r>
      <w:bookmarkStart w:name="_Hlk211516958" w:id="63"/>
      <w:r w:rsidRPr="00FF52F2">
        <w:t>Franchise Fee and</w:t>
      </w:r>
      <w:r>
        <w:t xml:space="preserve"> </w:t>
      </w:r>
      <w:proofErr w:type="spellStart"/>
      <w:r w:rsidRPr="00FF52F2">
        <w:t>Uncollectibles</w:t>
      </w:r>
      <w:proofErr w:type="spellEnd"/>
      <w:r w:rsidRPr="00FF52F2">
        <w:t xml:space="preserve"> (FF&amp;U) </w:t>
      </w:r>
      <w:bookmarkEnd w:id="63"/>
      <w:r w:rsidRPr="00FF52F2">
        <w:t>amounts are included for developing the Diablo Canyon</w:t>
      </w:r>
      <w:r w:rsidR="00FB4020">
        <w:t xml:space="preserve"> </w:t>
      </w:r>
      <w:r w:rsidRPr="00FF52F2">
        <w:t xml:space="preserve">extended operations revenue requirement for </w:t>
      </w:r>
      <w:proofErr w:type="spellStart"/>
      <w:r w:rsidRPr="00FF52F2">
        <w:t>ratesetting</w:t>
      </w:r>
      <w:proofErr w:type="spellEnd"/>
      <w:r w:rsidRPr="00FF52F2">
        <w:t>.</w:t>
      </w:r>
    </w:p>
    <w:p w:rsidRPr="00FF52F2" w:rsidR="00FF52F2" w:rsidP="00FF52F2" w:rsidRDefault="00FF52F2" w14:paraId="118788B2" w14:textId="77777777">
      <w:pPr>
        <w:pStyle w:val="Standard"/>
      </w:pPr>
      <w:r w:rsidRPr="00FF52F2">
        <w:t>No party disputed the computation of netting the CAISO revenues.</w:t>
      </w:r>
    </w:p>
    <w:p w:rsidR="00D17F8D" w:rsidP="00FB4020" w:rsidRDefault="00FF52F2" w14:paraId="06F833EB" w14:textId="3464FC39">
      <w:pPr>
        <w:pStyle w:val="Standard"/>
      </w:pPr>
      <w:r w:rsidRPr="00FF52F2">
        <w:t xml:space="preserve">Upon review, a consolidated net revenue requirement of </w:t>
      </w:r>
      <w:r w:rsidRPr="00C038DA">
        <w:t>$</w:t>
      </w:r>
      <w:r w:rsidRPr="00C038DA" w:rsidR="00C038DA">
        <w:t>382.</w:t>
      </w:r>
      <w:r w:rsidR="008C772F">
        <w:t>233</w:t>
      </w:r>
      <w:r w:rsidR="000B222B">
        <w:t xml:space="preserve"> million </w:t>
      </w:r>
      <w:r w:rsidRPr="00FF52F2">
        <w:t>is</w:t>
      </w:r>
      <w:r w:rsidR="00C038DA">
        <w:t xml:space="preserve"> </w:t>
      </w:r>
      <w:r w:rsidRPr="00FF52F2">
        <w:t>approved. The reduction from the requested amount reflects the changes made</w:t>
      </w:r>
      <w:r w:rsidR="00FB4020">
        <w:t xml:space="preserve"> </w:t>
      </w:r>
      <w:r w:rsidRPr="00FF52F2">
        <w:t>by this decision.</w:t>
      </w:r>
    </w:p>
    <w:p w:rsidRPr="00EB71D1" w:rsidR="00EB71D1" w:rsidP="008926B4" w:rsidRDefault="00EB71D1" w14:paraId="291EC9FC" w14:textId="0A36C439">
      <w:pPr>
        <w:pStyle w:val="Heading1"/>
      </w:pPr>
      <w:bookmarkStart w:name="_Toc216176818" w:id="64"/>
      <w:r w:rsidRPr="00EB71D1">
        <w:t>N</w:t>
      </w:r>
      <w:r>
        <w:t>on</w:t>
      </w:r>
      <w:r w:rsidR="0066553B">
        <w:t>-</w:t>
      </w:r>
      <w:proofErr w:type="spellStart"/>
      <w:r w:rsidR="0066553B">
        <w:t>B</w:t>
      </w:r>
      <w:r>
        <w:t>ypassable</w:t>
      </w:r>
      <w:proofErr w:type="spellEnd"/>
      <w:r>
        <w:t xml:space="preserve"> </w:t>
      </w:r>
      <w:r w:rsidRPr="00EB71D1">
        <w:t>C</w:t>
      </w:r>
      <w:r>
        <w:t>harge</w:t>
      </w:r>
      <w:bookmarkEnd w:id="64"/>
    </w:p>
    <w:p w:rsidRPr="00EB71D1" w:rsidR="00EB71D1" w:rsidP="00FB4020" w:rsidRDefault="00EB71D1" w14:paraId="62D3CA0C" w14:textId="21940C61">
      <w:pPr>
        <w:pStyle w:val="Standard"/>
      </w:pPr>
      <w:r w:rsidRPr="00EB71D1">
        <w:t>The Commission finds that the IOUs’ proposal for allocation of the DCPP</w:t>
      </w:r>
      <w:r w:rsidR="00FB4020">
        <w:t xml:space="preserve"> </w:t>
      </w:r>
      <w:r w:rsidRPr="00EB71D1">
        <w:t>extended operations cost is consistent with the direction provided in D.23-12-036</w:t>
      </w:r>
      <w:r w:rsidR="00FB4020">
        <w:t xml:space="preserve"> </w:t>
      </w:r>
      <w:r w:rsidRPr="00EB71D1">
        <w:t>and approves it.</w:t>
      </w:r>
    </w:p>
    <w:p w:rsidRPr="00EB71D1" w:rsidR="00EB71D1" w:rsidP="00EB71D1" w:rsidRDefault="00EB71D1" w14:paraId="71FB29C3" w14:textId="2C949C46">
      <w:pPr>
        <w:pStyle w:val="Heading2"/>
      </w:pPr>
      <w:bookmarkStart w:name="_Toc216176819" w:id="65"/>
      <w:r w:rsidRPr="00EB71D1">
        <w:t>Background and the IOUs’ Joint Proposal</w:t>
      </w:r>
      <w:bookmarkEnd w:id="65"/>
    </w:p>
    <w:p w:rsidRPr="00EB71D1" w:rsidR="00EB71D1" w:rsidP="00FB4020" w:rsidRDefault="00EB71D1" w14:paraId="4F789760" w14:textId="4864E71F">
      <w:pPr>
        <w:pStyle w:val="Standard"/>
      </w:pPr>
      <w:r w:rsidRPr="00EB71D1">
        <w:t>Pursuant to SB 846, in D.23-12-036, the Commission authorized PG&amp;E,</w:t>
      </w:r>
      <w:r w:rsidR="00FB4020">
        <w:t xml:space="preserve"> </w:t>
      </w:r>
      <w:r w:rsidRPr="00EB71D1">
        <w:t xml:space="preserve">SCE, SDG&amp;E; </w:t>
      </w:r>
      <w:bookmarkStart w:name="_Hlk211516971" w:id="66"/>
      <w:r w:rsidRPr="00EB71D1">
        <w:t>Liberty Utilities/</w:t>
      </w:r>
      <w:proofErr w:type="spellStart"/>
      <w:r w:rsidRPr="00EB71D1">
        <w:t>CalPeco</w:t>
      </w:r>
      <w:proofErr w:type="spellEnd"/>
      <w:r w:rsidRPr="00EB71D1">
        <w:t xml:space="preserve"> Electric (Liberty)</w:t>
      </w:r>
      <w:bookmarkEnd w:id="66"/>
      <w:r w:rsidRPr="00EB71D1">
        <w:t xml:space="preserve">; </w:t>
      </w:r>
      <w:bookmarkStart w:name="_Hlk211516980" w:id="67"/>
      <w:r w:rsidRPr="00EB71D1">
        <w:t>Bear Valley Electric</w:t>
      </w:r>
      <w:r w:rsidR="00FB4020">
        <w:t xml:space="preserve"> </w:t>
      </w:r>
      <w:r w:rsidRPr="00EB71D1">
        <w:t>Service, a division of Golden State Water Company</w:t>
      </w:r>
      <w:r>
        <w:t xml:space="preserve"> </w:t>
      </w:r>
      <w:r w:rsidRPr="00EB71D1">
        <w:t>(Bear Valley)</w:t>
      </w:r>
      <w:bookmarkEnd w:id="67"/>
      <w:r w:rsidRPr="00EB71D1">
        <w:t>; and Pacific</w:t>
      </w:r>
      <w:r w:rsidR="00B762BA">
        <w:t xml:space="preserve"> </w:t>
      </w:r>
      <w:r w:rsidRPr="00EB71D1">
        <w:t>Power, a division of PacifiCorp to establish a new</w:t>
      </w:r>
      <w:r w:rsidR="002E10C9">
        <w:t xml:space="preserve"> </w:t>
      </w:r>
      <w:r w:rsidRPr="00EB71D1">
        <w:t>NBC to collect D</w:t>
      </w:r>
      <w:r w:rsidR="001C5C26">
        <w:t>CPP</w:t>
      </w:r>
      <w:r w:rsidRPr="00EB71D1">
        <w:t xml:space="preserve"> extended operations costs.</w:t>
      </w:r>
      <w:r>
        <w:rPr>
          <w:rStyle w:val="FootnoteReference"/>
        </w:rPr>
        <w:footnoteReference w:id="146"/>
      </w:r>
      <w:r w:rsidRPr="00EB71D1">
        <w:t xml:space="preserve"> The Commission required </w:t>
      </w:r>
      <w:r w:rsidR="00443104">
        <w:t>PG&amp;E, SCE, and SDG&amp;E</w:t>
      </w:r>
      <w:r w:rsidRPr="00EB71D1">
        <w:t xml:space="preserve"> “to provide joint testimony proposing an allocation among</w:t>
      </w:r>
      <w:r>
        <w:t xml:space="preserve"> </w:t>
      </w:r>
      <w:r w:rsidRPr="00EB71D1">
        <w:t xml:space="preserve">themselves of the </w:t>
      </w:r>
      <w:r w:rsidRPr="00EB71D1">
        <w:lastRenderedPageBreak/>
        <w:t>statutorily defined [DCPP] extended operations costs</w:t>
      </w:r>
      <w:r w:rsidR="002E10C9">
        <w:t xml:space="preserve"> </w:t>
      </w:r>
      <w:r w:rsidRPr="00EB71D1">
        <w:t>applicable to all load serving entities, and the revenue associated with the</w:t>
      </w:r>
      <w:r w:rsidR="002E10C9">
        <w:t xml:space="preserve"> </w:t>
      </w:r>
      <w:r w:rsidRPr="00EB71D1">
        <w:t>$6.50 per megawatt-hour volumetric fee under Pub. Util. Code Section</w:t>
      </w:r>
      <w:r w:rsidR="00F1307C">
        <w:t xml:space="preserve"> </w:t>
      </w:r>
      <w:r w:rsidRPr="00EB71D1">
        <w:t>712.8(f)(5), in each of PG&amp;E’s DCPP Extended Operations Cost Forecast</w:t>
      </w:r>
      <w:r w:rsidR="00F1307C">
        <w:t xml:space="preserve"> </w:t>
      </w:r>
      <w:r w:rsidRPr="00EB71D1">
        <w:t>application proceedings[.]”</w:t>
      </w:r>
      <w:r>
        <w:rPr>
          <w:rStyle w:val="FootnoteReference"/>
        </w:rPr>
        <w:footnoteReference w:id="147"/>
      </w:r>
      <w:r w:rsidRPr="00EB71D1">
        <w:t xml:space="preserve"> In compliance with the requirements, the IOUs,</w:t>
      </w:r>
      <w:r w:rsidR="00F1307C">
        <w:t xml:space="preserve"> </w:t>
      </w:r>
      <w:r w:rsidRPr="00EB71D1">
        <w:t>jointly, presented their proposed allocation of the DCPP extended operations</w:t>
      </w:r>
      <w:r w:rsidR="00F1307C">
        <w:t xml:space="preserve"> </w:t>
      </w:r>
      <w:r w:rsidRPr="00EB71D1">
        <w:t>costs and the DC</w:t>
      </w:r>
      <w:r w:rsidR="00F1307C">
        <w:t>PP</w:t>
      </w:r>
      <w:r w:rsidRPr="00EB71D1">
        <w:t xml:space="preserve"> NBC rates applicable to each utility’s customers.</w:t>
      </w:r>
    </w:p>
    <w:p w:rsidR="00EB71D1" w:rsidP="00FB4020" w:rsidRDefault="00EB71D1" w14:paraId="0FC364B2" w14:textId="433EBB2D">
      <w:pPr>
        <w:pStyle w:val="Standard"/>
      </w:pPr>
      <w:r w:rsidRPr="00EB71D1">
        <w:t>The IOUs propose allocating the DCPP extended operations costs using a</w:t>
      </w:r>
      <w:r w:rsidR="00FB4020">
        <w:t xml:space="preserve"> </w:t>
      </w:r>
      <w:bookmarkStart w:name="_Hlk211517011" w:id="68"/>
      <w:r w:rsidRPr="00EB71D1">
        <w:t xml:space="preserve">12-month </w:t>
      </w:r>
      <w:r w:rsidR="007E0085">
        <w:t>Coincident Peak (12-CP)</w:t>
      </w:r>
      <w:r w:rsidRPr="00EB71D1">
        <w:t xml:space="preserve"> </w:t>
      </w:r>
      <w:bookmarkEnd w:id="68"/>
      <w:r w:rsidRPr="00EB71D1">
        <w:t>load forecast, as required by D.23-12-036.</w:t>
      </w:r>
      <w:r w:rsidR="00F1307C">
        <w:rPr>
          <w:rStyle w:val="FootnoteReference"/>
        </w:rPr>
        <w:footnoteReference w:id="148"/>
      </w:r>
      <w:r w:rsidRPr="00EB71D1">
        <w:t xml:space="preserve"> They utilize the </w:t>
      </w:r>
      <w:bookmarkStart w:name="_Hlk211517016" w:id="69"/>
      <w:r w:rsidRPr="00EB71D1">
        <w:t>C</w:t>
      </w:r>
      <w:r w:rsidR="00F1307C">
        <w:t xml:space="preserve">alifornia </w:t>
      </w:r>
      <w:r w:rsidRPr="00EB71D1">
        <w:t>E</w:t>
      </w:r>
      <w:r w:rsidR="00F1307C">
        <w:t xml:space="preserve">nergy </w:t>
      </w:r>
      <w:r w:rsidRPr="00EB71D1">
        <w:t>C</w:t>
      </w:r>
      <w:r w:rsidR="00F1307C">
        <w:t>ommission</w:t>
      </w:r>
      <w:r w:rsidRPr="00EB71D1">
        <w:t>’s</w:t>
      </w:r>
      <w:r w:rsidR="00F1307C">
        <w:t xml:space="preserve"> (CEC) </w:t>
      </w:r>
      <w:bookmarkEnd w:id="69"/>
      <w:r w:rsidRPr="00EB71D1">
        <w:t xml:space="preserve">peak load forecast developed for use in the Commission’s </w:t>
      </w:r>
      <w:bookmarkStart w:name="_Hlk211517021" w:id="70"/>
      <w:r w:rsidR="00F1307C">
        <w:t>RA</w:t>
      </w:r>
      <w:r w:rsidR="006F14D3">
        <w:t xml:space="preserve"> </w:t>
      </w:r>
      <w:r w:rsidRPr="00EB71D1">
        <w:t>program</w:t>
      </w:r>
      <w:bookmarkEnd w:id="70"/>
      <w:r w:rsidRPr="00EB71D1">
        <w:t>.</w:t>
      </w:r>
      <w:r w:rsidR="00F1307C">
        <w:rPr>
          <w:rStyle w:val="FootnoteReference"/>
        </w:rPr>
        <w:footnoteReference w:id="149"/>
      </w:r>
      <w:r w:rsidRPr="00EB71D1">
        <w:t xml:space="preserve"> Then</w:t>
      </w:r>
      <w:r w:rsidR="00F1307C">
        <w:t xml:space="preserve">, </w:t>
      </w:r>
      <w:r w:rsidRPr="00EB71D1">
        <w:t>the utilities develop allocation factors by d</w:t>
      </w:r>
      <w:r w:rsidR="00F1307C">
        <w:t xml:space="preserve">eveloping a </w:t>
      </w:r>
      <w:r w:rsidR="00443104">
        <w:t>percent</w:t>
      </w:r>
      <w:r w:rsidR="00F1307C">
        <w:t xml:space="preserve">age that each </w:t>
      </w:r>
      <w:r w:rsidRPr="00EB71D1">
        <w:t>utility</w:t>
      </w:r>
      <w:r w:rsidR="00F1307C">
        <w:t xml:space="preserve"> contributes to the total calculated forecast peak load.</w:t>
      </w:r>
      <w:r w:rsidR="00F1307C">
        <w:rPr>
          <w:rStyle w:val="FootnoteReference"/>
        </w:rPr>
        <w:footnoteReference w:id="150"/>
      </w:r>
      <w:r w:rsidR="00F1307C">
        <w:t xml:space="preserve"> </w:t>
      </w:r>
      <w:r w:rsidRPr="00EB71D1">
        <w:t>The IOUs updated the allocation of DCPP extended</w:t>
      </w:r>
      <w:r w:rsidR="00F1307C">
        <w:t xml:space="preserve"> </w:t>
      </w:r>
      <w:r w:rsidRPr="00EB71D1">
        <w:t xml:space="preserve">operations costs based on the more recent 2025 CEC </w:t>
      </w:r>
      <w:r w:rsidR="007E0085">
        <w:t>12-CP</w:t>
      </w:r>
      <w:r w:rsidRPr="00EB71D1">
        <w:t xml:space="preserve"> load forecast in the</w:t>
      </w:r>
      <w:r w:rsidR="00F1307C">
        <w:t xml:space="preserve"> </w:t>
      </w:r>
      <w:r w:rsidRPr="00EB71D1">
        <w:t>Fall Update, as shown below.</w:t>
      </w:r>
      <w:r w:rsidR="00F1307C">
        <w:rPr>
          <w:rStyle w:val="FootnoteReference"/>
        </w:rPr>
        <w:footnoteReference w:id="151"/>
      </w:r>
    </w:p>
    <w:p w:rsidRPr="00F1307C" w:rsidR="00F1307C" w:rsidP="002D4260" w:rsidRDefault="00F1307C" w14:paraId="0FE80503" w14:textId="09DCC653">
      <w:pPr>
        <w:pStyle w:val="Standard"/>
        <w:keepNext/>
        <w:ind w:firstLine="0"/>
        <w:jc w:val="center"/>
        <w:rPr>
          <w:b/>
          <w:bCs/>
        </w:rPr>
      </w:pPr>
      <w:r>
        <w:rPr>
          <w:b/>
          <w:bCs/>
        </w:rPr>
        <w:t xml:space="preserve">Table </w:t>
      </w:r>
      <w:r w:rsidR="00443104">
        <w:rPr>
          <w:b/>
          <w:bCs/>
        </w:rPr>
        <w:t>4:</w:t>
      </w:r>
      <w:r>
        <w:rPr>
          <w:b/>
          <w:bCs/>
        </w:rPr>
        <w:t xml:space="preserve"> </w:t>
      </w:r>
      <w:r w:rsidRPr="00F1307C">
        <w:rPr>
          <w:b/>
          <w:bCs/>
        </w:rPr>
        <w:t>12-CP Load Allocation Factors</w:t>
      </w:r>
    </w:p>
    <w:tbl>
      <w:tblPr>
        <w:tblStyle w:val="TableGrid"/>
        <w:tblW w:w="8640" w:type="dxa"/>
        <w:jc w:val="center"/>
        <w:tblCellMar>
          <w:top w:w="58" w:type="dxa"/>
          <w:bottom w:w="58" w:type="dxa"/>
        </w:tblCellMar>
        <w:tblLook w:val="04A0" w:firstRow="1" w:lastRow="0" w:firstColumn="1" w:lastColumn="0" w:noHBand="0" w:noVBand="1"/>
      </w:tblPr>
      <w:tblGrid>
        <w:gridCol w:w="2882"/>
        <w:gridCol w:w="2877"/>
        <w:gridCol w:w="2881"/>
      </w:tblGrid>
      <w:tr w:rsidR="00F1307C" w:rsidTr="00FB4020" w14:paraId="620C2B8A" w14:textId="77777777">
        <w:trPr>
          <w:trHeight w:val="103"/>
          <w:tblHeader/>
          <w:jc w:val="center"/>
        </w:trPr>
        <w:tc>
          <w:tcPr>
            <w:tcW w:w="3116" w:type="dxa"/>
          </w:tcPr>
          <w:p w:rsidRPr="00F1307C" w:rsidR="00F1307C" w:rsidP="002D4260" w:rsidRDefault="00F1307C" w14:paraId="6150FDDD" w14:textId="2E8EC94C">
            <w:pPr>
              <w:pStyle w:val="Standard"/>
              <w:keepNext/>
              <w:spacing w:line="240" w:lineRule="auto"/>
              <w:ind w:firstLine="0"/>
              <w:jc w:val="center"/>
              <w:rPr>
                <w:b/>
                <w:bCs/>
              </w:rPr>
            </w:pPr>
            <w:r w:rsidRPr="00F1307C">
              <w:rPr>
                <w:b/>
                <w:bCs/>
              </w:rPr>
              <w:t>IOU</w:t>
            </w:r>
          </w:p>
        </w:tc>
        <w:tc>
          <w:tcPr>
            <w:tcW w:w="3117" w:type="dxa"/>
          </w:tcPr>
          <w:p w:rsidRPr="00F1307C" w:rsidR="00F1307C" w:rsidP="002D4260" w:rsidRDefault="00F1307C" w14:paraId="7B28047D" w14:textId="7B8F268A">
            <w:pPr>
              <w:pStyle w:val="Standard"/>
              <w:keepNext/>
              <w:spacing w:line="240" w:lineRule="auto"/>
              <w:ind w:firstLine="0"/>
              <w:jc w:val="center"/>
              <w:rPr>
                <w:b/>
                <w:bCs/>
              </w:rPr>
            </w:pPr>
            <w:r w:rsidRPr="00F1307C">
              <w:rPr>
                <w:b/>
                <w:bCs/>
              </w:rPr>
              <w:t>MW</w:t>
            </w:r>
          </w:p>
        </w:tc>
        <w:tc>
          <w:tcPr>
            <w:tcW w:w="3117" w:type="dxa"/>
          </w:tcPr>
          <w:p w:rsidRPr="00F1307C" w:rsidR="00F1307C" w:rsidP="002D4260" w:rsidRDefault="001C5C26" w14:paraId="49411D41" w14:textId="7458FF44">
            <w:pPr>
              <w:pStyle w:val="Standard"/>
              <w:keepNext/>
              <w:spacing w:line="240" w:lineRule="auto"/>
              <w:ind w:firstLine="0"/>
              <w:jc w:val="center"/>
              <w:rPr>
                <w:b/>
                <w:bCs/>
              </w:rPr>
            </w:pPr>
            <w:r>
              <w:rPr>
                <w:b/>
                <w:bCs/>
              </w:rPr>
              <w:t>Percent</w:t>
            </w:r>
          </w:p>
        </w:tc>
      </w:tr>
      <w:tr w:rsidR="00F1307C" w:rsidTr="00FB4020" w14:paraId="0AC5FC04" w14:textId="77777777">
        <w:trPr>
          <w:jc w:val="center"/>
        </w:trPr>
        <w:tc>
          <w:tcPr>
            <w:tcW w:w="3116" w:type="dxa"/>
          </w:tcPr>
          <w:p w:rsidR="00F1307C" w:rsidP="002D4260" w:rsidRDefault="00F1307C" w14:paraId="07EF40AD" w14:textId="6A7BBE01">
            <w:pPr>
              <w:pStyle w:val="Standard"/>
              <w:keepNext/>
              <w:spacing w:line="240" w:lineRule="auto"/>
              <w:ind w:firstLine="0"/>
              <w:jc w:val="center"/>
            </w:pPr>
            <w:r>
              <w:t>PG&amp;E</w:t>
            </w:r>
          </w:p>
        </w:tc>
        <w:tc>
          <w:tcPr>
            <w:tcW w:w="3117" w:type="dxa"/>
          </w:tcPr>
          <w:p w:rsidR="00F1307C" w:rsidP="002D4260" w:rsidRDefault="00443104" w14:paraId="0090E3C6" w14:textId="242B2183">
            <w:pPr>
              <w:pStyle w:val="Standard"/>
              <w:keepNext/>
              <w:spacing w:line="240" w:lineRule="auto"/>
              <w:ind w:firstLine="0"/>
              <w:jc w:val="center"/>
            </w:pPr>
            <w:r>
              <w:t>170,248</w:t>
            </w:r>
          </w:p>
        </w:tc>
        <w:tc>
          <w:tcPr>
            <w:tcW w:w="3117" w:type="dxa"/>
          </w:tcPr>
          <w:p w:rsidR="00F1307C" w:rsidP="002D4260" w:rsidRDefault="00443104" w14:paraId="517EDBE0" w14:textId="3E321DD9">
            <w:pPr>
              <w:pStyle w:val="Standard"/>
              <w:keepNext/>
              <w:spacing w:line="240" w:lineRule="auto"/>
              <w:ind w:firstLine="0"/>
              <w:jc w:val="center"/>
            </w:pPr>
            <w:r>
              <w:t>44.19</w:t>
            </w:r>
          </w:p>
        </w:tc>
      </w:tr>
      <w:tr w:rsidR="00F1307C" w:rsidTr="00FB4020" w14:paraId="35B1D67B" w14:textId="77777777">
        <w:trPr>
          <w:jc w:val="center"/>
        </w:trPr>
        <w:tc>
          <w:tcPr>
            <w:tcW w:w="3116" w:type="dxa"/>
          </w:tcPr>
          <w:p w:rsidR="00F1307C" w:rsidP="002D4260" w:rsidRDefault="00F1307C" w14:paraId="6861EA03" w14:textId="0796F155">
            <w:pPr>
              <w:pStyle w:val="Standard"/>
              <w:keepNext/>
              <w:spacing w:line="240" w:lineRule="auto"/>
              <w:ind w:firstLine="0"/>
              <w:jc w:val="center"/>
            </w:pPr>
            <w:r>
              <w:t>SCE</w:t>
            </w:r>
          </w:p>
        </w:tc>
        <w:tc>
          <w:tcPr>
            <w:tcW w:w="3117" w:type="dxa"/>
          </w:tcPr>
          <w:p w:rsidR="00F1307C" w:rsidP="002D4260" w:rsidRDefault="00443104" w14:paraId="0F5B56A6" w14:textId="7F5117B8">
            <w:pPr>
              <w:pStyle w:val="Standard"/>
              <w:keepNext/>
              <w:spacing w:line="240" w:lineRule="auto"/>
              <w:ind w:firstLine="0"/>
              <w:jc w:val="center"/>
            </w:pPr>
            <w:r>
              <w:t>176,681</w:t>
            </w:r>
          </w:p>
        </w:tc>
        <w:tc>
          <w:tcPr>
            <w:tcW w:w="3117" w:type="dxa"/>
          </w:tcPr>
          <w:p w:rsidR="00F1307C" w:rsidP="002D4260" w:rsidRDefault="00443104" w14:paraId="3E17E4D0" w14:textId="32D5B70F">
            <w:pPr>
              <w:pStyle w:val="Standard"/>
              <w:keepNext/>
              <w:spacing w:line="240" w:lineRule="auto"/>
              <w:ind w:firstLine="0"/>
              <w:jc w:val="center"/>
            </w:pPr>
            <w:r>
              <w:t>45.86</w:t>
            </w:r>
          </w:p>
        </w:tc>
      </w:tr>
      <w:tr w:rsidR="00F1307C" w:rsidTr="00FB4020" w14:paraId="0ADE8467" w14:textId="77777777">
        <w:trPr>
          <w:jc w:val="center"/>
        </w:trPr>
        <w:tc>
          <w:tcPr>
            <w:tcW w:w="3116" w:type="dxa"/>
          </w:tcPr>
          <w:p w:rsidR="00F1307C" w:rsidP="002D4260" w:rsidRDefault="00F1307C" w14:paraId="027DFB23" w14:textId="638B29B5">
            <w:pPr>
              <w:pStyle w:val="Standard"/>
              <w:keepNext/>
              <w:spacing w:line="240" w:lineRule="auto"/>
              <w:ind w:firstLine="0"/>
              <w:jc w:val="center"/>
            </w:pPr>
            <w:r>
              <w:t>SDG&amp;E</w:t>
            </w:r>
          </w:p>
        </w:tc>
        <w:tc>
          <w:tcPr>
            <w:tcW w:w="3117" w:type="dxa"/>
          </w:tcPr>
          <w:p w:rsidR="00F1307C" w:rsidP="002D4260" w:rsidRDefault="00443104" w14:paraId="36182803" w14:textId="79BE09C4">
            <w:pPr>
              <w:pStyle w:val="Standard"/>
              <w:keepNext/>
              <w:spacing w:line="240" w:lineRule="auto"/>
              <w:ind w:firstLine="0"/>
              <w:jc w:val="center"/>
            </w:pPr>
            <w:r>
              <w:t>38,342</w:t>
            </w:r>
          </w:p>
        </w:tc>
        <w:tc>
          <w:tcPr>
            <w:tcW w:w="3117" w:type="dxa"/>
          </w:tcPr>
          <w:p w:rsidR="00F1307C" w:rsidP="002D4260" w:rsidRDefault="00443104" w14:paraId="57C3BAB5" w14:textId="50C3AA1F">
            <w:pPr>
              <w:pStyle w:val="Standard"/>
              <w:keepNext/>
              <w:spacing w:line="240" w:lineRule="auto"/>
              <w:ind w:firstLine="0"/>
              <w:jc w:val="center"/>
            </w:pPr>
            <w:r>
              <w:t>9.95</w:t>
            </w:r>
          </w:p>
        </w:tc>
      </w:tr>
      <w:tr w:rsidR="00F1307C" w:rsidTr="00FB4020" w14:paraId="0CDDAA5F" w14:textId="77777777">
        <w:trPr>
          <w:jc w:val="center"/>
        </w:trPr>
        <w:tc>
          <w:tcPr>
            <w:tcW w:w="3116" w:type="dxa"/>
          </w:tcPr>
          <w:p w:rsidRPr="00F1307C" w:rsidR="00F1307C" w:rsidP="00FB4020" w:rsidRDefault="00F1307C" w14:paraId="158A244F" w14:textId="17900154">
            <w:pPr>
              <w:pStyle w:val="Standard"/>
              <w:spacing w:line="240" w:lineRule="auto"/>
              <w:ind w:firstLine="0"/>
              <w:jc w:val="right"/>
              <w:rPr>
                <w:b/>
                <w:bCs/>
              </w:rPr>
            </w:pPr>
            <w:r w:rsidRPr="00F1307C">
              <w:rPr>
                <w:b/>
                <w:bCs/>
              </w:rPr>
              <w:t>Total</w:t>
            </w:r>
          </w:p>
        </w:tc>
        <w:tc>
          <w:tcPr>
            <w:tcW w:w="3117" w:type="dxa"/>
          </w:tcPr>
          <w:p w:rsidR="00F1307C" w:rsidP="00FB4020" w:rsidRDefault="00443104" w14:paraId="6F9FA9B6" w14:textId="71480690">
            <w:pPr>
              <w:pStyle w:val="Standard"/>
              <w:spacing w:line="240" w:lineRule="auto"/>
              <w:ind w:firstLine="0"/>
              <w:jc w:val="center"/>
            </w:pPr>
            <w:r>
              <w:t>385,270</w:t>
            </w:r>
          </w:p>
        </w:tc>
        <w:tc>
          <w:tcPr>
            <w:tcW w:w="3117" w:type="dxa"/>
          </w:tcPr>
          <w:p w:rsidR="00F1307C" w:rsidP="00FB4020" w:rsidRDefault="00443104" w14:paraId="5B3EA21A" w14:textId="20BB6455">
            <w:pPr>
              <w:pStyle w:val="Standard"/>
              <w:spacing w:line="240" w:lineRule="auto"/>
              <w:ind w:firstLine="0"/>
              <w:jc w:val="center"/>
            </w:pPr>
            <w:r>
              <w:t>100.00</w:t>
            </w:r>
          </w:p>
        </w:tc>
      </w:tr>
    </w:tbl>
    <w:p w:rsidR="00F1307C" w:rsidP="00FB4020" w:rsidRDefault="00F1307C" w14:paraId="111492BA" w14:textId="77777777">
      <w:pPr>
        <w:pStyle w:val="Standard"/>
        <w:spacing w:line="240" w:lineRule="auto"/>
        <w:ind w:firstLine="0"/>
      </w:pPr>
    </w:p>
    <w:p w:rsidR="00F1307C" w:rsidP="00F1307C" w:rsidRDefault="00F1307C" w14:paraId="2B9061F4" w14:textId="6888057C">
      <w:pPr>
        <w:pStyle w:val="Heading2"/>
      </w:pPr>
      <w:bookmarkStart w:name="_Toc216176820" w:id="71"/>
      <w:r>
        <w:lastRenderedPageBreak/>
        <w:t>Party Positions</w:t>
      </w:r>
      <w:bookmarkEnd w:id="71"/>
    </w:p>
    <w:p w:rsidR="00F1307C" w:rsidP="00F1307C" w:rsidRDefault="00F1307C" w14:paraId="4DFB891C" w14:textId="002DF2EC">
      <w:pPr>
        <w:pStyle w:val="Standard"/>
      </w:pPr>
      <w:r>
        <w:t xml:space="preserve">A4NR argues in </w:t>
      </w:r>
      <w:r w:rsidR="00842C65">
        <w:t xml:space="preserve">its Opening Brief </w:t>
      </w:r>
      <w:r>
        <w:t>that $55,461,049 of “unreasonable project costs” associated with projects identified by PG&amp;E’s PMO++ review and $12,673,805 in dry cas</w:t>
      </w:r>
      <w:r w:rsidR="00E34194">
        <w:t>k</w:t>
      </w:r>
      <w:r>
        <w:t xml:space="preserve"> storage, as well as $152,218,500 in “unreasonable RA substitution capacity costs” should be removed from the </w:t>
      </w:r>
      <w:r w:rsidR="001C5C26">
        <w:t>NBC</w:t>
      </w:r>
      <w:r>
        <w:t>.</w:t>
      </w:r>
      <w:r>
        <w:rPr>
          <w:rStyle w:val="FootnoteReference"/>
        </w:rPr>
        <w:footnoteReference w:id="152"/>
      </w:r>
    </w:p>
    <w:p w:rsidR="00F1307C" w:rsidP="00F1307C" w:rsidRDefault="00F1307C" w14:paraId="033B22A7" w14:textId="30FAA4C1">
      <w:pPr>
        <w:pStyle w:val="Heading2"/>
      </w:pPr>
      <w:bookmarkStart w:name="_Toc216176821" w:id="72"/>
      <w:r>
        <w:t>Discussion</w:t>
      </w:r>
      <w:bookmarkEnd w:id="72"/>
    </w:p>
    <w:p w:rsidR="00F1307C" w:rsidP="00FB4020" w:rsidRDefault="00F1307C" w14:paraId="4349E139" w14:textId="7E349107">
      <w:pPr>
        <w:pStyle w:val="Standard"/>
        <w:rPr>
          <w:sz w:val="17"/>
          <w:szCs w:val="17"/>
        </w:rPr>
      </w:pPr>
      <w:r>
        <w:t>In D.23-12-036, the Commission established a two-step process for</w:t>
      </w:r>
      <w:r w:rsidR="00FB4020">
        <w:t xml:space="preserve"> </w:t>
      </w:r>
      <w:r>
        <w:t>allocating net statewide DCPP extended operations costs to the LSEs in each IOU</w:t>
      </w:r>
      <w:r w:rsidR="00FB4020">
        <w:t xml:space="preserve"> </w:t>
      </w:r>
      <w:r>
        <w:t>service area. The first step involves allocation of DCPP costs between the three</w:t>
      </w:r>
      <w:r w:rsidR="00FB4020">
        <w:t> </w:t>
      </w:r>
      <w:r>
        <w:t>large IOUs based on each IOU’s share of 12-CP load. The Commission explained,</w:t>
      </w:r>
      <w:r w:rsidR="00FB4020">
        <w:t xml:space="preserve"> </w:t>
      </w:r>
      <w:r>
        <w:t>“[g]</w:t>
      </w:r>
      <w:proofErr w:type="spellStart"/>
      <w:r>
        <w:t>iven</w:t>
      </w:r>
      <w:proofErr w:type="spellEnd"/>
      <w:r>
        <w:t xml:space="preserve"> that ensuring system reliability is a key legislative rationale for the</w:t>
      </w:r>
      <w:r w:rsidR="00FB4020">
        <w:t xml:space="preserve"> </w:t>
      </w:r>
      <w:r>
        <w:t>billions of ratepayer dollars that may be spent to keep DCPP operating, it follows</w:t>
      </w:r>
      <w:r w:rsidR="00FB4020">
        <w:t xml:space="preserve"> </w:t>
      </w:r>
      <w:r>
        <w:t>that allocating the costs of those extended operations based on an IOU’s share of</w:t>
      </w:r>
      <w:r w:rsidR="00FB4020">
        <w:t xml:space="preserve"> </w:t>
      </w:r>
      <w:r>
        <w:t>a [12-CP] is fair and equitable.”</w:t>
      </w:r>
      <w:r w:rsidR="0066553B">
        <w:rPr>
          <w:rStyle w:val="FootnoteReference"/>
        </w:rPr>
        <w:footnoteReference w:id="153"/>
      </w:r>
    </w:p>
    <w:p w:rsidRPr="00F1307C" w:rsidR="00F1307C" w:rsidP="00FB4020" w:rsidRDefault="00F1307C" w14:paraId="54809CD3" w14:textId="524A9894">
      <w:pPr>
        <w:pStyle w:val="Standard"/>
      </w:pPr>
      <w:r>
        <w:t>The second step in the process established in D.23-12-036 allocates each</w:t>
      </w:r>
      <w:r w:rsidR="00FB4020">
        <w:t xml:space="preserve"> </w:t>
      </w:r>
      <w:r>
        <w:t>IOU’s DCPP Cost revenue requirement among the customers within its</w:t>
      </w:r>
      <w:r w:rsidR="00FB4020">
        <w:t xml:space="preserve"> </w:t>
      </w:r>
      <w:r>
        <w:t>distribution service territory based on 12-CP demand. The Commission directed</w:t>
      </w:r>
      <w:r w:rsidR="00FB4020">
        <w:t xml:space="preserve"> </w:t>
      </w:r>
      <w:r>
        <w:t xml:space="preserve">that “[t]he process for allocating these eligible costs to the LSEs </w:t>
      </w:r>
      <w:r>
        <w:rPr>
          <w:rFonts w:ascii="BookAntiqua-Italic" w:hAnsi="BookAntiqua-Italic" w:cs="BookAntiqua-Italic"/>
          <w:i/>
          <w:iCs/>
        </w:rPr>
        <w:t xml:space="preserve">within </w:t>
      </w:r>
      <w:r>
        <w:t>each IOU’s</w:t>
      </w:r>
      <w:r w:rsidR="00FB4020">
        <w:t xml:space="preserve"> </w:t>
      </w:r>
      <w:r w:rsidRPr="00F1307C">
        <w:t xml:space="preserve">territory should mirror the </w:t>
      </w:r>
      <w:bookmarkStart w:name="_Hlk211517030" w:id="73"/>
      <w:r w:rsidRPr="00F1307C">
        <w:t>Cost Allocation Mechanism (CAM)</w:t>
      </w:r>
      <w:bookmarkEnd w:id="73"/>
      <w:r w:rsidRPr="00F1307C">
        <w:t>,” which, as the</w:t>
      </w:r>
      <w:r w:rsidR="00FB4020">
        <w:t xml:space="preserve"> </w:t>
      </w:r>
      <w:r w:rsidRPr="00F1307C">
        <w:t>decision points out, utilizes the 12-CP demand allocation approach. The</w:t>
      </w:r>
      <w:r w:rsidR="00FB4020">
        <w:t xml:space="preserve"> </w:t>
      </w:r>
      <w:r w:rsidRPr="00F1307C">
        <w:t>Commission reasoned that “[b]</w:t>
      </w:r>
      <w:proofErr w:type="spellStart"/>
      <w:r w:rsidRPr="00F1307C">
        <w:t>ecause</w:t>
      </w:r>
      <w:proofErr w:type="spellEnd"/>
      <w:r w:rsidRPr="00F1307C">
        <w:t xml:space="preserve"> LSEs are familiar with the CAM and it is a</w:t>
      </w:r>
      <w:r w:rsidR="00FB4020">
        <w:t xml:space="preserve"> </w:t>
      </w:r>
      <w:r w:rsidRPr="00F1307C">
        <w:t>proven mechanism for allocating costs among the LSEs in a large electrical</w:t>
      </w:r>
      <w:r w:rsidR="00FB4020">
        <w:t xml:space="preserve"> </w:t>
      </w:r>
      <w:r w:rsidRPr="00F1307C">
        <w:t>corporation’s territory, it is reasonable to use a process that mirrors the CAM</w:t>
      </w:r>
      <w:r w:rsidR="00FB4020">
        <w:t xml:space="preserve"> </w:t>
      </w:r>
      <w:r w:rsidRPr="00F1307C">
        <w:lastRenderedPageBreak/>
        <w:t>process to allocate DCPP extended operations costs within each IOU’s</w:t>
      </w:r>
      <w:r w:rsidR="00FB4020">
        <w:t xml:space="preserve"> </w:t>
      </w:r>
      <w:r w:rsidRPr="00F1307C">
        <w:t>territory.”</w:t>
      </w:r>
      <w:r w:rsidR="0066553B">
        <w:rPr>
          <w:rStyle w:val="FootnoteReference"/>
        </w:rPr>
        <w:footnoteReference w:id="154"/>
      </w:r>
    </w:p>
    <w:p w:rsidR="00F1307C" w:rsidP="00FB4020" w:rsidRDefault="00F1307C" w14:paraId="18855665" w14:textId="5DCE96C7">
      <w:pPr>
        <w:pStyle w:val="Standard"/>
      </w:pPr>
      <w:r w:rsidRPr="00F1307C">
        <w:t>After reviewing the IOUs’ proposed methodology, the Commission</w:t>
      </w:r>
      <w:r w:rsidR="00FB4020">
        <w:t xml:space="preserve"> </w:t>
      </w:r>
      <w:r w:rsidRPr="00F1307C">
        <w:t>concludes that the IOUs’ proposed methodology and rate design for allocating</w:t>
      </w:r>
      <w:r w:rsidR="00FB4020">
        <w:t xml:space="preserve"> </w:t>
      </w:r>
      <w:r w:rsidRPr="00F1307C">
        <w:t xml:space="preserve">the DCPP </w:t>
      </w:r>
      <w:proofErr w:type="gramStart"/>
      <w:r w:rsidRPr="00F1307C">
        <w:t>costs,</w:t>
      </w:r>
      <w:proofErr w:type="gramEnd"/>
      <w:r w:rsidRPr="00F1307C">
        <w:t xml:space="preserve"> complies with the Commission’s directives in D.23-12-036, and</w:t>
      </w:r>
      <w:r w:rsidR="00FB4020">
        <w:t xml:space="preserve"> </w:t>
      </w:r>
      <w:r w:rsidRPr="00F1307C">
        <w:t>therefore, is approved.</w:t>
      </w:r>
      <w:r w:rsidR="007E0085">
        <w:t xml:space="preserve"> </w:t>
      </w:r>
      <w:r w:rsidR="00C35DA3">
        <w:t xml:space="preserve">PG&amp;E must provide SCE and SDG&amp;E </w:t>
      </w:r>
      <w:r w:rsidRPr="00652FA6" w:rsidR="00C35DA3">
        <w:t>with the final revenue</w:t>
      </w:r>
      <w:r w:rsidR="00C35DA3">
        <w:t xml:space="preserve"> </w:t>
      </w:r>
      <w:r w:rsidRPr="00652FA6" w:rsidR="00C35DA3">
        <w:t>requirement for each of the respective utilities as of the effective date of this</w:t>
      </w:r>
      <w:r w:rsidR="00C35DA3">
        <w:t xml:space="preserve"> </w:t>
      </w:r>
      <w:r w:rsidRPr="00652FA6" w:rsidR="00C35DA3">
        <w:t>decision.</w:t>
      </w:r>
      <w:r w:rsidR="00C35DA3">
        <w:t xml:space="preserve"> </w:t>
      </w:r>
      <w:r w:rsidRPr="00652FA6" w:rsidR="007E0085">
        <w:t>P</w:t>
      </w:r>
      <w:r w:rsidR="007E0085">
        <w:t>G&amp;E,</w:t>
      </w:r>
      <w:r w:rsidRPr="00652FA6" w:rsidR="007E0085">
        <w:t xml:space="preserve"> S</w:t>
      </w:r>
      <w:r w:rsidR="007E0085">
        <w:t>CE</w:t>
      </w:r>
      <w:r w:rsidRPr="00652FA6" w:rsidR="007E0085">
        <w:t>,</w:t>
      </w:r>
      <w:r w:rsidR="007E0085">
        <w:t xml:space="preserve"> </w:t>
      </w:r>
      <w:r w:rsidRPr="00652FA6" w:rsidR="007E0085">
        <w:t>and S</w:t>
      </w:r>
      <w:r w:rsidR="007E0085">
        <w:t>DG&amp;E</w:t>
      </w:r>
      <w:r w:rsidRPr="00652FA6" w:rsidR="007E0085">
        <w:t xml:space="preserve"> must file a Tier 1 Advice Letter and</w:t>
      </w:r>
      <w:r w:rsidR="007E0085">
        <w:t xml:space="preserve"> </w:t>
      </w:r>
      <w:r w:rsidRPr="00652FA6" w:rsidR="007E0085">
        <w:t>revised tariff sheets within 60 days of the issuance of this decision to implement</w:t>
      </w:r>
      <w:r w:rsidR="007E0085">
        <w:t xml:space="preserve"> </w:t>
      </w:r>
      <w:r w:rsidRPr="00652FA6" w:rsidR="007E0085">
        <w:t>this Decision.</w:t>
      </w:r>
    </w:p>
    <w:p w:rsidR="005A6AAA" w:rsidP="005A6AAA" w:rsidRDefault="005A6AAA" w14:paraId="16A1C668" w14:textId="4E136A8C">
      <w:pPr>
        <w:pStyle w:val="Heading1"/>
      </w:pPr>
      <w:bookmarkStart w:name="_Toc216176822" w:id="74"/>
      <w:r>
        <w:t>Modification to DOELBA Preliminary Statement</w:t>
      </w:r>
      <w:bookmarkEnd w:id="74"/>
    </w:p>
    <w:p w:rsidR="005A6AAA" w:rsidP="005A6AAA" w:rsidRDefault="005A6AAA" w14:paraId="209C7FAD" w14:textId="3438EF7F">
      <w:pPr>
        <w:pStyle w:val="Standard"/>
      </w:pPr>
      <w:r>
        <w:t xml:space="preserve">PG&amp;E’s request to update its allocation of DOE settlement proceeds based on cost causation principles and to establish a new subaccount for </w:t>
      </w:r>
      <w:bookmarkStart w:name="_Hlk211517042" w:id="75"/>
      <w:r>
        <w:t>U.S.</w:t>
      </w:r>
      <w:r w:rsidR="009747FC">
        <w:t xml:space="preserve"> </w:t>
      </w:r>
      <w:r>
        <w:t xml:space="preserve">DOE </w:t>
      </w:r>
      <w:bookmarkEnd w:id="75"/>
      <w:r>
        <w:t>reimbursement attributable to DCEOBA-funded activities is approved.</w:t>
      </w:r>
    </w:p>
    <w:p w:rsidR="005A6AAA" w:rsidP="005A6AAA" w:rsidRDefault="005A6AAA" w14:paraId="19395C30" w14:textId="70851E33">
      <w:pPr>
        <w:pStyle w:val="Heading2"/>
      </w:pPr>
      <w:bookmarkStart w:name="_Toc216176823" w:id="76"/>
      <w:r>
        <w:t>Background</w:t>
      </w:r>
      <w:bookmarkEnd w:id="76"/>
    </w:p>
    <w:p w:rsidR="005A6AAA" w:rsidP="005A6AAA" w:rsidRDefault="005A6AAA" w14:paraId="008914C5" w14:textId="551F8B3A">
      <w:pPr>
        <w:pStyle w:val="Standard"/>
      </w:pPr>
      <w:r w:rsidRPr="005A6AAA">
        <w:t>PG&amp;E entered into a set</w:t>
      </w:r>
      <w:r>
        <w:t xml:space="preserve">tlement agreement with the DOE in September 2012 to resolve litigation surrounding DOE’s failure to perform under spent nuclear fuel disposal agreements for DCPP and </w:t>
      </w:r>
      <w:bookmarkStart w:name="_Hlk211517050" w:id="77"/>
      <w:r>
        <w:t xml:space="preserve">Humboldt Bay Power Plant (HBPP). </w:t>
      </w:r>
      <w:bookmarkEnd w:id="77"/>
      <w:r w:rsidRPr="005A6AAA">
        <w:t xml:space="preserve">Under the terms of the </w:t>
      </w:r>
      <w:r>
        <w:t>agreement</w:t>
      </w:r>
      <w:r w:rsidRPr="005A6AAA">
        <w:t>, PG&amp;E recovered a lump sum amount reimbursing PG&amp;E for the costs of spent nuclear fuel storage at DCPP and HBPP through 2010. In addition, the settlement approved an annual administrative claims process that requires PG&amp;E to document its costs of spent nuclear fuel storage in defined recoverable categories and submit an annual claim to be reviewed by DOE staff and approved by the U.S. Department of Justice</w:t>
      </w:r>
      <w:r>
        <w:t>.</w:t>
      </w:r>
      <w:r>
        <w:rPr>
          <w:rStyle w:val="FootnoteReference"/>
        </w:rPr>
        <w:footnoteReference w:id="155"/>
      </w:r>
      <w:r>
        <w:t xml:space="preserve"> DOE </w:t>
      </w:r>
      <w:r>
        <w:lastRenderedPageBreak/>
        <w:t xml:space="preserve">proceeds are then credited to the </w:t>
      </w:r>
      <w:bookmarkStart w:name="_Hlk211517058" w:id="78"/>
      <w:r>
        <w:t xml:space="preserve">DOE Litigation Balancing Account (DOELBA) </w:t>
      </w:r>
      <w:bookmarkEnd w:id="78"/>
      <w:r>
        <w:t xml:space="preserve">in the year received. Those funds are then transferred annually, net of outside litigation costs, to the </w:t>
      </w:r>
      <w:bookmarkStart w:name="_Hlk211517064" w:id="79"/>
      <w:r>
        <w:t xml:space="preserve">Portfolio Allocation Balancing Account (PABA) </w:t>
      </w:r>
      <w:bookmarkEnd w:id="79"/>
      <w:r>
        <w:t xml:space="preserve">and the </w:t>
      </w:r>
      <w:bookmarkStart w:name="_Hlk211517070" w:id="80"/>
      <w:r>
        <w:t xml:space="preserve">Nuclear Decommissioning Adjustment Mechanism (NDAM) </w:t>
      </w:r>
      <w:bookmarkEnd w:id="80"/>
      <w:r>
        <w:t>as part of the annual electric true-up advice letter filing.</w:t>
      </w:r>
      <w:r>
        <w:rPr>
          <w:rStyle w:val="FootnoteReference"/>
        </w:rPr>
        <w:footnoteReference w:id="156"/>
      </w:r>
      <w:r>
        <w:t xml:space="preserve"> </w:t>
      </w:r>
    </w:p>
    <w:p w:rsidR="005A6AAA" w:rsidP="005A6AAA" w:rsidRDefault="005A6AAA" w14:paraId="7482FEAC" w14:textId="018638D0">
      <w:pPr>
        <w:pStyle w:val="Standard"/>
      </w:pPr>
      <w:r>
        <w:t>The current settlement agreement with the DOE expires in 2025, which creates uncertainty for future recovery of the costs of storing spent nuclear fuel in dry cas</w:t>
      </w:r>
      <w:r w:rsidR="00842C65">
        <w:t>k</w:t>
      </w:r>
      <w:r>
        <w:t>s at DCPP. Nonetheless, PG&amp;E has included a forecast of continued revenues from DOE and proposes to continue the crediting process for DCPP, subject to true-up when the actual proceeds are received.</w:t>
      </w:r>
      <w:r>
        <w:rPr>
          <w:rStyle w:val="FootnoteReference"/>
        </w:rPr>
        <w:footnoteReference w:id="157"/>
      </w:r>
      <w:r>
        <w:t xml:space="preserve"> In the event the DOE settle</w:t>
      </w:r>
      <w:r w:rsidR="00842C65">
        <w:t>ment</w:t>
      </w:r>
      <w:r>
        <w:t xml:space="preserve"> is not extended beyond 2025, PG&amp;E intends to file new lawsuits against the DOE to recover the costs of the spent nuclear fuel storage starting in 2026.</w:t>
      </w:r>
      <w:r>
        <w:rPr>
          <w:rStyle w:val="FootnoteReference"/>
        </w:rPr>
        <w:footnoteReference w:id="158"/>
      </w:r>
      <w:r>
        <w:t xml:space="preserve"> </w:t>
      </w:r>
    </w:p>
    <w:p w:rsidR="005A6AAA" w:rsidP="005A6AAA" w:rsidRDefault="005A6AAA" w14:paraId="31220357" w14:textId="3C1BB4CD">
      <w:pPr>
        <w:pStyle w:val="Standard"/>
      </w:pPr>
      <w:r>
        <w:t>The Commission approved in its 2014 GRC a settlement crediting the proceeds of the DOE litigation settlement to generation and nuclear decommissioning rates. Currently, 76.21</w:t>
      </w:r>
      <w:r w:rsidR="000103F1">
        <w:t xml:space="preserve"> percent</w:t>
      </w:r>
      <w:r>
        <w:t xml:space="preserve"> of the DOE litigation settlements are allocated to PABA while 23.79</w:t>
      </w:r>
      <w:r w:rsidR="000103F1">
        <w:t xml:space="preserve"> percent</w:t>
      </w:r>
      <w:r>
        <w:t xml:space="preserve"> of the funds are allocated to the HBPP </w:t>
      </w:r>
      <w:r w:rsidR="00B762BA">
        <w:t>Decommissioning</w:t>
      </w:r>
      <w:r>
        <w:t xml:space="preserve"> based on the credit amount agreed to in that settlement.</w:t>
      </w:r>
      <w:r>
        <w:rPr>
          <w:rStyle w:val="FootnoteReference"/>
        </w:rPr>
        <w:footnoteReference w:id="159"/>
      </w:r>
      <w:r>
        <w:t xml:space="preserve"> Allocation amounts for 2024 and 2025, approved in D.24-12-033, are as follows: </w:t>
      </w:r>
    </w:p>
    <w:p w:rsidRPr="005A6AAA" w:rsidR="005A6AAA" w:rsidP="00FB4020" w:rsidRDefault="005A6AAA" w14:paraId="21FD6A33" w14:textId="6429E2E5">
      <w:pPr>
        <w:pStyle w:val="Standard"/>
        <w:keepNext/>
        <w:jc w:val="center"/>
        <w:rPr>
          <w:b/>
          <w:bCs/>
        </w:rPr>
      </w:pPr>
      <w:r w:rsidRPr="005A6AAA">
        <w:rPr>
          <w:b/>
          <w:bCs/>
        </w:rPr>
        <w:lastRenderedPageBreak/>
        <w:t xml:space="preserve">Table </w:t>
      </w:r>
      <w:r w:rsidR="00842C65">
        <w:rPr>
          <w:b/>
          <w:bCs/>
        </w:rPr>
        <w:t>5:</w:t>
      </w:r>
      <w:r w:rsidRPr="005A6AAA">
        <w:rPr>
          <w:b/>
          <w:bCs/>
        </w:rPr>
        <w:t xml:space="preserve"> DCPP Allocation</w:t>
      </w:r>
      <w:r w:rsidR="00842C65">
        <w:rPr>
          <w:b/>
          <w:bCs/>
        </w:rPr>
        <w:t xml:space="preserve"> Percent</w:t>
      </w:r>
      <w:r w:rsidRPr="005A6AAA">
        <w:rPr>
          <w:b/>
          <w:bCs/>
        </w:rPr>
        <w:t>age for DOE Credits</w:t>
      </w:r>
      <w:r>
        <w:rPr>
          <w:rStyle w:val="FootnoteReference"/>
          <w:b/>
          <w:bCs/>
        </w:rPr>
        <w:footnoteReference w:id="160"/>
      </w:r>
    </w:p>
    <w:tbl>
      <w:tblPr>
        <w:tblStyle w:val="TableGrid"/>
        <w:tblW w:w="0" w:type="auto"/>
        <w:tblCellMar>
          <w:top w:w="58" w:type="dxa"/>
          <w:bottom w:w="58" w:type="dxa"/>
        </w:tblCellMar>
        <w:tblLook w:val="04A0" w:firstRow="1" w:lastRow="0" w:firstColumn="1" w:lastColumn="0" w:noHBand="0" w:noVBand="1"/>
      </w:tblPr>
      <w:tblGrid>
        <w:gridCol w:w="1870"/>
        <w:gridCol w:w="1870"/>
        <w:gridCol w:w="1870"/>
        <w:gridCol w:w="1870"/>
        <w:gridCol w:w="1870"/>
      </w:tblGrid>
      <w:tr w:rsidR="005A6AAA" w:rsidTr="00FB4020" w14:paraId="3767CFB1" w14:textId="77777777">
        <w:trPr>
          <w:tblHeader/>
        </w:trPr>
        <w:tc>
          <w:tcPr>
            <w:tcW w:w="1870" w:type="dxa"/>
            <w:vAlign w:val="center"/>
          </w:tcPr>
          <w:p w:rsidRPr="00FB4020" w:rsidR="005A6AAA" w:rsidP="00FB4020" w:rsidRDefault="005A6AAA" w14:paraId="7ABFC606" w14:textId="77F76E63">
            <w:pPr>
              <w:pStyle w:val="Standard"/>
              <w:keepNext/>
              <w:spacing w:line="240" w:lineRule="auto"/>
              <w:ind w:firstLine="0"/>
              <w:jc w:val="center"/>
              <w:rPr>
                <w:b/>
                <w:bCs/>
              </w:rPr>
            </w:pPr>
            <w:r w:rsidRPr="00FB4020">
              <w:rPr>
                <w:b/>
                <w:bCs/>
              </w:rPr>
              <w:t>Year</w:t>
            </w:r>
          </w:p>
        </w:tc>
        <w:tc>
          <w:tcPr>
            <w:tcW w:w="1870" w:type="dxa"/>
            <w:vAlign w:val="center"/>
          </w:tcPr>
          <w:p w:rsidRPr="00FB4020" w:rsidR="005A6AAA" w:rsidP="00FB4020" w:rsidRDefault="005A6AAA" w14:paraId="2A1CD941" w14:textId="17670040">
            <w:pPr>
              <w:pStyle w:val="Standard"/>
              <w:keepNext/>
              <w:spacing w:line="240" w:lineRule="auto"/>
              <w:ind w:firstLine="0"/>
              <w:jc w:val="center"/>
              <w:rPr>
                <w:b/>
                <w:bCs/>
              </w:rPr>
            </w:pPr>
            <w:r w:rsidRPr="00FB4020">
              <w:rPr>
                <w:b/>
                <w:bCs/>
              </w:rPr>
              <w:t>DCPP Allocation to PABA</w:t>
            </w:r>
          </w:p>
        </w:tc>
        <w:tc>
          <w:tcPr>
            <w:tcW w:w="1870" w:type="dxa"/>
            <w:vAlign w:val="center"/>
          </w:tcPr>
          <w:p w:rsidRPr="00FB4020" w:rsidR="005A6AAA" w:rsidP="00FB4020" w:rsidRDefault="005A6AAA" w14:paraId="2FC75CDE" w14:textId="5E270D22">
            <w:pPr>
              <w:pStyle w:val="Standard"/>
              <w:keepNext/>
              <w:spacing w:line="240" w:lineRule="auto"/>
              <w:ind w:firstLine="0"/>
              <w:jc w:val="center"/>
              <w:rPr>
                <w:b/>
                <w:bCs/>
              </w:rPr>
            </w:pPr>
            <w:r w:rsidRPr="00FB4020">
              <w:rPr>
                <w:b/>
                <w:bCs/>
              </w:rPr>
              <w:t>DCPP Allocation to DCEOBA</w:t>
            </w:r>
          </w:p>
        </w:tc>
        <w:tc>
          <w:tcPr>
            <w:tcW w:w="1870" w:type="dxa"/>
            <w:vAlign w:val="center"/>
          </w:tcPr>
          <w:p w:rsidRPr="00FB4020" w:rsidR="005A6AAA" w:rsidP="00FB4020" w:rsidRDefault="005A6AAA" w14:paraId="0E428AB7" w14:textId="7771F615">
            <w:pPr>
              <w:pStyle w:val="Standard"/>
              <w:keepNext/>
              <w:spacing w:line="240" w:lineRule="auto"/>
              <w:ind w:firstLine="0"/>
              <w:jc w:val="center"/>
              <w:rPr>
                <w:b/>
                <w:bCs/>
              </w:rPr>
            </w:pPr>
            <w:r w:rsidRPr="00FB4020">
              <w:rPr>
                <w:b/>
                <w:bCs/>
              </w:rPr>
              <w:t>HB ISFSI Allocation to NDAM</w:t>
            </w:r>
          </w:p>
        </w:tc>
        <w:tc>
          <w:tcPr>
            <w:tcW w:w="1870" w:type="dxa"/>
            <w:vAlign w:val="center"/>
          </w:tcPr>
          <w:p w:rsidRPr="00FB4020" w:rsidR="005A6AAA" w:rsidP="00FB4020" w:rsidRDefault="005A6AAA" w14:paraId="29D04EB2" w14:textId="39A5B873">
            <w:pPr>
              <w:pStyle w:val="Standard"/>
              <w:keepNext/>
              <w:spacing w:line="240" w:lineRule="auto"/>
              <w:ind w:firstLine="0"/>
              <w:jc w:val="center"/>
              <w:rPr>
                <w:b/>
                <w:bCs/>
              </w:rPr>
            </w:pPr>
            <w:r w:rsidRPr="00FB4020">
              <w:rPr>
                <w:b/>
                <w:bCs/>
              </w:rPr>
              <w:t>Total DOE Settlement</w:t>
            </w:r>
          </w:p>
        </w:tc>
      </w:tr>
      <w:tr w:rsidR="005A6AAA" w:rsidTr="00FB4020" w14:paraId="1C49066F" w14:textId="77777777">
        <w:tc>
          <w:tcPr>
            <w:tcW w:w="1870" w:type="dxa"/>
          </w:tcPr>
          <w:p w:rsidR="005A6AAA" w:rsidP="00FB4020" w:rsidRDefault="005A6AAA" w14:paraId="249788A7" w14:textId="209A851B">
            <w:pPr>
              <w:pStyle w:val="Standard"/>
              <w:keepNext/>
              <w:spacing w:line="240" w:lineRule="auto"/>
              <w:ind w:firstLine="0"/>
              <w:jc w:val="center"/>
            </w:pPr>
            <w:r>
              <w:t>2024</w:t>
            </w:r>
          </w:p>
        </w:tc>
        <w:tc>
          <w:tcPr>
            <w:tcW w:w="1870" w:type="dxa"/>
          </w:tcPr>
          <w:p w:rsidR="005A6AAA" w:rsidP="00FB4020" w:rsidRDefault="005A6AAA" w14:paraId="64622FDB" w14:textId="732CF3B5">
            <w:pPr>
              <w:pStyle w:val="Standard"/>
              <w:keepNext/>
              <w:spacing w:line="240" w:lineRule="auto"/>
              <w:ind w:firstLine="0"/>
              <w:jc w:val="center"/>
            </w:pPr>
            <w:r>
              <w:t>19.0%</w:t>
            </w:r>
            <w:r w:rsidR="000103F1">
              <w:t xml:space="preserve"> </w:t>
            </w:r>
          </w:p>
        </w:tc>
        <w:tc>
          <w:tcPr>
            <w:tcW w:w="1870" w:type="dxa"/>
          </w:tcPr>
          <w:p w:rsidR="005A6AAA" w:rsidP="00FB4020" w:rsidRDefault="005A6AAA" w14:paraId="25D2BF73" w14:textId="604E974C">
            <w:pPr>
              <w:pStyle w:val="Standard"/>
              <w:keepNext/>
              <w:spacing w:line="240" w:lineRule="auto"/>
              <w:ind w:firstLine="0"/>
              <w:jc w:val="center"/>
            </w:pPr>
            <w:r>
              <w:t>0%</w:t>
            </w:r>
          </w:p>
        </w:tc>
        <w:tc>
          <w:tcPr>
            <w:tcW w:w="1870" w:type="dxa"/>
          </w:tcPr>
          <w:p w:rsidR="005A6AAA" w:rsidP="00FB4020" w:rsidRDefault="005A6AAA" w14:paraId="21075EEB" w14:textId="571291CF">
            <w:pPr>
              <w:pStyle w:val="Standard"/>
              <w:keepNext/>
              <w:spacing w:line="240" w:lineRule="auto"/>
              <w:ind w:firstLine="0"/>
              <w:jc w:val="center"/>
            </w:pPr>
            <w:r>
              <w:t>81.0%</w:t>
            </w:r>
          </w:p>
        </w:tc>
        <w:tc>
          <w:tcPr>
            <w:tcW w:w="1870" w:type="dxa"/>
          </w:tcPr>
          <w:p w:rsidR="005A6AAA" w:rsidP="00FB4020" w:rsidRDefault="005A6AAA" w14:paraId="32D1236E" w14:textId="043D5D71">
            <w:pPr>
              <w:pStyle w:val="Standard"/>
              <w:keepNext/>
              <w:spacing w:line="240" w:lineRule="auto"/>
              <w:ind w:firstLine="0"/>
              <w:jc w:val="center"/>
            </w:pPr>
            <w:r>
              <w:t>100%</w:t>
            </w:r>
          </w:p>
        </w:tc>
      </w:tr>
      <w:tr w:rsidR="005A6AAA" w:rsidTr="00FB4020" w14:paraId="6DF90B22" w14:textId="77777777">
        <w:tc>
          <w:tcPr>
            <w:tcW w:w="1870" w:type="dxa"/>
          </w:tcPr>
          <w:p w:rsidR="005A6AAA" w:rsidP="00FB4020" w:rsidRDefault="005A6AAA" w14:paraId="38889123" w14:textId="4ECC39BC">
            <w:pPr>
              <w:pStyle w:val="Standard"/>
              <w:spacing w:line="240" w:lineRule="auto"/>
              <w:ind w:firstLine="0"/>
              <w:jc w:val="center"/>
            </w:pPr>
            <w:r>
              <w:t>2025</w:t>
            </w:r>
          </w:p>
        </w:tc>
        <w:tc>
          <w:tcPr>
            <w:tcW w:w="1870" w:type="dxa"/>
          </w:tcPr>
          <w:p w:rsidR="005A6AAA" w:rsidP="00FB4020" w:rsidRDefault="005A6AAA" w14:paraId="6A34CA1F" w14:textId="6AC14BAD">
            <w:pPr>
              <w:pStyle w:val="Standard"/>
              <w:spacing w:line="240" w:lineRule="auto"/>
              <w:ind w:firstLine="0"/>
              <w:jc w:val="center"/>
            </w:pPr>
            <w:r>
              <w:t>15.0%</w:t>
            </w:r>
          </w:p>
        </w:tc>
        <w:tc>
          <w:tcPr>
            <w:tcW w:w="1870" w:type="dxa"/>
          </w:tcPr>
          <w:p w:rsidR="005A6AAA" w:rsidP="00FB4020" w:rsidRDefault="005A6AAA" w14:paraId="063B025F" w14:textId="383C3AA6">
            <w:pPr>
              <w:pStyle w:val="Standard"/>
              <w:spacing w:line="240" w:lineRule="auto"/>
              <w:ind w:firstLine="0"/>
              <w:jc w:val="center"/>
            </w:pPr>
            <w:r>
              <w:t>0%</w:t>
            </w:r>
          </w:p>
        </w:tc>
        <w:tc>
          <w:tcPr>
            <w:tcW w:w="1870" w:type="dxa"/>
          </w:tcPr>
          <w:p w:rsidR="005A6AAA" w:rsidP="00FB4020" w:rsidRDefault="005A6AAA" w14:paraId="20D6BAB3" w14:textId="33D0CFEC">
            <w:pPr>
              <w:pStyle w:val="Standard"/>
              <w:spacing w:line="240" w:lineRule="auto"/>
              <w:ind w:firstLine="0"/>
              <w:jc w:val="center"/>
            </w:pPr>
            <w:r>
              <w:t>85.0%</w:t>
            </w:r>
          </w:p>
        </w:tc>
        <w:tc>
          <w:tcPr>
            <w:tcW w:w="1870" w:type="dxa"/>
          </w:tcPr>
          <w:p w:rsidR="005A6AAA" w:rsidP="00FB4020" w:rsidRDefault="005A6AAA" w14:paraId="68C523BD" w14:textId="02EFE1CE">
            <w:pPr>
              <w:pStyle w:val="Standard"/>
              <w:spacing w:line="240" w:lineRule="auto"/>
              <w:ind w:firstLine="0"/>
              <w:jc w:val="center"/>
            </w:pPr>
            <w:r>
              <w:t>100%</w:t>
            </w:r>
          </w:p>
        </w:tc>
      </w:tr>
    </w:tbl>
    <w:p w:rsidR="005A6AAA" w:rsidP="00FB4020" w:rsidRDefault="005A6AAA" w14:paraId="047C6F4F" w14:textId="48CE65BE">
      <w:pPr>
        <w:pStyle w:val="Standard"/>
        <w:spacing w:line="240" w:lineRule="auto"/>
      </w:pPr>
    </w:p>
    <w:p w:rsidR="005A6AAA" w:rsidP="005A6AAA" w:rsidRDefault="005A6AAA" w14:paraId="2DAB11C6" w14:textId="715679BF">
      <w:pPr>
        <w:pStyle w:val="Standard"/>
      </w:pPr>
      <w:r>
        <w:t xml:space="preserve">For forecast year 2026, PG&amp;E proposes to update its allocation of the DOE settlement proceeds to refund the settlement proceeds according to cost causation principles with small and declining refund </w:t>
      </w:r>
      <w:r w:rsidR="00842C65">
        <w:t>percent</w:t>
      </w:r>
      <w:r>
        <w:t xml:space="preserve">ages to PABA as those funds are for costs </w:t>
      </w:r>
      <w:r w:rsidR="00842C65">
        <w:t xml:space="preserve">already </w:t>
      </w:r>
      <w:r>
        <w:t>funded through the 2023 GRC generation revenue requirements for 2024 and 2025. PG&amp;E also proposes to revise the DOELBA to add a subaccount for DOE settlement proceeds attributable to DCEOBA funded activities.</w:t>
      </w:r>
      <w:r>
        <w:rPr>
          <w:rStyle w:val="FootnoteReference"/>
        </w:rPr>
        <w:footnoteReference w:id="161"/>
      </w:r>
    </w:p>
    <w:p w:rsidRPr="005A6AAA" w:rsidR="005A6AAA" w:rsidP="00FB4020" w:rsidRDefault="005A6AAA" w14:paraId="4A4AACD0" w14:textId="4BFBA73B">
      <w:pPr>
        <w:pStyle w:val="Standard"/>
        <w:keepNext/>
        <w:jc w:val="center"/>
        <w:rPr>
          <w:b/>
          <w:bCs/>
        </w:rPr>
      </w:pPr>
      <w:r w:rsidRPr="005A6AAA">
        <w:rPr>
          <w:b/>
          <w:bCs/>
        </w:rPr>
        <w:t xml:space="preserve">Table </w:t>
      </w:r>
      <w:r w:rsidR="00842C65">
        <w:rPr>
          <w:b/>
          <w:bCs/>
        </w:rPr>
        <w:t>6:</w:t>
      </w:r>
      <w:r w:rsidRPr="005A6AAA">
        <w:rPr>
          <w:b/>
          <w:bCs/>
        </w:rPr>
        <w:t xml:space="preserve"> Proposed DCPP Allocation </w:t>
      </w:r>
      <w:r w:rsidR="00842C65">
        <w:rPr>
          <w:b/>
          <w:bCs/>
        </w:rPr>
        <w:t>Percent</w:t>
      </w:r>
      <w:r w:rsidRPr="005A6AAA">
        <w:rPr>
          <w:b/>
          <w:bCs/>
        </w:rPr>
        <w:t>age for DOE Credits</w:t>
      </w:r>
      <w:r>
        <w:rPr>
          <w:rStyle w:val="FootnoteReference"/>
          <w:b/>
          <w:bCs/>
        </w:rPr>
        <w:footnoteReference w:id="162"/>
      </w:r>
    </w:p>
    <w:tbl>
      <w:tblPr>
        <w:tblStyle w:val="TableGrid"/>
        <w:tblW w:w="0" w:type="auto"/>
        <w:tblCellMar>
          <w:top w:w="58" w:type="dxa"/>
          <w:bottom w:w="58" w:type="dxa"/>
        </w:tblCellMar>
        <w:tblLook w:val="04A0" w:firstRow="1" w:lastRow="0" w:firstColumn="1" w:lastColumn="0" w:noHBand="0" w:noVBand="1"/>
      </w:tblPr>
      <w:tblGrid>
        <w:gridCol w:w="1870"/>
        <w:gridCol w:w="1870"/>
        <w:gridCol w:w="1870"/>
        <w:gridCol w:w="1870"/>
        <w:gridCol w:w="1870"/>
      </w:tblGrid>
      <w:tr w:rsidR="005A6AAA" w:rsidTr="00E2094D" w14:paraId="37A84799" w14:textId="77777777">
        <w:trPr>
          <w:tblHeader/>
        </w:trPr>
        <w:tc>
          <w:tcPr>
            <w:tcW w:w="1870" w:type="dxa"/>
            <w:vAlign w:val="center"/>
          </w:tcPr>
          <w:p w:rsidRPr="00FB4020" w:rsidR="005A6AAA" w:rsidP="00FB4020" w:rsidRDefault="005A6AAA" w14:paraId="2A842043" w14:textId="1BF398BB">
            <w:pPr>
              <w:pStyle w:val="Standard"/>
              <w:keepNext/>
              <w:spacing w:line="240" w:lineRule="auto"/>
              <w:ind w:firstLine="0"/>
              <w:jc w:val="center"/>
              <w:rPr>
                <w:b/>
                <w:bCs/>
              </w:rPr>
            </w:pPr>
            <w:r w:rsidRPr="00FB4020">
              <w:rPr>
                <w:b/>
                <w:bCs/>
              </w:rPr>
              <w:t>Year</w:t>
            </w:r>
          </w:p>
        </w:tc>
        <w:tc>
          <w:tcPr>
            <w:tcW w:w="1870" w:type="dxa"/>
            <w:vAlign w:val="center"/>
          </w:tcPr>
          <w:p w:rsidRPr="00FB4020" w:rsidR="005A6AAA" w:rsidP="00FB4020" w:rsidRDefault="005A6AAA" w14:paraId="29D67366" w14:textId="65C4346D">
            <w:pPr>
              <w:pStyle w:val="Standard"/>
              <w:keepNext/>
              <w:spacing w:line="240" w:lineRule="auto"/>
              <w:ind w:firstLine="0"/>
              <w:jc w:val="center"/>
              <w:rPr>
                <w:b/>
                <w:bCs/>
              </w:rPr>
            </w:pPr>
            <w:r w:rsidRPr="00FB4020">
              <w:rPr>
                <w:b/>
                <w:bCs/>
              </w:rPr>
              <w:t>DCPP Allocation to PABA</w:t>
            </w:r>
          </w:p>
        </w:tc>
        <w:tc>
          <w:tcPr>
            <w:tcW w:w="1870" w:type="dxa"/>
            <w:vAlign w:val="center"/>
          </w:tcPr>
          <w:p w:rsidRPr="00FB4020" w:rsidR="005A6AAA" w:rsidP="00FB4020" w:rsidRDefault="005A6AAA" w14:paraId="2315C75B" w14:textId="43EBE2AD">
            <w:pPr>
              <w:pStyle w:val="Standard"/>
              <w:keepNext/>
              <w:spacing w:line="240" w:lineRule="auto"/>
              <w:ind w:firstLine="0"/>
              <w:jc w:val="center"/>
              <w:rPr>
                <w:b/>
                <w:bCs/>
              </w:rPr>
            </w:pPr>
            <w:r w:rsidRPr="00FB4020">
              <w:rPr>
                <w:b/>
                <w:bCs/>
              </w:rPr>
              <w:t>DCPP Allocation to DCEOBA</w:t>
            </w:r>
          </w:p>
        </w:tc>
        <w:tc>
          <w:tcPr>
            <w:tcW w:w="1870" w:type="dxa"/>
            <w:vAlign w:val="center"/>
          </w:tcPr>
          <w:p w:rsidRPr="00FB4020" w:rsidR="005A6AAA" w:rsidP="00FB4020" w:rsidRDefault="005A6AAA" w14:paraId="158DA37C" w14:textId="70A7F051">
            <w:pPr>
              <w:pStyle w:val="Standard"/>
              <w:keepNext/>
              <w:spacing w:line="240" w:lineRule="auto"/>
              <w:ind w:firstLine="0"/>
              <w:jc w:val="center"/>
              <w:rPr>
                <w:b/>
                <w:bCs/>
              </w:rPr>
            </w:pPr>
            <w:r w:rsidRPr="00FB4020">
              <w:rPr>
                <w:b/>
                <w:bCs/>
              </w:rPr>
              <w:t>HB ISFSI Allocation to NDAM</w:t>
            </w:r>
          </w:p>
        </w:tc>
        <w:tc>
          <w:tcPr>
            <w:tcW w:w="1870" w:type="dxa"/>
            <w:vAlign w:val="center"/>
          </w:tcPr>
          <w:p w:rsidRPr="00FB4020" w:rsidR="005A6AAA" w:rsidP="00FB4020" w:rsidRDefault="005A6AAA" w14:paraId="75C59313" w14:textId="3C8A948F">
            <w:pPr>
              <w:pStyle w:val="Standard"/>
              <w:keepNext/>
              <w:spacing w:line="240" w:lineRule="auto"/>
              <w:ind w:firstLine="0"/>
              <w:jc w:val="center"/>
              <w:rPr>
                <w:b/>
                <w:bCs/>
              </w:rPr>
            </w:pPr>
            <w:r w:rsidRPr="00FB4020">
              <w:rPr>
                <w:b/>
                <w:bCs/>
              </w:rPr>
              <w:t>Total DOE Settlement</w:t>
            </w:r>
          </w:p>
        </w:tc>
      </w:tr>
      <w:tr w:rsidR="005A6AAA" w:rsidTr="00E2094D" w14:paraId="7DDF8D4E" w14:textId="77777777">
        <w:tc>
          <w:tcPr>
            <w:tcW w:w="1870" w:type="dxa"/>
          </w:tcPr>
          <w:p w:rsidR="005A6AAA" w:rsidP="00FB4020" w:rsidRDefault="005A6AAA" w14:paraId="4DCF909F" w14:textId="501284DE">
            <w:pPr>
              <w:pStyle w:val="Standard"/>
              <w:spacing w:line="240" w:lineRule="auto"/>
              <w:ind w:firstLine="0"/>
              <w:jc w:val="center"/>
            </w:pPr>
            <w:r>
              <w:t>2026</w:t>
            </w:r>
          </w:p>
        </w:tc>
        <w:tc>
          <w:tcPr>
            <w:tcW w:w="1870" w:type="dxa"/>
          </w:tcPr>
          <w:p w:rsidR="005A6AAA" w:rsidP="00FB4020" w:rsidRDefault="005A6AAA" w14:paraId="2EEC0E03" w14:textId="7622A035">
            <w:pPr>
              <w:pStyle w:val="Standard"/>
              <w:spacing w:line="240" w:lineRule="auto"/>
              <w:ind w:firstLine="0"/>
              <w:jc w:val="center"/>
            </w:pPr>
            <w:r>
              <w:t>5.3%</w:t>
            </w:r>
          </w:p>
        </w:tc>
        <w:tc>
          <w:tcPr>
            <w:tcW w:w="1870" w:type="dxa"/>
          </w:tcPr>
          <w:p w:rsidR="005A6AAA" w:rsidP="00FB4020" w:rsidRDefault="005A6AAA" w14:paraId="30E2524C" w14:textId="12585AA2">
            <w:pPr>
              <w:pStyle w:val="Standard"/>
              <w:spacing w:line="240" w:lineRule="auto"/>
              <w:ind w:firstLine="0"/>
              <w:jc w:val="center"/>
            </w:pPr>
            <w:r>
              <w:t>52.2%</w:t>
            </w:r>
          </w:p>
        </w:tc>
        <w:tc>
          <w:tcPr>
            <w:tcW w:w="1870" w:type="dxa"/>
          </w:tcPr>
          <w:p w:rsidR="005A6AAA" w:rsidP="00FB4020" w:rsidRDefault="005A6AAA" w14:paraId="757BF2D7" w14:textId="39F749A7">
            <w:pPr>
              <w:pStyle w:val="Standard"/>
              <w:spacing w:line="240" w:lineRule="auto"/>
              <w:ind w:firstLine="0"/>
              <w:jc w:val="center"/>
            </w:pPr>
            <w:r>
              <w:t>42.5%</w:t>
            </w:r>
          </w:p>
        </w:tc>
        <w:tc>
          <w:tcPr>
            <w:tcW w:w="1870" w:type="dxa"/>
          </w:tcPr>
          <w:p w:rsidR="005A6AAA" w:rsidP="00FB4020" w:rsidRDefault="005A6AAA" w14:paraId="2F201C04" w14:textId="1508603B">
            <w:pPr>
              <w:pStyle w:val="Standard"/>
              <w:spacing w:line="240" w:lineRule="auto"/>
              <w:ind w:firstLine="0"/>
              <w:jc w:val="center"/>
            </w:pPr>
            <w:r>
              <w:t>100%</w:t>
            </w:r>
          </w:p>
        </w:tc>
      </w:tr>
      <w:tr w:rsidR="005A6AAA" w:rsidTr="00E2094D" w14:paraId="57DB103D" w14:textId="77777777">
        <w:tc>
          <w:tcPr>
            <w:tcW w:w="1870" w:type="dxa"/>
          </w:tcPr>
          <w:p w:rsidR="005A6AAA" w:rsidP="00FB4020" w:rsidRDefault="005A6AAA" w14:paraId="043CF0F6" w14:textId="04F0DCB1">
            <w:pPr>
              <w:pStyle w:val="Standard"/>
              <w:spacing w:line="240" w:lineRule="auto"/>
              <w:ind w:firstLine="0"/>
              <w:jc w:val="center"/>
            </w:pPr>
            <w:r>
              <w:t>2027</w:t>
            </w:r>
          </w:p>
        </w:tc>
        <w:tc>
          <w:tcPr>
            <w:tcW w:w="1870" w:type="dxa"/>
          </w:tcPr>
          <w:p w:rsidR="005A6AAA" w:rsidP="00FB4020" w:rsidRDefault="005A6AAA" w14:paraId="30F4B827" w14:textId="33D75AC8">
            <w:pPr>
              <w:pStyle w:val="Standard"/>
              <w:spacing w:line="240" w:lineRule="auto"/>
              <w:ind w:firstLine="0"/>
              <w:jc w:val="center"/>
            </w:pPr>
            <w:r>
              <w:t>1.7%</w:t>
            </w:r>
          </w:p>
        </w:tc>
        <w:tc>
          <w:tcPr>
            <w:tcW w:w="1870" w:type="dxa"/>
          </w:tcPr>
          <w:p w:rsidR="005A6AAA" w:rsidP="00FB4020" w:rsidRDefault="005A6AAA" w14:paraId="37497F25" w14:textId="2A87CABD">
            <w:pPr>
              <w:pStyle w:val="Standard"/>
              <w:spacing w:line="240" w:lineRule="auto"/>
              <w:ind w:firstLine="0"/>
              <w:jc w:val="center"/>
            </w:pPr>
            <w:r>
              <w:t>45.9%</w:t>
            </w:r>
          </w:p>
        </w:tc>
        <w:tc>
          <w:tcPr>
            <w:tcW w:w="1870" w:type="dxa"/>
          </w:tcPr>
          <w:p w:rsidR="005A6AAA" w:rsidP="00FB4020" w:rsidRDefault="005A6AAA" w14:paraId="199F7327" w14:textId="4C8C0BA4">
            <w:pPr>
              <w:pStyle w:val="Standard"/>
              <w:spacing w:line="240" w:lineRule="auto"/>
              <w:ind w:firstLine="0"/>
              <w:jc w:val="center"/>
            </w:pPr>
            <w:r>
              <w:t>52.4%</w:t>
            </w:r>
          </w:p>
        </w:tc>
        <w:tc>
          <w:tcPr>
            <w:tcW w:w="1870" w:type="dxa"/>
          </w:tcPr>
          <w:p w:rsidR="005A6AAA" w:rsidP="00FB4020" w:rsidRDefault="005A6AAA" w14:paraId="1511684D" w14:textId="06976182">
            <w:pPr>
              <w:pStyle w:val="Standard"/>
              <w:spacing w:line="240" w:lineRule="auto"/>
              <w:ind w:firstLine="0"/>
              <w:jc w:val="center"/>
            </w:pPr>
            <w:r>
              <w:t>100%</w:t>
            </w:r>
          </w:p>
        </w:tc>
      </w:tr>
      <w:tr w:rsidR="005A6AAA" w:rsidTr="00E2094D" w14:paraId="690F16B7" w14:textId="77777777">
        <w:tc>
          <w:tcPr>
            <w:tcW w:w="1870" w:type="dxa"/>
          </w:tcPr>
          <w:p w:rsidR="005A6AAA" w:rsidP="00FB4020" w:rsidRDefault="005A6AAA" w14:paraId="0A0ACBD4" w14:textId="33E815B9">
            <w:pPr>
              <w:pStyle w:val="Standard"/>
              <w:spacing w:line="240" w:lineRule="auto"/>
              <w:ind w:firstLine="0"/>
              <w:jc w:val="center"/>
            </w:pPr>
            <w:r>
              <w:t>2028</w:t>
            </w:r>
          </w:p>
        </w:tc>
        <w:tc>
          <w:tcPr>
            <w:tcW w:w="1870" w:type="dxa"/>
          </w:tcPr>
          <w:p w:rsidR="005A6AAA" w:rsidP="00FB4020" w:rsidRDefault="005A6AAA" w14:paraId="5B3A4B6C" w14:textId="0DDC4AC5">
            <w:pPr>
              <w:pStyle w:val="Standard"/>
              <w:spacing w:line="240" w:lineRule="auto"/>
              <w:ind w:firstLine="0"/>
              <w:jc w:val="center"/>
            </w:pPr>
            <w:r>
              <w:t>0%</w:t>
            </w:r>
          </w:p>
        </w:tc>
        <w:tc>
          <w:tcPr>
            <w:tcW w:w="1870" w:type="dxa"/>
          </w:tcPr>
          <w:p w:rsidR="005A6AAA" w:rsidP="00FB4020" w:rsidRDefault="005A6AAA" w14:paraId="666C4C0B" w14:textId="46685213">
            <w:pPr>
              <w:pStyle w:val="Standard"/>
              <w:spacing w:line="240" w:lineRule="auto"/>
              <w:ind w:firstLine="0"/>
              <w:jc w:val="center"/>
            </w:pPr>
            <w:r>
              <w:t>62.2%</w:t>
            </w:r>
          </w:p>
        </w:tc>
        <w:tc>
          <w:tcPr>
            <w:tcW w:w="1870" w:type="dxa"/>
          </w:tcPr>
          <w:p w:rsidR="005A6AAA" w:rsidP="00FB4020" w:rsidRDefault="005A6AAA" w14:paraId="63AE2BB8" w14:textId="57919F4C">
            <w:pPr>
              <w:pStyle w:val="Standard"/>
              <w:spacing w:line="240" w:lineRule="auto"/>
              <w:ind w:firstLine="0"/>
              <w:jc w:val="center"/>
            </w:pPr>
            <w:r>
              <w:t>37.8%</w:t>
            </w:r>
          </w:p>
        </w:tc>
        <w:tc>
          <w:tcPr>
            <w:tcW w:w="1870" w:type="dxa"/>
          </w:tcPr>
          <w:p w:rsidR="005A6AAA" w:rsidP="00FB4020" w:rsidRDefault="005A6AAA" w14:paraId="2BD01700" w14:textId="1731A15A">
            <w:pPr>
              <w:pStyle w:val="Standard"/>
              <w:spacing w:line="240" w:lineRule="auto"/>
              <w:ind w:firstLine="0"/>
              <w:jc w:val="center"/>
            </w:pPr>
            <w:r>
              <w:t>100%</w:t>
            </w:r>
          </w:p>
        </w:tc>
      </w:tr>
      <w:tr w:rsidR="005A6AAA" w:rsidTr="00E2094D" w14:paraId="002F62C8" w14:textId="77777777">
        <w:tc>
          <w:tcPr>
            <w:tcW w:w="1870" w:type="dxa"/>
          </w:tcPr>
          <w:p w:rsidR="005A6AAA" w:rsidP="00FB4020" w:rsidRDefault="005A6AAA" w14:paraId="02E761C5" w14:textId="0E8185E2">
            <w:pPr>
              <w:pStyle w:val="Standard"/>
              <w:spacing w:line="240" w:lineRule="auto"/>
              <w:ind w:firstLine="0"/>
              <w:jc w:val="center"/>
            </w:pPr>
            <w:r>
              <w:t>2029</w:t>
            </w:r>
          </w:p>
        </w:tc>
        <w:tc>
          <w:tcPr>
            <w:tcW w:w="1870" w:type="dxa"/>
          </w:tcPr>
          <w:p w:rsidR="005A6AAA" w:rsidP="00FB4020" w:rsidRDefault="005A6AAA" w14:paraId="019E7CA4" w14:textId="535F768E">
            <w:pPr>
              <w:pStyle w:val="Standard"/>
              <w:spacing w:line="240" w:lineRule="auto"/>
              <w:ind w:firstLine="0"/>
              <w:jc w:val="center"/>
            </w:pPr>
            <w:r>
              <w:t>0%</w:t>
            </w:r>
          </w:p>
        </w:tc>
        <w:tc>
          <w:tcPr>
            <w:tcW w:w="1870" w:type="dxa"/>
          </w:tcPr>
          <w:p w:rsidR="005A6AAA" w:rsidP="00FB4020" w:rsidRDefault="005A6AAA" w14:paraId="38204A4A" w14:textId="59C6A636">
            <w:pPr>
              <w:pStyle w:val="Standard"/>
              <w:spacing w:line="240" w:lineRule="auto"/>
              <w:ind w:firstLine="0"/>
              <w:jc w:val="center"/>
            </w:pPr>
            <w:r>
              <w:t>68.2%</w:t>
            </w:r>
          </w:p>
        </w:tc>
        <w:tc>
          <w:tcPr>
            <w:tcW w:w="1870" w:type="dxa"/>
          </w:tcPr>
          <w:p w:rsidR="005A6AAA" w:rsidP="00FB4020" w:rsidRDefault="005A6AAA" w14:paraId="49CED7E3" w14:textId="7958F00C">
            <w:pPr>
              <w:pStyle w:val="Standard"/>
              <w:spacing w:line="240" w:lineRule="auto"/>
              <w:ind w:firstLine="0"/>
              <w:jc w:val="center"/>
            </w:pPr>
            <w:r>
              <w:t>31.8%</w:t>
            </w:r>
          </w:p>
        </w:tc>
        <w:tc>
          <w:tcPr>
            <w:tcW w:w="1870" w:type="dxa"/>
          </w:tcPr>
          <w:p w:rsidR="005A6AAA" w:rsidP="00FB4020" w:rsidRDefault="005A6AAA" w14:paraId="1F3CF27D" w14:textId="189995DB">
            <w:pPr>
              <w:pStyle w:val="Standard"/>
              <w:spacing w:line="240" w:lineRule="auto"/>
              <w:ind w:firstLine="0"/>
              <w:jc w:val="center"/>
            </w:pPr>
            <w:r>
              <w:t>100%</w:t>
            </w:r>
          </w:p>
        </w:tc>
      </w:tr>
      <w:tr w:rsidR="005A6AAA" w:rsidTr="00E2094D" w14:paraId="2A8C419B" w14:textId="77777777">
        <w:tc>
          <w:tcPr>
            <w:tcW w:w="1870" w:type="dxa"/>
          </w:tcPr>
          <w:p w:rsidR="005A6AAA" w:rsidP="00FB4020" w:rsidRDefault="005A6AAA" w14:paraId="34ED3D11" w14:textId="1BF45D8E">
            <w:pPr>
              <w:pStyle w:val="Standard"/>
              <w:spacing w:line="240" w:lineRule="auto"/>
              <w:ind w:firstLine="0"/>
              <w:jc w:val="center"/>
            </w:pPr>
            <w:r>
              <w:t>2030</w:t>
            </w:r>
          </w:p>
        </w:tc>
        <w:tc>
          <w:tcPr>
            <w:tcW w:w="1870" w:type="dxa"/>
          </w:tcPr>
          <w:p w:rsidR="005A6AAA" w:rsidP="00FB4020" w:rsidRDefault="005A6AAA" w14:paraId="0C4C87AD" w14:textId="1A73BE60">
            <w:pPr>
              <w:pStyle w:val="Standard"/>
              <w:spacing w:line="240" w:lineRule="auto"/>
              <w:ind w:firstLine="0"/>
              <w:jc w:val="center"/>
            </w:pPr>
            <w:r>
              <w:t>0%</w:t>
            </w:r>
          </w:p>
        </w:tc>
        <w:tc>
          <w:tcPr>
            <w:tcW w:w="1870" w:type="dxa"/>
          </w:tcPr>
          <w:p w:rsidR="005A6AAA" w:rsidP="00FB4020" w:rsidRDefault="005A6AAA" w14:paraId="6EFDB92F" w14:textId="5138E882">
            <w:pPr>
              <w:pStyle w:val="Standard"/>
              <w:spacing w:line="240" w:lineRule="auto"/>
              <w:ind w:firstLine="0"/>
              <w:jc w:val="center"/>
            </w:pPr>
            <w:r>
              <w:t>15.2%</w:t>
            </w:r>
          </w:p>
        </w:tc>
        <w:tc>
          <w:tcPr>
            <w:tcW w:w="1870" w:type="dxa"/>
          </w:tcPr>
          <w:p w:rsidR="005A6AAA" w:rsidP="00FB4020" w:rsidRDefault="005A6AAA" w14:paraId="16B628E7" w14:textId="20AFD67C">
            <w:pPr>
              <w:pStyle w:val="Standard"/>
              <w:spacing w:line="240" w:lineRule="auto"/>
              <w:ind w:firstLine="0"/>
              <w:jc w:val="center"/>
            </w:pPr>
            <w:r>
              <w:t>84.8%</w:t>
            </w:r>
          </w:p>
        </w:tc>
        <w:tc>
          <w:tcPr>
            <w:tcW w:w="1870" w:type="dxa"/>
          </w:tcPr>
          <w:p w:rsidR="005A6AAA" w:rsidP="00FB4020" w:rsidRDefault="005A6AAA" w14:paraId="654BDDE3" w14:textId="5AB39115">
            <w:pPr>
              <w:pStyle w:val="Standard"/>
              <w:spacing w:line="240" w:lineRule="auto"/>
              <w:ind w:firstLine="0"/>
              <w:jc w:val="center"/>
            </w:pPr>
            <w:r>
              <w:t>100%</w:t>
            </w:r>
          </w:p>
        </w:tc>
      </w:tr>
    </w:tbl>
    <w:p w:rsidR="005A6AAA" w:rsidP="00FB4020" w:rsidRDefault="005A6AAA" w14:paraId="0BCBBAEF" w14:textId="77777777">
      <w:pPr>
        <w:pStyle w:val="Standard"/>
        <w:spacing w:line="240" w:lineRule="auto"/>
      </w:pPr>
    </w:p>
    <w:p w:rsidR="005A6AAA" w:rsidP="005A6AAA" w:rsidRDefault="005A6AAA" w14:paraId="5EFB56E0" w14:textId="64FEB5AB">
      <w:pPr>
        <w:pStyle w:val="Standard"/>
      </w:pPr>
      <w:r>
        <w:lastRenderedPageBreak/>
        <w:t>PG&amp;E forecasts $12.587</w:t>
      </w:r>
      <w:r w:rsidR="000B222B">
        <w:t xml:space="preserve"> million </w:t>
      </w:r>
      <w:r>
        <w:t>in DOE settlement proceeds directly attributable to spent fuel management costs funded through the DCEOBA for the 2024-2025 claim period. PG&amp;E added these estimated proceeds as a credit to the 2026 DCEOBA revenue requirement in the Fall Update, with the credit subject to true up through the DOELBA for the final recorded payment from the DOE for the 2024-2025 claim.</w:t>
      </w:r>
      <w:r>
        <w:rPr>
          <w:rStyle w:val="FootnoteReference"/>
        </w:rPr>
        <w:footnoteReference w:id="163"/>
      </w:r>
    </w:p>
    <w:p w:rsidR="005A6AAA" w:rsidP="005A6AAA" w:rsidRDefault="005A6AAA" w14:paraId="7B65E545" w14:textId="2FDC42AE">
      <w:pPr>
        <w:pStyle w:val="Heading2"/>
      </w:pPr>
      <w:bookmarkStart w:name="_Toc216176824" w:id="81"/>
      <w:r>
        <w:t>Discussion</w:t>
      </w:r>
      <w:bookmarkEnd w:id="81"/>
    </w:p>
    <w:p w:rsidRPr="005A6AAA" w:rsidR="005A6AAA" w:rsidP="005A6AAA" w:rsidRDefault="005A6AAA" w14:paraId="2E04EFA8" w14:textId="4C95BF93">
      <w:pPr>
        <w:pStyle w:val="Standard"/>
      </w:pPr>
      <w:r>
        <w:t xml:space="preserve">No parties opposed PG&amp;E’s proposal to update its allocation of DOE settlement proceeds based on cost causation principles and to establish a new subaccount for DOE reimbursement attributable to DCEOBA-funded activities. </w:t>
      </w:r>
    </w:p>
    <w:p w:rsidR="005A6AAA" w:rsidP="00842C65" w:rsidRDefault="005A6AAA" w14:paraId="466748C8" w14:textId="31D6C8ED">
      <w:pPr>
        <w:pStyle w:val="Standard"/>
      </w:pPr>
      <w:r w:rsidRPr="00F1307C">
        <w:t xml:space="preserve">After reviewing </w:t>
      </w:r>
      <w:r>
        <w:t>PG&amp;E</w:t>
      </w:r>
      <w:r w:rsidRPr="00F1307C">
        <w:t>’</w:t>
      </w:r>
      <w:r>
        <w:t>s</w:t>
      </w:r>
      <w:r w:rsidRPr="00F1307C">
        <w:t xml:space="preserve"> proposed </w:t>
      </w:r>
      <w:r>
        <w:t>changes</w:t>
      </w:r>
      <w:r w:rsidRPr="00F1307C">
        <w:t>, the Commission</w:t>
      </w:r>
      <w:r w:rsidR="00842C65">
        <w:t xml:space="preserve"> f</w:t>
      </w:r>
      <w:r>
        <w:t>inds that updating the allocation of DOE settlement proceeds and creating a new sub-account for DOE reimbursement attributable to DCEOBA-funded activities is reasonable and should be approved.</w:t>
      </w:r>
    </w:p>
    <w:p w:rsidR="00F956D0" w:rsidP="008926B4" w:rsidRDefault="00F956D0" w14:paraId="138E8831" w14:textId="425D4B1E">
      <w:pPr>
        <w:pStyle w:val="Heading1"/>
      </w:pPr>
      <w:bookmarkStart w:name="_Toc216176825" w:id="82"/>
      <w:r>
        <w:t>Volumetric Performance Fees Spending Plan</w:t>
      </w:r>
      <w:bookmarkEnd w:id="82"/>
    </w:p>
    <w:p w:rsidR="00B87DBF" w:rsidP="00B87DBF" w:rsidRDefault="00D8385E" w14:paraId="7B61E86B" w14:textId="1E709285">
      <w:pPr>
        <w:pStyle w:val="Standard"/>
      </w:pPr>
      <w:r>
        <w:t>The Commission determines that PG&amp;E’s VPF spending plan application is consistent with</w:t>
      </w:r>
      <w:r w:rsidR="0009635B">
        <w:t xml:space="preserve"> Pub. Util. Code</w:t>
      </w:r>
      <w:r>
        <w:t xml:space="preserve"> Section 712.8(s)(1) requirements. </w:t>
      </w:r>
    </w:p>
    <w:p w:rsidR="00F956D0" w:rsidP="008926B4" w:rsidRDefault="00F956D0" w14:paraId="71A11C4C" w14:textId="0C4AD01A">
      <w:pPr>
        <w:pStyle w:val="Heading2"/>
      </w:pPr>
      <w:bookmarkStart w:name="_Toc216176826" w:id="83"/>
      <w:r>
        <w:t>Background</w:t>
      </w:r>
      <w:bookmarkEnd w:id="83"/>
    </w:p>
    <w:p w:rsidR="00F956D0" w:rsidP="00F956D0" w:rsidRDefault="00F956D0" w14:paraId="67073339" w14:textId="0DF3E1C9">
      <w:pPr>
        <w:pStyle w:val="Standard"/>
      </w:pPr>
      <w:r>
        <w:t>Pub. Util. Code Section 712.8(s) provides the following</w:t>
      </w:r>
      <w:r w:rsidR="00842C65">
        <w:t xml:space="preserve"> guidance regarding the spending of DCPP VPFs</w:t>
      </w:r>
      <w:r>
        <w:t>:</w:t>
      </w:r>
    </w:p>
    <w:p w:rsidR="00F956D0" w:rsidP="00DA6954" w:rsidRDefault="00DA6954" w14:paraId="6C82A2F4" w14:textId="0AA14C25">
      <w:pPr>
        <w:pStyle w:val="1stList1"/>
        <w:numPr>
          <w:ilvl w:val="0"/>
          <w:numId w:val="0"/>
        </w:numPr>
        <w:ind w:left="1080" w:hanging="360"/>
      </w:pPr>
      <w:r>
        <w:t>1.</w:t>
      </w:r>
      <w:r>
        <w:tab/>
      </w:r>
      <w:r w:rsidR="00F956D0">
        <w:t xml:space="preserve">The operator shall submit to the commission for its review, on an annual </w:t>
      </w:r>
      <w:proofErr w:type="gramStart"/>
      <w:r w:rsidR="00F956D0">
        <w:t>basis</w:t>
      </w:r>
      <w:proofErr w:type="gramEnd"/>
      <w:r w:rsidR="00F956D0">
        <w:t xml:space="preserve"> the amount of compensation earned under paragraph (5) of subdivision (f), how it was spent, and a plan for prioritizing the uses of such compensation the next year. Such compensation shall not be paid out to shareholders. Such compensation, to the extent it is not needed for Diablo Canyon, shall be spent to accelerate, or </w:t>
      </w:r>
      <w:r w:rsidR="00F956D0">
        <w:lastRenderedPageBreak/>
        <w:t>increase spending on, the following critical public purpose priorities:</w:t>
      </w:r>
    </w:p>
    <w:p w:rsidR="00F956D0" w:rsidP="00DA6954" w:rsidRDefault="00F956D0" w14:paraId="21D0D680" w14:textId="2FE3CBB3">
      <w:pPr>
        <w:pStyle w:val="2ndLevelA0"/>
      </w:pPr>
      <w:r>
        <w:t>Accelerating customer and generator interconnections.</w:t>
      </w:r>
    </w:p>
    <w:p w:rsidR="00F956D0" w:rsidP="00E2094D" w:rsidRDefault="00F956D0" w14:paraId="7323A62C" w14:textId="2BF53F82">
      <w:pPr>
        <w:pStyle w:val="2ndLevelA0"/>
      </w:pPr>
      <w:r>
        <w:t>Accelerating actions needed to bring renewable and zero carbon energy online and modernize the electrical grid.</w:t>
      </w:r>
    </w:p>
    <w:p w:rsidR="00F956D0" w:rsidP="00E2094D" w:rsidRDefault="00F956D0" w14:paraId="430F040B" w14:textId="77777777">
      <w:pPr>
        <w:pStyle w:val="2ndLevelA0"/>
      </w:pPr>
      <w:r>
        <w:t>Accelerating building decarbonization.</w:t>
      </w:r>
    </w:p>
    <w:p w:rsidR="00F956D0" w:rsidP="00E2094D" w:rsidRDefault="00F956D0" w14:paraId="42F8E096" w14:textId="77777777">
      <w:pPr>
        <w:pStyle w:val="2ndLevelA0"/>
      </w:pPr>
      <w:r>
        <w:t>Workforce and customer safety.</w:t>
      </w:r>
    </w:p>
    <w:p w:rsidR="00F956D0" w:rsidP="00E2094D" w:rsidRDefault="00F956D0" w14:paraId="20757A64" w14:textId="77777777">
      <w:pPr>
        <w:pStyle w:val="2ndLevelA0"/>
      </w:pPr>
      <w:r>
        <w:t>Communications and education.</w:t>
      </w:r>
    </w:p>
    <w:p w:rsidR="00B87DBF" w:rsidP="00E2094D" w:rsidRDefault="00F956D0" w14:paraId="24B78D88" w14:textId="77777777">
      <w:pPr>
        <w:pStyle w:val="2ndLevelA0"/>
      </w:pPr>
      <w:r>
        <w:t>Increasing resiliency and reducing operational and system risk.</w:t>
      </w:r>
    </w:p>
    <w:p w:rsidRPr="00F956D0" w:rsidR="00F956D0" w:rsidP="00DA6954" w:rsidRDefault="00DA6954" w14:paraId="4A6E2878" w14:textId="78BD9F2F">
      <w:pPr>
        <w:pStyle w:val="1stList1"/>
        <w:numPr>
          <w:ilvl w:val="0"/>
          <w:numId w:val="0"/>
        </w:numPr>
        <w:ind w:left="1080" w:hanging="360"/>
      </w:pPr>
      <w:r>
        <w:rPr>
          <w:color w:val="333333"/>
        </w:rPr>
        <w:t>2.</w:t>
      </w:r>
      <w:r>
        <w:rPr>
          <w:color w:val="333333"/>
        </w:rPr>
        <w:tab/>
      </w:r>
      <w:r w:rsidRPr="00B87DBF" w:rsidR="00F956D0">
        <w:rPr>
          <w:color w:val="333333"/>
        </w:rPr>
        <w:t xml:space="preserve">The </w:t>
      </w:r>
      <w:r w:rsidRPr="00E2094D" w:rsidR="00F956D0">
        <w:t>operator</w:t>
      </w:r>
      <w:r w:rsidRPr="00B87DBF" w:rsidR="00F956D0">
        <w:rPr>
          <w:color w:val="333333"/>
        </w:rPr>
        <w:t xml:space="preserve"> shall not earn a rate of return for any of the expenditures described in paragraph (1) so that no profit shall be realized by the operator’s shareholders. Neither the operator nor any of its affiliates or holding company may increase existing public earning per share guidance as a result of compensation provided under this section. The commission shall ensure no double recovery in rates.</w:t>
      </w:r>
    </w:p>
    <w:p w:rsidRPr="00A772A4" w:rsidR="00A772A4" w:rsidP="00930FB2" w:rsidRDefault="00F956D0" w14:paraId="0F407F6D" w14:textId="358CABA5">
      <w:pPr>
        <w:pStyle w:val="Standard"/>
        <w:rPr>
          <w:color w:val="333333"/>
        </w:rPr>
      </w:pPr>
      <w:r w:rsidRPr="00F956D0">
        <w:rPr>
          <w:color w:val="333333"/>
        </w:rPr>
        <w:t>In D.23-12-036, the Commission directed PG&amp;E to file an annual</w:t>
      </w:r>
      <w:r>
        <w:rPr>
          <w:color w:val="333333"/>
        </w:rPr>
        <w:t xml:space="preserve"> </w:t>
      </w:r>
      <w:r w:rsidRPr="00F956D0">
        <w:rPr>
          <w:color w:val="333333"/>
        </w:rPr>
        <w:t xml:space="preserve">application for review of its planned use of </w:t>
      </w:r>
      <w:r w:rsidR="0009635B">
        <w:rPr>
          <w:color w:val="333333"/>
        </w:rPr>
        <w:t xml:space="preserve">Pub. Util. Code </w:t>
      </w:r>
      <w:r w:rsidRPr="00F956D0">
        <w:rPr>
          <w:color w:val="333333"/>
        </w:rPr>
        <w:t>Section 712.8(f)(5) revenues to</w:t>
      </w:r>
      <w:r w:rsidR="00930FB2">
        <w:rPr>
          <w:color w:val="333333"/>
        </w:rPr>
        <w:t xml:space="preserve"> </w:t>
      </w:r>
      <w:r w:rsidRPr="00F956D0">
        <w:rPr>
          <w:color w:val="333333"/>
        </w:rPr>
        <w:t xml:space="preserve">confirm its proposed plan is consistent with </w:t>
      </w:r>
      <w:r w:rsidR="0009635B">
        <w:rPr>
          <w:color w:val="333333"/>
        </w:rPr>
        <w:t xml:space="preserve">Pub. Util. Code </w:t>
      </w:r>
      <w:r w:rsidRPr="00F956D0">
        <w:rPr>
          <w:color w:val="333333"/>
        </w:rPr>
        <w:t>Section</w:t>
      </w:r>
      <w:r w:rsidR="002D4260">
        <w:rPr>
          <w:color w:val="333333"/>
        </w:rPr>
        <w:t> </w:t>
      </w:r>
      <w:r w:rsidRPr="00F956D0">
        <w:rPr>
          <w:color w:val="333333"/>
        </w:rPr>
        <w:t>712.8(s), as well as to review</w:t>
      </w:r>
      <w:r w:rsidR="00930FB2">
        <w:rPr>
          <w:color w:val="333333"/>
        </w:rPr>
        <w:t xml:space="preserve"> </w:t>
      </w:r>
      <w:r w:rsidRPr="00F956D0">
        <w:rPr>
          <w:color w:val="333333"/>
        </w:rPr>
        <w:t>PG&amp;E’s past use of funds.</w:t>
      </w:r>
      <w:r w:rsidR="00B87DBF">
        <w:rPr>
          <w:rStyle w:val="FootnoteReference"/>
          <w:color w:val="333333"/>
        </w:rPr>
        <w:footnoteReference w:id="164"/>
      </w:r>
      <w:r w:rsidRPr="00F956D0">
        <w:rPr>
          <w:color w:val="333333"/>
        </w:rPr>
        <w:t xml:space="preserve"> The Commission stated that “while we interpret</w:t>
      </w:r>
      <w:r w:rsidR="0009635B">
        <w:rPr>
          <w:color w:val="333333"/>
        </w:rPr>
        <w:t xml:space="preserve"> [Pub. Util. Code</w:t>
      </w:r>
      <w:r w:rsidR="00930FB2">
        <w:rPr>
          <w:color w:val="333333"/>
        </w:rPr>
        <w:t xml:space="preserve"> </w:t>
      </w:r>
      <w:r w:rsidRPr="00F956D0">
        <w:rPr>
          <w:color w:val="333333"/>
        </w:rPr>
        <w:t>Section 712.8(s)</w:t>
      </w:r>
      <w:r w:rsidR="0009635B">
        <w:rPr>
          <w:color w:val="333333"/>
        </w:rPr>
        <w:t>]</w:t>
      </w:r>
      <w:r w:rsidRPr="00F956D0">
        <w:rPr>
          <w:color w:val="333333"/>
        </w:rPr>
        <w:t xml:space="preserve"> as providing PG&amp;E some amount of discretion on the use of</w:t>
      </w:r>
      <w:r w:rsidR="00930FB2">
        <w:rPr>
          <w:color w:val="333333"/>
        </w:rPr>
        <w:t xml:space="preserve"> </w:t>
      </w:r>
      <w:r w:rsidRPr="00F956D0">
        <w:rPr>
          <w:color w:val="333333"/>
        </w:rPr>
        <w:t>surplus performance based fees, subject to the statutory conditions and review</w:t>
      </w:r>
      <w:r w:rsidR="00930FB2">
        <w:rPr>
          <w:color w:val="333333"/>
        </w:rPr>
        <w:t xml:space="preserve"> </w:t>
      </w:r>
      <w:r w:rsidRPr="00F956D0">
        <w:rPr>
          <w:color w:val="333333"/>
        </w:rPr>
        <w:t>discussed below, in the event actual recorded costs are more than 15</w:t>
      </w:r>
      <w:r w:rsidR="000103F1">
        <w:rPr>
          <w:color w:val="333333"/>
        </w:rPr>
        <w:t xml:space="preserve"> percent</w:t>
      </w:r>
      <w:r w:rsidR="00930FB2">
        <w:rPr>
          <w:color w:val="333333"/>
        </w:rPr>
        <w:t xml:space="preserve"> </w:t>
      </w:r>
      <w:r w:rsidRPr="00F956D0">
        <w:rPr>
          <w:color w:val="333333"/>
        </w:rPr>
        <w:t>above PG&amp;E’s approved forecast then PG&amp;E must first use the volumetric</w:t>
      </w:r>
      <w:r w:rsidR="00930FB2">
        <w:rPr>
          <w:color w:val="333333"/>
        </w:rPr>
        <w:t xml:space="preserve"> </w:t>
      </w:r>
      <w:r w:rsidRPr="00F956D0">
        <w:rPr>
          <w:color w:val="333333"/>
        </w:rPr>
        <w:t xml:space="preserve">performance based fees to </w:t>
      </w:r>
      <w:r w:rsidRPr="00F956D0">
        <w:rPr>
          <w:color w:val="333333"/>
        </w:rPr>
        <w:lastRenderedPageBreak/>
        <w:t>offset any costs above that amount before they be used</w:t>
      </w:r>
      <w:r w:rsidR="00930FB2">
        <w:rPr>
          <w:color w:val="333333"/>
        </w:rPr>
        <w:t xml:space="preserve"> </w:t>
      </w:r>
      <w:r w:rsidRPr="00F956D0">
        <w:rPr>
          <w:color w:val="333333"/>
        </w:rPr>
        <w:t>for another purpose.”</w:t>
      </w:r>
      <w:r>
        <w:rPr>
          <w:rStyle w:val="FootnoteReference"/>
          <w:color w:val="333333"/>
        </w:rPr>
        <w:footnoteReference w:id="165"/>
      </w:r>
      <w:r w:rsidR="00A772A4">
        <w:rPr>
          <w:color w:val="333333"/>
        </w:rPr>
        <w:t xml:space="preserve"> D.23-12-036 then orders: “</w:t>
      </w:r>
      <w:r w:rsidRPr="00A772A4" w:rsidR="00A772A4">
        <w:rPr>
          <w:color w:val="333333"/>
        </w:rPr>
        <w:t xml:space="preserve">The compensation earned under </w:t>
      </w:r>
      <w:r w:rsidR="0009635B">
        <w:rPr>
          <w:color w:val="333333"/>
        </w:rPr>
        <w:t xml:space="preserve">[Pub. Util. Code </w:t>
      </w:r>
      <w:r w:rsidRPr="00A772A4" w:rsidR="00A772A4">
        <w:rPr>
          <w:color w:val="333333"/>
        </w:rPr>
        <w:t>Section 712.8(f)(5)</w:t>
      </w:r>
      <w:r w:rsidR="0009635B">
        <w:rPr>
          <w:color w:val="333333"/>
        </w:rPr>
        <w:t>]</w:t>
      </w:r>
      <w:r w:rsidRPr="00A772A4" w:rsidR="00A772A4">
        <w:rPr>
          <w:color w:val="333333"/>
        </w:rPr>
        <w:t xml:space="preserve"> should be used to offset any costs in excess of 15</w:t>
      </w:r>
      <w:r w:rsidR="000103F1">
        <w:rPr>
          <w:color w:val="333333"/>
        </w:rPr>
        <w:t xml:space="preserve"> percent</w:t>
      </w:r>
      <w:r w:rsidRPr="00A772A4" w:rsidR="00A772A4">
        <w:rPr>
          <w:color w:val="333333"/>
        </w:rPr>
        <w:t xml:space="preserve"> above PG&amp;E’s approved annual DCPP Extended Operations Cost Forecast application, as considered in the annual true-up process adopted in this decision, before these funds can be used for the public purpose priorities in </w:t>
      </w:r>
      <w:r w:rsidR="0009635B">
        <w:rPr>
          <w:color w:val="333333"/>
        </w:rPr>
        <w:t xml:space="preserve">[Pub. Util. Code </w:t>
      </w:r>
      <w:r w:rsidRPr="00A772A4" w:rsidR="00A772A4">
        <w:rPr>
          <w:color w:val="333333"/>
        </w:rPr>
        <w:t>Section 712.8(s)(1)</w:t>
      </w:r>
      <w:r w:rsidR="0009635B">
        <w:rPr>
          <w:color w:val="333333"/>
        </w:rPr>
        <w:t>]</w:t>
      </w:r>
      <w:r w:rsidRPr="00A772A4" w:rsidR="00A772A4">
        <w:rPr>
          <w:color w:val="333333"/>
        </w:rPr>
        <w:t>.</w:t>
      </w:r>
      <w:r w:rsidR="00A772A4">
        <w:rPr>
          <w:color w:val="333333"/>
        </w:rPr>
        <w:t>“</w:t>
      </w:r>
      <w:r w:rsidR="00A772A4">
        <w:rPr>
          <w:rStyle w:val="FootnoteReference"/>
          <w:color w:val="333333"/>
        </w:rPr>
        <w:footnoteReference w:id="166"/>
      </w:r>
    </w:p>
    <w:p w:rsidR="00F956D0" w:rsidP="00930FB2" w:rsidRDefault="00F956D0" w14:paraId="7A650846" w14:textId="70A1B39A">
      <w:pPr>
        <w:pStyle w:val="Standard"/>
      </w:pPr>
      <w:r w:rsidRPr="00F956D0">
        <w:t>In compliance with D.23-12-036, PG&amp;E seeks the Commission’s approval</w:t>
      </w:r>
      <w:r w:rsidR="00930FB2">
        <w:t xml:space="preserve"> </w:t>
      </w:r>
      <w:r w:rsidRPr="00F956D0">
        <w:t>of its plan for 202</w:t>
      </w:r>
      <w:r w:rsidR="00B87DBF">
        <w:t>6</w:t>
      </w:r>
      <w:r w:rsidRPr="00F956D0">
        <w:t xml:space="preserve"> VPF expenditures covering the Record Period pursuant to the</w:t>
      </w:r>
      <w:r w:rsidR="00930FB2">
        <w:t xml:space="preserve"> </w:t>
      </w:r>
      <w:r w:rsidRPr="00F956D0">
        <w:t xml:space="preserve">public purpose priorities identified in </w:t>
      </w:r>
      <w:r w:rsidR="0009635B">
        <w:t xml:space="preserve">Pub. Util. Code </w:t>
      </w:r>
      <w:r w:rsidRPr="00F956D0">
        <w:t>Section 712.8(s)(1). In its application,</w:t>
      </w:r>
      <w:r w:rsidR="00930FB2">
        <w:t xml:space="preserve"> </w:t>
      </w:r>
      <w:r w:rsidRPr="00F956D0">
        <w:t>PG&amp;E proposes a “waterfall” of priority uses, starting with defined customer</w:t>
      </w:r>
      <w:r>
        <w:t>-</w:t>
      </w:r>
      <w:r w:rsidRPr="00F956D0">
        <w:t>benefitting</w:t>
      </w:r>
      <w:r w:rsidR="00B87DBF">
        <w:t xml:space="preserve"> public purpose</w:t>
      </w:r>
      <w:r>
        <w:t xml:space="preserve"> </w:t>
      </w:r>
      <w:r w:rsidRPr="00F956D0">
        <w:t>programs, followed by an allocation of contingency funds for key risk</w:t>
      </w:r>
      <w:r w:rsidR="00B87DBF">
        <w:t xml:space="preserve"> </w:t>
      </w:r>
      <w:r w:rsidRPr="00F956D0">
        <w:t>and safety programs, and then contribution of any remaining funds to offset</w:t>
      </w:r>
      <w:r w:rsidR="00B87DBF">
        <w:t xml:space="preserve"> </w:t>
      </w:r>
      <w:r w:rsidRPr="00F956D0">
        <w:t>Diablo Canyon operating costs.</w:t>
      </w:r>
      <w:r w:rsidR="00B87DBF">
        <w:rPr>
          <w:rStyle w:val="FootnoteReference"/>
          <w:color w:val="333333"/>
        </w:rPr>
        <w:footnoteReference w:id="167"/>
      </w:r>
      <w:r w:rsidRPr="00F956D0">
        <w:t xml:space="preserve"> In this way, according to the proposal, all of</w:t>
      </w:r>
      <w:r w:rsidR="00B87DBF">
        <w:t xml:space="preserve"> </w:t>
      </w:r>
      <w:r w:rsidRPr="00F956D0">
        <w:t>the VPFs will be first spent on critical public purpose priorities. However, in the</w:t>
      </w:r>
      <w:r w:rsidR="00B87DBF">
        <w:t xml:space="preserve"> </w:t>
      </w:r>
      <w:r w:rsidRPr="00F956D0">
        <w:t>event PG&amp;E earns less than the forecasted amount of volumetric fees in 202</w:t>
      </w:r>
      <w:r w:rsidR="00B87DBF">
        <w:t>6</w:t>
      </w:r>
      <w:r w:rsidRPr="00F956D0">
        <w:t>,</w:t>
      </w:r>
      <w:r>
        <w:t xml:space="preserve"> </w:t>
      </w:r>
      <w:r w:rsidRPr="00F956D0">
        <w:t>PG&amp;E will not allocate 100</w:t>
      </w:r>
      <w:r w:rsidR="000103F1">
        <w:t xml:space="preserve"> percent</w:t>
      </w:r>
      <w:r w:rsidRPr="00F956D0">
        <w:t xml:space="preserve"> of the funds for defined uses, so less would</w:t>
      </w:r>
      <w:r w:rsidR="00B87DBF">
        <w:t xml:space="preserve"> </w:t>
      </w:r>
      <w:r w:rsidRPr="00F956D0">
        <w:t>be available for use.</w:t>
      </w:r>
      <w:r w:rsidR="00B87DBF">
        <w:rPr>
          <w:rStyle w:val="FootnoteReference"/>
          <w:color w:val="333333"/>
        </w:rPr>
        <w:footnoteReference w:id="168"/>
      </w:r>
    </w:p>
    <w:p w:rsidR="00F956D0" w:rsidP="00930FB2" w:rsidRDefault="00F956D0" w14:paraId="38A44BE0" w14:textId="7343DC45">
      <w:pPr>
        <w:pStyle w:val="Standard"/>
      </w:pPr>
      <w:r w:rsidRPr="00F956D0">
        <w:t>The total forecast for the VPFs collected in 202</w:t>
      </w:r>
      <w:r w:rsidR="00B3682E">
        <w:t xml:space="preserve">6 </w:t>
      </w:r>
      <w:r w:rsidRPr="00F956D0">
        <w:t>is $</w:t>
      </w:r>
      <w:r w:rsidR="00B3682E">
        <w:t>266</w:t>
      </w:r>
      <w:r w:rsidR="00550908">
        <w:t>.56</w:t>
      </w:r>
      <w:r w:rsidR="00B3682E">
        <w:t>6</w:t>
      </w:r>
      <w:r w:rsidRPr="00F956D0">
        <w:t xml:space="preserve"> million</w:t>
      </w:r>
      <w:r w:rsidR="00B3682E">
        <w:t xml:space="preserve">. The </w:t>
      </w:r>
      <w:r w:rsidR="00C424C1">
        <w:t>higher electricity generation forecast included in PG&amp;E’s Fall Update</w:t>
      </w:r>
      <w:r w:rsidR="00B3682E">
        <w:t xml:space="preserve"> </w:t>
      </w:r>
      <w:r w:rsidR="00C424C1">
        <w:t xml:space="preserve">and a higher expense escalation </w:t>
      </w:r>
      <w:r w:rsidR="00B3682E">
        <w:t>increased the VPF amount from $263.4</w:t>
      </w:r>
      <w:r w:rsidR="000B222B">
        <w:t xml:space="preserve"> million </w:t>
      </w:r>
      <w:r w:rsidR="00B3682E">
        <w:lastRenderedPageBreak/>
        <w:t>originally forecast in the Application.</w:t>
      </w:r>
      <w:r w:rsidR="00C424C1">
        <w:rPr>
          <w:rStyle w:val="FootnoteReference"/>
        </w:rPr>
        <w:footnoteReference w:id="169"/>
      </w:r>
      <w:r w:rsidR="00B3682E">
        <w:t xml:space="preserve"> The </w:t>
      </w:r>
      <w:r w:rsidRPr="00F956D0" w:rsidR="00B3682E">
        <w:t>proposal</w:t>
      </w:r>
      <w:r w:rsidR="00B3682E">
        <w:t xml:space="preserve"> </w:t>
      </w:r>
      <w:r w:rsidRPr="00F956D0" w:rsidR="00B3682E">
        <w:t>includes the following programs</w:t>
      </w:r>
      <w:r w:rsidR="00B3682E">
        <w:t>, which continue and incorporate</w:t>
      </w:r>
      <w:r w:rsidR="001C5C26">
        <w:t>s</w:t>
      </w:r>
      <w:r w:rsidR="00B3682E">
        <w:t xml:space="preserve"> seven programs approved in the 2025 VPF Spending Plan.</w:t>
      </w:r>
    </w:p>
    <w:p w:rsidR="002534C8" w:rsidP="00951A82" w:rsidRDefault="00B87DBF" w14:paraId="43CE92D4" w14:textId="77777777">
      <w:pPr>
        <w:pStyle w:val="1stLevel1"/>
        <w:numPr>
          <w:ilvl w:val="0"/>
          <w:numId w:val="16"/>
        </w:numPr>
      </w:pPr>
      <w:bookmarkStart w:name="_Hlk211517093" w:id="84"/>
      <w:r w:rsidRPr="004D0DAE">
        <w:t xml:space="preserve">Power Generation (PG) </w:t>
      </w:r>
      <w:bookmarkEnd w:id="84"/>
      <w:r w:rsidRPr="004D0DAE">
        <w:t xml:space="preserve">Accelerated/Enhanced Asset Management, Communications, Workforce Safety, and Renewable/Zero Carbon Energy Activities: Asset Management, Inspection, and Maintenance Activities of PG System Infrastructure ($22 – 40 million) aims to address gaps identified during PG&amp;E’s ISO 55001 certification process, incorporate corrective actions stemming from asset failures sooner, and implement new, industry-leading practices for proactively managing asset lifecycle and reducing risk. </w:t>
      </w:r>
    </w:p>
    <w:p w:rsidR="002534C8" w:rsidP="00951A82" w:rsidRDefault="00B87DBF" w14:paraId="27935BC1" w14:textId="77777777">
      <w:pPr>
        <w:pStyle w:val="1stLevel1"/>
        <w:numPr>
          <w:ilvl w:val="0"/>
          <w:numId w:val="16"/>
        </w:numPr>
      </w:pPr>
      <w:r>
        <w:t>PG Accelerated/Enhanced Asset Management, Communications, Workforce Safety, and Renewable/Zero Carbon Energy Activities: PG Communications ($0.2 – 0.3 million) aims to enhance public safety communications.</w:t>
      </w:r>
    </w:p>
    <w:p w:rsidR="002534C8" w:rsidP="00951A82" w:rsidRDefault="00B87DBF" w14:paraId="64D8B871" w14:textId="77777777">
      <w:pPr>
        <w:pStyle w:val="1stLevel1"/>
        <w:numPr>
          <w:ilvl w:val="0"/>
          <w:numId w:val="16"/>
        </w:numPr>
      </w:pPr>
      <w:r>
        <w:t>PG Accelerated/Enhanced Asset Management, Communications, Workforce Safety, and Renewable/Zero Carbon Energy Activities: PG Workforce Safety Initiatives ($0.5 – 1.0 million) enables new workforce safety initiatives.</w:t>
      </w:r>
    </w:p>
    <w:p w:rsidR="002534C8" w:rsidP="00951A82" w:rsidRDefault="00B87DBF" w14:paraId="085987DD" w14:textId="612B21EB">
      <w:pPr>
        <w:pStyle w:val="1stLevel1"/>
        <w:numPr>
          <w:ilvl w:val="0"/>
          <w:numId w:val="16"/>
        </w:numPr>
      </w:pPr>
      <w:r>
        <w:t>PG Accelerated/Enhanced Asset Management, Communications, Workforce Safety, and Renewable/Zero Carbon Energy Activities: Zero Carbon Energy Activities ($0.5 – 1.2 million) aims to advance work on carbon capture technology at PG&amp;E natural gas generation</w:t>
      </w:r>
      <w:r w:rsidR="007E0085">
        <w:t>.</w:t>
      </w:r>
    </w:p>
    <w:p w:rsidR="002534C8" w:rsidP="00951A82" w:rsidRDefault="00B87DBF" w14:paraId="7B1B5C73" w14:textId="77777777">
      <w:pPr>
        <w:pStyle w:val="1stLevel1"/>
        <w:numPr>
          <w:ilvl w:val="0"/>
          <w:numId w:val="16"/>
        </w:numPr>
      </w:pPr>
      <w:r>
        <w:t>PG Accelerated/ Enhanced Asset Management, Communications, Workforce Safety, and Renewable/Zero Carbon Energy Activities: Renewable Energy Activities ($0.8 to 2.5 million) aims to advance work on potential Battery Energy Storage Systems sites for renewable energy integration</w:t>
      </w:r>
      <w:r w:rsidR="002534C8">
        <w:t>.</w:t>
      </w:r>
    </w:p>
    <w:p w:rsidR="002534C8" w:rsidP="00951A82" w:rsidRDefault="00B87DBF" w14:paraId="62A9B300" w14:textId="1734BDDE">
      <w:pPr>
        <w:pStyle w:val="1stLevel1"/>
        <w:numPr>
          <w:ilvl w:val="0"/>
          <w:numId w:val="16"/>
        </w:numPr>
      </w:pPr>
      <w:r>
        <w:lastRenderedPageBreak/>
        <w:t xml:space="preserve">Accelerating Interconnections and Actions to Reduce Operational Risk and Modernize the Grid More Efficiently Through Operating System Enhancements: Electric Generation Interconnection ($5-15 million) aims to </w:t>
      </w:r>
      <w:r w:rsidR="002534C8">
        <w:t>e</w:t>
      </w:r>
      <w:r>
        <w:t xml:space="preserve">nable more efficient application processing to support expedited timelines for customer interconnections, as well as work through a backlog of customer interconnection work created by the NEM 2.0 sunset in 2023. </w:t>
      </w:r>
    </w:p>
    <w:p w:rsidR="002534C8" w:rsidP="00951A82" w:rsidRDefault="00B87DBF" w14:paraId="74150E6F" w14:textId="7C374E86">
      <w:pPr>
        <w:pStyle w:val="1stLevel1"/>
        <w:numPr>
          <w:ilvl w:val="0"/>
          <w:numId w:val="16"/>
        </w:numPr>
      </w:pPr>
      <w:r>
        <w:t xml:space="preserve">Accelerating Interconnections and Actions to Reduce Operational Risk and Modernize the Grid More Efficiently Through Operating System Enhancements: Propel ($35-55 million) </w:t>
      </w:r>
      <w:r w:rsidR="002534C8">
        <w:t xml:space="preserve">is a </w:t>
      </w:r>
      <w:r w:rsidR="007E0085">
        <w:t>s</w:t>
      </w:r>
      <w:r>
        <w:t xml:space="preserve">ystem upgrade </w:t>
      </w:r>
      <w:r w:rsidR="007E0085">
        <w:t xml:space="preserve">produced by the company SAP </w:t>
      </w:r>
      <w:r>
        <w:t xml:space="preserve">that aims to simplify processes, resulting in improved customer interconnection timelines, enhanced grid modernization and resiliency, and reduced operational risk. </w:t>
      </w:r>
    </w:p>
    <w:p w:rsidR="002534C8" w:rsidP="00951A82" w:rsidRDefault="00B87DBF" w14:paraId="37EDEE42" w14:textId="5400355D">
      <w:pPr>
        <w:pStyle w:val="1stLevel1"/>
        <w:numPr>
          <w:ilvl w:val="0"/>
          <w:numId w:val="16"/>
        </w:numPr>
      </w:pPr>
      <w:r>
        <w:t xml:space="preserve">Reliability Battery Program (previously Batteries for Resiliency) ($4.6-21.4 million) aims to </w:t>
      </w:r>
      <w:r w:rsidR="002534C8">
        <w:t>expand</w:t>
      </w:r>
      <w:r>
        <w:t xml:space="preserve"> existing wildfire related battery programs supporting Behind the Meter Batteries for Resiliency</w:t>
      </w:r>
      <w:r w:rsidR="002534C8">
        <w:t xml:space="preserve"> and</w:t>
      </w:r>
      <w:r>
        <w:t xml:space="preserve"> target outages beyond wildfire and customers outside of high fire risk areas. </w:t>
      </w:r>
    </w:p>
    <w:p w:rsidR="002534C8" w:rsidP="00951A82" w:rsidRDefault="00B87DBF" w14:paraId="4A10CF05" w14:textId="7DF03326">
      <w:pPr>
        <w:pStyle w:val="1stLevel1"/>
        <w:numPr>
          <w:ilvl w:val="0"/>
          <w:numId w:val="16"/>
        </w:numPr>
      </w:pPr>
      <w:r>
        <w:t xml:space="preserve">Electric Vehicle Detection for Forecasting and Vehicle Grid Integration ($0.5-1.0 million) aims to </w:t>
      </w:r>
      <w:r w:rsidR="002534C8">
        <w:t xml:space="preserve">enable </w:t>
      </w:r>
      <w:r>
        <w:t xml:space="preserve">EV detection and data gathering. </w:t>
      </w:r>
    </w:p>
    <w:p w:rsidR="002534C8" w:rsidP="00951A82" w:rsidRDefault="00B87DBF" w14:paraId="0821C0C8" w14:textId="3E80229C">
      <w:pPr>
        <w:pStyle w:val="1stLevel1"/>
        <w:numPr>
          <w:ilvl w:val="0"/>
          <w:numId w:val="16"/>
        </w:numPr>
        <w:ind w:hanging="450"/>
      </w:pPr>
      <w:r>
        <w:t xml:space="preserve">Customer Electrification Experience: Materials and Training for Comprehensive Electrification Support ($400,000-550,000) aims to </w:t>
      </w:r>
      <w:r w:rsidR="002534C8">
        <w:t>a</w:t>
      </w:r>
      <w:r>
        <w:t>ccelerate development of training and materials for PG&amp;E Customer Service Representatives and outreach to third-parties involved in customer electrification experience (e.g., automotive dealerships)</w:t>
      </w:r>
      <w:r w:rsidR="001C5C26">
        <w:t>.</w:t>
      </w:r>
    </w:p>
    <w:p w:rsidR="002534C8" w:rsidP="00951A82" w:rsidRDefault="00B87DBF" w14:paraId="0A419F28" w14:textId="482E988D">
      <w:pPr>
        <w:pStyle w:val="1stLevel1"/>
        <w:numPr>
          <w:ilvl w:val="0"/>
          <w:numId w:val="16"/>
        </w:numPr>
        <w:ind w:hanging="450"/>
      </w:pPr>
      <w:r>
        <w:t xml:space="preserve">Customer Electrification Experience: Online Resources for Comprehensive Electrification Support ($1.7-3.1 million) aims to </w:t>
      </w:r>
      <w:r w:rsidR="002534C8">
        <w:t>s</w:t>
      </w:r>
      <w:r>
        <w:t>upport development of online resources for comprehensive electrification support</w:t>
      </w:r>
      <w:r w:rsidR="001C5C26">
        <w:t>.</w:t>
      </w:r>
      <w:r>
        <w:t xml:space="preserve"> </w:t>
      </w:r>
    </w:p>
    <w:p w:rsidR="002534C8" w:rsidP="00951A82" w:rsidRDefault="00B87DBF" w14:paraId="5688C56B" w14:textId="2C304D17">
      <w:pPr>
        <w:pStyle w:val="1stLevel1"/>
        <w:numPr>
          <w:ilvl w:val="0"/>
          <w:numId w:val="16"/>
        </w:numPr>
        <w:ind w:hanging="450"/>
      </w:pPr>
      <w:r>
        <w:lastRenderedPageBreak/>
        <w:t>Customer Electrification Experience: Residential B</w:t>
      </w:r>
      <w:r w:rsidR="00C24A3B">
        <w:t xml:space="preserve">uilding </w:t>
      </w:r>
      <w:r>
        <w:t>E</w:t>
      </w:r>
      <w:r w:rsidR="00C24A3B">
        <w:t>lectrification</w:t>
      </w:r>
      <w:r>
        <w:t xml:space="preserve"> Support ($1.2-2.5 million) aims to </w:t>
      </w:r>
      <w:r w:rsidR="002534C8">
        <w:t>e</w:t>
      </w:r>
      <w:r>
        <w:t>xpand and/or supplement existing program offerings to fill gaps in customers served or B</w:t>
      </w:r>
      <w:r w:rsidR="00C24A3B">
        <w:t xml:space="preserve">uilding </w:t>
      </w:r>
      <w:r>
        <w:t>E</w:t>
      </w:r>
      <w:r w:rsidR="00C24A3B">
        <w:t>lectrification</w:t>
      </w:r>
      <w:r>
        <w:t xml:space="preserve"> measures offered and thus provide a more holistic solution to customers who are interested in B</w:t>
      </w:r>
      <w:r w:rsidR="00C24A3B">
        <w:t xml:space="preserve">uilding </w:t>
      </w:r>
      <w:r>
        <w:t>E</w:t>
      </w:r>
      <w:r w:rsidR="00C24A3B">
        <w:t>lectrification</w:t>
      </w:r>
      <w:r>
        <w:t>.</w:t>
      </w:r>
    </w:p>
    <w:p w:rsidR="002534C8" w:rsidP="00951A82" w:rsidRDefault="00B87DBF" w14:paraId="3AF8FA53" w14:textId="1AFC6267">
      <w:pPr>
        <w:pStyle w:val="1stLevel1"/>
        <w:numPr>
          <w:ilvl w:val="0"/>
          <w:numId w:val="16"/>
        </w:numPr>
        <w:ind w:hanging="450"/>
      </w:pPr>
      <w:r>
        <w:t xml:space="preserve">Programs to support building decarbonization for small businesses ($1.5-2.5 million) aims to </w:t>
      </w:r>
      <w:r w:rsidR="002534C8">
        <w:t>s</w:t>
      </w:r>
      <w:r>
        <w:t>upport expanded programs to support small business in building decarbonization objectives</w:t>
      </w:r>
      <w:r w:rsidR="002534C8">
        <w:t>.</w:t>
      </w:r>
      <w:r>
        <w:t xml:space="preserve"> </w:t>
      </w:r>
    </w:p>
    <w:p w:rsidR="002534C8" w:rsidP="00951A82" w:rsidRDefault="00B87DBF" w14:paraId="50AD5FE4" w14:textId="60F9D305">
      <w:pPr>
        <w:pStyle w:val="1stLevel1"/>
        <w:numPr>
          <w:ilvl w:val="0"/>
          <w:numId w:val="16"/>
        </w:numPr>
        <w:ind w:hanging="450"/>
      </w:pPr>
      <w:r>
        <w:t xml:space="preserve">One VM ($10-15 million) aims to </w:t>
      </w:r>
      <w:r w:rsidR="002534C8">
        <w:t>enable m</w:t>
      </w:r>
      <w:r>
        <w:t xml:space="preserve">ap-based work execution, monitoring, and validation application that supports wildfire mitigation. </w:t>
      </w:r>
    </w:p>
    <w:p w:rsidR="002534C8" w:rsidP="00951A82" w:rsidRDefault="00B87DBF" w14:paraId="7761134A" w14:textId="7F446F02">
      <w:pPr>
        <w:pStyle w:val="1stLevel1"/>
        <w:numPr>
          <w:ilvl w:val="0"/>
          <w:numId w:val="16"/>
        </w:numPr>
        <w:ind w:hanging="450"/>
      </w:pPr>
      <w:r>
        <w:t>Pre-staging of Temporary Generation in Support of Winter Storms ($4-8 million) aims to</w:t>
      </w:r>
      <w:r w:rsidR="002534C8">
        <w:t xml:space="preserve"> deploy</w:t>
      </w:r>
      <w:r>
        <w:t xml:space="preserve"> strategy to pre stage temporary generation in support of winter storms to promote workforce safety, reduce costs of mobilization efforts, and other benefits. </w:t>
      </w:r>
    </w:p>
    <w:p w:rsidR="002534C8" w:rsidP="00951A82" w:rsidRDefault="00B87DBF" w14:paraId="63D95D11" w14:textId="3822BC7E">
      <w:pPr>
        <w:pStyle w:val="1stLevel1"/>
        <w:numPr>
          <w:ilvl w:val="0"/>
          <w:numId w:val="16"/>
        </w:numPr>
        <w:ind w:hanging="450"/>
      </w:pPr>
      <w:r>
        <w:t xml:space="preserve">PG&amp;E Contingency Uses: (1) for Safety and Risk, and (2): DCPP Operational Costs ($40-92 million) aims to </w:t>
      </w:r>
      <w:r w:rsidR="002534C8">
        <w:t xml:space="preserve">support </w:t>
      </w:r>
      <w:r>
        <w:t>Safety and Risk programs: MWCs:</w:t>
      </w:r>
      <w:bookmarkStart w:name="_Hlk211000565" w:id="85"/>
      <w:r w:rsidR="006747F5">
        <w:t xml:space="preserve"> BH (Electric Distribution Routine Emergency), BF (Electric Transmission &amp; Distribution Patrol/Inspection), GC (Electric Distribution Substation O&amp;M), GA (Electrification Transmission &amp; Distribution Maintenance Overhead Poles), BA (Electrical Distribution Operate System)</w:t>
      </w:r>
      <w:bookmarkEnd w:id="85"/>
      <w:r w:rsidR="006747F5">
        <w:t>.</w:t>
      </w:r>
      <w:r w:rsidRPr="00080A96" w:rsidR="002534C8">
        <w:rPr>
          <w:sz w:val="16"/>
          <w:szCs w:val="16"/>
        </w:rPr>
        <w:footnoteReference w:id="170"/>
      </w:r>
      <w:r w:rsidRPr="00E2094D" w:rsidR="007E0085">
        <w:rPr>
          <w:sz w:val="16"/>
          <w:szCs w:val="16"/>
        </w:rPr>
        <w:t xml:space="preserve"> </w:t>
      </w:r>
    </w:p>
    <w:p w:rsidRPr="00DB2FEB" w:rsidR="00DB2FEB" w:rsidP="00DB2FEB" w:rsidRDefault="00DB2FEB" w14:paraId="0C4B89D1" w14:textId="460416B7">
      <w:pPr>
        <w:pStyle w:val="Standard"/>
      </w:pPr>
      <w:r>
        <w:t>Finally, PG&amp;E states that “</w:t>
      </w:r>
      <w:r w:rsidRPr="00DB2FEB">
        <w:t>VPF revenues will only be spent on new programs, work that was not forecast in any other rate case, or work that exceeds authorized amounts from the 2023 GRC or any rate case. Incrementality will be presented in the post-spend report and verified annually by an independent third-party auditor.</w:t>
      </w:r>
      <w:r>
        <w:t>”</w:t>
      </w:r>
      <w:r>
        <w:rPr>
          <w:rStyle w:val="FootnoteReference"/>
        </w:rPr>
        <w:footnoteReference w:id="171"/>
      </w:r>
    </w:p>
    <w:p w:rsidR="00F956D0" w:rsidP="00F956D0" w:rsidRDefault="00F956D0" w14:paraId="572495C4" w14:textId="453D8E2F">
      <w:pPr>
        <w:pStyle w:val="Heading2"/>
      </w:pPr>
      <w:bookmarkStart w:name="_Toc216176827" w:id="86"/>
      <w:r>
        <w:lastRenderedPageBreak/>
        <w:t>Party Positions</w:t>
      </w:r>
      <w:bookmarkEnd w:id="86"/>
    </w:p>
    <w:p w:rsidR="005751F8" w:rsidP="005751F8" w:rsidRDefault="0000741B" w14:paraId="200680E9" w14:textId="1A1B4189">
      <w:pPr>
        <w:pStyle w:val="Standard"/>
      </w:pPr>
      <w:r>
        <w:t xml:space="preserve">Cal Advocates </w:t>
      </w:r>
      <w:r w:rsidRPr="00D8385E" w:rsidR="00D8385E">
        <w:t xml:space="preserve">argues that </w:t>
      </w:r>
      <w:r>
        <w:t>four</w:t>
      </w:r>
      <w:r w:rsidRPr="00D8385E" w:rsidR="00D8385E">
        <w:t xml:space="preserve"> VPF projects “could result in customers paying for projects that may provide future shareholder benefits, and which PG&amp;E may abandon after DCPP extended operations end to avoid violation of statute.”</w:t>
      </w:r>
      <w:r>
        <w:rPr>
          <w:rStyle w:val="FootnoteReference"/>
        </w:rPr>
        <w:footnoteReference w:id="172"/>
      </w:r>
      <w:r>
        <w:t xml:space="preserve"> Cal Advocates further states that “</w:t>
      </w:r>
      <w:r w:rsidRPr="0000741B">
        <w:t>PG&amp;E noted these four projects have the potential to result in on-going expenses for PG&amp;E beyond the conditionally approved extension of DCPP operations</w:t>
      </w:r>
      <w:r>
        <w:t>, citing PG&amp;E’s response to Cal Advocates data request 002_Q002 asking about the mobile app in Project</w:t>
      </w:r>
      <w:r w:rsidR="00080A96">
        <w:t> </w:t>
      </w:r>
      <w:r>
        <w:t>1.b</w:t>
      </w:r>
      <w:r w:rsidR="00080A96">
        <w:t> </w:t>
      </w:r>
      <w:r>
        <w:t xml:space="preserve">– Power Generation Communication. When asked “Does PG&amp;E plan to continue the operations of this ‘mobile app’ beyond the retirement date of the DCPP, and the end of the collection of VPFs?”, PG&amp;E responds “Yes” and </w:t>
      </w:r>
      <w:r w:rsidR="00B3682E">
        <w:t>“A</w:t>
      </w:r>
      <w:r w:rsidRPr="0000741B">
        <w:t>t this time, PG&amp;E has not determined how this program will be funded past the retirement date of DCPP. If PG&amp;E were to fund the continued operation of the program with funding from a source other than VPF revenues, PG&amp;E would comply with the associated requirements of that funding source, which may or may not include restrictions around earnings per share impacts.</w:t>
      </w:r>
      <w:r>
        <w:t>”</w:t>
      </w:r>
      <w:r>
        <w:rPr>
          <w:rStyle w:val="FootnoteReference"/>
        </w:rPr>
        <w:footnoteReference w:id="173"/>
      </w:r>
      <w:r>
        <w:t xml:space="preserve"> Cal Advocates notes that PG&amp;E also indicated in data request responses that it plans to continue the operation of three additional programs requesting VPF funding after the end of collection of VPF funds.</w:t>
      </w:r>
      <w:r>
        <w:rPr>
          <w:rStyle w:val="FootnoteReference"/>
        </w:rPr>
        <w:footnoteReference w:id="174"/>
      </w:r>
      <w:r>
        <w:t xml:space="preserve"> That identified spending belongs to the Electric Vehicle Detection for Forecasting and Vehicle-Grid Integration program, the EV savings calculator </w:t>
      </w:r>
      <w:r w:rsidR="00B3682E">
        <w:t xml:space="preserve">included in </w:t>
      </w:r>
      <w:r>
        <w:t>the Online Resources for Comprehensive Electrification Support program, and the One VM application.</w:t>
      </w:r>
      <w:r>
        <w:rPr>
          <w:rStyle w:val="FootnoteReference"/>
        </w:rPr>
        <w:footnoteReference w:id="175"/>
      </w:r>
    </w:p>
    <w:p w:rsidR="005751F8" w:rsidP="00856991" w:rsidRDefault="0000741B" w14:paraId="7D3376D7" w14:textId="2E0620C7">
      <w:pPr>
        <w:pStyle w:val="Standard"/>
      </w:pPr>
      <w:r>
        <w:lastRenderedPageBreak/>
        <w:t xml:space="preserve">Cal Advocates notes that Public Utilities Code Section 712.8(s)(2) authorizing the VPF program states that </w:t>
      </w:r>
      <w:r w:rsidRPr="0000741B">
        <w:t>“[n]either the operator nor any of its affiliates or holding company may increase existing public earning per share guidance as a result of compensation provided under this section.”</w:t>
      </w:r>
      <w:r>
        <w:t xml:space="preserve"> Cal Advocates concludes: “</w:t>
      </w:r>
      <w:r w:rsidRPr="0000741B">
        <w:t>As these four projects may become a part of future revenue requirements, and could potentially violate Pub. Util. Code Section</w:t>
      </w:r>
      <w:r w:rsidRPr="002D4260">
        <w:rPr>
          <w:highlight w:val="yellow"/>
        </w:rPr>
        <w:t xml:space="preserve"> </w:t>
      </w:r>
      <w:r w:rsidRPr="00760F91">
        <w:t>712.8(s)(2)</w:t>
      </w:r>
      <w:r w:rsidRPr="009343FC">
        <w:t>, they</w:t>
      </w:r>
      <w:r w:rsidRPr="0000741B">
        <w:t xml:space="preserve"> should be removed from the VPF Spending Plan.</w:t>
      </w:r>
      <w:r>
        <w:t>”</w:t>
      </w:r>
      <w:r>
        <w:rPr>
          <w:rStyle w:val="FootnoteReference"/>
        </w:rPr>
        <w:footnoteReference w:id="176"/>
      </w:r>
    </w:p>
    <w:p w:rsidR="00716F97" w:rsidP="00856991" w:rsidRDefault="005751F8" w14:paraId="587BA11A" w14:textId="5C001021">
      <w:pPr>
        <w:pStyle w:val="Standard"/>
      </w:pPr>
      <w:r>
        <w:t>PG&amp;E responds to Cal Advocates’ argument</w:t>
      </w:r>
      <w:r w:rsidRPr="0000741B" w:rsidR="0000741B">
        <w:t xml:space="preserve"> </w:t>
      </w:r>
      <w:r w:rsidR="0086619E">
        <w:t xml:space="preserve">by </w:t>
      </w:r>
      <w:r w:rsidR="00B762BA">
        <w:t>charactering</w:t>
      </w:r>
      <w:r w:rsidR="0086619E">
        <w:t xml:space="preserve"> it as “speculative” and </w:t>
      </w:r>
      <w:proofErr w:type="gramStart"/>
      <w:r w:rsidR="0086619E">
        <w:t>stating</w:t>
      </w:r>
      <w:proofErr w:type="gramEnd"/>
      <w:r w:rsidR="0086619E">
        <w:t xml:space="preserve"> “</w:t>
      </w:r>
      <w:r w:rsidRPr="0086619E" w:rsidR="0086619E">
        <w:t xml:space="preserve">whether a program continues beyond 2030 has no bearing on compliance with shareholder prohibitions in </w:t>
      </w:r>
      <w:r w:rsidR="0009635B">
        <w:t xml:space="preserve">[Pub. Util. Code </w:t>
      </w:r>
      <w:r w:rsidRPr="0086619E" w:rsidR="0086619E">
        <w:t>Section</w:t>
      </w:r>
      <w:r w:rsidR="002D4260">
        <w:t> </w:t>
      </w:r>
      <w:r w:rsidRPr="0086619E" w:rsidR="0086619E">
        <w:t>712.8(s)(2)</w:t>
      </w:r>
      <w:r w:rsidR="0009635B">
        <w:t>]</w:t>
      </w:r>
      <w:r w:rsidRPr="0086619E" w:rsidR="0086619E">
        <w:t>.</w:t>
      </w:r>
      <w:r w:rsidR="0086619E">
        <w:t>”</w:t>
      </w:r>
      <w:r w:rsidR="0086619E">
        <w:rPr>
          <w:rStyle w:val="FootnoteReference"/>
        </w:rPr>
        <w:footnoteReference w:id="177"/>
      </w:r>
      <w:r w:rsidR="0086619E">
        <w:t xml:space="preserve"> PG&amp;E continues: “</w:t>
      </w:r>
      <w:r w:rsidRPr="0086619E" w:rsidR="0086619E">
        <w:t xml:space="preserve">No requirement exists from </w:t>
      </w:r>
      <w:r w:rsidR="0009635B">
        <w:t xml:space="preserve">[Pub. Util. Code </w:t>
      </w:r>
      <w:r w:rsidRPr="0086619E" w:rsidR="0086619E">
        <w:t>Section 712.8(s)(2)</w:t>
      </w:r>
      <w:r w:rsidR="0009635B">
        <w:t>]</w:t>
      </w:r>
      <w:r w:rsidRPr="0086619E" w:rsidR="0086619E">
        <w:t xml:space="preserve">—or any other part of the statute—that VPF-funded programs must conclude by 2030 to qualify for the 2026 VPF spend plan. Whether or not projects seek funding beyond the end of extended operations bears no relation to </w:t>
      </w:r>
      <w:r w:rsidR="000103F1">
        <w:t xml:space="preserve">[Pub. Util. Code </w:t>
      </w:r>
      <w:r w:rsidRPr="0086619E" w:rsidR="0086619E">
        <w:t>Section 712.8(s)(2)</w:t>
      </w:r>
      <w:r w:rsidR="000103F1">
        <w:t>]</w:t>
      </w:r>
      <w:r w:rsidRPr="0086619E" w:rsidR="0086619E">
        <w:t>, which prohibits PG&amp;E from earning a rate of return or increasing earnings per share, along with a requirement of no double recovery in rates, as a result of the VPFs.</w:t>
      </w:r>
      <w:r w:rsidR="0086619E">
        <w:t>”</w:t>
      </w:r>
      <w:r w:rsidR="0086619E">
        <w:rPr>
          <w:rStyle w:val="FootnoteReference"/>
        </w:rPr>
        <w:footnoteReference w:id="178"/>
      </w:r>
    </w:p>
    <w:p w:rsidR="00B3757F" w:rsidP="00856991" w:rsidRDefault="00B3757F" w14:paraId="34773C1A" w14:textId="3C244B9C">
      <w:pPr>
        <w:pStyle w:val="Standard"/>
      </w:pPr>
      <w:r w:rsidRPr="00B3757F">
        <w:t>TURN argues that PG&amp;E</w:t>
      </w:r>
      <w:r w:rsidR="00716F97">
        <w:t>’s</w:t>
      </w:r>
      <w:r w:rsidRPr="00B3757F">
        <w:t xml:space="preserve"> proposal will allow leftover funds from underspent </w:t>
      </w:r>
      <w:bookmarkStart w:name="_Hlk211517157" w:id="87"/>
      <w:r w:rsidR="0000741B">
        <w:t xml:space="preserve">MWC </w:t>
      </w:r>
      <w:bookmarkEnd w:id="87"/>
      <w:r w:rsidRPr="00B3757F">
        <w:t xml:space="preserve">to pay for other costs and thus benefit shareholders rather than pay for overspend in other MWCs in the same </w:t>
      </w:r>
      <w:r w:rsidR="00716F97">
        <w:t xml:space="preserve">Safety and Risk </w:t>
      </w:r>
      <w:r w:rsidRPr="00B3757F">
        <w:t xml:space="preserve">Maintenance </w:t>
      </w:r>
      <w:r w:rsidR="00716F97">
        <w:t>Program</w:t>
      </w:r>
      <w:r w:rsidRPr="00B3757F">
        <w:t>.</w:t>
      </w:r>
      <w:r w:rsidR="00716F97">
        <w:rPr>
          <w:rStyle w:val="FootnoteReference"/>
        </w:rPr>
        <w:footnoteReference w:id="179"/>
      </w:r>
      <w:r w:rsidRPr="00B3757F">
        <w:t xml:space="preserve"> </w:t>
      </w:r>
      <w:r w:rsidR="0000741B">
        <w:t>TURN a</w:t>
      </w:r>
      <w:r w:rsidRPr="00B3757F">
        <w:t xml:space="preserve">rgues </w:t>
      </w:r>
      <w:r w:rsidR="0000741B">
        <w:t xml:space="preserve">that </w:t>
      </w:r>
      <w:r w:rsidRPr="00B3757F">
        <w:t xml:space="preserve">VPF funds should only go to </w:t>
      </w:r>
      <w:r w:rsidR="001C5C26">
        <w:t xml:space="preserve">the </w:t>
      </w:r>
      <w:r w:rsidR="00716F97">
        <w:t xml:space="preserve">Safety and Risk Maintenance Program only if PG&amp;E “can demonstrate that all identified MWCs </w:t>
      </w:r>
      <w:r w:rsidR="00716F97">
        <w:lastRenderedPageBreak/>
        <w:t>are collectively overspent.</w:t>
      </w:r>
      <w:r w:rsidRPr="00716F97" w:rsidR="00716F97">
        <w:rPr>
          <w:rFonts w:ascii="TimesNewRomanPSMT" w:hAnsi="TimesNewRomanPSMT" w:cs="TimesNewRomanPSMT"/>
          <w:sz w:val="24"/>
          <w:szCs w:val="24"/>
        </w:rPr>
        <w:t xml:space="preserve"> </w:t>
      </w:r>
      <w:r w:rsidRPr="00716F97" w:rsidR="00716F97">
        <w:t>Allowing</w:t>
      </w:r>
      <w:r w:rsidR="00716F97">
        <w:t xml:space="preserve"> </w:t>
      </w:r>
      <w:r w:rsidRPr="00716F97" w:rsidR="00716F97">
        <w:t>selective application of VPFs to individual overspent MWCs, while ignoring</w:t>
      </w:r>
      <w:r w:rsidR="00716F97">
        <w:t xml:space="preserve"> </w:t>
      </w:r>
      <w:r w:rsidRPr="00716F97" w:rsidR="00716F97">
        <w:t>underspending in other MWCs, would result in an impermissible transfer of VPFs to shareholders.</w:t>
      </w:r>
      <w:r w:rsidR="00716F97">
        <w:t>”</w:t>
      </w:r>
      <w:r w:rsidR="00716F97">
        <w:rPr>
          <w:rStyle w:val="FootnoteReference"/>
        </w:rPr>
        <w:footnoteReference w:id="180"/>
      </w:r>
      <w:r w:rsidR="00716F97">
        <w:t xml:space="preserve"> Similarly, TURN cites similar past overspending issues in the hyd</w:t>
      </w:r>
      <w:r w:rsidR="00345191">
        <w:t>roelectric</w:t>
      </w:r>
      <w:r w:rsidR="00716F97">
        <w:t xml:space="preserve"> generation MWCs in the Power Supply program and argues that “PG&amp;E </w:t>
      </w:r>
      <w:r w:rsidRPr="00716F97" w:rsidR="00716F97">
        <w:t>should only be permitted to apply VPFs to hydro</w:t>
      </w:r>
      <w:r w:rsidR="00716F97">
        <w:t xml:space="preserve"> </w:t>
      </w:r>
      <w:r w:rsidRPr="00716F97" w:rsidR="00716F97">
        <w:t xml:space="preserve">generation to the extent that total spending within </w:t>
      </w:r>
      <w:r w:rsidR="001C5C26">
        <w:t xml:space="preserve">the </w:t>
      </w:r>
      <w:r w:rsidRPr="00716F97" w:rsidR="00716F97">
        <w:t xml:space="preserve">Power Supply </w:t>
      </w:r>
      <w:r w:rsidR="001C5C26">
        <w:t xml:space="preserve">category </w:t>
      </w:r>
      <w:r w:rsidRPr="00716F97" w:rsidR="00716F97">
        <w:t>exceeds total authorized</w:t>
      </w:r>
      <w:r w:rsidR="00716F97">
        <w:t xml:space="preserve"> </w:t>
      </w:r>
      <w:r w:rsidRPr="00716F97" w:rsidR="00716F97">
        <w:t>revenues in that year.</w:t>
      </w:r>
      <w:r w:rsidR="00716F97">
        <w:t>”</w:t>
      </w:r>
      <w:r w:rsidR="00716F97">
        <w:rPr>
          <w:rStyle w:val="FootnoteReference"/>
        </w:rPr>
        <w:footnoteReference w:id="181"/>
      </w:r>
      <w:r w:rsidR="00716F97">
        <w:t xml:space="preserve"> </w:t>
      </w:r>
    </w:p>
    <w:p w:rsidRPr="00B3757F" w:rsidR="005751F8" w:rsidP="005751F8" w:rsidRDefault="005751F8" w14:paraId="1F789CA9" w14:textId="76884968">
      <w:pPr>
        <w:pStyle w:val="Standard"/>
      </w:pPr>
      <w:r>
        <w:t xml:space="preserve">PG&amp;E responds to TURN’s argument in its Opening Brief by stating: </w:t>
      </w:r>
      <w:r w:rsidRPr="00B3757F">
        <w:t>“While PG&amp;E does not agree with TURN’s position, PG&amp;E affirms that it will only apply VPF revenues to the Safety &amp; Risk programs where both the 2026 MWC category and MAT code level of the proposed program are above authorized imputed amounts, with the exclusion of balancing accounts involving the return of unused funds to customers.”</w:t>
      </w:r>
      <w:r>
        <w:rPr>
          <w:rStyle w:val="FootnoteReference"/>
        </w:rPr>
        <w:footnoteReference w:id="182"/>
      </w:r>
      <w:r w:rsidRPr="00B3757F">
        <w:t xml:space="preserve"> </w:t>
      </w:r>
    </w:p>
    <w:p w:rsidR="00716F97" w:rsidP="00080A96" w:rsidRDefault="00716F97" w14:paraId="08EF933B" w14:textId="1011114A">
      <w:pPr>
        <w:pStyle w:val="Standard"/>
        <w:keepNext/>
      </w:pPr>
      <w:r>
        <w:t>Finally, TURN argues that PG&amp;E’s Supplemental Testimony responding to D.25-06-002 is inadequate.</w:t>
      </w:r>
      <w:r>
        <w:rPr>
          <w:rStyle w:val="FootnoteReference"/>
        </w:rPr>
        <w:footnoteReference w:id="183"/>
      </w:r>
      <w:r>
        <w:t xml:space="preserve"> D.25-06-002 stated:</w:t>
      </w:r>
    </w:p>
    <w:p w:rsidR="00716F97" w:rsidP="00080A96" w:rsidRDefault="00EB3A5A" w14:paraId="463DF154" w14:textId="396B1BAC">
      <w:pPr>
        <w:pStyle w:val="BlockQuote"/>
      </w:pPr>
      <w:r>
        <w:t>[</w:t>
      </w:r>
      <w:r w:rsidR="00716F97">
        <w:t>I]</w:t>
      </w:r>
      <w:r w:rsidRPr="00716F97" w:rsidR="00716F97">
        <w:t>n addition to the requirements set out in statute</w:t>
      </w:r>
      <w:r w:rsidR="00716F97">
        <w:t xml:space="preserve"> </w:t>
      </w:r>
      <w:r w:rsidRPr="00716F97" w:rsidR="00716F97">
        <w:t>and prior Commission decisions, where PG&amp;E takes advantage of opportunities</w:t>
      </w:r>
      <w:r w:rsidR="00716F97">
        <w:t xml:space="preserve"> </w:t>
      </w:r>
      <w:r w:rsidRPr="00716F97" w:rsidR="00716F97">
        <w:t>to align with the guiding principle of reducing upward pressure on rates, it must</w:t>
      </w:r>
      <w:r w:rsidR="00716F97">
        <w:t xml:space="preserve"> </w:t>
      </w:r>
      <w:r w:rsidRPr="00716F97" w:rsidR="00716F97">
        <w:t>explain this alignment in its spending plan submittals, starting with the 2026 VPF</w:t>
      </w:r>
      <w:r w:rsidR="00716F97">
        <w:t xml:space="preserve"> </w:t>
      </w:r>
      <w:r w:rsidRPr="00716F97" w:rsidR="00716F97">
        <w:t>spending plan. Additionally, to the extent there are aspects of the plan that do not prioritize alignment with the guiding principle of reducing upward pressure on</w:t>
      </w:r>
      <w:r w:rsidR="00716F97">
        <w:t xml:space="preserve"> </w:t>
      </w:r>
      <w:r w:rsidRPr="00716F97" w:rsidR="00716F97">
        <w:t>rates, PG&amp;E must provide an explanation</w:t>
      </w:r>
      <w:r w:rsidR="00716F97">
        <w:t>.</w:t>
      </w:r>
      <w:r w:rsidR="00716F97">
        <w:rPr>
          <w:rStyle w:val="FootnoteReference"/>
        </w:rPr>
        <w:footnoteReference w:id="184"/>
      </w:r>
    </w:p>
    <w:p w:rsidR="00716F97" w:rsidP="00080A96" w:rsidRDefault="00716F97" w14:paraId="328DF93A" w14:textId="282DAE74">
      <w:pPr>
        <w:pStyle w:val="Standard"/>
        <w:spacing w:before="180"/>
      </w:pPr>
      <w:r>
        <w:lastRenderedPageBreak/>
        <w:t>TURN argues that “[w]</w:t>
      </w:r>
      <w:proofErr w:type="spellStart"/>
      <w:r w:rsidRPr="00716F97">
        <w:t>hile</w:t>
      </w:r>
      <w:proofErr w:type="spellEnd"/>
      <w:r w:rsidRPr="00716F97">
        <w:t xml:space="preserve"> PG&amp;E does provide some text asserting that its VPF programs are aligned with the</w:t>
      </w:r>
      <w:r>
        <w:t xml:space="preserve"> </w:t>
      </w:r>
      <w:r w:rsidRPr="00716F97">
        <w:t>guiding principle of affordability, there is no factual support for these assertions</w:t>
      </w:r>
      <w:r>
        <w:t>” and notes that “PG&amp;E failed to provide any sort of cost/benefit analysis of the VPF programs to demonstrate that proposed spending would benefit ratepayers.”</w:t>
      </w:r>
      <w:r>
        <w:rPr>
          <w:rStyle w:val="FootnoteReference"/>
        </w:rPr>
        <w:footnoteReference w:id="185"/>
      </w:r>
      <w:r>
        <w:t xml:space="preserve"> TURN argues that “[b]</w:t>
      </w:r>
      <w:proofErr w:type="spellStart"/>
      <w:r w:rsidRPr="00716F97">
        <w:t>ecause</w:t>
      </w:r>
      <w:proofErr w:type="spellEnd"/>
      <w:r w:rsidRPr="00716F97">
        <w:t xml:space="preserve"> of PG&amp;E’s failure to meet its burden of proof required in D.25-06-002, the Commission should reject PG&amp;E’s VPF plan.</w:t>
      </w:r>
      <w:r>
        <w:t>”</w:t>
      </w:r>
      <w:r>
        <w:rPr>
          <w:rStyle w:val="FootnoteReference"/>
        </w:rPr>
        <w:footnoteReference w:id="186"/>
      </w:r>
    </w:p>
    <w:p w:rsidR="00DB2FEB" w:rsidP="00856991" w:rsidRDefault="006E66EE" w14:paraId="15191A3C" w14:textId="7EB624C4">
      <w:pPr>
        <w:pStyle w:val="Standard"/>
      </w:pPr>
      <w:r>
        <w:t>PG&amp;E responds that “[n]</w:t>
      </w:r>
      <w:r w:rsidRPr="006E66EE">
        <w:t xml:space="preserve">either the statute </w:t>
      </w:r>
      <w:proofErr w:type="gramStart"/>
      <w:r w:rsidRPr="006E66EE">
        <w:t>nor</w:t>
      </w:r>
      <w:proofErr w:type="gramEnd"/>
      <w:r w:rsidRPr="006E66EE">
        <w:t xml:space="preserve"> D.25-06-002 mandates a specific quantitative methodology for demonstrating affordability. PG&amp;E provided factual support that each program in the 2026 VPF spend plan promotes affordability. Again, the 2026 VPF spend plan already aligns with the  principle of affordability because affordability is a core priority at PG&amp;E.</w:t>
      </w:r>
      <w:r>
        <w:t>”</w:t>
      </w:r>
      <w:r>
        <w:rPr>
          <w:rStyle w:val="FootnoteReference"/>
        </w:rPr>
        <w:footnoteReference w:id="187"/>
      </w:r>
    </w:p>
    <w:p w:rsidR="002A10BC" w:rsidP="002A10BC" w:rsidRDefault="002A10BC" w14:paraId="10C22606" w14:textId="212CD8B9">
      <w:pPr>
        <w:pStyle w:val="Standard"/>
      </w:pPr>
      <w:r>
        <w:t xml:space="preserve">Finally, TURN highlights in its Reply Brief that </w:t>
      </w:r>
      <w:r w:rsidRPr="005D16EF">
        <w:t>D.23-12</w:t>
      </w:r>
      <w:r w:rsidRPr="005D16EF" w:rsidR="00CF43B3">
        <w:t>-0</w:t>
      </w:r>
      <w:r w:rsidRPr="005D16EF" w:rsidR="007950B2">
        <w:t>36</w:t>
      </w:r>
      <w:r w:rsidRPr="005D16EF">
        <w:t xml:space="preserve"> found</w:t>
      </w:r>
      <w:r>
        <w:t xml:space="preserve"> regarding VPF spending that </w:t>
      </w:r>
      <w:r w:rsidRPr="002A10BC">
        <w:t>“the Commission may render a decision that replaces or modifies the PG&amp;E</w:t>
      </w:r>
      <w:r>
        <w:t xml:space="preserve"> </w:t>
      </w:r>
      <w:r w:rsidRPr="002A10BC">
        <w:t>proposal utilizing proposals made by other parties to the proceeding</w:t>
      </w:r>
      <w:r>
        <w:t>.”</w:t>
      </w:r>
      <w:r>
        <w:rPr>
          <w:rStyle w:val="FootnoteReference"/>
        </w:rPr>
        <w:footnoteReference w:id="188"/>
      </w:r>
      <w:r>
        <w:t xml:space="preserve"> In its Opening Brief, CUE highlights that the Scoping Memo for A.25-03-015 excludes from the proceeding scope “[w]</w:t>
      </w:r>
      <w:proofErr w:type="spellStart"/>
      <w:r>
        <w:t>hether</w:t>
      </w:r>
      <w:proofErr w:type="spellEnd"/>
      <w:r>
        <w:t xml:space="preserve"> the Commission should review VPF spending plans beyond evaluating whether they comply with </w:t>
      </w:r>
      <w:r w:rsidRPr="002A10BC">
        <w:t>§</w:t>
      </w:r>
      <w:r>
        <w:t xml:space="preserve"> 712.8(s) requirements and procedural requirements from </w:t>
      </w:r>
      <w:r>
        <w:lastRenderedPageBreak/>
        <w:t>D.23-12-036.”</w:t>
      </w:r>
      <w:r>
        <w:rPr>
          <w:rStyle w:val="FootnoteReference"/>
        </w:rPr>
        <w:footnoteReference w:id="189"/>
      </w:r>
      <w:r>
        <w:t xml:space="preserve"> CUE concludes: “Thus, the Commission cannot direct PG&amp;E to adopt any VPF spending proposals offered by intervenors.”</w:t>
      </w:r>
      <w:r>
        <w:rPr>
          <w:rStyle w:val="FootnoteReference"/>
        </w:rPr>
        <w:footnoteReference w:id="190"/>
      </w:r>
    </w:p>
    <w:p w:rsidR="00716F97" w:rsidP="00EB3A5A" w:rsidRDefault="00856991" w14:paraId="47107CD2" w14:textId="2E9B762D">
      <w:pPr>
        <w:pStyle w:val="Standard"/>
      </w:pPr>
      <w:r>
        <w:t xml:space="preserve">A4NR argues that </w:t>
      </w:r>
      <w:r w:rsidR="00EB3A5A">
        <w:t>the VPF plan should not be approved because Pub</w:t>
      </w:r>
      <w:r w:rsidR="00B3682E">
        <w:t>.</w:t>
      </w:r>
      <w:r w:rsidR="00EB3A5A">
        <w:t xml:space="preserve"> Util</w:t>
      </w:r>
      <w:r w:rsidR="00B3682E">
        <w:t>.</w:t>
      </w:r>
      <w:r w:rsidR="00EB3A5A">
        <w:t xml:space="preserve"> Code Section 712.8(s)(1) states that “[s]</w:t>
      </w:r>
      <w:proofErr w:type="spellStart"/>
      <w:r w:rsidRPr="00EB3A5A" w:rsidR="00EB3A5A">
        <w:t>uch</w:t>
      </w:r>
      <w:proofErr w:type="spellEnd"/>
      <w:r w:rsidRPr="00EB3A5A" w:rsidR="00EB3A5A">
        <w:t xml:space="preserve"> compensation, to the extent it is not needed for Diablo Canyon, shall be spent to accelerate, or increase spending on, the following critical public purpose priorities</w:t>
      </w:r>
      <w:r w:rsidR="00EB3A5A">
        <w:t>.”</w:t>
      </w:r>
      <w:r w:rsidR="00EB3A5A">
        <w:rPr>
          <w:rStyle w:val="FootnoteReference"/>
        </w:rPr>
        <w:footnoteReference w:id="191"/>
      </w:r>
      <w:r w:rsidR="00EB3A5A">
        <w:t xml:space="preserve"> A4NR argues that “[</w:t>
      </w:r>
      <w:proofErr w:type="spellStart"/>
      <w:r w:rsidR="00EB3A5A">
        <w:t>i</w:t>
      </w:r>
      <w:proofErr w:type="spellEnd"/>
      <w:r w:rsidR="00EB3A5A">
        <w:t>]</w:t>
      </w:r>
      <w:r w:rsidRPr="00EB3A5A" w:rsidR="00EB3A5A">
        <w:t xml:space="preserve">f the VPF revenues are considered </w:t>
      </w:r>
      <w:r w:rsidR="00EB3A5A">
        <w:t>‘</w:t>
      </w:r>
      <w:r w:rsidRPr="00EB3A5A" w:rsidR="00EB3A5A">
        <w:t>not needed for Diablo Canyon</w:t>
      </w:r>
      <w:r w:rsidR="00EB3A5A">
        <w:t>’</w:t>
      </w:r>
      <w:r w:rsidRPr="00EB3A5A" w:rsidR="00EB3A5A">
        <w:t xml:space="preserve"> despite the massive operating deficit PG&amp;E forecasts for 2026, could there ever be circumstances when the funds are considered needed? Ignoring this crucible, PG&amp;E’s Application assembles an evolving mix of nascent spending ideas too recently conceived to receive General Rate Case scrutiny</w:t>
      </w:r>
      <w:r w:rsidR="00EB3A5A">
        <w:t>.”</w:t>
      </w:r>
      <w:r w:rsidR="00EB3A5A">
        <w:rPr>
          <w:rStyle w:val="FootnoteReference"/>
        </w:rPr>
        <w:footnoteReference w:id="192"/>
      </w:r>
      <w:r w:rsidR="00EB3A5A">
        <w:t xml:space="preserve"> </w:t>
      </w:r>
    </w:p>
    <w:p w:rsidR="00EB3A5A" w:rsidP="00EB3A5A" w:rsidRDefault="00EB3A5A" w14:paraId="2134021D" w14:textId="577566ED">
      <w:pPr>
        <w:pStyle w:val="Standard"/>
      </w:pPr>
      <w:r>
        <w:t>Similarly, EPUC argues that PG&amp;E should not be allowed to seek $263.4</w:t>
      </w:r>
      <w:r w:rsidR="000B222B">
        <w:t xml:space="preserve"> million </w:t>
      </w:r>
      <w:r>
        <w:t xml:space="preserve">in VPF funds in light of the </w:t>
      </w:r>
      <w:r w:rsidR="00B3682E">
        <w:t xml:space="preserve">then-projected </w:t>
      </w:r>
      <w:r>
        <w:t>$410</w:t>
      </w:r>
      <w:r w:rsidR="000B222B">
        <w:t xml:space="preserve"> million </w:t>
      </w:r>
      <w:r>
        <w:t>shortfall of CAISO market revenue.</w:t>
      </w:r>
      <w:r>
        <w:rPr>
          <w:rStyle w:val="FootnoteReference"/>
        </w:rPr>
        <w:footnoteReference w:id="193"/>
      </w:r>
      <w:r>
        <w:t xml:space="preserve"> </w:t>
      </w:r>
      <w:r w:rsidR="00A772A4">
        <w:t>EPUC also argues that the 115</w:t>
      </w:r>
      <w:r w:rsidR="000103F1">
        <w:t xml:space="preserve"> percent</w:t>
      </w:r>
      <w:r w:rsidR="00A772A4">
        <w:t xml:space="preserve"> guideline for allowing VPF spending on public purpose programs set in D.23-12-036 should not apply to this Application “where the Commission is to determine the </w:t>
      </w:r>
      <w:r w:rsidRPr="00A772A4" w:rsidR="00A772A4">
        <w:t>reasonableness of forecasted costs, and no DCPP Extended Operations Cost Forecast application has yet been approved for 2026. PG&amp;E cannot use this barrier to defend its forecast proposal.</w:t>
      </w:r>
      <w:r w:rsidR="00A772A4">
        <w:t>”</w:t>
      </w:r>
      <w:r w:rsidR="00A772A4">
        <w:rPr>
          <w:rStyle w:val="FootnoteReference"/>
        </w:rPr>
        <w:footnoteReference w:id="194"/>
      </w:r>
    </w:p>
    <w:p w:rsidR="0086619E" w:rsidP="00EB3A5A" w:rsidRDefault="0086619E" w14:paraId="3FD21F89" w14:textId="4DFA8855">
      <w:pPr>
        <w:pStyle w:val="Standard"/>
      </w:pPr>
      <w:r>
        <w:lastRenderedPageBreak/>
        <w:t>PG&amp;E responds to this category of criticism by stating the issue has already been resolved by D.23-12-036</w:t>
      </w:r>
      <w:r w:rsidR="00B3682E">
        <w:t xml:space="preserve">’s requirement that </w:t>
      </w:r>
      <w:r>
        <w:t>VPF funds</w:t>
      </w:r>
      <w:r w:rsidR="0068038A">
        <w:t xml:space="preserve"> support</w:t>
      </w:r>
      <w:r>
        <w:t xml:space="preserve"> operating expenses </w:t>
      </w:r>
      <w:r w:rsidR="00B3682E">
        <w:t xml:space="preserve">only when such expenses </w:t>
      </w:r>
      <w:r>
        <w:t>exceed the 115</w:t>
      </w:r>
      <w:r w:rsidR="000103F1">
        <w:t xml:space="preserve"> percent</w:t>
      </w:r>
      <w:r>
        <w:t xml:space="preserve"> overspending threshold.</w:t>
      </w:r>
      <w:r>
        <w:rPr>
          <w:rStyle w:val="FootnoteReference"/>
        </w:rPr>
        <w:footnoteReference w:id="195"/>
      </w:r>
    </w:p>
    <w:p w:rsidR="00A772A4" w:rsidP="00EB3A5A" w:rsidRDefault="0086619E" w14:paraId="3F39EC38" w14:textId="50ABA4A3">
      <w:pPr>
        <w:pStyle w:val="Standard"/>
      </w:pPr>
      <w:r>
        <w:t>A4NR argues for allocating the VPF benefits to SCE and SDG&amp;E service customers in addition to PG&amp;E customers by directing $72.6</w:t>
      </w:r>
      <w:r w:rsidR="000B222B">
        <w:t xml:space="preserve"> million </w:t>
      </w:r>
      <w:r>
        <w:t>in VPFs collected from SCE and SDG&amp;E service territories to defray DCPP’s 2026 operating deficit.</w:t>
      </w:r>
      <w:r>
        <w:rPr>
          <w:rStyle w:val="FootnoteReference"/>
        </w:rPr>
        <w:footnoteReference w:id="196"/>
      </w:r>
      <w:r>
        <w:t xml:space="preserve"> CARE cites Public Utilities Code Section 453(a) and 453(c) “prohibit</w:t>
      </w:r>
      <w:r w:rsidR="001C5C26">
        <w:t>[</w:t>
      </w:r>
      <w:proofErr w:type="spellStart"/>
      <w:r>
        <w:t>ing</w:t>
      </w:r>
      <w:proofErr w:type="spellEnd"/>
      <w:r w:rsidR="001C5C26">
        <w:t>]</w:t>
      </w:r>
      <w:r>
        <w:t xml:space="preserve"> a </w:t>
      </w:r>
      <w:r w:rsidRPr="0086619E">
        <w:t>public u</w:t>
      </w:r>
      <w:r>
        <w:rPr>
          <w:rFonts w:eastAsia="Book Antiqua" w:cs="Book Antiqua"/>
        </w:rPr>
        <w:t>ti</w:t>
      </w:r>
      <w:r w:rsidRPr="0086619E">
        <w:t>lity from charging rates that subject any corpora</w:t>
      </w:r>
      <w:r>
        <w:rPr>
          <w:rFonts w:eastAsia="Book Antiqua" w:cs="Book Antiqua"/>
        </w:rPr>
        <w:t>ti</w:t>
      </w:r>
      <w:r w:rsidRPr="0086619E">
        <w:t>on or person to any prejudice or disadvantage.</w:t>
      </w:r>
      <w:r>
        <w:t>”</w:t>
      </w:r>
      <w:r>
        <w:rPr>
          <w:rStyle w:val="FootnoteReference"/>
        </w:rPr>
        <w:footnoteReference w:id="197"/>
      </w:r>
      <w:r>
        <w:t xml:space="preserve"> CARE makes a similar argument stating: “</w:t>
      </w:r>
      <w:r w:rsidRPr="0086619E">
        <w:t>As a matter of equity PG&amp;E’s proposed spending plan provides no benefit to SDG&amp;E and SCE customers unless the funds are used to support DCPP which was the intention of SB 846. Utilizing the VPF funds to lower the revenue requirement is equitable to all the utilities and the ratepayers.</w:t>
      </w:r>
      <w:r>
        <w:t>”</w:t>
      </w:r>
      <w:r>
        <w:rPr>
          <w:rStyle w:val="FootnoteReference"/>
        </w:rPr>
        <w:footnoteReference w:id="198"/>
      </w:r>
    </w:p>
    <w:p w:rsidR="0086619E" w:rsidP="0086619E" w:rsidRDefault="0086619E" w14:paraId="24D7DD9F" w14:textId="1F4D16D9">
      <w:pPr>
        <w:pStyle w:val="Standard"/>
      </w:pPr>
      <w:r>
        <w:t>PG&amp;E responds by once again stating the issue has already been resolved by D.23-12-036’s guideline that only requires VPF funds to go to operating expenses that exceed the 115</w:t>
      </w:r>
      <w:r w:rsidR="000103F1">
        <w:t xml:space="preserve"> percent</w:t>
      </w:r>
      <w:r>
        <w:t xml:space="preserve"> overspending threshold.</w:t>
      </w:r>
      <w:r>
        <w:rPr>
          <w:rStyle w:val="FootnoteReference"/>
        </w:rPr>
        <w:footnoteReference w:id="199"/>
      </w:r>
    </w:p>
    <w:p w:rsidR="00D920F3" w:rsidP="00EB3A5A" w:rsidRDefault="00D920F3" w14:paraId="664D8564" w14:textId="77777777">
      <w:pPr>
        <w:pStyle w:val="Standard"/>
      </w:pPr>
      <w:r>
        <w:t>With respect to specific VPF spending programs, CARE argues that:</w:t>
      </w:r>
    </w:p>
    <w:p w:rsidR="00C2645F" w:rsidP="00080A96" w:rsidRDefault="00D920F3" w14:paraId="11DBC562" w14:textId="50CAAADA">
      <w:pPr>
        <w:pStyle w:val="ListBullet"/>
        <w:tabs>
          <w:tab w:val="clear" w:pos="360"/>
        </w:tabs>
        <w:ind w:left="1080"/>
      </w:pPr>
      <w:r>
        <w:t>PG&amp;E has not provided enough detail about the PG</w:t>
      </w:r>
      <w:r w:rsidR="00F258EB">
        <w:t> </w:t>
      </w:r>
      <w:r>
        <w:t xml:space="preserve">Asset Management, Inspection, and Maintenance Activities program to evaluate the dollar amounts for each related </w:t>
      </w:r>
      <w:r>
        <w:lastRenderedPageBreak/>
        <w:t>activity and how PG&amp;E’s ISO 5501 certificati</w:t>
      </w:r>
      <w:r w:rsidR="00B3682E">
        <w:t>o</w:t>
      </w:r>
      <w:r>
        <w:t>n benefits customers</w:t>
      </w:r>
      <w:r w:rsidR="00DB2FEB">
        <w:t xml:space="preserve"> or help</w:t>
      </w:r>
      <w:r w:rsidR="00B3682E">
        <w:t>s</w:t>
      </w:r>
      <w:r w:rsidR="00DB2FEB">
        <w:t xml:space="preserve"> extend DCPP operations</w:t>
      </w:r>
      <w:r>
        <w:t>.</w:t>
      </w:r>
    </w:p>
    <w:p w:rsidR="00D920F3" w:rsidP="00080A96" w:rsidRDefault="00D920F3" w14:paraId="46113F0C" w14:textId="451845E7">
      <w:pPr>
        <w:pStyle w:val="ListBullet"/>
        <w:tabs>
          <w:tab w:val="clear" w:pos="360"/>
        </w:tabs>
        <w:ind w:left="1080"/>
      </w:pPr>
      <w:r>
        <w:t>Spending on Zero Carbon Energy Activities such as carbon capture does not actually produce zero carbon emissions and will enrich shareholders since they are being spent on utility-owned generation.</w:t>
      </w:r>
    </w:p>
    <w:p w:rsidR="00D920F3" w:rsidP="00080A96" w:rsidRDefault="00D920F3" w14:paraId="2E225FDD" w14:textId="168F053F">
      <w:pPr>
        <w:pStyle w:val="ListBullet"/>
        <w:tabs>
          <w:tab w:val="clear" w:pos="360"/>
        </w:tabs>
        <w:ind w:left="1080"/>
      </w:pPr>
      <w:r>
        <w:t>Renewable Energy Activities spending will add to PG&amp;E’s rate base and may already be covered by a recent $15</w:t>
      </w:r>
      <w:r w:rsidR="00080A96">
        <w:t> </w:t>
      </w:r>
      <w:r>
        <w:t>billion loan guarantee from the DOE.</w:t>
      </w:r>
    </w:p>
    <w:p w:rsidR="00D920F3" w:rsidP="00080A96" w:rsidRDefault="00D920F3" w14:paraId="3E445658" w14:textId="397222E6">
      <w:pPr>
        <w:pStyle w:val="ListBullet"/>
        <w:tabs>
          <w:tab w:val="clear" w:pos="360"/>
        </w:tabs>
        <w:ind w:left="1080"/>
      </w:pPr>
      <w:r>
        <w:t xml:space="preserve">Propel Program upgrades spending needs further definition on how much </w:t>
      </w:r>
      <w:r w:rsidR="001C5C26">
        <w:t xml:space="preserve">PG&amp;E </w:t>
      </w:r>
      <w:r>
        <w:t xml:space="preserve">will be spending on individual programs and may already be </w:t>
      </w:r>
      <w:r w:rsidR="00B3682E">
        <w:t>c</w:t>
      </w:r>
      <w:r>
        <w:t>overed by the DOE’s $15 billion loan guarantee.</w:t>
      </w:r>
    </w:p>
    <w:p w:rsidR="00D920F3" w:rsidP="00080A96" w:rsidRDefault="00D920F3" w14:paraId="44A47B8F" w14:textId="2AFCD97A">
      <w:pPr>
        <w:pStyle w:val="ListBullet"/>
        <w:tabs>
          <w:tab w:val="clear" w:pos="360"/>
        </w:tabs>
        <w:ind w:left="1080"/>
      </w:pPr>
      <w:r>
        <w:t>PG&amp;E should not be allowed discretion on how to spend its contingency VPF funds since the funds should lower DCPP’s revenue requirement.</w:t>
      </w:r>
      <w:r>
        <w:rPr>
          <w:rStyle w:val="FootnoteReference"/>
        </w:rPr>
        <w:footnoteReference w:id="200"/>
      </w:r>
    </w:p>
    <w:p w:rsidRPr="00B3757F" w:rsidR="00D920F3" w:rsidP="00D920F3" w:rsidRDefault="00D920F3" w14:paraId="15703D1B" w14:textId="48304EC3">
      <w:pPr>
        <w:pStyle w:val="Standard"/>
      </w:pPr>
      <w:r>
        <w:t>PG&amp;E responds that “[n]one of the activities in PG&amp;E’s 2026 VPF spend plan are being subsidized by the referenced DOE loan.” PG&amp;E adds that the DOE loan “</w:t>
      </w:r>
      <w:r w:rsidRPr="00D920F3">
        <w:t>is a low-interest rate replacement source of long-term capital that PG&amp;E would otherwise seek from debt markets</w:t>
      </w:r>
      <w:r>
        <w:t>” and “</w:t>
      </w:r>
      <w:r w:rsidRPr="00D920F3">
        <w:t>does not expand PG&amp;E’s rate base and will not fund any work that is not otherwise approved by the appropriate</w:t>
      </w:r>
      <w:r>
        <w:t xml:space="preserve"> </w:t>
      </w:r>
      <w:r w:rsidRPr="00D920F3">
        <w:t>regulator (this Commission, the Federal Energy Regulatory Commission, etc.)</w:t>
      </w:r>
      <w:r>
        <w:t>.”</w:t>
      </w:r>
      <w:r>
        <w:rPr>
          <w:rStyle w:val="FootnoteReference"/>
        </w:rPr>
        <w:footnoteReference w:id="201"/>
      </w:r>
      <w:r w:rsidRPr="00D920F3">
        <w:t xml:space="preserve"> </w:t>
      </w:r>
      <w:r>
        <w:t xml:space="preserve"> </w:t>
      </w:r>
    </w:p>
    <w:p w:rsidR="00DB2FEB" w:rsidP="00930FB2" w:rsidRDefault="00DB2FEB" w14:paraId="2917A6C0" w14:textId="3D443C8B">
      <w:pPr>
        <w:pStyle w:val="Standard"/>
      </w:pPr>
      <w:r>
        <w:t>PG&amp;E also states that it already “</w:t>
      </w:r>
      <w:r w:rsidRPr="00DB2FEB">
        <w:t>provides dollar ranges for all programs consistent with testimony for the approved 2025 VPF spend plan.</w:t>
      </w:r>
      <w:r>
        <w:t>”</w:t>
      </w:r>
      <w:r>
        <w:rPr>
          <w:rStyle w:val="FootnoteReference"/>
        </w:rPr>
        <w:footnoteReference w:id="202"/>
      </w:r>
      <w:r>
        <w:t xml:space="preserve"> PG&amp;E states that funding the ISO 55001 certification process “</w:t>
      </w:r>
      <w:r w:rsidRPr="00DB2FEB">
        <w:t xml:space="preserve">will allow Power Gen to accelerate maturity and build out of the </w:t>
      </w:r>
      <w:r>
        <w:t>(Asset Management System)</w:t>
      </w:r>
      <w:r w:rsidRPr="00DB2FEB">
        <w:t xml:space="preserve"> to improve </w:t>
      </w:r>
      <w:r w:rsidRPr="00DB2FEB">
        <w:lastRenderedPageBreak/>
        <w:t>its capability to manage its business and asset risks</w:t>
      </w:r>
      <w:r>
        <w:t>.”</w:t>
      </w:r>
      <w:r>
        <w:rPr>
          <w:rStyle w:val="FootnoteReference"/>
        </w:rPr>
        <w:footnoteReference w:id="203"/>
      </w:r>
      <w:r>
        <w:t xml:space="preserve"> PG&amp;E states about its carbon capture program that “[w]</w:t>
      </w:r>
      <w:proofErr w:type="spellStart"/>
      <w:r>
        <w:t>hile</w:t>
      </w:r>
      <w:proofErr w:type="spellEnd"/>
      <w:r>
        <w:t xml:space="preserve"> zero emissions are unlikely any time soon, </w:t>
      </w:r>
      <w:r w:rsidRPr="00DB2FEB">
        <w:t>PG&amp;E is committed to fully exploring options to operate these facilities as emission free as possible throughout their useful life.</w:t>
      </w:r>
      <w:r>
        <w:t>”</w:t>
      </w:r>
      <w:r>
        <w:rPr>
          <w:rStyle w:val="FootnoteReference"/>
        </w:rPr>
        <w:footnoteReference w:id="204"/>
      </w:r>
      <w:r>
        <w:t xml:space="preserve"> PG&amp;E also responds to CARE’s argument regarding VPF spending on utility-owned generation that “[w]</w:t>
      </w:r>
      <w:r w:rsidRPr="00DB2FEB">
        <w:t>ork proposed to be performed under this program does not include the  installation of infrastructure that would be additive to PG&amp;E’s rate base.</w:t>
      </w:r>
      <w:r>
        <w:t>”</w:t>
      </w:r>
      <w:r>
        <w:rPr>
          <w:rStyle w:val="FootnoteReference"/>
        </w:rPr>
        <w:footnoteReference w:id="205"/>
      </w:r>
      <w:r>
        <w:t xml:space="preserve"> Finally, PG&amp;E responds to CARE’s argument on contingency spending that the proposed uses of contingency VPF funds are the same MWCs approved in the 2025 VPF spending plan.”</w:t>
      </w:r>
      <w:r>
        <w:rPr>
          <w:rStyle w:val="FootnoteReference"/>
        </w:rPr>
        <w:footnoteReference w:id="206"/>
      </w:r>
    </w:p>
    <w:p w:rsidRPr="009B3FF3" w:rsidR="00D41687" w:rsidP="009B3FF3" w:rsidRDefault="00D41687" w14:paraId="28737D36" w14:textId="6B7240DF">
      <w:pPr>
        <w:pStyle w:val="Standard"/>
      </w:pPr>
      <w:r w:rsidRPr="009B3FF3">
        <w:t xml:space="preserve">CUE supports PG&amp;E’s VPF spending plan, writing in its Opening Brief that “[t]he record evidence demonstrates that PG&amp;E’s 2026 VPF spending plan is consistent with </w:t>
      </w:r>
      <w:r w:rsidR="002470BB">
        <w:t>[Pub. Util. Code S</w:t>
      </w:r>
      <w:r w:rsidRPr="009B3FF3">
        <w:t>ection 712.8(s)</w:t>
      </w:r>
      <w:r w:rsidR="002470BB">
        <w:t>]</w:t>
      </w:r>
      <w:r w:rsidRPr="009B3FF3">
        <w:t xml:space="preserve"> and all Commission requirements and should be approved.”</w:t>
      </w:r>
      <w:r w:rsidRPr="009B3FF3">
        <w:rPr>
          <w:rStyle w:val="FootnoteReference"/>
        </w:rPr>
        <w:footnoteReference w:id="207"/>
      </w:r>
      <w:r w:rsidRPr="009B3FF3">
        <w:rPr>
          <w:vertAlign w:val="superscript"/>
        </w:rPr>
        <w:t xml:space="preserve"> </w:t>
      </w:r>
      <w:r w:rsidRPr="009B3FF3">
        <w:t xml:space="preserve">Similarly, SBUA supports PG&amp;E’s 2026 VPF Spending Plan </w:t>
      </w:r>
      <w:r w:rsidR="00771E37">
        <w:t>while</w:t>
      </w:r>
      <w:r w:rsidRPr="009B3FF3">
        <w:t xml:space="preserve"> encourag</w:t>
      </w:r>
      <w:r w:rsidR="00771E37">
        <w:t xml:space="preserve">ing </w:t>
      </w:r>
      <w:r w:rsidRPr="009B3FF3">
        <w:t>additional support of energy efficiency and small business decarbonization spending.</w:t>
      </w:r>
      <w:r w:rsidRPr="009B3FF3">
        <w:rPr>
          <w:rStyle w:val="FootnoteReference"/>
        </w:rPr>
        <w:footnoteReference w:id="208"/>
      </w:r>
    </w:p>
    <w:p w:rsidR="00F956D0" w:rsidP="00F956D0" w:rsidRDefault="00F956D0" w14:paraId="25D0FBAA" w14:textId="0A9E3320">
      <w:pPr>
        <w:pStyle w:val="Heading2"/>
      </w:pPr>
      <w:bookmarkStart w:name="_Toc216176828" w:id="88"/>
      <w:r>
        <w:t>Conclusion</w:t>
      </w:r>
      <w:bookmarkEnd w:id="88"/>
    </w:p>
    <w:p w:rsidR="00E54CEE" w:rsidP="00771E37" w:rsidRDefault="00E54CEE" w14:paraId="7A7B49D9" w14:textId="009A6148">
      <w:pPr>
        <w:pStyle w:val="Standard"/>
      </w:pPr>
      <w:r>
        <w:t xml:space="preserve">In D.23-12-036, the Commission directed PG&amp;E to file an annual application for review of its planned use of </w:t>
      </w:r>
      <w:r w:rsidR="00771E37">
        <w:t xml:space="preserve">Pub. Util. </w:t>
      </w:r>
      <w:r>
        <w:t>Section 712.8(f)(5) revenues to</w:t>
      </w:r>
      <w:r w:rsidR="00771E37">
        <w:t xml:space="preserve"> </w:t>
      </w:r>
      <w:r>
        <w:t xml:space="preserve">confirm its proposed plan is consistent with </w:t>
      </w:r>
      <w:r w:rsidR="002470BB">
        <w:t xml:space="preserve">Pub. Util. Code </w:t>
      </w:r>
      <w:r>
        <w:t xml:space="preserve">Section 712.8(s). In </w:t>
      </w:r>
      <w:r>
        <w:lastRenderedPageBreak/>
        <w:t>D.23-12-036, the</w:t>
      </w:r>
      <w:r w:rsidR="00771E37">
        <w:t xml:space="preserve"> </w:t>
      </w:r>
      <w:r>
        <w:t>Commission noted that SB 846 “[d]</w:t>
      </w:r>
      <w:proofErr w:type="spellStart"/>
      <w:r>
        <w:t>oes</w:t>
      </w:r>
      <w:proofErr w:type="spellEnd"/>
      <w:r>
        <w:t xml:space="preserve"> not rank or prioritize the critical public</w:t>
      </w:r>
      <w:r w:rsidR="00771E37">
        <w:t xml:space="preserve"> </w:t>
      </w:r>
      <w:r>
        <w:t>policy priorities.” The Commission directed: “Accordingly, while the Surplus Performance-Based Fees Application shall detail PG&amp;E’s spending proposals,</w:t>
      </w:r>
      <w:r w:rsidR="00771E37">
        <w:t xml:space="preserve"> </w:t>
      </w:r>
      <w:r>
        <w:t>PG&amp;E is not required to justify how it intends to allocate surplus funds among</w:t>
      </w:r>
      <w:r w:rsidR="00771E37">
        <w:t xml:space="preserve"> </w:t>
      </w:r>
      <w:r>
        <w:t>the listed categories. The Commission’s review of PG&amp;E’s Application will be</w:t>
      </w:r>
      <w:r w:rsidR="00771E37">
        <w:t xml:space="preserve"> </w:t>
      </w:r>
      <w:r>
        <w:t>focused on determining whether the proposed spending properly falls within</w:t>
      </w:r>
      <w:r w:rsidR="00771E37">
        <w:t xml:space="preserve"> </w:t>
      </w:r>
      <w:r>
        <w:t xml:space="preserve">one or more of the categories identified in </w:t>
      </w:r>
      <w:r w:rsidR="002470BB">
        <w:t xml:space="preserve">Pub. Util. Code </w:t>
      </w:r>
      <w:r>
        <w:t>Section</w:t>
      </w:r>
      <w:r w:rsidR="00EC460E">
        <w:t> </w:t>
      </w:r>
      <w:r>
        <w:t>712.8(s)(1), and that the</w:t>
      </w:r>
      <w:r w:rsidR="00771E37">
        <w:t xml:space="preserve"> </w:t>
      </w:r>
      <w:r>
        <w:t>spending would not result in double recovery in rates, cause compensation to be</w:t>
      </w:r>
      <w:r w:rsidR="00771E37">
        <w:t xml:space="preserve"> </w:t>
      </w:r>
      <w:r>
        <w:t>paid out to PG&amp;E shareholders, or cause PG&amp;E to earn a rate of return on any of</w:t>
      </w:r>
      <w:r w:rsidR="00771E37">
        <w:t xml:space="preserve"> </w:t>
      </w:r>
      <w:r>
        <w:t>the expenditures.”</w:t>
      </w:r>
      <w:r>
        <w:rPr>
          <w:rStyle w:val="FootnoteReference"/>
        </w:rPr>
        <w:footnoteReference w:id="209"/>
      </w:r>
      <w:r>
        <w:t xml:space="preserve"> </w:t>
      </w:r>
      <w:r>
        <w:rPr>
          <w:sz w:val="17"/>
          <w:szCs w:val="17"/>
        </w:rPr>
        <w:t xml:space="preserve"> </w:t>
      </w:r>
      <w:r>
        <w:t>The Commission also stated that</w:t>
      </w:r>
      <w:r w:rsidR="00771E37">
        <w:t xml:space="preserve"> </w:t>
      </w:r>
      <w:r>
        <w:t>“</w:t>
      </w:r>
      <w:r w:rsidR="00771E37">
        <w:t>[t]</w:t>
      </w:r>
      <w:r>
        <w:t>here would be no</w:t>
      </w:r>
      <w:r w:rsidR="00771E37">
        <w:t xml:space="preserve"> </w:t>
      </w:r>
      <w:r>
        <w:t>purpose in having the Commission review PG&amp;E’s proposed usage of funds if</w:t>
      </w:r>
      <w:r w:rsidR="00771E37">
        <w:t xml:space="preserve"> </w:t>
      </w:r>
      <w:r>
        <w:t>the Commission did not also have the ability to modify or reject PG&amp;E’s</w:t>
      </w:r>
      <w:r w:rsidR="00771E37">
        <w:t xml:space="preserve"> </w:t>
      </w:r>
      <w:r>
        <w:t>proposed spending, as needed.”</w:t>
      </w:r>
      <w:r>
        <w:rPr>
          <w:rStyle w:val="FootnoteReference"/>
        </w:rPr>
        <w:footnoteReference w:id="210"/>
      </w:r>
    </w:p>
    <w:p w:rsidRPr="00E54CEE" w:rsidR="00E54CEE" w:rsidP="00E54CEE" w:rsidRDefault="00E54CEE" w14:paraId="0C6E095E" w14:textId="733A8F5B">
      <w:pPr>
        <w:pStyle w:val="Standard"/>
      </w:pPr>
      <w:r w:rsidRPr="00E54CEE">
        <w:t xml:space="preserve">D.25-06-002 provided </w:t>
      </w:r>
      <w:r>
        <w:t>additional</w:t>
      </w:r>
      <w:r w:rsidRPr="00E54CEE">
        <w:t xml:space="preserve"> guidance as to </w:t>
      </w:r>
      <w:r>
        <w:t>how PG&amp;E should prioritize</w:t>
      </w:r>
      <w:r w:rsidRPr="00E54CEE">
        <w:t xml:space="preserve"> spending of VPF funds, stating</w:t>
      </w:r>
      <w:r>
        <w:t>: “[W]</w:t>
      </w:r>
      <w:r w:rsidRPr="00E54CEE">
        <w:t xml:space="preserve">e encourage PG&amp;E to look for opportunities to structure and plan expenditures in ways that provide additional benefits to ratepayers. VPF spending on capital projects, particularly distribution and transmission projects, and the acceleration of existing projects, are options PG&amp;E could consider in its VPF plans in order </w:t>
      </w:r>
      <w:r w:rsidR="00771E37">
        <w:t xml:space="preserve">[sic] </w:t>
      </w:r>
      <w:r w:rsidRPr="00E54CEE">
        <w:t>reduce upward rate pressure.”</w:t>
      </w:r>
      <w:r>
        <w:rPr>
          <w:rStyle w:val="FootnoteReference"/>
        </w:rPr>
        <w:footnoteReference w:id="211"/>
      </w:r>
    </w:p>
    <w:p w:rsidRPr="00E54CEE" w:rsidR="00E54CEE" w:rsidP="00E54CEE" w:rsidRDefault="00E54CEE" w14:paraId="3F0D7240" w14:textId="02C12D61">
      <w:pPr>
        <w:pStyle w:val="Standard"/>
        <w:rPr>
          <w:sz w:val="17"/>
          <w:szCs w:val="17"/>
        </w:rPr>
      </w:pPr>
      <w:r>
        <w:t>Upon review of the proposed plan and testimony, the Commission</w:t>
      </w:r>
    </w:p>
    <w:p w:rsidR="00E54CEE" w:rsidP="00E54CEE" w:rsidRDefault="00E54CEE" w14:paraId="54A8D21D" w14:textId="0CBC14B6">
      <w:pPr>
        <w:pStyle w:val="Standard"/>
        <w:ind w:firstLine="0"/>
      </w:pPr>
      <w:r>
        <w:t xml:space="preserve">determines that the proposed 2026 </w:t>
      </w:r>
      <w:r w:rsidR="00771E37">
        <w:t xml:space="preserve">VPF </w:t>
      </w:r>
      <w:r>
        <w:t>spending plan is consistent with</w:t>
      </w:r>
      <w:r w:rsidR="00771E37">
        <w:t xml:space="preserve"> Pub. Util. Code </w:t>
      </w:r>
      <w:r>
        <w:t>Section 712.8(s)(1) requirements.</w:t>
      </w:r>
    </w:p>
    <w:p w:rsidR="0068038A" w:rsidP="00E54CEE" w:rsidRDefault="00E54CEE" w14:paraId="21DDAAC0" w14:textId="192F9424">
      <w:pPr>
        <w:pStyle w:val="Standard"/>
      </w:pPr>
      <w:r>
        <w:lastRenderedPageBreak/>
        <w:t xml:space="preserve">We find that PG&amp;E has provided sufficient detail about each of the 16 VPF program areas in Chapter </w:t>
      </w:r>
      <w:r w:rsidR="00973030">
        <w:t>7</w:t>
      </w:r>
      <w:r>
        <w:t xml:space="preserve"> of its Prepared Testimony for the Commission to determine that the proposed spending complies with the criteria set forth in D.23-12-036. First, each of the proposed VPF programs falls within at least one of the spending categories identified in </w:t>
      </w:r>
      <w:r w:rsidR="00BD5CE1">
        <w:t xml:space="preserve">Pub. Util. Code </w:t>
      </w:r>
      <w:r>
        <w:t xml:space="preserve">Section 712.8(s)(1), which no party has disputed. The Commission also finds that the programs </w:t>
      </w:r>
      <w:r w:rsidRPr="00E54CEE">
        <w:t xml:space="preserve">will not increase shareholder profits, consistent with </w:t>
      </w:r>
      <w:r w:rsidR="00BD5CE1">
        <w:t xml:space="preserve">Pub. Util. Code </w:t>
      </w:r>
      <w:r w:rsidR="00771E37">
        <w:t xml:space="preserve">Section 712.8 </w:t>
      </w:r>
      <w:r w:rsidRPr="00E54CEE">
        <w:t>(s)(2).</w:t>
      </w:r>
    </w:p>
    <w:p w:rsidR="00E54CEE" w:rsidP="00E54CEE" w:rsidRDefault="00E54CEE" w14:paraId="71B671FD" w14:textId="20AF5BB4">
      <w:pPr>
        <w:pStyle w:val="Standard"/>
      </w:pPr>
      <w:r>
        <w:t>Responding to Cal Advocates’ concern that four of the proposed VPF programs may continue past 2030, we agree with PG&amp;E that a VPF-funded program’s duration past</w:t>
      </w:r>
      <w:r w:rsidRPr="0086619E">
        <w:t xml:space="preserve"> 2030 has no bearing on </w:t>
      </w:r>
      <w:r>
        <w:t xml:space="preserve">its </w:t>
      </w:r>
      <w:r w:rsidRPr="0086619E">
        <w:t xml:space="preserve">compliance with shareholder prohibitions in </w:t>
      </w:r>
      <w:r w:rsidR="002470BB">
        <w:t xml:space="preserve">Pub. Util. Code </w:t>
      </w:r>
      <w:r w:rsidRPr="0086619E">
        <w:t>Section 712.8(s)(2)</w:t>
      </w:r>
      <w:r>
        <w:t xml:space="preserve"> and that there is no requirement that a VPF-funded program conclude by 2030.</w:t>
      </w:r>
      <w:r w:rsidR="0068038A">
        <w:t xml:space="preserve"> Similarly, we find TURN’s concerns regarding underspending in individual MWCs compared to the total Safety &amp; Risk program to be well-intentioned but overly speculative in concluding that such underspent funds will necessarily benefit shareholders in violation of </w:t>
      </w:r>
      <w:r w:rsidR="00771E37">
        <w:t>Pub. Util.</w:t>
      </w:r>
      <w:r w:rsidR="0068038A">
        <w:t xml:space="preserve"> Code Section 712.8(s). </w:t>
      </w:r>
      <w:r w:rsidR="00771E37">
        <w:t xml:space="preserve">Additionally, </w:t>
      </w:r>
      <w:r w:rsidR="0068038A">
        <w:t>PG&amp;E</w:t>
      </w:r>
      <w:r w:rsidR="00771E37">
        <w:t xml:space="preserve"> has affirmed in its Opening Brief </w:t>
      </w:r>
      <w:r w:rsidR="0068038A">
        <w:t xml:space="preserve">that </w:t>
      </w:r>
      <w:r w:rsidR="001C5C26">
        <w:t>it</w:t>
      </w:r>
      <w:r w:rsidR="0068038A">
        <w:t xml:space="preserve"> will “</w:t>
      </w:r>
      <w:r w:rsidRPr="00B3757F" w:rsidR="0068038A">
        <w:t>only apply VPF revenues to the Safety &amp; Risk programs where both the 2026 MWC category and</w:t>
      </w:r>
      <w:r w:rsidR="00771E37">
        <w:t xml:space="preserve"> (Maintenance Activity Type)</w:t>
      </w:r>
      <w:r w:rsidRPr="00B3757F" w:rsidR="0068038A">
        <w:t xml:space="preserve"> code level of the proposed program are above authorized imputed amounts</w:t>
      </w:r>
      <w:r w:rsidRPr="0068038A" w:rsidR="0068038A">
        <w:t xml:space="preserve"> </w:t>
      </w:r>
      <w:r w:rsidRPr="00B3757F" w:rsidR="0068038A">
        <w:t>with the exclusion of balancing accounts involving the return of unused funds to customers.”</w:t>
      </w:r>
      <w:r w:rsidR="0068038A">
        <w:rPr>
          <w:rStyle w:val="FootnoteReference"/>
        </w:rPr>
        <w:footnoteReference w:id="212"/>
      </w:r>
    </w:p>
    <w:p w:rsidR="0068038A" w:rsidP="00E54CEE" w:rsidRDefault="0068038A" w14:paraId="1A5D0396" w14:textId="0CA93A16">
      <w:pPr>
        <w:pStyle w:val="Standard"/>
      </w:pPr>
      <w:r>
        <w:t>The Commission agrees with TURN that PG&amp;E’s response to D.25-06-002 requirements that PG&amp;E explain how VPF programs align with the “</w:t>
      </w:r>
      <w:r w:rsidRPr="00716F97">
        <w:t>guiding principle of reducing upward pressure on rates</w:t>
      </w:r>
      <w:r>
        <w:t xml:space="preserve">” lacks depth or detail. PG&amp;E is </w:t>
      </w:r>
      <w:r>
        <w:lastRenderedPageBreak/>
        <w:t>correct that D.25-06-002 does not specify what type of information is required in its response. However, PG&amp;E is encouraged to provide more quantitative analysis and detail in future DCPP cost recovery applications making the case for how each VPF-funded program provides net benefit to ratepayers.</w:t>
      </w:r>
    </w:p>
    <w:p w:rsidRPr="00E54CEE" w:rsidR="0068038A" w:rsidP="0068038A" w:rsidRDefault="00AD1D8E" w14:paraId="16311843" w14:textId="5152D68F">
      <w:pPr>
        <w:pStyle w:val="Standard"/>
      </w:pPr>
      <w:r>
        <w:t>Addition</w:t>
      </w:r>
      <w:r w:rsidR="0068038A">
        <w:t>ally, the Commission concurs with PG&amp;E’s response to CARE, A4NR, and EPUC regarding when VPF funds must be spent on DCPP operating expenses. The 115</w:t>
      </w:r>
      <w:r w:rsidR="000103F1">
        <w:t xml:space="preserve"> percent</w:t>
      </w:r>
      <w:r w:rsidR="0068038A">
        <w:t xml:space="preserve"> overspend </w:t>
      </w:r>
      <w:r w:rsidR="00B762BA">
        <w:t>threshold</w:t>
      </w:r>
      <w:r w:rsidR="0068038A">
        <w:t xml:space="preserve"> set in D.23-12-036 remains the controlling </w:t>
      </w:r>
      <w:r w:rsidR="00771E37">
        <w:t xml:space="preserve">criteria </w:t>
      </w:r>
      <w:r w:rsidR="0068038A">
        <w:t>on when VPF funds must support DCPP operating expenses. Evaluating PG&amp;E’s proposed 2026 DCPP VPF spending according to this principle, the Commission finds the proposed VPF programs comply with stat</w:t>
      </w:r>
      <w:r w:rsidR="00771E37">
        <w:t>ute</w:t>
      </w:r>
      <w:r w:rsidR="0068038A">
        <w:t xml:space="preserve"> and previous Commission decisions. </w:t>
      </w:r>
    </w:p>
    <w:p w:rsidR="00AD1D8E" w:rsidP="0068038A" w:rsidRDefault="0068038A" w14:paraId="5A874F16" w14:textId="3399F9D6">
      <w:pPr>
        <w:pStyle w:val="Standard"/>
      </w:pPr>
      <w:r>
        <w:t xml:space="preserve">Finally, </w:t>
      </w:r>
      <w:r w:rsidR="00AD1D8E">
        <w:t>the Commission accepts PG&amp;E’s response to CARE’s concerns about specific VPF-funded programs. The Commission finds PG&amp;E has provided sufficient detail about each of the programs and that they sufficiently comply with the purposes set in Pub. Util. Code Section 712.8(s).</w:t>
      </w:r>
    </w:p>
    <w:p w:rsidR="0068038A" w:rsidP="0068038A" w:rsidRDefault="0068038A" w14:paraId="27D44140" w14:textId="1BC8D7AA">
      <w:pPr>
        <w:pStyle w:val="Standard"/>
      </w:pPr>
      <w:r>
        <w:t xml:space="preserve">PG&amp;E’s spending on VPF programs will be further analyzed in the </w:t>
      </w:r>
      <w:r w:rsidRPr="00E54CEE" w:rsidR="00E54CEE">
        <w:t xml:space="preserve">independent auditor report </w:t>
      </w:r>
      <w:r>
        <w:t xml:space="preserve">ordered in D.24-12-033 </w:t>
      </w:r>
      <w:r w:rsidR="00771E37">
        <w:t xml:space="preserve">evaluating </w:t>
      </w:r>
      <w:r w:rsidRPr="00E54CEE" w:rsidR="00E54CEE">
        <w:t>PG&amp;E’s expenditures on</w:t>
      </w:r>
      <w:r>
        <w:t xml:space="preserve"> </w:t>
      </w:r>
      <w:r w:rsidRPr="00E54CEE" w:rsidR="00E54CEE">
        <w:t>projects identified in its first year report, and controls related to those</w:t>
      </w:r>
      <w:r>
        <w:t xml:space="preserve"> </w:t>
      </w:r>
      <w:r w:rsidRPr="00E54CEE" w:rsidR="00E54CEE">
        <w:t xml:space="preserve">expenditures, to ensure consistency and compliance with </w:t>
      </w:r>
      <w:r w:rsidR="00BD5CE1">
        <w:t xml:space="preserve">Pub. Util. Code </w:t>
      </w:r>
      <w:r w:rsidRPr="00E54CEE" w:rsidR="00E54CEE">
        <w:t xml:space="preserve">Section 712.8(s). </w:t>
      </w:r>
      <w:r>
        <w:t>As stated in D.24-12-033, t</w:t>
      </w:r>
      <w:r w:rsidRPr="00E54CEE" w:rsidR="00E54CEE">
        <w:t>he</w:t>
      </w:r>
      <w:r>
        <w:t xml:space="preserve"> </w:t>
      </w:r>
      <w:r w:rsidRPr="00E54CEE" w:rsidR="00E54CEE">
        <w:t>auditor’s report must attest to each of the requirements set forth in</w:t>
      </w:r>
      <w:r w:rsidR="00BD5CE1">
        <w:t xml:space="preserve"> Pub. Util. Code</w:t>
      </w:r>
      <w:r w:rsidRPr="00E54CEE" w:rsidR="00E54CEE">
        <w:t xml:space="preserve"> Section</w:t>
      </w:r>
      <w:r w:rsidR="00AD1D8E">
        <w:t xml:space="preserve"> </w:t>
      </w:r>
      <w:r w:rsidRPr="00E54CEE" w:rsidR="00E54CEE">
        <w:t>712.8(s), including whether PG&amp;E received double-recovery for projects and/or</w:t>
      </w:r>
      <w:r>
        <w:t xml:space="preserve"> </w:t>
      </w:r>
      <w:r w:rsidRPr="00E54CEE" w:rsidR="00E54CEE">
        <w:t>expenditures detailed in its first spending plan and, in particular, how VPF</w:t>
      </w:r>
      <w:r>
        <w:t xml:space="preserve"> </w:t>
      </w:r>
      <w:r w:rsidRPr="00E54CEE" w:rsidR="00E54CEE">
        <w:t>expenditures are incremental to costs recorded in existing accounts authorized</w:t>
      </w:r>
      <w:r>
        <w:t xml:space="preserve"> </w:t>
      </w:r>
      <w:r w:rsidRPr="00E54CEE" w:rsidR="00E54CEE">
        <w:t>by Commission decisions. PG&amp;E must file and serve on the parties the auditor’s</w:t>
      </w:r>
      <w:r>
        <w:t xml:space="preserve"> </w:t>
      </w:r>
      <w:r w:rsidRPr="00E54CEE" w:rsidR="00E54CEE">
        <w:t xml:space="preserve">report by no later than June 1, 2026, in the applicable </w:t>
      </w:r>
      <w:r w:rsidR="00367DC1">
        <w:t>VPFs</w:t>
      </w:r>
      <w:r w:rsidRPr="00E54CEE" w:rsidR="00E54CEE">
        <w:t xml:space="preserve"> review proceeding, required under </w:t>
      </w:r>
      <w:r w:rsidRPr="00E54CEE" w:rsidR="00E54CEE">
        <w:lastRenderedPageBreak/>
        <w:t>Ordering Paragraph 15 of D.23-12-036, a</w:t>
      </w:r>
      <w:r>
        <w:t xml:space="preserve"> </w:t>
      </w:r>
      <w:r w:rsidRPr="00E54CEE" w:rsidR="00E54CEE">
        <w:t>proceeding in which the Commission will review</w:t>
      </w:r>
      <w:r w:rsidR="00771E37">
        <w:t xml:space="preserve"> spending</w:t>
      </w:r>
      <w:r w:rsidRPr="00E54CEE" w:rsidR="00E54CEE">
        <w:t xml:space="preserve"> for </w:t>
      </w:r>
      <w:r w:rsidR="001C5C26">
        <w:t xml:space="preserve">Pub. Util. Code Section </w:t>
      </w:r>
      <w:r w:rsidRPr="00E54CEE" w:rsidR="00E54CEE">
        <w:t>712.8(s) compliance,</w:t>
      </w:r>
      <w:r>
        <w:t xml:space="preserve"> </w:t>
      </w:r>
      <w:r w:rsidRPr="00E54CEE" w:rsidR="00E54CEE">
        <w:t>including the prohibition against double recovery.</w:t>
      </w:r>
      <w:r>
        <w:t xml:space="preserve"> </w:t>
      </w:r>
    </w:p>
    <w:p w:rsidRPr="002534C8" w:rsidR="002534C8" w:rsidP="00E54CEE" w:rsidRDefault="0068038A" w14:paraId="27DAD77F" w14:textId="0F1A52FE">
      <w:pPr>
        <w:pStyle w:val="Standard"/>
      </w:pPr>
      <w:r>
        <w:t>I</w:t>
      </w:r>
      <w:r w:rsidRPr="00E54CEE" w:rsidR="00E54CEE">
        <w:t>n conclusion, PG&amp;E’s request for approval of its VPF spending plan is</w:t>
      </w:r>
      <w:r>
        <w:t xml:space="preserve"> </w:t>
      </w:r>
      <w:r w:rsidRPr="00E54CEE" w:rsidR="00E54CEE">
        <w:t>approved.</w:t>
      </w:r>
      <w:r>
        <w:t xml:space="preserve"> T</w:t>
      </w:r>
      <w:r w:rsidRPr="00E54CEE" w:rsidR="00E54CEE">
        <w:t>he VPFs collected by</w:t>
      </w:r>
      <w:r>
        <w:t xml:space="preserve"> </w:t>
      </w:r>
      <w:r w:rsidRPr="00E54CEE" w:rsidR="00E54CEE">
        <w:t>PG&amp;E must be held in the VPFs Subaccount of the</w:t>
      </w:r>
      <w:r>
        <w:t xml:space="preserve"> </w:t>
      </w:r>
      <w:r w:rsidRPr="00E54CEE" w:rsidR="00E54CEE">
        <w:t>DCEOBA.</w:t>
      </w:r>
    </w:p>
    <w:p w:rsidR="00B87DBF" w:rsidP="008926B4" w:rsidRDefault="00B87DBF" w14:paraId="66147752" w14:textId="1C6D0DA1">
      <w:pPr>
        <w:pStyle w:val="Heading1"/>
      </w:pPr>
      <w:bookmarkStart w:name="_Toc216176829" w:id="89"/>
      <w:r>
        <w:t>Compliance with Other Decisions</w:t>
      </w:r>
      <w:bookmarkEnd w:id="89"/>
    </w:p>
    <w:p w:rsidRPr="00610915" w:rsidR="00610915" w:rsidP="00610915" w:rsidRDefault="00610915" w14:paraId="7B6186FC" w14:textId="77777777">
      <w:pPr>
        <w:pStyle w:val="Standard"/>
      </w:pPr>
      <w:r w:rsidRPr="00610915">
        <w:t>PG&amp;E addressed in its application the compliance requirements</w:t>
      </w:r>
    </w:p>
    <w:p w:rsidR="00610915" w:rsidP="00DA72F9" w:rsidRDefault="00610915" w14:paraId="1B857B1A" w14:textId="71FE0F9A">
      <w:pPr>
        <w:pStyle w:val="Standard"/>
        <w:ind w:firstLine="0"/>
      </w:pPr>
      <w:r w:rsidRPr="00610915">
        <w:t>established by D.23-12-036</w:t>
      </w:r>
      <w:r>
        <w:t xml:space="preserve">, D,24-12-033, and D.25-06-002 </w:t>
      </w:r>
      <w:r w:rsidRPr="00610915">
        <w:t>and how the application addressed these</w:t>
      </w:r>
      <w:r>
        <w:t xml:space="preserve"> </w:t>
      </w:r>
      <w:r w:rsidRPr="00610915">
        <w:t>requirements.</w:t>
      </w:r>
      <w:r w:rsidR="009B3FF3">
        <w:rPr>
          <w:rStyle w:val="FootnoteReference"/>
        </w:rPr>
        <w:footnoteReference w:id="213"/>
      </w:r>
      <w:r w:rsidRPr="00610915">
        <w:t xml:space="preserve"> </w:t>
      </w:r>
    </w:p>
    <w:p w:rsidR="009B3FF3" w:rsidP="009B3FF3" w:rsidRDefault="009B3FF3" w14:paraId="1D672C75" w14:textId="1A55728A">
      <w:pPr>
        <w:pStyle w:val="Standard"/>
      </w:pPr>
      <w:r>
        <w:t xml:space="preserve">A4NR </w:t>
      </w:r>
      <w:r w:rsidR="00D11985">
        <w:t>sta</w:t>
      </w:r>
      <w:r>
        <w:t xml:space="preserve">tes in its Opening Brief that PG&amp;E has not </w:t>
      </w:r>
      <w:r w:rsidR="00B762BA">
        <w:t>complied</w:t>
      </w:r>
      <w:r>
        <w:t xml:space="preserve"> with D.24</w:t>
      </w:r>
      <w:r w:rsidR="00080A96">
        <w:noBreakHyphen/>
      </w:r>
      <w:r>
        <w:t>12</w:t>
      </w:r>
      <w:r w:rsidR="00080A96">
        <w:noBreakHyphen/>
      </w:r>
      <w:r>
        <w:t>033’s requirement that PG&amp;E “[p]</w:t>
      </w:r>
      <w:proofErr w:type="spellStart"/>
      <w:r w:rsidRPr="009B3FF3">
        <w:t>rovide</w:t>
      </w:r>
      <w:proofErr w:type="spellEnd"/>
      <w:r w:rsidRPr="009B3FF3">
        <w:t xml:space="preserve"> a detailed account of why PG&amp;E did not seek government funding for the costs being requested to be recovered from ratepayers, or was otherwise unable to an</w:t>
      </w:r>
      <w:r>
        <w:rPr>
          <w:rFonts w:eastAsia="Book Antiqua" w:cs="Book Antiqua"/>
        </w:rPr>
        <w:t>ti</w:t>
      </w:r>
      <w:r w:rsidRPr="009B3FF3">
        <w:t>cipate the need for the investments and ac</w:t>
      </w:r>
      <w:r>
        <w:rPr>
          <w:rFonts w:eastAsia="Book Antiqua" w:cs="Book Antiqua"/>
        </w:rPr>
        <w:t>ti</w:t>
      </w:r>
      <w:r w:rsidRPr="009B3FF3">
        <w:t>vi</w:t>
      </w:r>
      <w:r>
        <w:rPr>
          <w:rFonts w:eastAsia="Book Antiqua" w:cs="Book Antiqua"/>
        </w:rPr>
        <w:t>ti</w:t>
      </w:r>
      <w:r w:rsidRPr="009B3FF3">
        <w:t xml:space="preserve">es at the </w:t>
      </w:r>
      <w:r>
        <w:rPr>
          <w:rFonts w:eastAsia="Book Antiqua" w:cs="Book Antiqua"/>
        </w:rPr>
        <w:t>ti</w:t>
      </w:r>
      <w:r w:rsidRPr="009B3FF3">
        <w:t>me government funding was being requested</w:t>
      </w:r>
      <w:r>
        <w:t>”</w:t>
      </w:r>
      <w:r w:rsidR="00DA72F9">
        <w:t xml:space="preserve"> pertaining to costs in excess of $1 million.</w:t>
      </w:r>
      <w:r>
        <w:rPr>
          <w:rStyle w:val="FootnoteReference"/>
        </w:rPr>
        <w:footnoteReference w:id="214"/>
      </w:r>
      <w:r>
        <w:t xml:space="preserve"> Similarly, EPUC </w:t>
      </w:r>
      <w:r w:rsidR="00DA72F9">
        <w:t xml:space="preserve">and CARE </w:t>
      </w:r>
      <w:r>
        <w:t>write that PG&amp;E has not complied with CPUC directives to explain why it did not seek government funding for DCPP costs.</w:t>
      </w:r>
      <w:r>
        <w:rPr>
          <w:rStyle w:val="FootnoteReference"/>
        </w:rPr>
        <w:footnoteReference w:id="215"/>
      </w:r>
      <w:r w:rsidRPr="00CD0B11" w:rsidR="001C5C26">
        <w:rPr>
          <w:vertAlign w:val="superscript"/>
        </w:rPr>
        <w:t>,</w:t>
      </w:r>
      <w:r w:rsidR="00DA72F9">
        <w:rPr>
          <w:rStyle w:val="FootnoteReference"/>
        </w:rPr>
        <w:footnoteReference w:id="216"/>
      </w:r>
      <w:r>
        <w:t xml:space="preserve"> EPUC also states that PG&amp;E has not complied with Pub. Util. Code Section 712.8(e)’s requirement that PG&amp;E “track all costs associated with continued and extended operations with Diablo Canyon </w:t>
      </w:r>
      <w:r>
        <w:lastRenderedPageBreak/>
        <w:t>Units 1 and 2.”</w:t>
      </w:r>
      <w:r>
        <w:rPr>
          <w:rStyle w:val="FootnoteReference"/>
        </w:rPr>
        <w:footnoteReference w:id="217"/>
      </w:r>
      <w:r>
        <w:t xml:space="preserve"> SBUA raises similar concerns about PG&amp;E’s transparency with DCPP costs in its 2026 application. </w:t>
      </w:r>
    </w:p>
    <w:p w:rsidR="00DA72F9" w:rsidP="00DA72F9" w:rsidRDefault="009B3FF3" w14:paraId="6A728313" w14:textId="6B89915D">
      <w:pPr>
        <w:pStyle w:val="Standard"/>
      </w:pPr>
      <w:r>
        <w:t xml:space="preserve">TURN </w:t>
      </w:r>
      <w:r w:rsidR="00D11985">
        <w:t>sta</w:t>
      </w:r>
      <w:r>
        <w:t xml:space="preserve">tes in its Opening Brief that PG&amp;E failed to comply with Ordering Paragraph 3 in D.25-06-002 that PG&amp;E provide information on recorded and authorized spending for individual MWCs, </w:t>
      </w:r>
      <w:r w:rsidRPr="009B3FF3">
        <w:t>in which the Ma</w:t>
      </w:r>
      <w:r w:rsidR="00771E37">
        <w:t>intenance Activity Type</w:t>
      </w:r>
      <w:r w:rsidRPr="009B3FF3">
        <w:t xml:space="preserve"> is located, related to work funded by V</w:t>
      </w:r>
      <w:r w:rsidR="00771E37">
        <w:t>PFs</w:t>
      </w:r>
      <w:r>
        <w:t>.</w:t>
      </w:r>
      <w:r>
        <w:rPr>
          <w:rStyle w:val="FootnoteReference"/>
        </w:rPr>
        <w:footnoteReference w:id="218"/>
      </w:r>
      <w:r>
        <w:t xml:space="preserve"> PG&amp;E replied in Rebuttal Testimony that D.25-06-002 did not require PG&amp;E</w:t>
      </w:r>
      <w:r w:rsidR="00771E37">
        <w:t xml:space="preserve"> to</w:t>
      </w:r>
      <w:r>
        <w:t xml:space="preserve"> file the information in relation to its 2026 DWPP cost recovery application.</w:t>
      </w:r>
      <w:r>
        <w:rPr>
          <w:rStyle w:val="FootnoteReference"/>
        </w:rPr>
        <w:footnoteReference w:id="219"/>
      </w:r>
    </w:p>
    <w:p w:rsidR="009B3FF3" w:rsidP="008510A7" w:rsidRDefault="00DA72F9" w14:paraId="27806F99" w14:textId="66EF3EE1">
      <w:pPr>
        <w:pStyle w:val="Standard"/>
      </w:pPr>
      <w:r w:rsidRPr="00610915">
        <w:t>Upon review of the Application</w:t>
      </w:r>
      <w:r>
        <w:t xml:space="preserve"> and party comments</w:t>
      </w:r>
      <w:r w:rsidRPr="009B3FF3">
        <w:t>, the Commission concludes that PG&amp;E’s application complied with the</w:t>
      </w:r>
      <w:r>
        <w:t xml:space="preserve"> </w:t>
      </w:r>
      <w:r w:rsidRPr="009B3FF3">
        <w:t>requirements established by the Commission in D.23-12-036</w:t>
      </w:r>
      <w:r>
        <w:t>, D,24-12-033, and D.25-06-002. In particular, TURN’s concerns are not convincing as D.25-06-002 does not specify in which application year PG&amp;E must comply with the MWC reporting requirement.</w:t>
      </w:r>
      <w:r>
        <w:rPr>
          <w:rStyle w:val="FootnoteReference"/>
        </w:rPr>
        <w:footnoteReference w:id="220"/>
      </w:r>
      <w:r>
        <w:t xml:space="preserve"> By comparison, D.25-06-002 specifies PG&amp;E must explain how its proposed VPF expenditures align with affordability principles “starting with the 2026 VPF spending plan.”</w:t>
      </w:r>
      <w:r>
        <w:rPr>
          <w:rStyle w:val="FootnoteReference"/>
        </w:rPr>
        <w:footnoteReference w:id="221"/>
      </w:r>
      <w:r>
        <w:t xml:space="preserve"> </w:t>
      </w:r>
      <w:r w:rsidR="00E60708">
        <w:t>Addition</w:t>
      </w:r>
      <w:r>
        <w:t xml:space="preserve">ally, as discussed earlier, PG&amp;E minimally complies with requirements in D.24-12-033 that it explain why it did not seek </w:t>
      </w:r>
      <w:r w:rsidRPr="009B3FF3">
        <w:t xml:space="preserve">government funding for </w:t>
      </w:r>
      <w:r>
        <w:t>project</w:t>
      </w:r>
      <w:r w:rsidRPr="009B3FF3">
        <w:t xml:space="preserve"> costs </w:t>
      </w:r>
      <w:r>
        <w:t>in excess of $1</w:t>
      </w:r>
      <w:r w:rsidR="000B222B">
        <w:t xml:space="preserve"> million </w:t>
      </w:r>
      <w:r>
        <w:t>requested for recovery</w:t>
      </w:r>
      <w:r w:rsidRPr="009B3FF3">
        <w:t xml:space="preserve"> from ratepayers, or was otherwise unable to an</w:t>
      </w:r>
      <w:r w:rsidRPr="00370BDA">
        <w:rPr>
          <w:rFonts w:eastAsia="Book Antiqua" w:cs="Book Antiqua"/>
        </w:rPr>
        <w:t>ti</w:t>
      </w:r>
      <w:r w:rsidRPr="009B3FF3">
        <w:t>cipate the need for the investments and ac</w:t>
      </w:r>
      <w:r w:rsidRPr="00370BDA">
        <w:rPr>
          <w:rFonts w:eastAsia="Book Antiqua" w:cs="Book Antiqua"/>
        </w:rPr>
        <w:t>ti</w:t>
      </w:r>
      <w:r w:rsidRPr="009B3FF3">
        <w:t>vi</w:t>
      </w:r>
      <w:r w:rsidRPr="00370BDA">
        <w:rPr>
          <w:rFonts w:eastAsia="Book Antiqua" w:cs="Book Antiqua"/>
        </w:rPr>
        <w:t>ti</w:t>
      </w:r>
      <w:r w:rsidRPr="009B3FF3">
        <w:t xml:space="preserve">es at the </w:t>
      </w:r>
      <w:r w:rsidRPr="00370BDA">
        <w:rPr>
          <w:rFonts w:eastAsia="Book Antiqua" w:cs="Book Antiqua"/>
        </w:rPr>
        <w:t>ti</w:t>
      </w:r>
      <w:r w:rsidRPr="009B3FF3">
        <w:t>me government funding was being requested</w:t>
      </w:r>
      <w:r>
        <w:t xml:space="preserve">. </w:t>
      </w:r>
      <w:r w:rsidR="000C481A">
        <w:t>In light of the</w:t>
      </w:r>
      <w:r w:rsidR="00370BDA">
        <w:t xml:space="preserve"> additional</w:t>
      </w:r>
      <w:r w:rsidR="000C481A">
        <w:t xml:space="preserve"> requirement </w:t>
      </w:r>
      <w:r w:rsidR="00370BDA">
        <w:t xml:space="preserve">outlined in Section 6.1.2, </w:t>
      </w:r>
      <w:r>
        <w:t>PG&amp;E</w:t>
      </w:r>
      <w:r w:rsidR="00370BDA">
        <w:t xml:space="preserve"> will no longer be </w:t>
      </w:r>
      <w:r w:rsidR="00370BDA">
        <w:lastRenderedPageBreak/>
        <w:t xml:space="preserve">required to explain why it did not seek government funding for projects costs in excess of $1 million requested for recovery from ratepayers. </w:t>
      </w:r>
      <w:r>
        <w:t xml:space="preserve"> </w:t>
      </w:r>
      <w:r w:rsidR="00E60708">
        <w:t>Otherwise, the Commissions finds PG&amp;E provided sufficient detail about its 2026 DCPP costs as required by statute.</w:t>
      </w:r>
    </w:p>
    <w:p w:rsidR="00550908" w:rsidP="00DA72F9" w:rsidRDefault="00550908" w14:paraId="73929E5B" w14:textId="280FCEE7">
      <w:pPr>
        <w:pStyle w:val="Standard"/>
      </w:pPr>
      <w:r>
        <w:t xml:space="preserve">Finally, PG&amp;E complied with D.24-12-033 by disclosing its 2025 and forecast future </w:t>
      </w:r>
      <w:bookmarkStart w:name="_Hlk211517255" w:id="90"/>
      <w:r>
        <w:t xml:space="preserve">Administrative and General (A&amp;G) </w:t>
      </w:r>
      <w:bookmarkEnd w:id="90"/>
      <w:r>
        <w:t>expenses.</w:t>
      </w:r>
    </w:p>
    <w:p w:rsidR="00F956D0" w:rsidP="008926B4" w:rsidRDefault="00F956D0" w14:paraId="61937E99" w14:textId="2C462EFD">
      <w:pPr>
        <w:pStyle w:val="Heading1"/>
      </w:pPr>
      <w:bookmarkStart w:name="_Toc216176830" w:id="91"/>
      <w:r>
        <w:t>Summary of Public Comment</w:t>
      </w:r>
      <w:bookmarkEnd w:id="91"/>
    </w:p>
    <w:p w:rsidR="00F956D0" w:rsidP="00F956D0" w:rsidRDefault="00F956D0" w14:paraId="00204DDD" w14:textId="77777777">
      <w:pPr>
        <w:pStyle w:val="Standard"/>
      </w:pPr>
      <w:r>
        <w:t>Rule 1.18 allows any member of the public to submit written comment in</w:t>
      </w:r>
    </w:p>
    <w:p w:rsidR="00F956D0" w:rsidP="00F956D0" w:rsidRDefault="00F956D0" w14:paraId="7257CBF5" w14:textId="77777777">
      <w:pPr>
        <w:pStyle w:val="Standard"/>
        <w:ind w:firstLine="0"/>
      </w:pPr>
      <w:r>
        <w:t>any Commission proceeding using the “Public Comment” tab of the online</w:t>
      </w:r>
    </w:p>
    <w:p w:rsidR="00F956D0" w:rsidP="00F956D0" w:rsidRDefault="00F956D0" w14:paraId="2D386A72" w14:textId="77777777">
      <w:pPr>
        <w:pStyle w:val="Standard"/>
        <w:ind w:firstLine="0"/>
      </w:pPr>
      <w:r>
        <w:t>Docket Card for that proceeding on the Commission’s website. Rule 1.18(b)</w:t>
      </w:r>
    </w:p>
    <w:p w:rsidR="00F956D0" w:rsidP="00F956D0" w:rsidRDefault="00F956D0" w14:paraId="6858639D" w14:textId="77777777">
      <w:pPr>
        <w:pStyle w:val="Standard"/>
        <w:ind w:firstLine="0"/>
      </w:pPr>
      <w:r>
        <w:t>requires that relevant written comment submitted in a proceeding be</w:t>
      </w:r>
    </w:p>
    <w:p w:rsidR="00F956D0" w:rsidP="00F956D0" w:rsidRDefault="00F956D0" w14:paraId="21F273D3" w14:textId="77777777">
      <w:pPr>
        <w:pStyle w:val="Standard"/>
        <w:ind w:firstLine="0"/>
      </w:pPr>
      <w:r>
        <w:t>summarized in the final decision issued in that proceeding.</w:t>
      </w:r>
    </w:p>
    <w:p w:rsidR="00F956D0" w:rsidP="00F956D0" w:rsidRDefault="00F956D0" w14:paraId="6D522DCE" w14:textId="48B13D91">
      <w:pPr>
        <w:pStyle w:val="Standard"/>
      </w:pPr>
      <w:r>
        <w:t xml:space="preserve">In this proceeding, </w:t>
      </w:r>
      <w:r w:rsidRPr="002C47C6" w:rsidR="00B76B45">
        <w:t>20</w:t>
      </w:r>
      <w:r w:rsidRPr="002C47C6">
        <w:t xml:space="preserve"> members</w:t>
      </w:r>
      <w:r>
        <w:t xml:space="preserve"> of the public submitted comments</w:t>
      </w:r>
    </w:p>
    <w:p w:rsidR="00F956D0" w:rsidP="00F956D0" w:rsidRDefault="00F956D0" w14:paraId="61D3F554" w14:textId="04B434F8">
      <w:pPr>
        <w:pStyle w:val="Standard"/>
        <w:ind w:firstLine="0"/>
      </w:pPr>
      <w:r>
        <w:t>opposing the requested rate increase.</w:t>
      </w:r>
    </w:p>
    <w:p w:rsidR="00F956D0" w:rsidP="008926B4" w:rsidRDefault="00F956D0" w14:paraId="79342457" w14:textId="02FA10F8">
      <w:pPr>
        <w:pStyle w:val="Heading1"/>
      </w:pPr>
      <w:bookmarkStart w:name="_Toc216176831" w:id="92"/>
      <w:r>
        <w:t>Procedural Matters</w:t>
      </w:r>
      <w:bookmarkEnd w:id="92"/>
    </w:p>
    <w:p w:rsidR="00F956D0" w:rsidP="00F956D0" w:rsidRDefault="00F956D0" w14:paraId="0E88EEA3" w14:textId="5C4D2998">
      <w:pPr>
        <w:pStyle w:val="Standard"/>
      </w:pPr>
      <w:r>
        <w:t>This decision affirms all rulings made by the Administrative Law Judge and assigned Commissioner in this proceeding. All motions not ruled on are</w:t>
      </w:r>
    </w:p>
    <w:p w:rsidRPr="00F956D0" w:rsidR="00F956D0" w:rsidP="00F956D0" w:rsidRDefault="00F956D0" w14:paraId="4557612E" w14:textId="36379ABD">
      <w:pPr>
        <w:pStyle w:val="Standard"/>
        <w:ind w:firstLine="0"/>
      </w:pPr>
      <w:r>
        <w:t>deemed denied.</w:t>
      </w:r>
    </w:p>
    <w:p w:rsidR="00F956D0" w:rsidP="00F956D0" w:rsidRDefault="00F956D0" w14:paraId="4C302C09" w14:textId="1EF7E991">
      <w:pPr>
        <w:pStyle w:val="Heading1"/>
      </w:pPr>
      <w:bookmarkStart w:name="_Toc216176832" w:id="93"/>
      <w:r>
        <w:t>Comments on Proposed Decision</w:t>
      </w:r>
      <w:bookmarkEnd w:id="93"/>
    </w:p>
    <w:p w:rsidR="00F956D0" w:rsidP="00080A96" w:rsidRDefault="00F956D0" w14:paraId="162AF478" w14:textId="2C092925">
      <w:pPr>
        <w:pStyle w:val="Standard"/>
      </w:pPr>
      <w:r>
        <w:t xml:space="preserve">The proposed decision of ALJ </w:t>
      </w:r>
      <w:r w:rsidR="00771E37">
        <w:t>Jack Chang</w:t>
      </w:r>
      <w:r>
        <w:t xml:space="preserve"> in this matter was mailed</w:t>
      </w:r>
      <w:r w:rsidR="00080A96">
        <w:t xml:space="preserve"> </w:t>
      </w:r>
      <w:r>
        <w:t>to the parties in accordance with Section 311 of the Public Utilities Code and</w:t>
      </w:r>
      <w:r w:rsidR="00080A96">
        <w:t xml:space="preserve"> </w:t>
      </w:r>
      <w:r>
        <w:t>comments were allowed under Rule 14.3 of the Commission’s Rules of Practice</w:t>
      </w:r>
    </w:p>
    <w:p w:rsidR="00F956D0" w:rsidP="00F956D0" w:rsidRDefault="00F956D0" w14:paraId="45621C00" w14:textId="640859E1">
      <w:pPr>
        <w:pStyle w:val="Standard"/>
        <w:ind w:firstLine="0"/>
      </w:pPr>
      <w:r>
        <w:t xml:space="preserve">and Procedure. </w:t>
      </w:r>
      <w:r w:rsidR="00B76B45">
        <w:t xml:space="preserve">Comments were filed on </w:t>
      </w:r>
      <w:r w:rsidR="0006437F">
        <w:t xml:space="preserve">November 20, 2025 byA4NR, CARE, CGNP, CUE, EPUC, PG&amp;E, SBUA, SLOMP, TURN, and WEM, </w:t>
      </w:r>
      <w:r w:rsidR="00B76B45">
        <w:t xml:space="preserve">and reply comments were filed on </w:t>
      </w:r>
      <w:r w:rsidR="0006437F">
        <w:t xml:space="preserve">November 25, 2025 </w:t>
      </w:r>
      <w:r w:rsidR="00B76B45">
        <w:t>by</w:t>
      </w:r>
      <w:r w:rsidR="0006437F">
        <w:t xml:space="preserve"> A4NR, </w:t>
      </w:r>
      <w:r w:rsidR="00A547F3">
        <w:t xml:space="preserve">CARE, CUE, PG&amp;E, SBUA, </w:t>
      </w:r>
      <w:r w:rsidR="00E20498">
        <w:t xml:space="preserve">TURN, </w:t>
      </w:r>
      <w:r w:rsidR="00A547F3">
        <w:t xml:space="preserve">and </w:t>
      </w:r>
      <w:r w:rsidR="0006437F">
        <w:t>WEM</w:t>
      </w:r>
      <w:r w:rsidR="00B76B45">
        <w:t>.</w:t>
      </w:r>
    </w:p>
    <w:p w:rsidR="00A547F3" w:rsidP="00760F91" w:rsidRDefault="00A547F3" w14:paraId="5648AFDB" w14:textId="2A300E08">
      <w:pPr>
        <w:pStyle w:val="Standard"/>
      </w:pPr>
      <w:r w:rsidRPr="00A547F3">
        <w:lastRenderedPageBreak/>
        <w:t>We have carefully reviewed all comments and reply comments and made appropriate changes as warranted. Below, we describe some of these changes.</w:t>
      </w:r>
    </w:p>
    <w:p w:rsidR="00BD3E53" w:rsidP="0005439A" w:rsidRDefault="00A547F3" w14:paraId="7E66E313" w14:textId="20CCAE27">
      <w:pPr>
        <w:pStyle w:val="CoL"/>
        <w:numPr>
          <w:ilvl w:val="0"/>
          <w:numId w:val="0"/>
        </w:numPr>
        <w:ind w:firstLine="540"/>
      </w:pPr>
      <w:r>
        <w:t xml:space="preserve">In response to comments on the proposed decision filed by </w:t>
      </w:r>
      <w:r w:rsidR="00E20498">
        <w:t xml:space="preserve">A4NR, SBUA, </w:t>
      </w:r>
      <w:r>
        <w:t>T</w:t>
      </w:r>
      <w:r w:rsidRPr="00A547F3">
        <w:t xml:space="preserve">URN, </w:t>
      </w:r>
      <w:r w:rsidR="00E20498">
        <w:t xml:space="preserve">and </w:t>
      </w:r>
      <w:r w:rsidRPr="00A547F3">
        <w:t>W</w:t>
      </w:r>
      <w:r w:rsidR="00675EC2">
        <w:t>EM</w:t>
      </w:r>
      <w:r w:rsidRPr="00A547F3">
        <w:t>,</w:t>
      </w:r>
      <w:r w:rsidRPr="004D0A39" w:rsidR="004D0A39">
        <w:rPr>
          <w:rStyle w:val="FootnoteReference"/>
        </w:rPr>
        <w:t xml:space="preserve"> </w:t>
      </w:r>
      <w:r w:rsidR="004D0A39">
        <w:rPr>
          <w:rStyle w:val="FootnoteReference"/>
        </w:rPr>
        <w:footnoteReference w:id="222"/>
      </w:r>
      <w:r>
        <w:t xml:space="preserve"> </w:t>
      </w:r>
      <w:r w:rsidR="00675EC2">
        <w:t>we have added requirements</w:t>
      </w:r>
      <w:r w:rsidR="00E20498">
        <w:t xml:space="preserve"> in </w:t>
      </w:r>
      <w:r w:rsidR="00966F81">
        <w:rPr>
          <w:rFonts w:cs="BookAntiqua"/>
          <w:color w:val="21201E"/>
          <w:szCs w:val="26"/>
        </w:rPr>
        <w:t>Section 6.1.</w:t>
      </w:r>
      <w:r w:rsidR="00D446E5">
        <w:rPr>
          <w:rFonts w:cs="BookAntiqua"/>
          <w:color w:val="21201E"/>
          <w:szCs w:val="26"/>
        </w:rPr>
        <w:t>2</w:t>
      </w:r>
      <w:r w:rsidR="00966F81">
        <w:rPr>
          <w:rFonts w:cs="BookAntiqua"/>
          <w:color w:val="21201E"/>
          <w:szCs w:val="26"/>
        </w:rPr>
        <w:t xml:space="preserve">, Conclusion of Law </w:t>
      </w:r>
      <w:r w:rsidR="004D0A39">
        <w:rPr>
          <w:rFonts w:cs="BookAntiqua"/>
          <w:color w:val="21201E"/>
          <w:szCs w:val="26"/>
        </w:rPr>
        <w:t>6</w:t>
      </w:r>
      <w:r w:rsidR="00966F81">
        <w:rPr>
          <w:rFonts w:cs="BookAntiqua"/>
          <w:color w:val="21201E"/>
          <w:szCs w:val="26"/>
        </w:rPr>
        <w:t xml:space="preserve">, and Ordering Paragraph </w:t>
      </w:r>
      <w:r w:rsidR="004D0A39">
        <w:rPr>
          <w:rFonts w:cs="BookAntiqua"/>
          <w:color w:val="21201E"/>
          <w:szCs w:val="26"/>
        </w:rPr>
        <w:t xml:space="preserve">6 that </w:t>
      </w:r>
      <w:r w:rsidR="00546E11">
        <w:rPr>
          <w:rFonts w:cs="BookAntiqua"/>
          <w:color w:val="21201E"/>
          <w:szCs w:val="26"/>
        </w:rPr>
        <w:t xml:space="preserve"> </w:t>
      </w:r>
      <w:r w:rsidR="00546E11">
        <w:rPr>
          <w:szCs w:val="26"/>
        </w:rPr>
        <w:t xml:space="preserve">PG&amp;E disclose </w:t>
      </w:r>
      <w:r w:rsidRPr="005E113C" w:rsidR="00546E11">
        <w:rPr>
          <w:szCs w:val="26"/>
        </w:rPr>
        <w:t>whenever any</w:t>
      </w:r>
      <w:r w:rsidR="00A90C43">
        <w:rPr>
          <w:szCs w:val="26"/>
        </w:rPr>
        <w:t xml:space="preserve"> </w:t>
      </w:r>
      <w:r w:rsidR="0023636B">
        <w:rPr>
          <w:szCs w:val="26"/>
        </w:rPr>
        <w:t xml:space="preserve">DCPP </w:t>
      </w:r>
      <w:r w:rsidR="004966B4">
        <w:rPr>
          <w:szCs w:val="26"/>
        </w:rPr>
        <w:t xml:space="preserve">costs </w:t>
      </w:r>
      <w:r w:rsidR="00A90C43">
        <w:rPr>
          <w:szCs w:val="26"/>
        </w:rPr>
        <w:t>previously proposed</w:t>
      </w:r>
      <w:r w:rsidRPr="005E113C" w:rsidR="00546E11">
        <w:rPr>
          <w:szCs w:val="26"/>
        </w:rPr>
        <w:t xml:space="preserve"> </w:t>
      </w:r>
      <w:r w:rsidR="004966B4">
        <w:rPr>
          <w:szCs w:val="26"/>
        </w:rPr>
        <w:t xml:space="preserve">as </w:t>
      </w:r>
      <w:r w:rsidRPr="005E113C" w:rsidR="00546E11">
        <w:rPr>
          <w:szCs w:val="26"/>
        </w:rPr>
        <w:t xml:space="preserve">transition and license renewal costs are </w:t>
      </w:r>
      <w:r w:rsidR="00213744">
        <w:rPr>
          <w:szCs w:val="26"/>
        </w:rPr>
        <w:t xml:space="preserve">subsequently recategorized and </w:t>
      </w:r>
      <w:r w:rsidRPr="005E113C" w:rsidR="00546E11">
        <w:rPr>
          <w:szCs w:val="26"/>
        </w:rPr>
        <w:t xml:space="preserve">proposed for recovery in a future DCPP forecast proceeding, along with explanations for why those costs were originally proposed as transition and license renewal costs and why those costs are now eligible for recovery </w:t>
      </w:r>
      <w:r w:rsidR="00347E26">
        <w:rPr>
          <w:szCs w:val="26"/>
        </w:rPr>
        <w:t>as a cost for</w:t>
      </w:r>
      <w:r w:rsidRPr="005E113C" w:rsidR="00546E11">
        <w:rPr>
          <w:szCs w:val="26"/>
        </w:rPr>
        <w:t xml:space="preserve"> </w:t>
      </w:r>
      <w:r w:rsidR="00347E26">
        <w:rPr>
          <w:szCs w:val="26"/>
        </w:rPr>
        <w:t>DCPP</w:t>
      </w:r>
      <w:r w:rsidR="0091569B">
        <w:rPr>
          <w:szCs w:val="26"/>
        </w:rPr>
        <w:t xml:space="preserve">. </w:t>
      </w:r>
    </w:p>
    <w:p w:rsidR="00BD3E53" w:rsidP="0005439A" w:rsidRDefault="00BD3E53" w14:paraId="255D2952" w14:textId="7EBC321E">
      <w:pPr>
        <w:pStyle w:val="CoL"/>
        <w:numPr>
          <w:ilvl w:val="0"/>
          <w:numId w:val="0"/>
        </w:numPr>
        <w:ind w:firstLine="540"/>
      </w:pPr>
      <w:r>
        <w:t xml:space="preserve">In response to PG&amp;E comments, the decision specifies in Section 6.3.2 that forecasted </w:t>
      </w:r>
      <w:r w:rsidR="007F035D">
        <w:t xml:space="preserve">DCPP </w:t>
      </w:r>
      <w:r>
        <w:t xml:space="preserve">RA substitution capacity costs decreased due to the updated outage schedule </w:t>
      </w:r>
      <w:r w:rsidR="007F035D">
        <w:t xml:space="preserve">provided in PG&amp;E’s Fall Update </w:t>
      </w:r>
      <w:r>
        <w:t>in addition to the decrease in system RA MPB.</w:t>
      </w:r>
      <w:r>
        <w:rPr>
          <w:rStyle w:val="FootnoteReference"/>
        </w:rPr>
        <w:footnoteReference w:id="223"/>
      </w:r>
    </w:p>
    <w:p w:rsidR="00BD3E53" w:rsidP="0005439A" w:rsidRDefault="00BD3E53" w14:paraId="3B665EC3" w14:textId="657F5943">
      <w:pPr>
        <w:pStyle w:val="CoL"/>
        <w:numPr>
          <w:ilvl w:val="0"/>
          <w:numId w:val="0"/>
        </w:numPr>
        <w:ind w:firstLine="540"/>
      </w:pPr>
      <w:r>
        <w:t xml:space="preserve">In response to PG&amp;E comments, the decision clarifies </w:t>
      </w:r>
      <w:r w:rsidR="007F035D">
        <w:t>that</w:t>
      </w:r>
      <w:r>
        <w:t xml:space="preserve"> Conclusion of Law 13 </w:t>
      </w:r>
      <w:r w:rsidR="007F035D">
        <w:t xml:space="preserve">applies to </w:t>
      </w:r>
      <w:r>
        <w:t xml:space="preserve">the use of the RA MPB specifically for calculating </w:t>
      </w:r>
      <w:r w:rsidR="007F035D">
        <w:t xml:space="preserve">the </w:t>
      </w:r>
      <w:r>
        <w:t>RA substitution capacity cost forecast.</w:t>
      </w:r>
      <w:r>
        <w:rPr>
          <w:rStyle w:val="FootnoteReference"/>
        </w:rPr>
        <w:footnoteReference w:id="224"/>
      </w:r>
    </w:p>
    <w:p w:rsidR="0005439A" w:rsidP="002D4260" w:rsidRDefault="00BD3E53" w14:paraId="16E7F380" w14:textId="4C4DB64B">
      <w:pPr>
        <w:pStyle w:val="Standard"/>
      </w:pPr>
      <w:r>
        <w:t xml:space="preserve">In response to PG&amp;E comments, the decision corrects a typo in Section 6.5 </w:t>
      </w:r>
      <w:r w:rsidR="007F035D">
        <w:t xml:space="preserve">clarifying </w:t>
      </w:r>
      <w:r>
        <w:t>that the revised Energy Index MPB, and not the revised RA MPB, decreased</w:t>
      </w:r>
      <w:r w:rsidR="007F035D">
        <w:t xml:space="preserve"> the</w:t>
      </w:r>
      <w:r>
        <w:t xml:space="preserve"> DCPP energy market revenue forecast.</w:t>
      </w:r>
      <w:r>
        <w:rPr>
          <w:rStyle w:val="FootnoteReference"/>
        </w:rPr>
        <w:footnoteReference w:id="225"/>
      </w:r>
    </w:p>
    <w:p w:rsidR="00F956D0" w:rsidP="00F956D0" w:rsidRDefault="00F956D0" w14:paraId="0E1C06F6" w14:textId="3A443011">
      <w:pPr>
        <w:pStyle w:val="Heading1"/>
      </w:pPr>
      <w:bookmarkStart w:name="_Toc216176833" w:id="94"/>
      <w:r>
        <w:lastRenderedPageBreak/>
        <w:t>Assignment of Proceeding</w:t>
      </w:r>
      <w:bookmarkEnd w:id="94"/>
    </w:p>
    <w:p w:rsidR="00F956D0" w:rsidP="00F956D0" w:rsidRDefault="00F956D0" w14:paraId="03F0F662" w14:textId="42D8AAE6">
      <w:pPr>
        <w:pStyle w:val="Standard"/>
      </w:pPr>
      <w:r>
        <w:t>Karen Douglas is the assigned Commissioner</w:t>
      </w:r>
      <w:r w:rsidR="00652FA6">
        <w:t>,</w:t>
      </w:r>
      <w:r>
        <w:t xml:space="preserve"> and Jack Chang is the</w:t>
      </w:r>
    </w:p>
    <w:p w:rsidRPr="00F956D0" w:rsidR="00F956D0" w:rsidP="00F956D0" w:rsidRDefault="00F956D0" w14:paraId="57A7B64A" w14:textId="4E28CDAA">
      <w:pPr>
        <w:pStyle w:val="Standard"/>
        <w:ind w:firstLine="0"/>
      </w:pPr>
      <w:r>
        <w:t>assigned Administrative Law Judge in this proceeding.</w:t>
      </w:r>
    </w:p>
    <w:p w:rsidR="005939A5" w:rsidP="005939A5" w:rsidRDefault="005939A5" w14:paraId="0618D228" w14:textId="77777777">
      <w:pPr>
        <w:pStyle w:val="Dummy"/>
      </w:pPr>
      <w:bookmarkStart w:name="_Toc8123725" w:id="95"/>
      <w:bookmarkStart w:name="_Toc216176834" w:id="96"/>
      <w:r>
        <w:t>Findings of Fact</w:t>
      </w:r>
      <w:bookmarkEnd w:id="95"/>
      <w:bookmarkEnd w:id="96"/>
    </w:p>
    <w:p w:rsidR="00652FA6" w:rsidP="00080A96" w:rsidRDefault="00652FA6" w14:paraId="7084E718" w14:textId="3591C853">
      <w:pPr>
        <w:pStyle w:val="FoF"/>
      </w:pPr>
      <w:r w:rsidRPr="00652FA6">
        <w:t xml:space="preserve">D.23-12-036 </w:t>
      </w:r>
      <w:r w:rsidRPr="00080A96">
        <w:t>specified</w:t>
      </w:r>
      <w:r w:rsidRPr="00652FA6">
        <w:t xml:space="preserve"> what PG&amp;E must include in its forecast DCPP</w:t>
      </w:r>
      <w:r w:rsidR="00080A96">
        <w:t xml:space="preserve"> </w:t>
      </w:r>
      <w:r w:rsidRPr="00652FA6">
        <w:t>extended operations cost application.</w:t>
      </w:r>
    </w:p>
    <w:p w:rsidRPr="00652FA6" w:rsidR="00652FA6" w:rsidP="00080A96" w:rsidRDefault="00652FA6" w14:paraId="334A275C" w14:textId="6DE1C427">
      <w:pPr>
        <w:pStyle w:val="FoF"/>
      </w:pPr>
      <w:r w:rsidRPr="00652FA6">
        <w:t>In compliance with D.23-12-036, PG&amp;E timely filed its application for</w:t>
      </w:r>
      <w:r w:rsidR="00080A96">
        <w:t xml:space="preserve"> </w:t>
      </w:r>
      <w:r w:rsidRPr="00652FA6">
        <w:t>Commission review and approval of its forecasted costs covering the period</w:t>
      </w:r>
      <w:r w:rsidR="00080A96">
        <w:t xml:space="preserve"> </w:t>
      </w:r>
      <w:r w:rsidRPr="00652FA6">
        <w:t xml:space="preserve">starting from </w:t>
      </w:r>
      <w:r>
        <w:t>January</w:t>
      </w:r>
      <w:r w:rsidRPr="00652FA6">
        <w:t xml:space="preserve"> 1 through December 31, 202</w:t>
      </w:r>
      <w:r>
        <w:t>6</w:t>
      </w:r>
      <w:r w:rsidRPr="00652FA6">
        <w:t xml:space="preserve"> to support DCPP</w:t>
      </w:r>
      <w:r w:rsidR="00080A96">
        <w:t xml:space="preserve"> </w:t>
      </w:r>
      <w:r w:rsidRPr="00652FA6">
        <w:t>extended operations.</w:t>
      </w:r>
    </w:p>
    <w:p w:rsidRPr="00652FA6" w:rsidR="00652FA6" w:rsidP="00080A96" w:rsidRDefault="00652FA6" w14:paraId="505F631A" w14:textId="2A175E0A">
      <w:pPr>
        <w:pStyle w:val="FoF"/>
      </w:pPr>
      <w:r w:rsidRPr="00652FA6">
        <w:t>Consistent with the Commission’s directives in D.23-12-036, PG&amp;E’s</w:t>
      </w:r>
      <w:r w:rsidR="00080A96">
        <w:t xml:space="preserve"> </w:t>
      </w:r>
      <w:r w:rsidRPr="00652FA6">
        <w:t>application includes: (1) a forecast of costs of extended operations, (2) a forecast</w:t>
      </w:r>
      <w:r w:rsidR="00080A96">
        <w:t xml:space="preserve"> </w:t>
      </w:r>
      <w:r w:rsidRPr="00652FA6">
        <w:t>of market revenues for DCPP for the Record Period, and (3) a proposal to</w:t>
      </w:r>
      <w:r w:rsidR="00080A96">
        <w:t xml:space="preserve"> </w:t>
      </w:r>
      <w:r w:rsidRPr="00652FA6">
        <w:t>establish the DC NBC applicable to all Commission jurisdictional customers</w:t>
      </w:r>
      <w:r w:rsidR="00080A96">
        <w:t xml:space="preserve"> </w:t>
      </w:r>
      <w:r w:rsidRPr="00652FA6">
        <w:t>based on the forecasted net costs.</w:t>
      </w:r>
    </w:p>
    <w:p w:rsidRPr="00652FA6" w:rsidR="00652FA6" w:rsidP="00080A96" w:rsidRDefault="00652FA6" w14:paraId="692D9F47" w14:textId="464E4AEC">
      <w:pPr>
        <w:pStyle w:val="FoF"/>
      </w:pPr>
      <w:r w:rsidRPr="00652FA6">
        <w:t>PG&amp;E estimates $</w:t>
      </w:r>
      <w:r w:rsidRPr="00080A96" w:rsidR="007E451A">
        <w:rPr>
          <w:rFonts w:cs="BookAntiqua"/>
        </w:rPr>
        <w:t>1,208.1</w:t>
      </w:r>
      <w:r w:rsidR="000B222B">
        <w:rPr>
          <w:rFonts w:cs="BookAntiqua"/>
        </w:rPr>
        <w:t xml:space="preserve"> million </w:t>
      </w:r>
      <w:r w:rsidRPr="00652FA6">
        <w:t>for DCPP costs, statutory fees, and</w:t>
      </w:r>
      <w:r w:rsidR="00080A96">
        <w:t xml:space="preserve"> </w:t>
      </w:r>
      <w:r w:rsidRPr="00652FA6">
        <w:t>substitution capacity expenses, with an offsetting $</w:t>
      </w:r>
      <w:r w:rsidR="007E451A">
        <w:t>84</w:t>
      </w:r>
      <w:r w:rsidR="008C772F">
        <w:t>2.676</w:t>
      </w:r>
      <w:r w:rsidR="000B222B">
        <w:t xml:space="preserve"> million </w:t>
      </w:r>
      <w:r w:rsidRPr="00652FA6">
        <w:t>of CAISO net</w:t>
      </w:r>
      <w:r w:rsidR="00080A96">
        <w:t xml:space="preserve"> </w:t>
      </w:r>
      <w:r w:rsidRPr="00652FA6">
        <w:t xml:space="preserve">forecasted market revenue, for a net revenue requirement of </w:t>
      </w:r>
      <w:r>
        <w:t>$</w:t>
      </w:r>
      <w:r w:rsidR="007E451A">
        <w:t>382.</w:t>
      </w:r>
      <w:r w:rsidR="008C772F">
        <w:t>233</w:t>
      </w:r>
      <w:r w:rsidRPr="00652FA6">
        <w:t xml:space="preserve"> million.</w:t>
      </w:r>
    </w:p>
    <w:p w:rsidRPr="007E451A" w:rsidR="005A0DCC" w:rsidP="00951A82" w:rsidRDefault="00652FA6" w14:paraId="54B65FE6" w14:textId="1C636BCC">
      <w:pPr>
        <w:pStyle w:val="FoF"/>
        <w:numPr>
          <w:ilvl w:val="0"/>
          <w:numId w:val="2"/>
        </w:numPr>
        <w:ind w:firstLine="547"/>
      </w:pPr>
      <w:r w:rsidRPr="00652FA6">
        <w:t>PG&amp;E’s forecasted O&amp;M expense</w:t>
      </w:r>
      <w:r w:rsidR="00871F62">
        <w:t xml:space="preserve"> </w:t>
      </w:r>
      <w:r w:rsidRPr="007E0085" w:rsidR="00871F62">
        <w:t>of $</w:t>
      </w:r>
      <w:r w:rsidRPr="007E0085" w:rsidR="007E0085">
        <w:t>726</w:t>
      </w:r>
      <w:r w:rsidR="007E0085">
        <w:t>.245</w:t>
      </w:r>
      <w:r w:rsidR="000B222B">
        <w:t xml:space="preserve"> million </w:t>
      </w:r>
      <w:r w:rsidRPr="00652FA6">
        <w:t>includes the base O&amp;M expense, projects</w:t>
      </w:r>
      <w:r w:rsidR="00871F62">
        <w:t xml:space="preserve"> </w:t>
      </w:r>
      <w:r w:rsidRPr="007E451A">
        <w:t>expense, nuclear fuel expense, and employee retention program expense.</w:t>
      </w:r>
    </w:p>
    <w:p w:rsidRPr="00652FA6" w:rsidR="00652FA6" w:rsidP="00951A82" w:rsidRDefault="005A0DCC" w14:paraId="5551BB42" w14:textId="19109276">
      <w:pPr>
        <w:pStyle w:val="FoF"/>
        <w:numPr>
          <w:ilvl w:val="0"/>
          <w:numId w:val="2"/>
        </w:numPr>
      </w:pPr>
      <w:r w:rsidRPr="007E451A">
        <w:t>T</w:t>
      </w:r>
      <w:r w:rsidRPr="00652FA6" w:rsidR="00652FA6">
        <w:t>here are no actual or known forecastable costs for NRC license renewal</w:t>
      </w:r>
      <w:r w:rsidRPr="007E451A">
        <w:t xml:space="preserve"> </w:t>
      </w:r>
      <w:r w:rsidRPr="00652FA6" w:rsidR="00652FA6">
        <w:t>conditions or any DCISC recommendations during the Record Period.</w:t>
      </w:r>
    </w:p>
    <w:p w:rsidRPr="00652FA6" w:rsidR="00652FA6" w:rsidP="00951A82" w:rsidRDefault="00652FA6" w14:paraId="2D2A6EEB" w14:textId="049E68C1">
      <w:pPr>
        <w:pStyle w:val="FoF"/>
        <w:numPr>
          <w:ilvl w:val="0"/>
          <w:numId w:val="2"/>
        </w:numPr>
        <w:ind w:firstLine="547"/>
      </w:pPr>
      <w:r w:rsidRPr="00652FA6">
        <w:t>PG&amp;E provided a workable framework to distinguish transitional costs</w:t>
      </w:r>
      <w:r w:rsidR="00085D87">
        <w:t xml:space="preserve"> </w:t>
      </w:r>
      <w:r w:rsidRPr="00652FA6">
        <w:t>from extended operations costs.</w:t>
      </w:r>
    </w:p>
    <w:p w:rsidRPr="00652FA6" w:rsidR="00652FA6" w:rsidP="00080A96" w:rsidRDefault="00652FA6" w14:paraId="6CF5FCA1" w14:textId="064A545B">
      <w:pPr>
        <w:pStyle w:val="FoF"/>
      </w:pPr>
      <w:r w:rsidRPr="00652FA6">
        <w:lastRenderedPageBreak/>
        <w:t>PG&amp;E properly followed the common practice in GRCs, as directed by</w:t>
      </w:r>
      <w:r w:rsidR="00080A96">
        <w:t xml:space="preserve"> </w:t>
      </w:r>
      <w:r w:rsidRPr="00652FA6">
        <w:t>D.23-12-036</w:t>
      </w:r>
      <w:r w:rsidR="00085D87">
        <w:t xml:space="preserve"> and D.24-12-033</w:t>
      </w:r>
      <w:r w:rsidRPr="00652FA6">
        <w:t>, and presented summaries for projects over $</w:t>
      </w:r>
      <w:r w:rsidR="00085D87">
        <w:t>1</w:t>
      </w:r>
      <w:r w:rsidR="00080A96">
        <w:t> </w:t>
      </w:r>
      <w:r w:rsidRPr="00652FA6">
        <w:t>million.</w:t>
      </w:r>
    </w:p>
    <w:p w:rsidRPr="00652FA6" w:rsidR="00652FA6" w:rsidP="00080A96" w:rsidRDefault="00652FA6" w14:paraId="3B1D695A" w14:textId="75CFDF4C">
      <w:pPr>
        <w:pStyle w:val="FoF"/>
      </w:pPr>
      <w:r w:rsidRPr="00652FA6">
        <w:t>PG&amp;E’s request to recover $</w:t>
      </w:r>
      <w:r w:rsidR="00085D87">
        <w:t>53.061</w:t>
      </w:r>
      <w:r w:rsidR="000B222B">
        <w:t xml:space="preserve"> million </w:t>
      </w:r>
      <w:r w:rsidRPr="00652FA6">
        <w:t>in employee retention costs for</w:t>
      </w:r>
      <w:r w:rsidR="00080A96">
        <w:t xml:space="preserve"> </w:t>
      </w:r>
      <w:r w:rsidRPr="00652FA6">
        <w:t>the Record Period in the DC NBC is consistent with Pub. Util. Code</w:t>
      </w:r>
      <w:r w:rsidR="00080A96">
        <w:t xml:space="preserve"> </w:t>
      </w:r>
      <w:r w:rsidRPr="00652FA6">
        <w:t>Section</w:t>
      </w:r>
      <w:r w:rsidR="00760F91">
        <w:t> </w:t>
      </w:r>
      <w:r w:rsidRPr="00652FA6">
        <w:t>712.8(f)(2), D.22-12-005, Resolution E-5299, D.23-12-036, and D.24-09-002.</w:t>
      </w:r>
    </w:p>
    <w:p w:rsidRPr="00652FA6" w:rsidR="00652FA6" w:rsidP="00080A96" w:rsidRDefault="00652FA6" w14:paraId="715DE5F8" w14:textId="47B8382D">
      <w:pPr>
        <w:pStyle w:val="FoF"/>
      </w:pPr>
      <w:r w:rsidRPr="00652FA6">
        <w:t>DCPP is a generation asset and the purpose of the Fixed Management Fee</w:t>
      </w:r>
      <w:r w:rsidR="00080A96">
        <w:t xml:space="preserve"> </w:t>
      </w:r>
      <w:r w:rsidRPr="00652FA6">
        <w:t>is to compensate PG&amp;E shareholders for the risks associated with generation</w:t>
      </w:r>
      <w:r w:rsidR="00085D87">
        <w:t xml:space="preserve"> </w:t>
      </w:r>
      <w:r w:rsidRPr="00652FA6" w:rsidR="00B762BA">
        <w:t>assets</w:t>
      </w:r>
      <w:r w:rsidRPr="00652FA6">
        <w:t>.</w:t>
      </w:r>
    </w:p>
    <w:p w:rsidR="00652FA6" w:rsidP="00951A82" w:rsidRDefault="00652FA6" w14:paraId="3A4C4A70" w14:textId="2328ADE6">
      <w:pPr>
        <w:pStyle w:val="FoF"/>
        <w:numPr>
          <w:ilvl w:val="0"/>
          <w:numId w:val="2"/>
        </w:numPr>
      </w:pPr>
      <w:r w:rsidRPr="00652FA6">
        <w:t>PG&amp;E’s liquidated damages funding calculation</w:t>
      </w:r>
      <w:r w:rsidR="00871F62">
        <w:t xml:space="preserve"> of $</w:t>
      </w:r>
      <w:r w:rsidR="007E0085">
        <w:t>75</w:t>
      </w:r>
      <w:r w:rsidR="000B222B">
        <w:t xml:space="preserve"> million </w:t>
      </w:r>
      <w:r w:rsidRPr="00652FA6">
        <w:t>is correct.</w:t>
      </w:r>
    </w:p>
    <w:p w:rsidRPr="00652FA6" w:rsidR="00376BC3" w:rsidP="00951A82" w:rsidRDefault="00376BC3" w14:paraId="4699B3E0" w14:textId="554ACDE9">
      <w:pPr>
        <w:pStyle w:val="FoF"/>
        <w:numPr>
          <w:ilvl w:val="0"/>
          <w:numId w:val="2"/>
        </w:numPr>
      </w:pPr>
      <w:r>
        <w:t>The CPI-U is an appropriate measure of U.S. cost growth and applies to the DCPP Fixed Management Fee.</w:t>
      </w:r>
    </w:p>
    <w:p w:rsidRPr="00652FA6" w:rsidR="00652FA6" w:rsidP="00080A96" w:rsidRDefault="00652FA6" w14:paraId="671CBA3E" w14:textId="13DD2B69">
      <w:pPr>
        <w:pStyle w:val="FoF"/>
      </w:pPr>
      <w:r w:rsidRPr="00652FA6">
        <w:t xml:space="preserve">Due to the </w:t>
      </w:r>
      <w:r w:rsidR="00085D87">
        <w:t>de</w:t>
      </w:r>
      <w:r w:rsidRPr="00652FA6">
        <w:t>crease in the system RA MPB, the forecasted RA substitution</w:t>
      </w:r>
      <w:r w:rsidR="00080A96">
        <w:t xml:space="preserve"> </w:t>
      </w:r>
      <w:r w:rsidRPr="00652FA6">
        <w:t xml:space="preserve">capacity costs for the Record Period </w:t>
      </w:r>
      <w:r w:rsidR="00085D87">
        <w:t>de</w:t>
      </w:r>
      <w:r w:rsidRPr="00652FA6">
        <w:t>creased from $</w:t>
      </w:r>
      <w:r w:rsidR="007E451A">
        <w:t>160.837</w:t>
      </w:r>
      <w:r w:rsidR="000B222B">
        <w:t xml:space="preserve"> million </w:t>
      </w:r>
      <w:r w:rsidRPr="00652FA6">
        <w:t>to $</w:t>
      </w:r>
      <w:r w:rsidR="007E451A">
        <w:t>26.288</w:t>
      </w:r>
      <w:r w:rsidR="000B222B">
        <w:t xml:space="preserve"> million </w:t>
      </w:r>
      <w:r w:rsidRPr="00652FA6">
        <w:t>in</w:t>
      </w:r>
      <w:r w:rsidR="00085D87">
        <w:t xml:space="preserve"> </w:t>
      </w:r>
      <w:r w:rsidRPr="00652FA6">
        <w:t>the Fall Update.</w:t>
      </w:r>
    </w:p>
    <w:p w:rsidRPr="00652FA6" w:rsidR="00652FA6" w:rsidP="004008C1" w:rsidRDefault="00652FA6" w14:paraId="2E212B27" w14:textId="4BCA36AF">
      <w:pPr>
        <w:pStyle w:val="FoF"/>
      </w:pPr>
      <w:r w:rsidRPr="00652FA6">
        <w:t>The use of PCIA benchmarks to calculate RA substitution cost is more</w:t>
      </w:r>
      <w:r w:rsidR="004008C1">
        <w:t xml:space="preserve"> </w:t>
      </w:r>
      <w:r w:rsidRPr="00652FA6">
        <w:t>transparent and aligns with the regulatory precedent.</w:t>
      </w:r>
    </w:p>
    <w:p w:rsidRPr="00652FA6" w:rsidR="00652FA6" w:rsidP="004008C1" w:rsidRDefault="00652FA6" w14:paraId="0C946AAA" w14:textId="21AEB2DA">
      <w:pPr>
        <w:pStyle w:val="FoF"/>
      </w:pPr>
      <w:r w:rsidRPr="00652FA6">
        <w:t>Costs that are already attributed to the DWR Loan are considered</w:t>
      </w:r>
      <w:r w:rsidR="004008C1">
        <w:t xml:space="preserve"> </w:t>
      </w:r>
      <w:r w:rsidRPr="00652FA6">
        <w:t>incremental as they were needed to pay for the extension of the existing fuel</w:t>
      </w:r>
      <w:r w:rsidR="004008C1">
        <w:t xml:space="preserve"> </w:t>
      </w:r>
      <w:r w:rsidRPr="00652FA6">
        <w:t>cycle, whereas the nuclear fuel costs sought herein are outside of the</w:t>
      </w:r>
      <w:r>
        <w:t xml:space="preserve"> </w:t>
      </w:r>
      <w:r w:rsidRPr="00652FA6">
        <w:t>window and part of ongoing operations during the extension and are necessary</w:t>
      </w:r>
      <w:r w:rsidR="00152312">
        <w:t xml:space="preserve"> </w:t>
      </w:r>
      <w:r w:rsidRPr="00652FA6">
        <w:t>for the operation of the plant.</w:t>
      </w:r>
    </w:p>
    <w:p w:rsidRPr="00652FA6" w:rsidR="00652FA6" w:rsidP="004008C1" w:rsidRDefault="00652FA6" w14:paraId="6D65EDD6" w14:textId="096C88EA">
      <w:pPr>
        <w:pStyle w:val="FoF"/>
      </w:pPr>
      <w:r w:rsidRPr="00652FA6">
        <w:t>The treatment of nuclear fuel expense aligns with the Commission’s</w:t>
      </w:r>
      <w:r w:rsidR="00152312">
        <w:t xml:space="preserve"> </w:t>
      </w:r>
      <w:r w:rsidRPr="00652FA6">
        <w:t>historical treatment of nuclear fuel costs where these costs were recovered</w:t>
      </w:r>
      <w:r w:rsidR="004008C1">
        <w:t xml:space="preserve"> </w:t>
      </w:r>
      <w:r w:rsidRPr="00652FA6">
        <w:t>annually in rates through the ERRA Forecast proceeding.</w:t>
      </w:r>
    </w:p>
    <w:p w:rsidRPr="00652FA6" w:rsidR="00652FA6" w:rsidP="004008C1" w:rsidRDefault="00652FA6" w14:paraId="1127DEBC" w14:textId="35A67194">
      <w:pPr>
        <w:pStyle w:val="FoF"/>
      </w:pPr>
      <w:r w:rsidRPr="00652FA6">
        <w:lastRenderedPageBreak/>
        <w:t>The computation of netting the CAISO revenues is undisputed by the</w:t>
      </w:r>
      <w:r w:rsidR="004008C1">
        <w:t xml:space="preserve"> </w:t>
      </w:r>
      <w:r w:rsidRPr="00652FA6">
        <w:t>parties.</w:t>
      </w:r>
    </w:p>
    <w:p w:rsidRPr="00652FA6" w:rsidR="00652FA6" w:rsidP="004008C1" w:rsidRDefault="00652FA6" w14:paraId="1CDC4D7A" w14:textId="5F422857">
      <w:pPr>
        <w:pStyle w:val="FoF"/>
      </w:pPr>
      <w:r w:rsidRPr="00652FA6">
        <w:t>PG&amp;E’s VPF spending plan provides sufficient detail showing how the</w:t>
      </w:r>
      <w:r w:rsidR="004008C1">
        <w:t xml:space="preserve"> </w:t>
      </w:r>
      <w:r w:rsidRPr="00652FA6">
        <w:t>plan is consistent with</w:t>
      </w:r>
      <w:r w:rsidR="0009635B">
        <w:t xml:space="preserve"> Pub. Util. Code</w:t>
      </w:r>
      <w:r w:rsidRPr="00652FA6">
        <w:t xml:space="preserve"> Section 712.8(s)(1) requirements</w:t>
      </w:r>
      <w:r w:rsidR="008107CC">
        <w:t>.</w:t>
      </w:r>
    </w:p>
    <w:p w:rsidR="00D25105" w:rsidP="00D25105" w:rsidRDefault="00652FA6" w14:paraId="4ABE750A" w14:textId="630F9D6C">
      <w:pPr>
        <w:pStyle w:val="FoF"/>
      </w:pPr>
      <w:r w:rsidRPr="00652FA6">
        <w:t>There is already a</w:t>
      </w:r>
      <w:r w:rsidR="00AE3E53">
        <w:t xml:space="preserve"> </w:t>
      </w:r>
      <w:r w:rsidR="004D0A39">
        <w:t>public agency review process involving a</w:t>
      </w:r>
      <w:r w:rsidR="00161189">
        <w:t xml:space="preserve"> </w:t>
      </w:r>
      <w:r w:rsidR="00AE3E53">
        <w:t>semi-annual true-up and Advice Letter</w:t>
      </w:r>
      <w:r w:rsidRPr="00652FA6">
        <w:t xml:space="preserve"> process established</w:t>
      </w:r>
      <w:r w:rsidR="00973030">
        <w:t xml:space="preserve"> for </w:t>
      </w:r>
      <w:r w:rsidR="00BC210C">
        <w:t xml:space="preserve">reviewing </w:t>
      </w:r>
      <w:r w:rsidR="00973030">
        <w:t xml:space="preserve">transition costs recorded to the Diablo Canyon Transition and Relicensing Memorandum Account, </w:t>
      </w:r>
      <w:r w:rsidRPr="00652FA6">
        <w:t>and DWR and the</w:t>
      </w:r>
      <w:r w:rsidR="004008C1">
        <w:t xml:space="preserve"> </w:t>
      </w:r>
      <w:r w:rsidRPr="00652FA6">
        <w:t>Commission have the authority and capability of reviewing these expenses.</w:t>
      </w:r>
    </w:p>
    <w:p w:rsidR="00D25105" w:rsidP="00D25105" w:rsidRDefault="005E113C" w14:paraId="00DED2B7" w14:textId="39EE209B">
      <w:pPr>
        <w:pStyle w:val="FoF"/>
      </w:pPr>
      <w:r>
        <w:t xml:space="preserve">PG&amp;E has </w:t>
      </w:r>
      <w:r w:rsidR="00043FC9">
        <w:t>revealed</w:t>
      </w:r>
      <w:r>
        <w:t xml:space="preserve"> in </w:t>
      </w:r>
      <w:r w:rsidR="000103F1">
        <w:t>the TLRES</w:t>
      </w:r>
      <w:r>
        <w:t xml:space="preserve"> that it</w:t>
      </w:r>
      <w:r w:rsidR="00BF2DD0">
        <w:t xml:space="preserve"> forecasted </w:t>
      </w:r>
      <w:r>
        <w:t>spen</w:t>
      </w:r>
      <w:r w:rsidR="00BF2DD0">
        <w:t>ding</w:t>
      </w:r>
      <w:r>
        <w:t xml:space="preserve"> $1.487 billion in transition and license renewal spending forecast </w:t>
      </w:r>
      <w:r w:rsidR="00043FC9">
        <w:t>through</w:t>
      </w:r>
      <w:r>
        <w:t xml:space="preserve"> 2026, which is $15</w:t>
      </w:r>
      <w:r w:rsidR="004D0A39">
        <w:t>7</w:t>
      </w:r>
      <w:r>
        <w:t xml:space="preserve"> million more than the $1.4 billion allocated in the DWR loan </w:t>
      </w:r>
      <w:r w:rsidR="00043FC9">
        <w:t xml:space="preserve">dedicated to transitional and license renewal costs, </w:t>
      </w:r>
      <w:r>
        <w:t>after accounting for administrative costs that DWR is authorized to retain.</w:t>
      </w:r>
    </w:p>
    <w:p w:rsidR="00043FC9" w:rsidP="00D25105" w:rsidRDefault="00043FC9" w14:paraId="7230969A" w14:textId="38AC6B94">
      <w:pPr>
        <w:pStyle w:val="FoF"/>
      </w:pPr>
      <w:r>
        <w:t xml:space="preserve">PG&amp;E has stated that it is </w:t>
      </w:r>
      <w:r w:rsidRPr="004360B8">
        <w:t xml:space="preserve">in the process of a reprioritization to ensure </w:t>
      </w:r>
      <w:r>
        <w:t xml:space="preserve">it fully utilizes the DWR loan without </w:t>
      </w:r>
      <w:r w:rsidR="00AE36A3">
        <w:t xml:space="preserve">exceeding the </w:t>
      </w:r>
      <w:r w:rsidR="007D1BA3">
        <w:t>loan amount</w:t>
      </w:r>
      <w:r>
        <w:t>.</w:t>
      </w:r>
    </w:p>
    <w:p w:rsidR="005A0DCC" w:rsidP="008926B4" w:rsidRDefault="005A0DCC" w14:paraId="03475E0F" w14:textId="6B01EEBE">
      <w:pPr>
        <w:pStyle w:val="Dummy"/>
      </w:pPr>
      <w:bookmarkStart w:name="_Toc216176835" w:id="97"/>
      <w:r>
        <w:t>Conclusions of Law</w:t>
      </w:r>
      <w:bookmarkEnd w:id="97"/>
    </w:p>
    <w:p w:rsidR="005A0DCC" w:rsidP="00861988" w:rsidRDefault="00652FA6" w14:paraId="36C241E9" w14:textId="449D0C46">
      <w:pPr>
        <w:pStyle w:val="CoL"/>
        <w:numPr>
          <w:ilvl w:val="0"/>
          <w:numId w:val="23"/>
        </w:numPr>
      </w:pPr>
      <w:r w:rsidRPr="00652FA6">
        <w:t>PG&amp;E’s 202</w:t>
      </w:r>
      <w:r w:rsidR="005A0DCC">
        <w:t>6</w:t>
      </w:r>
      <w:r w:rsidRPr="00652FA6">
        <w:t xml:space="preserve"> DCPP extended operations revenue requirement of</w:t>
      </w:r>
      <w:r w:rsidR="005A0DCC">
        <w:t xml:space="preserve"> </w:t>
      </w:r>
      <w:r w:rsidRPr="00652FA6">
        <w:t>$</w:t>
      </w:r>
      <w:r w:rsidR="00550908">
        <w:t>382.</w:t>
      </w:r>
      <w:r w:rsidR="00FC59F3">
        <w:t>233</w:t>
      </w:r>
      <w:r w:rsidR="000B222B">
        <w:t xml:space="preserve"> million </w:t>
      </w:r>
      <w:r w:rsidRPr="00652FA6">
        <w:t>should be approved</w:t>
      </w:r>
      <w:r w:rsidR="005A0DCC">
        <w:t>.</w:t>
      </w:r>
    </w:p>
    <w:p w:rsidR="005A0DCC" w:rsidP="00550908" w:rsidRDefault="00652FA6" w14:paraId="7C890731" w14:textId="77777777">
      <w:pPr>
        <w:pStyle w:val="CoL"/>
      </w:pPr>
      <w:r w:rsidRPr="00652FA6">
        <w:t>The approved costs should be reflected in statewide rates starting on</w:t>
      </w:r>
      <w:r w:rsidR="005A0DCC">
        <w:t xml:space="preserve"> </w:t>
      </w:r>
      <w:r w:rsidRPr="00652FA6">
        <w:t>January 1, 202</w:t>
      </w:r>
      <w:r w:rsidR="005A0DCC">
        <w:t>6</w:t>
      </w:r>
      <w:r w:rsidRPr="00652FA6">
        <w:t>.</w:t>
      </w:r>
    </w:p>
    <w:p w:rsidR="005A0DCC" w:rsidP="00550908" w:rsidRDefault="00652FA6" w14:paraId="3E24A829" w14:textId="0A504B4F">
      <w:pPr>
        <w:pStyle w:val="CoL"/>
      </w:pPr>
      <w:r w:rsidRPr="00652FA6">
        <w:t>PG&amp;E’s request to recover $</w:t>
      </w:r>
      <w:r w:rsidR="00996FDB">
        <w:t>726.245</w:t>
      </w:r>
      <w:r w:rsidR="000B222B">
        <w:t xml:space="preserve"> million </w:t>
      </w:r>
      <w:r w:rsidRPr="00652FA6">
        <w:t xml:space="preserve">in </w:t>
      </w:r>
      <w:r w:rsidR="00996FDB">
        <w:t xml:space="preserve">total </w:t>
      </w:r>
      <w:r w:rsidRPr="00652FA6">
        <w:t>O&amp;M costs for the period</w:t>
      </w:r>
      <w:r w:rsidR="005A0DCC">
        <w:t xml:space="preserve"> January</w:t>
      </w:r>
      <w:r w:rsidRPr="00652FA6">
        <w:t xml:space="preserve"> 1</w:t>
      </w:r>
      <w:r w:rsidR="00B762BA">
        <w:t xml:space="preserve"> </w:t>
      </w:r>
      <w:r w:rsidRPr="00652FA6">
        <w:t>to December 31, 202</w:t>
      </w:r>
      <w:r w:rsidR="005A0DCC">
        <w:t>6</w:t>
      </w:r>
      <w:r w:rsidRPr="00652FA6">
        <w:t>, is reasonable.</w:t>
      </w:r>
    </w:p>
    <w:p w:rsidR="005A0DCC" w:rsidP="00550908" w:rsidRDefault="00652FA6" w14:paraId="56F5E00D" w14:textId="6D061377">
      <w:pPr>
        <w:pStyle w:val="CoL"/>
      </w:pPr>
      <w:r w:rsidRPr="00652FA6">
        <w:t>PG&amp;E’s request to recover $</w:t>
      </w:r>
      <w:r w:rsidR="005A0DCC">
        <w:t>53.061</w:t>
      </w:r>
      <w:r w:rsidR="000B222B">
        <w:t xml:space="preserve"> million </w:t>
      </w:r>
      <w:r w:rsidRPr="00652FA6">
        <w:t>in employee retention costs for</w:t>
      </w:r>
      <w:r w:rsidR="005A0DCC">
        <w:t xml:space="preserve"> </w:t>
      </w:r>
      <w:r w:rsidRPr="00652FA6">
        <w:t>the Record Period in the DC NBC should be approved.</w:t>
      </w:r>
    </w:p>
    <w:p w:rsidRPr="00AE7145" w:rsidR="005E113C" w:rsidP="00760F91" w:rsidRDefault="005E113C" w14:paraId="68ACCCEB" w14:textId="7E1C677A">
      <w:pPr>
        <w:pStyle w:val="CoL"/>
        <w:rPr>
          <w:szCs w:val="26"/>
        </w:rPr>
      </w:pPr>
      <w:bookmarkStart w:name="_Hlk214963082" w:id="98"/>
      <w:r w:rsidRPr="005E113C">
        <w:rPr>
          <w:szCs w:val="26"/>
        </w:rPr>
        <w:lastRenderedPageBreak/>
        <w:t xml:space="preserve">PG&amp;E </w:t>
      </w:r>
      <w:r>
        <w:rPr>
          <w:szCs w:val="26"/>
        </w:rPr>
        <w:t>should be required to</w:t>
      </w:r>
      <w:r w:rsidRPr="005E113C">
        <w:rPr>
          <w:szCs w:val="26"/>
        </w:rPr>
        <w:t xml:space="preserve"> disclose </w:t>
      </w:r>
      <w:r>
        <w:rPr>
          <w:szCs w:val="26"/>
        </w:rPr>
        <w:t xml:space="preserve">in future DCPP cost recovery applications </w:t>
      </w:r>
      <w:r w:rsidRPr="005E113C">
        <w:rPr>
          <w:szCs w:val="26"/>
        </w:rPr>
        <w:t xml:space="preserve">whenever any transition and license renewal costs that were part of the amounts included in the </w:t>
      </w:r>
      <w:r w:rsidR="000103F1">
        <w:rPr>
          <w:szCs w:val="26"/>
        </w:rPr>
        <w:t>TLRES</w:t>
      </w:r>
      <w:r w:rsidRPr="005E113C">
        <w:rPr>
          <w:szCs w:val="26"/>
        </w:rPr>
        <w:t xml:space="preserve"> are proposed for recovery in any future DCPP forecast proceedings, along with explanations for why those costs were originally proposed as transition and license renewal costs and why those costs are now eligible for recovery in extended operations.</w:t>
      </w:r>
    </w:p>
    <w:bookmarkEnd w:id="98"/>
    <w:p w:rsidR="00550908" w:rsidP="00550908" w:rsidRDefault="00652FA6" w14:paraId="79F615AB" w14:textId="4B3B912E">
      <w:pPr>
        <w:pStyle w:val="CoL"/>
      </w:pPr>
      <w:r w:rsidRPr="00652FA6">
        <w:t>PG&amp;E’s request for $</w:t>
      </w:r>
      <w:r w:rsidR="00550908">
        <w:t>266.56</w:t>
      </w:r>
      <w:r w:rsidR="000B222B">
        <w:t xml:space="preserve"> million </w:t>
      </w:r>
      <w:r w:rsidRPr="00652FA6">
        <w:t xml:space="preserve">in VPFs; </w:t>
      </w:r>
      <w:r w:rsidR="00550908">
        <w:t>$113.997</w:t>
      </w:r>
      <w:r w:rsidR="000B222B">
        <w:t xml:space="preserve"> million </w:t>
      </w:r>
      <w:r w:rsidR="00550908">
        <w:t xml:space="preserve">in Fixed Management Fee, </w:t>
      </w:r>
      <w:r w:rsidRPr="00652FA6">
        <w:t>and $</w:t>
      </w:r>
      <w:r w:rsidR="00550908">
        <w:t>75</w:t>
      </w:r>
      <w:r w:rsidR="000B222B">
        <w:t xml:space="preserve"> million </w:t>
      </w:r>
      <w:r w:rsidRPr="00652FA6">
        <w:t>to be recorded</w:t>
      </w:r>
      <w:r w:rsidR="005A0DCC">
        <w:t xml:space="preserve"> </w:t>
      </w:r>
      <w:r w:rsidRPr="00652FA6">
        <w:t>to the liquidated damages subaccount of the DCEOBA should be approved</w:t>
      </w:r>
      <w:r w:rsidR="00550908">
        <w:t>.</w:t>
      </w:r>
    </w:p>
    <w:p w:rsidR="00550908" w:rsidP="00550908" w:rsidRDefault="00652FA6" w14:paraId="5A241FAD" w14:textId="5FC77E5E">
      <w:pPr>
        <w:pStyle w:val="CoL"/>
      </w:pPr>
      <w:r w:rsidRPr="00652FA6">
        <w:t xml:space="preserve">The use of a </w:t>
      </w:r>
      <w:r w:rsidR="00550908">
        <w:t>CPI-U-based</w:t>
      </w:r>
      <w:r w:rsidRPr="00652FA6">
        <w:t xml:space="preserve"> escalator for fixed management fees</w:t>
      </w:r>
      <w:r w:rsidR="00973030">
        <w:t xml:space="preserve"> </w:t>
      </w:r>
      <w:r w:rsidRPr="00652FA6">
        <w:t>is</w:t>
      </w:r>
      <w:r w:rsidR="00550908">
        <w:t xml:space="preserve"> </w:t>
      </w:r>
      <w:r w:rsidRPr="00652FA6">
        <w:t>reasonable and appropriate.</w:t>
      </w:r>
    </w:p>
    <w:p w:rsidR="00550908" w:rsidP="004008C1" w:rsidRDefault="00652FA6" w14:paraId="15005423" w14:textId="1B64E59C">
      <w:pPr>
        <w:pStyle w:val="CoL"/>
      </w:pPr>
      <w:r w:rsidRPr="00652FA6">
        <w:t>PG&amp;E’s liquidated damages funding request of $</w:t>
      </w:r>
      <w:r w:rsidR="00550908">
        <w:t>7</w:t>
      </w:r>
      <w:r w:rsidRPr="00652FA6">
        <w:t>5</w:t>
      </w:r>
      <w:r w:rsidR="000B222B">
        <w:t xml:space="preserve"> million </w:t>
      </w:r>
      <w:r w:rsidRPr="00652FA6">
        <w:t>complies with</w:t>
      </w:r>
      <w:r w:rsidR="004008C1">
        <w:t xml:space="preserve"> </w:t>
      </w:r>
      <w:r w:rsidRPr="00652FA6">
        <w:t>Pub. Util. Code Section 712.8(g), is reasonable, and should be approved.</w:t>
      </w:r>
    </w:p>
    <w:p w:rsidR="00376BC3" w:rsidP="00DA6954" w:rsidRDefault="00376BC3" w14:paraId="385A7C10" w14:textId="70DB5F8E">
      <w:pPr>
        <w:pStyle w:val="CoL"/>
      </w:pPr>
      <w:r>
        <w:t xml:space="preserve">The CPI-U should be adopted as the </w:t>
      </w:r>
      <w:r w:rsidR="00B762BA">
        <w:t>methodology</w:t>
      </w:r>
      <w:r>
        <w:t xml:space="preserve"> to forecast annual escalation in the DCPP Fixed Management Fee</w:t>
      </w:r>
      <w:r w:rsidR="00C41785">
        <w:t xml:space="preserve"> and s</w:t>
      </w:r>
      <w:r w:rsidRPr="00C41785" w:rsidR="00C41785">
        <w:t>hould be used in future DCPP cost recovery application</w:t>
      </w:r>
      <w:r w:rsidR="00161189">
        <w:t>s to incrementally escalate the Fixed Management Fee approved in the previous year’s DCPP application</w:t>
      </w:r>
      <w:r w:rsidR="00C41785">
        <w:t>.</w:t>
      </w:r>
    </w:p>
    <w:p w:rsidR="00550908" w:rsidP="004008C1" w:rsidRDefault="00652FA6" w14:paraId="6C075070" w14:textId="30EF409E">
      <w:pPr>
        <w:pStyle w:val="CoL"/>
      </w:pPr>
      <w:r w:rsidRPr="00652FA6">
        <w:t>PG&amp;E’s RA substitution capacity cost forecast of $</w:t>
      </w:r>
      <w:r w:rsidR="00550908">
        <w:t>26.288</w:t>
      </w:r>
      <w:r w:rsidR="000B222B">
        <w:t xml:space="preserve"> million </w:t>
      </w:r>
      <w:r w:rsidRPr="00652FA6">
        <w:t>for the</w:t>
      </w:r>
      <w:r w:rsidR="004008C1">
        <w:t xml:space="preserve"> </w:t>
      </w:r>
      <w:r w:rsidRPr="00652FA6">
        <w:t xml:space="preserve">extended operations period of </w:t>
      </w:r>
      <w:r w:rsidR="00550908">
        <w:t>January 1</w:t>
      </w:r>
      <w:r w:rsidR="00B762BA">
        <w:t xml:space="preserve"> </w:t>
      </w:r>
      <w:r w:rsidRPr="00652FA6">
        <w:t>through December 31, 202</w:t>
      </w:r>
      <w:r w:rsidR="00550908">
        <w:t>6</w:t>
      </w:r>
      <w:r w:rsidR="00996FDB">
        <w:t xml:space="preserve"> </w:t>
      </w:r>
      <w:r w:rsidRPr="00652FA6">
        <w:t>should be approved.</w:t>
      </w:r>
    </w:p>
    <w:p w:rsidR="00550908" w:rsidP="00550908" w:rsidRDefault="00652FA6" w14:paraId="6D8AAE69" w14:textId="399B5722">
      <w:pPr>
        <w:pStyle w:val="CoL"/>
      </w:pPr>
      <w:r w:rsidRPr="00652FA6">
        <w:t>The use of the RA MPB</w:t>
      </w:r>
      <w:r w:rsidR="00973030">
        <w:t xml:space="preserve"> for calculating RA substitution capacity cost</w:t>
      </w:r>
      <w:r w:rsidRPr="00652FA6">
        <w:t xml:space="preserve"> is appropriate and should be approved.</w:t>
      </w:r>
      <w:r w:rsidR="00550908">
        <w:t xml:space="preserve"> </w:t>
      </w:r>
    </w:p>
    <w:p w:rsidRPr="00652FA6" w:rsidR="00652FA6" w:rsidP="004008C1" w:rsidRDefault="00550908" w14:paraId="4FB9A3C1" w14:textId="46BDD4D6">
      <w:pPr>
        <w:pStyle w:val="CoL"/>
      </w:pPr>
      <w:r>
        <w:t>PG</w:t>
      </w:r>
      <w:r w:rsidRPr="00652FA6" w:rsidR="00652FA6">
        <w:t xml:space="preserve">&amp;E’s nuclear fuel cost forecast and </w:t>
      </w:r>
      <w:proofErr w:type="spellStart"/>
      <w:r w:rsidRPr="00652FA6" w:rsidR="00652FA6">
        <w:t>straightline</w:t>
      </w:r>
      <w:proofErr w:type="spellEnd"/>
      <w:r w:rsidRPr="00652FA6" w:rsidR="00652FA6">
        <w:t xml:space="preserve"> amortization proposal</w:t>
      </w:r>
      <w:r>
        <w:t xml:space="preserve"> </w:t>
      </w:r>
      <w:r w:rsidRPr="00652FA6" w:rsidR="00652FA6">
        <w:t>are reasonable, comply with Pub. Util. Code Sections 712.8(c)(1)(C), 712.8(h)(1)</w:t>
      </w:r>
      <w:r w:rsidR="004008C1">
        <w:t xml:space="preserve"> </w:t>
      </w:r>
      <w:r w:rsidRPr="00652FA6" w:rsidR="00652FA6">
        <w:t>and Commission decisions and resolutions interpreting those statutory sections,</w:t>
      </w:r>
      <w:r w:rsidR="004008C1">
        <w:t xml:space="preserve"> </w:t>
      </w:r>
      <w:r w:rsidRPr="00652FA6" w:rsidR="00652FA6">
        <w:t>and should be approved.</w:t>
      </w:r>
    </w:p>
    <w:p w:rsidRPr="00652FA6" w:rsidR="00652FA6" w:rsidP="00550908" w:rsidRDefault="00652FA6" w14:paraId="368CBDEA" w14:textId="70668093">
      <w:pPr>
        <w:pStyle w:val="CoL"/>
      </w:pPr>
      <w:r w:rsidRPr="00652FA6">
        <w:lastRenderedPageBreak/>
        <w:t>PG&amp;E’s methodology to calculate forecast CAISO energy market revenues</w:t>
      </w:r>
      <w:r w:rsidR="00550908">
        <w:t xml:space="preserve"> is </w:t>
      </w:r>
      <w:r w:rsidRPr="00652FA6">
        <w:t>reasonable and should be approved.</w:t>
      </w:r>
    </w:p>
    <w:p w:rsidRPr="00652FA6" w:rsidR="00652FA6" w:rsidP="004008C1" w:rsidRDefault="00652FA6" w14:paraId="5536DAC4" w14:textId="1C187CD2">
      <w:pPr>
        <w:pStyle w:val="CoL"/>
      </w:pPr>
      <w:r w:rsidRPr="00652FA6">
        <w:t>The IOUs’ proposal for allocation of the DCPP extended operations cost is</w:t>
      </w:r>
      <w:r w:rsidR="004008C1">
        <w:t xml:space="preserve"> </w:t>
      </w:r>
      <w:r w:rsidRPr="00652FA6">
        <w:t>consistent with the direction provided in D.23-12-036 and should be approved.</w:t>
      </w:r>
    </w:p>
    <w:p w:rsidRPr="00652FA6" w:rsidR="00652FA6" w:rsidP="004008C1" w:rsidRDefault="00652FA6" w14:paraId="4C7E80E5" w14:textId="74F056C5">
      <w:pPr>
        <w:pStyle w:val="CoL"/>
      </w:pPr>
      <w:r w:rsidRPr="00652FA6">
        <w:t>PG&amp;E’s request for approval of its VPF spending plan should be</w:t>
      </w:r>
      <w:r w:rsidR="004008C1">
        <w:t xml:space="preserve"> </w:t>
      </w:r>
      <w:r w:rsidR="00376BC3">
        <w:t>a</w:t>
      </w:r>
      <w:r w:rsidRPr="00652FA6">
        <w:t>pproved</w:t>
      </w:r>
      <w:r w:rsidR="00550908">
        <w:t>.</w:t>
      </w:r>
    </w:p>
    <w:p w:rsidRPr="00652FA6" w:rsidR="00652FA6" w:rsidP="00376BC3" w:rsidRDefault="00652FA6" w14:paraId="47EB0F9D" w14:textId="789245F1">
      <w:pPr>
        <w:pStyle w:val="CoL"/>
      </w:pPr>
      <w:r w:rsidRPr="00652FA6">
        <w:t>All rulings issued by the assigned Commissioner and the assigned ALJ</w:t>
      </w:r>
      <w:r w:rsidR="00376BC3">
        <w:t xml:space="preserve"> </w:t>
      </w:r>
      <w:r w:rsidRPr="00652FA6">
        <w:t>should be confirmed.</w:t>
      </w:r>
    </w:p>
    <w:p w:rsidRPr="00652FA6" w:rsidR="00652FA6" w:rsidP="00376BC3" w:rsidRDefault="00652FA6" w14:paraId="16403644" w14:textId="7DD076C5">
      <w:pPr>
        <w:pStyle w:val="CoL"/>
      </w:pPr>
      <w:r w:rsidRPr="00652FA6">
        <w:t>All motions not specifically addressed herein or previously addressed by</w:t>
      </w:r>
      <w:r w:rsidR="00376BC3">
        <w:t xml:space="preserve"> </w:t>
      </w:r>
      <w:r w:rsidRPr="00652FA6">
        <w:t>the assigned Commissioner or ALJ, should be denied.</w:t>
      </w:r>
    </w:p>
    <w:p w:rsidR="00376BC3" w:rsidP="00376BC3" w:rsidRDefault="00652FA6" w14:paraId="2B93A058" w14:textId="77777777">
      <w:pPr>
        <w:pStyle w:val="CoL"/>
      </w:pPr>
      <w:r w:rsidRPr="00652FA6">
        <w:t>This application should be closed.</w:t>
      </w:r>
    </w:p>
    <w:p w:rsidR="00BB0243" w:rsidP="000A6E05" w:rsidRDefault="005939A5" w14:paraId="072A05CD" w14:textId="77777777">
      <w:pPr>
        <w:pStyle w:val="Mainex"/>
      </w:pPr>
      <w:bookmarkStart w:name="_Toc216176836" w:id="99"/>
      <w:r>
        <w:t>O</w:t>
      </w:r>
      <w:r w:rsidR="00722850">
        <w:t>RDER</w:t>
      </w:r>
      <w:bookmarkEnd w:id="99"/>
    </w:p>
    <w:p w:rsidR="00BB0243" w:rsidP="000A6E05" w:rsidRDefault="00BB0243" w14:paraId="722D336E" w14:textId="77777777">
      <w:pPr>
        <w:keepNext/>
      </w:pPr>
      <w:r w:rsidRPr="00BB0243">
        <w:rPr>
          <w:b/>
        </w:rPr>
        <w:t>IT IS ORDERED</w:t>
      </w:r>
      <w:r>
        <w:t xml:space="preserve"> that:</w:t>
      </w:r>
    </w:p>
    <w:p w:rsidRPr="00652FA6" w:rsidR="00376BC3" w:rsidP="004008C1" w:rsidRDefault="00376BC3" w14:paraId="653F09EF" w14:textId="57ECB4FE">
      <w:pPr>
        <w:pStyle w:val="OP"/>
      </w:pPr>
      <w:r w:rsidRPr="00652FA6">
        <w:t>Pacific Gas and Electric Company is authorized to recover a revenue</w:t>
      </w:r>
      <w:r>
        <w:t xml:space="preserve"> </w:t>
      </w:r>
      <w:r w:rsidRPr="00652FA6">
        <w:t>requirement of $</w:t>
      </w:r>
      <w:r>
        <w:t>382.</w:t>
      </w:r>
      <w:r w:rsidR="008C772F">
        <w:t>233</w:t>
      </w:r>
      <w:r w:rsidR="000B222B">
        <w:t xml:space="preserve"> million </w:t>
      </w:r>
      <w:r w:rsidRPr="00652FA6">
        <w:t>covering the extended operations costs from</w:t>
      </w:r>
      <w:r w:rsidR="004008C1">
        <w:t xml:space="preserve"> </w:t>
      </w:r>
      <w:r>
        <w:t>January</w:t>
      </w:r>
      <w:r w:rsidRPr="00652FA6">
        <w:t xml:space="preserve"> 1 to December 31, 202</w:t>
      </w:r>
      <w:r>
        <w:t>6</w:t>
      </w:r>
      <w:r w:rsidRPr="00652FA6">
        <w:t>, which includes operations and</w:t>
      </w:r>
      <w:r w:rsidR="004008C1">
        <w:t xml:space="preserve"> </w:t>
      </w:r>
      <w:r w:rsidRPr="00652FA6">
        <w:t>maintenance costs; resource adequacy substitution capacity forecast; generation</w:t>
      </w:r>
      <w:r w:rsidR="004008C1">
        <w:t xml:space="preserve"> </w:t>
      </w:r>
      <w:r w:rsidRPr="00652FA6">
        <w:t>forecast and generation revenues forecast methodology and calculation;</w:t>
      </w:r>
      <w:r w:rsidR="004008C1">
        <w:t xml:space="preserve"> </w:t>
      </w:r>
      <w:r w:rsidRPr="00652FA6">
        <w:t>amortized fuel expense cost for fuel over the 2025 through 2030 period; and</w:t>
      </w:r>
      <w:r w:rsidR="004008C1">
        <w:t xml:space="preserve"> </w:t>
      </w:r>
      <w:r w:rsidRPr="00652FA6">
        <w:t>netting of California Independent System Operator revenues of the period of</w:t>
      </w:r>
      <w:r w:rsidR="004008C1">
        <w:t xml:space="preserve"> </w:t>
      </w:r>
      <w:r>
        <w:t>January 1</w:t>
      </w:r>
      <w:r w:rsidRPr="00652FA6">
        <w:t xml:space="preserve"> to December</w:t>
      </w:r>
      <w:r w:rsidR="004008C1">
        <w:t> </w:t>
      </w:r>
      <w:r w:rsidRPr="00652FA6">
        <w:t>31, 202</w:t>
      </w:r>
      <w:r>
        <w:t>6</w:t>
      </w:r>
      <w:r w:rsidRPr="00652FA6">
        <w:t>.</w:t>
      </w:r>
    </w:p>
    <w:p w:rsidRPr="00652FA6" w:rsidR="00376BC3" w:rsidP="004008C1" w:rsidRDefault="00376BC3" w14:paraId="25F0C13E" w14:textId="20DE5EE6">
      <w:pPr>
        <w:pStyle w:val="OP"/>
      </w:pPr>
      <w:r w:rsidRPr="00652FA6">
        <w:t xml:space="preserve">The methodology for calculation of the Diablo Canyon Power Plant </w:t>
      </w:r>
      <w:proofErr w:type="spellStart"/>
      <w:r w:rsidRPr="00652FA6">
        <w:t>nonbypassable</w:t>
      </w:r>
      <w:proofErr w:type="spellEnd"/>
      <w:r>
        <w:t xml:space="preserve"> </w:t>
      </w:r>
      <w:r w:rsidRPr="00652FA6">
        <w:t>charge and rate proposals by Pacific Gas and Electric Company</w:t>
      </w:r>
      <w:r w:rsidR="007E3F8D">
        <w:t xml:space="preserve"> (PG&amp;E)</w:t>
      </w:r>
      <w:r w:rsidR="00713EED">
        <w:t>,</w:t>
      </w:r>
      <w:r>
        <w:t xml:space="preserve"> </w:t>
      </w:r>
      <w:r w:rsidRPr="00652FA6">
        <w:t>Southern California Edison Company, and San Diego Gas and Electric Company,</w:t>
      </w:r>
      <w:r w:rsidR="004008C1">
        <w:t xml:space="preserve"> </w:t>
      </w:r>
      <w:r w:rsidRPr="00652FA6">
        <w:t>complies with Decision</w:t>
      </w:r>
      <w:r w:rsidR="00713EED">
        <w:t> </w:t>
      </w:r>
      <w:r w:rsidRPr="00652FA6">
        <w:t>23-12-036 and is adopted. Final rates should reflect the</w:t>
      </w:r>
      <w:r w:rsidR="004008C1">
        <w:t xml:space="preserve"> </w:t>
      </w:r>
      <w:r w:rsidRPr="00652FA6">
        <w:t>revenue requirement adopted in this decision</w:t>
      </w:r>
      <w:r w:rsidR="00973030">
        <w:t xml:space="preserve">, as updated by </w:t>
      </w:r>
      <w:r w:rsidR="00973030">
        <w:lastRenderedPageBreak/>
        <w:t>corrections identified in PG&amp;E’s reply comments on the Fall Update and updated balancing account balances that reflect recorded actuals through November 2025</w:t>
      </w:r>
      <w:r w:rsidRPr="00652FA6">
        <w:t>.</w:t>
      </w:r>
    </w:p>
    <w:p w:rsidR="00376BC3" w:rsidP="004008C1" w:rsidRDefault="00376BC3" w14:paraId="218D6844" w14:textId="28333F46">
      <w:pPr>
        <w:pStyle w:val="OP"/>
      </w:pPr>
      <w:r w:rsidRPr="00652FA6">
        <w:t>Pacific Gas and Electric Company’s proposed volumetric performance fees</w:t>
      </w:r>
      <w:r w:rsidR="004008C1">
        <w:t xml:space="preserve"> </w:t>
      </w:r>
      <w:r w:rsidRPr="00652FA6">
        <w:t xml:space="preserve">spending plan for the </w:t>
      </w:r>
      <w:r>
        <w:t>January 1</w:t>
      </w:r>
      <w:r w:rsidRPr="00652FA6">
        <w:t xml:space="preserve"> to December 31, 202</w:t>
      </w:r>
      <w:r>
        <w:t>6</w:t>
      </w:r>
      <w:r w:rsidRPr="00652FA6">
        <w:t xml:space="preserve"> period is</w:t>
      </w:r>
      <w:r w:rsidR="00871F62">
        <w:t xml:space="preserve"> </w:t>
      </w:r>
      <w:r w:rsidRPr="00652FA6">
        <w:t>approved.</w:t>
      </w:r>
    </w:p>
    <w:p w:rsidR="00B762BA" w:rsidP="00B762BA" w:rsidRDefault="00B762BA" w14:paraId="4A4425CE" w14:textId="7E95C293">
      <w:pPr>
        <w:pStyle w:val="OP"/>
      </w:pPr>
      <w:r>
        <w:t>Pacific Gas and Electric Company’s</w:t>
      </w:r>
      <w:r w:rsidR="00861988">
        <w:t xml:space="preserve"> (PG&amp;E’s)</w:t>
      </w:r>
      <w:r>
        <w:t xml:space="preserve"> methodology for escalating the annual Fixed Management Fee </w:t>
      </w:r>
      <w:r w:rsidR="00871F62">
        <w:t xml:space="preserve">using the </w:t>
      </w:r>
      <w:r w:rsidR="00C41785">
        <w:t xml:space="preserve">all-urban </w:t>
      </w:r>
      <w:r w:rsidR="00871F62">
        <w:t xml:space="preserve">consumer price index </w:t>
      </w:r>
      <w:r>
        <w:t>is approved.</w:t>
      </w:r>
      <w:r w:rsidR="00C41785">
        <w:t xml:space="preserve"> </w:t>
      </w:r>
      <w:r w:rsidRPr="00C41785" w:rsidR="00C41785">
        <w:t xml:space="preserve">We direct PG&amp;E to use the same consumer price index methodology to adjust the Fixed Management Fee in future Diablo Canyon Power Plant </w:t>
      </w:r>
      <w:r w:rsidR="00861988">
        <w:t xml:space="preserve">(DCPP) </w:t>
      </w:r>
      <w:r w:rsidRPr="00C41785" w:rsidR="00C41785">
        <w:t>cost recovery application</w:t>
      </w:r>
      <w:r w:rsidR="00161189">
        <w:t>s to incrementally escalate the Fixed Management Fee approved in the previous year’s DCPP application</w:t>
      </w:r>
      <w:r w:rsidRPr="00C41785" w:rsidR="00C41785">
        <w:t>.</w:t>
      </w:r>
    </w:p>
    <w:p w:rsidRPr="00652FA6" w:rsidR="00F42B04" w:rsidP="00861988" w:rsidRDefault="00F42B04" w14:paraId="40090AEB" w14:textId="583420A3">
      <w:pPr>
        <w:pStyle w:val="OP"/>
      </w:pPr>
      <w:r w:rsidRPr="005E113C">
        <w:t>P</w:t>
      </w:r>
      <w:r w:rsidR="0045232C">
        <w:t xml:space="preserve">acific </w:t>
      </w:r>
      <w:r w:rsidRPr="005E113C">
        <w:t>G</w:t>
      </w:r>
      <w:r w:rsidR="0045232C">
        <w:t xml:space="preserve">as and </w:t>
      </w:r>
      <w:r w:rsidRPr="005E113C">
        <w:t>E</w:t>
      </w:r>
      <w:r w:rsidR="0045232C">
        <w:t>lectric Company</w:t>
      </w:r>
      <w:r w:rsidRPr="005E113C">
        <w:t xml:space="preserve"> </w:t>
      </w:r>
      <w:r w:rsidR="00861988">
        <w:t xml:space="preserve">(PG&amp;E) </w:t>
      </w:r>
      <w:r>
        <w:t xml:space="preserve">must </w:t>
      </w:r>
      <w:r w:rsidRPr="005E113C">
        <w:t xml:space="preserve">disclose whenever any transition and license renewal costs that were part of the amounts </w:t>
      </w:r>
      <w:r w:rsidR="000103F1">
        <w:t>detaile</w:t>
      </w:r>
      <w:r w:rsidRPr="005E113C">
        <w:t xml:space="preserve">d </w:t>
      </w:r>
      <w:r w:rsidRPr="000103F1" w:rsidR="000103F1">
        <w:rPr>
          <w:rFonts w:cs="BookAntiqua"/>
          <w:color w:val="21201E"/>
          <w:szCs w:val="26"/>
        </w:rPr>
        <w:t>in the Transition and License Renewal Expenditure Summary</w:t>
      </w:r>
      <w:r w:rsidR="000103F1">
        <w:rPr>
          <w:rFonts w:cs="BookAntiqua"/>
          <w:color w:val="21201E"/>
          <w:szCs w:val="26"/>
        </w:rPr>
        <w:t xml:space="preserve"> in </w:t>
      </w:r>
      <w:r w:rsidRPr="000103F1" w:rsidR="000103F1">
        <w:rPr>
          <w:rFonts w:cs="BookAntiqua"/>
          <w:color w:val="21201E"/>
          <w:szCs w:val="26"/>
        </w:rPr>
        <w:t>PG&amp;E witness Brian Ketelsen’s sworn federal court affidavit</w:t>
      </w:r>
      <w:r w:rsidR="00AE3E53">
        <w:t xml:space="preserve"> </w:t>
      </w:r>
      <w:r w:rsidRPr="005E113C">
        <w:t>are proposed for recovery in any future D</w:t>
      </w:r>
      <w:r w:rsidR="00861988">
        <w:t>iablo Canyon Power Plant (D</w:t>
      </w:r>
      <w:r w:rsidRPr="005E113C">
        <w:t>CPP</w:t>
      </w:r>
      <w:r w:rsidR="00861988">
        <w:t>)</w:t>
      </w:r>
      <w:r w:rsidRPr="005E113C">
        <w:t xml:space="preserve"> forecast proceedings</w:t>
      </w:r>
      <w:r w:rsidR="00E92E26">
        <w:t xml:space="preserve"> for DCPP extended operations</w:t>
      </w:r>
      <w:r w:rsidRPr="005E113C">
        <w:t xml:space="preserve">, along with explanations for why those costs were originally proposed as transition and license renewal costs and why those costs are now eligible for recovery </w:t>
      </w:r>
      <w:r w:rsidR="00E92E26">
        <w:t>for</w:t>
      </w:r>
      <w:r w:rsidRPr="005E113C">
        <w:t xml:space="preserve"> extended operations.</w:t>
      </w:r>
    </w:p>
    <w:p w:rsidRPr="00652FA6" w:rsidR="00376BC3" w:rsidP="004008C1" w:rsidRDefault="001576DD" w14:paraId="3A03A83A" w14:textId="0741A0D0">
      <w:pPr>
        <w:pStyle w:val="OP"/>
      </w:pPr>
      <w:r>
        <w:t xml:space="preserve">Unless otherwise noted, </w:t>
      </w:r>
      <w:r w:rsidRPr="00652FA6" w:rsidR="00376BC3">
        <w:t>Pacific Gas and Electric Company’s testimony satisfies all the regulatory</w:t>
      </w:r>
      <w:r w:rsidR="004008C1">
        <w:t xml:space="preserve"> </w:t>
      </w:r>
      <w:r w:rsidRPr="00652FA6" w:rsidR="00376BC3">
        <w:t>requirements set forth in Decision</w:t>
      </w:r>
      <w:r>
        <w:t>s</w:t>
      </w:r>
      <w:r w:rsidR="00713EED">
        <w:t> </w:t>
      </w:r>
      <w:r w:rsidRPr="00652FA6" w:rsidR="00376BC3">
        <w:t>23-12-036</w:t>
      </w:r>
      <w:r>
        <w:t>, Decision</w:t>
      </w:r>
      <w:r w:rsidR="00861988">
        <w:t> </w:t>
      </w:r>
      <w:r>
        <w:t>24-12-033, and Decision 25-06-002</w:t>
      </w:r>
      <w:r w:rsidR="00376BC3">
        <w:t>.</w:t>
      </w:r>
    </w:p>
    <w:p w:rsidRPr="00652FA6" w:rsidR="00376BC3" w:rsidP="004008C1" w:rsidRDefault="00376BC3" w14:paraId="3A844F81" w14:textId="5555DCFD">
      <w:pPr>
        <w:pStyle w:val="OP"/>
      </w:pPr>
      <w:r w:rsidRPr="00652FA6">
        <w:t>Pacific Gas and Electric Company, Southern California Edison Company,</w:t>
      </w:r>
      <w:r w:rsidR="004008C1">
        <w:t xml:space="preserve"> </w:t>
      </w:r>
      <w:r w:rsidRPr="00652FA6">
        <w:t>and San Diego Gas and Electric Company must file a Tier 1 Advice Letter and</w:t>
      </w:r>
      <w:r w:rsidR="004008C1">
        <w:t xml:space="preserve"> </w:t>
      </w:r>
      <w:r w:rsidRPr="00652FA6">
        <w:t>revised tariff sheets within 60</w:t>
      </w:r>
      <w:r w:rsidR="00713EED">
        <w:t> </w:t>
      </w:r>
      <w:r w:rsidRPr="00652FA6">
        <w:t>days of the issuance of this decision to implement</w:t>
      </w:r>
      <w:r w:rsidR="004008C1">
        <w:t xml:space="preserve"> </w:t>
      </w:r>
      <w:r w:rsidRPr="00652FA6">
        <w:t>this Decision.</w:t>
      </w:r>
    </w:p>
    <w:p w:rsidRPr="00652FA6" w:rsidR="00376BC3" w:rsidP="004008C1" w:rsidRDefault="00376BC3" w14:paraId="3093785B" w14:textId="629EAE9D">
      <w:pPr>
        <w:pStyle w:val="OP"/>
      </w:pPr>
      <w:r w:rsidRPr="00652FA6">
        <w:lastRenderedPageBreak/>
        <w:t>Pacific Gas and Electric Company must provide Southern California</w:t>
      </w:r>
      <w:r>
        <w:t xml:space="preserve"> </w:t>
      </w:r>
      <w:r w:rsidRPr="00652FA6">
        <w:t>Edison Company and San Diego Gas &amp; Electric Company with the final revenue</w:t>
      </w:r>
      <w:r w:rsidR="004008C1">
        <w:t xml:space="preserve"> </w:t>
      </w:r>
      <w:r w:rsidRPr="00652FA6">
        <w:t xml:space="preserve">requirement for each of the respective utilities </w:t>
      </w:r>
      <w:r w:rsidR="00973030">
        <w:t>no later than Friday, December 12, 2025.</w:t>
      </w:r>
    </w:p>
    <w:p w:rsidR="00376BC3" w:rsidP="004008C1" w:rsidRDefault="00376BC3" w14:paraId="0E26411A" w14:textId="57524E7A">
      <w:pPr>
        <w:pStyle w:val="OP"/>
      </w:pPr>
      <w:r w:rsidRPr="00652FA6">
        <w:t>All rulings issued by the assigned Commissioner and the assigned</w:t>
      </w:r>
      <w:r w:rsidR="004008C1">
        <w:t xml:space="preserve"> </w:t>
      </w:r>
      <w:r w:rsidRPr="00652FA6">
        <w:t>Administrative Law Judge (ALJ) are affirmed; and all motions not specifically</w:t>
      </w:r>
      <w:r w:rsidR="004008C1">
        <w:t xml:space="preserve"> </w:t>
      </w:r>
      <w:r w:rsidRPr="00652FA6">
        <w:t>addressed herein or previously addressed by the assigned Commissioner or ALJ</w:t>
      </w:r>
      <w:r w:rsidR="004008C1">
        <w:t xml:space="preserve"> </w:t>
      </w:r>
      <w:r w:rsidRPr="00652FA6">
        <w:t>are denied.</w:t>
      </w:r>
    </w:p>
    <w:p w:rsidRPr="00652FA6" w:rsidR="00376BC3" w:rsidP="00930FB2" w:rsidRDefault="00376BC3" w14:paraId="6C9C31CC" w14:textId="12D19351">
      <w:pPr>
        <w:pStyle w:val="OP"/>
        <w:keepNext/>
      </w:pPr>
      <w:r w:rsidRPr="00652FA6">
        <w:t>Application</w:t>
      </w:r>
      <w:r w:rsidR="00930FB2">
        <w:t> </w:t>
      </w:r>
      <w:r w:rsidRPr="00652FA6">
        <w:t>2</w:t>
      </w:r>
      <w:r>
        <w:t>5</w:t>
      </w:r>
      <w:r w:rsidRPr="00652FA6">
        <w:t>-03-01</w:t>
      </w:r>
      <w:r>
        <w:t>5</w:t>
      </w:r>
      <w:r w:rsidRPr="00652FA6">
        <w:t xml:space="preserve"> is closed.</w:t>
      </w:r>
    </w:p>
    <w:p w:rsidR="008F0116" w:rsidP="00930FB2" w:rsidRDefault="008F0116" w14:paraId="661D5A77" w14:textId="609DBC59">
      <w:pPr>
        <w:pStyle w:val="Standard"/>
        <w:keepNext/>
      </w:pPr>
      <w:r>
        <w:t>This order is effective today.</w:t>
      </w:r>
    </w:p>
    <w:p w:rsidR="00714CF2" w:rsidP="00930FB2" w:rsidRDefault="008F0116" w14:paraId="0F24681E" w14:textId="022F97F4">
      <w:pPr>
        <w:pStyle w:val="Standard"/>
        <w:keepNext/>
      </w:pPr>
      <w:r>
        <w:t xml:space="preserve">Dated </w:t>
      </w:r>
      <w:r w:rsidR="005277B8">
        <w:t>December 4, 2025</w:t>
      </w:r>
      <w:r>
        <w:t>, at San Francisco, California</w:t>
      </w:r>
      <w:r w:rsidR="005277B8">
        <w:t>.</w:t>
      </w:r>
    </w:p>
    <w:p w:rsidR="005277B8" w:rsidP="00930FB2" w:rsidRDefault="005277B8" w14:paraId="4BFF1511" w14:textId="77777777">
      <w:pPr>
        <w:pStyle w:val="Standard"/>
        <w:keepNext/>
      </w:pPr>
    </w:p>
    <w:tbl>
      <w:tblPr>
        <w:tblStyle w:val="TableGrid11"/>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0"/>
        <w:gridCol w:w="4680"/>
      </w:tblGrid>
      <w:tr w:rsidRPr="00FE5F6B" w:rsidR="005277B8" w:rsidTr="00D74801" w14:paraId="65F9FBCA" w14:textId="77777777">
        <w:tc>
          <w:tcPr>
            <w:tcW w:w="4675" w:type="dxa"/>
          </w:tcPr>
          <w:p w:rsidRPr="00FE5F6B" w:rsidR="005277B8" w:rsidP="00D74801" w:rsidRDefault="005277B8" w14:paraId="5841B22A" w14:textId="77777777">
            <w:pPr>
              <w:keepNext/>
              <w:spacing w:line="240" w:lineRule="auto"/>
              <w:ind w:firstLine="0"/>
              <w:rPr>
                <w:szCs w:val="26"/>
              </w:rPr>
            </w:pPr>
          </w:p>
        </w:tc>
        <w:tc>
          <w:tcPr>
            <w:tcW w:w="4675" w:type="dxa"/>
          </w:tcPr>
          <w:p w:rsidRPr="00FE5F6B" w:rsidR="005277B8" w:rsidP="00D74801" w:rsidRDefault="005277B8" w14:paraId="6B5CE63F" w14:textId="77777777">
            <w:pPr>
              <w:keepNext/>
              <w:spacing w:line="240" w:lineRule="auto"/>
              <w:ind w:left="345" w:firstLine="0"/>
              <w:rPr>
                <w:szCs w:val="26"/>
              </w:rPr>
            </w:pPr>
            <w:r w:rsidRPr="00FE5F6B">
              <w:rPr>
                <w:szCs w:val="26"/>
              </w:rPr>
              <w:t>ALICE REYNOLDS</w:t>
            </w:r>
          </w:p>
        </w:tc>
      </w:tr>
      <w:tr w:rsidRPr="00FE5F6B" w:rsidR="005277B8" w:rsidTr="00D74801" w14:paraId="5476D004" w14:textId="77777777">
        <w:tc>
          <w:tcPr>
            <w:tcW w:w="4675" w:type="dxa"/>
          </w:tcPr>
          <w:p w:rsidRPr="00FE5F6B" w:rsidR="005277B8" w:rsidP="00D74801" w:rsidRDefault="005277B8" w14:paraId="423D6CCB" w14:textId="77777777">
            <w:pPr>
              <w:keepNext/>
              <w:spacing w:line="240" w:lineRule="auto"/>
              <w:ind w:firstLine="0"/>
              <w:rPr>
                <w:szCs w:val="26"/>
              </w:rPr>
            </w:pPr>
          </w:p>
        </w:tc>
        <w:tc>
          <w:tcPr>
            <w:tcW w:w="4675" w:type="dxa"/>
          </w:tcPr>
          <w:p w:rsidRPr="00FE5F6B" w:rsidR="005277B8" w:rsidP="00D74801" w:rsidRDefault="005277B8" w14:paraId="49837D9D" w14:textId="77777777">
            <w:pPr>
              <w:keepNext/>
              <w:spacing w:line="240" w:lineRule="auto"/>
              <w:ind w:left="345" w:firstLine="1350"/>
              <w:rPr>
                <w:szCs w:val="26"/>
              </w:rPr>
            </w:pPr>
            <w:r w:rsidRPr="00FE5F6B">
              <w:rPr>
                <w:szCs w:val="26"/>
              </w:rPr>
              <w:t>President</w:t>
            </w:r>
          </w:p>
        </w:tc>
      </w:tr>
      <w:tr w:rsidRPr="00FE5F6B" w:rsidR="005277B8" w:rsidTr="00D74801" w14:paraId="3C47DDAD" w14:textId="77777777">
        <w:tc>
          <w:tcPr>
            <w:tcW w:w="4675" w:type="dxa"/>
          </w:tcPr>
          <w:p w:rsidRPr="00FE5F6B" w:rsidR="005277B8" w:rsidP="00D74801" w:rsidRDefault="005277B8" w14:paraId="6D171D71" w14:textId="77777777">
            <w:pPr>
              <w:keepNext/>
              <w:spacing w:line="240" w:lineRule="auto"/>
              <w:ind w:firstLine="0"/>
              <w:rPr>
                <w:szCs w:val="26"/>
              </w:rPr>
            </w:pPr>
          </w:p>
        </w:tc>
        <w:tc>
          <w:tcPr>
            <w:tcW w:w="4675" w:type="dxa"/>
          </w:tcPr>
          <w:p w:rsidRPr="00FE5F6B" w:rsidR="005277B8" w:rsidP="00D74801" w:rsidRDefault="005277B8" w14:paraId="2AD158C9" w14:textId="77777777">
            <w:pPr>
              <w:keepNext/>
              <w:spacing w:line="240" w:lineRule="auto"/>
              <w:ind w:left="345" w:firstLine="0"/>
              <w:rPr>
                <w:szCs w:val="26"/>
              </w:rPr>
            </w:pPr>
            <w:r w:rsidRPr="00FE5F6B">
              <w:rPr>
                <w:szCs w:val="26"/>
              </w:rPr>
              <w:t>DARCIE L. HOUCK</w:t>
            </w:r>
          </w:p>
        </w:tc>
      </w:tr>
      <w:tr w:rsidRPr="00FE5F6B" w:rsidR="005277B8" w:rsidTr="00D74801" w14:paraId="40C49BFD" w14:textId="77777777">
        <w:tc>
          <w:tcPr>
            <w:tcW w:w="4675" w:type="dxa"/>
          </w:tcPr>
          <w:p w:rsidRPr="00FE5F6B" w:rsidR="005277B8" w:rsidP="00D74801" w:rsidRDefault="005277B8" w14:paraId="2C101AB4" w14:textId="77777777">
            <w:pPr>
              <w:keepNext/>
              <w:spacing w:line="240" w:lineRule="auto"/>
              <w:ind w:firstLine="0"/>
              <w:rPr>
                <w:szCs w:val="26"/>
              </w:rPr>
            </w:pPr>
          </w:p>
        </w:tc>
        <w:tc>
          <w:tcPr>
            <w:tcW w:w="4675" w:type="dxa"/>
          </w:tcPr>
          <w:p w:rsidRPr="00FE5F6B" w:rsidR="005277B8" w:rsidP="00D74801" w:rsidRDefault="005277B8" w14:paraId="00DD319A" w14:textId="77777777">
            <w:pPr>
              <w:keepNext/>
              <w:spacing w:line="240" w:lineRule="auto"/>
              <w:ind w:left="345" w:firstLine="0"/>
              <w:rPr>
                <w:szCs w:val="26"/>
              </w:rPr>
            </w:pPr>
            <w:r w:rsidRPr="00FE5F6B">
              <w:rPr>
                <w:szCs w:val="26"/>
              </w:rPr>
              <w:t>JOHN REYNOLDS</w:t>
            </w:r>
          </w:p>
        </w:tc>
      </w:tr>
      <w:tr w:rsidRPr="00FE5F6B" w:rsidR="005277B8" w:rsidTr="00D74801" w14:paraId="0193306A" w14:textId="77777777">
        <w:tc>
          <w:tcPr>
            <w:tcW w:w="4675" w:type="dxa"/>
          </w:tcPr>
          <w:p w:rsidRPr="00FE5F6B" w:rsidR="005277B8" w:rsidP="00D74801" w:rsidRDefault="005277B8" w14:paraId="51A117D8" w14:textId="77777777">
            <w:pPr>
              <w:keepNext/>
              <w:spacing w:line="240" w:lineRule="auto"/>
              <w:ind w:firstLine="0"/>
              <w:rPr>
                <w:szCs w:val="26"/>
              </w:rPr>
            </w:pPr>
          </w:p>
        </w:tc>
        <w:tc>
          <w:tcPr>
            <w:tcW w:w="4675" w:type="dxa"/>
          </w:tcPr>
          <w:p w:rsidR="005277B8" w:rsidP="00D74801" w:rsidRDefault="005277B8" w14:paraId="2C1CA418" w14:textId="77777777">
            <w:pPr>
              <w:keepNext/>
              <w:spacing w:line="240" w:lineRule="auto"/>
              <w:ind w:left="345" w:firstLine="0"/>
              <w:rPr>
                <w:szCs w:val="26"/>
              </w:rPr>
            </w:pPr>
            <w:r w:rsidRPr="00FE5F6B">
              <w:rPr>
                <w:szCs w:val="26"/>
              </w:rPr>
              <w:t>KAREN DOUGLAS</w:t>
            </w:r>
          </w:p>
          <w:p w:rsidRPr="00FE5F6B" w:rsidR="005277B8" w:rsidP="00D74801" w:rsidRDefault="005277B8" w14:paraId="61CFF266" w14:textId="77777777">
            <w:pPr>
              <w:keepNext/>
              <w:spacing w:line="240" w:lineRule="auto"/>
              <w:ind w:left="345" w:firstLine="0"/>
              <w:rPr>
                <w:szCs w:val="26"/>
              </w:rPr>
            </w:pPr>
            <w:r>
              <w:rPr>
                <w:szCs w:val="26"/>
              </w:rPr>
              <w:t>MATTHEW BAKER</w:t>
            </w:r>
          </w:p>
        </w:tc>
      </w:tr>
      <w:tr w:rsidRPr="00FE5F6B" w:rsidR="005277B8" w:rsidTr="00D74801" w14:paraId="382AEFB0" w14:textId="77777777">
        <w:tc>
          <w:tcPr>
            <w:tcW w:w="4675" w:type="dxa"/>
          </w:tcPr>
          <w:p w:rsidRPr="00FE5F6B" w:rsidR="005277B8" w:rsidP="00D74801" w:rsidRDefault="005277B8" w14:paraId="06B50191" w14:textId="77777777">
            <w:pPr>
              <w:keepNext/>
              <w:spacing w:line="240" w:lineRule="auto"/>
              <w:ind w:firstLine="0"/>
              <w:rPr>
                <w:szCs w:val="26"/>
              </w:rPr>
            </w:pPr>
          </w:p>
        </w:tc>
        <w:tc>
          <w:tcPr>
            <w:tcW w:w="4675" w:type="dxa"/>
          </w:tcPr>
          <w:p w:rsidRPr="00FE5F6B" w:rsidR="005277B8" w:rsidP="00D74801" w:rsidRDefault="005277B8" w14:paraId="6909CDD9" w14:textId="77777777">
            <w:pPr>
              <w:keepNext/>
              <w:spacing w:line="240" w:lineRule="auto"/>
              <w:ind w:left="345" w:firstLine="900"/>
              <w:rPr>
                <w:szCs w:val="26"/>
              </w:rPr>
            </w:pPr>
            <w:r w:rsidRPr="00FE5F6B">
              <w:rPr>
                <w:szCs w:val="26"/>
              </w:rPr>
              <w:t>Commissioners</w:t>
            </w:r>
          </w:p>
        </w:tc>
      </w:tr>
      <w:tr w:rsidRPr="00FE5F6B" w:rsidR="005277B8" w:rsidTr="00D74801" w14:paraId="642D0600" w14:textId="77777777">
        <w:tc>
          <w:tcPr>
            <w:tcW w:w="4675" w:type="dxa"/>
          </w:tcPr>
          <w:p w:rsidRPr="00FE5F6B" w:rsidR="005277B8" w:rsidP="00D74801" w:rsidRDefault="005277B8" w14:paraId="6239F9AB" w14:textId="77777777">
            <w:pPr>
              <w:keepNext/>
              <w:spacing w:line="240" w:lineRule="auto"/>
              <w:ind w:firstLine="0"/>
              <w:rPr>
                <w:szCs w:val="26"/>
              </w:rPr>
            </w:pPr>
          </w:p>
        </w:tc>
        <w:tc>
          <w:tcPr>
            <w:tcW w:w="4675" w:type="dxa"/>
          </w:tcPr>
          <w:p w:rsidRPr="00FE5F6B" w:rsidR="005277B8" w:rsidP="00D74801" w:rsidRDefault="005277B8" w14:paraId="652C00F1" w14:textId="77777777">
            <w:pPr>
              <w:keepNext/>
              <w:spacing w:line="240" w:lineRule="auto"/>
              <w:ind w:firstLine="885"/>
              <w:rPr>
                <w:szCs w:val="26"/>
              </w:rPr>
            </w:pPr>
          </w:p>
        </w:tc>
      </w:tr>
      <w:tr w:rsidRPr="00FE5F6B" w:rsidR="005277B8" w:rsidTr="00D74801" w14:paraId="06E14819" w14:textId="77777777">
        <w:tc>
          <w:tcPr>
            <w:tcW w:w="4675" w:type="dxa"/>
          </w:tcPr>
          <w:p w:rsidRPr="00FE5F6B" w:rsidR="005277B8" w:rsidP="00D74801" w:rsidRDefault="005277B8" w14:paraId="2E4C0FC8" w14:textId="77777777">
            <w:pPr>
              <w:keepNext/>
              <w:spacing w:line="240" w:lineRule="auto"/>
              <w:ind w:firstLine="0"/>
              <w:rPr>
                <w:szCs w:val="26"/>
              </w:rPr>
            </w:pPr>
          </w:p>
        </w:tc>
        <w:tc>
          <w:tcPr>
            <w:tcW w:w="4675" w:type="dxa"/>
          </w:tcPr>
          <w:p w:rsidRPr="00FE5F6B" w:rsidR="005277B8" w:rsidP="00D74801" w:rsidRDefault="005277B8" w14:paraId="37064712" w14:textId="77777777">
            <w:pPr>
              <w:keepNext/>
              <w:spacing w:line="240" w:lineRule="auto"/>
              <w:ind w:firstLine="0"/>
              <w:rPr>
                <w:szCs w:val="26"/>
              </w:rPr>
            </w:pPr>
          </w:p>
        </w:tc>
      </w:tr>
    </w:tbl>
    <w:p w:rsidR="005277B8" w:rsidP="00930FB2" w:rsidRDefault="005277B8" w14:paraId="63ED9AF7" w14:textId="77777777">
      <w:pPr>
        <w:pStyle w:val="Standard"/>
        <w:keepNext/>
      </w:pPr>
    </w:p>
    <w:p w:rsidR="008926B4" w:rsidP="00930FB2" w:rsidRDefault="008926B4" w14:paraId="2D4C2F7D" w14:textId="77777777">
      <w:pPr>
        <w:keepNext/>
      </w:pPr>
    </w:p>
    <w:p w:rsidR="008926B4" w:rsidP="00930FB2" w:rsidRDefault="008926B4" w14:paraId="03519209" w14:textId="77777777">
      <w:pPr>
        <w:keepNext/>
      </w:pPr>
    </w:p>
    <w:p w:rsidRPr="00714CF2" w:rsidR="008926B4" w:rsidP="00930FB2" w:rsidRDefault="008926B4" w14:paraId="43F050F2" w14:textId="77777777">
      <w:pPr>
        <w:keepNext/>
      </w:pPr>
    </w:p>
    <w:sectPr w:rsidRPr="00714CF2" w:rsidR="008926B4" w:rsidSect="008926B4">
      <w:footerReference w:type="default" r:id="rId16"/>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A61D" w14:textId="77777777" w:rsidR="00A36C50" w:rsidRDefault="00A36C50" w:rsidP="0098138E">
      <w:pPr>
        <w:spacing w:line="240" w:lineRule="auto"/>
      </w:pPr>
      <w:r>
        <w:separator/>
      </w:r>
    </w:p>
  </w:endnote>
  <w:endnote w:type="continuationSeparator" w:id="0">
    <w:p w14:paraId="0CA16D0D" w14:textId="77777777" w:rsidR="00A36C50" w:rsidRDefault="00A36C50"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Antiqua">
    <w:altName w:val="Cambria"/>
    <w:panose1 w:val="00000000000000000000"/>
    <w:charset w:val="00"/>
    <w:family w:val="roman"/>
    <w:notTrueType/>
    <w:pitch w:val="default"/>
    <w:sig w:usb0="00000003" w:usb1="00000000" w:usb2="00000000" w:usb3="00000000" w:csb0="00000001" w:csb1="00000000"/>
  </w:font>
  <w:font w:name="BookAntiqua-Italic">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0DE9" w14:textId="2E10ED28" w:rsidR="006D2ECF" w:rsidRPr="008926B4" w:rsidRDefault="005277B8" w:rsidP="004008C1">
    <w:pPr>
      <w:pStyle w:val="Footer"/>
      <w:ind w:firstLine="0"/>
    </w:pPr>
    <w:r w:rsidRPr="005277B8">
      <w:rPr>
        <w:sz w:val="16"/>
        <w:szCs w:val="16"/>
      </w:rPr>
      <w:t xml:space="preserve">590401896  </w:t>
    </w:r>
    <w:r w:rsidR="004008C1">
      <w:tab/>
    </w:r>
    <w:r w:rsidR="008926B4">
      <w:noBreakHyphen/>
    </w:r>
    <w:r w:rsidR="008926B4" w:rsidRPr="00A80752">
      <w:t xml:space="preserve"> </w:t>
    </w:r>
    <w:r w:rsidR="008926B4" w:rsidRPr="00A80752">
      <w:fldChar w:fldCharType="begin"/>
    </w:r>
    <w:r w:rsidR="008926B4" w:rsidRPr="00A80752">
      <w:instrText xml:space="preserve"> PAGE   \* MERGEFORMAT </w:instrText>
    </w:r>
    <w:r w:rsidR="008926B4" w:rsidRPr="00A80752">
      <w:fldChar w:fldCharType="separate"/>
    </w:r>
    <w:r w:rsidR="008926B4">
      <w:t>1</w:t>
    </w:r>
    <w:r w:rsidR="008926B4" w:rsidRPr="00A80752">
      <w:rPr>
        <w:noProof/>
      </w:rPr>
      <w:fldChar w:fldCharType="end"/>
    </w:r>
    <w:r w:rsidR="008926B4" w:rsidRPr="00A80752">
      <w:t xml:space="preserve"> </w:t>
    </w:r>
    <w:r w:rsidR="008926B4">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FA9C" w14:textId="77777777" w:rsidR="00E23CBB" w:rsidRDefault="00E23CBB" w:rsidP="008926B4">
    <w:pPr>
      <w:spacing w:line="240" w:lineRule="auto"/>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87C4" w14:textId="77777777" w:rsidR="00E23CBB" w:rsidRDefault="00E23CBB" w:rsidP="008926B4">
    <w:pPr>
      <w:spacing w:line="240" w:lineRule="auto"/>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EA918" w14:textId="77777777" w:rsidR="00A36C50" w:rsidRDefault="00A36C50" w:rsidP="00DF58E7">
      <w:pPr>
        <w:spacing w:line="240" w:lineRule="auto"/>
        <w:ind w:firstLine="0"/>
      </w:pPr>
      <w:r>
        <w:separator/>
      </w:r>
    </w:p>
  </w:footnote>
  <w:footnote w:type="continuationSeparator" w:id="0">
    <w:p w14:paraId="3233B5C8" w14:textId="77777777" w:rsidR="00A36C50" w:rsidRDefault="00A36C50" w:rsidP="00DF58E7">
      <w:pPr>
        <w:spacing w:line="240" w:lineRule="auto"/>
        <w:ind w:firstLine="0"/>
      </w:pPr>
      <w:r>
        <w:continuationSeparator/>
      </w:r>
    </w:p>
  </w:footnote>
  <w:footnote w:type="continuationNotice" w:id="1">
    <w:p w14:paraId="74795ECF" w14:textId="77777777" w:rsidR="00A36C50" w:rsidRPr="00DF58E7" w:rsidRDefault="00A36C50" w:rsidP="00DF58E7">
      <w:pPr>
        <w:spacing w:line="240" w:lineRule="auto"/>
        <w:ind w:firstLine="0"/>
        <w:jc w:val="right"/>
        <w:rPr>
          <w:i/>
          <w:sz w:val="22"/>
        </w:rPr>
      </w:pPr>
      <w:r w:rsidRPr="00DF58E7">
        <w:rPr>
          <w:i/>
          <w:sz w:val="22"/>
        </w:rPr>
        <w:t>Footnote continued on next page.</w:t>
      </w:r>
    </w:p>
  </w:footnote>
  <w:footnote w:id="2">
    <w:p w14:paraId="4D46FD18" w14:textId="16FD9C1E" w:rsidR="00DC1B02" w:rsidRPr="007055D5" w:rsidRDefault="00DC1B02" w:rsidP="007055D5">
      <w:pPr>
        <w:pStyle w:val="FootnoteText"/>
        <w:rPr>
          <w:szCs w:val="22"/>
        </w:rPr>
      </w:pPr>
      <w:r w:rsidRPr="007055D5">
        <w:rPr>
          <w:rStyle w:val="FootnoteReference"/>
          <w:szCs w:val="22"/>
        </w:rPr>
        <w:footnoteRef/>
      </w:r>
      <w:r w:rsidRPr="007055D5">
        <w:rPr>
          <w:szCs w:val="22"/>
        </w:rPr>
        <w:t xml:space="preserve"> SB 846 (Dodd, 2021-2022 Reg. Sess.) Diablo Canyon powerplant: extension of operations,</w:t>
      </w:r>
      <w:r w:rsidR="007055D5">
        <w:rPr>
          <w:szCs w:val="22"/>
        </w:rPr>
        <w:t xml:space="preserve"> </w:t>
      </w:r>
      <w:r w:rsidRPr="007055D5">
        <w:rPr>
          <w:szCs w:val="22"/>
        </w:rPr>
        <w:t>codified as Public Resources (Pub. Res.) Code Sections 25233, 25233.2, 25302.7, 255548, and</w:t>
      </w:r>
      <w:r w:rsidR="007055D5">
        <w:rPr>
          <w:szCs w:val="22"/>
        </w:rPr>
        <w:t xml:space="preserve"> </w:t>
      </w:r>
      <w:r w:rsidRPr="007055D5">
        <w:rPr>
          <w:szCs w:val="22"/>
        </w:rPr>
        <w:t>25548.1 7; Public Utilities (Pub. Util.) Code Sections 454.52, 454.53, 712.1, and 712.8; and Water</w:t>
      </w:r>
      <w:r w:rsidR="007055D5">
        <w:rPr>
          <w:szCs w:val="22"/>
        </w:rPr>
        <w:t xml:space="preserve"> </w:t>
      </w:r>
      <w:r w:rsidRPr="007055D5">
        <w:rPr>
          <w:szCs w:val="22"/>
        </w:rPr>
        <w:t>Code Section 13193.5.</w:t>
      </w:r>
    </w:p>
  </w:footnote>
  <w:footnote w:id="3">
    <w:p w14:paraId="58796DED" w14:textId="10A652F3" w:rsidR="009E68BD" w:rsidRPr="007055D5" w:rsidRDefault="009E68BD" w:rsidP="007055D5">
      <w:pPr>
        <w:pStyle w:val="FootnoteText"/>
        <w:rPr>
          <w:szCs w:val="22"/>
        </w:rPr>
      </w:pPr>
      <w:r w:rsidRPr="007055D5">
        <w:rPr>
          <w:rStyle w:val="FootnoteReference"/>
          <w:szCs w:val="22"/>
        </w:rPr>
        <w:footnoteRef/>
      </w:r>
      <w:r w:rsidRPr="007055D5">
        <w:rPr>
          <w:szCs w:val="22"/>
        </w:rPr>
        <w:t xml:space="preserve"> SB 846 (Dodd, 2021-2022 Reg. Sess.) Diablo Canyon powerplant: extension of operations,</w:t>
      </w:r>
      <w:r w:rsidR="007055D5">
        <w:rPr>
          <w:szCs w:val="22"/>
        </w:rPr>
        <w:t xml:space="preserve"> </w:t>
      </w:r>
      <w:r w:rsidRPr="007055D5">
        <w:rPr>
          <w:szCs w:val="22"/>
        </w:rPr>
        <w:t>codified as Public Resources (Pub. Res.) Code Sections 25233, 25233.2, 25302.7, 255548, and</w:t>
      </w:r>
      <w:r w:rsidR="007055D5">
        <w:rPr>
          <w:szCs w:val="22"/>
        </w:rPr>
        <w:t xml:space="preserve"> </w:t>
      </w:r>
      <w:r w:rsidRPr="007055D5">
        <w:rPr>
          <w:szCs w:val="22"/>
        </w:rPr>
        <w:t>25548.1 7; Public Utilities (Pub. Util.) Code Sections 454.52, 454.53, 712.1, and 712.8; and Water</w:t>
      </w:r>
      <w:r w:rsidR="007055D5">
        <w:rPr>
          <w:szCs w:val="22"/>
        </w:rPr>
        <w:t xml:space="preserve"> </w:t>
      </w:r>
      <w:r w:rsidRPr="007055D5">
        <w:rPr>
          <w:szCs w:val="22"/>
        </w:rPr>
        <w:t>Code Section 13193.5.</w:t>
      </w:r>
    </w:p>
  </w:footnote>
  <w:footnote w:id="4">
    <w:p w14:paraId="1635DD53" w14:textId="537D6E0A" w:rsidR="009E68BD" w:rsidRPr="007055D5" w:rsidRDefault="009E68BD" w:rsidP="007055D5">
      <w:pPr>
        <w:pStyle w:val="FootnoteText"/>
        <w:rPr>
          <w:szCs w:val="22"/>
        </w:rPr>
      </w:pPr>
      <w:r w:rsidRPr="007055D5">
        <w:rPr>
          <w:rStyle w:val="FootnoteReference"/>
          <w:szCs w:val="22"/>
        </w:rPr>
        <w:footnoteRef/>
      </w:r>
      <w:r w:rsidRPr="007055D5">
        <w:rPr>
          <w:szCs w:val="22"/>
        </w:rPr>
        <w:t xml:space="preserve"> D.23-12-036 at</w:t>
      </w:r>
      <w:r w:rsidR="00AC5FC6" w:rsidRPr="007055D5">
        <w:rPr>
          <w:szCs w:val="22"/>
        </w:rPr>
        <w:t xml:space="preserve"> </w:t>
      </w:r>
      <w:r w:rsidRPr="007055D5">
        <w:rPr>
          <w:szCs w:val="22"/>
        </w:rPr>
        <w:t>Ordering Paragraph (OP) 1.</w:t>
      </w:r>
    </w:p>
  </w:footnote>
  <w:footnote w:id="5">
    <w:p w14:paraId="1364F7EB" w14:textId="0725F0BA" w:rsidR="009E68BD" w:rsidRPr="007055D5" w:rsidRDefault="009E68BD" w:rsidP="007055D5">
      <w:pPr>
        <w:pStyle w:val="FootnoteText"/>
        <w:rPr>
          <w:szCs w:val="22"/>
        </w:rPr>
      </w:pPr>
      <w:r w:rsidRPr="007055D5">
        <w:rPr>
          <w:rStyle w:val="FootnoteReference"/>
          <w:szCs w:val="22"/>
        </w:rPr>
        <w:footnoteRef/>
      </w:r>
      <w:r w:rsidRPr="007055D5">
        <w:rPr>
          <w:szCs w:val="22"/>
        </w:rPr>
        <w:t xml:space="preserve"> D.23-12-036 at </w:t>
      </w:r>
      <w:r w:rsidR="00AC5FC6" w:rsidRPr="007055D5">
        <w:rPr>
          <w:szCs w:val="22"/>
        </w:rPr>
        <w:t xml:space="preserve">104 and </w:t>
      </w:r>
      <w:r w:rsidRPr="007055D5">
        <w:rPr>
          <w:szCs w:val="22"/>
        </w:rPr>
        <w:t>OP 9.</w:t>
      </w:r>
    </w:p>
  </w:footnote>
  <w:footnote w:id="6">
    <w:p w14:paraId="49017B79" w14:textId="192E045A" w:rsidR="00AC5FC6" w:rsidRPr="007055D5" w:rsidRDefault="00AC5FC6" w:rsidP="007055D5">
      <w:pPr>
        <w:pStyle w:val="FootnoteText"/>
        <w:rPr>
          <w:szCs w:val="22"/>
        </w:rPr>
      </w:pPr>
      <w:r w:rsidRPr="007055D5">
        <w:rPr>
          <w:rStyle w:val="FootnoteReference"/>
          <w:szCs w:val="22"/>
        </w:rPr>
        <w:footnoteRef/>
      </w:r>
      <w:r w:rsidRPr="007055D5">
        <w:rPr>
          <w:szCs w:val="22"/>
        </w:rPr>
        <w:t xml:space="preserve"> D.25-06-002 at 17.</w:t>
      </w:r>
    </w:p>
  </w:footnote>
  <w:footnote w:id="7">
    <w:p w14:paraId="706A3566" w14:textId="7A3177E0" w:rsidR="001B5F11" w:rsidRPr="007055D5" w:rsidRDefault="001B5F11" w:rsidP="007055D5">
      <w:pPr>
        <w:pStyle w:val="FootnoteText"/>
        <w:rPr>
          <w:szCs w:val="22"/>
        </w:rPr>
      </w:pPr>
      <w:r w:rsidRPr="007055D5">
        <w:rPr>
          <w:rStyle w:val="FootnoteReference"/>
          <w:szCs w:val="22"/>
        </w:rPr>
        <w:footnoteRef/>
      </w:r>
      <w:r w:rsidRPr="007055D5">
        <w:rPr>
          <w:szCs w:val="22"/>
        </w:rPr>
        <w:t xml:space="preserve"> </w:t>
      </w:r>
      <w:r w:rsidR="00BB484B" w:rsidRPr="007055D5">
        <w:rPr>
          <w:szCs w:val="22"/>
        </w:rPr>
        <w:t>Exhibit</w:t>
      </w:r>
      <w:r w:rsidR="00BB59E1" w:rsidRPr="007055D5">
        <w:rPr>
          <w:szCs w:val="22"/>
        </w:rPr>
        <w:t xml:space="preserve"> (Ex.)</w:t>
      </w:r>
      <w:r w:rsidR="00BB484B" w:rsidRPr="007055D5">
        <w:rPr>
          <w:szCs w:val="22"/>
        </w:rPr>
        <w:t xml:space="preserve"> </w:t>
      </w:r>
      <w:r w:rsidRPr="007055D5">
        <w:rPr>
          <w:szCs w:val="22"/>
        </w:rPr>
        <w:t>PG&amp;E-01 at 5-4.</w:t>
      </w:r>
    </w:p>
  </w:footnote>
  <w:footnote w:id="8">
    <w:p w14:paraId="312B27A9" w14:textId="30726CAB" w:rsidR="001B5F11" w:rsidRPr="007055D5" w:rsidRDefault="001B5F11" w:rsidP="007055D5">
      <w:pPr>
        <w:pStyle w:val="FootnoteText"/>
        <w:rPr>
          <w:szCs w:val="22"/>
        </w:rPr>
      </w:pPr>
      <w:r w:rsidRPr="007055D5">
        <w:rPr>
          <w:rStyle w:val="FootnoteReference"/>
          <w:szCs w:val="22"/>
        </w:rPr>
        <w:footnoteRef/>
      </w:r>
      <w:r w:rsidRPr="007055D5">
        <w:rPr>
          <w:szCs w:val="22"/>
        </w:rPr>
        <w:t xml:space="preserve"> </w:t>
      </w:r>
      <w:r w:rsidR="00BB484B" w:rsidRPr="007055D5">
        <w:rPr>
          <w:szCs w:val="22"/>
        </w:rPr>
        <w:t>Ex</w:t>
      </w:r>
      <w:r w:rsidR="00BB59E1" w:rsidRPr="007055D5">
        <w:rPr>
          <w:szCs w:val="22"/>
        </w:rPr>
        <w:t>.</w:t>
      </w:r>
      <w:r w:rsidR="00BB484B" w:rsidRPr="007055D5">
        <w:rPr>
          <w:szCs w:val="22"/>
        </w:rPr>
        <w:t xml:space="preserve"> </w:t>
      </w:r>
      <w:r w:rsidR="006D7C12" w:rsidRPr="007055D5">
        <w:rPr>
          <w:szCs w:val="22"/>
        </w:rPr>
        <w:t>PG&amp;E-01 at Chapter 10.</w:t>
      </w:r>
    </w:p>
  </w:footnote>
  <w:footnote w:id="9">
    <w:p w14:paraId="6523BE21" w14:textId="0F5DCFD8" w:rsidR="00B346A9" w:rsidRPr="007055D5" w:rsidRDefault="00B346A9" w:rsidP="007055D5">
      <w:pPr>
        <w:pStyle w:val="FootnoteText"/>
        <w:rPr>
          <w:szCs w:val="22"/>
        </w:rPr>
      </w:pPr>
      <w:r w:rsidRPr="007055D5">
        <w:rPr>
          <w:rStyle w:val="FootnoteReference"/>
          <w:szCs w:val="22"/>
        </w:rPr>
        <w:footnoteRef/>
      </w:r>
      <w:r w:rsidRPr="007055D5">
        <w:rPr>
          <w:szCs w:val="22"/>
        </w:rPr>
        <w:t xml:space="preserve"> </w:t>
      </w:r>
      <w:r w:rsidR="001B5F11" w:rsidRPr="007055D5">
        <w:rPr>
          <w:szCs w:val="22"/>
        </w:rPr>
        <w:t>MPB Calculations at 1</w:t>
      </w:r>
      <w:r w:rsidRPr="007055D5">
        <w:rPr>
          <w:szCs w:val="22"/>
        </w:rPr>
        <w:t>.</w:t>
      </w:r>
    </w:p>
  </w:footnote>
  <w:footnote w:id="10">
    <w:p w14:paraId="414205AD" w14:textId="49C25046" w:rsidR="00B346A9" w:rsidRPr="00D11985" w:rsidRDefault="00B346A9" w:rsidP="007055D5">
      <w:pPr>
        <w:pStyle w:val="FootnoteText"/>
        <w:rPr>
          <w:szCs w:val="22"/>
        </w:rPr>
      </w:pPr>
      <w:r w:rsidRPr="007055D5">
        <w:rPr>
          <w:rStyle w:val="FootnoteReference"/>
          <w:szCs w:val="22"/>
        </w:rPr>
        <w:footnoteRef/>
      </w:r>
      <w:r w:rsidRPr="00D11985">
        <w:rPr>
          <w:szCs w:val="22"/>
        </w:rPr>
        <w:t xml:space="preserve"> </w:t>
      </w:r>
      <w:r w:rsidR="00E37CF1" w:rsidRPr="00D11985">
        <w:rPr>
          <w:szCs w:val="22"/>
        </w:rPr>
        <w:t xml:space="preserve">Ex. </w:t>
      </w:r>
      <w:r w:rsidR="00BB59E1" w:rsidRPr="00D11985">
        <w:rPr>
          <w:szCs w:val="22"/>
        </w:rPr>
        <w:t>PG&amp;E</w:t>
      </w:r>
      <w:r w:rsidR="00E37CF1" w:rsidRPr="00D11985">
        <w:rPr>
          <w:szCs w:val="22"/>
        </w:rPr>
        <w:t>-04</w:t>
      </w:r>
      <w:r w:rsidR="00367915" w:rsidRPr="00D11985">
        <w:rPr>
          <w:szCs w:val="22"/>
        </w:rPr>
        <w:t xml:space="preserve"> Table 9-4.</w:t>
      </w:r>
    </w:p>
  </w:footnote>
  <w:footnote w:id="11">
    <w:p w14:paraId="3EEFE9B9" w14:textId="0E93D2B1" w:rsidR="00B346A9" w:rsidRPr="00E37CF1" w:rsidRDefault="00B346A9" w:rsidP="007055D5">
      <w:pPr>
        <w:pStyle w:val="FootnoteText"/>
        <w:rPr>
          <w:szCs w:val="22"/>
          <w:lang w:val="es-MX"/>
        </w:rPr>
      </w:pPr>
      <w:r w:rsidRPr="007055D5">
        <w:rPr>
          <w:rStyle w:val="FootnoteReference"/>
          <w:szCs w:val="22"/>
        </w:rPr>
        <w:footnoteRef/>
      </w:r>
      <w:r w:rsidRPr="00E37CF1">
        <w:rPr>
          <w:szCs w:val="22"/>
          <w:lang w:val="es-MX"/>
        </w:rPr>
        <w:t xml:space="preserve"> </w:t>
      </w:r>
      <w:r w:rsidR="00E37CF1" w:rsidRPr="00E37CF1">
        <w:rPr>
          <w:szCs w:val="22"/>
          <w:lang w:val="es-MX"/>
        </w:rPr>
        <w:t>Ex.</w:t>
      </w:r>
      <w:r w:rsidR="00E37CF1">
        <w:rPr>
          <w:szCs w:val="22"/>
          <w:lang w:val="es-MX"/>
        </w:rPr>
        <w:t xml:space="preserve"> PG&amp;E-04</w:t>
      </w:r>
      <w:r w:rsidR="00367915" w:rsidRPr="00E37CF1">
        <w:rPr>
          <w:szCs w:val="22"/>
          <w:lang w:val="es-MX"/>
        </w:rPr>
        <w:t xml:space="preserve"> Table 10-4.</w:t>
      </w:r>
    </w:p>
  </w:footnote>
  <w:footnote w:id="12">
    <w:p w14:paraId="5459407B" w14:textId="39BB6B3D" w:rsidR="00367915" w:rsidRPr="00E37CF1" w:rsidRDefault="00367915" w:rsidP="007055D5">
      <w:pPr>
        <w:pStyle w:val="FootnoteText"/>
        <w:rPr>
          <w:szCs w:val="22"/>
          <w:lang w:val="es-MX"/>
        </w:rPr>
      </w:pPr>
      <w:r w:rsidRPr="007055D5">
        <w:rPr>
          <w:rStyle w:val="FootnoteReference"/>
          <w:szCs w:val="22"/>
        </w:rPr>
        <w:footnoteRef/>
      </w:r>
      <w:r w:rsidRPr="00E37CF1">
        <w:rPr>
          <w:szCs w:val="22"/>
          <w:lang w:val="es-MX"/>
        </w:rPr>
        <w:t xml:space="preserve"> </w:t>
      </w:r>
      <w:r w:rsidR="00E37CF1" w:rsidRPr="00E37CF1">
        <w:rPr>
          <w:szCs w:val="22"/>
          <w:lang w:val="es-MX"/>
        </w:rPr>
        <w:t>Ex.</w:t>
      </w:r>
      <w:r w:rsidR="00E37CF1">
        <w:rPr>
          <w:szCs w:val="22"/>
          <w:lang w:val="es-MX"/>
        </w:rPr>
        <w:t xml:space="preserve"> PG&amp;E-04</w:t>
      </w:r>
      <w:r w:rsidRPr="00E37CF1">
        <w:rPr>
          <w:szCs w:val="22"/>
          <w:lang w:val="es-MX"/>
        </w:rPr>
        <w:t xml:space="preserve"> at 21.</w:t>
      </w:r>
    </w:p>
  </w:footnote>
  <w:footnote w:id="13">
    <w:p w14:paraId="301E6129" w14:textId="46F4D319" w:rsidR="00B346A9" w:rsidRPr="00E37CF1" w:rsidRDefault="00B346A9" w:rsidP="007055D5">
      <w:pPr>
        <w:pStyle w:val="FootnoteText"/>
        <w:rPr>
          <w:szCs w:val="22"/>
          <w:lang w:val="es-MX"/>
        </w:rPr>
      </w:pPr>
      <w:r w:rsidRPr="007055D5">
        <w:rPr>
          <w:rStyle w:val="FootnoteReference"/>
          <w:szCs w:val="22"/>
        </w:rPr>
        <w:footnoteRef/>
      </w:r>
      <w:r w:rsidRPr="00E37CF1">
        <w:rPr>
          <w:szCs w:val="22"/>
          <w:lang w:val="es-MX"/>
        </w:rPr>
        <w:t xml:space="preserve"> </w:t>
      </w:r>
      <w:r w:rsidR="00E37CF1" w:rsidRPr="00E37CF1">
        <w:rPr>
          <w:szCs w:val="22"/>
          <w:lang w:val="es-MX"/>
        </w:rPr>
        <w:t>Ex. PG&amp;E</w:t>
      </w:r>
      <w:r w:rsidR="00E37CF1">
        <w:rPr>
          <w:szCs w:val="22"/>
          <w:lang w:val="es-MX"/>
        </w:rPr>
        <w:t>-</w:t>
      </w:r>
      <w:r w:rsidR="00E37CF1" w:rsidRPr="00E37CF1">
        <w:rPr>
          <w:szCs w:val="22"/>
          <w:lang w:val="es-MX"/>
        </w:rPr>
        <w:t>04</w:t>
      </w:r>
      <w:r w:rsidR="00367915" w:rsidRPr="00E37CF1">
        <w:rPr>
          <w:szCs w:val="22"/>
          <w:lang w:val="es-MX"/>
        </w:rPr>
        <w:t xml:space="preserve"> at 21.</w:t>
      </w:r>
    </w:p>
  </w:footnote>
  <w:footnote w:id="14">
    <w:p w14:paraId="6918175E" w14:textId="2C05A8D1" w:rsidR="00367915" w:rsidRPr="00E37CF1" w:rsidRDefault="00367915" w:rsidP="007055D5">
      <w:pPr>
        <w:pStyle w:val="FootnoteText"/>
        <w:rPr>
          <w:szCs w:val="22"/>
          <w:lang w:val="es-MX"/>
        </w:rPr>
      </w:pPr>
      <w:r w:rsidRPr="007055D5">
        <w:rPr>
          <w:rStyle w:val="FootnoteReference"/>
          <w:szCs w:val="22"/>
        </w:rPr>
        <w:footnoteRef/>
      </w:r>
      <w:r w:rsidRPr="00E37CF1">
        <w:rPr>
          <w:szCs w:val="22"/>
          <w:lang w:val="es-MX"/>
        </w:rPr>
        <w:t xml:space="preserve"> </w:t>
      </w:r>
      <w:r w:rsidR="00E37CF1" w:rsidRPr="00E37CF1">
        <w:rPr>
          <w:szCs w:val="22"/>
          <w:lang w:val="es-MX"/>
        </w:rPr>
        <w:t>Ex. PG&amp;E-04</w:t>
      </w:r>
      <w:r w:rsidRPr="00E37CF1">
        <w:rPr>
          <w:szCs w:val="22"/>
          <w:lang w:val="es-MX"/>
        </w:rPr>
        <w:t xml:space="preserve"> Table 10-9.</w:t>
      </w:r>
    </w:p>
  </w:footnote>
  <w:footnote w:id="15">
    <w:p w14:paraId="15B80FD9" w14:textId="4B5B9C2E" w:rsidR="00B346A9" w:rsidRPr="007055D5" w:rsidRDefault="00B346A9" w:rsidP="007055D5">
      <w:pPr>
        <w:pStyle w:val="FootnoteText"/>
        <w:rPr>
          <w:szCs w:val="22"/>
        </w:rPr>
      </w:pPr>
      <w:r w:rsidRPr="007055D5">
        <w:rPr>
          <w:rStyle w:val="FootnoteReference"/>
          <w:szCs w:val="22"/>
        </w:rPr>
        <w:footnoteRef/>
      </w:r>
      <w:r w:rsidRPr="007055D5">
        <w:rPr>
          <w:szCs w:val="22"/>
        </w:rPr>
        <w:t xml:space="preserve"> </w:t>
      </w:r>
      <w:r w:rsidR="00E37CF1">
        <w:rPr>
          <w:szCs w:val="22"/>
        </w:rPr>
        <w:t>Ex. PG&amp;E-04</w:t>
      </w:r>
      <w:r w:rsidR="00367915" w:rsidRPr="007055D5">
        <w:rPr>
          <w:szCs w:val="22"/>
        </w:rPr>
        <w:t xml:space="preserve"> Table 10-12.</w:t>
      </w:r>
    </w:p>
  </w:footnote>
  <w:footnote w:id="16">
    <w:p w14:paraId="29B9068A" w14:textId="5F2D1FE3" w:rsidR="00AD1472" w:rsidRPr="007055D5" w:rsidRDefault="00AD1472" w:rsidP="007055D5">
      <w:pPr>
        <w:pStyle w:val="FootnoteText"/>
        <w:rPr>
          <w:szCs w:val="22"/>
        </w:rPr>
      </w:pPr>
      <w:r w:rsidRPr="007055D5">
        <w:rPr>
          <w:rStyle w:val="FootnoteReference"/>
          <w:szCs w:val="22"/>
        </w:rPr>
        <w:footnoteRef/>
      </w:r>
      <w:r w:rsidRPr="007055D5">
        <w:rPr>
          <w:szCs w:val="22"/>
        </w:rPr>
        <w:t xml:space="preserve"> D.23-12-036 at 64.</w:t>
      </w:r>
    </w:p>
  </w:footnote>
  <w:footnote w:id="17">
    <w:p w14:paraId="6BA32BDC" w14:textId="77093904" w:rsidR="00AD1472" w:rsidRPr="007055D5" w:rsidRDefault="00AD1472" w:rsidP="007055D5">
      <w:pPr>
        <w:pStyle w:val="FootnoteText"/>
        <w:rPr>
          <w:szCs w:val="22"/>
        </w:rPr>
      </w:pPr>
      <w:r w:rsidRPr="007055D5">
        <w:rPr>
          <w:rStyle w:val="FootnoteReference"/>
          <w:szCs w:val="22"/>
        </w:rPr>
        <w:footnoteRef/>
      </w:r>
      <w:r w:rsidRPr="007055D5">
        <w:rPr>
          <w:szCs w:val="22"/>
        </w:rPr>
        <w:t xml:space="preserve"> D.19-05-020 at 7; D.15-11-021 at 8-9; D.14-08-032 at 17.</w:t>
      </w:r>
    </w:p>
  </w:footnote>
  <w:footnote w:id="18">
    <w:p w14:paraId="4E724F55" w14:textId="7B313C1D" w:rsidR="00B346A9" w:rsidRPr="007055D5" w:rsidRDefault="00B346A9" w:rsidP="007055D5">
      <w:pPr>
        <w:pStyle w:val="FootnoteText"/>
        <w:rPr>
          <w:szCs w:val="22"/>
        </w:rPr>
      </w:pPr>
      <w:r w:rsidRPr="007055D5">
        <w:rPr>
          <w:rStyle w:val="FootnoteReference"/>
          <w:szCs w:val="22"/>
        </w:rPr>
        <w:footnoteRef/>
      </w:r>
      <w:r w:rsidRPr="007055D5">
        <w:rPr>
          <w:szCs w:val="22"/>
        </w:rPr>
        <w:t xml:space="preserve"> D.08-12-058 at 19, citing Witkin, Calif. Evidence, 4th Edition, Vol. 1 at 184.</w:t>
      </w:r>
    </w:p>
  </w:footnote>
  <w:footnote w:id="19">
    <w:p w14:paraId="3EE13898" w14:textId="1C9FB998" w:rsidR="00FD3491" w:rsidRPr="007055D5" w:rsidRDefault="00FD3491" w:rsidP="007055D5">
      <w:pPr>
        <w:pStyle w:val="FootnoteText"/>
        <w:rPr>
          <w:szCs w:val="22"/>
        </w:rPr>
      </w:pPr>
      <w:r w:rsidRPr="007055D5">
        <w:rPr>
          <w:rStyle w:val="FootnoteReference"/>
          <w:szCs w:val="22"/>
        </w:rPr>
        <w:footnoteRef/>
      </w:r>
      <w:r w:rsidRPr="007055D5">
        <w:rPr>
          <w:szCs w:val="22"/>
        </w:rPr>
        <w:t xml:space="preserve"> PG&amp;E Opening Brief at 8-9; Exhibit PG&amp;E-01 at 2-2.</w:t>
      </w:r>
    </w:p>
  </w:footnote>
  <w:footnote w:id="20">
    <w:p w14:paraId="14B67DDD" w14:textId="76FAFA0F" w:rsidR="006E7156" w:rsidRPr="007055D5" w:rsidRDefault="006E7156"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B59E1" w:rsidRPr="007055D5">
        <w:rPr>
          <w:szCs w:val="22"/>
        </w:rPr>
        <w:t>.</w:t>
      </w:r>
      <w:r w:rsidR="007E0085" w:rsidRPr="007055D5">
        <w:rPr>
          <w:szCs w:val="22"/>
        </w:rPr>
        <w:t xml:space="preserve"> </w:t>
      </w:r>
      <w:r w:rsidRPr="007055D5">
        <w:rPr>
          <w:szCs w:val="22"/>
        </w:rPr>
        <w:t>PG&amp;E-01 at 2-15 to 2-23.</w:t>
      </w:r>
    </w:p>
  </w:footnote>
  <w:footnote w:id="21">
    <w:p w14:paraId="4761C3CB" w14:textId="4AFE5F98" w:rsidR="006E7156" w:rsidRPr="007055D5" w:rsidRDefault="006E7156" w:rsidP="007055D5">
      <w:pPr>
        <w:pStyle w:val="FootnoteText"/>
        <w:rPr>
          <w:szCs w:val="22"/>
        </w:rPr>
      </w:pPr>
      <w:r w:rsidRPr="007055D5">
        <w:rPr>
          <w:rStyle w:val="FootnoteReference"/>
          <w:szCs w:val="22"/>
        </w:rPr>
        <w:footnoteRef/>
      </w:r>
      <w:r w:rsidRPr="007055D5">
        <w:rPr>
          <w:szCs w:val="22"/>
        </w:rPr>
        <w:t xml:space="preserve"> D.23-12-036 at 60.</w:t>
      </w:r>
    </w:p>
  </w:footnote>
  <w:footnote w:id="22">
    <w:p w14:paraId="57AACC8F" w14:textId="721E8662" w:rsidR="006E7156" w:rsidRPr="007055D5" w:rsidRDefault="006E7156" w:rsidP="007055D5">
      <w:pPr>
        <w:pStyle w:val="FootnoteText"/>
        <w:rPr>
          <w:szCs w:val="22"/>
        </w:rPr>
      </w:pPr>
      <w:r w:rsidRPr="007055D5">
        <w:rPr>
          <w:rStyle w:val="FootnoteReference"/>
          <w:szCs w:val="22"/>
        </w:rPr>
        <w:footnoteRef/>
      </w:r>
      <w:r w:rsidRPr="007055D5">
        <w:rPr>
          <w:szCs w:val="22"/>
        </w:rPr>
        <w:t xml:space="preserve"> </w:t>
      </w:r>
      <w:r w:rsidR="00AE7222" w:rsidRPr="007055D5">
        <w:rPr>
          <w:szCs w:val="22"/>
        </w:rPr>
        <w:t>Ex</w:t>
      </w:r>
      <w:r w:rsidR="00BB59E1" w:rsidRPr="007055D5">
        <w:rPr>
          <w:szCs w:val="22"/>
        </w:rPr>
        <w:t>.</w:t>
      </w:r>
      <w:r w:rsidR="00AE7222" w:rsidRPr="007055D5">
        <w:rPr>
          <w:szCs w:val="22"/>
        </w:rPr>
        <w:t xml:space="preserve"> </w:t>
      </w:r>
      <w:r w:rsidR="00723C80" w:rsidRPr="007055D5">
        <w:rPr>
          <w:szCs w:val="22"/>
        </w:rPr>
        <w:t>PG&amp;E-01 at 2-2</w:t>
      </w:r>
      <w:r w:rsidR="00B56727" w:rsidRPr="007055D5">
        <w:rPr>
          <w:szCs w:val="22"/>
        </w:rPr>
        <w:t>.</w:t>
      </w:r>
    </w:p>
  </w:footnote>
  <w:footnote w:id="23">
    <w:p w14:paraId="1335156F" w14:textId="07346C78" w:rsidR="00723C80" w:rsidRPr="007055D5" w:rsidRDefault="00723C80" w:rsidP="007055D5">
      <w:pPr>
        <w:pStyle w:val="FootnoteText"/>
        <w:rPr>
          <w:szCs w:val="22"/>
        </w:rPr>
      </w:pPr>
      <w:r w:rsidRPr="007055D5">
        <w:rPr>
          <w:rStyle w:val="FootnoteReference"/>
          <w:szCs w:val="22"/>
        </w:rPr>
        <w:footnoteRef/>
      </w:r>
      <w:r w:rsidRPr="007055D5">
        <w:rPr>
          <w:szCs w:val="22"/>
        </w:rPr>
        <w:t xml:space="preserve"> </w:t>
      </w:r>
      <w:r w:rsidR="00B56727" w:rsidRPr="007055D5">
        <w:rPr>
          <w:szCs w:val="22"/>
        </w:rPr>
        <w:t>A.</w:t>
      </w:r>
      <w:r w:rsidRPr="007055D5">
        <w:rPr>
          <w:szCs w:val="22"/>
        </w:rPr>
        <w:t>25-03-015 at 19.</w:t>
      </w:r>
    </w:p>
  </w:footnote>
  <w:footnote w:id="24">
    <w:p w14:paraId="44EAFF79" w14:textId="682D2BD9" w:rsidR="00723C80" w:rsidRPr="007055D5" w:rsidRDefault="00723C80"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B56727" w:rsidRPr="007055D5">
        <w:rPr>
          <w:szCs w:val="22"/>
          <w:lang w:val="es-MX"/>
        </w:rPr>
        <w:t>.</w:t>
      </w:r>
      <w:r w:rsidR="007E0085" w:rsidRPr="007055D5">
        <w:rPr>
          <w:szCs w:val="22"/>
          <w:lang w:val="es-MX"/>
        </w:rPr>
        <w:t xml:space="preserve"> </w:t>
      </w:r>
      <w:r w:rsidRPr="007055D5">
        <w:rPr>
          <w:szCs w:val="22"/>
          <w:lang w:val="es-MX"/>
        </w:rPr>
        <w:t>PG&amp;E-01 at 2-2</w:t>
      </w:r>
      <w:r w:rsidR="00B56727" w:rsidRPr="007055D5">
        <w:rPr>
          <w:szCs w:val="22"/>
          <w:lang w:val="es-MX"/>
        </w:rPr>
        <w:t>.</w:t>
      </w:r>
    </w:p>
  </w:footnote>
  <w:footnote w:id="25">
    <w:p w14:paraId="7B492804" w14:textId="27F80D2F" w:rsidR="00723C80" w:rsidRPr="007055D5" w:rsidRDefault="00723C80"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B56727" w:rsidRPr="007055D5">
        <w:rPr>
          <w:szCs w:val="22"/>
          <w:lang w:val="es-MX"/>
        </w:rPr>
        <w:t>.</w:t>
      </w:r>
      <w:r w:rsidR="007E0085" w:rsidRPr="007055D5">
        <w:rPr>
          <w:szCs w:val="22"/>
          <w:lang w:val="es-MX"/>
        </w:rPr>
        <w:t xml:space="preserve"> </w:t>
      </w:r>
      <w:r w:rsidRPr="007055D5">
        <w:rPr>
          <w:szCs w:val="22"/>
          <w:lang w:val="es-MX"/>
        </w:rPr>
        <w:t>PG&amp;E-01 at 2-15</w:t>
      </w:r>
      <w:r w:rsidR="00B56727" w:rsidRPr="007055D5">
        <w:rPr>
          <w:szCs w:val="22"/>
          <w:lang w:val="es-MX"/>
        </w:rPr>
        <w:t>.</w:t>
      </w:r>
    </w:p>
  </w:footnote>
  <w:footnote w:id="26">
    <w:p w14:paraId="0F16C3A5" w14:textId="3C3CE399" w:rsidR="00723C80" w:rsidRPr="007055D5" w:rsidRDefault="00723C80"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56727" w:rsidRPr="007055D5">
        <w:rPr>
          <w:szCs w:val="22"/>
        </w:rPr>
        <w:t>.</w:t>
      </w:r>
      <w:r w:rsidR="007E0085" w:rsidRPr="007055D5">
        <w:rPr>
          <w:szCs w:val="22"/>
        </w:rPr>
        <w:t xml:space="preserve"> </w:t>
      </w:r>
      <w:r w:rsidRPr="007055D5">
        <w:rPr>
          <w:szCs w:val="22"/>
        </w:rPr>
        <w:t>PG&amp;E-01 at 2-30.</w:t>
      </w:r>
    </w:p>
  </w:footnote>
  <w:footnote w:id="27">
    <w:p w14:paraId="1148345C" w14:textId="6FCCB3BC" w:rsidR="00723C80" w:rsidRPr="007055D5" w:rsidRDefault="00723C80" w:rsidP="007055D5">
      <w:pPr>
        <w:pStyle w:val="FootnoteText"/>
        <w:rPr>
          <w:szCs w:val="22"/>
        </w:rPr>
      </w:pPr>
      <w:r w:rsidRPr="007055D5">
        <w:rPr>
          <w:rStyle w:val="FootnoteReference"/>
          <w:szCs w:val="22"/>
        </w:rPr>
        <w:footnoteRef/>
      </w:r>
      <w:r w:rsidRPr="007055D5">
        <w:rPr>
          <w:szCs w:val="22"/>
        </w:rPr>
        <w:t xml:space="preserve"> A4NR Opening Brief at 2.</w:t>
      </w:r>
    </w:p>
  </w:footnote>
  <w:footnote w:id="28">
    <w:p w14:paraId="5F066DE6" w14:textId="232F6181" w:rsidR="00606933" w:rsidRDefault="00606933">
      <w:pPr>
        <w:pStyle w:val="FootnoteText"/>
      </w:pPr>
      <w:r>
        <w:rPr>
          <w:rStyle w:val="FootnoteReference"/>
        </w:rPr>
        <w:footnoteRef/>
      </w:r>
      <w:r>
        <w:t xml:space="preserve"> D.24-12-033 at 17-18.</w:t>
      </w:r>
    </w:p>
  </w:footnote>
  <w:footnote w:id="29">
    <w:p w14:paraId="09E41438" w14:textId="4186F7BD" w:rsidR="000E0232" w:rsidRPr="007055D5" w:rsidRDefault="000E0232"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56727" w:rsidRPr="007055D5">
        <w:rPr>
          <w:szCs w:val="22"/>
        </w:rPr>
        <w:t>.</w:t>
      </w:r>
      <w:r w:rsidR="007E0085" w:rsidRPr="007055D5">
        <w:rPr>
          <w:szCs w:val="22"/>
        </w:rPr>
        <w:t xml:space="preserve"> </w:t>
      </w:r>
      <w:r w:rsidRPr="007055D5">
        <w:rPr>
          <w:szCs w:val="22"/>
        </w:rPr>
        <w:t>ARNR-01 at 9-10.</w:t>
      </w:r>
    </w:p>
  </w:footnote>
  <w:footnote w:id="30">
    <w:p w14:paraId="35E8A097" w14:textId="77777777" w:rsidR="009E0CCF" w:rsidRPr="007055D5" w:rsidRDefault="009E0CCF" w:rsidP="007055D5">
      <w:pPr>
        <w:pStyle w:val="FootnoteText"/>
        <w:rPr>
          <w:szCs w:val="22"/>
        </w:rPr>
      </w:pPr>
      <w:r w:rsidRPr="007055D5">
        <w:rPr>
          <w:rStyle w:val="FootnoteReference"/>
          <w:szCs w:val="22"/>
        </w:rPr>
        <w:footnoteRef/>
      </w:r>
      <w:r w:rsidRPr="007055D5">
        <w:rPr>
          <w:szCs w:val="22"/>
        </w:rPr>
        <w:t xml:space="preserve"> EPUC Opening Brief at 12.</w:t>
      </w:r>
    </w:p>
  </w:footnote>
  <w:footnote w:id="31">
    <w:p w14:paraId="4A2953A6" w14:textId="72B01ECD" w:rsidR="00723C80" w:rsidRPr="007055D5" w:rsidRDefault="00723C80" w:rsidP="007055D5">
      <w:pPr>
        <w:pStyle w:val="FootnoteText"/>
        <w:rPr>
          <w:szCs w:val="22"/>
        </w:rPr>
      </w:pPr>
      <w:r w:rsidRPr="007055D5">
        <w:rPr>
          <w:rStyle w:val="FootnoteReference"/>
          <w:szCs w:val="22"/>
        </w:rPr>
        <w:footnoteRef/>
      </w:r>
      <w:r w:rsidRPr="007055D5">
        <w:rPr>
          <w:szCs w:val="22"/>
        </w:rPr>
        <w:t xml:space="preserve"> PG&amp;E Opening Brief at 10.</w:t>
      </w:r>
    </w:p>
  </w:footnote>
  <w:footnote w:id="32">
    <w:p w14:paraId="592C9FB2" w14:textId="0EA18FE9" w:rsidR="00723C80" w:rsidRPr="007055D5" w:rsidRDefault="00723C80" w:rsidP="007055D5">
      <w:pPr>
        <w:pStyle w:val="FootnoteText"/>
        <w:rPr>
          <w:szCs w:val="22"/>
        </w:rPr>
      </w:pPr>
      <w:r w:rsidRPr="007055D5">
        <w:rPr>
          <w:rStyle w:val="FootnoteReference"/>
          <w:szCs w:val="22"/>
        </w:rPr>
        <w:footnoteRef/>
      </w:r>
      <w:r w:rsidRPr="007055D5">
        <w:rPr>
          <w:szCs w:val="22"/>
        </w:rPr>
        <w:t xml:space="preserve"> PG&amp;E Opening Brief at 11.</w:t>
      </w:r>
    </w:p>
  </w:footnote>
  <w:footnote w:id="33">
    <w:p w14:paraId="6BDC42F9" w14:textId="4D6203F9" w:rsidR="00723C80" w:rsidRPr="007055D5" w:rsidRDefault="00723C80" w:rsidP="007055D5">
      <w:pPr>
        <w:pStyle w:val="FootnoteText"/>
        <w:rPr>
          <w:szCs w:val="22"/>
        </w:rPr>
      </w:pPr>
      <w:r w:rsidRPr="007055D5">
        <w:rPr>
          <w:rStyle w:val="FootnoteReference"/>
          <w:szCs w:val="22"/>
        </w:rPr>
        <w:footnoteRef/>
      </w:r>
      <w:r w:rsidRPr="007055D5">
        <w:rPr>
          <w:szCs w:val="22"/>
        </w:rPr>
        <w:t xml:space="preserve"> </w:t>
      </w:r>
      <w:r w:rsidR="00BD4FB3" w:rsidRPr="007055D5">
        <w:rPr>
          <w:szCs w:val="22"/>
        </w:rPr>
        <w:t>Ex</w:t>
      </w:r>
      <w:r w:rsidR="00B56727" w:rsidRPr="007055D5">
        <w:rPr>
          <w:szCs w:val="22"/>
        </w:rPr>
        <w:t>.</w:t>
      </w:r>
      <w:r w:rsidR="00BD4FB3" w:rsidRPr="007055D5">
        <w:rPr>
          <w:szCs w:val="22"/>
        </w:rPr>
        <w:t xml:space="preserve"> </w:t>
      </w:r>
      <w:r w:rsidRPr="007055D5">
        <w:rPr>
          <w:szCs w:val="22"/>
        </w:rPr>
        <w:t>CARE-01 at 11-12.</w:t>
      </w:r>
    </w:p>
  </w:footnote>
  <w:footnote w:id="34">
    <w:p w14:paraId="3D5BB60A" w14:textId="7A65C456" w:rsidR="003434BC" w:rsidRPr="007055D5" w:rsidRDefault="003434BC" w:rsidP="007055D5">
      <w:pPr>
        <w:pStyle w:val="FootnoteText"/>
        <w:rPr>
          <w:szCs w:val="22"/>
        </w:rPr>
      </w:pPr>
      <w:r w:rsidRPr="007055D5">
        <w:rPr>
          <w:rStyle w:val="FootnoteReference"/>
          <w:szCs w:val="22"/>
        </w:rPr>
        <w:footnoteRef/>
      </w:r>
      <w:r w:rsidRPr="007055D5">
        <w:rPr>
          <w:szCs w:val="22"/>
        </w:rPr>
        <w:t xml:space="preserve"> </w:t>
      </w:r>
      <w:r w:rsidR="00BD4FB3" w:rsidRPr="007055D5">
        <w:rPr>
          <w:szCs w:val="22"/>
        </w:rPr>
        <w:t>Ex</w:t>
      </w:r>
      <w:r w:rsidR="00B56727" w:rsidRPr="007055D5">
        <w:rPr>
          <w:szCs w:val="22"/>
        </w:rPr>
        <w:t>.</w:t>
      </w:r>
      <w:r w:rsidR="00BD4FB3" w:rsidRPr="007055D5">
        <w:rPr>
          <w:szCs w:val="22"/>
        </w:rPr>
        <w:t xml:space="preserve"> </w:t>
      </w:r>
      <w:r w:rsidRPr="007055D5">
        <w:rPr>
          <w:szCs w:val="22"/>
        </w:rPr>
        <w:t>CARE-01 at 10.</w:t>
      </w:r>
    </w:p>
  </w:footnote>
  <w:footnote w:id="35">
    <w:p w14:paraId="40252C3D" w14:textId="47F9C27F" w:rsidR="003434BC" w:rsidRPr="007055D5" w:rsidRDefault="003434BC" w:rsidP="007055D5">
      <w:pPr>
        <w:pStyle w:val="FootnoteText"/>
        <w:rPr>
          <w:szCs w:val="22"/>
        </w:rPr>
      </w:pPr>
      <w:r w:rsidRPr="007055D5">
        <w:rPr>
          <w:rStyle w:val="FootnoteReference"/>
          <w:szCs w:val="22"/>
        </w:rPr>
        <w:footnoteRef/>
      </w:r>
      <w:r w:rsidRPr="007055D5">
        <w:rPr>
          <w:szCs w:val="22"/>
        </w:rPr>
        <w:t xml:space="preserve"> PG&amp;E Opening Brief at 12-13.</w:t>
      </w:r>
    </w:p>
  </w:footnote>
  <w:footnote w:id="36">
    <w:p w14:paraId="26A1FE1B" w14:textId="1F77081F" w:rsidR="00A772A4" w:rsidRPr="007055D5" w:rsidRDefault="00A772A4"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73668D" w:rsidRPr="007055D5">
        <w:rPr>
          <w:szCs w:val="22"/>
        </w:rPr>
        <w:t>.</w:t>
      </w:r>
      <w:r w:rsidR="007E0085" w:rsidRPr="007055D5">
        <w:rPr>
          <w:szCs w:val="22"/>
        </w:rPr>
        <w:t xml:space="preserve"> </w:t>
      </w:r>
      <w:r w:rsidRPr="007055D5">
        <w:rPr>
          <w:szCs w:val="22"/>
        </w:rPr>
        <w:t>CARE-01 at 5.</w:t>
      </w:r>
    </w:p>
  </w:footnote>
  <w:footnote w:id="37">
    <w:p w14:paraId="2F124BDD" w14:textId="733F02B5" w:rsidR="00A772A4" w:rsidRPr="007055D5" w:rsidRDefault="00A772A4" w:rsidP="007055D5">
      <w:pPr>
        <w:pStyle w:val="FootnoteText"/>
        <w:rPr>
          <w:szCs w:val="22"/>
        </w:rPr>
      </w:pPr>
      <w:r w:rsidRPr="007055D5">
        <w:rPr>
          <w:rStyle w:val="FootnoteReference"/>
          <w:szCs w:val="22"/>
        </w:rPr>
        <w:footnoteRef/>
      </w:r>
      <w:r w:rsidRPr="007055D5">
        <w:rPr>
          <w:szCs w:val="22"/>
        </w:rPr>
        <w:t xml:space="preserve"> PG&amp;E Opening Brief at 28.</w:t>
      </w:r>
    </w:p>
  </w:footnote>
  <w:footnote w:id="38">
    <w:p w14:paraId="13EED8BD" w14:textId="4ADE8F7B" w:rsidR="00A772A4" w:rsidRPr="007055D5" w:rsidRDefault="00A772A4"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73668D" w:rsidRPr="007055D5">
        <w:rPr>
          <w:szCs w:val="22"/>
        </w:rPr>
        <w:t>.</w:t>
      </w:r>
      <w:r w:rsidR="007E0085" w:rsidRPr="007055D5">
        <w:rPr>
          <w:szCs w:val="22"/>
        </w:rPr>
        <w:t xml:space="preserve"> </w:t>
      </w:r>
      <w:r w:rsidRPr="007055D5">
        <w:rPr>
          <w:szCs w:val="22"/>
        </w:rPr>
        <w:t>CARE-01 at 5-6.</w:t>
      </w:r>
    </w:p>
  </w:footnote>
  <w:footnote w:id="39">
    <w:p w14:paraId="03C4836C" w14:textId="3AE49789" w:rsidR="00A772A4" w:rsidRPr="007055D5" w:rsidRDefault="00A772A4"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73668D" w:rsidRPr="007055D5">
        <w:rPr>
          <w:szCs w:val="22"/>
        </w:rPr>
        <w:t>.</w:t>
      </w:r>
      <w:r w:rsidR="007E0085" w:rsidRPr="007055D5">
        <w:rPr>
          <w:szCs w:val="22"/>
        </w:rPr>
        <w:t xml:space="preserve"> </w:t>
      </w:r>
      <w:r w:rsidRPr="007055D5">
        <w:rPr>
          <w:szCs w:val="22"/>
        </w:rPr>
        <w:t>CARE-01 at 5-6.</w:t>
      </w:r>
    </w:p>
  </w:footnote>
  <w:footnote w:id="40">
    <w:p w14:paraId="56A09920" w14:textId="6FE14BC9" w:rsidR="00A772A4" w:rsidRPr="007055D5" w:rsidRDefault="00A772A4"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73668D" w:rsidRPr="007055D5">
        <w:rPr>
          <w:szCs w:val="22"/>
          <w:lang w:val="es-MX"/>
        </w:rPr>
        <w:t>.</w:t>
      </w:r>
      <w:r w:rsidR="007E0085" w:rsidRPr="007055D5">
        <w:rPr>
          <w:szCs w:val="22"/>
          <w:lang w:val="es-MX"/>
        </w:rPr>
        <w:t xml:space="preserve"> </w:t>
      </w:r>
      <w:r w:rsidRPr="007055D5">
        <w:rPr>
          <w:szCs w:val="22"/>
          <w:lang w:val="es-MX"/>
        </w:rPr>
        <w:t>PG&amp;E-01A-WP at WP 2-5.</w:t>
      </w:r>
    </w:p>
  </w:footnote>
  <w:footnote w:id="41">
    <w:p w14:paraId="2677082E" w14:textId="5532FD61" w:rsidR="005751F8" w:rsidRPr="007055D5" w:rsidRDefault="005751F8"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73668D" w:rsidRPr="007055D5">
        <w:rPr>
          <w:szCs w:val="22"/>
          <w:lang w:val="es-MX"/>
        </w:rPr>
        <w:t>.</w:t>
      </w:r>
      <w:r w:rsidR="007E0085" w:rsidRPr="007055D5">
        <w:rPr>
          <w:szCs w:val="22"/>
          <w:lang w:val="es-MX"/>
        </w:rPr>
        <w:t xml:space="preserve"> </w:t>
      </w:r>
      <w:r w:rsidRPr="007055D5">
        <w:rPr>
          <w:szCs w:val="22"/>
          <w:lang w:val="es-MX"/>
        </w:rPr>
        <w:t>PG&amp;E-03 at 2-2.</w:t>
      </w:r>
    </w:p>
  </w:footnote>
  <w:footnote w:id="42">
    <w:p w14:paraId="7453E487" w14:textId="0BD3050D" w:rsidR="005751F8" w:rsidRPr="007055D5" w:rsidRDefault="005751F8"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73668D" w:rsidRPr="007055D5">
        <w:rPr>
          <w:szCs w:val="22"/>
          <w:lang w:val="es-MX"/>
        </w:rPr>
        <w:t>.</w:t>
      </w:r>
      <w:r w:rsidR="007E0085" w:rsidRPr="007055D5">
        <w:rPr>
          <w:szCs w:val="22"/>
          <w:lang w:val="es-MX"/>
        </w:rPr>
        <w:t xml:space="preserve"> </w:t>
      </w:r>
      <w:r w:rsidRPr="007055D5">
        <w:rPr>
          <w:szCs w:val="22"/>
          <w:lang w:val="es-MX"/>
        </w:rPr>
        <w:t>PG&amp;E-03 at 2-2.</w:t>
      </w:r>
    </w:p>
  </w:footnote>
  <w:footnote w:id="43">
    <w:p w14:paraId="5093EA44" w14:textId="46BEBAD3" w:rsidR="005751F8" w:rsidRPr="007055D5" w:rsidRDefault="005751F8"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73668D" w:rsidRPr="007055D5">
        <w:rPr>
          <w:szCs w:val="22"/>
          <w:lang w:val="es-MX"/>
        </w:rPr>
        <w:t>.</w:t>
      </w:r>
      <w:r w:rsidR="007E0085" w:rsidRPr="007055D5">
        <w:rPr>
          <w:szCs w:val="22"/>
          <w:lang w:val="es-MX"/>
        </w:rPr>
        <w:t xml:space="preserve"> </w:t>
      </w:r>
      <w:r w:rsidRPr="007055D5">
        <w:rPr>
          <w:szCs w:val="22"/>
          <w:lang w:val="es-MX"/>
        </w:rPr>
        <w:t>PG&amp;E-03 at 2-3.</w:t>
      </w:r>
    </w:p>
  </w:footnote>
  <w:footnote w:id="44">
    <w:p w14:paraId="76208688" w14:textId="4FC1FC23" w:rsidR="005751F8" w:rsidRPr="007055D5" w:rsidRDefault="005751F8"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73668D" w:rsidRPr="007055D5">
        <w:rPr>
          <w:szCs w:val="22"/>
          <w:lang w:val="es-MX"/>
        </w:rPr>
        <w:t>.</w:t>
      </w:r>
      <w:r w:rsidR="007E0085" w:rsidRPr="007055D5">
        <w:rPr>
          <w:szCs w:val="22"/>
          <w:lang w:val="es-MX"/>
        </w:rPr>
        <w:t xml:space="preserve"> </w:t>
      </w:r>
      <w:r w:rsidRPr="007055D5">
        <w:rPr>
          <w:szCs w:val="22"/>
          <w:lang w:val="es-MX"/>
        </w:rPr>
        <w:t>PG&amp;E-03 at 2-3.</w:t>
      </w:r>
    </w:p>
  </w:footnote>
  <w:footnote w:id="45">
    <w:p w14:paraId="16AFC37F" w14:textId="69ABA9A4" w:rsidR="00E94032" w:rsidRPr="007055D5" w:rsidRDefault="00E94032" w:rsidP="007055D5">
      <w:pPr>
        <w:pStyle w:val="FootnoteText"/>
        <w:rPr>
          <w:szCs w:val="22"/>
        </w:rPr>
      </w:pPr>
      <w:r w:rsidRPr="007055D5">
        <w:rPr>
          <w:rStyle w:val="FootnoteReference"/>
          <w:szCs w:val="22"/>
        </w:rPr>
        <w:footnoteRef/>
      </w:r>
      <w:r w:rsidRPr="007055D5">
        <w:rPr>
          <w:szCs w:val="22"/>
        </w:rPr>
        <w:t xml:space="preserve"> WEM Opening Brief at 3.</w:t>
      </w:r>
    </w:p>
  </w:footnote>
  <w:footnote w:id="46">
    <w:p w14:paraId="2B45168F" w14:textId="366455BE" w:rsidR="00E94032" w:rsidRPr="007055D5" w:rsidRDefault="00E94032" w:rsidP="007055D5">
      <w:pPr>
        <w:pStyle w:val="FootnoteText"/>
        <w:rPr>
          <w:szCs w:val="22"/>
        </w:rPr>
      </w:pPr>
      <w:r w:rsidRPr="007055D5">
        <w:rPr>
          <w:rStyle w:val="FootnoteReference"/>
          <w:szCs w:val="22"/>
        </w:rPr>
        <w:footnoteRef/>
      </w:r>
      <w:r w:rsidRPr="007055D5">
        <w:rPr>
          <w:szCs w:val="22"/>
        </w:rPr>
        <w:t xml:space="preserve"> WEM Opening Brief at 9.</w:t>
      </w:r>
    </w:p>
  </w:footnote>
  <w:footnote w:id="47">
    <w:p w14:paraId="4C0BEE79" w14:textId="77777777" w:rsidR="00C109D7" w:rsidRPr="0062787E" w:rsidRDefault="00C109D7" w:rsidP="00C109D7">
      <w:pPr>
        <w:pStyle w:val="FootnoteText"/>
      </w:pPr>
      <w:r>
        <w:rPr>
          <w:rStyle w:val="FootnoteReference"/>
        </w:rPr>
        <w:footnoteRef/>
      </w:r>
      <w:r w:rsidRPr="0062787E">
        <w:t xml:space="preserve"> Ex. PAO-01 at 2-25.</w:t>
      </w:r>
    </w:p>
  </w:footnote>
  <w:footnote w:id="48">
    <w:p w14:paraId="5D57B122" w14:textId="3FFD348F" w:rsidR="00C109D7" w:rsidRDefault="00C109D7">
      <w:pPr>
        <w:pStyle w:val="FootnoteText"/>
      </w:pPr>
      <w:r>
        <w:rPr>
          <w:rStyle w:val="FootnoteReference"/>
        </w:rPr>
        <w:footnoteRef/>
      </w:r>
      <w:r>
        <w:t xml:space="preserve"> WEM Reply Brief at 2-3.</w:t>
      </w:r>
    </w:p>
  </w:footnote>
  <w:footnote w:id="49">
    <w:p w14:paraId="13FACEB9" w14:textId="1821D721" w:rsidR="00C109D7" w:rsidRDefault="00C109D7">
      <w:pPr>
        <w:pStyle w:val="FootnoteText"/>
      </w:pPr>
      <w:r>
        <w:rPr>
          <w:rStyle w:val="FootnoteReference"/>
        </w:rPr>
        <w:footnoteRef/>
      </w:r>
      <w:r>
        <w:t xml:space="preserve"> WEM Reply Brief at 2-3.</w:t>
      </w:r>
    </w:p>
  </w:footnote>
  <w:footnote w:id="50">
    <w:p w14:paraId="180D9CE9" w14:textId="0D53AFAA" w:rsidR="00C109D7" w:rsidRDefault="00C109D7">
      <w:pPr>
        <w:pStyle w:val="FootnoteText"/>
      </w:pPr>
      <w:r>
        <w:rPr>
          <w:rStyle w:val="FootnoteReference"/>
        </w:rPr>
        <w:footnoteRef/>
      </w:r>
      <w:r>
        <w:t xml:space="preserve"> WEM Reply Brief at 2-3.</w:t>
      </w:r>
    </w:p>
  </w:footnote>
  <w:footnote w:id="51">
    <w:p w14:paraId="0A1CF196" w14:textId="32FBCA69" w:rsidR="00E94032" w:rsidRPr="00C109D7" w:rsidRDefault="00E94032" w:rsidP="007055D5">
      <w:pPr>
        <w:pStyle w:val="FootnoteText"/>
        <w:rPr>
          <w:szCs w:val="22"/>
        </w:rPr>
      </w:pPr>
      <w:r w:rsidRPr="007055D5">
        <w:rPr>
          <w:rStyle w:val="FootnoteReference"/>
          <w:szCs w:val="22"/>
        </w:rPr>
        <w:footnoteRef/>
      </w:r>
      <w:r w:rsidRPr="00C109D7">
        <w:rPr>
          <w:szCs w:val="22"/>
        </w:rPr>
        <w:t xml:space="preserve"> </w:t>
      </w:r>
      <w:r w:rsidR="007E0085" w:rsidRPr="00C109D7">
        <w:rPr>
          <w:szCs w:val="22"/>
        </w:rPr>
        <w:t>Ex</w:t>
      </w:r>
      <w:r w:rsidR="00F06136" w:rsidRPr="00C109D7">
        <w:rPr>
          <w:szCs w:val="22"/>
        </w:rPr>
        <w:t>.</w:t>
      </w:r>
      <w:r w:rsidR="007E0085" w:rsidRPr="00C109D7">
        <w:rPr>
          <w:szCs w:val="22"/>
        </w:rPr>
        <w:t xml:space="preserve"> </w:t>
      </w:r>
      <w:r w:rsidRPr="00C109D7">
        <w:rPr>
          <w:szCs w:val="22"/>
        </w:rPr>
        <w:t>SBUA-01 at 2.</w:t>
      </w:r>
    </w:p>
  </w:footnote>
  <w:footnote w:id="52">
    <w:p w14:paraId="7BBD4B55" w14:textId="6138F1FA" w:rsidR="00E94032" w:rsidRPr="007055D5" w:rsidRDefault="00E94032"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F06136" w:rsidRPr="007055D5">
        <w:rPr>
          <w:szCs w:val="22"/>
        </w:rPr>
        <w:t>.</w:t>
      </w:r>
      <w:r w:rsidR="007E0085" w:rsidRPr="007055D5">
        <w:rPr>
          <w:szCs w:val="22"/>
        </w:rPr>
        <w:t xml:space="preserve"> </w:t>
      </w:r>
      <w:r w:rsidRPr="007055D5">
        <w:rPr>
          <w:szCs w:val="22"/>
        </w:rPr>
        <w:t>A4NR-01 Attachment G.</w:t>
      </w:r>
    </w:p>
  </w:footnote>
  <w:footnote w:id="53">
    <w:p w14:paraId="21155F16" w14:textId="2319F201" w:rsidR="005C4B85" w:rsidRPr="007055D5" w:rsidRDefault="005C4B85" w:rsidP="007055D5">
      <w:pPr>
        <w:pStyle w:val="FootnoteText"/>
        <w:rPr>
          <w:szCs w:val="22"/>
        </w:rPr>
      </w:pPr>
      <w:r w:rsidRPr="007055D5">
        <w:rPr>
          <w:rStyle w:val="FootnoteReference"/>
          <w:szCs w:val="22"/>
        </w:rPr>
        <w:footnoteRef/>
      </w:r>
      <w:r w:rsidRPr="007055D5">
        <w:rPr>
          <w:szCs w:val="22"/>
        </w:rPr>
        <w:t xml:space="preserve"> SBUA Opening Brief at 4.</w:t>
      </w:r>
    </w:p>
  </w:footnote>
  <w:footnote w:id="54">
    <w:p w14:paraId="6C7FE7B1" w14:textId="46CA79BA" w:rsidR="000E0232" w:rsidRPr="007055D5" w:rsidRDefault="000E0232"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F06136" w:rsidRPr="007055D5">
        <w:rPr>
          <w:szCs w:val="22"/>
        </w:rPr>
        <w:t>.</w:t>
      </w:r>
      <w:r w:rsidR="007E0085" w:rsidRPr="007055D5">
        <w:rPr>
          <w:szCs w:val="22"/>
        </w:rPr>
        <w:t xml:space="preserve"> </w:t>
      </w:r>
      <w:r w:rsidRPr="007055D5">
        <w:rPr>
          <w:szCs w:val="22"/>
        </w:rPr>
        <w:t>TURN-01 at 54.</w:t>
      </w:r>
    </w:p>
  </w:footnote>
  <w:footnote w:id="55">
    <w:p w14:paraId="10B01FDB" w14:textId="1329D934" w:rsidR="000E0232" w:rsidRPr="007055D5" w:rsidRDefault="000E0232"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F06136" w:rsidRPr="007055D5">
        <w:rPr>
          <w:szCs w:val="22"/>
        </w:rPr>
        <w:t>.</w:t>
      </w:r>
      <w:r w:rsidR="007E0085" w:rsidRPr="007055D5">
        <w:rPr>
          <w:szCs w:val="22"/>
        </w:rPr>
        <w:t xml:space="preserve"> </w:t>
      </w:r>
      <w:r w:rsidRPr="007055D5">
        <w:rPr>
          <w:szCs w:val="22"/>
        </w:rPr>
        <w:t>TURN-02 Answer 012.</w:t>
      </w:r>
    </w:p>
  </w:footnote>
  <w:footnote w:id="56">
    <w:p w14:paraId="264B345B" w14:textId="3094C23B" w:rsidR="000E0232" w:rsidRPr="007055D5" w:rsidRDefault="000E0232" w:rsidP="007055D5">
      <w:pPr>
        <w:pStyle w:val="FootnoteText"/>
        <w:rPr>
          <w:szCs w:val="22"/>
        </w:rPr>
      </w:pPr>
      <w:r w:rsidRPr="007055D5">
        <w:rPr>
          <w:rStyle w:val="FootnoteReference"/>
          <w:szCs w:val="22"/>
        </w:rPr>
        <w:footnoteRef/>
      </w:r>
      <w:r w:rsidRPr="007055D5">
        <w:rPr>
          <w:szCs w:val="22"/>
        </w:rPr>
        <w:t xml:space="preserve"> TURN Opening Brief at 10.</w:t>
      </w:r>
    </w:p>
  </w:footnote>
  <w:footnote w:id="57">
    <w:p w14:paraId="51031268" w14:textId="1521D068" w:rsidR="000E0232" w:rsidRPr="007055D5" w:rsidRDefault="000E0232"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F06136" w:rsidRPr="007055D5">
        <w:rPr>
          <w:szCs w:val="22"/>
        </w:rPr>
        <w:t>.</w:t>
      </w:r>
      <w:r w:rsidR="007E0085" w:rsidRPr="007055D5">
        <w:rPr>
          <w:szCs w:val="22"/>
        </w:rPr>
        <w:t xml:space="preserve"> </w:t>
      </w:r>
      <w:r w:rsidRPr="007055D5">
        <w:rPr>
          <w:szCs w:val="22"/>
        </w:rPr>
        <w:t>TURN-02 Answer 002.</w:t>
      </w:r>
    </w:p>
  </w:footnote>
  <w:footnote w:id="58">
    <w:p w14:paraId="47CB18E5" w14:textId="560F4F37" w:rsidR="00314BFB" w:rsidRPr="007055D5" w:rsidRDefault="00314BFB" w:rsidP="007055D5">
      <w:pPr>
        <w:pStyle w:val="FootnoteText"/>
        <w:rPr>
          <w:szCs w:val="22"/>
        </w:rPr>
      </w:pPr>
      <w:r w:rsidRPr="007055D5">
        <w:rPr>
          <w:rStyle w:val="FootnoteReference"/>
          <w:szCs w:val="22"/>
        </w:rPr>
        <w:footnoteRef/>
      </w:r>
      <w:r w:rsidRPr="007055D5">
        <w:rPr>
          <w:szCs w:val="22"/>
        </w:rPr>
        <w:t xml:space="preserve"> D.24-12-033 at 17.</w:t>
      </w:r>
    </w:p>
  </w:footnote>
  <w:footnote w:id="59">
    <w:p w14:paraId="1D48152F" w14:textId="4F9CC5EB" w:rsidR="0024440A" w:rsidRPr="007055D5" w:rsidRDefault="0024440A"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F06136" w:rsidRPr="007055D5">
        <w:rPr>
          <w:szCs w:val="22"/>
        </w:rPr>
        <w:t>.</w:t>
      </w:r>
      <w:r w:rsidR="007E0085" w:rsidRPr="007055D5">
        <w:rPr>
          <w:szCs w:val="22"/>
        </w:rPr>
        <w:t xml:space="preserve"> </w:t>
      </w:r>
      <w:r w:rsidRPr="007055D5">
        <w:rPr>
          <w:szCs w:val="22"/>
        </w:rPr>
        <w:t>CARE-03 at Section 3.92c.</w:t>
      </w:r>
    </w:p>
  </w:footnote>
  <w:footnote w:id="60">
    <w:p w14:paraId="0468CD49" w14:textId="169933EE" w:rsidR="00DE1E1A" w:rsidRPr="007055D5" w:rsidRDefault="00DE1E1A"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F06136" w:rsidRPr="007055D5">
        <w:rPr>
          <w:szCs w:val="22"/>
        </w:rPr>
        <w:t>.</w:t>
      </w:r>
      <w:r w:rsidR="007E0085" w:rsidRPr="007055D5">
        <w:rPr>
          <w:szCs w:val="22"/>
        </w:rPr>
        <w:t xml:space="preserve"> </w:t>
      </w:r>
      <w:r w:rsidRPr="007055D5">
        <w:rPr>
          <w:szCs w:val="22"/>
        </w:rPr>
        <w:t>CARE-03 at Section 3.92c.</w:t>
      </w:r>
    </w:p>
  </w:footnote>
  <w:footnote w:id="61">
    <w:p w14:paraId="0D21A618" w14:textId="474AD2E4" w:rsidR="0024440A" w:rsidRPr="007055D5" w:rsidRDefault="0024440A" w:rsidP="007055D5">
      <w:pPr>
        <w:pStyle w:val="FootnoteText"/>
        <w:rPr>
          <w:szCs w:val="22"/>
        </w:rPr>
      </w:pPr>
      <w:r w:rsidRPr="007055D5">
        <w:rPr>
          <w:rStyle w:val="FootnoteReference"/>
          <w:szCs w:val="22"/>
        </w:rPr>
        <w:footnoteRef/>
      </w:r>
      <w:r w:rsidRPr="007055D5">
        <w:rPr>
          <w:szCs w:val="22"/>
        </w:rPr>
        <w:t xml:space="preserve"> TURN Opening Brief at 10.</w:t>
      </w:r>
    </w:p>
  </w:footnote>
  <w:footnote w:id="62">
    <w:p w14:paraId="606B0A74" w14:textId="02725963" w:rsidR="0024440A" w:rsidRPr="007055D5" w:rsidRDefault="0024440A" w:rsidP="007055D5">
      <w:pPr>
        <w:pStyle w:val="FootnoteText"/>
        <w:rPr>
          <w:szCs w:val="22"/>
        </w:rPr>
      </w:pPr>
      <w:r w:rsidRPr="007055D5">
        <w:rPr>
          <w:rStyle w:val="FootnoteReference"/>
          <w:szCs w:val="22"/>
        </w:rPr>
        <w:footnoteRef/>
      </w:r>
      <w:r w:rsidRPr="007055D5">
        <w:rPr>
          <w:szCs w:val="22"/>
        </w:rPr>
        <w:t xml:space="preserve"> TURN Opening Brief at 10.</w:t>
      </w:r>
    </w:p>
  </w:footnote>
  <w:footnote w:id="63">
    <w:p w14:paraId="099A5D33" w14:textId="688E1ACA" w:rsidR="004360B8" w:rsidRDefault="004360B8">
      <w:pPr>
        <w:pStyle w:val="FootnoteText"/>
      </w:pPr>
      <w:r>
        <w:rPr>
          <w:rStyle w:val="FootnoteReference"/>
        </w:rPr>
        <w:footnoteRef/>
      </w:r>
      <w:r>
        <w:t xml:space="preserve"> Reporter’s Transcript (RT) Page 20: line 23-24.</w:t>
      </w:r>
    </w:p>
  </w:footnote>
  <w:footnote w:id="64">
    <w:p w14:paraId="70D7BDDE" w14:textId="5CCF3E79" w:rsidR="00314BFB" w:rsidRPr="007055D5" w:rsidRDefault="00314BFB" w:rsidP="007055D5">
      <w:pPr>
        <w:pStyle w:val="FootnoteText"/>
        <w:rPr>
          <w:szCs w:val="22"/>
        </w:rPr>
      </w:pPr>
      <w:r w:rsidRPr="007055D5">
        <w:rPr>
          <w:rStyle w:val="FootnoteReference"/>
          <w:szCs w:val="22"/>
        </w:rPr>
        <w:footnoteRef/>
      </w:r>
      <w:r w:rsidRPr="007055D5">
        <w:rPr>
          <w:szCs w:val="22"/>
        </w:rPr>
        <w:t xml:space="preserve"> D.24-12-033 at 18-19.</w:t>
      </w:r>
    </w:p>
  </w:footnote>
  <w:footnote w:id="65">
    <w:p w14:paraId="5065C2F4" w14:textId="77777777" w:rsidR="00A67C1D" w:rsidRPr="007055D5" w:rsidRDefault="00A67C1D" w:rsidP="007055D5">
      <w:pPr>
        <w:pStyle w:val="FootnoteText"/>
        <w:rPr>
          <w:szCs w:val="22"/>
        </w:rPr>
      </w:pPr>
      <w:r w:rsidRPr="007055D5">
        <w:rPr>
          <w:rStyle w:val="FootnoteReference"/>
          <w:szCs w:val="22"/>
        </w:rPr>
        <w:footnoteRef/>
      </w:r>
      <w:r w:rsidRPr="007055D5">
        <w:rPr>
          <w:szCs w:val="22"/>
        </w:rPr>
        <w:t xml:space="preserve"> D.24-12-033 at 23.</w:t>
      </w:r>
    </w:p>
  </w:footnote>
  <w:footnote w:id="66">
    <w:p w14:paraId="40306E53" w14:textId="1DC1C0F2" w:rsidR="00A67C1D" w:rsidRPr="007055D5" w:rsidRDefault="00A67C1D" w:rsidP="007055D5">
      <w:pPr>
        <w:pStyle w:val="FootnoteText"/>
        <w:rPr>
          <w:szCs w:val="22"/>
        </w:rPr>
      </w:pPr>
      <w:r w:rsidRPr="007055D5">
        <w:rPr>
          <w:rStyle w:val="FootnoteReference"/>
          <w:szCs w:val="22"/>
        </w:rPr>
        <w:footnoteRef/>
      </w:r>
      <w:r w:rsidRPr="007055D5">
        <w:rPr>
          <w:szCs w:val="22"/>
        </w:rPr>
        <w:t xml:space="preserve"> </w:t>
      </w:r>
      <w:r w:rsidR="00BD4FB3" w:rsidRPr="007055D5">
        <w:rPr>
          <w:szCs w:val="22"/>
        </w:rPr>
        <w:t>Ex</w:t>
      </w:r>
      <w:r w:rsidR="00F06136" w:rsidRPr="007055D5">
        <w:rPr>
          <w:szCs w:val="22"/>
        </w:rPr>
        <w:t>.</w:t>
      </w:r>
      <w:r w:rsidR="00BD4FB3" w:rsidRPr="007055D5">
        <w:rPr>
          <w:szCs w:val="22"/>
        </w:rPr>
        <w:t xml:space="preserve"> </w:t>
      </w:r>
      <w:r w:rsidRPr="007055D5">
        <w:rPr>
          <w:szCs w:val="22"/>
        </w:rPr>
        <w:t>PG&amp;E-01 at 2-26.</w:t>
      </w:r>
    </w:p>
  </w:footnote>
  <w:footnote w:id="67">
    <w:p w14:paraId="6350941F" w14:textId="426B57C2" w:rsidR="00A67C1D" w:rsidRPr="007055D5" w:rsidRDefault="00A67C1D" w:rsidP="007055D5">
      <w:pPr>
        <w:pStyle w:val="FootnoteText"/>
        <w:rPr>
          <w:szCs w:val="22"/>
        </w:rPr>
      </w:pPr>
      <w:r w:rsidRPr="007055D5">
        <w:rPr>
          <w:rStyle w:val="FootnoteReference"/>
          <w:szCs w:val="22"/>
        </w:rPr>
        <w:footnoteRef/>
      </w:r>
      <w:r w:rsidRPr="007055D5">
        <w:rPr>
          <w:szCs w:val="22"/>
        </w:rPr>
        <w:t xml:space="preserve"> </w:t>
      </w:r>
      <w:r w:rsidR="00BD4FB3" w:rsidRPr="007055D5">
        <w:rPr>
          <w:szCs w:val="22"/>
        </w:rPr>
        <w:t>Ex</w:t>
      </w:r>
      <w:r w:rsidR="00F06136" w:rsidRPr="007055D5">
        <w:rPr>
          <w:szCs w:val="22"/>
        </w:rPr>
        <w:t>.</w:t>
      </w:r>
      <w:r w:rsidR="00BD4FB3" w:rsidRPr="007055D5">
        <w:rPr>
          <w:szCs w:val="22"/>
        </w:rPr>
        <w:t xml:space="preserve"> </w:t>
      </w:r>
      <w:r w:rsidRPr="007055D5">
        <w:rPr>
          <w:szCs w:val="22"/>
        </w:rPr>
        <w:t>PG&amp;E-01A-WP at 2-12 to 2-49.</w:t>
      </w:r>
    </w:p>
  </w:footnote>
  <w:footnote w:id="68">
    <w:p w14:paraId="0EA8E3A9" w14:textId="41C0611E" w:rsidR="004C1664" w:rsidRPr="00D11985" w:rsidRDefault="004C1664" w:rsidP="007055D5">
      <w:pPr>
        <w:pStyle w:val="FootnoteText"/>
        <w:rPr>
          <w:szCs w:val="22"/>
          <w:lang w:val="es-MX"/>
        </w:rPr>
      </w:pPr>
      <w:r w:rsidRPr="007055D5">
        <w:rPr>
          <w:rStyle w:val="FootnoteReference"/>
          <w:szCs w:val="22"/>
        </w:rPr>
        <w:footnoteRef/>
      </w:r>
      <w:r w:rsidRPr="00D11985">
        <w:rPr>
          <w:szCs w:val="22"/>
          <w:lang w:val="es-MX"/>
        </w:rPr>
        <w:t xml:space="preserve"> </w:t>
      </w:r>
      <w:r w:rsidR="00E37CF1" w:rsidRPr="00D11985">
        <w:rPr>
          <w:szCs w:val="22"/>
          <w:lang w:val="es-MX"/>
        </w:rPr>
        <w:t>Ex. PG&amp;E-04</w:t>
      </w:r>
      <w:r w:rsidRPr="00D11985">
        <w:rPr>
          <w:szCs w:val="22"/>
          <w:lang w:val="es-MX"/>
        </w:rPr>
        <w:t xml:space="preserve"> Table 9-4.</w:t>
      </w:r>
    </w:p>
  </w:footnote>
  <w:footnote w:id="69">
    <w:p w14:paraId="0BFF2FDD" w14:textId="31F5808B" w:rsidR="00F95936" w:rsidRPr="007055D5" w:rsidRDefault="00F95936" w:rsidP="007055D5">
      <w:pPr>
        <w:pStyle w:val="FootnoteText"/>
        <w:rPr>
          <w:szCs w:val="22"/>
        </w:rPr>
      </w:pPr>
      <w:r w:rsidRPr="007055D5">
        <w:rPr>
          <w:rStyle w:val="FootnoteReference"/>
          <w:szCs w:val="22"/>
        </w:rPr>
        <w:footnoteRef/>
      </w:r>
      <w:r w:rsidRPr="00D11985">
        <w:rPr>
          <w:szCs w:val="22"/>
          <w:lang w:val="es-MX"/>
        </w:rPr>
        <w:t xml:space="preserve"> Pub. Util. </w:t>
      </w:r>
      <w:r w:rsidRPr="007055D5">
        <w:rPr>
          <w:szCs w:val="22"/>
        </w:rPr>
        <w:t xml:space="preserve">Code </w:t>
      </w:r>
      <w:r w:rsidR="00BD4FB3" w:rsidRPr="007055D5">
        <w:rPr>
          <w:szCs w:val="22"/>
        </w:rPr>
        <w:t xml:space="preserve">§ </w:t>
      </w:r>
      <w:r w:rsidRPr="007055D5">
        <w:rPr>
          <w:szCs w:val="22"/>
        </w:rPr>
        <w:t>712.8(f)(6).</w:t>
      </w:r>
    </w:p>
  </w:footnote>
  <w:footnote w:id="70">
    <w:p w14:paraId="30ADA564" w14:textId="0CA6388E" w:rsidR="00A67C1D" w:rsidRPr="007055D5" w:rsidRDefault="00A67C1D" w:rsidP="007055D5">
      <w:pPr>
        <w:pStyle w:val="FootnoteText"/>
        <w:rPr>
          <w:szCs w:val="22"/>
        </w:rPr>
      </w:pPr>
      <w:r w:rsidRPr="007055D5">
        <w:rPr>
          <w:rStyle w:val="FootnoteReference"/>
          <w:szCs w:val="22"/>
        </w:rPr>
        <w:footnoteRef/>
      </w:r>
      <w:r w:rsidRPr="007055D5">
        <w:rPr>
          <w:szCs w:val="22"/>
        </w:rPr>
        <w:t xml:space="preserve"> Pub. Util. Code </w:t>
      </w:r>
      <w:r w:rsidR="00BD4FB3" w:rsidRPr="007055D5">
        <w:rPr>
          <w:szCs w:val="22"/>
        </w:rPr>
        <w:t xml:space="preserve">§ </w:t>
      </w:r>
      <w:r w:rsidRPr="007055D5">
        <w:rPr>
          <w:szCs w:val="22"/>
        </w:rPr>
        <w:t>712.8(f)(6).</w:t>
      </w:r>
    </w:p>
  </w:footnote>
  <w:footnote w:id="71">
    <w:p w14:paraId="3183B394" w14:textId="1F76C076" w:rsidR="00F95936" w:rsidRPr="007055D5" w:rsidRDefault="00F95936" w:rsidP="007055D5">
      <w:pPr>
        <w:pStyle w:val="FootnoteText"/>
        <w:rPr>
          <w:szCs w:val="22"/>
        </w:rPr>
      </w:pPr>
      <w:r w:rsidRPr="007055D5">
        <w:rPr>
          <w:rStyle w:val="FootnoteReference"/>
          <w:szCs w:val="22"/>
        </w:rPr>
        <w:footnoteRef/>
      </w:r>
      <w:r w:rsidRPr="007055D5">
        <w:rPr>
          <w:szCs w:val="22"/>
        </w:rPr>
        <w:t xml:space="preserve"> D.23-12-036 at 67.</w:t>
      </w:r>
    </w:p>
  </w:footnote>
  <w:footnote w:id="72">
    <w:p w14:paraId="5143ADB8" w14:textId="571A7318" w:rsidR="00A67C1D" w:rsidRPr="007055D5" w:rsidRDefault="00A67C1D" w:rsidP="007055D5">
      <w:pPr>
        <w:pStyle w:val="FootnoteText"/>
        <w:rPr>
          <w:szCs w:val="22"/>
        </w:rPr>
      </w:pPr>
      <w:r w:rsidRPr="007055D5">
        <w:rPr>
          <w:rStyle w:val="FootnoteReference"/>
          <w:szCs w:val="22"/>
        </w:rPr>
        <w:footnoteRef/>
      </w:r>
      <w:r w:rsidRPr="007055D5">
        <w:rPr>
          <w:szCs w:val="22"/>
        </w:rPr>
        <w:t xml:space="preserve"> D.24-12-033 at 25.</w:t>
      </w:r>
    </w:p>
  </w:footnote>
  <w:footnote w:id="73">
    <w:p w14:paraId="57C0191F" w14:textId="729EB62F" w:rsidR="000C743D" w:rsidRPr="00760F91" w:rsidRDefault="000C743D">
      <w:pPr>
        <w:pStyle w:val="FootnoteText"/>
        <w:rPr>
          <w:lang w:val="en-ZW"/>
        </w:rPr>
      </w:pPr>
      <w:r>
        <w:rPr>
          <w:rStyle w:val="FootnoteReference"/>
        </w:rPr>
        <w:footnoteRef/>
      </w:r>
      <w:r>
        <w:t xml:space="preserve"> </w:t>
      </w:r>
      <w:r>
        <w:rPr>
          <w:lang w:val="en-ZW"/>
        </w:rPr>
        <w:t>Pub. Util. Code 712.8 (h)(1)</w:t>
      </w:r>
    </w:p>
  </w:footnote>
  <w:footnote w:id="74">
    <w:p w14:paraId="55E9B9B6" w14:textId="2FBFC52D" w:rsidR="00A67C1D" w:rsidRPr="00760F91" w:rsidRDefault="00A67C1D" w:rsidP="007055D5">
      <w:pPr>
        <w:pStyle w:val="FootnoteText"/>
        <w:rPr>
          <w:szCs w:val="22"/>
          <w:lang w:val="es-MX"/>
        </w:rPr>
      </w:pPr>
      <w:r w:rsidRPr="007055D5">
        <w:rPr>
          <w:rStyle w:val="FootnoteReference"/>
          <w:szCs w:val="22"/>
        </w:rPr>
        <w:footnoteRef/>
      </w:r>
      <w:r w:rsidRPr="00760F91">
        <w:rPr>
          <w:szCs w:val="22"/>
          <w:lang w:val="es-MX"/>
        </w:rPr>
        <w:t xml:space="preserve"> </w:t>
      </w:r>
      <w:r w:rsidR="007E0085" w:rsidRPr="00760F91">
        <w:rPr>
          <w:szCs w:val="22"/>
          <w:lang w:val="es-MX"/>
        </w:rPr>
        <w:t>Ex</w:t>
      </w:r>
      <w:r w:rsidR="00F06136" w:rsidRPr="00760F91">
        <w:rPr>
          <w:szCs w:val="22"/>
          <w:lang w:val="es-MX"/>
        </w:rPr>
        <w:t>.</w:t>
      </w:r>
      <w:r w:rsidR="007E0085" w:rsidRPr="00760F91">
        <w:rPr>
          <w:szCs w:val="22"/>
          <w:lang w:val="es-MX"/>
        </w:rPr>
        <w:t xml:space="preserve"> </w:t>
      </w:r>
      <w:r w:rsidRPr="00760F91">
        <w:rPr>
          <w:szCs w:val="22"/>
          <w:lang w:val="es-MX"/>
        </w:rPr>
        <w:t>PG&amp;E-01 at 1-5.</w:t>
      </w:r>
    </w:p>
  </w:footnote>
  <w:footnote w:id="75">
    <w:p w14:paraId="3FC109D9" w14:textId="164C52E3" w:rsidR="00A67C1D" w:rsidRPr="007055D5" w:rsidRDefault="00A67C1D"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F06136" w:rsidRPr="007055D5">
        <w:rPr>
          <w:szCs w:val="22"/>
          <w:lang w:val="es-MX"/>
        </w:rPr>
        <w:t>.</w:t>
      </w:r>
      <w:r w:rsidR="007E0085" w:rsidRPr="007055D5">
        <w:rPr>
          <w:szCs w:val="22"/>
          <w:lang w:val="es-MX"/>
        </w:rPr>
        <w:t xml:space="preserve"> </w:t>
      </w:r>
      <w:r w:rsidRPr="007055D5">
        <w:rPr>
          <w:szCs w:val="22"/>
          <w:lang w:val="es-MX"/>
        </w:rPr>
        <w:t>PG&amp;E-01 at 5-4.</w:t>
      </w:r>
    </w:p>
  </w:footnote>
  <w:footnote w:id="76">
    <w:p w14:paraId="1553CEA8" w14:textId="67759294" w:rsidR="00A67C1D" w:rsidRPr="007055D5" w:rsidRDefault="00A67C1D"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F06136" w:rsidRPr="007055D5">
        <w:rPr>
          <w:szCs w:val="22"/>
          <w:lang w:val="es-MX"/>
        </w:rPr>
        <w:t>.</w:t>
      </w:r>
      <w:r w:rsidR="007E0085" w:rsidRPr="007055D5">
        <w:rPr>
          <w:szCs w:val="22"/>
          <w:lang w:val="es-MX"/>
        </w:rPr>
        <w:t xml:space="preserve"> </w:t>
      </w:r>
      <w:r w:rsidRPr="007055D5">
        <w:rPr>
          <w:szCs w:val="22"/>
          <w:lang w:val="es-MX"/>
        </w:rPr>
        <w:t>PG&amp;E-01 at 5-4.</w:t>
      </w:r>
    </w:p>
  </w:footnote>
  <w:footnote w:id="77">
    <w:p w14:paraId="70F1CAED" w14:textId="78946133" w:rsidR="00A67C1D" w:rsidRPr="00760F91" w:rsidRDefault="00A67C1D" w:rsidP="007055D5">
      <w:pPr>
        <w:pStyle w:val="FootnoteText"/>
        <w:rPr>
          <w:szCs w:val="22"/>
          <w:lang w:val="es-MX"/>
        </w:rPr>
      </w:pPr>
      <w:r w:rsidRPr="007055D5">
        <w:rPr>
          <w:rStyle w:val="FootnoteReference"/>
          <w:szCs w:val="22"/>
        </w:rPr>
        <w:footnoteRef/>
      </w:r>
      <w:r w:rsidRPr="00760F91">
        <w:rPr>
          <w:szCs w:val="22"/>
          <w:lang w:val="es-MX"/>
        </w:rPr>
        <w:t xml:space="preserve"> </w:t>
      </w:r>
      <w:r w:rsidR="007E0085" w:rsidRPr="00760F91">
        <w:rPr>
          <w:szCs w:val="22"/>
          <w:lang w:val="es-MX"/>
        </w:rPr>
        <w:t>Ex</w:t>
      </w:r>
      <w:r w:rsidR="00F06136" w:rsidRPr="00760F91">
        <w:rPr>
          <w:szCs w:val="22"/>
          <w:lang w:val="es-MX"/>
        </w:rPr>
        <w:t>.</w:t>
      </w:r>
      <w:r w:rsidR="007E0085" w:rsidRPr="00760F91">
        <w:rPr>
          <w:szCs w:val="22"/>
          <w:lang w:val="es-MX"/>
        </w:rPr>
        <w:t xml:space="preserve"> </w:t>
      </w:r>
      <w:r w:rsidRPr="00760F91">
        <w:rPr>
          <w:szCs w:val="22"/>
          <w:lang w:val="es-MX"/>
        </w:rPr>
        <w:t>PG&amp;E-01 at 5</w:t>
      </w:r>
      <w:r w:rsidR="00F06136" w:rsidRPr="00760F91">
        <w:rPr>
          <w:szCs w:val="22"/>
          <w:lang w:val="es-MX"/>
        </w:rPr>
        <w:t>-</w:t>
      </w:r>
      <w:r w:rsidRPr="00760F91">
        <w:rPr>
          <w:szCs w:val="22"/>
          <w:lang w:val="es-MX"/>
        </w:rPr>
        <w:t>4.</w:t>
      </w:r>
    </w:p>
  </w:footnote>
  <w:footnote w:id="78">
    <w:p w14:paraId="5096E524" w14:textId="6B1FB195" w:rsidR="00E810B8" w:rsidRPr="007055D5" w:rsidRDefault="00E810B8" w:rsidP="007055D5">
      <w:pPr>
        <w:pStyle w:val="FootnoteText"/>
        <w:rPr>
          <w:szCs w:val="22"/>
        </w:rPr>
      </w:pPr>
      <w:r w:rsidRPr="007055D5">
        <w:rPr>
          <w:rStyle w:val="FootnoteReference"/>
          <w:szCs w:val="22"/>
        </w:rPr>
        <w:footnoteRef/>
      </w:r>
      <w:r w:rsidRPr="007055D5">
        <w:rPr>
          <w:szCs w:val="22"/>
        </w:rPr>
        <w:t xml:space="preserve"> PG&amp;E September 8, 2025 Response to August 29, 2025 ALJ Ruling.</w:t>
      </w:r>
    </w:p>
  </w:footnote>
  <w:footnote w:id="79">
    <w:p w14:paraId="1497DB91" w14:textId="2F36E779" w:rsidR="004C1664" w:rsidRPr="00E37CF1" w:rsidRDefault="004C1664" w:rsidP="007055D5">
      <w:pPr>
        <w:pStyle w:val="FootnoteText"/>
        <w:rPr>
          <w:szCs w:val="22"/>
          <w:lang w:val="es-MX"/>
        </w:rPr>
      </w:pPr>
      <w:r w:rsidRPr="007055D5">
        <w:rPr>
          <w:rStyle w:val="FootnoteReference"/>
          <w:szCs w:val="22"/>
        </w:rPr>
        <w:footnoteRef/>
      </w:r>
      <w:r w:rsidRPr="00E37CF1">
        <w:rPr>
          <w:szCs w:val="22"/>
          <w:lang w:val="es-MX"/>
        </w:rPr>
        <w:t xml:space="preserve"> </w:t>
      </w:r>
      <w:r w:rsidR="00E37CF1" w:rsidRPr="00E37CF1">
        <w:rPr>
          <w:szCs w:val="22"/>
          <w:lang w:val="es-MX"/>
        </w:rPr>
        <w:t>Ex. PG&amp;E-04</w:t>
      </w:r>
      <w:r w:rsidRPr="00E37CF1">
        <w:rPr>
          <w:szCs w:val="22"/>
          <w:lang w:val="es-MX"/>
        </w:rPr>
        <w:t xml:space="preserve"> at 4.</w:t>
      </w:r>
    </w:p>
  </w:footnote>
  <w:footnote w:id="80">
    <w:p w14:paraId="26351445" w14:textId="4A6D9797" w:rsidR="004C1664" w:rsidRPr="00E37CF1" w:rsidRDefault="004C1664" w:rsidP="007055D5">
      <w:pPr>
        <w:pStyle w:val="FootnoteText"/>
        <w:rPr>
          <w:szCs w:val="22"/>
          <w:lang w:val="es-MX"/>
        </w:rPr>
      </w:pPr>
      <w:r w:rsidRPr="007055D5">
        <w:rPr>
          <w:rStyle w:val="FootnoteReference"/>
          <w:szCs w:val="22"/>
        </w:rPr>
        <w:footnoteRef/>
      </w:r>
      <w:r w:rsidRPr="00E37CF1">
        <w:rPr>
          <w:szCs w:val="22"/>
          <w:lang w:val="es-MX"/>
        </w:rPr>
        <w:t xml:space="preserve"> </w:t>
      </w:r>
      <w:r w:rsidR="00E37CF1" w:rsidRPr="00E37CF1">
        <w:rPr>
          <w:szCs w:val="22"/>
          <w:lang w:val="es-MX"/>
        </w:rPr>
        <w:t>Ex. PG&amp;E-04</w:t>
      </w:r>
      <w:r w:rsidRPr="00E37CF1">
        <w:rPr>
          <w:szCs w:val="22"/>
          <w:lang w:val="es-MX"/>
        </w:rPr>
        <w:t xml:space="preserve"> at 3.</w:t>
      </w:r>
    </w:p>
  </w:footnote>
  <w:footnote w:id="81">
    <w:p w14:paraId="5FF2D207" w14:textId="6F7B7F21" w:rsidR="000A4143" w:rsidRDefault="000A4143">
      <w:pPr>
        <w:pStyle w:val="FootnoteText"/>
      </w:pPr>
      <w:r>
        <w:rPr>
          <w:rStyle w:val="FootnoteReference"/>
        </w:rPr>
        <w:footnoteRef/>
      </w:r>
      <w:r>
        <w:t xml:space="preserve"> </w:t>
      </w:r>
      <w:r w:rsidR="00E37CF1">
        <w:t>Ex. PG&amp;E-04</w:t>
      </w:r>
      <w:r>
        <w:t xml:space="preserve"> at 3.</w:t>
      </w:r>
    </w:p>
  </w:footnote>
  <w:footnote w:id="82">
    <w:p w14:paraId="08E1A568" w14:textId="04870BBB" w:rsidR="00A905C9" w:rsidRPr="007055D5" w:rsidRDefault="00A905C9" w:rsidP="007055D5">
      <w:pPr>
        <w:pStyle w:val="FootnoteText"/>
        <w:rPr>
          <w:szCs w:val="22"/>
        </w:rPr>
      </w:pPr>
      <w:r w:rsidRPr="007055D5">
        <w:rPr>
          <w:rStyle w:val="FootnoteReference"/>
          <w:szCs w:val="22"/>
        </w:rPr>
        <w:footnoteRef/>
      </w:r>
      <w:r w:rsidRPr="007055D5">
        <w:rPr>
          <w:szCs w:val="22"/>
        </w:rPr>
        <w:t xml:space="preserve"> TURN Opening Brief at 5.</w:t>
      </w:r>
    </w:p>
  </w:footnote>
  <w:footnote w:id="83">
    <w:p w14:paraId="20A1282B" w14:textId="5B381BC2" w:rsidR="00A905C9" w:rsidRPr="007055D5" w:rsidRDefault="00A905C9"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F06136" w:rsidRPr="007055D5">
        <w:rPr>
          <w:szCs w:val="22"/>
        </w:rPr>
        <w:t>.</w:t>
      </w:r>
      <w:r w:rsidR="007E0085" w:rsidRPr="007055D5">
        <w:rPr>
          <w:szCs w:val="22"/>
        </w:rPr>
        <w:t xml:space="preserve"> </w:t>
      </w:r>
      <w:r w:rsidRPr="007055D5">
        <w:rPr>
          <w:szCs w:val="22"/>
        </w:rPr>
        <w:t>TURN-01 at 16-17.</w:t>
      </w:r>
    </w:p>
  </w:footnote>
  <w:footnote w:id="84">
    <w:p w14:paraId="70424A47" w14:textId="77777777" w:rsidR="00092CC2" w:rsidRPr="00E37CF1" w:rsidRDefault="00092CC2" w:rsidP="00092CC2">
      <w:pPr>
        <w:pStyle w:val="FootnoteText"/>
      </w:pPr>
      <w:r w:rsidRPr="00E37CF1">
        <w:rPr>
          <w:rStyle w:val="FootnoteReference"/>
        </w:rPr>
        <w:footnoteRef/>
      </w:r>
      <w:r w:rsidRPr="00E37CF1">
        <w:t xml:space="preserve"> Ex. TURN-05 at 19-22.</w:t>
      </w:r>
    </w:p>
  </w:footnote>
  <w:footnote w:id="85">
    <w:p w14:paraId="3A2869F9" w14:textId="77777777" w:rsidR="00092CC2" w:rsidRPr="00E37CF1" w:rsidRDefault="00092CC2" w:rsidP="00092CC2">
      <w:pPr>
        <w:pStyle w:val="FootnoteText"/>
      </w:pPr>
      <w:r w:rsidRPr="00E37CF1">
        <w:rPr>
          <w:rStyle w:val="FootnoteReference"/>
        </w:rPr>
        <w:footnoteRef/>
      </w:r>
      <w:r w:rsidRPr="00E37CF1">
        <w:t xml:space="preserve"> Ex. TURN-05 at 22.</w:t>
      </w:r>
    </w:p>
  </w:footnote>
  <w:footnote w:id="86">
    <w:p w14:paraId="3B7649C1" w14:textId="77777777" w:rsidR="00092CC2" w:rsidRPr="005B5535" w:rsidRDefault="00092CC2" w:rsidP="00092CC2">
      <w:pPr>
        <w:pStyle w:val="FootnoteText"/>
      </w:pPr>
      <w:r w:rsidRPr="00E37CF1">
        <w:rPr>
          <w:rStyle w:val="FootnoteReference"/>
        </w:rPr>
        <w:footnoteRef/>
      </w:r>
      <w:r w:rsidRPr="00E37CF1">
        <w:t xml:space="preserve"> Ex. TURN-05 at 13.</w:t>
      </w:r>
    </w:p>
  </w:footnote>
  <w:footnote w:id="87">
    <w:p w14:paraId="61739575" w14:textId="3CE5805E" w:rsidR="00A905C9" w:rsidRPr="005B5535" w:rsidRDefault="00A905C9" w:rsidP="007055D5">
      <w:pPr>
        <w:pStyle w:val="FootnoteText"/>
        <w:rPr>
          <w:szCs w:val="22"/>
        </w:rPr>
      </w:pPr>
      <w:r w:rsidRPr="007055D5">
        <w:rPr>
          <w:rStyle w:val="FootnoteReference"/>
          <w:szCs w:val="22"/>
        </w:rPr>
        <w:footnoteRef/>
      </w:r>
      <w:r w:rsidRPr="005B5535">
        <w:rPr>
          <w:szCs w:val="22"/>
        </w:rPr>
        <w:t xml:space="preserve"> </w:t>
      </w:r>
      <w:r w:rsidR="007E0085" w:rsidRPr="005B5535">
        <w:rPr>
          <w:szCs w:val="22"/>
        </w:rPr>
        <w:t>Ex</w:t>
      </w:r>
      <w:r w:rsidR="00F06136" w:rsidRPr="005B5535">
        <w:rPr>
          <w:szCs w:val="22"/>
        </w:rPr>
        <w:t>.</w:t>
      </w:r>
      <w:r w:rsidR="007E0085" w:rsidRPr="005B5535">
        <w:rPr>
          <w:szCs w:val="22"/>
        </w:rPr>
        <w:t xml:space="preserve"> </w:t>
      </w:r>
      <w:r w:rsidRPr="005B5535">
        <w:rPr>
          <w:szCs w:val="22"/>
        </w:rPr>
        <w:t>EPUC-01 at 8.</w:t>
      </w:r>
    </w:p>
  </w:footnote>
  <w:footnote w:id="88">
    <w:p w14:paraId="7F4C7FCF" w14:textId="2C32DDEF" w:rsidR="00A905C9" w:rsidRPr="007055D5" w:rsidRDefault="00A905C9" w:rsidP="007055D5">
      <w:pPr>
        <w:pStyle w:val="FootnoteText"/>
        <w:rPr>
          <w:szCs w:val="22"/>
        </w:rPr>
      </w:pPr>
      <w:r w:rsidRPr="007055D5">
        <w:rPr>
          <w:rStyle w:val="FootnoteReference"/>
          <w:szCs w:val="22"/>
        </w:rPr>
        <w:footnoteRef/>
      </w:r>
      <w:r w:rsidRPr="007055D5">
        <w:rPr>
          <w:szCs w:val="22"/>
        </w:rPr>
        <w:t xml:space="preserve"> Cal Advocates Opening Brief at 7.</w:t>
      </w:r>
    </w:p>
  </w:footnote>
  <w:footnote w:id="89">
    <w:p w14:paraId="3C04BDBC" w14:textId="5033A27A" w:rsidR="00A905C9" w:rsidRPr="007055D5" w:rsidRDefault="00A905C9" w:rsidP="007055D5">
      <w:pPr>
        <w:pStyle w:val="FootnoteText"/>
        <w:rPr>
          <w:szCs w:val="22"/>
        </w:rPr>
      </w:pPr>
      <w:r w:rsidRPr="007055D5">
        <w:rPr>
          <w:rStyle w:val="FootnoteReference"/>
          <w:szCs w:val="22"/>
        </w:rPr>
        <w:footnoteRef/>
      </w:r>
      <w:r w:rsidRPr="007055D5">
        <w:rPr>
          <w:szCs w:val="22"/>
        </w:rPr>
        <w:t xml:space="preserve"> U.S. Bureau of Labor Statistics Handbook of Methods, Ch. 17, at 1.</w:t>
      </w:r>
    </w:p>
  </w:footnote>
  <w:footnote w:id="90">
    <w:p w14:paraId="64CDA0C9" w14:textId="42049833" w:rsidR="00A905C9" w:rsidRPr="007055D5" w:rsidRDefault="00A905C9" w:rsidP="007055D5">
      <w:pPr>
        <w:pStyle w:val="FootnoteText"/>
        <w:rPr>
          <w:szCs w:val="22"/>
        </w:rPr>
      </w:pPr>
      <w:r w:rsidRPr="007055D5">
        <w:rPr>
          <w:rStyle w:val="FootnoteReference"/>
          <w:szCs w:val="22"/>
        </w:rPr>
        <w:footnoteRef/>
      </w:r>
      <w:r w:rsidRPr="007055D5">
        <w:rPr>
          <w:szCs w:val="22"/>
        </w:rPr>
        <w:t xml:space="preserve"> Cal Advocates Opening Brief at 7.</w:t>
      </w:r>
    </w:p>
  </w:footnote>
  <w:footnote w:id="91">
    <w:p w14:paraId="3711180D" w14:textId="77777777" w:rsidR="00092CC2" w:rsidRPr="00E37CF1" w:rsidRDefault="00092CC2" w:rsidP="00092CC2">
      <w:pPr>
        <w:pStyle w:val="FootnoteText"/>
      </w:pPr>
      <w:r w:rsidRPr="00E37CF1">
        <w:rPr>
          <w:rStyle w:val="FootnoteReference"/>
        </w:rPr>
        <w:footnoteRef/>
      </w:r>
      <w:r w:rsidRPr="00E37CF1">
        <w:t xml:space="preserve"> Ex. PAO-02 at 3-10.</w:t>
      </w:r>
    </w:p>
  </w:footnote>
  <w:footnote w:id="92">
    <w:p w14:paraId="25D48743" w14:textId="77777777" w:rsidR="00092CC2" w:rsidRDefault="00092CC2" w:rsidP="00092CC2">
      <w:pPr>
        <w:pStyle w:val="FootnoteText"/>
      </w:pPr>
      <w:r w:rsidRPr="00E37CF1">
        <w:rPr>
          <w:rStyle w:val="FootnoteReference"/>
        </w:rPr>
        <w:footnoteRef/>
      </w:r>
      <w:r w:rsidRPr="00E37CF1">
        <w:t xml:space="preserve"> Ex. PAO-02 at 9.</w:t>
      </w:r>
    </w:p>
  </w:footnote>
  <w:footnote w:id="93">
    <w:p w14:paraId="61816275" w14:textId="7E341243" w:rsidR="00A905C9" w:rsidRPr="007055D5" w:rsidRDefault="00A905C9" w:rsidP="007055D5">
      <w:pPr>
        <w:pStyle w:val="FootnoteText"/>
        <w:rPr>
          <w:szCs w:val="22"/>
        </w:rPr>
      </w:pPr>
      <w:r w:rsidRPr="007055D5">
        <w:rPr>
          <w:rStyle w:val="FootnoteReference"/>
          <w:szCs w:val="22"/>
        </w:rPr>
        <w:footnoteRef/>
      </w:r>
      <w:r w:rsidRPr="007055D5">
        <w:rPr>
          <w:szCs w:val="22"/>
        </w:rPr>
        <w:t xml:space="preserve"> PG&amp;E Opening Brief at 16.</w:t>
      </w:r>
    </w:p>
  </w:footnote>
  <w:footnote w:id="94">
    <w:p w14:paraId="65CF438C" w14:textId="73CED54A" w:rsidR="00A905C9" w:rsidRPr="007055D5" w:rsidRDefault="00A905C9" w:rsidP="007055D5">
      <w:pPr>
        <w:pStyle w:val="FootnoteText"/>
        <w:rPr>
          <w:szCs w:val="22"/>
        </w:rPr>
      </w:pPr>
      <w:r w:rsidRPr="007055D5">
        <w:rPr>
          <w:rStyle w:val="FootnoteReference"/>
          <w:szCs w:val="22"/>
        </w:rPr>
        <w:footnoteRef/>
      </w:r>
      <w:r w:rsidRPr="007055D5">
        <w:rPr>
          <w:szCs w:val="22"/>
        </w:rPr>
        <w:t xml:space="preserve"> PG&amp;E Opening Brief at 16.</w:t>
      </w:r>
    </w:p>
  </w:footnote>
  <w:footnote w:id="95">
    <w:p w14:paraId="2E4E7A55" w14:textId="081FD6EF" w:rsidR="0013514E" w:rsidRPr="000103F1" w:rsidRDefault="0013514E">
      <w:pPr>
        <w:pStyle w:val="FootnoteText"/>
        <w:rPr>
          <w:lang w:val="es-MX"/>
        </w:rPr>
      </w:pPr>
      <w:r>
        <w:rPr>
          <w:rStyle w:val="FootnoteReference"/>
        </w:rPr>
        <w:footnoteRef/>
      </w:r>
      <w:r w:rsidRPr="000103F1">
        <w:rPr>
          <w:lang w:val="es-MX"/>
        </w:rPr>
        <w:t xml:space="preserve"> Ex. P</w:t>
      </w:r>
      <w:r>
        <w:rPr>
          <w:lang w:val="es-MX"/>
        </w:rPr>
        <w:t>G&amp;E-01 at 5-4.</w:t>
      </w:r>
    </w:p>
  </w:footnote>
  <w:footnote w:id="96">
    <w:p w14:paraId="57B3BF68" w14:textId="7004BC0B" w:rsidR="00A905C9" w:rsidRPr="007055D5" w:rsidRDefault="00A905C9"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F06136" w:rsidRPr="007055D5">
        <w:rPr>
          <w:szCs w:val="22"/>
          <w:lang w:val="es-MX"/>
        </w:rPr>
        <w:t>.</w:t>
      </w:r>
      <w:r w:rsidR="007E0085" w:rsidRPr="007055D5">
        <w:rPr>
          <w:szCs w:val="22"/>
          <w:lang w:val="es-MX"/>
        </w:rPr>
        <w:t xml:space="preserve"> </w:t>
      </w:r>
      <w:r w:rsidRPr="007055D5">
        <w:rPr>
          <w:szCs w:val="22"/>
          <w:lang w:val="es-MX"/>
        </w:rPr>
        <w:t>PG&amp;E-03 at 5-2.</w:t>
      </w:r>
    </w:p>
  </w:footnote>
  <w:footnote w:id="97">
    <w:p w14:paraId="1FFAC924" w14:textId="4DBABDF0" w:rsidR="00A905C9" w:rsidRPr="007055D5" w:rsidRDefault="00A905C9"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F06136" w:rsidRPr="007055D5">
        <w:rPr>
          <w:szCs w:val="22"/>
          <w:lang w:val="es-MX"/>
        </w:rPr>
        <w:t>.</w:t>
      </w:r>
      <w:r w:rsidR="007E0085" w:rsidRPr="007055D5">
        <w:rPr>
          <w:szCs w:val="22"/>
          <w:lang w:val="es-MX"/>
        </w:rPr>
        <w:t xml:space="preserve"> </w:t>
      </w:r>
      <w:r w:rsidRPr="007055D5">
        <w:rPr>
          <w:szCs w:val="22"/>
          <w:lang w:val="es-MX"/>
        </w:rPr>
        <w:t>PG&amp;E-03 at 5-3.</w:t>
      </w:r>
    </w:p>
  </w:footnote>
  <w:footnote w:id="98">
    <w:p w14:paraId="61AF6831" w14:textId="1C92C578" w:rsidR="00A905C9" w:rsidRPr="003C170B" w:rsidRDefault="00A905C9" w:rsidP="007055D5">
      <w:pPr>
        <w:pStyle w:val="FootnoteText"/>
        <w:rPr>
          <w:szCs w:val="22"/>
          <w:lang w:val="es-MX"/>
        </w:rPr>
      </w:pPr>
      <w:r w:rsidRPr="007055D5">
        <w:rPr>
          <w:rStyle w:val="FootnoteReference"/>
          <w:szCs w:val="22"/>
        </w:rPr>
        <w:footnoteRef/>
      </w:r>
      <w:r w:rsidRPr="003C170B">
        <w:rPr>
          <w:szCs w:val="22"/>
          <w:lang w:val="es-MX"/>
        </w:rPr>
        <w:t xml:space="preserve"> </w:t>
      </w:r>
      <w:r w:rsidR="007E0085" w:rsidRPr="003C170B">
        <w:rPr>
          <w:szCs w:val="22"/>
          <w:lang w:val="es-MX"/>
        </w:rPr>
        <w:t>Ex</w:t>
      </w:r>
      <w:r w:rsidR="00F06136" w:rsidRPr="003C170B">
        <w:rPr>
          <w:szCs w:val="22"/>
          <w:lang w:val="es-MX"/>
        </w:rPr>
        <w:t>.</w:t>
      </w:r>
      <w:r w:rsidR="007E0085" w:rsidRPr="003C170B">
        <w:rPr>
          <w:szCs w:val="22"/>
          <w:lang w:val="es-MX"/>
        </w:rPr>
        <w:t xml:space="preserve"> </w:t>
      </w:r>
      <w:r w:rsidRPr="003C170B">
        <w:rPr>
          <w:szCs w:val="22"/>
          <w:lang w:val="es-MX"/>
        </w:rPr>
        <w:t>PG&amp;E-03 at 5-3.</w:t>
      </w:r>
    </w:p>
  </w:footnote>
  <w:footnote w:id="99">
    <w:p w14:paraId="5AC87E2C" w14:textId="26F8F347" w:rsidR="004C1664" w:rsidRPr="000103F1" w:rsidRDefault="004C1664" w:rsidP="007055D5">
      <w:pPr>
        <w:pStyle w:val="FootnoteText"/>
        <w:rPr>
          <w:szCs w:val="22"/>
        </w:rPr>
      </w:pPr>
      <w:r w:rsidRPr="007055D5">
        <w:rPr>
          <w:rStyle w:val="FootnoteReference"/>
          <w:szCs w:val="22"/>
        </w:rPr>
        <w:footnoteRef/>
      </w:r>
      <w:r w:rsidRPr="000103F1">
        <w:rPr>
          <w:szCs w:val="22"/>
        </w:rPr>
        <w:t xml:space="preserve"> Pub. Util. Code </w:t>
      </w:r>
      <w:r w:rsidR="00AE7222" w:rsidRPr="000103F1">
        <w:rPr>
          <w:szCs w:val="22"/>
        </w:rPr>
        <w:t>§</w:t>
      </w:r>
      <w:r w:rsidRPr="000103F1">
        <w:rPr>
          <w:szCs w:val="22"/>
        </w:rPr>
        <w:t xml:space="preserve"> 712.8(f)(6)(A).</w:t>
      </w:r>
    </w:p>
  </w:footnote>
  <w:footnote w:id="100">
    <w:p w14:paraId="15C97EB4" w14:textId="5AD61007" w:rsidR="00E1162A" w:rsidRDefault="00E1162A">
      <w:pPr>
        <w:pStyle w:val="FootnoteText"/>
      </w:pPr>
      <w:r>
        <w:rPr>
          <w:rStyle w:val="FootnoteReference"/>
        </w:rPr>
        <w:footnoteRef/>
      </w:r>
      <w:r>
        <w:t xml:space="preserve"> D.24-12-033 at 25.</w:t>
      </w:r>
    </w:p>
  </w:footnote>
  <w:footnote w:id="101">
    <w:p w14:paraId="713A0CE7" w14:textId="000FC89A" w:rsidR="0079654B" w:rsidRPr="00CA3B18" w:rsidRDefault="0079654B" w:rsidP="007055D5">
      <w:pPr>
        <w:pStyle w:val="FootnoteText"/>
        <w:rPr>
          <w:szCs w:val="22"/>
          <w:lang w:val="es-MX"/>
        </w:rPr>
      </w:pPr>
      <w:r w:rsidRPr="007055D5">
        <w:rPr>
          <w:rStyle w:val="FootnoteReference"/>
          <w:szCs w:val="22"/>
        </w:rPr>
        <w:footnoteRef/>
      </w:r>
      <w:r w:rsidRPr="00CA3B18">
        <w:rPr>
          <w:szCs w:val="22"/>
          <w:lang w:val="es-MX"/>
        </w:rPr>
        <w:t xml:space="preserve"> Pub. Util. Code § 712.8(f)(6).</w:t>
      </w:r>
    </w:p>
  </w:footnote>
  <w:footnote w:id="102">
    <w:p w14:paraId="4DDB4AF1" w14:textId="5B15BD51" w:rsidR="0079654B" w:rsidRPr="003C170B" w:rsidRDefault="0079654B" w:rsidP="007055D5">
      <w:pPr>
        <w:pStyle w:val="FootnoteText"/>
        <w:rPr>
          <w:szCs w:val="22"/>
          <w:lang w:val="es-MX"/>
        </w:rPr>
      </w:pPr>
      <w:r w:rsidRPr="007055D5">
        <w:rPr>
          <w:rStyle w:val="FootnoteReference"/>
          <w:szCs w:val="22"/>
        </w:rPr>
        <w:footnoteRef/>
      </w:r>
      <w:r w:rsidRPr="003C170B">
        <w:rPr>
          <w:szCs w:val="22"/>
          <w:lang w:val="es-MX"/>
        </w:rPr>
        <w:t xml:space="preserve"> Pub. Util. Code § 712.8(f)(6).</w:t>
      </w:r>
    </w:p>
  </w:footnote>
  <w:footnote w:id="103">
    <w:p w14:paraId="2242F99F" w14:textId="6C2EDEF7" w:rsidR="00B364D8" w:rsidRPr="003C170B" w:rsidRDefault="00B364D8" w:rsidP="007055D5">
      <w:pPr>
        <w:pStyle w:val="FootnoteText"/>
        <w:rPr>
          <w:szCs w:val="22"/>
          <w:lang w:val="es-MX"/>
        </w:rPr>
      </w:pPr>
      <w:r w:rsidRPr="007055D5">
        <w:rPr>
          <w:rStyle w:val="FootnoteReference"/>
          <w:szCs w:val="22"/>
        </w:rPr>
        <w:footnoteRef/>
      </w:r>
      <w:r w:rsidRPr="003C170B">
        <w:rPr>
          <w:szCs w:val="22"/>
          <w:lang w:val="es-MX"/>
        </w:rPr>
        <w:t xml:space="preserve"> </w:t>
      </w:r>
      <w:r w:rsidR="00E37CF1">
        <w:rPr>
          <w:szCs w:val="22"/>
          <w:lang w:val="es-MX"/>
        </w:rPr>
        <w:t>Ex. PG&amp;E-04</w:t>
      </w:r>
      <w:r w:rsidRPr="003C170B">
        <w:rPr>
          <w:szCs w:val="22"/>
          <w:lang w:val="es-MX"/>
        </w:rPr>
        <w:t xml:space="preserve"> Table 9-4.</w:t>
      </w:r>
    </w:p>
  </w:footnote>
  <w:footnote w:id="104">
    <w:p w14:paraId="500FA432" w14:textId="389F3B54" w:rsidR="00EF319D" w:rsidRPr="007055D5" w:rsidRDefault="00EF319D"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F06136" w:rsidRPr="007055D5">
        <w:rPr>
          <w:szCs w:val="22"/>
          <w:lang w:val="es-MX"/>
        </w:rPr>
        <w:t>.</w:t>
      </w:r>
      <w:r w:rsidR="007E0085" w:rsidRPr="007055D5">
        <w:rPr>
          <w:szCs w:val="22"/>
          <w:lang w:val="es-MX"/>
        </w:rPr>
        <w:t xml:space="preserve"> </w:t>
      </w:r>
      <w:r w:rsidRPr="007055D5">
        <w:rPr>
          <w:szCs w:val="22"/>
          <w:lang w:val="es-MX"/>
        </w:rPr>
        <w:t>PG&amp;E-01 at 5-6.</w:t>
      </w:r>
    </w:p>
  </w:footnote>
  <w:footnote w:id="105">
    <w:p w14:paraId="740C3429" w14:textId="483FB398" w:rsidR="00EF319D" w:rsidRPr="007055D5" w:rsidRDefault="00EF319D"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F06136" w:rsidRPr="007055D5">
        <w:rPr>
          <w:szCs w:val="22"/>
          <w:lang w:val="es-MX"/>
        </w:rPr>
        <w:t>.</w:t>
      </w:r>
      <w:r w:rsidR="007E0085" w:rsidRPr="007055D5">
        <w:rPr>
          <w:szCs w:val="22"/>
          <w:lang w:val="es-MX"/>
        </w:rPr>
        <w:t xml:space="preserve"> </w:t>
      </w:r>
      <w:r w:rsidRPr="007055D5">
        <w:rPr>
          <w:szCs w:val="22"/>
          <w:lang w:val="es-MX"/>
        </w:rPr>
        <w:t>PG&amp;E-01 at 5-6.</w:t>
      </w:r>
    </w:p>
  </w:footnote>
  <w:footnote w:id="106">
    <w:p w14:paraId="732803AC" w14:textId="6390EEBE" w:rsidR="00B364D8" w:rsidRPr="007055D5" w:rsidRDefault="00B364D8" w:rsidP="007055D5">
      <w:pPr>
        <w:pStyle w:val="FootnoteText"/>
        <w:rPr>
          <w:szCs w:val="22"/>
        </w:rPr>
      </w:pPr>
      <w:r w:rsidRPr="007055D5">
        <w:rPr>
          <w:rStyle w:val="FootnoteReference"/>
          <w:szCs w:val="22"/>
        </w:rPr>
        <w:footnoteRef/>
      </w:r>
      <w:r w:rsidRPr="007055D5">
        <w:rPr>
          <w:szCs w:val="22"/>
        </w:rPr>
        <w:t xml:space="preserve"> </w:t>
      </w:r>
      <w:r w:rsidR="00E37CF1">
        <w:rPr>
          <w:szCs w:val="22"/>
        </w:rPr>
        <w:t>Ex. PG&amp;E-04</w:t>
      </w:r>
      <w:r w:rsidRPr="007055D5">
        <w:rPr>
          <w:szCs w:val="22"/>
        </w:rPr>
        <w:t xml:space="preserve"> Table 9-4.</w:t>
      </w:r>
    </w:p>
  </w:footnote>
  <w:footnote w:id="107">
    <w:p w14:paraId="25DC79D9" w14:textId="77777777"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D.23-12-036 at 86-87.</w:t>
      </w:r>
    </w:p>
  </w:footnote>
  <w:footnote w:id="108">
    <w:p w14:paraId="163B3E8B" w14:textId="77777777"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D.23-12-036 at 87.</w:t>
      </w:r>
    </w:p>
  </w:footnote>
  <w:footnote w:id="109">
    <w:p w14:paraId="79DB239F" w14:textId="77777777"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D.24-12-033 at 32.</w:t>
      </w:r>
    </w:p>
  </w:footnote>
  <w:footnote w:id="110">
    <w:p w14:paraId="66F295C0" w14:textId="0FD7A855"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D.25-06-049 O</w:t>
      </w:r>
      <w:r w:rsidR="007E0085" w:rsidRPr="007055D5">
        <w:rPr>
          <w:szCs w:val="22"/>
        </w:rPr>
        <w:t>P</w:t>
      </w:r>
      <w:r w:rsidRPr="007055D5">
        <w:rPr>
          <w:szCs w:val="22"/>
        </w:rPr>
        <w:t xml:space="preserve"> 1.</w:t>
      </w:r>
    </w:p>
  </w:footnote>
  <w:footnote w:id="111">
    <w:p w14:paraId="0367E4DC" w14:textId="09C23A94"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D.25-06-049 O</w:t>
      </w:r>
      <w:r w:rsidR="007E0085" w:rsidRPr="007055D5">
        <w:rPr>
          <w:szCs w:val="22"/>
        </w:rPr>
        <w:t>P</w:t>
      </w:r>
      <w:r w:rsidRPr="007055D5">
        <w:rPr>
          <w:szCs w:val="22"/>
        </w:rPr>
        <w:t xml:space="preserve"> 1. </w:t>
      </w:r>
    </w:p>
  </w:footnote>
  <w:footnote w:id="112">
    <w:p w14:paraId="43C373EF" w14:textId="77777777"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PG&amp;E Opening Brief at 26.</w:t>
      </w:r>
    </w:p>
  </w:footnote>
  <w:footnote w:id="113">
    <w:p w14:paraId="3C437184" w14:textId="77777777"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PG&amp;E Opening Brief at 26.</w:t>
      </w:r>
    </w:p>
  </w:footnote>
  <w:footnote w:id="114">
    <w:p w14:paraId="026698B1" w14:textId="08A22578"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w:t>
      </w:r>
      <w:r w:rsidR="009F44AF" w:rsidRPr="007055D5">
        <w:rPr>
          <w:szCs w:val="22"/>
        </w:rPr>
        <w:t>x.</w:t>
      </w:r>
      <w:r w:rsidR="007E0085" w:rsidRPr="007055D5">
        <w:rPr>
          <w:szCs w:val="22"/>
        </w:rPr>
        <w:t xml:space="preserve"> </w:t>
      </w:r>
      <w:r w:rsidRPr="007055D5">
        <w:rPr>
          <w:szCs w:val="22"/>
        </w:rPr>
        <w:t>PG&amp;E-01 at 3-4.</w:t>
      </w:r>
    </w:p>
  </w:footnote>
  <w:footnote w:id="115">
    <w:p w14:paraId="34FC7992" w14:textId="11AC6C43"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9F44AF" w:rsidRPr="007055D5">
        <w:rPr>
          <w:szCs w:val="22"/>
        </w:rPr>
        <w:t>.</w:t>
      </w:r>
      <w:r w:rsidR="007E0085" w:rsidRPr="007055D5">
        <w:rPr>
          <w:szCs w:val="22"/>
        </w:rPr>
        <w:t xml:space="preserve"> </w:t>
      </w:r>
      <w:r w:rsidRPr="007055D5">
        <w:rPr>
          <w:szCs w:val="22"/>
        </w:rPr>
        <w:t>PG&amp;E-01 at 3-4 to 3-5.</w:t>
      </w:r>
    </w:p>
  </w:footnote>
  <w:footnote w:id="116">
    <w:p w14:paraId="54D0A384" w14:textId="20274878"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9F44AF" w:rsidRPr="007055D5">
        <w:rPr>
          <w:szCs w:val="22"/>
        </w:rPr>
        <w:t>.</w:t>
      </w:r>
      <w:r w:rsidR="007E0085" w:rsidRPr="007055D5">
        <w:rPr>
          <w:szCs w:val="22"/>
        </w:rPr>
        <w:t xml:space="preserve"> </w:t>
      </w:r>
      <w:r w:rsidRPr="007055D5">
        <w:rPr>
          <w:szCs w:val="22"/>
        </w:rPr>
        <w:t>TURN-01 at 29-32.</w:t>
      </w:r>
    </w:p>
  </w:footnote>
  <w:footnote w:id="117">
    <w:p w14:paraId="631DE8C0" w14:textId="77777777"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EPUC Opening Brief at 22-23.</w:t>
      </w:r>
    </w:p>
  </w:footnote>
  <w:footnote w:id="118">
    <w:p w14:paraId="0D76F9E0" w14:textId="77777777"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CalCCA Opening Brief at 2.</w:t>
      </w:r>
    </w:p>
  </w:footnote>
  <w:footnote w:id="119">
    <w:p w14:paraId="0A94AF57" w14:textId="1D62789F" w:rsidR="000C5B07" w:rsidRDefault="000C5B07">
      <w:pPr>
        <w:pStyle w:val="FootnoteText"/>
      </w:pPr>
      <w:r>
        <w:rPr>
          <w:rStyle w:val="FootnoteReference"/>
        </w:rPr>
        <w:footnoteRef/>
      </w:r>
      <w:r>
        <w:t xml:space="preserve"> SCE Reply Brief at 3-4.</w:t>
      </w:r>
    </w:p>
  </w:footnote>
  <w:footnote w:id="120">
    <w:p w14:paraId="285CBDF9" w14:textId="3DFDCE80"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w:t>
      </w:r>
      <w:r w:rsidR="00BD4FB3" w:rsidRPr="007055D5">
        <w:rPr>
          <w:szCs w:val="22"/>
        </w:rPr>
        <w:t xml:space="preserve">Ex. </w:t>
      </w:r>
      <w:r w:rsidRPr="007055D5">
        <w:rPr>
          <w:szCs w:val="22"/>
        </w:rPr>
        <w:t>SBUA-01 at 7.</w:t>
      </w:r>
    </w:p>
  </w:footnote>
  <w:footnote w:id="121">
    <w:p w14:paraId="08F0CAC2" w14:textId="45D83370"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w:t>
      </w:r>
      <w:r w:rsidR="00BD4FB3" w:rsidRPr="007055D5">
        <w:rPr>
          <w:szCs w:val="22"/>
        </w:rPr>
        <w:t xml:space="preserve">Ex. </w:t>
      </w:r>
      <w:r w:rsidRPr="007055D5">
        <w:rPr>
          <w:szCs w:val="22"/>
        </w:rPr>
        <w:t xml:space="preserve">A4NR-01 at 11-12 and Footnote 21. </w:t>
      </w:r>
    </w:p>
  </w:footnote>
  <w:footnote w:id="122">
    <w:p w14:paraId="189F2B07" w14:textId="3C6F3F4F"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A4NR Opening Brief at 7.</w:t>
      </w:r>
    </w:p>
  </w:footnote>
  <w:footnote w:id="123">
    <w:p w14:paraId="2D426803" w14:textId="177560B8"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CARE Opening Brief at 17.</w:t>
      </w:r>
    </w:p>
  </w:footnote>
  <w:footnote w:id="124">
    <w:p w14:paraId="679D04F8" w14:textId="77777777"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PG&amp;E Opening Brief at 34.</w:t>
      </w:r>
    </w:p>
  </w:footnote>
  <w:footnote w:id="125">
    <w:p w14:paraId="0DD47BAF" w14:textId="77777777"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D.23-12-036 Conclusions of Law 55.</w:t>
      </w:r>
    </w:p>
  </w:footnote>
  <w:footnote w:id="126">
    <w:p w14:paraId="2B999708" w14:textId="77777777"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PG&amp;E Opening Brief at 35.</w:t>
      </w:r>
    </w:p>
  </w:footnote>
  <w:footnote w:id="127">
    <w:p w14:paraId="3E43D90F" w14:textId="77777777"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PG&amp;E Opening Brief at 37.</w:t>
      </w:r>
    </w:p>
  </w:footnote>
  <w:footnote w:id="128">
    <w:p w14:paraId="4BEAF568" w14:textId="77777777"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PG&amp;E Opening Brief at 37.</w:t>
      </w:r>
    </w:p>
  </w:footnote>
  <w:footnote w:id="129">
    <w:p w14:paraId="0FD57246" w14:textId="6C9E0283"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PG&amp;E-03 at 3-6.</w:t>
      </w:r>
    </w:p>
  </w:footnote>
  <w:footnote w:id="130">
    <w:p w14:paraId="0A8D9298" w14:textId="77777777"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D.24-12-033 at 32.</w:t>
      </w:r>
    </w:p>
  </w:footnote>
  <w:footnote w:id="131">
    <w:p w14:paraId="743D764E" w14:textId="5D284F69"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D.24-06-004 O</w:t>
      </w:r>
      <w:r w:rsidR="007E0085" w:rsidRPr="007055D5">
        <w:rPr>
          <w:szCs w:val="22"/>
        </w:rPr>
        <w:t>P</w:t>
      </w:r>
      <w:r w:rsidRPr="007055D5">
        <w:rPr>
          <w:szCs w:val="22"/>
        </w:rPr>
        <w:t xml:space="preserve"> 14.</w:t>
      </w:r>
    </w:p>
  </w:footnote>
  <w:footnote w:id="132">
    <w:p w14:paraId="74F08B2A" w14:textId="71E3E4D5" w:rsidR="00367915" w:rsidRPr="007055D5" w:rsidRDefault="00367915" w:rsidP="007055D5">
      <w:pPr>
        <w:pStyle w:val="FootnoteText"/>
        <w:rPr>
          <w:szCs w:val="22"/>
        </w:rPr>
      </w:pPr>
      <w:r w:rsidRPr="007055D5">
        <w:rPr>
          <w:rStyle w:val="FootnoteReference"/>
          <w:szCs w:val="22"/>
        </w:rPr>
        <w:footnoteRef/>
      </w:r>
      <w:r w:rsidRPr="007055D5">
        <w:rPr>
          <w:szCs w:val="22"/>
        </w:rPr>
        <w:t xml:space="preserve"> D.24-06-004 O</w:t>
      </w:r>
      <w:r w:rsidR="007E0085" w:rsidRPr="007055D5">
        <w:rPr>
          <w:szCs w:val="22"/>
        </w:rPr>
        <w:t>P</w:t>
      </w:r>
      <w:r w:rsidRPr="007055D5">
        <w:rPr>
          <w:szCs w:val="22"/>
        </w:rPr>
        <w:t xml:space="preserve"> 15.</w:t>
      </w:r>
    </w:p>
  </w:footnote>
  <w:footnote w:id="133">
    <w:p w14:paraId="5AD6B260" w14:textId="679DC88D" w:rsidR="00EF319D" w:rsidRPr="007055D5" w:rsidRDefault="00EF319D" w:rsidP="007055D5">
      <w:pPr>
        <w:pStyle w:val="FootnoteText"/>
        <w:rPr>
          <w:szCs w:val="22"/>
        </w:rPr>
      </w:pPr>
      <w:r w:rsidRPr="007055D5">
        <w:rPr>
          <w:rStyle w:val="FootnoteReference"/>
          <w:szCs w:val="22"/>
        </w:rPr>
        <w:footnoteRef/>
      </w:r>
      <w:r w:rsidRPr="007055D5">
        <w:rPr>
          <w:szCs w:val="22"/>
        </w:rPr>
        <w:t xml:space="preserve"> PG&amp;E Opening Brief at 18.</w:t>
      </w:r>
    </w:p>
  </w:footnote>
  <w:footnote w:id="134">
    <w:p w14:paraId="34BC7C59" w14:textId="55D9A460" w:rsidR="00EF319D" w:rsidRPr="007055D5" w:rsidRDefault="00EF319D" w:rsidP="007055D5">
      <w:pPr>
        <w:pStyle w:val="FootnoteText"/>
        <w:rPr>
          <w:szCs w:val="22"/>
        </w:rPr>
      </w:pPr>
      <w:r w:rsidRPr="007055D5">
        <w:rPr>
          <w:rStyle w:val="FootnoteReference"/>
          <w:szCs w:val="22"/>
        </w:rPr>
        <w:footnoteRef/>
      </w:r>
      <w:r w:rsidRPr="007055D5">
        <w:rPr>
          <w:szCs w:val="22"/>
        </w:rPr>
        <w:t xml:space="preserve"> PG&amp;E Opening Brief at 19.</w:t>
      </w:r>
    </w:p>
  </w:footnote>
  <w:footnote w:id="135">
    <w:p w14:paraId="505D4E2C" w14:textId="67DC4DE9" w:rsidR="00EF319D" w:rsidRPr="007055D5" w:rsidRDefault="00EF319D" w:rsidP="007055D5">
      <w:pPr>
        <w:pStyle w:val="FootnoteText"/>
        <w:rPr>
          <w:szCs w:val="22"/>
        </w:rPr>
      </w:pPr>
      <w:r w:rsidRPr="007055D5">
        <w:rPr>
          <w:rStyle w:val="FootnoteReference"/>
          <w:szCs w:val="22"/>
        </w:rPr>
        <w:footnoteRef/>
      </w:r>
      <w:r w:rsidRPr="007055D5">
        <w:rPr>
          <w:szCs w:val="22"/>
        </w:rPr>
        <w:t xml:space="preserve"> A4NR Opening Brief at 8.</w:t>
      </w:r>
    </w:p>
  </w:footnote>
  <w:footnote w:id="136">
    <w:p w14:paraId="0D535850" w14:textId="4F918D97" w:rsidR="00C038DA" w:rsidRPr="007055D5" w:rsidRDefault="00C038DA" w:rsidP="007055D5">
      <w:pPr>
        <w:pStyle w:val="FootnoteText"/>
        <w:rPr>
          <w:szCs w:val="22"/>
        </w:rPr>
      </w:pPr>
      <w:r w:rsidRPr="007055D5">
        <w:rPr>
          <w:rStyle w:val="FootnoteReference"/>
          <w:szCs w:val="22"/>
        </w:rPr>
        <w:footnoteRef/>
      </w:r>
      <w:r w:rsidRPr="007055D5">
        <w:rPr>
          <w:szCs w:val="22"/>
        </w:rPr>
        <w:t xml:space="preserve"> </w:t>
      </w:r>
      <w:r w:rsidR="00E37CF1">
        <w:rPr>
          <w:szCs w:val="22"/>
        </w:rPr>
        <w:t>Ex. PG&amp;E-04</w:t>
      </w:r>
      <w:r w:rsidRPr="007055D5">
        <w:rPr>
          <w:szCs w:val="22"/>
        </w:rPr>
        <w:t xml:space="preserve"> at 8-9.</w:t>
      </w:r>
    </w:p>
  </w:footnote>
  <w:footnote w:id="137">
    <w:p w14:paraId="7D613C30" w14:textId="7692ADD4" w:rsidR="008C772F" w:rsidRPr="008C772F" w:rsidRDefault="008C772F">
      <w:pPr>
        <w:pStyle w:val="FootnoteText"/>
      </w:pPr>
      <w:r>
        <w:rPr>
          <w:rStyle w:val="FootnoteReference"/>
        </w:rPr>
        <w:footnoteRef/>
      </w:r>
      <w:r w:rsidRPr="008C772F">
        <w:t xml:space="preserve"> Cal</w:t>
      </w:r>
      <w:r w:rsidRPr="0062787E">
        <w:t>CCA October 20, 2025 Comments at 2-3.</w:t>
      </w:r>
    </w:p>
  </w:footnote>
  <w:footnote w:id="138">
    <w:p w14:paraId="5BE36D33" w14:textId="0DABF745" w:rsidR="008C772F" w:rsidRDefault="008C772F">
      <w:pPr>
        <w:pStyle w:val="FootnoteText"/>
      </w:pPr>
      <w:r>
        <w:rPr>
          <w:rStyle w:val="FootnoteReference"/>
        </w:rPr>
        <w:footnoteRef/>
      </w:r>
      <w:r>
        <w:t xml:space="preserve"> PG&amp;E Reply Comments on the Fall Update at 9.</w:t>
      </w:r>
    </w:p>
  </w:footnote>
  <w:footnote w:id="139">
    <w:p w14:paraId="2CEB7DDF" w14:textId="792A235D" w:rsidR="00C038DA" w:rsidRPr="008C772F" w:rsidRDefault="00C038DA" w:rsidP="007055D5">
      <w:pPr>
        <w:pStyle w:val="FootnoteText"/>
        <w:rPr>
          <w:szCs w:val="22"/>
        </w:rPr>
      </w:pPr>
      <w:r w:rsidRPr="007055D5">
        <w:rPr>
          <w:rStyle w:val="FootnoteReference"/>
          <w:szCs w:val="22"/>
        </w:rPr>
        <w:footnoteRef/>
      </w:r>
      <w:r w:rsidRPr="008C772F">
        <w:rPr>
          <w:szCs w:val="22"/>
        </w:rPr>
        <w:t xml:space="preserve"> </w:t>
      </w:r>
      <w:r w:rsidR="007E0085" w:rsidRPr="008C772F">
        <w:rPr>
          <w:szCs w:val="22"/>
        </w:rPr>
        <w:t>Ex</w:t>
      </w:r>
      <w:r w:rsidR="00BD4FB3" w:rsidRPr="008C772F">
        <w:rPr>
          <w:szCs w:val="22"/>
        </w:rPr>
        <w:t>.</w:t>
      </w:r>
      <w:r w:rsidR="007E0085" w:rsidRPr="008C772F">
        <w:rPr>
          <w:szCs w:val="22"/>
        </w:rPr>
        <w:t xml:space="preserve"> </w:t>
      </w:r>
      <w:r w:rsidRPr="008C772F">
        <w:rPr>
          <w:szCs w:val="22"/>
        </w:rPr>
        <w:t>PG&amp;E-01 at 6-2.</w:t>
      </w:r>
    </w:p>
  </w:footnote>
  <w:footnote w:id="140">
    <w:p w14:paraId="7746165E" w14:textId="50790CC2" w:rsidR="001B4048" w:rsidRPr="007055D5" w:rsidRDefault="001B4048" w:rsidP="007055D5">
      <w:pPr>
        <w:pStyle w:val="FootnoteText"/>
        <w:rPr>
          <w:szCs w:val="22"/>
        </w:rPr>
      </w:pPr>
      <w:r w:rsidRPr="007055D5">
        <w:rPr>
          <w:rStyle w:val="FootnoteReference"/>
          <w:szCs w:val="22"/>
        </w:rPr>
        <w:footnoteRef/>
      </w:r>
      <w:r w:rsidRPr="007055D5">
        <w:rPr>
          <w:szCs w:val="22"/>
        </w:rPr>
        <w:t xml:space="preserve"> EPUC Opening Brief at 7.</w:t>
      </w:r>
    </w:p>
  </w:footnote>
  <w:footnote w:id="141">
    <w:p w14:paraId="22CE7624" w14:textId="774D43D2" w:rsidR="001B4048" w:rsidRPr="007055D5" w:rsidRDefault="001B4048"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EPUC-01 at 2.</w:t>
      </w:r>
    </w:p>
  </w:footnote>
  <w:footnote w:id="142">
    <w:p w14:paraId="73A82C41" w14:textId="759BB88D" w:rsidR="001B4048" w:rsidRPr="007055D5" w:rsidRDefault="001B4048"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EPUC-01 at 4-11.</w:t>
      </w:r>
    </w:p>
  </w:footnote>
  <w:footnote w:id="143">
    <w:p w14:paraId="6E1681F7" w14:textId="7CE0CF51" w:rsidR="008C772F" w:rsidRDefault="008C772F">
      <w:pPr>
        <w:pStyle w:val="FootnoteText"/>
      </w:pPr>
      <w:r>
        <w:rPr>
          <w:rStyle w:val="FootnoteReference"/>
        </w:rPr>
        <w:footnoteRef/>
      </w:r>
      <w:r>
        <w:t xml:space="preserve"> </w:t>
      </w:r>
      <w:r w:rsidRPr="008C772F">
        <w:t>Cal</w:t>
      </w:r>
      <w:r w:rsidRPr="008B5910">
        <w:t>CCA October 20, 2025 Comments at 2-3.</w:t>
      </w:r>
    </w:p>
  </w:footnote>
  <w:footnote w:id="144">
    <w:p w14:paraId="46F2548B" w14:textId="78D99127" w:rsidR="008C772F" w:rsidRDefault="008C772F">
      <w:pPr>
        <w:pStyle w:val="FootnoteText"/>
      </w:pPr>
      <w:r>
        <w:rPr>
          <w:rStyle w:val="FootnoteReference"/>
        </w:rPr>
        <w:footnoteRef/>
      </w:r>
      <w:r>
        <w:t xml:space="preserve"> PG&amp;E Reply Comments on the Fall Update at 9.</w:t>
      </w:r>
    </w:p>
  </w:footnote>
  <w:footnote w:id="145">
    <w:p w14:paraId="3D8466F4" w14:textId="451FBA87" w:rsidR="00C038DA" w:rsidRPr="007055D5" w:rsidRDefault="00C038DA" w:rsidP="007055D5">
      <w:pPr>
        <w:pStyle w:val="FootnoteText"/>
        <w:rPr>
          <w:szCs w:val="22"/>
        </w:rPr>
      </w:pPr>
      <w:r w:rsidRPr="007055D5">
        <w:rPr>
          <w:rStyle w:val="FootnoteReference"/>
          <w:szCs w:val="22"/>
        </w:rPr>
        <w:footnoteRef/>
      </w:r>
      <w:r w:rsidRPr="007055D5">
        <w:rPr>
          <w:szCs w:val="22"/>
        </w:rPr>
        <w:t xml:space="preserve"> </w:t>
      </w:r>
      <w:r w:rsidR="00E37CF1">
        <w:rPr>
          <w:szCs w:val="22"/>
        </w:rPr>
        <w:t>Ex. PG&amp;E-04</w:t>
      </w:r>
      <w:r w:rsidRPr="007055D5">
        <w:rPr>
          <w:szCs w:val="22"/>
        </w:rPr>
        <w:t xml:space="preserve"> Table 9-4.</w:t>
      </w:r>
    </w:p>
  </w:footnote>
  <w:footnote w:id="146">
    <w:p w14:paraId="2883E319" w14:textId="315F9411" w:rsidR="00EB71D1" w:rsidRPr="007055D5" w:rsidRDefault="00EB71D1" w:rsidP="007055D5">
      <w:pPr>
        <w:pStyle w:val="FootnoteText"/>
        <w:rPr>
          <w:szCs w:val="22"/>
        </w:rPr>
      </w:pPr>
      <w:r w:rsidRPr="007055D5">
        <w:rPr>
          <w:rStyle w:val="FootnoteReference"/>
          <w:szCs w:val="22"/>
        </w:rPr>
        <w:footnoteRef/>
      </w:r>
      <w:r w:rsidRPr="007055D5">
        <w:rPr>
          <w:szCs w:val="22"/>
        </w:rPr>
        <w:t xml:space="preserve"> D.23-12-036 at 138-139, OP 14.</w:t>
      </w:r>
    </w:p>
  </w:footnote>
  <w:footnote w:id="147">
    <w:p w14:paraId="412BCBC5" w14:textId="1D9B3CF0" w:rsidR="00EB71D1" w:rsidRPr="007055D5" w:rsidRDefault="00EB71D1" w:rsidP="007055D5">
      <w:pPr>
        <w:pStyle w:val="FootnoteText"/>
        <w:rPr>
          <w:szCs w:val="22"/>
        </w:rPr>
      </w:pPr>
      <w:r w:rsidRPr="007055D5">
        <w:rPr>
          <w:rStyle w:val="FootnoteReference"/>
          <w:szCs w:val="22"/>
        </w:rPr>
        <w:footnoteRef/>
      </w:r>
      <w:r w:rsidRPr="007055D5">
        <w:rPr>
          <w:szCs w:val="22"/>
        </w:rPr>
        <w:t xml:space="preserve"> D.23-12-036 at OP 7.</w:t>
      </w:r>
    </w:p>
  </w:footnote>
  <w:footnote w:id="148">
    <w:p w14:paraId="26B38A02" w14:textId="27008C5A" w:rsidR="00F1307C" w:rsidRPr="007055D5" w:rsidRDefault="00F1307C" w:rsidP="007055D5">
      <w:pPr>
        <w:pStyle w:val="FootnoteText"/>
        <w:rPr>
          <w:szCs w:val="22"/>
        </w:rPr>
      </w:pPr>
      <w:r w:rsidRPr="007055D5">
        <w:rPr>
          <w:rStyle w:val="FootnoteReference"/>
          <w:szCs w:val="22"/>
        </w:rPr>
        <w:footnoteRef/>
      </w:r>
      <w:r w:rsidRPr="007055D5">
        <w:rPr>
          <w:szCs w:val="22"/>
        </w:rPr>
        <w:t xml:space="preserve"> D.23-12-036 at COL 30, OP 14.</w:t>
      </w:r>
    </w:p>
  </w:footnote>
  <w:footnote w:id="149">
    <w:p w14:paraId="6B9BC450" w14:textId="556AE28B" w:rsidR="00F1307C" w:rsidRPr="00D11985" w:rsidRDefault="00F1307C" w:rsidP="007055D5">
      <w:pPr>
        <w:pStyle w:val="FootnoteText"/>
        <w:rPr>
          <w:szCs w:val="22"/>
          <w:lang w:val="es-MX"/>
        </w:rPr>
      </w:pPr>
      <w:r w:rsidRPr="007055D5">
        <w:rPr>
          <w:rStyle w:val="FootnoteReference"/>
          <w:szCs w:val="22"/>
        </w:rPr>
        <w:footnoteRef/>
      </w:r>
      <w:r w:rsidRPr="00D11985">
        <w:rPr>
          <w:szCs w:val="22"/>
          <w:lang w:val="es-MX"/>
        </w:rPr>
        <w:t xml:space="preserve"> </w:t>
      </w:r>
      <w:r w:rsidR="007E0085" w:rsidRPr="00D11985">
        <w:rPr>
          <w:szCs w:val="22"/>
          <w:lang w:val="es-MX"/>
        </w:rPr>
        <w:t>Ex</w:t>
      </w:r>
      <w:r w:rsidR="00BD4FB3" w:rsidRPr="00D11985">
        <w:rPr>
          <w:szCs w:val="22"/>
          <w:lang w:val="es-MX"/>
        </w:rPr>
        <w:t>.</w:t>
      </w:r>
      <w:r w:rsidR="007E0085" w:rsidRPr="00D11985">
        <w:rPr>
          <w:szCs w:val="22"/>
          <w:lang w:val="es-MX"/>
        </w:rPr>
        <w:t xml:space="preserve"> </w:t>
      </w:r>
      <w:r w:rsidRPr="00D11985">
        <w:rPr>
          <w:szCs w:val="22"/>
          <w:lang w:val="es-MX"/>
        </w:rPr>
        <w:t>PG&amp;E-01 at 10-3.</w:t>
      </w:r>
    </w:p>
  </w:footnote>
  <w:footnote w:id="150">
    <w:p w14:paraId="18B2A41B" w14:textId="78776BD1" w:rsidR="00F1307C" w:rsidRPr="00D11985" w:rsidRDefault="00F1307C" w:rsidP="007055D5">
      <w:pPr>
        <w:pStyle w:val="FootnoteText"/>
        <w:rPr>
          <w:szCs w:val="22"/>
          <w:lang w:val="es-MX"/>
        </w:rPr>
      </w:pPr>
      <w:r w:rsidRPr="007055D5">
        <w:rPr>
          <w:rStyle w:val="FootnoteReference"/>
          <w:szCs w:val="22"/>
        </w:rPr>
        <w:footnoteRef/>
      </w:r>
      <w:r w:rsidRPr="00D11985">
        <w:rPr>
          <w:szCs w:val="22"/>
          <w:lang w:val="es-MX"/>
        </w:rPr>
        <w:t xml:space="preserve"> </w:t>
      </w:r>
      <w:r w:rsidR="007E0085" w:rsidRPr="00D11985">
        <w:rPr>
          <w:szCs w:val="22"/>
          <w:lang w:val="es-MX"/>
        </w:rPr>
        <w:t>Ex</w:t>
      </w:r>
      <w:r w:rsidR="00BD4FB3" w:rsidRPr="00D11985">
        <w:rPr>
          <w:szCs w:val="22"/>
          <w:lang w:val="es-MX"/>
        </w:rPr>
        <w:t>.</w:t>
      </w:r>
      <w:r w:rsidR="007E0085" w:rsidRPr="00D11985">
        <w:rPr>
          <w:szCs w:val="22"/>
          <w:lang w:val="es-MX"/>
        </w:rPr>
        <w:t xml:space="preserve"> </w:t>
      </w:r>
      <w:r w:rsidRPr="00D11985">
        <w:rPr>
          <w:szCs w:val="22"/>
          <w:lang w:val="es-MX"/>
        </w:rPr>
        <w:t>PG&amp;E-01 at 10-4.</w:t>
      </w:r>
    </w:p>
  </w:footnote>
  <w:footnote w:id="151">
    <w:p w14:paraId="08BEDDF3" w14:textId="447B0156" w:rsidR="00F1307C" w:rsidRPr="007055D5" w:rsidRDefault="00F1307C" w:rsidP="007055D5">
      <w:pPr>
        <w:pStyle w:val="FootnoteText"/>
        <w:rPr>
          <w:szCs w:val="22"/>
        </w:rPr>
      </w:pPr>
      <w:r w:rsidRPr="007055D5">
        <w:rPr>
          <w:rStyle w:val="FootnoteReference"/>
          <w:szCs w:val="22"/>
        </w:rPr>
        <w:footnoteRef/>
      </w:r>
      <w:r w:rsidRPr="007055D5">
        <w:rPr>
          <w:szCs w:val="22"/>
        </w:rPr>
        <w:t xml:space="preserve"> </w:t>
      </w:r>
      <w:r w:rsidR="00E37CF1">
        <w:rPr>
          <w:szCs w:val="22"/>
        </w:rPr>
        <w:t>Ex. PG&amp;E-04</w:t>
      </w:r>
      <w:r w:rsidRPr="007055D5">
        <w:rPr>
          <w:szCs w:val="22"/>
        </w:rPr>
        <w:t xml:space="preserve"> </w:t>
      </w:r>
      <w:r w:rsidR="007E0085" w:rsidRPr="007055D5">
        <w:rPr>
          <w:szCs w:val="22"/>
        </w:rPr>
        <w:t>Table 10-2</w:t>
      </w:r>
      <w:r w:rsidRPr="007055D5">
        <w:rPr>
          <w:szCs w:val="22"/>
        </w:rPr>
        <w:t>.</w:t>
      </w:r>
    </w:p>
  </w:footnote>
  <w:footnote w:id="152">
    <w:p w14:paraId="0561215C" w14:textId="5E3ED60A" w:rsidR="00F1307C" w:rsidRPr="007055D5" w:rsidRDefault="00F1307C" w:rsidP="007055D5">
      <w:pPr>
        <w:pStyle w:val="FootnoteText"/>
        <w:rPr>
          <w:szCs w:val="22"/>
        </w:rPr>
      </w:pPr>
      <w:r w:rsidRPr="007055D5">
        <w:rPr>
          <w:rStyle w:val="FootnoteReference"/>
          <w:szCs w:val="22"/>
        </w:rPr>
        <w:footnoteRef/>
      </w:r>
      <w:r w:rsidRPr="007055D5">
        <w:rPr>
          <w:szCs w:val="22"/>
        </w:rPr>
        <w:t xml:space="preserve"> A4NR</w:t>
      </w:r>
      <w:r w:rsidR="00842C65" w:rsidRPr="007055D5">
        <w:rPr>
          <w:szCs w:val="22"/>
        </w:rPr>
        <w:t xml:space="preserve"> Opening Brief</w:t>
      </w:r>
      <w:r w:rsidRPr="007055D5">
        <w:rPr>
          <w:szCs w:val="22"/>
        </w:rPr>
        <w:t xml:space="preserve"> at 2 and 9.</w:t>
      </w:r>
    </w:p>
  </w:footnote>
  <w:footnote w:id="153">
    <w:p w14:paraId="4163C76E" w14:textId="780B1E52" w:rsidR="0066553B" w:rsidRPr="007055D5" w:rsidRDefault="0066553B" w:rsidP="007055D5">
      <w:pPr>
        <w:pStyle w:val="FootnoteText"/>
        <w:rPr>
          <w:szCs w:val="22"/>
        </w:rPr>
      </w:pPr>
      <w:r w:rsidRPr="007055D5">
        <w:rPr>
          <w:rStyle w:val="FootnoteReference"/>
          <w:szCs w:val="22"/>
        </w:rPr>
        <w:footnoteRef/>
      </w:r>
      <w:r w:rsidRPr="007055D5">
        <w:rPr>
          <w:szCs w:val="22"/>
        </w:rPr>
        <w:t xml:space="preserve"> D.23-12-036 at 73-74.</w:t>
      </w:r>
    </w:p>
  </w:footnote>
  <w:footnote w:id="154">
    <w:p w14:paraId="72AB8587" w14:textId="74679002" w:rsidR="0066553B" w:rsidRPr="007055D5" w:rsidRDefault="0066553B" w:rsidP="007055D5">
      <w:pPr>
        <w:pStyle w:val="FootnoteText"/>
        <w:rPr>
          <w:szCs w:val="22"/>
        </w:rPr>
      </w:pPr>
      <w:r w:rsidRPr="007055D5">
        <w:rPr>
          <w:rStyle w:val="FootnoteReference"/>
          <w:szCs w:val="22"/>
        </w:rPr>
        <w:footnoteRef/>
      </w:r>
      <w:r w:rsidRPr="007055D5">
        <w:rPr>
          <w:szCs w:val="22"/>
        </w:rPr>
        <w:t xml:space="preserve"> D.23-12-036 at 75.</w:t>
      </w:r>
    </w:p>
  </w:footnote>
  <w:footnote w:id="155">
    <w:p w14:paraId="5A1ED82E" w14:textId="4D389033" w:rsidR="005A6AAA" w:rsidRPr="007055D5" w:rsidRDefault="005A6AAA"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PG&amp;E-01 at 2-32.</w:t>
      </w:r>
    </w:p>
  </w:footnote>
  <w:footnote w:id="156">
    <w:p w14:paraId="1242495A" w14:textId="4B6D0EC0" w:rsidR="005A6AAA" w:rsidRPr="007055D5" w:rsidRDefault="005A6AAA"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BD4FB3" w:rsidRPr="007055D5">
        <w:rPr>
          <w:szCs w:val="22"/>
          <w:lang w:val="es-MX"/>
        </w:rPr>
        <w:t>.</w:t>
      </w:r>
      <w:r w:rsidR="007E0085" w:rsidRPr="007055D5">
        <w:rPr>
          <w:szCs w:val="22"/>
          <w:lang w:val="es-MX"/>
        </w:rPr>
        <w:t xml:space="preserve"> </w:t>
      </w:r>
      <w:r w:rsidRPr="007055D5">
        <w:rPr>
          <w:szCs w:val="22"/>
          <w:lang w:val="es-MX"/>
        </w:rPr>
        <w:t>PG&amp;E-01 at 2-33.</w:t>
      </w:r>
    </w:p>
  </w:footnote>
  <w:footnote w:id="157">
    <w:p w14:paraId="33165B5C" w14:textId="32DAD15D" w:rsidR="005A6AAA" w:rsidRPr="007055D5" w:rsidRDefault="005A6AAA"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BD4FB3" w:rsidRPr="007055D5">
        <w:rPr>
          <w:szCs w:val="22"/>
          <w:lang w:val="es-MX"/>
        </w:rPr>
        <w:t>.</w:t>
      </w:r>
      <w:r w:rsidR="007E0085" w:rsidRPr="007055D5">
        <w:rPr>
          <w:szCs w:val="22"/>
          <w:lang w:val="es-MX"/>
        </w:rPr>
        <w:t xml:space="preserve"> </w:t>
      </w:r>
      <w:r w:rsidRPr="007055D5">
        <w:rPr>
          <w:szCs w:val="22"/>
          <w:lang w:val="es-MX"/>
        </w:rPr>
        <w:t>PG&amp;E-01 at 2-33.</w:t>
      </w:r>
    </w:p>
  </w:footnote>
  <w:footnote w:id="158">
    <w:p w14:paraId="7400EB50" w14:textId="13CC04F8" w:rsidR="005A6AAA" w:rsidRPr="007055D5" w:rsidRDefault="005A6AAA"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BD4FB3" w:rsidRPr="007055D5">
        <w:rPr>
          <w:szCs w:val="22"/>
          <w:lang w:val="es-MX"/>
        </w:rPr>
        <w:t>.</w:t>
      </w:r>
      <w:r w:rsidR="007E0085" w:rsidRPr="007055D5">
        <w:rPr>
          <w:szCs w:val="22"/>
          <w:lang w:val="es-MX"/>
        </w:rPr>
        <w:t xml:space="preserve"> </w:t>
      </w:r>
      <w:r w:rsidRPr="007055D5">
        <w:rPr>
          <w:szCs w:val="22"/>
          <w:lang w:val="es-MX"/>
        </w:rPr>
        <w:t>PG&amp;E-01 at 2-33.</w:t>
      </w:r>
    </w:p>
  </w:footnote>
  <w:footnote w:id="159">
    <w:p w14:paraId="5AE0E7A2" w14:textId="0148B1C9" w:rsidR="005A6AAA" w:rsidRPr="007055D5" w:rsidRDefault="005A6AAA"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BD4FB3" w:rsidRPr="007055D5">
        <w:rPr>
          <w:szCs w:val="22"/>
          <w:lang w:val="es-MX"/>
        </w:rPr>
        <w:t>.</w:t>
      </w:r>
      <w:r w:rsidR="007E0085" w:rsidRPr="007055D5">
        <w:rPr>
          <w:szCs w:val="22"/>
          <w:lang w:val="es-MX"/>
        </w:rPr>
        <w:t xml:space="preserve"> </w:t>
      </w:r>
      <w:r w:rsidRPr="007055D5">
        <w:rPr>
          <w:szCs w:val="22"/>
          <w:lang w:val="es-MX"/>
        </w:rPr>
        <w:t>PG&amp;E-01 at 2-34.</w:t>
      </w:r>
    </w:p>
  </w:footnote>
  <w:footnote w:id="160">
    <w:p w14:paraId="2A6E5B15" w14:textId="72A454FF" w:rsidR="005A6AAA" w:rsidRPr="007055D5" w:rsidRDefault="005A6AAA"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BD4FB3" w:rsidRPr="007055D5">
        <w:rPr>
          <w:szCs w:val="22"/>
          <w:lang w:val="es-MX"/>
        </w:rPr>
        <w:t>.</w:t>
      </w:r>
      <w:r w:rsidR="007E0085" w:rsidRPr="007055D5">
        <w:rPr>
          <w:szCs w:val="22"/>
          <w:lang w:val="es-MX"/>
        </w:rPr>
        <w:t xml:space="preserve"> </w:t>
      </w:r>
      <w:r w:rsidRPr="007055D5">
        <w:rPr>
          <w:szCs w:val="22"/>
          <w:lang w:val="es-MX"/>
        </w:rPr>
        <w:t>PG&amp;E-01 at 2-34.</w:t>
      </w:r>
    </w:p>
  </w:footnote>
  <w:footnote w:id="161">
    <w:p w14:paraId="2240C682" w14:textId="538377EE" w:rsidR="005A6AAA" w:rsidRPr="007055D5" w:rsidRDefault="005A6AAA"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BD4FB3" w:rsidRPr="007055D5">
        <w:rPr>
          <w:szCs w:val="22"/>
          <w:lang w:val="es-MX"/>
        </w:rPr>
        <w:t>.</w:t>
      </w:r>
      <w:r w:rsidR="007E0085" w:rsidRPr="007055D5">
        <w:rPr>
          <w:szCs w:val="22"/>
          <w:lang w:val="es-MX"/>
        </w:rPr>
        <w:t xml:space="preserve"> </w:t>
      </w:r>
      <w:r w:rsidRPr="007055D5">
        <w:rPr>
          <w:szCs w:val="22"/>
          <w:lang w:val="es-MX"/>
        </w:rPr>
        <w:t>PG&amp;E-01 at 2-34 to 2-35.</w:t>
      </w:r>
    </w:p>
  </w:footnote>
  <w:footnote w:id="162">
    <w:p w14:paraId="2BD36734" w14:textId="5284C1B4" w:rsidR="005A6AAA" w:rsidRPr="007055D5" w:rsidRDefault="005A6AAA"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w:t>
      </w:r>
      <w:r w:rsidR="00BD4FB3" w:rsidRPr="007055D5">
        <w:rPr>
          <w:szCs w:val="22"/>
          <w:lang w:val="es-MX"/>
        </w:rPr>
        <w:t>x.</w:t>
      </w:r>
      <w:r w:rsidR="007E0085" w:rsidRPr="007055D5">
        <w:rPr>
          <w:szCs w:val="22"/>
          <w:lang w:val="es-MX"/>
        </w:rPr>
        <w:t xml:space="preserve"> </w:t>
      </w:r>
      <w:r w:rsidRPr="007055D5">
        <w:rPr>
          <w:szCs w:val="22"/>
          <w:lang w:val="es-MX"/>
        </w:rPr>
        <w:t>PG&amp;E-01 at 2-35.</w:t>
      </w:r>
    </w:p>
  </w:footnote>
  <w:footnote w:id="163">
    <w:p w14:paraId="4FF016DA" w14:textId="4C13CA23" w:rsidR="005A6AAA" w:rsidRPr="007055D5" w:rsidRDefault="005A6AAA"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PG&amp;E-01 at 2-35.</w:t>
      </w:r>
    </w:p>
  </w:footnote>
  <w:footnote w:id="164">
    <w:p w14:paraId="477E83AB" w14:textId="53712125" w:rsidR="00B87DBF" w:rsidRPr="007055D5" w:rsidRDefault="00B87DBF" w:rsidP="007055D5">
      <w:pPr>
        <w:pStyle w:val="FootnoteText"/>
        <w:rPr>
          <w:szCs w:val="22"/>
        </w:rPr>
      </w:pPr>
      <w:r w:rsidRPr="007055D5">
        <w:rPr>
          <w:rStyle w:val="FootnoteReference"/>
          <w:szCs w:val="22"/>
        </w:rPr>
        <w:footnoteRef/>
      </w:r>
      <w:r w:rsidRPr="007055D5">
        <w:rPr>
          <w:szCs w:val="22"/>
        </w:rPr>
        <w:t xml:space="preserve"> D.23-12-036 at O</w:t>
      </w:r>
      <w:r w:rsidR="00842C65" w:rsidRPr="007055D5">
        <w:rPr>
          <w:szCs w:val="22"/>
        </w:rPr>
        <w:t>P</w:t>
      </w:r>
      <w:r w:rsidRPr="007055D5">
        <w:rPr>
          <w:szCs w:val="22"/>
        </w:rPr>
        <w:t xml:space="preserve"> 15.</w:t>
      </w:r>
    </w:p>
  </w:footnote>
  <w:footnote w:id="165">
    <w:p w14:paraId="63B70606" w14:textId="701E6DAD" w:rsidR="00F956D0" w:rsidRPr="007055D5" w:rsidRDefault="00F956D0" w:rsidP="007055D5">
      <w:pPr>
        <w:pStyle w:val="FootnoteText"/>
        <w:rPr>
          <w:szCs w:val="22"/>
        </w:rPr>
      </w:pPr>
      <w:r w:rsidRPr="007055D5">
        <w:rPr>
          <w:rStyle w:val="FootnoteReference"/>
          <w:szCs w:val="22"/>
        </w:rPr>
        <w:footnoteRef/>
      </w:r>
      <w:r w:rsidRPr="007055D5">
        <w:rPr>
          <w:szCs w:val="22"/>
        </w:rPr>
        <w:t xml:space="preserve"> D.23-12-036 at 110-111.</w:t>
      </w:r>
    </w:p>
  </w:footnote>
  <w:footnote w:id="166">
    <w:p w14:paraId="498489A1" w14:textId="4735DADA" w:rsidR="00A772A4" w:rsidRPr="007055D5" w:rsidRDefault="00A772A4" w:rsidP="007055D5">
      <w:pPr>
        <w:pStyle w:val="FootnoteText"/>
        <w:rPr>
          <w:szCs w:val="22"/>
        </w:rPr>
      </w:pPr>
      <w:r w:rsidRPr="007055D5">
        <w:rPr>
          <w:rStyle w:val="FootnoteReference"/>
          <w:szCs w:val="22"/>
        </w:rPr>
        <w:footnoteRef/>
      </w:r>
      <w:r w:rsidRPr="007055D5">
        <w:rPr>
          <w:szCs w:val="22"/>
        </w:rPr>
        <w:t xml:space="preserve"> D.23-12-036 at O</w:t>
      </w:r>
      <w:r w:rsidR="00B3682E" w:rsidRPr="007055D5">
        <w:rPr>
          <w:szCs w:val="22"/>
        </w:rPr>
        <w:t>P</w:t>
      </w:r>
      <w:r w:rsidRPr="007055D5">
        <w:rPr>
          <w:szCs w:val="22"/>
        </w:rPr>
        <w:t xml:space="preserve"> 60.</w:t>
      </w:r>
    </w:p>
  </w:footnote>
  <w:footnote w:id="167">
    <w:p w14:paraId="7F94B62C" w14:textId="66809A1C" w:rsidR="00B87DBF" w:rsidRPr="007055D5" w:rsidRDefault="00B87DBF"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PG&amp;E-01 at 7-1 to 7-2.</w:t>
      </w:r>
    </w:p>
  </w:footnote>
  <w:footnote w:id="168">
    <w:p w14:paraId="222AF88C" w14:textId="6D3152B7" w:rsidR="00B87DBF" w:rsidRPr="00973030" w:rsidRDefault="00B87DBF" w:rsidP="007055D5">
      <w:pPr>
        <w:pStyle w:val="FootnoteText"/>
        <w:rPr>
          <w:szCs w:val="22"/>
          <w:lang w:val="es-MX"/>
        </w:rPr>
      </w:pPr>
      <w:r w:rsidRPr="007055D5">
        <w:rPr>
          <w:rStyle w:val="FootnoteReference"/>
          <w:szCs w:val="22"/>
        </w:rPr>
        <w:footnoteRef/>
      </w:r>
      <w:r w:rsidRPr="00973030">
        <w:rPr>
          <w:szCs w:val="22"/>
          <w:lang w:val="es-MX"/>
        </w:rPr>
        <w:t xml:space="preserve"> </w:t>
      </w:r>
      <w:r w:rsidR="007E0085" w:rsidRPr="00973030">
        <w:rPr>
          <w:szCs w:val="22"/>
          <w:lang w:val="es-MX"/>
        </w:rPr>
        <w:t>Ex</w:t>
      </w:r>
      <w:r w:rsidR="00BD4FB3" w:rsidRPr="00973030">
        <w:rPr>
          <w:szCs w:val="22"/>
          <w:lang w:val="es-MX"/>
        </w:rPr>
        <w:t>.</w:t>
      </w:r>
      <w:r w:rsidR="007E0085" w:rsidRPr="00973030">
        <w:rPr>
          <w:szCs w:val="22"/>
          <w:lang w:val="es-MX"/>
        </w:rPr>
        <w:t xml:space="preserve"> </w:t>
      </w:r>
      <w:r w:rsidRPr="00973030">
        <w:rPr>
          <w:szCs w:val="22"/>
          <w:lang w:val="es-MX"/>
        </w:rPr>
        <w:t>PG&amp;E-01 at 7-1.</w:t>
      </w:r>
    </w:p>
  </w:footnote>
  <w:footnote w:id="169">
    <w:p w14:paraId="4BBC3A30" w14:textId="79FAB7EC" w:rsidR="00C424C1" w:rsidRPr="00973030" w:rsidRDefault="00C424C1">
      <w:pPr>
        <w:pStyle w:val="FootnoteText"/>
        <w:rPr>
          <w:lang w:val="es-MX"/>
        </w:rPr>
      </w:pPr>
      <w:r>
        <w:rPr>
          <w:rStyle w:val="FootnoteReference"/>
        </w:rPr>
        <w:footnoteRef/>
      </w:r>
      <w:r w:rsidRPr="00973030">
        <w:rPr>
          <w:lang w:val="es-MX"/>
        </w:rPr>
        <w:t xml:space="preserve"> Ex. PG&amp;E-04 at 7.</w:t>
      </w:r>
    </w:p>
  </w:footnote>
  <w:footnote w:id="170">
    <w:p w14:paraId="003E2307" w14:textId="47057E87" w:rsidR="002534C8" w:rsidRPr="007055D5" w:rsidRDefault="002534C8"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PG&amp;E-01 at 7-6 to 7-9</w:t>
      </w:r>
      <w:r w:rsidR="006747F5" w:rsidRPr="007055D5">
        <w:rPr>
          <w:szCs w:val="22"/>
        </w:rPr>
        <w:t>, Table 7-11</w:t>
      </w:r>
      <w:r w:rsidRPr="007055D5">
        <w:rPr>
          <w:szCs w:val="22"/>
        </w:rPr>
        <w:t>.</w:t>
      </w:r>
    </w:p>
  </w:footnote>
  <w:footnote w:id="171">
    <w:p w14:paraId="25E85063" w14:textId="19EBC128" w:rsidR="00DB2FEB" w:rsidRPr="007055D5" w:rsidRDefault="00DB2FEB"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PG&amp;E-03 at 6-20.</w:t>
      </w:r>
    </w:p>
  </w:footnote>
  <w:footnote w:id="172">
    <w:p w14:paraId="4DFFFF3E" w14:textId="66688856" w:rsidR="0000741B" w:rsidRPr="007055D5" w:rsidRDefault="0000741B" w:rsidP="007055D5">
      <w:pPr>
        <w:pStyle w:val="FootnoteText"/>
        <w:rPr>
          <w:szCs w:val="22"/>
        </w:rPr>
      </w:pPr>
      <w:r w:rsidRPr="007055D5">
        <w:rPr>
          <w:rStyle w:val="FootnoteReference"/>
          <w:szCs w:val="22"/>
        </w:rPr>
        <w:footnoteRef/>
      </w:r>
      <w:r w:rsidRPr="007055D5">
        <w:rPr>
          <w:szCs w:val="22"/>
        </w:rPr>
        <w:t xml:space="preserve"> Cal Advocates Opening Brief at 10.</w:t>
      </w:r>
    </w:p>
  </w:footnote>
  <w:footnote w:id="173">
    <w:p w14:paraId="498C6C45" w14:textId="59EDAB62" w:rsidR="0000741B" w:rsidRPr="007055D5" w:rsidRDefault="0000741B"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PAO-1 Attachment 2. CalAdvocates_002-Q002 and Answer 002.</w:t>
      </w:r>
    </w:p>
  </w:footnote>
  <w:footnote w:id="174">
    <w:p w14:paraId="16BD047D" w14:textId="03AA9A62" w:rsidR="0000741B" w:rsidRPr="007055D5" w:rsidRDefault="0000741B"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PAO-</w:t>
      </w:r>
      <w:r w:rsidR="00716F97" w:rsidRPr="007055D5">
        <w:rPr>
          <w:szCs w:val="22"/>
        </w:rPr>
        <w:t>0</w:t>
      </w:r>
      <w:r w:rsidRPr="007055D5">
        <w:rPr>
          <w:szCs w:val="22"/>
        </w:rPr>
        <w:t>1 Attachment 2. PG&amp;E responses to DR 02 Answers 004c., 005d. and 006a.</w:t>
      </w:r>
    </w:p>
  </w:footnote>
  <w:footnote w:id="175">
    <w:p w14:paraId="3705AF70" w14:textId="0EF3F96E" w:rsidR="0000741B" w:rsidRPr="007055D5" w:rsidRDefault="0000741B"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PAO-</w:t>
      </w:r>
      <w:r w:rsidR="00716F97" w:rsidRPr="007055D5">
        <w:rPr>
          <w:szCs w:val="22"/>
        </w:rPr>
        <w:t>0</w:t>
      </w:r>
      <w:r w:rsidRPr="007055D5">
        <w:rPr>
          <w:szCs w:val="22"/>
        </w:rPr>
        <w:t>1 at 6.</w:t>
      </w:r>
    </w:p>
  </w:footnote>
  <w:footnote w:id="176">
    <w:p w14:paraId="352DDE84" w14:textId="676B9852" w:rsidR="0000741B" w:rsidRPr="007055D5" w:rsidRDefault="0000741B"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PAO-</w:t>
      </w:r>
      <w:r w:rsidR="00716F97" w:rsidRPr="007055D5">
        <w:rPr>
          <w:szCs w:val="22"/>
        </w:rPr>
        <w:t>0</w:t>
      </w:r>
      <w:r w:rsidRPr="007055D5">
        <w:rPr>
          <w:szCs w:val="22"/>
        </w:rPr>
        <w:t>1 at 6.</w:t>
      </w:r>
    </w:p>
  </w:footnote>
  <w:footnote w:id="177">
    <w:p w14:paraId="47FB8119" w14:textId="7E2C0C14" w:rsidR="0086619E" w:rsidRPr="007055D5" w:rsidRDefault="0086619E"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PG&amp;E-03 at 6-7.</w:t>
      </w:r>
    </w:p>
  </w:footnote>
  <w:footnote w:id="178">
    <w:p w14:paraId="41133D1B" w14:textId="18E87267" w:rsidR="0086619E" w:rsidRPr="007055D5" w:rsidRDefault="0086619E"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PG&amp;E-03 at 6-7.</w:t>
      </w:r>
    </w:p>
  </w:footnote>
  <w:footnote w:id="179">
    <w:p w14:paraId="4EF35A76" w14:textId="7398F545" w:rsidR="00716F97" w:rsidRPr="007055D5" w:rsidRDefault="00716F97"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TURN-01 at 39.</w:t>
      </w:r>
    </w:p>
  </w:footnote>
  <w:footnote w:id="180">
    <w:p w14:paraId="09AF7E1B" w14:textId="4DD28644" w:rsidR="00716F97" w:rsidRPr="007055D5" w:rsidRDefault="00716F97"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TURN-01 at 40.</w:t>
      </w:r>
    </w:p>
  </w:footnote>
  <w:footnote w:id="181">
    <w:p w14:paraId="74DA06DB" w14:textId="44E41ACA" w:rsidR="00716F97" w:rsidRPr="007055D5" w:rsidRDefault="00716F97"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TURN-01 at 49.</w:t>
      </w:r>
    </w:p>
  </w:footnote>
  <w:footnote w:id="182">
    <w:p w14:paraId="657500AF" w14:textId="159BB430" w:rsidR="005751F8" w:rsidRPr="007055D5" w:rsidRDefault="005751F8" w:rsidP="007055D5">
      <w:pPr>
        <w:pStyle w:val="FootnoteText"/>
        <w:rPr>
          <w:szCs w:val="22"/>
        </w:rPr>
      </w:pPr>
      <w:r w:rsidRPr="007055D5">
        <w:rPr>
          <w:rStyle w:val="FootnoteReference"/>
          <w:szCs w:val="22"/>
        </w:rPr>
        <w:footnoteRef/>
      </w:r>
      <w:r w:rsidRPr="007055D5">
        <w:rPr>
          <w:szCs w:val="22"/>
        </w:rPr>
        <w:t xml:space="preserve"> PG&amp;E Opening Brief at 50.</w:t>
      </w:r>
    </w:p>
  </w:footnote>
  <w:footnote w:id="183">
    <w:p w14:paraId="371E370A" w14:textId="780E642B" w:rsidR="00716F97" w:rsidRPr="007055D5" w:rsidRDefault="00716F97"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TURN-01 at 50.</w:t>
      </w:r>
    </w:p>
  </w:footnote>
  <w:footnote w:id="184">
    <w:p w14:paraId="4135D0EB" w14:textId="0F23E45A" w:rsidR="00716F97" w:rsidRPr="007055D5" w:rsidRDefault="00716F97" w:rsidP="007055D5">
      <w:pPr>
        <w:pStyle w:val="FootnoteText"/>
        <w:rPr>
          <w:szCs w:val="22"/>
        </w:rPr>
      </w:pPr>
      <w:r w:rsidRPr="007055D5">
        <w:rPr>
          <w:rStyle w:val="FootnoteReference"/>
          <w:szCs w:val="22"/>
        </w:rPr>
        <w:footnoteRef/>
      </w:r>
      <w:r w:rsidRPr="007055D5">
        <w:rPr>
          <w:szCs w:val="22"/>
        </w:rPr>
        <w:t xml:space="preserve"> D.25-06-002 at 17.</w:t>
      </w:r>
    </w:p>
  </w:footnote>
  <w:footnote w:id="185">
    <w:p w14:paraId="4A708905" w14:textId="4D10BDDA" w:rsidR="00716F97" w:rsidRPr="007055D5" w:rsidRDefault="00716F97"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TURN-01 at 50.</w:t>
      </w:r>
    </w:p>
  </w:footnote>
  <w:footnote w:id="186">
    <w:p w14:paraId="7B8A6311" w14:textId="6D669C32" w:rsidR="00716F97" w:rsidRPr="007055D5" w:rsidRDefault="00716F97"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TURN-01 at 52.</w:t>
      </w:r>
    </w:p>
  </w:footnote>
  <w:footnote w:id="187">
    <w:p w14:paraId="2CAD804B" w14:textId="2089DFFA" w:rsidR="006E66EE" w:rsidRPr="007055D5" w:rsidRDefault="006E66EE"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PG&amp;E-03 at 6-18.</w:t>
      </w:r>
    </w:p>
  </w:footnote>
  <w:footnote w:id="188">
    <w:p w14:paraId="358E78F9" w14:textId="41991EED" w:rsidR="002A10BC" w:rsidRDefault="002A10BC">
      <w:pPr>
        <w:pStyle w:val="FootnoteText"/>
      </w:pPr>
      <w:r>
        <w:rPr>
          <w:rStyle w:val="FootnoteReference"/>
        </w:rPr>
        <w:footnoteRef/>
      </w:r>
      <w:r>
        <w:t xml:space="preserve"> TURN Reply Brief at 9.</w:t>
      </w:r>
    </w:p>
  </w:footnote>
  <w:footnote w:id="189">
    <w:p w14:paraId="1F95DDF8" w14:textId="064AC23B" w:rsidR="002A10BC" w:rsidRDefault="002A10BC">
      <w:pPr>
        <w:pStyle w:val="FootnoteText"/>
      </w:pPr>
      <w:r>
        <w:rPr>
          <w:rStyle w:val="FootnoteReference"/>
        </w:rPr>
        <w:footnoteRef/>
      </w:r>
      <w:r>
        <w:t xml:space="preserve"> CUE Opening Brief at 5.</w:t>
      </w:r>
    </w:p>
  </w:footnote>
  <w:footnote w:id="190">
    <w:p w14:paraId="490EFEAE" w14:textId="555B19AB" w:rsidR="002A10BC" w:rsidRPr="008C772F" w:rsidRDefault="002A10BC">
      <w:pPr>
        <w:pStyle w:val="FootnoteText"/>
      </w:pPr>
      <w:r>
        <w:rPr>
          <w:rStyle w:val="FootnoteReference"/>
        </w:rPr>
        <w:footnoteRef/>
      </w:r>
      <w:r w:rsidRPr="008C772F">
        <w:t xml:space="preserve"> CUE O</w:t>
      </w:r>
      <w:r w:rsidRPr="0062787E">
        <w:t>pening Brief at 5.</w:t>
      </w:r>
    </w:p>
  </w:footnote>
  <w:footnote w:id="191">
    <w:p w14:paraId="74F94282" w14:textId="35C1C65C" w:rsidR="00EB3A5A" w:rsidRPr="008C772F" w:rsidRDefault="00EB3A5A" w:rsidP="007055D5">
      <w:pPr>
        <w:pStyle w:val="FootnoteText"/>
        <w:rPr>
          <w:szCs w:val="22"/>
        </w:rPr>
      </w:pPr>
      <w:r w:rsidRPr="007055D5">
        <w:rPr>
          <w:rStyle w:val="FootnoteReference"/>
          <w:szCs w:val="22"/>
        </w:rPr>
        <w:footnoteRef/>
      </w:r>
      <w:r w:rsidRPr="008C772F">
        <w:rPr>
          <w:szCs w:val="22"/>
        </w:rPr>
        <w:t xml:space="preserve"> </w:t>
      </w:r>
      <w:r w:rsidR="007E0085" w:rsidRPr="008C772F">
        <w:rPr>
          <w:szCs w:val="22"/>
        </w:rPr>
        <w:t>Ex</w:t>
      </w:r>
      <w:r w:rsidR="00BD4FB3" w:rsidRPr="008C772F">
        <w:rPr>
          <w:szCs w:val="22"/>
        </w:rPr>
        <w:t>.</w:t>
      </w:r>
      <w:r w:rsidR="007E0085" w:rsidRPr="008C772F">
        <w:rPr>
          <w:szCs w:val="22"/>
        </w:rPr>
        <w:t xml:space="preserve"> </w:t>
      </w:r>
      <w:r w:rsidRPr="008C772F">
        <w:rPr>
          <w:szCs w:val="22"/>
        </w:rPr>
        <w:t>A4NR-01 at 19.</w:t>
      </w:r>
    </w:p>
  </w:footnote>
  <w:footnote w:id="192">
    <w:p w14:paraId="2F113BDC" w14:textId="0DEB1034" w:rsidR="00EB3A5A" w:rsidRPr="007055D5" w:rsidRDefault="00EB3A5A"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A4NR-01 at 21.</w:t>
      </w:r>
    </w:p>
  </w:footnote>
  <w:footnote w:id="193">
    <w:p w14:paraId="0A8F7477" w14:textId="212D742A" w:rsidR="00EB3A5A" w:rsidRPr="007055D5" w:rsidRDefault="00EB3A5A" w:rsidP="007055D5">
      <w:pPr>
        <w:pStyle w:val="FootnoteText"/>
        <w:rPr>
          <w:szCs w:val="22"/>
        </w:rPr>
      </w:pPr>
      <w:r w:rsidRPr="007055D5">
        <w:rPr>
          <w:rStyle w:val="FootnoteReference"/>
          <w:szCs w:val="22"/>
        </w:rPr>
        <w:footnoteRef/>
      </w:r>
      <w:r w:rsidRPr="007055D5">
        <w:rPr>
          <w:szCs w:val="22"/>
        </w:rPr>
        <w:t xml:space="preserve"> EPUC Opening Brief at 26.</w:t>
      </w:r>
    </w:p>
  </w:footnote>
  <w:footnote w:id="194">
    <w:p w14:paraId="2BC439C6" w14:textId="39939F8A" w:rsidR="00A772A4" w:rsidRPr="007055D5" w:rsidRDefault="00A772A4" w:rsidP="007055D5">
      <w:pPr>
        <w:pStyle w:val="FootnoteText"/>
        <w:rPr>
          <w:szCs w:val="22"/>
        </w:rPr>
      </w:pPr>
      <w:r w:rsidRPr="007055D5">
        <w:rPr>
          <w:rStyle w:val="FootnoteReference"/>
          <w:szCs w:val="22"/>
        </w:rPr>
        <w:footnoteRef/>
      </w:r>
      <w:r w:rsidRPr="007055D5">
        <w:rPr>
          <w:szCs w:val="22"/>
        </w:rPr>
        <w:t xml:space="preserve"> EPUC Opening Brief at 24-25.</w:t>
      </w:r>
    </w:p>
  </w:footnote>
  <w:footnote w:id="195">
    <w:p w14:paraId="5D8F9CA2" w14:textId="0E036D56" w:rsidR="0086619E" w:rsidRPr="007055D5" w:rsidRDefault="0086619E"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PG&amp;E-03 at 6-5.</w:t>
      </w:r>
    </w:p>
  </w:footnote>
  <w:footnote w:id="196">
    <w:p w14:paraId="38E4B3F3" w14:textId="768CED3F" w:rsidR="0086619E" w:rsidRPr="007055D5" w:rsidRDefault="0086619E" w:rsidP="007055D5">
      <w:pPr>
        <w:pStyle w:val="FootnoteText"/>
        <w:rPr>
          <w:szCs w:val="22"/>
        </w:rPr>
      </w:pPr>
      <w:r w:rsidRPr="007055D5">
        <w:rPr>
          <w:rStyle w:val="FootnoteReference"/>
          <w:szCs w:val="22"/>
        </w:rPr>
        <w:footnoteRef/>
      </w:r>
      <w:r w:rsidRPr="007055D5">
        <w:rPr>
          <w:szCs w:val="22"/>
        </w:rPr>
        <w:t xml:space="preserve"> CARE Opening Brief at 11-12.</w:t>
      </w:r>
    </w:p>
  </w:footnote>
  <w:footnote w:id="197">
    <w:p w14:paraId="047D71A4" w14:textId="108B1F3C" w:rsidR="0086619E" w:rsidRPr="007055D5" w:rsidRDefault="0086619E" w:rsidP="007055D5">
      <w:pPr>
        <w:pStyle w:val="FootnoteText"/>
        <w:rPr>
          <w:szCs w:val="22"/>
        </w:rPr>
      </w:pPr>
      <w:r w:rsidRPr="007055D5">
        <w:rPr>
          <w:rStyle w:val="FootnoteReference"/>
          <w:szCs w:val="22"/>
        </w:rPr>
        <w:footnoteRef/>
      </w:r>
      <w:r w:rsidRPr="007055D5">
        <w:rPr>
          <w:szCs w:val="22"/>
        </w:rPr>
        <w:t xml:space="preserve"> CARE Opening Brief at 11.</w:t>
      </w:r>
    </w:p>
  </w:footnote>
  <w:footnote w:id="198">
    <w:p w14:paraId="20B13437" w14:textId="735AACD5" w:rsidR="0086619E" w:rsidRPr="007055D5" w:rsidRDefault="0086619E" w:rsidP="007055D5">
      <w:pPr>
        <w:pStyle w:val="FootnoteText"/>
        <w:rPr>
          <w:szCs w:val="22"/>
        </w:rPr>
      </w:pPr>
      <w:r w:rsidRPr="007055D5">
        <w:rPr>
          <w:rStyle w:val="FootnoteReference"/>
          <w:szCs w:val="22"/>
        </w:rPr>
        <w:footnoteRef/>
      </w:r>
      <w:r w:rsidRPr="007055D5">
        <w:rPr>
          <w:szCs w:val="22"/>
        </w:rPr>
        <w:t xml:space="preserve"> CARE Opening Brief at 17.</w:t>
      </w:r>
    </w:p>
  </w:footnote>
  <w:footnote w:id="199">
    <w:p w14:paraId="1204C618" w14:textId="75C16C59" w:rsidR="0086619E" w:rsidRPr="007055D5" w:rsidRDefault="0086619E"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PG&amp;E-03 at 6-5.</w:t>
      </w:r>
    </w:p>
  </w:footnote>
  <w:footnote w:id="200">
    <w:p w14:paraId="412FEBC5" w14:textId="4A3D931C" w:rsidR="00D920F3" w:rsidRPr="007055D5" w:rsidRDefault="00D920F3"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CARE-01 at 17-20.</w:t>
      </w:r>
    </w:p>
  </w:footnote>
  <w:footnote w:id="201">
    <w:p w14:paraId="35B4A3EE" w14:textId="675F85ED" w:rsidR="00D920F3" w:rsidRPr="007055D5" w:rsidRDefault="00D920F3"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PG&amp;E-03 at 6-9 to 6-10.</w:t>
      </w:r>
    </w:p>
  </w:footnote>
  <w:footnote w:id="202">
    <w:p w14:paraId="32592C7D" w14:textId="2CAD233B" w:rsidR="00DB2FEB" w:rsidRPr="007055D5" w:rsidRDefault="00DB2FEB"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BD4FB3" w:rsidRPr="007055D5">
        <w:rPr>
          <w:szCs w:val="22"/>
          <w:lang w:val="es-MX"/>
        </w:rPr>
        <w:t>.</w:t>
      </w:r>
      <w:r w:rsidR="007E0085" w:rsidRPr="007055D5">
        <w:rPr>
          <w:szCs w:val="22"/>
          <w:lang w:val="es-MX"/>
        </w:rPr>
        <w:t xml:space="preserve"> </w:t>
      </w:r>
      <w:r w:rsidRPr="007055D5">
        <w:rPr>
          <w:szCs w:val="22"/>
          <w:lang w:val="es-MX"/>
        </w:rPr>
        <w:t>PG&amp;E-03 at 6-10.</w:t>
      </w:r>
    </w:p>
  </w:footnote>
  <w:footnote w:id="203">
    <w:p w14:paraId="352F4EB0" w14:textId="71C18B58" w:rsidR="00DB2FEB" w:rsidRPr="007055D5" w:rsidRDefault="00DB2FEB"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BD4FB3" w:rsidRPr="007055D5">
        <w:rPr>
          <w:szCs w:val="22"/>
          <w:lang w:val="es-MX"/>
        </w:rPr>
        <w:t>.</w:t>
      </w:r>
      <w:r w:rsidR="007E0085" w:rsidRPr="007055D5">
        <w:rPr>
          <w:szCs w:val="22"/>
          <w:lang w:val="es-MX"/>
        </w:rPr>
        <w:t xml:space="preserve"> </w:t>
      </w:r>
      <w:r w:rsidRPr="007055D5">
        <w:rPr>
          <w:szCs w:val="22"/>
          <w:lang w:val="es-MX"/>
        </w:rPr>
        <w:t>PG&amp;E-03 at 6-11.</w:t>
      </w:r>
    </w:p>
  </w:footnote>
  <w:footnote w:id="204">
    <w:p w14:paraId="627AA15D" w14:textId="6191ACDD" w:rsidR="00DB2FEB" w:rsidRPr="007055D5" w:rsidRDefault="00DB2FEB"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BD4FB3" w:rsidRPr="007055D5">
        <w:rPr>
          <w:szCs w:val="22"/>
          <w:lang w:val="es-MX"/>
        </w:rPr>
        <w:t>.</w:t>
      </w:r>
      <w:r w:rsidR="007E0085" w:rsidRPr="007055D5">
        <w:rPr>
          <w:szCs w:val="22"/>
          <w:lang w:val="es-MX"/>
        </w:rPr>
        <w:t xml:space="preserve"> </w:t>
      </w:r>
      <w:r w:rsidRPr="007055D5">
        <w:rPr>
          <w:szCs w:val="22"/>
          <w:lang w:val="es-MX"/>
        </w:rPr>
        <w:t>PG&amp;E-03 at 6-12.</w:t>
      </w:r>
    </w:p>
  </w:footnote>
  <w:footnote w:id="205">
    <w:p w14:paraId="54533D78" w14:textId="71105485" w:rsidR="00DB2FEB" w:rsidRPr="007055D5" w:rsidRDefault="00DB2FEB" w:rsidP="007055D5">
      <w:pPr>
        <w:pStyle w:val="FootnoteText"/>
        <w:rPr>
          <w:szCs w:val="22"/>
          <w:lang w:val="es-MX"/>
        </w:rPr>
      </w:pPr>
      <w:r w:rsidRPr="007055D5">
        <w:rPr>
          <w:rStyle w:val="FootnoteReference"/>
          <w:szCs w:val="22"/>
        </w:rPr>
        <w:footnoteRef/>
      </w:r>
      <w:r w:rsidRPr="007055D5">
        <w:rPr>
          <w:szCs w:val="22"/>
          <w:lang w:val="es-MX"/>
        </w:rPr>
        <w:t xml:space="preserve"> </w:t>
      </w:r>
      <w:r w:rsidR="007E0085" w:rsidRPr="007055D5">
        <w:rPr>
          <w:szCs w:val="22"/>
          <w:lang w:val="es-MX"/>
        </w:rPr>
        <w:t>Ex</w:t>
      </w:r>
      <w:r w:rsidR="00BD4FB3" w:rsidRPr="007055D5">
        <w:rPr>
          <w:szCs w:val="22"/>
          <w:lang w:val="es-MX"/>
        </w:rPr>
        <w:t>.</w:t>
      </w:r>
      <w:r w:rsidR="007E0085" w:rsidRPr="007055D5">
        <w:rPr>
          <w:szCs w:val="22"/>
          <w:lang w:val="es-MX"/>
        </w:rPr>
        <w:t xml:space="preserve"> </w:t>
      </w:r>
      <w:r w:rsidRPr="007055D5">
        <w:rPr>
          <w:szCs w:val="22"/>
          <w:lang w:val="es-MX"/>
        </w:rPr>
        <w:t>PG&amp;E-03 at 6-12.</w:t>
      </w:r>
    </w:p>
  </w:footnote>
  <w:footnote w:id="206">
    <w:p w14:paraId="46B27F0F" w14:textId="3A2D6D54" w:rsidR="00DB2FEB" w:rsidRPr="007055D5" w:rsidRDefault="00DB2FEB"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PG&amp;E-03 at 6-13.</w:t>
      </w:r>
    </w:p>
  </w:footnote>
  <w:footnote w:id="207">
    <w:p w14:paraId="7D88E2A6" w14:textId="510F9418" w:rsidR="00D41687" w:rsidRPr="007055D5" w:rsidRDefault="00D41687" w:rsidP="007055D5">
      <w:pPr>
        <w:pStyle w:val="FootnoteText"/>
        <w:rPr>
          <w:szCs w:val="22"/>
        </w:rPr>
      </w:pPr>
      <w:r w:rsidRPr="007055D5">
        <w:rPr>
          <w:rStyle w:val="FootnoteReference"/>
          <w:szCs w:val="22"/>
        </w:rPr>
        <w:footnoteRef/>
      </w:r>
      <w:r w:rsidRPr="007055D5">
        <w:rPr>
          <w:szCs w:val="22"/>
        </w:rPr>
        <w:t xml:space="preserve"> CUE Opening Brief at 6.</w:t>
      </w:r>
    </w:p>
  </w:footnote>
  <w:footnote w:id="208">
    <w:p w14:paraId="7504B454" w14:textId="6641CD61" w:rsidR="00D41687" w:rsidRPr="007055D5" w:rsidRDefault="00D41687" w:rsidP="007055D5">
      <w:pPr>
        <w:pStyle w:val="FootnoteText"/>
        <w:rPr>
          <w:szCs w:val="22"/>
        </w:rPr>
      </w:pPr>
      <w:r w:rsidRPr="007055D5">
        <w:rPr>
          <w:rStyle w:val="FootnoteReference"/>
          <w:szCs w:val="22"/>
        </w:rPr>
        <w:footnoteRef/>
      </w:r>
      <w:r w:rsidRPr="007055D5">
        <w:rPr>
          <w:szCs w:val="22"/>
        </w:rPr>
        <w:t xml:space="preserve"> SBUA Opening Brief at 4-5.</w:t>
      </w:r>
    </w:p>
  </w:footnote>
  <w:footnote w:id="209">
    <w:p w14:paraId="5CAC6D2F" w14:textId="26A9EC0C" w:rsidR="00E54CEE" w:rsidRPr="007055D5" w:rsidRDefault="00E54CEE" w:rsidP="007055D5">
      <w:pPr>
        <w:pStyle w:val="FootnoteText"/>
        <w:rPr>
          <w:szCs w:val="22"/>
        </w:rPr>
      </w:pPr>
      <w:r w:rsidRPr="007055D5">
        <w:rPr>
          <w:rStyle w:val="FootnoteReference"/>
          <w:szCs w:val="22"/>
        </w:rPr>
        <w:footnoteRef/>
      </w:r>
      <w:r w:rsidRPr="007055D5">
        <w:rPr>
          <w:szCs w:val="22"/>
        </w:rPr>
        <w:t xml:space="preserve"> D.23-12-036 at 114.</w:t>
      </w:r>
    </w:p>
  </w:footnote>
  <w:footnote w:id="210">
    <w:p w14:paraId="5AB88C6B" w14:textId="691F19E5" w:rsidR="00E54CEE" w:rsidRPr="007055D5" w:rsidRDefault="00E54CEE" w:rsidP="007055D5">
      <w:pPr>
        <w:pStyle w:val="FootnoteText"/>
        <w:rPr>
          <w:szCs w:val="22"/>
        </w:rPr>
      </w:pPr>
      <w:r w:rsidRPr="007055D5">
        <w:rPr>
          <w:rStyle w:val="FootnoteReference"/>
          <w:szCs w:val="22"/>
        </w:rPr>
        <w:footnoteRef/>
      </w:r>
      <w:r w:rsidRPr="007055D5">
        <w:rPr>
          <w:szCs w:val="22"/>
        </w:rPr>
        <w:t xml:space="preserve"> D.23-12-036 at 111.</w:t>
      </w:r>
    </w:p>
  </w:footnote>
  <w:footnote w:id="211">
    <w:p w14:paraId="107F7CCE" w14:textId="66718907" w:rsidR="00E54CEE" w:rsidRPr="007055D5" w:rsidRDefault="00E54CEE" w:rsidP="007055D5">
      <w:pPr>
        <w:pStyle w:val="FootnoteText"/>
        <w:rPr>
          <w:szCs w:val="22"/>
        </w:rPr>
      </w:pPr>
      <w:r w:rsidRPr="007055D5">
        <w:rPr>
          <w:rStyle w:val="FootnoteReference"/>
          <w:szCs w:val="22"/>
        </w:rPr>
        <w:footnoteRef/>
      </w:r>
      <w:r w:rsidRPr="007055D5">
        <w:rPr>
          <w:szCs w:val="22"/>
        </w:rPr>
        <w:t xml:space="preserve"> D.25-06-002 at 17.</w:t>
      </w:r>
    </w:p>
  </w:footnote>
  <w:footnote w:id="212">
    <w:p w14:paraId="1ECC1C34" w14:textId="77777777" w:rsidR="0068038A" w:rsidRPr="007055D5" w:rsidRDefault="0068038A" w:rsidP="007055D5">
      <w:pPr>
        <w:pStyle w:val="FootnoteText"/>
        <w:rPr>
          <w:szCs w:val="22"/>
        </w:rPr>
      </w:pPr>
      <w:r w:rsidRPr="007055D5">
        <w:rPr>
          <w:rStyle w:val="FootnoteReference"/>
          <w:szCs w:val="22"/>
        </w:rPr>
        <w:footnoteRef/>
      </w:r>
      <w:r w:rsidRPr="007055D5">
        <w:rPr>
          <w:szCs w:val="22"/>
        </w:rPr>
        <w:t xml:space="preserve"> PG&amp;E Opening Brief at 50.</w:t>
      </w:r>
    </w:p>
  </w:footnote>
  <w:footnote w:id="213">
    <w:p w14:paraId="71B76E12" w14:textId="4B4A9760" w:rsidR="009B3FF3" w:rsidRPr="007055D5" w:rsidRDefault="009B3FF3" w:rsidP="007055D5">
      <w:pPr>
        <w:pStyle w:val="FootnoteText"/>
        <w:rPr>
          <w:szCs w:val="22"/>
        </w:rPr>
      </w:pPr>
      <w:r w:rsidRPr="007055D5">
        <w:rPr>
          <w:rStyle w:val="FootnoteReference"/>
          <w:szCs w:val="22"/>
        </w:rPr>
        <w:footnoteRef/>
      </w:r>
      <w:r w:rsidRPr="007055D5">
        <w:rPr>
          <w:szCs w:val="22"/>
        </w:rPr>
        <w:t xml:space="preserve"> PG&amp;E Opening Brief at 55-58.</w:t>
      </w:r>
    </w:p>
  </w:footnote>
  <w:footnote w:id="214">
    <w:p w14:paraId="44233A2B" w14:textId="10F1683C" w:rsidR="009B3FF3" w:rsidRPr="007055D5" w:rsidRDefault="009B3FF3" w:rsidP="007055D5">
      <w:pPr>
        <w:pStyle w:val="FootnoteText"/>
        <w:rPr>
          <w:szCs w:val="22"/>
        </w:rPr>
      </w:pPr>
      <w:r w:rsidRPr="007055D5">
        <w:rPr>
          <w:rStyle w:val="FootnoteReference"/>
          <w:szCs w:val="22"/>
        </w:rPr>
        <w:footnoteRef/>
      </w:r>
      <w:r w:rsidRPr="007055D5">
        <w:rPr>
          <w:szCs w:val="22"/>
        </w:rPr>
        <w:t xml:space="preserve"> A4NR Opening Brief at 13.</w:t>
      </w:r>
    </w:p>
  </w:footnote>
  <w:footnote w:id="215">
    <w:p w14:paraId="2A253FFE" w14:textId="1CF1DAAC" w:rsidR="009B3FF3" w:rsidRPr="007055D5" w:rsidRDefault="009B3FF3" w:rsidP="007055D5">
      <w:pPr>
        <w:pStyle w:val="FootnoteText"/>
        <w:rPr>
          <w:szCs w:val="22"/>
        </w:rPr>
      </w:pPr>
      <w:r w:rsidRPr="007055D5">
        <w:rPr>
          <w:rStyle w:val="FootnoteReference"/>
          <w:szCs w:val="22"/>
        </w:rPr>
        <w:footnoteRef/>
      </w:r>
      <w:r w:rsidRPr="007055D5">
        <w:rPr>
          <w:szCs w:val="22"/>
        </w:rPr>
        <w:t xml:space="preserve"> EPUC Opening Brief at 26.</w:t>
      </w:r>
    </w:p>
  </w:footnote>
  <w:footnote w:id="216">
    <w:p w14:paraId="07F5765B" w14:textId="61F4F4C8" w:rsidR="00DA72F9" w:rsidRPr="007055D5" w:rsidRDefault="00DA72F9" w:rsidP="007055D5">
      <w:pPr>
        <w:pStyle w:val="FootnoteText"/>
        <w:rPr>
          <w:szCs w:val="22"/>
        </w:rPr>
      </w:pPr>
      <w:r w:rsidRPr="007055D5">
        <w:rPr>
          <w:rStyle w:val="FootnoteReference"/>
          <w:szCs w:val="22"/>
        </w:rPr>
        <w:footnoteRef/>
      </w:r>
      <w:r w:rsidRPr="007055D5">
        <w:rPr>
          <w:szCs w:val="22"/>
        </w:rPr>
        <w:t xml:space="preserve"> CARE Opening Brief at 20-21.</w:t>
      </w:r>
    </w:p>
  </w:footnote>
  <w:footnote w:id="217">
    <w:p w14:paraId="20475FFC" w14:textId="627BA8BC" w:rsidR="009B3FF3" w:rsidRPr="007055D5" w:rsidRDefault="009B3FF3" w:rsidP="007055D5">
      <w:pPr>
        <w:pStyle w:val="FootnoteText"/>
        <w:rPr>
          <w:szCs w:val="22"/>
        </w:rPr>
      </w:pPr>
      <w:r w:rsidRPr="007055D5">
        <w:rPr>
          <w:rStyle w:val="FootnoteReference"/>
          <w:szCs w:val="22"/>
        </w:rPr>
        <w:footnoteRef/>
      </w:r>
      <w:r w:rsidRPr="007055D5">
        <w:rPr>
          <w:szCs w:val="22"/>
        </w:rPr>
        <w:t xml:space="preserve"> EPUC Opening Brief at 27.</w:t>
      </w:r>
    </w:p>
  </w:footnote>
  <w:footnote w:id="218">
    <w:p w14:paraId="70C474E0" w14:textId="28913673" w:rsidR="009B3FF3" w:rsidRPr="007055D5" w:rsidRDefault="009B3FF3" w:rsidP="007055D5">
      <w:pPr>
        <w:pStyle w:val="FootnoteText"/>
        <w:rPr>
          <w:szCs w:val="22"/>
        </w:rPr>
      </w:pPr>
      <w:r w:rsidRPr="007055D5">
        <w:rPr>
          <w:rStyle w:val="FootnoteReference"/>
          <w:szCs w:val="22"/>
        </w:rPr>
        <w:footnoteRef/>
      </w:r>
      <w:r w:rsidRPr="007055D5">
        <w:rPr>
          <w:szCs w:val="22"/>
        </w:rPr>
        <w:t xml:space="preserve"> TURN Opening Brief at 20-21.</w:t>
      </w:r>
    </w:p>
  </w:footnote>
  <w:footnote w:id="219">
    <w:p w14:paraId="3870BE0F" w14:textId="3627654D" w:rsidR="009B3FF3" w:rsidRPr="007055D5" w:rsidRDefault="009B3FF3" w:rsidP="007055D5">
      <w:pPr>
        <w:pStyle w:val="FootnoteText"/>
        <w:rPr>
          <w:szCs w:val="22"/>
        </w:rPr>
      </w:pPr>
      <w:r w:rsidRPr="007055D5">
        <w:rPr>
          <w:rStyle w:val="FootnoteReference"/>
          <w:szCs w:val="22"/>
        </w:rPr>
        <w:footnoteRef/>
      </w:r>
      <w:r w:rsidRPr="007055D5">
        <w:rPr>
          <w:szCs w:val="22"/>
        </w:rPr>
        <w:t xml:space="preserve"> </w:t>
      </w:r>
      <w:r w:rsidR="007E0085" w:rsidRPr="007055D5">
        <w:rPr>
          <w:szCs w:val="22"/>
        </w:rPr>
        <w:t>Ex</w:t>
      </w:r>
      <w:r w:rsidR="00BD4FB3" w:rsidRPr="007055D5">
        <w:rPr>
          <w:szCs w:val="22"/>
        </w:rPr>
        <w:t>.</w:t>
      </w:r>
      <w:r w:rsidR="007E0085" w:rsidRPr="007055D5">
        <w:rPr>
          <w:szCs w:val="22"/>
        </w:rPr>
        <w:t xml:space="preserve"> </w:t>
      </w:r>
      <w:r w:rsidRPr="007055D5">
        <w:rPr>
          <w:szCs w:val="22"/>
        </w:rPr>
        <w:t>PG&amp;E-03 at 6-19.</w:t>
      </w:r>
    </w:p>
  </w:footnote>
  <w:footnote w:id="220">
    <w:p w14:paraId="4166F00A" w14:textId="05746FF1" w:rsidR="00DA72F9" w:rsidRPr="007055D5" w:rsidRDefault="00DA72F9" w:rsidP="007055D5">
      <w:pPr>
        <w:pStyle w:val="FootnoteText"/>
        <w:rPr>
          <w:szCs w:val="22"/>
        </w:rPr>
      </w:pPr>
      <w:r w:rsidRPr="007055D5">
        <w:rPr>
          <w:rStyle w:val="FootnoteReference"/>
          <w:szCs w:val="22"/>
        </w:rPr>
        <w:footnoteRef/>
      </w:r>
      <w:r w:rsidRPr="007055D5">
        <w:rPr>
          <w:szCs w:val="22"/>
        </w:rPr>
        <w:t xml:space="preserve"> D.25-06-002 </w:t>
      </w:r>
      <w:r w:rsidR="00D81706">
        <w:rPr>
          <w:szCs w:val="22"/>
        </w:rPr>
        <w:t xml:space="preserve">at </w:t>
      </w:r>
      <w:r w:rsidR="008F751F">
        <w:rPr>
          <w:szCs w:val="22"/>
        </w:rPr>
        <w:t>42 (</w:t>
      </w:r>
      <w:r w:rsidRPr="007055D5">
        <w:rPr>
          <w:szCs w:val="22"/>
        </w:rPr>
        <w:t>O</w:t>
      </w:r>
      <w:r w:rsidR="00BD4FB3" w:rsidRPr="007055D5">
        <w:rPr>
          <w:szCs w:val="22"/>
        </w:rPr>
        <w:t>P</w:t>
      </w:r>
      <w:r w:rsidRPr="007055D5">
        <w:rPr>
          <w:szCs w:val="22"/>
        </w:rPr>
        <w:t xml:space="preserve"> 3</w:t>
      </w:r>
      <w:r w:rsidR="008F751F">
        <w:rPr>
          <w:szCs w:val="22"/>
        </w:rPr>
        <w:t>)</w:t>
      </w:r>
      <w:r w:rsidRPr="007055D5">
        <w:rPr>
          <w:szCs w:val="22"/>
        </w:rPr>
        <w:t>.</w:t>
      </w:r>
    </w:p>
  </w:footnote>
  <w:footnote w:id="221">
    <w:p w14:paraId="030647AF" w14:textId="4285F334" w:rsidR="00DA72F9" w:rsidRPr="007055D5" w:rsidRDefault="00DA72F9" w:rsidP="007055D5">
      <w:pPr>
        <w:pStyle w:val="FootnoteText"/>
        <w:rPr>
          <w:szCs w:val="22"/>
        </w:rPr>
      </w:pPr>
      <w:r w:rsidRPr="007055D5">
        <w:rPr>
          <w:rStyle w:val="FootnoteReference"/>
          <w:szCs w:val="22"/>
        </w:rPr>
        <w:footnoteRef/>
      </w:r>
      <w:r w:rsidRPr="007055D5">
        <w:rPr>
          <w:szCs w:val="22"/>
        </w:rPr>
        <w:t xml:space="preserve"> D.25-06-002 at 17.</w:t>
      </w:r>
    </w:p>
  </w:footnote>
  <w:footnote w:id="222">
    <w:p w14:paraId="51ABA961" w14:textId="77777777" w:rsidR="004D0A39" w:rsidRDefault="004D0A39" w:rsidP="004D0A39">
      <w:pPr>
        <w:pStyle w:val="FootnoteText"/>
      </w:pPr>
      <w:r>
        <w:rPr>
          <w:rStyle w:val="FootnoteReference"/>
        </w:rPr>
        <w:footnoteRef/>
      </w:r>
      <w:r>
        <w:t xml:space="preserve"> TURN Comments, November 20, 2025, at 11-14; WEM Comments at 1-8; SBUA Comments at 2-3; A4NR Comments at 2-3.</w:t>
      </w:r>
    </w:p>
  </w:footnote>
  <w:footnote w:id="223">
    <w:p w14:paraId="51A1B59E" w14:textId="12214586" w:rsidR="00BD3E53" w:rsidRDefault="00BD3E53">
      <w:pPr>
        <w:pStyle w:val="FootnoteText"/>
      </w:pPr>
      <w:r>
        <w:rPr>
          <w:rStyle w:val="FootnoteReference"/>
        </w:rPr>
        <w:footnoteRef/>
      </w:r>
      <w:r>
        <w:t xml:space="preserve"> PG&amp;E Comments at 6.</w:t>
      </w:r>
    </w:p>
  </w:footnote>
  <w:footnote w:id="224">
    <w:p w14:paraId="3200063F" w14:textId="68CF2C97" w:rsidR="00BD3E53" w:rsidRDefault="00BD3E53">
      <w:pPr>
        <w:pStyle w:val="FootnoteText"/>
      </w:pPr>
      <w:r>
        <w:rPr>
          <w:rStyle w:val="FootnoteReference"/>
        </w:rPr>
        <w:footnoteRef/>
      </w:r>
      <w:r>
        <w:t xml:space="preserve"> PG&amp;E Comments at 7.</w:t>
      </w:r>
    </w:p>
  </w:footnote>
  <w:footnote w:id="225">
    <w:p w14:paraId="693F79E5" w14:textId="7185D0E0" w:rsidR="00BD3E53" w:rsidRDefault="00BD3E53">
      <w:pPr>
        <w:pStyle w:val="FootnoteText"/>
      </w:pPr>
      <w:r>
        <w:rPr>
          <w:rStyle w:val="FootnoteReference"/>
        </w:rPr>
        <w:footnoteRef/>
      </w:r>
      <w:r>
        <w:t xml:space="preserve"> PG&amp;E Comments at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387F" w14:textId="6D86316B" w:rsidR="006D2ECF" w:rsidRPr="006D2ECF" w:rsidRDefault="006D2ECF" w:rsidP="006D2ECF">
    <w:pPr>
      <w:pStyle w:val="Header"/>
      <w:tabs>
        <w:tab w:val="clear" w:pos="4680"/>
      </w:tabs>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A80F" w14:textId="77777777" w:rsidR="006D2ECF" w:rsidRPr="00F92385" w:rsidRDefault="006D2ECF" w:rsidP="00F92385">
    <w:pPr>
      <w:pStyle w:val="Header"/>
      <w:ind w:firstLine="0"/>
      <w:rPr>
        <w:b/>
        <w:i/>
        <w:color w:val="FF0000"/>
      </w:rPr>
    </w:pPr>
    <w:r w:rsidRPr="00F92385">
      <w:rPr>
        <w:i/>
        <w:color w:val="FF0000"/>
      </w:rPr>
      <w:t xml:space="preserve">Internal Review Draft; Subject to </w:t>
    </w:r>
    <w:r w:rsidRPr="00F92385">
      <w:rPr>
        <w:b/>
        <w:i/>
        <w:color w:val="FF0000"/>
      </w:rPr>
      <w:t>ALJ Division Review</w:t>
    </w:r>
  </w:p>
  <w:p w14:paraId="79C13CDC" w14:textId="77777777" w:rsidR="006D2ECF" w:rsidRPr="00F92385" w:rsidRDefault="006D2ECF" w:rsidP="00F92385">
    <w:pPr>
      <w:pStyle w:val="Header"/>
      <w:ind w:firstLine="0"/>
      <w:rPr>
        <w:i/>
        <w:color w:val="FF0000"/>
      </w:rPr>
    </w:pPr>
    <w:r>
      <w:rPr>
        <w:b/>
        <w:color w:val="FF0000"/>
      </w:rPr>
      <w:t>CONFIDENTIAL</w:t>
    </w:r>
    <w:r w:rsidRPr="00F92385">
      <w:rPr>
        <w:b/>
        <w:color w:val="FF0000"/>
      </w:rPr>
      <w:t xml:space="preserve">; </w:t>
    </w:r>
    <w:r w:rsidRPr="00F92385">
      <w:rPr>
        <w:i/>
        <w:color w:val="FF0000"/>
      </w:rPr>
      <w:t>Deliberative Process Privilege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BB54" w14:textId="01B7769A" w:rsidR="006D2ECF" w:rsidRDefault="008926B4" w:rsidP="006D2ECF">
    <w:pPr>
      <w:pStyle w:val="Header"/>
      <w:tabs>
        <w:tab w:val="clear" w:pos="4680"/>
      </w:tabs>
      <w:ind w:firstLine="0"/>
      <w:rPr>
        <w:b/>
      </w:rPr>
    </w:pPr>
    <w:r>
      <w:t>A.25-03-015  ALJ/CJA/jnf</w:t>
    </w:r>
  </w:p>
  <w:p w14:paraId="2C531889" w14:textId="49CEB7F1" w:rsidR="006D2ECF" w:rsidRPr="006D2ECF" w:rsidRDefault="006D2ECF" w:rsidP="006D2ECF">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AA45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5268C"/>
    <w:multiLevelType w:val="hybridMultilevel"/>
    <w:tmpl w:val="46EE83F2"/>
    <w:lvl w:ilvl="0" w:tplc="F2BCDC92">
      <w:start w:val="7"/>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 w15:restartNumberingAfterBreak="0">
    <w:nsid w:val="05D85AC3"/>
    <w:multiLevelType w:val="hybridMultilevel"/>
    <w:tmpl w:val="9D5E8EDA"/>
    <w:lvl w:ilvl="0" w:tplc="BCBCEACA">
      <w:start w:val="1"/>
      <w:numFmt w:val="lowerLetter"/>
      <w:pStyle w:val="2ndLevel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1647FE"/>
    <w:multiLevelType w:val="multilevel"/>
    <w:tmpl w:val="FBEAF9E4"/>
    <w:lvl w:ilvl="0">
      <w:start w:val="1"/>
      <w:numFmt w:val="decimal"/>
      <w:pStyle w:val="1stLevel1"/>
      <w:lvlText w:val="%1."/>
      <w:lvlJc w:val="left"/>
      <w:pPr>
        <w:ind w:left="1080" w:hanging="360"/>
      </w:pPr>
    </w:lvl>
    <w:lvl w:ilvl="1">
      <w:start w:val="2"/>
      <w:numFmt w:val="decimal"/>
      <w:isLgl/>
      <w:lvlText w:val="%1.%2"/>
      <w:lvlJc w:val="left"/>
      <w:pPr>
        <w:ind w:left="1490" w:hanging="770"/>
      </w:pPr>
      <w:rPr>
        <w:rFonts w:hint="default"/>
      </w:rPr>
    </w:lvl>
    <w:lvl w:ilvl="2">
      <w:start w:val="1"/>
      <w:numFmt w:val="decimal"/>
      <w:isLgl/>
      <w:lvlText w:val="%1.%2.%3"/>
      <w:lvlJc w:val="left"/>
      <w:pPr>
        <w:ind w:left="1490" w:hanging="77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29C1C12"/>
    <w:multiLevelType w:val="hybridMultilevel"/>
    <w:tmpl w:val="BA9EC8BA"/>
    <w:lvl w:ilvl="0" w:tplc="3D960642">
      <w:start w:val="1"/>
      <w:numFmt w:val="decimal"/>
      <w:pStyle w:val="1stList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C1C14"/>
    <w:multiLevelType w:val="multilevel"/>
    <w:tmpl w:val="A0B4C00A"/>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A0B4C00A"/>
    <w:numStyleLink w:val="FoFCoLOP"/>
  </w:abstractNum>
  <w:abstractNum w:abstractNumId="7"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eastAsiaTheme="minorHAnsi" w:hAnsi="Book Antiqua" w:cstheme="minorBidi"/>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8" w15:restartNumberingAfterBreak="0">
    <w:nsid w:val="59030D70"/>
    <w:multiLevelType w:val="hybridMultilevel"/>
    <w:tmpl w:val="CAE8CEB8"/>
    <w:lvl w:ilvl="0" w:tplc="09C2C888">
      <w:start w:val="1"/>
      <w:numFmt w:val="lowerLetter"/>
      <w:pStyle w:val="2ndLevelA0"/>
      <w:lvlText w:val="%1."/>
      <w:lvlJc w:val="left"/>
      <w:pPr>
        <w:ind w:left="1440" w:hanging="360"/>
      </w:pPr>
      <w:rPr>
        <w:rFonts w:ascii="Book Antiqua" w:eastAsiaTheme="minorHAnsi" w:hAnsi="Book Antiqua"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D042D7"/>
    <w:multiLevelType w:val="multilevel"/>
    <w:tmpl w:val="A0B4C00A"/>
    <w:numStyleLink w:val="FoFCoLOP"/>
  </w:abstractNum>
  <w:abstractNum w:abstractNumId="10" w15:restartNumberingAfterBreak="0">
    <w:nsid w:val="61A25780"/>
    <w:multiLevelType w:val="multilevel"/>
    <w:tmpl w:val="3C526EDE"/>
    <w:numStyleLink w:val="Headings"/>
  </w:abstractNum>
  <w:abstractNum w:abstractNumId="11" w15:restartNumberingAfterBreak="0">
    <w:nsid w:val="789A0AFE"/>
    <w:multiLevelType w:val="multilevel"/>
    <w:tmpl w:val="A0B4C00A"/>
    <w:numStyleLink w:val="FoFCoLOP"/>
  </w:abstractNum>
  <w:num w:numId="1" w16cid:durableId="140774137">
    <w:abstractNumId w:val="5"/>
  </w:num>
  <w:num w:numId="2" w16cid:durableId="1898543446">
    <w:abstractNumId w:val="9"/>
  </w:num>
  <w:num w:numId="3" w16cid:durableId="973756952">
    <w:abstractNumId w:val="7"/>
  </w:num>
  <w:num w:numId="4" w16cid:durableId="816924040">
    <w:abstractNumId w:val="0"/>
  </w:num>
  <w:num w:numId="5" w16cid:durableId="1642225997">
    <w:abstractNumId w:val="4"/>
  </w:num>
  <w:num w:numId="6" w16cid:durableId="1682969527">
    <w:abstractNumId w:val="2"/>
  </w:num>
  <w:num w:numId="7" w16cid:durableId="1611468407">
    <w:abstractNumId w:val="3"/>
  </w:num>
  <w:num w:numId="8" w16cid:durableId="2085108252">
    <w:abstractNumId w:val="10"/>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9" w16cid:durableId="570850252">
    <w:abstractNumId w:val="9"/>
  </w:num>
  <w:num w:numId="10" w16cid:durableId="2013070472">
    <w:abstractNumId w:val="10"/>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num>
  <w:num w:numId="11" w16cid:durableId="447743844">
    <w:abstractNumId w:val="6"/>
    <w:lvlOverride w:ilvl="0">
      <w:lvl w:ilvl="0">
        <w:start w:val="1"/>
        <w:numFmt w:val="decimal"/>
        <w:pStyle w:val="CoL"/>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12" w16cid:durableId="484660306">
    <w:abstractNumId w:val="11"/>
  </w:num>
  <w:num w:numId="13" w16cid:durableId="506678356">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9953444">
    <w:abstractNumId w:val="4"/>
    <w:lvlOverride w:ilvl="0">
      <w:startOverride w:val="1"/>
    </w:lvlOverride>
  </w:num>
  <w:num w:numId="15" w16cid:durableId="1817145296">
    <w:abstractNumId w:val="8"/>
  </w:num>
  <w:num w:numId="16" w16cid:durableId="124737560">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558844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2329003">
    <w:abstractNumId w:val="4"/>
  </w:num>
  <w:num w:numId="19" w16cid:durableId="644512214">
    <w:abstractNumId w:val="4"/>
  </w:num>
  <w:num w:numId="20" w16cid:durableId="995648488">
    <w:abstractNumId w:val="1"/>
  </w:num>
  <w:num w:numId="21" w16cid:durableId="440303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01704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980532">
    <w:abstractNumId w:val="6"/>
    <w:lvlOverride w:ilvl="0">
      <w:startOverride w:val="1"/>
      <w:lvl w:ilvl="0">
        <w:start w:val="1"/>
        <w:numFmt w:val="decimal"/>
        <w:pStyle w:val="CoL"/>
        <w:lvlText w:val="%1."/>
        <w:lvlJc w:val="right"/>
        <w:pPr>
          <w:ind w:left="0" w:firstLine="540"/>
        </w:pPr>
        <w:rPr>
          <w:rFonts w:hint="default"/>
        </w:rPr>
      </w:lvl>
    </w:lvlOverride>
    <w:lvlOverride w:ilvl="1">
      <w:startOverride w:val="1"/>
      <w:lvl w:ilvl="1">
        <w:start w:val="1"/>
        <w:numFmt w:val="lowerLetter"/>
        <w:lvlText w:val="(%2)"/>
        <w:lvlJc w:val="right"/>
        <w:pPr>
          <w:ind w:left="1152" w:hanging="72"/>
        </w:pPr>
        <w:rPr>
          <w:rFonts w:hint="default"/>
        </w:rPr>
      </w:lvl>
    </w:lvlOverride>
    <w:lvlOverride w:ilvl="2">
      <w:startOverride w:val="1"/>
      <w:lvl w:ilvl="2">
        <w:start w:val="1"/>
        <w:numFmt w:val="none"/>
        <w:lvlText w:val=""/>
        <w:lvlJc w:val="left"/>
        <w:pPr>
          <w:ind w:left="720" w:firstLine="0"/>
        </w:pPr>
        <w:rPr>
          <w:rFonts w:hint="default"/>
        </w:rPr>
      </w:lvl>
    </w:lvlOverride>
    <w:lvlOverride w:ilvl="3">
      <w:startOverride w:val="1"/>
      <w:lvl w:ilvl="3">
        <w:start w:val="1"/>
        <w:numFmt w:val="none"/>
        <w:lvlText w:val=""/>
        <w:lvlJc w:val="left"/>
        <w:pPr>
          <w:ind w:left="720" w:firstLine="0"/>
        </w:pPr>
        <w:rPr>
          <w:rFonts w:hint="default"/>
        </w:rPr>
      </w:lvl>
    </w:lvlOverride>
    <w:lvlOverride w:ilvl="4">
      <w:startOverride w:val="1"/>
      <w:lvl w:ilvl="4">
        <w:start w:val="1"/>
        <w:numFmt w:val="none"/>
        <w:lvlText w:val=""/>
        <w:lvlJc w:val="left"/>
        <w:pPr>
          <w:ind w:left="720" w:firstLine="0"/>
        </w:pPr>
        <w:rPr>
          <w:rFonts w:hint="default"/>
        </w:rPr>
      </w:lvl>
    </w:lvlOverride>
    <w:lvlOverride w:ilvl="5">
      <w:startOverride w:val="1"/>
      <w:lvl w:ilvl="5">
        <w:start w:val="1"/>
        <w:numFmt w:val="none"/>
        <w:lvlText w:val=""/>
        <w:lvlJc w:val="left"/>
        <w:pPr>
          <w:ind w:left="720" w:firstLine="0"/>
        </w:pPr>
        <w:rPr>
          <w:rFonts w:hint="default"/>
        </w:rPr>
      </w:lvl>
    </w:lvlOverride>
    <w:lvlOverride w:ilvl="6">
      <w:startOverride w:val="1"/>
      <w:lvl w:ilvl="6">
        <w:start w:val="1"/>
        <w:numFmt w:val="none"/>
        <w:lvlText w:val=""/>
        <w:lvlJc w:val="left"/>
        <w:pPr>
          <w:ind w:left="720" w:firstLine="0"/>
        </w:pPr>
        <w:rPr>
          <w:rFonts w:hint="default"/>
        </w:rPr>
      </w:lvl>
    </w:lvlOverride>
    <w:lvlOverride w:ilvl="7">
      <w:startOverride w:val="1"/>
      <w:lvl w:ilvl="7">
        <w:start w:val="1"/>
        <w:numFmt w:val="none"/>
        <w:lvlText w:val=""/>
        <w:lvlJc w:val="left"/>
        <w:pPr>
          <w:ind w:left="720" w:firstLine="0"/>
        </w:pPr>
        <w:rPr>
          <w:rFonts w:hint="default"/>
        </w:rPr>
      </w:lvl>
    </w:lvlOverride>
    <w:lvlOverride w:ilvl="8">
      <w:startOverride w:val="1"/>
      <w:lvl w:ilvl="8">
        <w:start w:val="1"/>
        <w:numFmt w:val="none"/>
        <w:lvlText w:val=""/>
        <w:lvlJc w:val="left"/>
        <w:pPr>
          <w:ind w:left="720" w:firstLine="0"/>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31"/>
    <w:rsid w:val="00000F6A"/>
    <w:rsid w:val="00001BDA"/>
    <w:rsid w:val="00001D44"/>
    <w:rsid w:val="0000741B"/>
    <w:rsid w:val="000103F1"/>
    <w:rsid w:val="00030BB1"/>
    <w:rsid w:val="00042D55"/>
    <w:rsid w:val="00043FC9"/>
    <w:rsid w:val="0005439A"/>
    <w:rsid w:val="0006437F"/>
    <w:rsid w:val="0007115A"/>
    <w:rsid w:val="00076B6A"/>
    <w:rsid w:val="00080A96"/>
    <w:rsid w:val="00084B7E"/>
    <w:rsid w:val="00085D87"/>
    <w:rsid w:val="000909DC"/>
    <w:rsid w:val="00092CC2"/>
    <w:rsid w:val="0009635B"/>
    <w:rsid w:val="000973C8"/>
    <w:rsid w:val="00097F84"/>
    <w:rsid w:val="000A2488"/>
    <w:rsid w:val="000A2AA9"/>
    <w:rsid w:val="000A4143"/>
    <w:rsid w:val="000A56F2"/>
    <w:rsid w:val="000A64CA"/>
    <w:rsid w:val="000A6E05"/>
    <w:rsid w:val="000B12FA"/>
    <w:rsid w:val="000B222B"/>
    <w:rsid w:val="000B228F"/>
    <w:rsid w:val="000B2A28"/>
    <w:rsid w:val="000C08BF"/>
    <w:rsid w:val="000C3B9A"/>
    <w:rsid w:val="000C481A"/>
    <w:rsid w:val="000C5B07"/>
    <w:rsid w:val="000C743D"/>
    <w:rsid w:val="000D1153"/>
    <w:rsid w:val="000D25A8"/>
    <w:rsid w:val="000E0232"/>
    <w:rsid w:val="000E270A"/>
    <w:rsid w:val="000E4C53"/>
    <w:rsid w:val="000E56B4"/>
    <w:rsid w:val="000E749E"/>
    <w:rsid w:val="000F05A0"/>
    <w:rsid w:val="000F0EF0"/>
    <w:rsid w:val="000F48C6"/>
    <w:rsid w:val="000F71D8"/>
    <w:rsid w:val="001009FD"/>
    <w:rsid w:val="001034A6"/>
    <w:rsid w:val="00112181"/>
    <w:rsid w:val="0011379F"/>
    <w:rsid w:val="00121089"/>
    <w:rsid w:val="00130517"/>
    <w:rsid w:val="00133056"/>
    <w:rsid w:val="00135100"/>
    <w:rsid w:val="0013514E"/>
    <w:rsid w:val="00147031"/>
    <w:rsid w:val="00152312"/>
    <w:rsid w:val="001576DD"/>
    <w:rsid w:val="00161189"/>
    <w:rsid w:val="001618F2"/>
    <w:rsid w:val="00172F81"/>
    <w:rsid w:val="00184A8F"/>
    <w:rsid w:val="001B4048"/>
    <w:rsid w:val="001B5F11"/>
    <w:rsid w:val="001C2B6A"/>
    <w:rsid w:val="001C363F"/>
    <w:rsid w:val="001C38DA"/>
    <w:rsid w:val="001C5C26"/>
    <w:rsid w:val="001D48AA"/>
    <w:rsid w:val="001E0FF6"/>
    <w:rsid w:val="001E2A62"/>
    <w:rsid w:val="001F06AE"/>
    <w:rsid w:val="001F2819"/>
    <w:rsid w:val="00204244"/>
    <w:rsid w:val="002043EC"/>
    <w:rsid w:val="0020515F"/>
    <w:rsid w:val="00213744"/>
    <w:rsid w:val="00222891"/>
    <w:rsid w:val="00223C16"/>
    <w:rsid w:val="002342E9"/>
    <w:rsid w:val="00235E00"/>
    <w:rsid w:val="0023636B"/>
    <w:rsid w:val="00241007"/>
    <w:rsid w:val="00243DC0"/>
    <w:rsid w:val="0024440A"/>
    <w:rsid w:val="00245E21"/>
    <w:rsid w:val="002470BB"/>
    <w:rsid w:val="00247477"/>
    <w:rsid w:val="002476CF"/>
    <w:rsid w:val="002505C0"/>
    <w:rsid w:val="0025309B"/>
    <w:rsid w:val="002534C8"/>
    <w:rsid w:val="002549CE"/>
    <w:rsid w:val="00256345"/>
    <w:rsid w:val="00256A5C"/>
    <w:rsid w:val="002619E8"/>
    <w:rsid w:val="00264940"/>
    <w:rsid w:val="00270440"/>
    <w:rsid w:val="00274D99"/>
    <w:rsid w:val="00284D8D"/>
    <w:rsid w:val="00287BC5"/>
    <w:rsid w:val="00293DEE"/>
    <w:rsid w:val="002A0B5D"/>
    <w:rsid w:val="002A10BC"/>
    <w:rsid w:val="002A196B"/>
    <w:rsid w:val="002A7485"/>
    <w:rsid w:val="002B1B3E"/>
    <w:rsid w:val="002C47C6"/>
    <w:rsid w:val="002C7FE9"/>
    <w:rsid w:val="002D0DC5"/>
    <w:rsid w:val="002D4260"/>
    <w:rsid w:val="002D4EFD"/>
    <w:rsid w:val="002E0E4B"/>
    <w:rsid w:val="002E10C9"/>
    <w:rsid w:val="002F2478"/>
    <w:rsid w:val="0030294A"/>
    <w:rsid w:val="00305D02"/>
    <w:rsid w:val="003126B7"/>
    <w:rsid w:val="00314BFB"/>
    <w:rsid w:val="00315A97"/>
    <w:rsid w:val="00316071"/>
    <w:rsid w:val="00325784"/>
    <w:rsid w:val="00325C6C"/>
    <w:rsid w:val="003420B4"/>
    <w:rsid w:val="003434BC"/>
    <w:rsid w:val="00343E5C"/>
    <w:rsid w:val="00344FB8"/>
    <w:rsid w:val="00345191"/>
    <w:rsid w:val="00347E26"/>
    <w:rsid w:val="00350FBA"/>
    <w:rsid w:val="0036017B"/>
    <w:rsid w:val="00362755"/>
    <w:rsid w:val="00367915"/>
    <w:rsid w:val="00367DC1"/>
    <w:rsid w:val="00370BDA"/>
    <w:rsid w:val="00373B93"/>
    <w:rsid w:val="00376BC3"/>
    <w:rsid w:val="00380CD1"/>
    <w:rsid w:val="003869BD"/>
    <w:rsid w:val="00396AF5"/>
    <w:rsid w:val="003A02CA"/>
    <w:rsid w:val="003A2227"/>
    <w:rsid w:val="003A38F0"/>
    <w:rsid w:val="003A6006"/>
    <w:rsid w:val="003B5AA4"/>
    <w:rsid w:val="003C170B"/>
    <w:rsid w:val="003E1028"/>
    <w:rsid w:val="003F069A"/>
    <w:rsid w:val="003F4329"/>
    <w:rsid w:val="003F5178"/>
    <w:rsid w:val="004008C1"/>
    <w:rsid w:val="00401148"/>
    <w:rsid w:val="00402593"/>
    <w:rsid w:val="00402698"/>
    <w:rsid w:val="00405B86"/>
    <w:rsid w:val="00412534"/>
    <w:rsid w:val="00412C83"/>
    <w:rsid w:val="00415694"/>
    <w:rsid w:val="00424F66"/>
    <w:rsid w:val="00426014"/>
    <w:rsid w:val="004360B8"/>
    <w:rsid w:val="00436D2F"/>
    <w:rsid w:val="00443104"/>
    <w:rsid w:val="0044617E"/>
    <w:rsid w:val="0045232C"/>
    <w:rsid w:val="00455D37"/>
    <w:rsid w:val="0046078B"/>
    <w:rsid w:val="00460B7D"/>
    <w:rsid w:val="00461C7D"/>
    <w:rsid w:val="00472FDA"/>
    <w:rsid w:val="0047730C"/>
    <w:rsid w:val="00480CB0"/>
    <w:rsid w:val="00483603"/>
    <w:rsid w:val="00484AC0"/>
    <w:rsid w:val="004966B4"/>
    <w:rsid w:val="004A1EAD"/>
    <w:rsid w:val="004A47BE"/>
    <w:rsid w:val="004A6C56"/>
    <w:rsid w:val="004B34EA"/>
    <w:rsid w:val="004B5494"/>
    <w:rsid w:val="004B78EF"/>
    <w:rsid w:val="004C1664"/>
    <w:rsid w:val="004C4F61"/>
    <w:rsid w:val="004C64CB"/>
    <w:rsid w:val="004C7A2B"/>
    <w:rsid w:val="004C7D3A"/>
    <w:rsid w:val="004D0A39"/>
    <w:rsid w:val="004D0DAE"/>
    <w:rsid w:val="004D3B16"/>
    <w:rsid w:val="004D5EFA"/>
    <w:rsid w:val="004E14C5"/>
    <w:rsid w:val="004E26D6"/>
    <w:rsid w:val="004E630A"/>
    <w:rsid w:val="005018A8"/>
    <w:rsid w:val="00505886"/>
    <w:rsid w:val="00505A39"/>
    <w:rsid w:val="00517CA3"/>
    <w:rsid w:val="005240BF"/>
    <w:rsid w:val="0052653C"/>
    <w:rsid w:val="005277B8"/>
    <w:rsid w:val="00530271"/>
    <w:rsid w:val="00530C25"/>
    <w:rsid w:val="0053268D"/>
    <w:rsid w:val="005414C4"/>
    <w:rsid w:val="00541831"/>
    <w:rsid w:val="005468CF"/>
    <w:rsid w:val="00546E11"/>
    <w:rsid w:val="00550908"/>
    <w:rsid w:val="00553792"/>
    <w:rsid w:val="005616AD"/>
    <w:rsid w:val="005751F8"/>
    <w:rsid w:val="00580DC4"/>
    <w:rsid w:val="00580FA6"/>
    <w:rsid w:val="00584AF3"/>
    <w:rsid w:val="00584E3C"/>
    <w:rsid w:val="00585390"/>
    <w:rsid w:val="00593377"/>
    <w:rsid w:val="005939A5"/>
    <w:rsid w:val="00594F02"/>
    <w:rsid w:val="005A0DCC"/>
    <w:rsid w:val="005A148C"/>
    <w:rsid w:val="005A6AAA"/>
    <w:rsid w:val="005B5535"/>
    <w:rsid w:val="005C32F7"/>
    <w:rsid w:val="005C4B85"/>
    <w:rsid w:val="005C58FA"/>
    <w:rsid w:val="005D16EF"/>
    <w:rsid w:val="005D39BC"/>
    <w:rsid w:val="005E113C"/>
    <w:rsid w:val="005E58D5"/>
    <w:rsid w:val="005E749C"/>
    <w:rsid w:val="005F2746"/>
    <w:rsid w:val="005F47F4"/>
    <w:rsid w:val="00603238"/>
    <w:rsid w:val="00606933"/>
    <w:rsid w:val="00607230"/>
    <w:rsid w:val="00610915"/>
    <w:rsid w:val="00613A65"/>
    <w:rsid w:val="00621FB8"/>
    <w:rsid w:val="00624E66"/>
    <w:rsid w:val="0062787E"/>
    <w:rsid w:val="00630019"/>
    <w:rsid w:val="00632207"/>
    <w:rsid w:val="0063491C"/>
    <w:rsid w:val="00641A5C"/>
    <w:rsid w:val="00651BE6"/>
    <w:rsid w:val="00652FA6"/>
    <w:rsid w:val="00661AFE"/>
    <w:rsid w:val="0066553B"/>
    <w:rsid w:val="006747F5"/>
    <w:rsid w:val="00675EC2"/>
    <w:rsid w:val="00676A03"/>
    <w:rsid w:val="006779A7"/>
    <w:rsid w:val="0068038A"/>
    <w:rsid w:val="00680F19"/>
    <w:rsid w:val="00683B2C"/>
    <w:rsid w:val="00686258"/>
    <w:rsid w:val="006B2046"/>
    <w:rsid w:val="006B58AC"/>
    <w:rsid w:val="006C1F10"/>
    <w:rsid w:val="006C5121"/>
    <w:rsid w:val="006D2ECF"/>
    <w:rsid w:val="006D7C12"/>
    <w:rsid w:val="006E5E28"/>
    <w:rsid w:val="006E6574"/>
    <w:rsid w:val="006E66EE"/>
    <w:rsid w:val="006E7156"/>
    <w:rsid w:val="006F09B9"/>
    <w:rsid w:val="006F12F3"/>
    <w:rsid w:val="006F14D3"/>
    <w:rsid w:val="00702A08"/>
    <w:rsid w:val="007055D5"/>
    <w:rsid w:val="00706A6F"/>
    <w:rsid w:val="00710512"/>
    <w:rsid w:val="00713EED"/>
    <w:rsid w:val="00714BE0"/>
    <w:rsid w:val="00714CF2"/>
    <w:rsid w:val="007156B9"/>
    <w:rsid w:val="00716F97"/>
    <w:rsid w:val="00720817"/>
    <w:rsid w:val="00722850"/>
    <w:rsid w:val="00723C80"/>
    <w:rsid w:val="007256C1"/>
    <w:rsid w:val="00725BA9"/>
    <w:rsid w:val="0073353F"/>
    <w:rsid w:val="00734A8B"/>
    <w:rsid w:val="00735A91"/>
    <w:rsid w:val="0073668D"/>
    <w:rsid w:val="00742E45"/>
    <w:rsid w:val="00744271"/>
    <w:rsid w:val="007447AF"/>
    <w:rsid w:val="00744CDC"/>
    <w:rsid w:val="00750816"/>
    <w:rsid w:val="00760052"/>
    <w:rsid w:val="00760F91"/>
    <w:rsid w:val="00765229"/>
    <w:rsid w:val="007657C1"/>
    <w:rsid w:val="00766DFC"/>
    <w:rsid w:val="00771E37"/>
    <w:rsid w:val="00774315"/>
    <w:rsid w:val="00774CB0"/>
    <w:rsid w:val="0077652B"/>
    <w:rsid w:val="0077755F"/>
    <w:rsid w:val="007861BA"/>
    <w:rsid w:val="00791A74"/>
    <w:rsid w:val="007950B2"/>
    <w:rsid w:val="0079654B"/>
    <w:rsid w:val="007A406D"/>
    <w:rsid w:val="007A62B0"/>
    <w:rsid w:val="007A7E3A"/>
    <w:rsid w:val="007B0B85"/>
    <w:rsid w:val="007B392F"/>
    <w:rsid w:val="007C5A0C"/>
    <w:rsid w:val="007C5BAF"/>
    <w:rsid w:val="007D1BA3"/>
    <w:rsid w:val="007E0085"/>
    <w:rsid w:val="007E0FEE"/>
    <w:rsid w:val="007E3F8D"/>
    <w:rsid w:val="007E451A"/>
    <w:rsid w:val="007E734A"/>
    <w:rsid w:val="007F035D"/>
    <w:rsid w:val="007F19CD"/>
    <w:rsid w:val="007F2017"/>
    <w:rsid w:val="0080390E"/>
    <w:rsid w:val="00806AE4"/>
    <w:rsid w:val="00806EFF"/>
    <w:rsid w:val="008107CC"/>
    <w:rsid w:val="008159CF"/>
    <w:rsid w:val="00816E05"/>
    <w:rsid w:val="008339BB"/>
    <w:rsid w:val="00836711"/>
    <w:rsid w:val="00836890"/>
    <w:rsid w:val="00842C65"/>
    <w:rsid w:val="00846017"/>
    <w:rsid w:val="008510A7"/>
    <w:rsid w:val="008518DA"/>
    <w:rsid w:val="008561C1"/>
    <w:rsid w:val="00856991"/>
    <w:rsid w:val="00861988"/>
    <w:rsid w:val="008629D4"/>
    <w:rsid w:val="0086419A"/>
    <w:rsid w:val="0086619E"/>
    <w:rsid w:val="00866BD8"/>
    <w:rsid w:val="008676E7"/>
    <w:rsid w:val="0087023B"/>
    <w:rsid w:val="00870B03"/>
    <w:rsid w:val="00871F62"/>
    <w:rsid w:val="0087590C"/>
    <w:rsid w:val="00890E5F"/>
    <w:rsid w:val="008926B4"/>
    <w:rsid w:val="0089356A"/>
    <w:rsid w:val="008A08BF"/>
    <w:rsid w:val="008A0D80"/>
    <w:rsid w:val="008A179F"/>
    <w:rsid w:val="008A3344"/>
    <w:rsid w:val="008A41CA"/>
    <w:rsid w:val="008A7018"/>
    <w:rsid w:val="008B0864"/>
    <w:rsid w:val="008B175A"/>
    <w:rsid w:val="008B5A76"/>
    <w:rsid w:val="008C3CB7"/>
    <w:rsid w:val="008C7413"/>
    <w:rsid w:val="008C772F"/>
    <w:rsid w:val="008D044E"/>
    <w:rsid w:val="008D16B7"/>
    <w:rsid w:val="008D3FD1"/>
    <w:rsid w:val="008D510D"/>
    <w:rsid w:val="008E3C86"/>
    <w:rsid w:val="008E6AE6"/>
    <w:rsid w:val="008F0116"/>
    <w:rsid w:val="008F143D"/>
    <w:rsid w:val="008F751F"/>
    <w:rsid w:val="00902A58"/>
    <w:rsid w:val="00904077"/>
    <w:rsid w:val="0091569B"/>
    <w:rsid w:val="0092041F"/>
    <w:rsid w:val="009231CD"/>
    <w:rsid w:val="00923651"/>
    <w:rsid w:val="00925063"/>
    <w:rsid w:val="00930FB2"/>
    <w:rsid w:val="00932865"/>
    <w:rsid w:val="009343FC"/>
    <w:rsid w:val="00951A82"/>
    <w:rsid w:val="00960CD2"/>
    <w:rsid w:val="00965793"/>
    <w:rsid w:val="0096692B"/>
    <w:rsid w:val="00966F81"/>
    <w:rsid w:val="00971B75"/>
    <w:rsid w:val="00973030"/>
    <w:rsid w:val="009747FC"/>
    <w:rsid w:val="0098138E"/>
    <w:rsid w:val="009842DA"/>
    <w:rsid w:val="0098655A"/>
    <w:rsid w:val="00996FDB"/>
    <w:rsid w:val="009A421E"/>
    <w:rsid w:val="009A6E36"/>
    <w:rsid w:val="009A7AEC"/>
    <w:rsid w:val="009B04DA"/>
    <w:rsid w:val="009B3FF3"/>
    <w:rsid w:val="009B4553"/>
    <w:rsid w:val="009D4170"/>
    <w:rsid w:val="009E0CCF"/>
    <w:rsid w:val="009E6052"/>
    <w:rsid w:val="009E68BD"/>
    <w:rsid w:val="009E7C7F"/>
    <w:rsid w:val="009F44AF"/>
    <w:rsid w:val="009F5218"/>
    <w:rsid w:val="00A01AD7"/>
    <w:rsid w:val="00A04ACD"/>
    <w:rsid w:val="00A05DBF"/>
    <w:rsid w:val="00A17CE0"/>
    <w:rsid w:val="00A23D48"/>
    <w:rsid w:val="00A251CF"/>
    <w:rsid w:val="00A323AD"/>
    <w:rsid w:val="00A36C50"/>
    <w:rsid w:val="00A42306"/>
    <w:rsid w:val="00A44E8D"/>
    <w:rsid w:val="00A46D18"/>
    <w:rsid w:val="00A46EA8"/>
    <w:rsid w:val="00A47FD6"/>
    <w:rsid w:val="00A51CC3"/>
    <w:rsid w:val="00A547F3"/>
    <w:rsid w:val="00A55ACD"/>
    <w:rsid w:val="00A56BCA"/>
    <w:rsid w:val="00A61037"/>
    <w:rsid w:val="00A66974"/>
    <w:rsid w:val="00A67C1D"/>
    <w:rsid w:val="00A72122"/>
    <w:rsid w:val="00A772A4"/>
    <w:rsid w:val="00A85D27"/>
    <w:rsid w:val="00A86824"/>
    <w:rsid w:val="00A905C9"/>
    <w:rsid w:val="00A90C43"/>
    <w:rsid w:val="00AA0C8E"/>
    <w:rsid w:val="00AA143A"/>
    <w:rsid w:val="00AA504C"/>
    <w:rsid w:val="00AB7875"/>
    <w:rsid w:val="00AC58A6"/>
    <w:rsid w:val="00AC5FC6"/>
    <w:rsid w:val="00AC68EE"/>
    <w:rsid w:val="00AD1472"/>
    <w:rsid w:val="00AD1D8E"/>
    <w:rsid w:val="00AE1DEE"/>
    <w:rsid w:val="00AE36A3"/>
    <w:rsid w:val="00AE3E53"/>
    <w:rsid w:val="00AE4BCC"/>
    <w:rsid w:val="00AE7145"/>
    <w:rsid w:val="00AE7222"/>
    <w:rsid w:val="00AF50CB"/>
    <w:rsid w:val="00B000F0"/>
    <w:rsid w:val="00B01F7E"/>
    <w:rsid w:val="00B12CA8"/>
    <w:rsid w:val="00B1501E"/>
    <w:rsid w:val="00B16C2A"/>
    <w:rsid w:val="00B174AB"/>
    <w:rsid w:val="00B27415"/>
    <w:rsid w:val="00B3087D"/>
    <w:rsid w:val="00B30AAA"/>
    <w:rsid w:val="00B346A9"/>
    <w:rsid w:val="00B34794"/>
    <w:rsid w:val="00B364D8"/>
    <w:rsid w:val="00B3682E"/>
    <w:rsid w:val="00B3757F"/>
    <w:rsid w:val="00B50F39"/>
    <w:rsid w:val="00B56727"/>
    <w:rsid w:val="00B60421"/>
    <w:rsid w:val="00B62D8D"/>
    <w:rsid w:val="00B631A9"/>
    <w:rsid w:val="00B6406E"/>
    <w:rsid w:val="00B67819"/>
    <w:rsid w:val="00B719BA"/>
    <w:rsid w:val="00B72C9C"/>
    <w:rsid w:val="00B762BA"/>
    <w:rsid w:val="00B76B45"/>
    <w:rsid w:val="00B81EB6"/>
    <w:rsid w:val="00B83EB3"/>
    <w:rsid w:val="00B87DBF"/>
    <w:rsid w:val="00BB0243"/>
    <w:rsid w:val="00BB2C28"/>
    <w:rsid w:val="00BB461A"/>
    <w:rsid w:val="00BB484B"/>
    <w:rsid w:val="00BB5506"/>
    <w:rsid w:val="00BB59E1"/>
    <w:rsid w:val="00BC210C"/>
    <w:rsid w:val="00BC58DA"/>
    <w:rsid w:val="00BC675D"/>
    <w:rsid w:val="00BD3E53"/>
    <w:rsid w:val="00BD4FB3"/>
    <w:rsid w:val="00BD5CE1"/>
    <w:rsid w:val="00BE3CBC"/>
    <w:rsid w:val="00BF1002"/>
    <w:rsid w:val="00BF29FE"/>
    <w:rsid w:val="00BF2DD0"/>
    <w:rsid w:val="00C01DC9"/>
    <w:rsid w:val="00C038DA"/>
    <w:rsid w:val="00C03B47"/>
    <w:rsid w:val="00C07A8A"/>
    <w:rsid w:val="00C10631"/>
    <w:rsid w:val="00C109D7"/>
    <w:rsid w:val="00C10B5F"/>
    <w:rsid w:val="00C1246A"/>
    <w:rsid w:val="00C17FDF"/>
    <w:rsid w:val="00C20171"/>
    <w:rsid w:val="00C23983"/>
    <w:rsid w:val="00C24A3B"/>
    <w:rsid w:val="00C2645F"/>
    <w:rsid w:val="00C35DA3"/>
    <w:rsid w:val="00C407FA"/>
    <w:rsid w:val="00C41785"/>
    <w:rsid w:val="00C424C1"/>
    <w:rsid w:val="00C46D7B"/>
    <w:rsid w:val="00C51102"/>
    <w:rsid w:val="00C535CA"/>
    <w:rsid w:val="00C55328"/>
    <w:rsid w:val="00C6234C"/>
    <w:rsid w:val="00C71A60"/>
    <w:rsid w:val="00C75D74"/>
    <w:rsid w:val="00C8009B"/>
    <w:rsid w:val="00C8206D"/>
    <w:rsid w:val="00C82B68"/>
    <w:rsid w:val="00C878D5"/>
    <w:rsid w:val="00C9033B"/>
    <w:rsid w:val="00C913A1"/>
    <w:rsid w:val="00C941E6"/>
    <w:rsid w:val="00CA1F86"/>
    <w:rsid w:val="00CA3B18"/>
    <w:rsid w:val="00CC591D"/>
    <w:rsid w:val="00CC6A99"/>
    <w:rsid w:val="00CD08EA"/>
    <w:rsid w:val="00CD0B11"/>
    <w:rsid w:val="00CE357B"/>
    <w:rsid w:val="00CF1E32"/>
    <w:rsid w:val="00CF43B3"/>
    <w:rsid w:val="00D00AA3"/>
    <w:rsid w:val="00D03FA4"/>
    <w:rsid w:val="00D0504E"/>
    <w:rsid w:val="00D057FC"/>
    <w:rsid w:val="00D07F73"/>
    <w:rsid w:val="00D11985"/>
    <w:rsid w:val="00D14844"/>
    <w:rsid w:val="00D17F8D"/>
    <w:rsid w:val="00D2041C"/>
    <w:rsid w:val="00D204AA"/>
    <w:rsid w:val="00D24F3B"/>
    <w:rsid w:val="00D25105"/>
    <w:rsid w:val="00D25ADE"/>
    <w:rsid w:val="00D25DCD"/>
    <w:rsid w:val="00D2733A"/>
    <w:rsid w:val="00D31BE6"/>
    <w:rsid w:val="00D35B04"/>
    <w:rsid w:val="00D41687"/>
    <w:rsid w:val="00D43297"/>
    <w:rsid w:val="00D446E5"/>
    <w:rsid w:val="00D44DB6"/>
    <w:rsid w:val="00D47D80"/>
    <w:rsid w:val="00D50119"/>
    <w:rsid w:val="00D60074"/>
    <w:rsid w:val="00D61495"/>
    <w:rsid w:val="00D65950"/>
    <w:rsid w:val="00D71077"/>
    <w:rsid w:val="00D81706"/>
    <w:rsid w:val="00D82A43"/>
    <w:rsid w:val="00D8385E"/>
    <w:rsid w:val="00D91E3E"/>
    <w:rsid w:val="00D920F3"/>
    <w:rsid w:val="00DA6954"/>
    <w:rsid w:val="00DA72F9"/>
    <w:rsid w:val="00DA7B5D"/>
    <w:rsid w:val="00DA7D04"/>
    <w:rsid w:val="00DB0802"/>
    <w:rsid w:val="00DB2FEB"/>
    <w:rsid w:val="00DC1B02"/>
    <w:rsid w:val="00DC68E2"/>
    <w:rsid w:val="00DC7DCC"/>
    <w:rsid w:val="00DD4470"/>
    <w:rsid w:val="00DE1E1A"/>
    <w:rsid w:val="00DE3EAF"/>
    <w:rsid w:val="00DF0A40"/>
    <w:rsid w:val="00DF58E7"/>
    <w:rsid w:val="00E039B6"/>
    <w:rsid w:val="00E1162A"/>
    <w:rsid w:val="00E11876"/>
    <w:rsid w:val="00E159B2"/>
    <w:rsid w:val="00E20498"/>
    <w:rsid w:val="00E2094D"/>
    <w:rsid w:val="00E23CBB"/>
    <w:rsid w:val="00E34194"/>
    <w:rsid w:val="00E37B59"/>
    <w:rsid w:val="00E37CF1"/>
    <w:rsid w:val="00E47FF5"/>
    <w:rsid w:val="00E53438"/>
    <w:rsid w:val="00E54CEE"/>
    <w:rsid w:val="00E56071"/>
    <w:rsid w:val="00E60708"/>
    <w:rsid w:val="00E609E8"/>
    <w:rsid w:val="00E725FC"/>
    <w:rsid w:val="00E810B8"/>
    <w:rsid w:val="00E862D0"/>
    <w:rsid w:val="00E90321"/>
    <w:rsid w:val="00E92E26"/>
    <w:rsid w:val="00E94032"/>
    <w:rsid w:val="00E9613D"/>
    <w:rsid w:val="00E97349"/>
    <w:rsid w:val="00EA36C6"/>
    <w:rsid w:val="00EB1B8D"/>
    <w:rsid w:val="00EB1F2A"/>
    <w:rsid w:val="00EB3A5A"/>
    <w:rsid w:val="00EB71D1"/>
    <w:rsid w:val="00EC30F9"/>
    <w:rsid w:val="00EC460E"/>
    <w:rsid w:val="00ED5725"/>
    <w:rsid w:val="00ED7031"/>
    <w:rsid w:val="00EE132F"/>
    <w:rsid w:val="00EE3060"/>
    <w:rsid w:val="00EE4315"/>
    <w:rsid w:val="00EF319D"/>
    <w:rsid w:val="00EF6925"/>
    <w:rsid w:val="00F023A9"/>
    <w:rsid w:val="00F035AD"/>
    <w:rsid w:val="00F04947"/>
    <w:rsid w:val="00F06136"/>
    <w:rsid w:val="00F113A7"/>
    <w:rsid w:val="00F12118"/>
    <w:rsid w:val="00F1307C"/>
    <w:rsid w:val="00F213DF"/>
    <w:rsid w:val="00F22BA2"/>
    <w:rsid w:val="00F258EB"/>
    <w:rsid w:val="00F26ED3"/>
    <w:rsid w:val="00F274BE"/>
    <w:rsid w:val="00F3640A"/>
    <w:rsid w:val="00F42B04"/>
    <w:rsid w:val="00F542D9"/>
    <w:rsid w:val="00F62B7A"/>
    <w:rsid w:val="00F6397D"/>
    <w:rsid w:val="00F6415A"/>
    <w:rsid w:val="00F6689C"/>
    <w:rsid w:val="00F7293E"/>
    <w:rsid w:val="00F763BB"/>
    <w:rsid w:val="00F76650"/>
    <w:rsid w:val="00F9187B"/>
    <w:rsid w:val="00F92385"/>
    <w:rsid w:val="00F92AD1"/>
    <w:rsid w:val="00F956D0"/>
    <w:rsid w:val="00F95936"/>
    <w:rsid w:val="00F97390"/>
    <w:rsid w:val="00FA1B4F"/>
    <w:rsid w:val="00FA3773"/>
    <w:rsid w:val="00FA613A"/>
    <w:rsid w:val="00FB4020"/>
    <w:rsid w:val="00FC2F96"/>
    <w:rsid w:val="00FC3285"/>
    <w:rsid w:val="00FC47F9"/>
    <w:rsid w:val="00FC4F6B"/>
    <w:rsid w:val="00FC59F3"/>
    <w:rsid w:val="00FD3491"/>
    <w:rsid w:val="00FE10B2"/>
    <w:rsid w:val="00FE2351"/>
    <w:rsid w:val="00FE337D"/>
    <w:rsid w:val="00FE5580"/>
    <w:rsid w:val="00FF110C"/>
    <w:rsid w:val="00FF52F2"/>
    <w:rsid w:val="65A9F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E1FB1"/>
  <w15:chartTrackingRefBased/>
  <w15:docId w15:val="{556FAA57-89A6-46B5-AD02-2CC5672A506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385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890E5F"/>
    <w:pPr>
      <w:numPr>
        <w:numId w:val="10"/>
      </w:numPr>
      <w:ind w:right="2160"/>
    </w:pPr>
    <w:rPr>
      <w:rFonts w:eastAsiaTheme="majorEastAsia" w:cstheme="majorBidi"/>
      <w:szCs w:val="32"/>
    </w:rPr>
  </w:style>
  <w:style w:type="paragraph" w:styleId="Heading2">
    <w:name w:val="heading 2"/>
    <w:basedOn w:val="Dummy"/>
    <w:next w:val="Standard"/>
    <w:link w:val="Heading2Char"/>
    <w:uiPriority w:val="4"/>
    <w:qFormat/>
    <w:rsid w:val="00890E5F"/>
    <w:pPr>
      <w:numPr>
        <w:ilvl w:val="1"/>
        <w:numId w:val="10"/>
      </w:numPr>
      <w:ind w:right="2160"/>
      <w:outlineLvl w:val="1"/>
    </w:pPr>
  </w:style>
  <w:style w:type="paragraph" w:styleId="Heading3">
    <w:name w:val="heading 3"/>
    <w:basedOn w:val="Dummy"/>
    <w:next w:val="Standard"/>
    <w:link w:val="Heading3Char"/>
    <w:uiPriority w:val="4"/>
    <w:qFormat/>
    <w:rsid w:val="00890E5F"/>
    <w:pPr>
      <w:numPr>
        <w:ilvl w:val="2"/>
        <w:numId w:val="10"/>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890E5F"/>
    <w:pPr>
      <w:numPr>
        <w:ilvl w:val="3"/>
        <w:numId w:val="10"/>
      </w:numPr>
      <w:ind w:right="2160"/>
      <w:outlineLvl w:val="3"/>
    </w:pPr>
    <w:rPr>
      <w:rFonts w:eastAsiaTheme="majorEastAsia" w:cstheme="majorBidi"/>
      <w:iCs/>
    </w:rPr>
  </w:style>
  <w:style w:type="paragraph" w:styleId="Heading5">
    <w:name w:val="heading 5"/>
    <w:basedOn w:val="Dummy"/>
    <w:next w:val="Standard"/>
    <w:link w:val="Heading5Char"/>
    <w:uiPriority w:val="4"/>
    <w:rsid w:val="00890E5F"/>
    <w:pPr>
      <w:numPr>
        <w:ilvl w:val="4"/>
        <w:numId w:val="10"/>
      </w:numPr>
      <w:ind w:right="2160"/>
      <w:outlineLvl w:val="4"/>
    </w:pPr>
    <w:rPr>
      <w:rFonts w:eastAsiaTheme="majorEastAsia" w:cstheme="majorBidi"/>
    </w:rPr>
  </w:style>
  <w:style w:type="paragraph" w:styleId="Heading6">
    <w:name w:val="heading 6"/>
    <w:basedOn w:val="Dummy"/>
    <w:next w:val="Standard"/>
    <w:link w:val="Heading6Char"/>
    <w:uiPriority w:val="4"/>
    <w:rsid w:val="00890E5F"/>
    <w:pPr>
      <w:numPr>
        <w:ilvl w:val="5"/>
        <w:numId w:val="10"/>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890E5F"/>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890E5F"/>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890E5F"/>
    <w:rPr>
      <w:rFonts w:ascii="Arial" w:hAnsi="Arial" w:cs="Arial"/>
      <w:b/>
      <w:sz w:val="26"/>
      <w:szCs w:val="26"/>
    </w:rPr>
  </w:style>
  <w:style w:type="character" w:customStyle="1" w:styleId="Heading3Char">
    <w:name w:val="Heading 3 Char"/>
    <w:basedOn w:val="DefaultParagraphFont"/>
    <w:link w:val="Heading3"/>
    <w:uiPriority w:val="4"/>
    <w:rsid w:val="00890E5F"/>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890E5F"/>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90E5F"/>
    <w:rPr>
      <w:rFonts w:ascii="Arial" w:eastAsiaTheme="majorEastAsia" w:hAnsi="Arial" w:cstheme="majorBidi"/>
      <w:b/>
      <w:sz w:val="26"/>
      <w:szCs w:val="26"/>
    </w:rPr>
  </w:style>
  <w:style w:type="paragraph" w:customStyle="1" w:styleId="Main">
    <w:name w:val="Main"/>
    <w:next w:val="Normal"/>
    <w:uiPriority w:val="19"/>
    <w:rsid w:val="00890E5F"/>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6D2ECF"/>
    <w:pPr>
      <w:keepNext/>
      <w:spacing w:before="180" w:line="360" w:lineRule="auto"/>
      <w:outlineLvl w:val="0"/>
    </w:pPr>
    <w:rPr>
      <w:spacing w:val="120"/>
    </w:rPr>
  </w:style>
  <w:style w:type="paragraph" w:styleId="TOC2">
    <w:name w:val="toc 2"/>
    <w:basedOn w:val="Normal"/>
    <w:next w:val="Normal"/>
    <w:uiPriority w:val="39"/>
    <w:unhideWhenUsed/>
    <w:rsid w:val="00890E5F"/>
    <w:pPr>
      <w:spacing w:line="240" w:lineRule="auto"/>
      <w:ind w:left="864" w:right="720" w:hanging="648"/>
    </w:pPr>
    <w:rPr>
      <w:rFonts w:eastAsiaTheme="minorEastAsia" w:cs="Times New Roman"/>
    </w:rPr>
  </w:style>
  <w:style w:type="paragraph" w:styleId="TOC1">
    <w:name w:val="toc 1"/>
    <w:basedOn w:val="Normal"/>
    <w:next w:val="Normal"/>
    <w:uiPriority w:val="39"/>
    <w:unhideWhenUsed/>
    <w:rsid w:val="00890E5F"/>
    <w:pPr>
      <w:spacing w:line="240" w:lineRule="auto"/>
      <w:ind w:left="432" w:right="720" w:hanging="432"/>
    </w:pPr>
    <w:rPr>
      <w:rFonts w:eastAsiaTheme="minorEastAsia" w:cs="Times New Roman"/>
    </w:rPr>
  </w:style>
  <w:style w:type="paragraph" w:styleId="TOC3">
    <w:name w:val="toc 3"/>
    <w:basedOn w:val="Normal"/>
    <w:next w:val="Normal"/>
    <w:uiPriority w:val="39"/>
    <w:unhideWhenUsed/>
    <w:rsid w:val="00890E5F"/>
    <w:pPr>
      <w:spacing w:line="240" w:lineRule="auto"/>
      <w:ind w:left="1296"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semiHidden/>
    <w:unhideWhenUsed/>
    <w:rsid w:val="00890E5F"/>
    <w:pPr>
      <w:spacing w:after="100"/>
      <w:ind w:left="2080"/>
    </w:pPr>
  </w:style>
  <w:style w:type="paragraph" w:styleId="Header">
    <w:name w:val="header"/>
    <w:basedOn w:val="Normal"/>
    <w:link w:val="HeaderChar"/>
    <w:uiPriority w:val="99"/>
    <w:semiHidden/>
    <w:rsid w:val="00890E5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90E5F"/>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890E5F"/>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890E5F"/>
    <w:pPr>
      <w:numPr>
        <w:numId w:val="9"/>
      </w:numPr>
    </w:pPr>
  </w:style>
  <w:style w:type="paragraph" w:customStyle="1" w:styleId="CoL">
    <w:name w:val="CoL"/>
    <w:basedOn w:val="Standard"/>
    <w:uiPriority w:val="7"/>
    <w:qFormat/>
    <w:rsid w:val="006D2ECF"/>
    <w:pPr>
      <w:numPr>
        <w:numId w:val="11"/>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6D2ECF"/>
    <w:pPr>
      <w:numPr>
        <w:numId w:val="12"/>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3"/>
      </w:numPr>
    </w:pPr>
  </w:style>
  <w:style w:type="paragraph" w:customStyle="1" w:styleId="Standard">
    <w:name w:val="Standard"/>
    <w:basedOn w:val="Normal"/>
    <w:qFormat/>
    <w:rsid w:val="006D2ECF"/>
  </w:style>
  <w:style w:type="paragraph" w:customStyle="1" w:styleId="ListAlpha">
    <w:name w:val="List Alpha"/>
    <w:basedOn w:val="Standard"/>
    <w:uiPriority w:val="4"/>
    <w:qFormat/>
    <w:rsid w:val="000E270A"/>
    <w:pPr>
      <w:numPr>
        <w:ilvl w:val="7"/>
        <w:numId w:val="10"/>
      </w:numPr>
      <w:spacing w:after="120" w:line="240" w:lineRule="auto"/>
    </w:pPr>
  </w:style>
  <w:style w:type="paragraph" w:styleId="ListBullet">
    <w:name w:val="List Bullet"/>
    <w:basedOn w:val="Standard"/>
    <w:uiPriority w:val="4"/>
    <w:qFormat/>
    <w:rsid w:val="00080A96"/>
    <w:pPr>
      <w:numPr>
        <w:numId w:val="4"/>
      </w:numPr>
      <w:spacing w:after="120" w:line="240" w:lineRule="auto"/>
      <w:ind w:right="1440"/>
    </w:pPr>
  </w:style>
  <w:style w:type="character" w:customStyle="1" w:styleId="Heading6Char">
    <w:name w:val="Heading 6 Char"/>
    <w:basedOn w:val="DefaultParagraphFont"/>
    <w:link w:val="Heading6"/>
    <w:uiPriority w:val="4"/>
    <w:rsid w:val="00890E5F"/>
    <w:rPr>
      <w:rFonts w:ascii="Arial" w:eastAsiaTheme="majorEastAsia" w:hAnsi="Arial" w:cstheme="majorBidi"/>
      <w:b/>
      <w:sz w:val="26"/>
      <w:szCs w:val="26"/>
    </w:rPr>
  </w:style>
  <w:style w:type="paragraph" w:styleId="TOC4">
    <w:name w:val="toc 4"/>
    <w:basedOn w:val="Normal"/>
    <w:next w:val="Normal"/>
    <w:autoRedefine/>
    <w:uiPriority w:val="39"/>
    <w:unhideWhenUsed/>
    <w:rsid w:val="00890E5F"/>
    <w:pPr>
      <w:spacing w:line="240" w:lineRule="auto"/>
      <w:ind w:left="1728" w:right="720" w:hanging="1080"/>
    </w:pPr>
  </w:style>
  <w:style w:type="paragraph" w:styleId="TOC5">
    <w:name w:val="toc 5"/>
    <w:basedOn w:val="Normal"/>
    <w:next w:val="Normal"/>
    <w:autoRedefine/>
    <w:uiPriority w:val="39"/>
    <w:unhideWhenUsed/>
    <w:rsid w:val="00890E5F"/>
    <w:pPr>
      <w:spacing w:line="240" w:lineRule="auto"/>
      <w:ind w:left="2160" w:right="720" w:hanging="1296"/>
    </w:pPr>
  </w:style>
  <w:style w:type="paragraph" w:styleId="TOC6">
    <w:name w:val="toc 6"/>
    <w:basedOn w:val="Normal"/>
    <w:next w:val="Normal"/>
    <w:autoRedefine/>
    <w:uiPriority w:val="39"/>
    <w:unhideWhenUsed/>
    <w:rsid w:val="00890E5F"/>
    <w:pPr>
      <w:spacing w:line="240" w:lineRule="auto"/>
      <w:ind w:left="2592" w:right="720"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0"/>
      </w:numPr>
      <w:spacing w:after="120" w:line="240" w:lineRule="auto"/>
    </w:pPr>
  </w:style>
  <w:style w:type="paragraph" w:styleId="ListParagraph">
    <w:name w:val="List Paragraph"/>
    <w:basedOn w:val="Normal"/>
    <w:uiPriority w:val="34"/>
    <w:rsid w:val="001C2B6A"/>
    <w:pPr>
      <w:ind w:left="720"/>
      <w:contextualSpacing/>
    </w:pPr>
  </w:style>
  <w:style w:type="paragraph" w:customStyle="1" w:styleId="Default">
    <w:name w:val="Default"/>
    <w:rsid w:val="00B87DB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B5506"/>
    <w:rPr>
      <w:sz w:val="16"/>
      <w:szCs w:val="16"/>
    </w:rPr>
  </w:style>
  <w:style w:type="paragraph" w:styleId="CommentText">
    <w:name w:val="annotation text"/>
    <w:basedOn w:val="Normal"/>
    <w:link w:val="CommentTextChar"/>
    <w:uiPriority w:val="99"/>
    <w:unhideWhenUsed/>
    <w:rsid w:val="00BB5506"/>
    <w:pPr>
      <w:spacing w:line="240" w:lineRule="auto"/>
    </w:pPr>
    <w:rPr>
      <w:sz w:val="20"/>
      <w:szCs w:val="20"/>
    </w:rPr>
  </w:style>
  <w:style w:type="character" w:customStyle="1" w:styleId="CommentTextChar">
    <w:name w:val="Comment Text Char"/>
    <w:basedOn w:val="DefaultParagraphFont"/>
    <w:link w:val="CommentText"/>
    <w:uiPriority w:val="99"/>
    <w:rsid w:val="00BB550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B5506"/>
    <w:rPr>
      <w:b/>
      <w:bCs/>
    </w:rPr>
  </w:style>
  <w:style w:type="character" w:customStyle="1" w:styleId="CommentSubjectChar">
    <w:name w:val="Comment Subject Char"/>
    <w:basedOn w:val="CommentTextChar"/>
    <w:link w:val="CommentSubject"/>
    <w:uiPriority w:val="99"/>
    <w:semiHidden/>
    <w:rsid w:val="00BB5506"/>
    <w:rPr>
      <w:rFonts w:ascii="Book Antiqua" w:hAnsi="Book Antiqua"/>
      <w:b/>
      <w:bCs/>
      <w:sz w:val="20"/>
      <w:szCs w:val="20"/>
    </w:rPr>
  </w:style>
  <w:style w:type="paragraph" w:styleId="Revision">
    <w:name w:val="Revision"/>
    <w:hidden/>
    <w:uiPriority w:val="99"/>
    <w:semiHidden/>
    <w:rsid w:val="00E56071"/>
    <w:pPr>
      <w:spacing w:after="0" w:line="240" w:lineRule="auto"/>
    </w:pPr>
    <w:rPr>
      <w:rFonts w:ascii="Book Antiqua" w:hAnsi="Book Antiqua"/>
      <w:sz w:val="26"/>
    </w:rPr>
  </w:style>
  <w:style w:type="paragraph" w:customStyle="1" w:styleId="PDTitle">
    <w:name w:val="PD Title"/>
    <w:basedOn w:val="Dummy"/>
    <w:rsid w:val="006D2ECF"/>
    <w:pPr>
      <w:spacing w:after="240"/>
      <w:ind w:left="720" w:right="720"/>
      <w:jc w:val="center"/>
    </w:pPr>
    <w:rPr>
      <w:caps/>
    </w:rPr>
  </w:style>
  <w:style w:type="paragraph" w:customStyle="1" w:styleId="1stList1">
    <w:name w:val="1st List 1)"/>
    <w:basedOn w:val="Standard"/>
    <w:rsid w:val="00222891"/>
    <w:pPr>
      <w:numPr>
        <w:numId w:val="5"/>
      </w:numPr>
      <w:spacing w:after="120" w:line="240" w:lineRule="auto"/>
      <w:ind w:right="1440"/>
    </w:pPr>
  </w:style>
  <w:style w:type="paragraph" w:customStyle="1" w:styleId="1stLevel1">
    <w:name w:val="1st Level 1."/>
    <w:basedOn w:val="ListNum"/>
    <w:rsid w:val="004D5EFA"/>
    <w:pPr>
      <w:numPr>
        <w:ilvl w:val="0"/>
        <w:numId w:val="7"/>
      </w:numPr>
      <w:ind w:right="1440"/>
    </w:pPr>
  </w:style>
  <w:style w:type="paragraph" w:customStyle="1" w:styleId="2ndLevela">
    <w:name w:val="2nd Level a."/>
    <w:basedOn w:val="ListNum"/>
    <w:rsid w:val="004D5EFA"/>
    <w:pPr>
      <w:numPr>
        <w:ilvl w:val="0"/>
        <w:numId w:val="6"/>
      </w:numPr>
      <w:ind w:right="1440"/>
    </w:pPr>
  </w:style>
  <w:style w:type="paragraph" w:customStyle="1" w:styleId="2ndLevelA0">
    <w:name w:val="2nd Level A."/>
    <w:basedOn w:val="2ndLevela"/>
    <w:rsid w:val="00E2094D"/>
    <w:pPr>
      <w:numPr>
        <w:numId w:val="15"/>
      </w:numPr>
    </w:pPr>
  </w:style>
  <w:style w:type="character" w:styleId="UnresolvedMention">
    <w:name w:val="Unresolved Mention"/>
    <w:basedOn w:val="DefaultParagraphFont"/>
    <w:uiPriority w:val="99"/>
    <w:semiHidden/>
    <w:unhideWhenUsed/>
    <w:rsid w:val="00725BA9"/>
    <w:rPr>
      <w:color w:val="605E5C"/>
      <w:shd w:val="clear" w:color="auto" w:fill="E1DFDD"/>
    </w:rPr>
  </w:style>
  <w:style w:type="character" w:styleId="Mention">
    <w:name w:val="Mention"/>
    <w:basedOn w:val="DefaultParagraphFont"/>
    <w:uiPriority w:val="99"/>
    <w:unhideWhenUsed/>
    <w:rsid w:val="00E039B6"/>
    <w:rPr>
      <w:color w:val="2B579A"/>
      <w:shd w:val="clear" w:color="auto" w:fill="E1DFDD"/>
    </w:rPr>
  </w:style>
  <w:style w:type="table" w:customStyle="1" w:styleId="TableGrid11">
    <w:name w:val="Table Grid11"/>
    <w:basedOn w:val="TableNormal"/>
    <w:next w:val="TableGrid"/>
    <w:uiPriority w:val="39"/>
    <w:rsid w:val="005277B8"/>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a393cefc72f836e919fc44ba1b926546">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92e0cccee873f2f8811b0ff966fcfff"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3.xml><?xml version="1.0" encoding="utf-8"?>
<ds:datastoreItem xmlns:ds="http://schemas.openxmlformats.org/officeDocument/2006/customXml" ds:itemID="{D7F0BA1A-AC43-4A56-A954-F9E1FFD6B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81</ap:Pages>
  <ap:Words>19257</ap:Words>
  <ap:Characters>103608</ap:Characters>
  <ap:Application>Microsoft Office Word</ap:Application>
  <ap:DocSecurity>0</ap:DocSecurity>
  <ap:Lines>5453</ap:Lines>
  <ap:Paragraphs>740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122125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2025-12-02T23:32:00Z</cp:lastPrinted>
  <dcterms:created xsi:type="dcterms:W3CDTF">2025-12-09T12:52:25Z</dcterms:created>
  <dcterms:modified xsi:type="dcterms:W3CDTF">2025-12-09T12:52:25Z</dcterms:modified>
</cp:coreProperties>
</file>